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3F2B" w:rsidRPr="0073331E" w:rsidP="00A33F2B" w14:paraId="3A097835" w14:textId="77777777">
      <w:pPr>
        <w:pStyle w:val="TitlePage1"/>
      </w:pPr>
      <w:r w:rsidRPr="0073331E">
        <w:t xml:space="preserve">DEPARTMENT OF HEALTH AND HUMAN SERVICES </w:t>
      </w:r>
    </w:p>
    <w:p w:rsidR="00A33F2B" w:rsidRPr="0073331E" w:rsidP="00A33F2B" w14:paraId="18556A5D" w14:textId="77777777">
      <w:pPr>
        <w:pStyle w:val="TitlePage1"/>
      </w:pPr>
      <w:r w:rsidRPr="0073331E">
        <w:t xml:space="preserve">Food and Drug Administration </w:t>
      </w:r>
    </w:p>
    <w:p w:rsidR="00A33F2B" w:rsidRPr="0073331E" w:rsidP="00A33F2B" w14:paraId="1FDE34D9" w14:textId="77777777">
      <w:pPr>
        <w:pStyle w:val="TitlePage1"/>
      </w:pPr>
    </w:p>
    <w:p w:rsidR="00A33F2B" w:rsidRPr="0073331E" w:rsidP="00A33F2B" w14:paraId="2A9E321D" w14:textId="77777777">
      <w:pPr>
        <w:pStyle w:val="TitlePage1"/>
      </w:pPr>
    </w:p>
    <w:p w:rsidR="00A33F2B" w:rsidRPr="0073331E" w:rsidP="00A33F2B" w14:paraId="11F54EBE" w14:textId="77777777">
      <w:pPr>
        <w:pStyle w:val="TitlePage1"/>
      </w:pPr>
    </w:p>
    <w:p w:rsidR="00A33F2B" w:rsidRPr="0073331E" w:rsidP="00A33F2B" w14:paraId="0ADA7816" w14:textId="77777777">
      <w:pPr>
        <w:pStyle w:val="TitlePage1"/>
      </w:pPr>
    </w:p>
    <w:p w:rsidR="00A33F2B" w:rsidRPr="0073331E" w:rsidP="00A33F2B" w14:paraId="7A3DAC25" w14:textId="77777777">
      <w:pPr>
        <w:pStyle w:val="TitlePage1"/>
      </w:pPr>
    </w:p>
    <w:p w:rsidR="00A33F2B" w:rsidRPr="0073331E" w:rsidP="00A33F2B" w14:paraId="2B020493" w14:textId="77777777">
      <w:pPr>
        <w:pStyle w:val="TitlePage1"/>
      </w:pPr>
    </w:p>
    <w:p w:rsidR="00A33F2B" w:rsidRPr="0073331E" w:rsidP="00A33F2B" w14:paraId="07763C12" w14:textId="77777777">
      <w:pPr>
        <w:pStyle w:val="TitlePage1"/>
      </w:pPr>
    </w:p>
    <w:p w:rsidR="00A33F2B" w:rsidRPr="0073331E" w:rsidP="00A33F2B" w14:paraId="5DEB28A6" w14:textId="77777777">
      <w:pPr>
        <w:pStyle w:val="TitlePage1"/>
      </w:pPr>
    </w:p>
    <w:p w:rsidR="00A33F2B" w:rsidRPr="0073331E" w:rsidP="00A33F2B" w14:paraId="2183454B" w14:textId="77777777">
      <w:pPr>
        <w:pStyle w:val="TitlePage1"/>
      </w:pPr>
    </w:p>
    <w:p w:rsidR="00A33F2B" w:rsidRPr="0073331E" w:rsidP="00A33F2B" w14:paraId="440611AE" w14:textId="77777777">
      <w:pPr>
        <w:pStyle w:val="TitlePage2"/>
      </w:pPr>
      <w:bookmarkStart w:id="0" w:name="_Hlk139473376"/>
      <w:r>
        <w:t>Standards for the Growing, Harvesting, Packing, and Holding of Produce for Human Consumption Relating to Agricultural Water</w:t>
      </w:r>
    </w:p>
    <w:bookmarkEnd w:id="0"/>
    <w:p w:rsidR="00A33F2B" w:rsidRPr="0073331E" w:rsidP="00A33F2B" w14:paraId="37E12C55" w14:textId="77777777">
      <w:pPr>
        <w:pStyle w:val="TitlePage1"/>
      </w:pPr>
    </w:p>
    <w:p w:rsidR="00A33F2B" w:rsidRPr="0073331E" w:rsidP="00A33F2B" w14:paraId="546E96D7" w14:textId="77777777">
      <w:pPr>
        <w:pStyle w:val="TitlePage1"/>
      </w:pPr>
    </w:p>
    <w:p w:rsidR="00A33F2B" w:rsidRPr="0073331E" w:rsidP="00A33F2B" w14:paraId="319D8767" w14:textId="77777777">
      <w:pPr>
        <w:pStyle w:val="TitlePage1"/>
        <w:jc w:val="center"/>
      </w:pPr>
      <w:r w:rsidRPr="0073331E">
        <w:t xml:space="preserve">Docket No. </w:t>
      </w:r>
      <w:r w:rsidRPr="00EB0472">
        <w:t>FDA-2021-N-0471</w:t>
      </w:r>
    </w:p>
    <w:p w:rsidR="00A33F2B" w:rsidRPr="0073331E" w:rsidP="00A33F2B" w14:paraId="03605755" w14:textId="77777777">
      <w:pPr>
        <w:rPr>
          <w:lang w:eastAsia="ja-JP"/>
        </w:rPr>
      </w:pPr>
    </w:p>
    <w:p w:rsidR="00A33F2B" w:rsidRPr="0073331E" w:rsidP="00A33F2B" w14:paraId="22031459" w14:textId="77777777">
      <w:pPr>
        <w:rPr>
          <w:lang w:eastAsia="ja-JP"/>
        </w:rPr>
      </w:pPr>
    </w:p>
    <w:p w:rsidR="00A33F2B" w:rsidRPr="0073331E" w:rsidP="00A33F2B" w14:paraId="6B306436" w14:textId="77777777">
      <w:pPr>
        <w:rPr>
          <w:lang w:eastAsia="ja-JP"/>
        </w:rPr>
      </w:pPr>
    </w:p>
    <w:p w:rsidR="00A33F2B" w:rsidRPr="0073331E" w:rsidP="00A33F2B" w14:paraId="3A814934" w14:textId="77777777">
      <w:pPr>
        <w:rPr>
          <w:lang w:eastAsia="ja-JP"/>
        </w:rPr>
      </w:pPr>
    </w:p>
    <w:p w:rsidR="00A33F2B" w:rsidRPr="0073331E" w:rsidP="00A33F2B" w14:paraId="0CE224CA" w14:textId="77777777">
      <w:pPr>
        <w:rPr>
          <w:lang w:eastAsia="ja-JP"/>
        </w:rPr>
      </w:pPr>
    </w:p>
    <w:p w:rsidR="00A33F2B" w:rsidRPr="0073331E" w:rsidP="00A33F2B" w14:paraId="5AAA0524" w14:textId="77777777">
      <w:pPr>
        <w:pStyle w:val="TitlePage3"/>
      </w:pPr>
      <w:r>
        <w:t>Final</w:t>
      </w:r>
      <w:r w:rsidRPr="0073331E">
        <w:t xml:space="preserve"> Regulatory Impact Analysis</w:t>
      </w:r>
    </w:p>
    <w:p w:rsidR="00A33F2B" w:rsidRPr="0073331E" w:rsidP="00A33F2B" w14:paraId="479412EA" w14:textId="77777777">
      <w:pPr>
        <w:pStyle w:val="TitlePage3"/>
      </w:pPr>
      <w:r>
        <w:t>Final</w:t>
      </w:r>
      <w:r w:rsidRPr="0073331E">
        <w:t xml:space="preserve"> Regulatory Flexibility Analysis</w:t>
      </w:r>
    </w:p>
    <w:p w:rsidR="00A33F2B" w:rsidRPr="0073331E" w:rsidP="00A33F2B" w14:paraId="16A676DF" w14:textId="77777777">
      <w:pPr>
        <w:pStyle w:val="TitlePage3"/>
      </w:pPr>
      <w:r w:rsidRPr="0073331E">
        <w:t>Unfunded Mandates Reform Act Analysis</w:t>
      </w:r>
    </w:p>
    <w:p w:rsidR="00A33F2B" w:rsidRPr="0073331E" w:rsidP="00A33F2B" w14:paraId="0B2B1704" w14:textId="77777777">
      <w:pPr>
        <w:rPr>
          <w:lang w:eastAsia="ja-JP"/>
        </w:rPr>
      </w:pPr>
    </w:p>
    <w:p w:rsidR="00A33F2B" w:rsidRPr="0073331E" w:rsidP="00A33F2B" w14:paraId="0F1EAB4E" w14:textId="77777777">
      <w:pPr>
        <w:rPr>
          <w:lang w:eastAsia="ja-JP"/>
        </w:rPr>
      </w:pPr>
    </w:p>
    <w:p w:rsidR="00A33F2B" w:rsidRPr="0073331E" w:rsidP="00A33F2B" w14:paraId="269E8151" w14:textId="77777777">
      <w:pPr>
        <w:rPr>
          <w:lang w:eastAsia="ja-JP"/>
        </w:rPr>
      </w:pPr>
    </w:p>
    <w:p w:rsidR="00A33F2B" w:rsidRPr="0073331E" w:rsidP="00A33F2B" w14:paraId="29D3B9D3" w14:textId="77777777">
      <w:pPr>
        <w:rPr>
          <w:lang w:eastAsia="ja-JP"/>
        </w:rPr>
      </w:pPr>
    </w:p>
    <w:p w:rsidR="00A33F2B" w:rsidRPr="0073331E" w:rsidP="00A33F2B" w14:paraId="3A8C8C60" w14:textId="77777777">
      <w:pPr>
        <w:rPr>
          <w:lang w:eastAsia="ja-JP"/>
        </w:rPr>
      </w:pPr>
    </w:p>
    <w:p w:rsidR="00A33F2B" w:rsidRPr="0073331E" w:rsidP="00A33F2B" w14:paraId="3CF2059C" w14:textId="77777777">
      <w:pPr>
        <w:pStyle w:val="TitlePage4"/>
      </w:pPr>
      <w:r w:rsidRPr="0073331E">
        <w:t>Economics Staff</w:t>
      </w:r>
    </w:p>
    <w:p w:rsidR="00A33F2B" w:rsidRPr="0073331E" w:rsidP="00A33F2B" w14:paraId="2BCDF722" w14:textId="77777777">
      <w:pPr>
        <w:pStyle w:val="TitlePage4"/>
      </w:pPr>
      <w:r w:rsidRPr="0073331E">
        <w:t>Office of Economics and Analysis</w:t>
      </w:r>
    </w:p>
    <w:p w:rsidR="00A33F2B" w:rsidRPr="0073331E" w:rsidP="00A33F2B" w14:paraId="178E9571" w14:textId="77777777">
      <w:pPr>
        <w:pStyle w:val="TitlePage4"/>
      </w:pPr>
      <w:r w:rsidRPr="0073331E">
        <w:t>Office of Policy, Legislation, and International Affairs</w:t>
      </w:r>
    </w:p>
    <w:p w:rsidR="00A33F2B" w:rsidRPr="0073331E" w:rsidP="00A33F2B" w14:paraId="5407CB78" w14:textId="77777777">
      <w:pPr>
        <w:pStyle w:val="TitlePage4"/>
      </w:pPr>
      <w:r w:rsidRPr="0073331E">
        <w:t>Office of the Commissioner</w:t>
      </w:r>
    </w:p>
    <w:p w:rsidR="00514711" w:rsidP="00026F9A" w14:paraId="770B0AC3" w14:textId="49907F81">
      <w:pPr>
        <w:spacing w:line="276" w:lineRule="auto"/>
      </w:pPr>
    </w:p>
    <w:p w:rsidR="00631D1A" w:rsidP="00026F9A" w14:paraId="30A4FDC2" w14:textId="77777777">
      <w:pPr>
        <w:pStyle w:val="TableofContentsTitle"/>
      </w:pPr>
      <w:r>
        <w:t>Executive Summary</w:t>
      </w:r>
    </w:p>
    <w:p w:rsidR="00631D1A" w:rsidP="00026F9A" w14:paraId="44A7CE7F" w14:textId="77777777">
      <w:pPr>
        <w:pStyle w:val="TableofContentsTitle"/>
      </w:pPr>
    </w:p>
    <w:p w:rsidR="004D1F88" w:rsidP="00026F9A" w14:paraId="68CAC8C7" w14:textId="0B18971A">
      <w:pPr>
        <w:spacing w:line="276" w:lineRule="auto"/>
        <w:ind w:firstLine="720"/>
      </w:pPr>
      <w:r w:rsidRPr="00687AD6">
        <w:rPr>
          <w:color w:val="333333"/>
          <w:shd w:val="clear" w:color="auto" w:fill="FFFFFF"/>
        </w:rPr>
        <w:t xml:space="preserve">The </w:t>
      </w:r>
      <w:r w:rsidR="00017937">
        <w:rPr>
          <w:color w:val="333333"/>
          <w:shd w:val="clear" w:color="auto" w:fill="FFFFFF"/>
        </w:rPr>
        <w:t>final rule</w:t>
      </w:r>
      <w:r w:rsidRPr="00687AD6">
        <w:rPr>
          <w:color w:val="333333"/>
          <w:shd w:val="clear" w:color="auto" w:fill="FFFFFF"/>
        </w:rPr>
        <w:t xml:space="preserve"> replace</w:t>
      </w:r>
      <w:r w:rsidRPr="4C69975C" w:rsidR="00CD735E">
        <w:rPr>
          <w:color w:val="333333"/>
        </w:rPr>
        <w:t>s</w:t>
      </w:r>
      <w:r w:rsidRPr="00687AD6">
        <w:rPr>
          <w:color w:val="333333"/>
          <w:shd w:val="clear" w:color="auto" w:fill="FFFFFF"/>
        </w:rPr>
        <w:t xml:space="preserve"> the </w:t>
      </w:r>
      <w:r w:rsidRPr="4C69975C" w:rsidR="001F3643">
        <w:rPr>
          <w:color w:val="333333"/>
        </w:rPr>
        <w:t>microbial water quality criteria and</w:t>
      </w:r>
      <w:r w:rsidRPr="00687AD6">
        <w:rPr>
          <w:color w:val="333333"/>
          <w:shd w:val="clear" w:color="auto" w:fill="FFFFFF"/>
        </w:rPr>
        <w:t xml:space="preserve"> </w:t>
      </w:r>
      <w:r w:rsidR="00460EC7">
        <w:rPr>
          <w:color w:val="333333"/>
          <w:shd w:val="clear" w:color="auto" w:fill="FFFFFF"/>
        </w:rPr>
        <w:t>uniform</w:t>
      </w:r>
      <w:r w:rsidR="00003DFC">
        <w:rPr>
          <w:color w:val="333333"/>
          <w:shd w:val="clear" w:color="auto" w:fill="FFFFFF"/>
        </w:rPr>
        <w:t xml:space="preserve"> </w:t>
      </w:r>
      <w:r w:rsidRPr="00687AD6">
        <w:rPr>
          <w:color w:val="333333"/>
          <w:shd w:val="clear" w:color="auto" w:fill="FFFFFF"/>
        </w:rPr>
        <w:t xml:space="preserve">testing provisions for pre-harvest agricultural water used in direct application on non-sprout covered produce </w:t>
      </w:r>
      <w:r w:rsidR="00442E7D">
        <w:rPr>
          <w:color w:val="333333"/>
          <w:shd w:val="clear" w:color="auto" w:fill="FFFFFF"/>
        </w:rPr>
        <w:t xml:space="preserve">in the 2015 </w:t>
      </w:r>
      <w:r w:rsidR="0036141B">
        <w:rPr>
          <w:color w:val="333333"/>
          <w:shd w:val="clear" w:color="auto" w:fill="FFFFFF"/>
        </w:rPr>
        <w:t>p</w:t>
      </w:r>
      <w:r w:rsidR="00442E7D">
        <w:rPr>
          <w:color w:val="333333"/>
          <w:shd w:val="clear" w:color="auto" w:fill="FFFFFF"/>
        </w:rPr>
        <w:t xml:space="preserve">roduce </w:t>
      </w:r>
      <w:r w:rsidR="0036141B">
        <w:rPr>
          <w:color w:val="333333"/>
          <w:shd w:val="clear" w:color="auto" w:fill="FFFFFF"/>
        </w:rPr>
        <w:t>s</w:t>
      </w:r>
      <w:r w:rsidR="00442E7D">
        <w:rPr>
          <w:color w:val="333333"/>
          <w:shd w:val="clear" w:color="auto" w:fill="FFFFFF"/>
        </w:rPr>
        <w:t xml:space="preserve">afety </w:t>
      </w:r>
      <w:r w:rsidR="0036141B">
        <w:rPr>
          <w:color w:val="333333"/>
          <w:shd w:val="clear" w:color="auto" w:fill="FFFFFF"/>
        </w:rPr>
        <w:t>final r</w:t>
      </w:r>
      <w:r w:rsidR="00442E7D">
        <w:rPr>
          <w:color w:val="333333"/>
          <w:shd w:val="clear" w:color="auto" w:fill="FFFFFF"/>
        </w:rPr>
        <w:t xml:space="preserve">ule </w:t>
      </w:r>
      <w:r w:rsidRPr="00687AD6">
        <w:rPr>
          <w:color w:val="333333"/>
          <w:shd w:val="clear" w:color="auto" w:fill="FFFFFF"/>
        </w:rPr>
        <w:t>with provisions for annual pre-harvest agricultural water assessment</w:t>
      </w:r>
      <w:r w:rsidRPr="4C69975C" w:rsidR="00CD735E">
        <w:rPr>
          <w:color w:val="333333"/>
        </w:rPr>
        <w:t>s</w:t>
      </w:r>
      <w:r w:rsidRPr="00687AD6">
        <w:rPr>
          <w:color w:val="333333"/>
          <w:shd w:val="clear" w:color="auto" w:fill="FFFFFF"/>
        </w:rPr>
        <w:t xml:space="preserve"> in which farms using pre-harvest agricultural water for non-sprout covered produce will holistically evaluate potential hazards that may impact their water </w:t>
      </w:r>
      <w:r w:rsidRPr="4C69975C" w:rsidR="00A82BE0">
        <w:rPr>
          <w:color w:val="333333"/>
        </w:rPr>
        <w:t xml:space="preserve">systems </w:t>
      </w:r>
      <w:r w:rsidRPr="4C69975C" w:rsidR="00DD4DF0">
        <w:rPr>
          <w:color w:val="333333"/>
        </w:rPr>
        <w:t xml:space="preserve">and implement </w:t>
      </w:r>
      <w:r w:rsidRPr="4C69975C" w:rsidR="009A490A">
        <w:rPr>
          <w:color w:val="333333"/>
        </w:rPr>
        <w:t xml:space="preserve">risk-reduction measures </w:t>
      </w:r>
      <w:r w:rsidRPr="4C69975C" w:rsidR="008F174E">
        <w:rPr>
          <w:color w:val="333333"/>
        </w:rPr>
        <w:t xml:space="preserve">to </w:t>
      </w:r>
      <w:r w:rsidRPr="4C69975C" w:rsidR="0076156E">
        <w:rPr>
          <w:color w:val="333333"/>
        </w:rPr>
        <w:t>reduce the potential for contamination of covered produce or food contact surfaces</w:t>
      </w:r>
      <w:r w:rsidRPr="00687AD6">
        <w:rPr>
          <w:color w:val="333333"/>
          <w:shd w:val="clear" w:color="auto" w:fill="FFFFFF"/>
        </w:rPr>
        <w:t>.</w:t>
      </w:r>
      <w:r w:rsidR="000A73F2">
        <w:rPr>
          <w:color w:val="333333"/>
          <w:shd w:val="clear" w:color="auto" w:fill="FFFFFF"/>
        </w:rPr>
        <w:t xml:space="preserve"> </w:t>
      </w:r>
      <w:r w:rsidR="00C51F9A">
        <w:rPr>
          <w:color w:val="333333"/>
          <w:shd w:val="clear" w:color="auto" w:fill="FFFFFF"/>
        </w:rPr>
        <w:t>We analyz</w:t>
      </w:r>
      <w:r w:rsidR="00976833">
        <w:rPr>
          <w:color w:val="333333"/>
          <w:shd w:val="clear" w:color="auto" w:fill="FFFFFF"/>
        </w:rPr>
        <w:t xml:space="preserve">e the rule relative to a primary baseline of pre-harvest agricultural water </w:t>
      </w:r>
      <w:r w:rsidRPr="4C69975C" w:rsidR="004F11A7">
        <w:rPr>
          <w:color w:val="333333"/>
        </w:rPr>
        <w:t xml:space="preserve">microbial quality criteria and </w:t>
      </w:r>
      <w:r w:rsidR="00976833">
        <w:rPr>
          <w:color w:val="333333"/>
          <w:shd w:val="clear" w:color="auto" w:fill="FFFFFF"/>
        </w:rPr>
        <w:t>testing provisions</w:t>
      </w:r>
      <w:r w:rsidRPr="4C69975C" w:rsidR="00976833">
        <w:rPr>
          <w:color w:val="333333"/>
        </w:rPr>
        <w:t xml:space="preserve"> </w:t>
      </w:r>
      <w:r w:rsidRPr="4C69975C" w:rsidR="00AC48CA">
        <w:rPr>
          <w:color w:val="333333"/>
        </w:rPr>
        <w:t xml:space="preserve">in the 2015 </w:t>
      </w:r>
      <w:r w:rsidR="0036141B">
        <w:rPr>
          <w:color w:val="333333"/>
        </w:rPr>
        <w:t>p</w:t>
      </w:r>
      <w:r w:rsidRPr="4C69975C" w:rsidR="00AC48CA">
        <w:rPr>
          <w:color w:val="333333"/>
        </w:rPr>
        <w:t xml:space="preserve">roduce </w:t>
      </w:r>
      <w:r w:rsidR="0036141B">
        <w:rPr>
          <w:color w:val="333333"/>
        </w:rPr>
        <w:t>s</w:t>
      </w:r>
      <w:r w:rsidRPr="4C69975C" w:rsidR="00AC48CA">
        <w:rPr>
          <w:color w:val="333333"/>
        </w:rPr>
        <w:t xml:space="preserve">afety </w:t>
      </w:r>
      <w:r w:rsidR="0036141B">
        <w:rPr>
          <w:color w:val="333333"/>
        </w:rPr>
        <w:t>final r</w:t>
      </w:r>
      <w:r w:rsidRPr="4C69975C" w:rsidR="002D3193">
        <w:rPr>
          <w:color w:val="333333"/>
        </w:rPr>
        <w:t>ule</w:t>
      </w:r>
      <w:r w:rsidR="00976833">
        <w:rPr>
          <w:color w:val="333333"/>
          <w:shd w:val="clear" w:color="auto" w:fill="FFFFFF"/>
        </w:rPr>
        <w:t xml:space="preserve"> and relative to </w:t>
      </w:r>
      <w:r w:rsidR="00E2705B">
        <w:rPr>
          <w:color w:val="333333"/>
          <w:shd w:val="clear" w:color="auto" w:fill="FFFFFF"/>
        </w:rPr>
        <w:t xml:space="preserve">an alternate baseline of no pre-harvest agricultural water provisions. </w:t>
      </w:r>
      <w:r w:rsidRPr="00017937" w:rsidR="00631D1A">
        <w:rPr>
          <w:color w:val="333333"/>
          <w:shd w:val="clear" w:color="auto" w:fill="FFFFFF"/>
        </w:rPr>
        <w:t xml:space="preserve">We quantify benefits to </w:t>
      </w:r>
      <w:r w:rsidRPr="00017937" w:rsidR="00567C93">
        <w:rPr>
          <w:color w:val="333333"/>
          <w:shd w:val="clear" w:color="auto" w:fill="FFFFFF"/>
        </w:rPr>
        <w:t>the public</w:t>
      </w:r>
      <w:r w:rsidRPr="00017937" w:rsidR="00631D1A">
        <w:rPr>
          <w:color w:val="333333"/>
          <w:shd w:val="clear" w:color="auto" w:fill="FFFFFF"/>
        </w:rPr>
        <w:t xml:space="preserve"> from</w:t>
      </w:r>
      <w:r w:rsidRPr="00017937" w:rsidR="00567C93">
        <w:rPr>
          <w:color w:val="333333"/>
          <w:shd w:val="clear" w:color="auto" w:fill="FFFFFF"/>
        </w:rPr>
        <w:t xml:space="preserve"> a reduction in foodborne illnesses</w:t>
      </w:r>
      <w:r w:rsidRPr="00017937" w:rsidR="00631D1A">
        <w:rPr>
          <w:color w:val="333333"/>
          <w:shd w:val="clear" w:color="auto" w:fill="FFFFFF"/>
        </w:rPr>
        <w:t xml:space="preserve">. Additional </w:t>
      </w:r>
      <w:r w:rsidR="00C2193A">
        <w:rPr>
          <w:color w:val="333333"/>
          <w:shd w:val="clear" w:color="auto" w:fill="FFFFFF"/>
        </w:rPr>
        <w:t>(non-quantified)</w:t>
      </w:r>
      <w:r w:rsidR="00F90E2C">
        <w:rPr>
          <w:color w:val="333333"/>
          <w:shd w:val="clear" w:color="auto" w:fill="FFFFFF"/>
        </w:rPr>
        <w:t xml:space="preserve"> </w:t>
      </w:r>
      <w:r w:rsidRPr="00017937" w:rsidR="00631D1A">
        <w:rPr>
          <w:color w:val="333333"/>
          <w:shd w:val="clear" w:color="auto" w:fill="FFFFFF"/>
        </w:rPr>
        <w:t>benefits include</w:t>
      </w:r>
      <w:r w:rsidR="00E15589">
        <w:rPr>
          <w:color w:val="333333"/>
          <w:shd w:val="clear" w:color="auto" w:fill="FFFFFF"/>
        </w:rPr>
        <w:t xml:space="preserve"> those related to recalls averted</w:t>
      </w:r>
      <w:r w:rsidRPr="00017937" w:rsidR="00631D1A">
        <w:rPr>
          <w:color w:val="333333"/>
          <w:shd w:val="clear" w:color="auto" w:fill="FFFFFF"/>
        </w:rPr>
        <w:t xml:space="preserve"> </w:t>
      </w:r>
      <w:r w:rsidRPr="00017937" w:rsidR="00D56799">
        <w:t>increased flexibility in comprehensively evaluating potential hazards associated with pre-harvest agricultural water</w:t>
      </w:r>
      <w:r w:rsidRPr="00017937" w:rsidR="00D56799">
        <w:rPr>
          <w:color w:val="333333"/>
          <w:shd w:val="clear" w:color="auto" w:fill="FFFFFF"/>
        </w:rPr>
        <w:t xml:space="preserve">. </w:t>
      </w:r>
      <w:r w:rsidRPr="00017937" w:rsidR="00631D1A">
        <w:rPr>
          <w:color w:val="333333"/>
          <w:shd w:val="clear" w:color="auto" w:fill="FFFFFF"/>
        </w:rPr>
        <w:t xml:space="preserve">We quantify costs to </w:t>
      </w:r>
      <w:r w:rsidRPr="00017937" w:rsidR="00D56799">
        <w:rPr>
          <w:color w:val="333333"/>
          <w:shd w:val="clear" w:color="auto" w:fill="FFFFFF"/>
        </w:rPr>
        <w:t>farms</w:t>
      </w:r>
      <w:r w:rsidRPr="00017937" w:rsidR="00631D1A">
        <w:rPr>
          <w:color w:val="333333"/>
          <w:shd w:val="clear" w:color="auto" w:fill="FFFFFF"/>
        </w:rPr>
        <w:t xml:space="preserve"> from </w:t>
      </w:r>
      <w:r w:rsidRPr="00017937" w:rsidR="00236005">
        <w:rPr>
          <w:color w:val="333333"/>
          <w:shd w:val="clear" w:color="auto" w:fill="FFFFFF"/>
        </w:rPr>
        <w:t>reading the rule, conducting pre-harvest agricultural water assessments, mitigation, and recordkeeping.</w:t>
      </w:r>
      <w:r w:rsidRPr="00017937" w:rsidR="00631D1A">
        <w:rPr>
          <w:color w:val="333333"/>
          <w:shd w:val="clear" w:color="auto" w:fill="FFFFFF"/>
        </w:rPr>
        <w:t xml:space="preserve"> We estimate that the annualized benefits over </w:t>
      </w:r>
      <w:r w:rsidRPr="00017937" w:rsidR="00236005">
        <w:rPr>
          <w:color w:val="333333"/>
          <w:shd w:val="clear" w:color="auto" w:fill="FFFFFF"/>
        </w:rPr>
        <w:t>10</w:t>
      </w:r>
      <w:r w:rsidRPr="00017937" w:rsidR="00631D1A">
        <w:rPr>
          <w:color w:val="333333"/>
          <w:shd w:val="clear" w:color="auto" w:fill="FFFFFF"/>
        </w:rPr>
        <w:t xml:space="preserve"> years </w:t>
      </w:r>
      <w:r w:rsidRPr="00017937" w:rsidR="00CF7392">
        <w:rPr>
          <w:color w:val="333333"/>
          <w:shd w:val="clear" w:color="auto" w:fill="FFFFFF"/>
        </w:rPr>
        <w:t xml:space="preserve">will </w:t>
      </w:r>
      <w:r w:rsidRPr="00017937" w:rsidR="00631D1A">
        <w:rPr>
          <w:color w:val="333333"/>
          <w:shd w:val="clear" w:color="auto" w:fill="FFFFFF"/>
        </w:rPr>
        <w:t>range from $</w:t>
      </w:r>
      <w:r w:rsidRPr="00017937" w:rsidR="007D6039">
        <w:rPr>
          <w:color w:val="333333"/>
          <w:shd w:val="clear" w:color="auto" w:fill="FFFFFF"/>
        </w:rPr>
        <w:t>-29.4</w:t>
      </w:r>
      <w:r w:rsidRPr="00017937" w:rsidR="00631D1A">
        <w:rPr>
          <w:color w:val="333333"/>
          <w:shd w:val="clear" w:color="auto" w:fill="FFFFFF"/>
        </w:rPr>
        <w:t xml:space="preserve"> </w:t>
      </w:r>
      <w:r w:rsidRPr="00017937" w:rsidR="007D6039">
        <w:rPr>
          <w:color w:val="333333"/>
          <w:shd w:val="clear" w:color="auto" w:fill="FFFFFF"/>
        </w:rPr>
        <w:t xml:space="preserve">million </w:t>
      </w:r>
      <w:r w:rsidRPr="00017937" w:rsidR="00631D1A">
        <w:rPr>
          <w:color w:val="333333"/>
          <w:shd w:val="clear" w:color="auto" w:fill="FFFFFF"/>
        </w:rPr>
        <w:t>to $</w:t>
      </w:r>
      <w:r w:rsidRPr="00017937" w:rsidR="007D6039">
        <w:rPr>
          <w:color w:val="333333"/>
          <w:shd w:val="clear" w:color="auto" w:fill="FFFFFF"/>
        </w:rPr>
        <w:t>5</w:t>
      </w:r>
      <w:r w:rsidR="007C18D7">
        <w:rPr>
          <w:color w:val="333333"/>
          <w:shd w:val="clear" w:color="auto" w:fill="FFFFFF"/>
        </w:rPr>
        <w:t>1.0</w:t>
      </w:r>
      <w:r w:rsidRPr="00017937" w:rsidR="007D6039">
        <w:rPr>
          <w:color w:val="333333"/>
          <w:shd w:val="clear" w:color="auto" w:fill="FFFFFF"/>
        </w:rPr>
        <w:t xml:space="preserve"> million</w:t>
      </w:r>
      <w:r w:rsidRPr="00017937" w:rsidR="00631D1A">
        <w:rPr>
          <w:color w:val="333333"/>
          <w:shd w:val="clear" w:color="auto" w:fill="FFFFFF"/>
        </w:rPr>
        <w:t xml:space="preserve"> at a 7 percent discount rate, with a primary estimate of $</w:t>
      </w:r>
      <w:r w:rsidR="007C18D7">
        <w:rPr>
          <w:color w:val="333333"/>
          <w:shd w:val="clear" w:color="auto" w:fill="FFFFFF"/>
        </w:rPr>
        <w:t>10.1</w:t>
      </w:r>
      <w:r w:rsidRPr="00017937" w:rsidR="007D6039">
        <w:rPr>
          <w:color w:val="333333"/>
          <w:shd w:val="clear" w:color="auto" w:fill="FFFFFF"/>
        </w:rPr>
        <w:t xml:space="preserve"> million</w:t>
      </w:r>
      <w:r w:rsidRPr="00017937" w:rsidR="00631D1A">
        <w:rPr>
          <w:color w:val="333333"/>
          <w:shd w:val="clear" w:color="auto" w:fill="FFFFFF"/>
        </w:rPr>
        <w:t>, and from $</w:t>
      </w:r>
      <w:r w:rsidRPr="00017937" w:rsidR="00284464">
        <w:rPr>
          <w:color w:val="333333"/>
          <w:shd w:val="clear" w:color="auto" w:fill="FFFFFF"/>
        </w:rPr>
        <w:t>-30.</w:t>
      </w:r>
      <w:r w:rsidR="007C18D7">
        <w:rPr>
          <w:color w:val="333333"/>
          <w:shd w:val="clear" w:color="auto" w:fill="FFFFFF"/>
        </w:rPr>
        <w:t>3</w:t>
      </w:r>
      <w:r w:rsidRPr="00017937" w:rsidR="00284464">
        <w:rPr>
          <w:color w:val="333333"/>
          <w:shd w:val="clear" w:color="auto" w:fill="FFFFFF"/>
        </w:rPr>
        <w:t xml:space="preserve"> million</w:t>
      </w:r>
      <w:r w:rsidRPr="00017937" w:rsidR="00631D1A">
        <w:rPr>
          <w:color w:val="333333"/>
          <w:shd w:val="clear" w:color="auto" w:fill="FFFFFF"/>
        </w:rPr>
        <w:t xml:space="preserve"> to $</w:t>
      </w:r>
      <w:r w:rsidRPr="00017937" w:rsidR="00284464">
        <w:rPr>
          <w:color w:val="333333"/>
          <w:shd w:val="clear" w:color="auto" w:fill="FFFFFF"/>
        </w:rPr>
        <w:t>52.</w:t>
      </w:r>
      <w:r w:rsidR="007C18D7">
        <w:rPr>
          <w:color w:val="333333"/>
          <w:shd w:val="clear" w:color="auto" w:fill="FFFFFF"/>
        </w:rPr>
        <w:t>4</w:t>
      </w:r>
      <w:r w:rsidRPr="00017937" w:rsidR="00284464">
        <w:rPr>
          <w:color w:val="333333"/>
          <w:shd w:val="clear" w:color="auto" w:fill="FFFFFF"/>
        </w:rPr>
        <w:t xml:space="preserve"> million</w:t>
      </w:r>
      <w:r w:rsidRPr="00017937" w:rsidR="00631D1A">
        <w:rPr>
          <w:color w:val="333333"/>
          <w:shd w:val="clear" w:color="auto" w:fill="FFFFFF"/>
        </w:rPr>
        <w:t xml:space="preserve"> at a 3 percent discount rate, with a primary estimate of $</w:t>
      </w:r>
      <w:r w:rsidR="007C18D7">
        <w:rPr>
          <w:color w:val="333333"/>
          <w:shd w:val="clear" w:color="auto" w:fill="FFFFFF"/>
        </w:rPr>
        <w:t>10.3</w:t>
      </w:r>
      <w:r w:rsidRPr="00017937" w:rsidR="00284464">
        <w:rPr>
          <w:color w:val="333333"/>
          <w:shd w:val="clear" w:color="auto" w:fill="FFFFFF"/>
        </w:rPr>
        <w:t xml:space="preserve"> million</w:t>
      </w:r>
      <w:r w:rsidRPr="00017937" w:rsidR="00631D1A">
        <w:rPr>
          <w:color w:val="333333"/>
          <w:shd w:val="clear" w:color="auto" w:fill="FFFFFF"/>
        </w:rPr>
        <w:t xml:space="preserve">. The annualized costs </w:t>
      </w:r>
      <w:r w:rsidRPr="00017937" w:rsidR="00CF7392">
        <w:rPr>
          <w:color w:val="333333"/>
          <w:shd w:val="clear" w:color="auto" w:fill="FFFFFF"/>
        </w:rPr>
        <w:t xml:space="preserve">will </w:t>
      </w:r>
      <w:r w:rsidRPr="00017937" w:rsidR="00631D1A">
        <w:rPr>
          <w:color w:val="333333"/>
          <w:shd w:val="clear" w:color="auto" w:fill="FFFFFF"/>
        </w:rPr>
        <w:t>range from $</w:t>
      </w:r>
      <w:r w:rsidRPr="00017937" w:rsidR="00017937">
        <w:rPr>
          <w:color w:val="333333"/>
          <w:shd w:val="clear" w:color="auto" w:fill="FFFFFF"/>
        </w:rPr>
        <w:t>6.</w:t>
      </w:r>
      <w:r w:rsidR="0037648D">
        <w:rPr>
          <w:color w:val="333333"/>
          <w:shd w:val="clear" w:color="auto" w:fill="FFFFFF"/>
        </w:rPr>
        <w:t>7</w:t>
      </w:r>
      <w:r w:rsidRPr="00017937" w:rsidR="00017937">
        <w:rPr>
          <w:color w:val="333333"/>
          <w:shd w:val="clear" w:color="auto" w:fill="FFFFFF"/>
        </w:rPr>
        <w:t xml:space="preserve"> million</w:t>
      </w:r>
      <w:r w:rsidRPr="00017937" w:rsidR="00631D1A">
        <w:rPr>
          <w:color w:val="333333"/>
          <w:shd w:val="clear" w:color="auto" w:fill="FFFFFF"/>
        </w:rPr>
        <w:t xml:space="preserve"> to $</w:t>
      </w:r>
      <w:r w:rsidRPr="00017937" w:rsidR="00017937">
        <w:rPr>
          <w:color w:val="333333"/>
          <w:shd w:val="clear" w:color="auto" w:fill="FFFFFF"/>
        </w:rPr>
        <w:t>2</w:t>
      </w:r>
      <w:r w:rsidR="0037648D">
        <w:rPr>
          <w:color w:val="333333"/>
          <w:shd w:val="clear" w:color="auto" w:fill="FFFFFF"/>
        </w:rPr>
        <w:t>6.0</w:t>
      </w:r>
      <w:r w:rsidRPr="00017937" w:rsidR="00017937">
        <w:rPr>
          <w:color w:val="333333"/>
          <w:shd w:val="clear" w:color="auto" w:fill="FFFFFF"/>
        </w:rPr>
        <w:t xml:space="preserve"> million</w:t>
      </w:r>
      <w:r w:rsidRPr="00017937" w:rsidR="00631D1A">
        <w:rPr>
          <w:color w:val="333333"/>
          <w:shd w:val="clear" w:color="auto" w:fill="FFFFFF"/>
        </w:rPr>
        <w:t xml:space="preserve"> at a 7 percent discount rate, with a primary estimate of </w:t>
      </w:r>
      <w:r w:rsidRPr="00017937" w:rsidR="00017937">
        <w:rPr>
          <w:color w:val="333333"/>
          <w:shd w:val="clear" w:color="auto" w:fill="FFFFFF"/>
        </w:rPr>
        <w:t>$</w:t>
      </w:r>
      <w:r w:rsidR="00ED5CA6">
        <w:rPr>
          <w:color w:val="333333"/>
          <w:shd w:val="clear" w:color="auto" w:fill="FFFFFF"/>
        </w:rPr>
        <w:t>17.7</w:t>
      </w:r>
      <w:r w:rsidRPr="00017937" w:rsidR="00017937">
        <w:rPr>
          <w:color w:val="333333"/>
          <w:shd w:val="clear" w:color="auto" w:fill="FFFFFF"/>
        </w:rPr>
        <w:t xml:space="preserve"> million</w:t>
      </w:r>
      <w:r w:rsidRPr="00017937" w:rsidR="00631D1A">
        <w:rPr>
          <w:color w:val="333333"/>
          <w:shd w:val="clear" w:color="auto" w:fill="FFFFFF"/>
        </w:rPr>
        <w:t>, and from $</w:t>
      </w:r>
      <w:r w:rsidR="00ED5CA6">
        <w:rPr>
          <w:color w:val="333333"/>
          <w:shd w:val="clear" w:color="auto" w:fill="FFFFFF"/>
        </w:rPr>
        <w:t>6.8</w:t>
      </w:r>
      <w:r w:rsidRPr="00017937" w:rsidR="00017937">
        <w:rPr>
          <w:color w:val="333333"/>
          <w:shd w:val="clear" w:color="auto" w:fill="FFFFFF"/>
        </w:rPr>
        <w:t xml:space="preserve"> million</w:t>
      </w:r>
      <w:r w:rsidRPr="00017937" w:rsidR="00631D1A">
        <w:rPr>
          <w:color w:val="333333"/>
          <w:shd w:val="clear" w:color="auto" w:fill="FFFFFF"/>
        </w:rPr>
        <w:t xml:space="preserve"> to $</w:t>
      </w:r>
      <w:r w:rsidRPr="00017937" w:rsidR="00017937">
        <w:rPr>
          <w:color w:val="333333"/>
          <w:shd w:val="clear" w:color="auto" w:fill="FFFFFF"/>
        </w:rPr>
        <w:t>25.</w:t>
      </w:r>
      <w:r w:rsidR="00ED5CA6">
        <w:rPr>
          <w:color w:val="333333"/>
          <w:shd w:val="clear" w:color="auto" w:fill="FFFFFF"/>
        </w:rPr>
        <w:t>6</w:t>
      </w:r>
      <w:r w:rsidRPr="00017937" w:rsidR="00017937">
        <w:rPr>
          <w:color w:val="333333"/>
          <w:shd w:val="clear" w:color="auto" w:fill="FFFFFF"/>
        </w:rPr>
        <w:t xml:space="preserve"> million</w:t>
      </w:r>
      <w:r w:rsidRPr="00017937" w:rsidR="00631D1A">
        <w:rPr>
          <w:color w:val="333333"/>
          <w:shd w:val="clear" w:color="auto" w:fill="FFFFFF"/>
        </w:rPr>
        <w:t xml:space="preserve"> at a 3 percent discount rate, with a primary estimate of $</w:t>
      </w:r>
      <w:r w:rsidRPr="00017937" w:rsidR="00017937">
        <w:rPr>
          <w:color w:val="333333"/>
          <w:shd w:val="clear" w:color="auto" w:fill="FFFFFF"/>
        </w:rPr>
        <w:t>1</w:t>
      </w:r>
      <w:r w:rsidR="00ED5CA6">
        <w:rPr>
          <w:color w:val="333333"/>
          <w:shd w:val="clear" w:color="auto" w:fill="FFFFFF"/>
        </w:rPr>
        <w:t>7.5</w:t>
      </w:r>
      <w:r w:rsidRPr="00017937" w:rsidR="00017937">
        <w:rPr>
          <w:color w:val="333333"/>
          <w:shd w:val="clear" w:color="auto" w:fill="FFFFFF"/>
        </w:rPr>
        <w:t xml:space="preserve"> million</w:t>
      </w:r>
      <w:r w:rsidRPr="00017937" w:rsidR="00631D1A">
        <w:rPr>
          <w:color w:val="333333"/>
          <w:shd w:val="clear" w:color="auto" w:fill="FFFFFF"/>
        </w:rPr>
        <w:t>.</w:t>
      </w:r>
    </w:p>
    <w:p w:rsidR="004D1F88" w:rsidRPr="0073331E" w:rsidP="00026F9A" w14:paraId="110ECB2C" w14:textId="3F94B091">
      <w:pPr>
        <w:spacing w:line="276" w:lineRule="auto"/>
      </w:pPr>
      <w:r>
        <w:br w:type="page"/>
      </w:r>
    </w:p>
    <w:p w:rsidR="00514711" w:rsidRPr="0073331E" w:rsidP="00026F9A" w14:paraId="7DA8DFE9" w14:textId="77777777">
      <w:pPr>
        <w:pStyle w:val="TableofContentsTitle"/>
      </w:pPr>
      <w:r w:rsidRPr="0073331E">
        <w:t>Table of Contents</w:t>
      </w:r>
    </w:p>
    <w:sdt>
      <w:sdtPr>
        <w:id w:val="67783463"/>
        <w:docPartObj>
          <w:docPartGallery w:val="Table of Contents"/>
          <w:docPartUnique/>
        </w:docPartObj>
      </w:sdtPr>
      <w:sdtEndPr>
        <w:rPr>
          <w:noProof/>
        </w:rPr>
      </w:sdtEndPr>
      <w:sdtContent>
        <w:p w:rsidR="00026F9A" w:rsidP="00535721" w14:paraId="6C9E9E91" w14:textId="40BD8184">
          <w:pPr>
            <w:pStyle w:val="TOC1"/>
            <w:rPr>
              <w:rFonts w:asciiTheme="minorHAnsi" w:eastAsiaTheme="minorEastAsia" w:hAnsiTheme="minorHAnsi" w:cstheme="minorBidi"/>
              <w:noProof/>
              <w:sz w:val="22"/>
              <w:szCs w:val="22"/>
            </w:rPr>
          </w:pPr>
          <w:r w:rsidRPr="0073331E">
            <w:fldChar w:fldCharType="begin"/>
          </w:r>
          <w:r w:rsidRPr="0073331E">
            <w:instrText xml:space="preserve"> TOC \o "1-3" \h \z \u </w:instrText>
          </w:r>
          <w:r w:rsidRPr="0073331E">
            <w:fldChar w:fldCharType="separate"/>
          </w:r>
          <w:hyperlink w:anchor="_Toc139642981" w:history="1">
            <w:r w:rsidRPr="00E147F5">
              <w:rPr>
                <w:rStyle w:val="Hyperlink"/>
                <w:noProof/>
              </w:rPr>
              <w:t>I.</w:t>
            </w:r>
            <w:r>
              <w:rPr>
                <w:rFonts w:asciiTheme="minorHAnsi" w:eastAsiaTheme="minorEastAsia" w:hAnsiTheme="minorHAnsi" w:cstheme="minorBidi"/>
                <w:noProof/>
                <w:sz w:val="22"/>
                <w:szCs w:val="22"/>
              </w:rPr>
              <w:tab/>
            </w:r>
            <w:r w:rsidRPr="00E147F5">
              <w:rPr>
                <w:rStyle w:val="Hyperlink"/>
                <w:noProof/>
              </w:rPr>
              <w:t>Introduction and Summary</w:t>
            </w:r>
            <w:r>
              <w:rPr>
                <w:noProof/>
                <w:webHidden/>
              </w:rPr>
              <w:tab/>
            </w:r>
            <w:r>
              <w:rPr>
                <w:noProof/>
                <w:webHidden/>
              </w:rPr>
              <w:fldChar w:fldCharType="begin"/>
            </w:r>
            <w:r>
              <w:rPr>
                <w:noProof/>
                <w:webHidden/>
              </w:rPr>
              <w:instrText xml:space="preserve"> PAGEREF _Toc139642981 \h </w:instrText>
            </w:r>
            <w:r>
              <w:rPr>
                <w:noProof/>
                <w:webHidden/>
              </w:rPr>
              <w:fldChar w:fldCharType="separate"/>
            </w:r>
            <w:r w:rsidR="00D263BB">
              <w:rPr>
                <w:noProof/>
                <w:webHidden/>
              </w:rPr>
              <w:t>4</w:t>
            </w:r>
            <w:r>
              <w:rPr>
                <w:noProof/>
                <w:webHidden/>
              </w:rPr>
              <w:fldChar w:fldCharType="end"/>
            </w:r>
          </w:hyperlink>
        </w:p>
        <w:p w:rsidR="00026F9A" w:rsidP="00026F9A" w14:paraId="1C361737" w14:textId="4B25E2A7">
          <w:pPr>
            <w:pStyle w:val="TOC2"/>
            <w:rPr>
              <w:rFonts w:asciiTheme="minorHAnsi" w:eastAsiaTheme="minorEastAsia" w:hAnsiTheme="minorHAnsi" w:cstheme="minorBidi"/>
              <w:noProof/>
              <w:sz w:val="22"/>
              <w:szCs w:val="22"/>
            </w:rPr>
          </w:pPr>
          <w:hyperlink w:anchor="_Toc139642982" w:history="1">
            <w:r w:rsidRPr="00E147F5" w:rsidR="00BE0F7B">
              <w:rPr>
                <w:rStyle w:val="Hyperlink"/>
                <w:noProof/>
              </w:rPr>
              <w:t>A.</w:t>
            </w:r>
            <w:r w:rsidR="00BE0F7B">
              <w:rPr>
                <w:rFonts w:asciiTheme="minorHAnsi" w:eastAsiaTheme="minorEastAsia" w:hAnsiTheme="minorHAnsi" w:cstheme="minorBidi"/>
                <w:noProof/>
                <w:sz w:val="22"/>
                <w:szCs w:val="22"/>
              </w:rPr>
              <w:tab/>
            </w:r>
            <w:r w:rsidRPr="00E147F5" w:rsidR="00BE0F7B">
              <w:rPr>
                <w:rStyle w:val="Hyperlink"/>
                <w:noProof/>
              </w:rPr>
              <w:t>Introduction</w:t>
            </w:r>
            <w:r w:rsidR="00BE0F7B">
              <w:rPr>
                <w:noProof/>
                <w:webHidden/>
              </w:rPr>
              <w:tab/>
            </w:r>
            <w:r w:rsidR="00BE0F7B">
              <w:rPr>
                <w:noProof/>
                <w:webHidden/>
              </w:rPr>
              <w:fldChar w:fldCharType="begin"/>
            </w:r>
            <w:r w:rsidR="00BE0F7B">
              <w:rPr>
                <w:noProof/>
                <w:webHidden/>
              </w:rPr>
              <w:instrText xml:space="preserve"> PAGEREF _Toc139642982 \h </w:instrText>
            </w:r>
            <w:r w:rsidR="00BE0F7B">
              <w:rPr>
                <w:noProof/>
                <w:webHidden/>
              </w:rPr>
              <w:fldChar w:fldCharType="separate"/>
            </w:r>
            <w:r w:rsidR="00D263BB">
              <w:rPr>
                <w:noProof/>
                <w:webHidden/>
              </w:rPr>
              <w:t>4</w:t>
            </w:r>
            <w:r w:rsidR="00BE0F7B">
              <w:rPr>
                <w:noProof/>
                <w:webHidden/>
              </w:rPr>
              <w:fldChar w:fldCharType="end"/>
            </w:r>
          </w:hyperlink>
        </w:p>
        <w:p w:rsidR="00026F9A" w:rsidP="00026F9A" w14:paraId="62255A3E" w14:textId="016F7911">
          <w:pPr>
            <w:pStyle w:val="TOC2"/>
            <w:rPr>
              <w:rFonts w:asciiTheme="minorHAnsi" w:eastAsiaTheme="minorEastAsia" w:hAnsiTheme="minorHAnsi" w:cstheme="minorBidi"/>
              <w:noProof/>
              <w:sz w:val="22"/>
              <w:szCs w:val="22"/>
            </w:rPr>
          </w:pPr>
          <w:hyperlink w:anchor="_Toc139642983" w:history="1">
            <w:r w:rsidRPr="00E147F5" w:rsidR="00BE0F7B">
              <w:rPr>
                <w:rStyle w:val="Hyperlink"/>
                <w:noProof/>
              </w:rPr>
              <w:t>B.</w:t>
            </w:r>
            <w:r w:rsidR="00BE0F7B">
              <w:rPr>
                <w:rFonts w:asciiTheme="minorHAnsi" w:eastAsiaTheme="minorEastAsia" w:hAnsiTheme="minorHAnsi" w:cstheme="minorBidi"/>
                <w:noProof/>
                <w:sz w:val="22"/>
                <w:szCs w:val="22"/>
              </w:rPr>
              <w:tab/>
            </w:r>
            <w:r w:rsidRPr="00E147F5" w:rsidR="00BE0F7B">
              <w:rPr>
                <w:rStyle w:val="Hyperlink"/>
                <w:noProof/>
              </w:rPr>
              <w:t>Summary of Benefits, Costs, and Transfers</w:t>
            </w:r>
            <w:r w:rsidR="00BE0F7B">
              <w:rPr>
                <w:noProof/>
                <w:webHidden/>
              </w:rPr>
              <w:tab/>
            </w:r>
            <w:r w:rsidR="00BE0F7B">
              <w:rPr>
                <w:noProof/>
                <w:webHidden/>
              </w:rPr>
              <w:fldChar w:fldCharType="begin"/>
            </w:r>
            <w:r w:rsidR="00BE0F7B">
              <w:rPr>
                <w:noProof/>
                <w:webHidden/>
              </w:rPr>
              <w:instrText xml:space="preserve"> PAGEREF _Toc139642983 \h </w:instrText>
            </w:r>
            <w:r w:rsidR="00BE0F7B">
              <w:rPr>
                <w:noProof/>
                <w:webHidden/>
              </w:rPr>
              <w:fldChar w:fldCharType="separate"/>
            </w:r>
            <w:r w:rsidR="00D263BB">
              <w:rPr>
                <w:noProof/>
                <w:webHidden/>
              </w:rPr>
              <w:t>5</w:t>
            </w:r>
            <w:r w:rsidR="00BE0F7B">
              <w:rPr>
                <w:noProof/>
                <w:webHidden/>
              </w:rPr>
              <w:fldChar w:fldCharType="end"/>
            </w:r>
          </w:hyperlink>
        </w:p>
        <w:p w:rsidR="00026F9A" w:rsidP="00026F9A" w14:paraId="4E03DE61" w14:textId="0B41CCE0">
          <w:pPr>
            <w:pStyle w:val="TOC2"/>
            <w:rPr>
              <w:rFonts w:asciiTheme="minorHAnsi" w:eastAsiaTheme="minorEastAsia" w:hAnsiTheme="minorHAnsi" w:cstheme="minorBidi"/>
              <w:noProof/>
              <w:sz w:val="22"/>
              <w:szCs w:val="22"/>
            </w:rPr>
          </w:pPr>
          <w:hyperlink w:anchor="_Toc139642984" w:history="1">
            <w:r w:rsidRPr="00E147F5" w:rsidR="00BE0F7B">
              <w:rPr>
                <w:rStyle w:val="Hyperlink"/>
                <w:noProof/>
              </w:rPr>
              <w:t>C.</w:t>
            </w:r>
            <w:r w:rsidR="00BE0F7B">
              <w:rPr>
                <w:rFonts w:asciiTheme="minorHAnsi" w:eastAsiaTheme="minorEastAsia" w:hAnsiTheme="minorHAnsi" w:cstheme="minorBidi"/>
                <w:noProof/>
                <w:sz w:val="22"/>
                <w:szCs w:val="22"/>
              </w:rPr>
              <w:tab/>
            </w:r>
            <w:r w:rsidRPr="00E147F5" w:rsidR="00BE0F7B">
              <w:rPr>
                <w:rStyle w:val="Hyperlink"/>
                <w:noProof/>
              </w:rPr>
              <w:t>Comments on the Preliminary Economic Analysis of Impacts and Our Responses</w:t>
            </w:r>
            <w:r w:rsidR="00BE0F7B">
              <w:rPr>
                <w:noProof/>
                <w:webHidden/>
              </w:rPr>
              <w:tab/>
            </w:r>
            <w:r w:rsidR="00BE0F7B">
              <w:rPr>
                <w:noProof/>
                <w:webHidden/>
              </w:rPr>
              <w:fldChar w:fldCharType="begin"/>
            </w:r>
            <w:r w:rsidR="00BE0F7B">
              <w:rPr>
                <w:noProof/>
                <w:webHidden/>
              </w:rPr>
              <w:instrText xml:space="preserve"> PAGEREF _Toc139642984 \h </w:instrText>
            </w:r>
            <w:r w:rsidR="00BE0F7B">
              <w:rPr>
                <w:noProof/>
                <w:webHidden/>
              </w:rPr>
              <w:fldChar w:fldCharType="separate"/>
            </w:r>
            <w:r w:rsidR="00D263BB">
              <w:rPr>
                <w:noProof/>
                <w:webHidden/>
              </w:rPr>
              <w:t>8</w:t>
            </w:r>
            <w:r w:rsidR="00BE0F7B">
              <w:rPr>
                <w:noProof/>
                <w:webHidden/>
              </w:rPr>
              <w:fldChar w:fldCharType="end"/>
            </w:r>
          </w:hyperlink>
        </w:p>
        <w:p w:rsidR="00026F9A" w:rsidP="00026F9A" w14:paraId="0577119F" w14:textId="4F72D1BD">
          <w:pPr>
            <w:pStyle w:val="TOC2"/>
            <w:rPr>
              <w:rFonts w:asciiTheme="minorHAnsi" w:eastAsiaTheme="minorEastAsia" w:hAnsiTheme="minorHAnsi" w:cstheme="minorBidi"/>
              <w:noProof/>
              <w:sz w:val="22"/>
              <w:szCs w:val="22"/>
            </w:rPr>
          </w:pPr>
          <w:hyperlink w:anchor="_Toc139642985" w:history="1">
            <w:r w:rsidRPr="00E147F5" w:rsidR="00BE0F7B">
              <w:rPr>
                <w:rStyle w:val="Hyperlink"/>
                <w:noProof/>
              </w:rPr>
              <w:t>D.</w:t>
            </w:r>
            <w:r w:rsidR="00BE0F7B">
              <w:rPr>
                <w:rFonts w:asciiTheme="minorHAnsi" w:eastAsiaTheme="minorEastAsia" w:hAnsiTheme="minorHAnsi" w:cstheme="minorBidi"/>
                <w:noProof/>
                <w:sz w:val="22"/>
                <w:szCs w:val="22"/>
              </w:rPr>
              <w:tab/>
            </w:r>
            <w:r w:rsidRPr="00E147F5" w:rsidR="00BE0F7B">
              <w:rPr>
                <w:rStyle w:val="Hyperlink"/>
                <w:noProof/>
              </w:rPr>
              <w:t>Summary of Changes</w:t>
            </w:r>
            <w:r w:rsidR="00BE0F7B">
              <w:rPr>
                <w:noProof/>
                <w:webHidden/>
              </w:rPr>
              <w:tab/>
            </w:r>
            <w:r w:rsidR="00BE0F7B">
              <w:rPr>
                <w:noProof/>
                <w:webHidden/>
              </w:rPr>
              <w:fldChar w:fldCharType="begin"/>
            </w:r>
            <w:r w:rsidR="00BE0F7B">
              <w:rPr>
                <w:noProof/>
                <w:webHidden/>
              </w:rPr>
              <w:instrText xml:space="preserve"> PAGEREF _Toc139642985 \h </w:instrText>
            </w:r>
            <w:r w:rsidR="00BE0F7B">
              <w:rPr>
                <w:noProof/>
                <w:webHidden/>
              </w:rPr>
              <w:fldChar w:fldCharType="separate"/>
            </w:r>
            <w:r w:rsidR="00D263BB">
              <w:rPr>
                <w:noProof/>
                <w:webHidden/>
              </w:rPr>
              <w:t>19</w:t>
            </w:r>
            <w:r w:rsidR="00BE0F7B">
              <w:rPr>
                <w:noProof/>
                <w:webHidden/>
              </w:rPr>
              <w:fldChar w:fldCharType="end"/>
            </w:r>
          </w:hyperlink>
        </w:p>
        <w:p w:rsidR="00026F9A" w:rsidP="00535721" w14:paraId="43EBC732" w14:textId="1133548F">
          <w:pPr>
            <w:pStyle w:val="TOC1"/>
            <w:rPr>
              <w:rFonts w:asciiTheme="minorHAnsi" w:eastAsiaTheme="minorEastAsia" w:hAnsiTheme="minorHAnsi" w:cstheme="minorBidi"/>
              <w:noProof/>
              <w:sz w:val="22"/>
              <w:szCs w:val="22"/>
            </w:rPr>
          </w:pPr>
          <w:hyperlink w:anchor="_Toc139642986" w:history="1">
            <w:r w:rsidRPr="00E147F5" w:rsidR="00BE0F7B">
              <w:rPr>
                <w:rStyle w:val="Hyperlink"/>
                <w:noProof/>
              </w:rPr>
              <w:t>II.</w:t>
            </w:r>
            <w:r w:rsidR="00BE0F7B">
              <w:rPr>
                <w:rFonts w:asciiTheme="minorHAnsi" w:eastAsiaTheme="minorEastAsia" w:hAnsiTheme="minorHAnsi" w:cstheme="minorBidi"/>
                <w:noProof/>
                <w:sz w:val="22"/>
                <w:szCs w:val="22"/>
              </w:rPr>
              <w:tab/>
            </w:r>
            <w:r w:rsidRPr="00E147F5" w:rsidR="00BE0F7B">
              <w:rPr>
                <w:rStyle w:val="Hyperlink"/>
                <w:noProof/>
              </w:rPr>
              <w:t>Final Economic Analysis of Impacts</w:t>
            </w:r>
            <w:r w:rsidR="00BE0F7B">
              <w:rPr>
                <w:noProof/>
                <w:webHidden/>
              </w:rPr>
              <w:tab/>
            </w:r>
            <w:r w:rsidR="00BE0F7B">
              <w:rPr>
                <w:noProof/>
                <w:webHidden/>
              </w:rPr>
              <w:fldChar w:fldCharType="begin"/>
            </w:r>
            <w:r w:rsidR="00BE0F7B">
              <w:rPr>
                <w:noProof/>
                <w:webHidden/>
              </w:rPr>
              <w:instrText xml:space="preserve"> PAGEREF _Toc139642986 \h </w:instrText>
            </w:r>
            <w:r w:rsidR="00BE0F7B">
              <w:rPr>
                <w:noProof/>
                <w:webHidden/>
              </w:rPr>
              <w:fldChar w:fldCharType="separate"/>
            </w:r>
            <w:r w:rsidR="00D263BB">
              <w:rPr>
                <w:noProof/>
                <w:webHidden/>
              </w:rPr>
              <w:t>20</w:t>
            </w:r>
            <w:r w:rsidR="00BE0F7B">
              <w:rPr>
                <w:noProof/>
                <w:webHidden/>
              </w:rPr>
              <w:fldChar w:fldCharType="end"/>
            </w:r>
          </w:hyperlink>
        </w:p>
        <w:p w:rsidR="00026F9A" w:rsidP="00026F9A" w14:paraId="4745991D" w14:textId="31ACE357">
          <w:pPr>
            <w:pStyle w:val="TOC2"/>
            <w:rPr>
              <w:rFonts w:asciiTheme="minorHAnsi" w:eastAsiaTheme="minorEastAsia" w:hAnsiTheme="minorHAnsi" w:cstheme="minorBidi"/>
              <w:noProof/>
              <w:sz w:val="22"/>
              <w:szCs w:val="22"/>
            </w:rPr>
          </w:pPr>
          <w:hyperlink w:anchor="_Toc139642987" w:history="1">
            <w:r w:rsidRPr="00E147F5" w:rsidR="00BE0F7B">
              <w:rPr>
                <w:rStyle w:val="Hyperlink"/>
                <w:noProof/>
              </w:rPr>
              <w:t>A.</w:t>
            </w:r>
            <w:r w:rsidR="00BE0F7B">
              <w:rPr>
                <w:rFonts w:asciiTheme="minorHAnsi" w:eastAsiaTheme="minorEastAsia" w:hAnsiTheme="minorHAnsi" w:cstheme="minorBidi"/>
                <w:noProof/>
                <w:sz w:val="22"/>
                <w:szCs w:val="22"/>
              </w:rPr>
              <w:tab/>
            </w:r>
            <w:r w:rsidRPr="00E147F5" w:rsidR="00BE0F7B">
              <w:rPr>
                <w:rStyle w:val="Hyperlink"/>
                <w:noProof/>
              </w:rPr>
              <w:t>Background</w:t>
            </w:r>
            <w:r w:rsidR="00BE0F7B">
              <w:rPr>
                <w:noProof/>
                <w:webHidden/>
              </w:rPr>
              <w:tab/>
            </w:r>
            <w:r w:rsidR="00BE0F7B">
              <w:rPr>
                <w:noProof/>
                <w:webHidden/>
              </w:rPr>
              <w:fldChar w:fldCharType="begin"/>
            </w:r>
            <w:r w:rsidR="00BE0F7B">
              <w:rPr>
                <w:noProof/>
                <w:webHidden/>
              </w:rPr>
              <w:instrText xml:space="preserve"> PAGEREF _Toc139642987 \h </w:instrText>
            </w:r>
            <w:r w:rsidR="00BE0F7B">
              <w:rPr>
                <w:noProof/>
                <w:webHidden/>
              </w:rPr>
              <w:fldChar w:fldCharType="separate"/>
            </w:r>
            <w:r w:rsidR="00D263BB">
              <w:rPr>
                <w:noProof/>
                <w:webHidden/>
              </w:rPr>
              <w:t>22</w:t>
            </w:r>
            <w:r w:rsidR="00BE0F7B">
              <w:rPr>
                <w:noProof/>
                <w:webHidden/>
              </w:rPr>
              <w:fldChar w:fldCharType="end"/>
            </w:r>
          </w:hyperlink>
        </w:p>
        <w:p w:rsidR="00026F9A" w:rsidP="00026F9A" w14:paraId="540FC01B" w14:textId="35FA1E51">
          <w:pPr>
            <w:pStyle w:val="TOC2"/>
            <w:rPr>
              <w:rFonts w:asciiTheme="minorHAnsi" w:eastAsiaTheme="minorEastAsia" w:hAnsiTheme="minorHAnsi" w:cstheme="minorBidi"/>
              <w:noProof/>
              <w:sz w:val="22"/>
              <w:szCs w:val="22"/>
            </w:rPr>
          </w:pPr>
          <w:hyperlink w:anchor="_Toc139642988" w:history="1">
            <w:r w:rsidRPr="00E147F5" w:rsidR="00BE0F7B">
              <w:rPr>
                <w:rStyle w:val="Hyperlink"/>
                <w:noProof/>
              </w:rPr>
              <w:t>B.</w:t>
            </w:r>
            <w:r w:rsidR="00BE0F7B">
              <w:rPr>
                <w:rFonts w:asciiTheme="minorHAnsi" w:eastAsiaTheme="minorEastAsia" w:hAnsiTheme="minorHAnsi" w:cstheme="minorBidi"/>
                <w:noProof/>
                <w:sz w:val="22"/>
                <w:szCs w:val="22"/>
              </w:rPr>
              <w:tab/>
            </w:r>
            <w:r w:rsidRPr="00E147F5" w:rsidR="00BE0F7B">
              <w:rPr>
                <w:rStyle w:val="Hyperlink"/>
                <w:noProof/>
              </w:rPr>
              <w:t>Potential Need for Federal Regulatory Action</w:t>
            </w:r>
            <w:r w:rsidR="00BE0F7B">
              <w:rPr>
                <w:noProof/>
                <w:webHidden/>
              </w:rPr>
              <w:tab/>
            </w:r>
            <w:r w:rsidR="00BE0F7B">
              <w:rPr>
                <w:noProof/>
                <w:webHidden/>
              </w:rPr>
              <w:fldChar w:fldCharType="begin"/>
            </w:r>
            <w:r w:rsidR="00BE0F7B">
              <w:rPr>
                <w:noProof/>
                <w:webHidden/>
              </w:rPr>
              <w:instrText xml:space="preserve"> PAGEREF _Toc139642988 \h </w:instrText>
            </w:r>
            <w:r w:rsidR="00BE0F7B">
              <w:rPr>
                <w:noProof/>
                <w:webHidden/>
              </w:rPr>
              <w:fldChar w:fldCharType="separate"/>
            </w:r>
            <w:r w:rsidR="00D263BB">
              <w:rPr>
                <w:noProof/>
                <w:webHidden/>
              </w:rPr>
              <w:t>25</w:t>
            </w:r>
            <w:r w:rsidR="00BE0F7B">
              <w:rPr>
                <w:noProof/>
                <w:webHidden/>
              </w:rPr>
              <w:fldChar w:fldCharType="end"/>
            </w:r>
          </w:hyperlink>
        </w:p>
        <w:p w:rsidR="00026F9A" w:rsidP="00026F9A" w14:paraId="7B49AC17" w14:textId="34E53BAC">
          <w:pPr>
            <w:pStyle w:val="TOC2"/>
            <w:rPr>
              <w:rFonts w:asciiTheme="minorHAnsi" w:eastAsiaTheme="minorEastAsia" w:hAnsiTheme="minorHAnsi" w:cstheme="minorBidi"/>
              <w:noProof/>
              <w:sz w:val="22"/>
              <w:szCs w:val="22"/>
            </w:rPr>
          </w:pPr>
          <w:hyperlink w:anchor="_Toc139642989" w:history="1">
            <w:r w:rsidRPr="00E147F5" w:rsidR="00BE0F7B">
              <w:rPr>
                <w:rStyle w:val="Hyperlink"/>
                <w:noProof/>
              </w:rPr>
              <w:t>C.</w:t>
            </w:r>
            <w:r w:rsidR="00BE0F7B">
              <w:rPr>
                <w:rFonts w:asciiTheme="minorHAnsi" w:eastAsiaTheme="minorEastAsia" w:hAnsiTheme="minorHAnsi" w:cstheme="minorBidi"/>
                <w:noProof/>
                <w:sz w:val="22"/>
                <w:szCs w:val="22"/>
              </w:rPr>
              <w:tab/>
            </w:r>
            <w:r w:rsidRPr="00E147F5" w:rsidR="00BE0F7B">
              <w:rPr>
                <w:rStyle w:val="Hyperlink"/>
                <w:noProof/>
              </w:rPr>
              <w:t>Purpose of the Rule</w:t>
            </w:r>
            <w:r w:rsidR="00BE0F7B">
              <w:rPr>
                <w:noProof/>
                <w:webHidden/>
              </w:rPr>
              <w:tab/>
            </w:r>
            <w:r w:rsidR="00BE0F7B">
              <w:rPr>
                <w:noProof/>
                <w:webHidden/>
              </w:rPr>
              <w:fldChar w:fldCharType="begin"/>
            </w:r>
            <w:r w:rsidR="00BE0F7B">
              <w:rPr>
                <w:noProof/>
                <w:webHidden/>
              </w:rPr>
              <w:instrText xml:space="preserve"> PAGEREF _Toc139642989 \h </w:instrText>
            </w:r>
            <w:r w:rsidR="00BE0F7B">
              <w:rPr>
                <w:noProof/>
                <w:webHidden/>
              </w:rPr>
              <w:fldChar w:fldCharType="separate"/>
            </w:r>
            <w:r w:rsidR="00D263BB">
              <w:rPr>
                <w:noProof/>
                <w:webHidden/>
              </w:rPr>
              <w:t>26</w:t>
            </w:r>
            <w:r w:rsidR="00BE0F7B">
              <w:rPr>
                <w:noProof/>
                <w:webHidden/>
              </w:rPr>
              <w:fldChar w:fldCharType="end"/>
            </w:r>
          </w:hyperlink>
        </w:p>
        <w:p w:rsidR="00026F9A" w:rsidP="00026F9A" w14:paraId="545BD7DB" w14:textId="2EA006DF">
          <w:pPr>
            <w:pStyle w:val="TOC2"/>
            <w:rPr>
              <w:rFonts w:asciiTheme="minorHAnsi" w:eastAsiaTheme="minorEastAsia" w:hAnsiTheme="minorHAnsi" w:cstheme="minorBidi"/>
              <w:noProof/>
              <w:sz w:val="22"/>
              <w:szCs w:val="22"/>
            </w:rPr>
          </w:pPr>
          <w:hyperlink w:anchor="_Toc139642990" w:history="1">
            <w:r w:rsidRPr="00E147F5" w:rsidR="00BE0F7B">
              <w:rPr>
                <w:rStyle w:val="Hyperlink"/>
                <w:noProof/>
              </w:rPr>
              <w:t>D.</w:t>
            </w:r>
            <w:r w:rsidR="00BE0F7B">
              <w:rPr>
                <w:rFonts w:asciiTheme="minorHAnsi" w:eastAsiaTheme="minorEastAsia" w:hAnsiTheme="minorHAnsi" w:cstheme="minorBidi"/>
                <w:noProof/>
                <w:sz w:val="22"/>
                <w:szCs w:val="22"/>
              </w:rPr>
              <w:tab/>
            </w:r>
            <w:r w:rsidRPr="00E147F5" w:rsidR="00BE0F7B">
              <w:rPr>
                <w:rStyle w:val="Hyperlink"/>
                <w:noProof/>
              </w:rPr>
              <w:t>Baseline Conditions</w:t>
            </w:r>
            <w:r w:rsidR="00BE0F7B">
              <w:rPr>
                <w:noProof/>
                <w:webHidden/>
              </w:rPr>
              <w:tab/>
            </w:r>
            <w:r w:rsidR="00BE0F7B">
              <w:rPr>
                <w:noProof/>
                <w:webHidden/>
              </w:rPr>
              <w:fldChar w:fldCharType="begin"/>
            </w:r>
            <w:r w:rsidR="00BE0F7B">
              <w:rPr>
                <w:noProof/>
                <w:webHidden/>
              </w:rPr>
              <w:instrText xml:space="preserve"> PAGEREF _Toc139642990 \h </w:instrText>
            </w:r>
            <w:r w:rsidR="00BE0F7B">
              <w:rPr>
                <w:noProof/>
                <w:webHidden/>
              </w:rPr>
              <w:fldChar w:fldCharType="separate"/>
            </w:r>
            <w:r w:rsidR="00D263BB">
              <w:rPr>
                <w:noProof/>
                <w:webHidden/>
              </w:rPr>
              <w:t>26</w:t>
            </w:r>
            <w:r w:rsidR="00BE0F7B">
              <w:rPr>
                <w:noProof/>
                <w:webHidden/>
              </w:rPr>
              <w:fldChar w:fldCharType="end"/>
            </w:r>
          </w:hyperlink>
        </w:p>
        <w:p w:rsidR="00026F9A" w:rsidP="00026F9A" w14:paraId="6274BCCE" w14:textId="4DE17CD3">
          <w:pPr>
            <w:pStyle w:val="TOC3"/>
            <w:tabs>
              <w:tab w:val="left" w:pos="1100"/>
              <w:tab w:val="right" w:leader="dot" w:pos="9350"/>
            </w:tabs>
            <w:rPr>
              <w:rFonts w:asciiTheme="minorHAnsi" w:eastAsiaTheme="minorEastAsia" w:hAnsiTheme="minorHAnsi" w:cstheme="minorBidi"/>
              <w:noProof/>
              <w:sz w:val="22"/>
              <w:szCs w:val="22"/>
            </w:rPr>
          </w:pPr>
          <w:hyperlink w:anchor="_Toc139642991" w:history="1">
            <w:r w:rsidRPr="00E147F5" w:rsidR="00BE0F7B">
              <w:rPr>
                <w:rStyle w:val="Hyperlink"/>
                <w:i/>
                <w:noProof/>
              </w:rPr>
              <w:t>1.</w:t>
            </w:r>
            <w:r w:rsidR="00BE0F7B">
              <w:rPr>
                <w:rFonts w:asciiTheme="minorHAnsi" w:eastAsiaTheme="minorEastAsia" w:hAnsiTheme="minorHAnsi" w:cstheme="minorBidi"/>
                <w:noProof/>
                <w:sz w:val="22"/>
                <w:szCs w:val="22"/>
              </w:rPr>
              <w:tab/>
            </w:r>
            <w:r w:rsidRPr="00E147F5" w:rsidR="00BE0F7B">
              <w:rPr>
                <w:rStyle w:val="Hyperlink"/>
                <w:i/>
                <w:noProof/>
              </w:rPr>
              <w:t>Assumptions</w:t>
            </w:r>
            <w:r w:rsidR="00BE0F7B">
              <w:rPr>
                <w:noProof/>
                <w:webHidden/>
              </w:rPr>
              <w:tab/>
            </w:r>
            <w:r w:rsidR="00BE0F7B">
              <w:rPr>
                <w:noProof/>
                <w:webHidden/>
              </w:rPr>
              <w:fldChar w:fldCharType="begin"/>
            </w:r>
            <w:r w:rsidR="00BE0F7B">
              <w:rPr>
                <w:noProof/>
                <w:webHidden/>
              </w:rPr>
              <w:instrText xml:space="preserve"> PAGEREF _Toc139642991 \h </w:instrText>
            </w:r>
            <w:r w:rsidR="00BE0F7B">
              <w:rPr>
                <w:noProof/>
                <w:webHidden/>
              </w:rPr>
              <w:fldChar w:fldCharType="separate"/>
            </w:r>
            <w:r w:rsidR="00D263BB">
              <w:rPr>
                <w:noProof/>
                <w:webHidden/>
              </w:rPr>
              <w:t>26</w:t>
            </w:r>
            <w:r w:rsidR="00BE0F7B">
              <w:rPr>
                <w:noProof/>
                <w:webHidden/>
              </w:rPr>
              <w:fldChar w:fldCharType="end"/>
            </w:r>
          </w:hyperlink>
        </w:p>
        <w:p w:rsidR="00026F9A" w:rsidP="00026F9A" w14:paraId="337C1948" w14:textId="5F408D6F">
          <w:pPr>
            <w:pStyle w:val="TOC3"/>
            <w:tabs>
              <w:tab w:val="left" w:pos="1100"/>
              <w:tab w:val="right" w:leader="dot" w:pos="9350"/>
            </w:tabs>
            <w:rPr>
              <w:rFonts w:asciiTheme="minorHAnsi" w:eastAsiaTheme="minorEastAsia" w:hAnsiTheme="minorHAnsi" w:cstheme="minorBidi"/>
              <w:noProof/>
              <w:sz w:val="22"/>
              <w:szCs w:val="22"/>
            </w:rPr>
          </w:pPr>
          <w:hyperlink w:anchor="_Toc139642992" w:history="1">
            <w:r w:rsidRPr="00E147F5" w:rsidR="00BE0F7B">
              <w:rPr>
                <w:rStyle w:val="Hyperlink"/>
                <w:i/>
                <w:noProof/>
              </w:rPr>
              <w:t>2.</w:t>
            </w:r>
            <w:r w:rsidR="00BE0F7B">
              <w:rPr>
                <w:rFonts w:asciiTheme="minorHAnsi" w:eastAsiaTheme="minorEastAsia" w:hAnsiTheme="minorHAnsi" w:cstheme="minorBidi"/>
                <w:noProof/>
                <w:sz w:val="22"/>
                <w:szCs w:val="22"/>
              </w:rPr>
              <w:tab/>
            </w:r>
            <w:r w:rsidRPr="00E147F5" w:rsidR="00BE0F7B">
              <w:rPr>
                <w:rStyle w:val="Hyperlink"/>
                <w:i/>
                <w:noProof/>
              </w:rPr>
              <w:t>Baseline Conditions</w:t>
            </w:r>
            <w:r w:rsidR="00BE0F7B">
              <w:rPr>
                <w:noProof/>
                <w:webHidden/>
              </w:rPr>
              <w:tab/>
            </w:r>
            <w:r w:rsidR="00BE0F7B">
              <w:rPr>
                <w:noProof/>
                <w:webHidden/>
              </w:rPr>
              <w:fldChar w:fldCharType="begin"/>
            </w:r>
            <w:r w:rsidR="00BE0F7B">
              <w:rPr>
                <w:noProof/>
                <w:webHidden/>
              </w:rPr>
              <w:instrText xml:space="preserve"> PAGEREF _Toc139642992 \h </w:instrText>
            </w:r>
            <w:r w:rsidR="00BE0F7B">
              <w:rPr>
                <w:noProof/>
                <w:webHidden/>
              </w:rPr>
              <w:fldChar w:fldCharType="separate"/>
            </w:r>
            <w:r w:rsidR="00D263BB">
              <w:rPr>
                <w:noProof/>
                <w:webHidden/>
              </w:rPr>
              <w:t>27</w:t>
            </w:r>
            <w:r w:rsidR="00BE0F7B">
              <w:rPr>
                <w:noProof/>
                <w:webHidden/>
              </w:rPr>
              <w:fldChar w:fldCharType="end"/>
            </w:r>
          </w:hyperlink>
        </w:p>
        <w:p w:rsidR="00026F9A" w:rsidP="00026F9A" w14:paraId="3AE2AEF5" w14:textId="27781E5D">
          <w:pPr>
            <w:pStyle w:val="TOC2"/>
            <w:rPr>
              <w:rFonts w:asciiTheme="minorHAnsi" w:eastAsiaTheme="minorEastAsia" w:hAnsiTheme="minorHAnsi" w:cstheme="minorBidi"/>
              <w:noProof/>
              <w:sz w:val="22"/>
              <w:szCs w:val="22"/>
            </w:rPr>
          </w:pPr>
          <w:hyperlink w:anchor="_Toc139642993" w:history="1">
            <w:r w:rsidRPr="00E147F5" w:rsidR="00BE0F7B">
              <w:rPr>
                <w:rStyle w:val="Hyperlink"/>
                <w:noProof/>
              </w:rPr>
              <w:t>E.</w:t>
            </w:r>
            <w:r w:rsidR="00BE0F7B">
              <w:rPr>
                <w:rFonts w:asciiTheme="minorHAnsi" w:eastAsiaTheme="minorEastAsia" w:hAnsiTheme="minorHAnsi" w:cstheme="minorBidi"/>
                <w:noProof/>
                <w:sz w:val="22"/>
                <w:szCs w:val="22"/>
              </w:rPr>
              <w:tab/>
            </w:r>
            <w:r w:rsidRPr="00E147F5" w:rsidR="00BE0F7B">
              <w:rPr>
                <w:rStyle w:val="Hyperlink"/>
                <w:noProof/>
              </w:rPr>
              <w:t>Benefits of the Rule</w:t>
            </w:r>
            <w:r w:rsidR="00BE0F7B">
              <w:rPr>
                <w:noProof/>
                <w:webHidden/>
              </w:rPr>
              <w:tab/>
            </w:r>
            <w:r w:rsidR="00BE0F7B">
              <w:rPr>
                <w:noProof/>
                <w:webHidden/>
              </w:rPr>
              <w:fldChar w:fldCharType="begin"/>
            </w:r>
            <w:r w:rsidR="00BE0F7B">
              <w:rPr>
                <w:noProof/>
                <w:webHidden/>
              </w:rPr>
              <w:instrText xml:space="preserve"> PAGEREF _Toc139642993 \h </w:instrText>
            </w:r>
            <w:r w:rsidR="00BE0F7B">
              <w:rPr>
                <w:noProof/>
                <w:webHidden/>
              </w:rPr>
              <w:fldChar w:fldCharType="separate"/>
            </w:r>
            <w:r w:rsidR="00D263BB">
              <w:rPr>
                <w:noProof/>
                <w:webHidden/>
              </w:rPr>
              <w:t>48</w:t>
            </w:r>
            <w:r w:rsidR="00BE0F7B">
              <w:rPr>
                <w:noProof/>
                <w:webHidden/>
              </w:rPr>
              <w:fldChar w:fldCharType="end"/>
            </w:r>
          </w:hyperlink>
        </w:p>
        <w:p w:rsidR="00026F9A" w:rsidP="00026F9A" w14:paraId="255EB1A4" w14:textId="6FC51564">
          <w:pPr>
            <w:pStyle w:val="TOC2"/>
            <w:rPr>
              <w:rFonts w:asciiTheme="minorHAnsi" w:eastAsiaTheme="minorEastAsia" w:hAnsiTheme="minorHAnsi" w:cstheme="minorBidi"/>
              <w:noProof/>
              <w:sz w:val="22"/>
              <w:szCs w:val="22"/>
            </w:rPr>
          </w:pPr>
          <w:hyperlink w:anchor="_Toc139642994" w:history="1">
            <w:r w:rsidRPr="00E147F5" w:rsidR="00BE0F7B">
              <w:rPr>
                <w:rStyle w:val="Hyperlink"/>
                <w:i/>
                <w:noProof/>
              </w:rPr>
              <w:t>F.</w:t>
            </w:r>
            <w:r w:rsidR="00BE0F7B">
              <w:rPr>
                <w:rFonts w:asciiTheme="minorHAnsi" w:eastAsiaTheme="minorEastAsia" w:hAnsiTheme="minorHAnsi" w:cstheme="minorBidi"/>
                <w:noProof/>
                <w:sz w:val="22"/>
                <w:szCs w:val="22"/>
              </w:rPr>
              <w:tab/>
            </w:r>
            <w:r w:rsidRPr="00E147F5" w:rsidR="00BE0F7B">
              <w:rPr>
                <w:rStyle w:val="Hyperlink"/>
                <w:noProof/>
              </w:rPr>
              <w:t>Costs of the Rule</w:t>
            </w:r>
            <w:r w:rsidR="00BE0F7B">
              <w:rPr>
                <w:noProof/>
                <w:webHidden/>
              </w:rPr>
              <w:tab/>
            </w:r>
            <w:r w:rsidR="00BE0F7B">
              <w:rPr>
                <w:noProof/>
                <w:webHidden/>
              </w:rPr>
              <w:fldChar w:fldCharType="begin"/>
            </w:r>
            <w:r w:rsidR="00BE0F7B">
              <w:rPr>
                <w:noProof/>
                <w:webHidden/>
              </w:rPr>
              <w:instrText xml:space="preserve"> PAGEREF _Toc139642994 \h </w:instrText>
            </w:r>
            <w:r w:rsidR="00BE0F7B">
              <w:rPr>
                <w:noProof/>
                <w:webHidden/>
              </w:rPr>
              <w:fldChar w:fldCharType="separate"/>
            </w:r>
            <w:r w:rsidR="00D263BB">
              <w:rPr>
                <w:noProof/>
                <w:webHidden/>
              </w:rPr>
              <w:t>51</w:t>
            </w:r>
            <w:r w:rsidR="00BE0F7B">
              <w:rPr>
                <w:noProof/>
                <w:webHidden/>
              </w:rPr>
              <w:fldChar w:fldCharType="end"/>
            </w:r>
          </w:hyperlink>
        </w:p>
        <w:p w:rsidR="00026F9A" w:rsidP="00026F9A" w14:paraId="3CD1A2BE" w14:textId="6E230618">
          <w:pPr>
            <w:pStyle w:val="TOC2"/>
            <w:rPr>
              <w:rFonts w:asciiTheme="minorHAnsi" w:eastAsiaTheme="minorEastAsia" w:hAnsiTheme="minorHAnsi" w:cstheme="minorBidi"/>
              <w:noProof/>
              <w:sz w:val="22"/>
              <w:szCs w:val="22"/>
            </w:rPr>
          </w:pPr>
          <w:hyperlink w:anchor="_Toc139642995" w:history="1">
            <w:r w:rsidRPr="00E147F5" w:rsidR="00BE0F7B">
              <w:rPr>
                <w:rStyle w:val="Hyperlink"/>
                <w:noProof/>
              </w:rPr>
              <w:t>G.</w:t>
            </w:r>
            <w:r w:rsidR="00BE0F7B">
              <w:rPr>
                <w:rFonts w:asciiTheme="minorHAnsi" w:eastAsiaTheme="minorEastAsia" w:hAnsiTheme="minorHAnsi" w:cstheme="minorBidi"/>
                <w:noProof/>
                <w:sz w:val="22"/>
                <w:szCs w:val="22"/>
              </w:rPr>
              <w:tab/>
            </w:r>
            <w:r w:rsidRPr="00E147F5" w:rsidR="00BE0F7B">
              <w:rPr>
                <w:rStyle w:val="Hyperlink"/>
                <w:noProof/>
              </w:rPr>
              <w:t>Transfers Caused by the Rule</w:t>
            </w:r>
            <w:r w:rsidR="00BE0F7B">
              <w:rPr>
                <w:noProof/>
                <w:webHidden/>
              </w:rPr>
              <w:tab/>
            </w:r>
            <w:r w:rsidR="00BE0F7B">
              <w:rPr>
                <w:noProof/>
                <w:webHidden/>
              </w:rPr>
              <w:fldChar w:fldCharType="begin"/>
            </w:r>
            <w:r w:rsidR="00BE0F7B">
              <w:rPr>
                <w:noProof/>
                <w:webHidden/>
              </w:rPr>
              <w:instrText xml:space="preserve"> PAGEREF _Toc139642995 \h </w:instrText>
            </w:r>
            <w:r w:rsidR="00BE0F7B">
              <w:rPr>
                <w:noProof/>
                <w:webHidden/>
              </w:rPr>
              <w:fldChar w:fldCharType="separate"/>
            </w:r>
            <w:r w:rsidR="00D263BB">
              <w:rPr>
                <w:noProof/>
                <w:webHidden/>
              </w:rPr>
              <w:t>62</w:t>
            </w:r>
            <w:r w:rsidR="00BE0F7B">
              <w:rPr>
                <w:noProof/>
                <w:webHidden/>
              </w:rPr>
              <w:fldChar w:fldCharType="end"/>
            </w:r>
          </w:hyperlink>
        </w:p>
        <w:p w:rsidR="00026F9A" w:rsidP="00026F9A" w14:paraId="515D1569" w14:textId="0421F6AB">
          <w:pPr>
            <w:pStyle w:val="TOC2"/>
            <w:rPr>
              <w:rFonts w:asciiTheme="minorHAnsi" w:eastAsiaTheme="minorEastAsia" w:hAnsiTheme="minorHAnsi" w:cstheme="minorBidi"/>
              <w:noProof/>
              <w:sz w:val="22"/>
              <w:szCs w:val="22"/>
            </w:rPr>
          </w:pPr>
          <w:hyperlink w:anchor="_Toc139642996" w:history="1">
            <w:r w:rsidRPr="00E147F5" w:rsidR="00BE0F7B">
              <w:rPr>
                <w:rStyle w:val="Hyperlink"/>
                <w:noProof/>
              </w:rPr>
              <w:t>H.</w:t>
            </w:r>
            <w:r w:rsidR="00BE0F7B">
              <w:rPr>
                <w:rFonts w:asciiTheme="minorHAnsi" w:eastAsiaTheme="minorEastAsia" w:hAnsiTheme="minorHAnsi" w:cstheme="minorBidi"/>
                <w:noProof/>
                <w:sz w:val="22"/>
                <w:szCs w:val="22"/>
              </w:rPr>
              <w:tab/>
            </w:r>
            <w:r w:rsidRPr="00E147F5" w:rsidR="00BE0F7B">
              <w:rPr>
                <w:rStyle w:val="Hyperlink"/>
                <w:noProof/>
              </w:rPr>
              <w:t>Summary of Benefits, Costs, and Transfers</w:t>
            </w:r>
            <w:r w:rsidR="00BE0F7B">
              <w:rPr>
                <w:noProof/>
                <w:webHidden/>
              </w:rPr>
              <w:tab/>
            </w:r>
            <w:r w:rsidR="00BE0F7B">
              <w:rPr>
                <w:noProof/>
                <w:webHidden/>
              </w:rPr>
              <w:fldChar w:fldCharType="begin"/>
            </w:r>
            <w:r w:rsidR="00BE0F7B">
              <w:rPr>
                <w:noProof/>
                <w:webHidden/>
              </w:rPr>
              <w:instrText xml:space="preserve"> PAGEREF _Toc139642996 \h </w:instrText>
            </w:r>
            <w:r w:rsidR="00BE0F7B">
              <w:rPr>
                <w:noProof/>
                <w:webHidden/>
              </w:rPr>
              <w:fldChar w:fldCharType="separate"/>
            </w:r>
            <w:r w:rsidR="00D263BB">
              <w:rPr>
                <w:noProof/>
                <w:webHidden/>
              </w:rPr>
              <w:t>62</w:t>
            </w:r>
            <w:r w:rsidR="00BE0F7B">
              <w:rPr>
                <w:noProof/>
                <w:webHidden/>
              </w:rPr>
              <w:fldChar w:fldCharType="end"/>
            </w:r>
          </w:hyperlink>
        </w:p>
        <w:p w:rsidR="00026F9A" w:rsidP="00026F9A" w14:paraId="7B0B346F" w14:textId="21B14BBD">
          <w:pPr>
            <w:pStyle w:val="TOC2"/>
            <w:rPr>
              <w:rFonts w:asciiTheme="minorHAnsi" w:eastAsiaTheme="minorEastAsia" w:hAnsiTheme="minorHAnsi" w:cstheme="minorBidi"/>
              <w:noProof/>
              <w:sz w:val="22"/>
              <w:szCs w:val="22"/>
            </w:rPr>
          </w:pPr>
          <w:hyperlink w:anchor="_Toc139642997" w:history="1">
            <w:r w:rsidRPr="00E147F5" w:rsidR="00BE0F7B">
              <w:rPr>
                <w:rStyle w:val="Hyperlink"/>
                <w:noProof/>
              </w:rPr>
              <w:t>I.</w:t>
            </w:r>
            <w:r w:rsidR="00BE0F7B">
              <w:rPr>
                <w:rFonts w:asciiTheme="minorHAnsi" w:eastAsiaTheme="minorEastAsia" w:hAnsiTheme="minorHAnsi" w:cstheme="minorBidi"/>
                <w:noProof/>
                <w:sz w:val="22"/>
                <w:szCs w:val="22"/>
              </w:rPr>
              <w:tab/>
            </w:r>
            <w:r w:rsidRPr="00E147F5" w:rsidR="00BE0F7B">
              <w:rPr>
                <w:rStyle w:val="Hyperlink"/>
                <w:noProof/>
              </w:rPr>
              <w:t>Analysis of Regulatory Alternatives to the Rule</w:t>
            </w:r>
            <w:r w:rsidR="00BE0F7B">
              <w:rPr>
                <w:noProof/>
                <w:webHidden/>
              </w:rPr>
              <w:tab/>
            </w:r>
            <w:r w:rsidR="00BE0F7B">
              <w:rPr>
                <w:noProof/>
                <w:webHidden/>
              </w:rPr>
              <w:fldChar w:fldCharType="begin"/>
            </w:r>
            <w:r w:rsidR="00BE0F7B">
              <w:rPr>
                <w:noProof/>
                <w:webHidden/>
              </w:rPr>
              <w:instrText xml:space="preserve"> PAGEREF _Toc139642997 \h </w:instrText>
            </w:r>
            <w:r w:rsidR="00BE0F7B">
              <w:rPr>
                <w:noProof/>
                <w:webHidden/>
              </w:rPr>
              <w:fldChar w:fldCharType="separate"/>
            </w:r>
            <w:r w:rsidR="00D263BB">
              <w:rPr>
                <w:noProof/>
                <w:webHidden/>
              </w:rPr>
              <w:t>66</w:t>
            </w:r>
            <w:r w:rsidR="00BE0F7B">
              <w:rPr>
                <w:noProof/>
                <w:webHidden/>
              </w:rPr>
              <w:fldChar w:fldCharType="end"/>
            </w:r>
          </w:hyperlink>
        </w:p>
        <w:p w:rsidR="00026F9A" w:rsidP="00026F9A" w14:paraId="77E7779D" w14:textId="0739AA67">
          <w:pPr>
            <w:pStyle w:val="TOC2"/>
            <w:rPr>
              <w:rFonts w:asciiTheme="minorHAnsi" w:eastAsiaTheme="minorEastAsia" w:hAnsiTheme="minorHAnsi" w:cstheme="minorBidi"/>
              <w:noProof/>
              <w:sz w:val="22"/>
              <w:szCs w:val="22"/>
            </w:rPr>
          </w:pPr>
          <w:hyperlink w:anchor="_Toc139642998" w:history="1">
            <w:r w:rsidRPr="00E147F5" w:rsidR="00BE0F7B">
              <w:rPr>
                <w:rStyle w:val="Hyperlink"/>
                <w:noProof/>
              </w:rPr>
              <w:t>J.</w:t>
            </w:r>
            <w:r w:rsidR="00BE0F7B">
              <w:rPr>
                <w:rFonts w:asciiTheme="minorHAnsi" w:eastAsiaTheme="minorEastAsia" w:hAnsiTheme="minorHAnsi" w:cstheme="minorBidi"/>
                <w:noProof/>
                <w:sz w:val="22"/>
                <w:szCs w:val="22"/>
              </w:rPr>
              <w:tab/>
            </w:r>
            <w:r w:rsidRPr="00E147F5" w:rsidR="00BE0F7B">
              <w:rPr>
                <w:rStyle w:val="Hyperlink"/>
                <w:noProof/>
              </w:rPr>
              <w:t>Distributional Effects</w:t>
            </w:r>
            <w:r w:rsidR="00BE0F7B">
              <w:rPr>
                <w:noProof/>
                <w:webHidden/>
              </w:rPr>
              <w:tab/>
            </w:r>
            <w:r w:rsidR="00BE0F7B">
              <w:rPr>
                <w:noProof/>
                <w:webHidden/>
              </w:rPr>
              <w:fldChar w:fldCharType="begin"/>
            </w:r>
            <w:r w:rsidR="00BE0F7B">
              <w:rPr>
                <w:noProof/>
                <w:webHidden/>
              </w:rPr>
              <w:instrText xml:space="preserve"> PAGEREF _Toc139642998 \h </w:instrText>
            </w:r>
            <w:r w:rsidR="00BE0F7B">
              <w:rPr>
                <w:noProof/>
                <w:webHidden/>
              </w:rPr>
              <w:fldChar w:fldCharType="separate"/>
            </w:r>
            <w:r w:rsidR="00D263BB">
              <w:rPr>
                <w:noProof/>
                <w:webHidden/>
              </w:rPr>
              <w:t>71</w:t>
            </w:r>
            <w:r w:rsidR="00BE0F7B">
              <w:rPr>
                <w:noProof/>
                <w:webHidden/>
              </w:rPr>
              <w:fldChar w:fldCharType="end"/>
            </w:r>
          </w:hyperlink>
        </w:p>
        <w:p w:rsidR="00026F9A" w:rsidP="00026F9A" w14:paraId="05E4B474" w14:textId="673B0F21">
          <w:pPr>
            <w:pStyle w:val="TOC2"/>
            <w:rPr>
              <w:rFonts w:asciiTheme="minorHAnsi" w:eastAsiaTheme="minorEastAsia" w:hAnsiTheme="minorHAnsi" w:cstheme="minorBidi"/>
              <w:noProof/>
              <w:sz w:val="22"/>
              <w:szCs w:val="22"/>
            </w:rPr>
          </w:pPr>
          <w:hyperlink w:anchor="_Toc139642999" w:history="1">
            <w:r w:rsidRPr="00E147F5" w:rsidR="00BE0F7B">
              <w:rPr>
                <w:rStyle w:val="Hyperlink"/>
                <w:noProof/>
              </w:rPr>
              <w:t>K.</w:t>
            </w:r>
            <w:r w:rsidR="00BE0F7B">
              <w:rPr>
                <w:rFonts w:asciiTheme="minorHAnsi" w:eastAsiaTheme="minorEastAsia" w:hAnsiTheme="minorHAnsi" w:cstheme="minorBidi"/>
                <w:noProof/>
                <w:sz w:val="22"/>
                <w:szCs w:val="22"/>
              </w:rPr>
              <w:tab/>
            </w:r>
            <w:r w:rsidRPr="00E147F5" w:rsidR="00BE0F7B">
              <w:rPr>
                <w:rStyle w:val="Hyperlink"/>
                <w:noProof/>
              </w:rPr>
              <w:t>International Effects</w:t>
            </w:r>
            <w:r w:rsidR="00BE0F7B">
              <w:rPr>
                <w:noProof/>
                <w:webHidden/>
              </w:rPr>
              <w:tab/>
            </w:r>
            <w:r w:rsidR="00BE0F7B">
              <w:rPr>
                <w:noProof/>
                <w:webHidden/>
              </w:rPr>
              <w:fldChar w:fldCharType="begin"/>
            </w:r>
            <w:r w:rsidR="00BE0F7B">
              <w:rPr>
                <w:noProof/>
                <w:webHidden/>
              </w:rPr>
              <w:instrText xml:space="preserve"> PAGEREF _Toc139642999 \h </w:instrText>
            </w:r>
            <w:r w:rsidR="00BE0F7B">
              <w:rPr>
                <w:noProof/>
                <w:webHidden/>
              </w:rPr>
              <w:fldChar w:fldCharType="separate"/>
            </w:r>
            <w:r w:rsidR="00D263BB">
              <w:rPr>
                <w:noProof/>
                <w:webHidden/>
              </w:rPr>
              <w:t>71</w:t>
            </w:r>
            <w:r w:rsidR="00BE0F7B">
              <w:rPr>
                <w:noProof/>
                <w:webHidden/>
              </w:rPr>
              <w:fldChar w:fldCharType="end"/>
            </w:r>
          </w:hyperlink>
        </w:p>
        <w:p w:rsidR="00026F9A" w:rsidP="00026F9A" w14:paraId="31EB87B4" w14:textId="3DF91E0A">
          <w:pPr>
            <w:pStyle w:val="TOC2"/>
            <w:rPr>
              <w:rFonts w:asciiTheme="minorHAnsi" w:eastAsiaTheme="minorEastAsia" w:hAnsiTheme="minorHAnsi" w:cstheme="minorBidi"/>
              <w:noProof/>
              <w:sz w:val="22"/>
              <w:szCs w:val="22"/>
            </w:rPr>
          </w:pPr>
          <w:hyperlink w:anchor="_Toc139643000" w:history="1">
            <w:r w:rsidRPr="00E147F5" w:rsidR="00BE0F7B">
              <w:rPr>
                <w:rStyle w:val="Hyperlink"/>
                <w:noProof/>
              </w:rPr>
              <w:t>L.</w:t>
            </w:r>
            <w:r w:rsidR="00BE0F7B">
              <w:rPr>
                <w:rFonts w:asciiTheme="minorHAnsi" w:eastAsiaTheme="minorEastAsia" w:hAnsiTheme="minorHAnsi" w:cstheme="minorBidi"/>
                <w:noProof/>
                <w:sz w:val="22"/>
                <w:szCs w:val="22"/>
              </w:rPr>
              <w:tab/>
            </w:r>
            <w:r w:rsidRPr="00E147F5" w:rsidR="00BE0F7B">
              <w:rPr>
                <w:rStyle w:val="Hyperlink"/>
                <w:noProof/>
              </w:rPr>
              <w:t>Uncertainty and Sensitivity Analysis</w:t>
            </w:r>
            <w:r w:rsidR="00BE0F7B">
              <w:rPr>
                <w:noProof/>
                <w:webHidden/>
              </w:rPr>
              <w:tab/>
            </w:r>
            <w:r w:rsidR="00BE0F7B">
              <w:rPr>
                <w:noProof/>
                <w:webHidden/>
              </w:rPr>
              <w:fldChar w:fldCharType="begin"/>
            </w:r>
            <w:r w:rsidR="00BE0F7B">
              <w:rPr>
                <w:noProof/>
                <w:webHidden/>
              </w:rPr>
              <w:instrText xml:space="preserve"> PAGEREF _Toc139643000 \h </w:instrText>
            </w:r>
            <w:r w:rsidR="00BE0F7B">
              <w:rPr>
                <w:noProof/>
                <w:webHidden/>
              </w:rPr>
              <w:fldChar w:fldCharType="separate"/>
            </w:r>
            <w:r w:rsidR="00D263BB">
              <w:rPr>
                <w:noProof/>
                <w:webHidden/>
              </w:rPr>
              <w:t>72</w:t>
            </w:r>
            <w:r w:rsidR="00BE0F7B">
              <w:rPr>
                <w:noProof/>
                <w:webHidden/>
              </w:rPr>
              <w:fldChar w:fldCharType="end"/>
            </w:r>
          </w:hyperlink>
        </w:p>
        <w:p w:rsidR="00026F9A" w:rsidP="00535721" w14:paraId="33C1DBC2" w14:textId="2232CAA5">
          <w:pPr>
            <w:pStyle w:val="TOC1"/>
            <w:rPr>
              <w:rFonts w:asciiTheme="minorHAnsi" w:eastAsiaTheme="minorEastAsia" w:hAnsiTheme="minorHAnsi" w:cstheme="minorBidi"/>
              <w:noProof/>
              <w:sz w:val="22"/>
              <w:szCs w:val="22"/>
            </w:rPr>
          </w:pPr>
          <w:hyperlink w:anchor="_Toc139643001" w:history="1">
            <w:r w:rsidRPr="00E147F5" w:rsidR="00BE0F7B">
              <w:rPr>
                <w:rStyle w:val="Hyperlink"/>
                <w:noProof/>
              </w:rPr>
              <w:t>III.</w:t>
            </w:r>
            <w:r w:rsidR="00BE0F7B">
              <w:rPr>
                <w:rFonts w:asciiTheme="minorHAnsi" w:eastAsiaTheme="minorEastAsia" w:hAnsiTheme="minorHAnsi" w:cstheme="minorBidi"/>
                <w:noProof/>
                <w:sz w:val="22"/>
                <w:szCs w:val="22"/>
              </w:rPr>
              <w:tab/>
            </w:r>
            <w:r w:rsidRPr="00E147F5" w:rsidR="00BE0F7B">
              <w:rPr>
                <w:rStyle w:val="Hyperlink"/>
                <w:noProof/>
              </w:rPr>
              <w:t>Final Small Entity Analysis</w:t>
            </w:r>
            <w:r w:rsidR="00BE0F7B">
              <w:rPr>
                <w:noProof/>
                <w:webHidden/>
              </w:rPr>
              <w:tab/>
            </w:r>
            <w:r w:rsidR="00BE0F7B">
              <w:rPr>
                <w:noProof/>
                <w:webHidden/>
              </w:rPr>
              <w:fldChar w:fldCharType="begin"/>
            </w:r>
            <w:r w:rsidR="00BE0F7B">
              <w:rPr>
                <w:noProof/>
                <w:webHidden/>
              </w:rPr>
              <w:instrText xml:space="preserve"> PAGEREF _Toc139643001 \h </w:instrText>
            </w:r>
            <w:r w:rsidR="00BE0F7B">
              <w:rPr>
                <w:noProof/>
                <w:webHidden/>
              </w:rPr>
              <w:fldChar w:fldCharType="separate"/>
            </w:r>
            <w:r w:rsidR="00D263BB">
              <w:rPr>
                <w:noProof/>
                <w:webHidden/>
              </w:rPr>
              <w:t>74</w:t>
            </w:r>
            <w:r w:rsidR="00BE0F7B">
              <w:rPr>
                <w:noProof/>
                <w:webHidden/>
              </w:rPr>
              <w:fldChar w:fldCharType="end"/>
            </w:r>
          </w:hyperlink>
        </w:p>
        <w:p w:rsidR="00026F9A" w:rsidP="00026F9A" w14:paraId="2F187360" w14:textId="4EEF5F11">
          <w:pPr>
            <w:pStyle w:val="TOC2"/>
            <w:rPr>
              <w:rFonts w:asciiTheme="minorHAnsi" w:eastAsiaTheme="minorEastAsia" w:hAnsiTheme="minorHAnsi" w:cstheme="minorBidi"/>
              <w:noProof/>
              <w:sz w:val="22"/>
              <w:szCs w:val="22"/>
            </w:rPr>
          </w:pPr>
          <w:hyperlink w:anchor="_Toc139643002" w:history="1">
            <w:r w:rsidRPr="00E147F5" w:rsidR="00BE0F7B">
              <w:rPr>
                <w:rStyle w:val="Hyperlink"/>
                <w:noProof/>
              </w:rPr>
              <w:t>A.</w:t>
            </w:r>
            <w:r w:rsidR="00BE0F7B">
              <w:rPr>
                <w:rFonts w:asciiTheme="minorHAnsi" w:eastAsiaTheme="minorEastAsia" w:hAnsiTheme="minorHAnsi" w:cstheme="minorBidi"/>
                <w:noProof/>
                <w:sz w:val="22"/>
                <w:szCs w:val="22"/>
              </w:rPr>
              <w:tab/>
            </w:r>
            <w:r w:rsidRPr="00E147F5" w:rsidR="00BE0F7B">
              <w:rPr>
                <w:rStyle w:val="Hyperlink"/>
                <w:noProof/>
              </w:rPr>
              <w:t>Description and Number of Affected Small Entities</w:t>
            </w:r>
            <w:r w:rsidR="00BE0F7B">
              <w:rPr>
                <w:noProof/>
                <w:webHidden/>
              </w:rPr>
              <w:tab/>
            </w:r>
            <w:r w:rsidR="00BE0F7B">
              <w:rPr>
                <w:noProof/>
                <w:webHidden/>
              </w:rPr>
              <w:fldChar w:fldCharType="begin"/>
            </w:r>
            <w:r w:rsidR="00BE0F7B">
              <w:rPr>
                <w:noProof/>
                <w:webHidden/>
              </w:rPr>
              <w:instrText xml:space="preserve"> PAGEREF _Toc139643002 \h </w:instrText>
            </w:r>
            <w:r w:rsidR="00BE0F7B">
              <w:rPr>
                <w:noProof/>
                <w:webHidden/>
              </w:rPr>
              <w:fldChar w:fldCharType="separate"/>
            </w:r>
            <w:r w:rsidR="00D263BB">
              <w:rPr>
                <w:noProof/>
                <w:webHidden/>
              </w:rPr>
              <w:t>74</w:t>
            </w:r>
            <w:r w:rsidR="00BE0F7B">
              <w:rPr>
                <w:noProof/>
                <w:webHidden/>
              </w:rPr>
              <w:fldChar w:fldCharType="end"/>
            </w:r>
          </w:hyperlink>
        </w:p>
        <w:p w:rsidR="00026F9A" w:rsidP="00026F9A" w14:paraId="580EF1CE" w14:textId="3729CECD">
          <w:pPr>
            <w:pStyle w:val="TOC2"/>
            <w:rPr>
              <w:rFonts w:asciiTheme="minorHAnsi" w:eastAsiaTheme="minorEastAsia" w:hAnsiTheme="minorHAnsi" w:cstheme="minorBidi"/>
              <w:noProof/>
              <w:sz w:val="22"/>
              <w:szCs w:val="22"/>
            </w:rPr>
          </w:pPr>
          <w:hyperlink w:anchor="_Toc139643003" w:history="1">
            <w:r w:rsidRPr="00E147F5" w:rsidR="00BE0F7B">
              <w:rPr>
                <w:rStyle w:val="Hyperlink"/>
                <w:noProof/>
              </w:rPr>
              <w:t>B.</w:t>
            </w:r>
            <w:r w:rsidR="00BE0F7B">
              <w:rPr>
                <w:rFonts w:asciiTheme="minorHAnsi" w:eastAsiaTheme="minorEastAsia" w:hAnsiTheme="minorHAnsi" w:cstheme="minorBidi"/>
                <w:noProof/>
                <w:sz w:val="22"/>
                <w:szCs w:val="22"/>
              </w:rPr>
              <w:tab/>
            </w:r>
            <w:r w:rsidRPr="00E147F5" w:rsidR="00BE0F7B">
              <w:rPr>
                <w:rStyle w:val="Hyperlink"/>
                <w:noProof/>
              </w:rPr>
              <w:t>Description of the Potential Impacts of the Rule on Small Entities</w:t>
            </w:r>
            <w:r w:rsidR="00BE0F7B">
              <w:rPr>
                <w:noProof/>
                <w:webHidden/>
              </w:rPr>
              <w:tab/>
            </w:r>
            <w:r w:rsidR="00BE0F7B">
              <w:rPr>
                <w:noProof/>
                <w:webHidden/>
              </w:rPr>
              <w:fldChar w:fldCharType="begin"/>
            </w:r>
            <w:r w:rsidR="00BE0F7B">
              <w:rPr>
                <w:noProof/>
                <w:webHidden/>
              </w:rPr>
              <w:instrText xml:space="preserve"> PAGEREF _Toc139643003 \h </w:instrText>
            </w:r>
            <w:r w:rsidR="00BE0F7B">
              <w:rPr>
                <w:noProof/>
                <w:webHidden/>
              </w:rPr>
              <w:fldChar w:fldCharType="separate"/>
            </w:r>
            <w:r w:rsidR="00D263BB">
              <w:rPr>
                <w:noProof/>
                <w:webHidden/>
              </w:rPr>
              <w:t>76</w:t>
            </w:r>
            <w:r w:rsidR="00BE0F7B">
              <w:rPr>
                <w:noProof/>
                <w:webHidden/>
              </w:rPr>
              <w:fldChar w:fldCharType="end"/>
            </w:r>
          </w:hyperlink>
        </w:p>
        <w:p w:rsidR="00026F9A" w:rsidP="00026F9A" w14:paraId="505F540F" w14:textId="3BE48447">
          <w:pPr>
            <w:pStyle w:val="TOC2"/>
            <w:rPr>
              <w:rFonts w:asciiTheme="minorHAnsi" w:eastAsiaTheme="minorEastAsia" w:hAnsiTheme="minorHAnsi" w:cstheme="minorBidi"/>
              <w:noProof/>
              <w:sz w:val="22"/>
              <w:szCs w:val="22"/>
            </w:rPr>
          </w:pPr>
          <w:hyperlink w:anchor="_Toc139643004" w:history="1">
            <w:r w:rsidRPr="00E147F5" w:rsidR="00BE0F7B">
              <w:rPr>
                <w:rStyle w:val="Hyperlink"/>
                <w:noProof/>
              </w:rPr>
              <w:t>C.</w:t>
            </w:r>
            <w:r w:rsidR="00BE0F7B">
              <w:rPr>
                <w:rFonts w:asciiTheme="minorHAnsi" w:eastAsiaTheme="minorEastAsia" w:hAnsiTheme="minorHAnsi" w:cstheme="minorBidi"/>
                <w:noProof/>
                <w:sz w:val="22"/>
                <w:szCs w:val="22"/>
              </w:rPr>
              <w:tab/>
            </w:r>
            <w:r w:rsidRPr="00E147F5" w:rsidR="00BE0F7B">
              <w:rPr>
                <w:rStyle w:val="Hyperlink"/>
                <w:noProof/>
              </w:rPr>
              <w:t>Alternatives to Minimize the Burden on Small Entities</w:t>
            </w:r>
            <w:r w:rsidR="00BE0F7B">
              <w:rPr>
                <w:noProof/>
                <w:webHidden/>
              </w:rPr>
              <w:tab/>
            </w:r>
            <w:r w:rsidR="00BE0F7B">
              <w:rPr>
                <w:noProof/>
                <w:webHidden/>
              </w:rPr>
              <w:fldChar w:fldCharType="begin"/>
            </w:r>
            <w:r w:rsidR="00BE0F7B">
              <w:rPr>
                <w:noProof/>
                <w:webHidden/>
              </w:rPr>
              <w:instrText xml:space="preserve"> PAGEREF _Toc139643004 \h </w:instrText>
            </w:r>
            <w:r w:rsidR="00BE0F7B">
              <w:rPr>
                <w:noProof/>
                <w:webHidden/>
              </w:rPr>
              <w:fldChar w:fldCharType="separate"/>
            </w:r>
            <w:r w:rsidR="00D263BB">
              <w:rPr>
                <w:noProof/>
                <w:webHidden/>
              </w:rPr>
              <w:t>77</w:t>
            </w:r>
            <w:r w:rsidR="00BE0F7B">
              <w:rPr>
                <w:noProof/>
                <w:webHidden/>
              </w:rPr>
              <w:fldChar w:fldCharType="end"/>
            </w:r>
          </w:hyperlink>
        </w:p>
        <w:p w:rsidR="00026F9A" w:rsidP="00535721" w14:paraId="7428B6B0" w14:textId="402C4493">
          <w:pPr>
            <w:pStyle w:val="TOC1"/>
            <w:rPr>
              <w:rFonts w:asciiTheme="minorHAnsi" w:eastAsiaTheme="minorEastAsia" w:hAnsiTheme="minorHAnsi" w:cstheme="minorBidi"/>
              <w:noProof/>
              <w:sz w:val="22"/>
              <w:szCs w:val="22"/>
            </w:rPr>
          </w:pPr>
          <w:hyperlink w:anchor="_Toc139643005" w:history="1">
            <w:r w:rsidRPr="00E147F5" w:rsidR="00BE0F7B">
              <w:rPr>
                <w:rStyle w:val="Hyperlink"/>
                <w:noProof/>
              </w:rPr>
              <w:t>IV. References</w:t>
            </w:r>
            <w:r w:rsidR="00BE0F7B">
              <w:rPr>
                <w:noProof/>
                <w:webHidden/>
              </w:rPr>
              <w:tab/>
            </w:r>
            <w:r w:rsidR="00BE0F7B">
              <w:rPr>
                <w:noProof/>
                <w:webHidden/>
              </w:rPr>
              <w:fldChar w:fldCharType="begin"/>
            </w:r>
            <w:r w:rsidR="00BE0F7B">
              <w:rPr>
                <w:noProof/>
                <w:webHidden/>
              </w:rPr>
              <w:instrText xml:space="preserve"> PAGEREF _Toc139643005 \h </w:instrText>
            </w:r>
            <w:r w:rsidR="00BE0F7B">
              <w:rPr>
                <w:noProof/>
                <w:webHidden/>
              </w:rPr>
              <w:fldChar w:fldCharType="separate"/>
            </w:r>
            <w:r w:rsidR="00D263BB">
              <w:rPr>
                <w:noProof/>
                <w:webHidden/>
              </w:rPr>
              <w:t>78</w:t>
            </w:r>
            <w:r w:rsidR="00BE0F7B">
              <w:rPr>
                <w:noProof/>
                <w:webHidden/>
              </w:rPr>
              <w:fldChar w:fldCharType="end"/>
            </w:r>
          </w:hyperlink>
        </w:p>
        <w:p w:rsidR="00026F9A" w:rsidP="00535721" w14:paraId="58F565B6" w14:textId="1FFDF135">
          <w:pPr>
            <w:pStyle w:val="TOC1"/>
            <w:rPr>
              <w:rFonts w:asciiTheme="minorHAnsi" w:eastAsiaTheme="minorEastAsia" w:hAnsiTheme="minorHAnsi" w:cstheme="minorBidi"/>
              <w:noProof/>
              <w:sz w:val="22"/>
              <w:szCs w:val="22"/>
            </w:rPr>
          </w:pPr>
          <w:hyperlink w:anchor="_Toc139643006" w:history="1">
            <w:r w:rsidRPr="00E147F5" w:rsidR="00BE0F7B">
              <w:rPr>
                <w:rStyle w:val="Hyperlink"/>
                <w:noProof/>
              </w:rPr>
              <w:t>Appendix A</w:t>
            </w:r>
            <w:r w:rsidR="00BE0F7B">
              <w:rPr>
                <w:noProof/>
                <w:webHidden/>
              </w:rPr>
              <w:tab/>
            </w:r>
            <w:r w:rsidR="00BE0F7B">
              <w:rPr>
                <w:noProof/>
                <w:webHidden/>
              </w:rPr>
              <w:fldChar w:fldCharType="begin"/>
            </w:r>
            <w:r w:rsidR="00BE0F7B">
              <w:rPr>
                <w:noProof/>
                <w:webHidden/>
              </w:rPr>
              <w:instrText xml:space="preserve"> PAGEREF _Toc139643006 \h </w:instrText>
            </w:r>
            <w:r w:rsidR="00BE0F7B">
              <w:rPr>
                <w:noProof/>
                <w:webHidden/>
              </w:rPr>
              <w:fldChar w:fldCharType="separate"/>
            </w:r>
            <w:r w:rsidR="00D263BB">
              <w:rPr>
                <w:noProof/>
                <w:webHidden/>
              </w:rPr>
              <w:t>80</w:t>
            </w:r>
            <w:r w:rsidR="00BE0F7B">
              <w:rPr>
                <w:noProof/>
                <w:webHidden/>
              </w:rPr>
              <w:fldChar w:fldCharType="end"/>
            </w:r>
          </w:hyperlink>
        </w:p>
        <w:p w:rsidR="00514711" w:rsidRPr="0073331E" w:rsidP="00026F9A" w14:paraId="0ED13246" w14:textId="594BE6FC">
          <w:r w:rsidRPr="0073331E">
            <w:rPr>
              <w:noProof/>
            </w:rPr>
            <w:fldChar w:fldCharType="end"/>
          </w:r>
        </w:p>
      </w:sdtContent>
    </w:sdt>
    <w:p w:rsidR="00514711" w:rsidRPr="0073331E" w:rsidP="00026F9A" w14:paraId="0A824E9F" w14:textId="77777777">
      <w:pPr>
        <w:spacing w:line="276" w:lineRule="auto"/>
      </w:pPr>
      <w:r w:rsidRPr="0073331E">
        <w:br w:type="page"/>
      </w:r>
    </w:p>
    <w:p w:rsidR="00514711" w:rsidP="00026F9A" w14:paraId="440EDD2A" w14:textId="2D6C482A">
      <w:pPr>
        <w:pStyle w:val="Heading1"/>
      </w:pPr>
      <w:bookmarkStart w:id="1" w:name="_Toc102486124"/>
      <w:bookmarkStart w:id="2" w:name="_Toc139642981"/>
      <w:r w:rsidRPr="0073331E">
        <w:t>Introduction and Summary</w:t>
      </w:r>
      <w:bookmarkEnd w:id="1"/>
      <w:bookmarkEnd w:id="2"/>
    </w:p>
    <w:p w:rsidR="00514711" w:rsidRPr="0073331E" w:rsidP="00026F9A" w14:paraId="09475EF7" w14:textId="77777777">
      <w:pPr>
        <w:pStyle w:val="Heading2"/>
      </w:pPr>
      <w:bookmarkStart w:id="3" w:name="_Toc102486125"/>
      <w:bookmarkStart w:id="4" w:name="_Toc139642982"/>
      <w:r w:rsidRPr="0073331E">
        <w:t>Introduction</w:t>
      </w:r>
      <w:bookmarkEnd w:id="3"/>
      <w:bookmarkEnd w:id="4"/>
    </w:p>
    <w:p w:rsidR="00BE76E7" w:rsidP="00026F9A" w14:paraId="59983E28" w14:textId="77777777">
      <w:pPr>
        <w:spacing w:line="480" w:lineRule="auto"/>
        <w:ind w:firstLine="720"/>
      </w:pPr>
      <w:r w:rsidRPr="0073331E">
        <w:t xml:space="preserve">We have examined the impacts of the </w:t>
      </w:r>
      <w:r w:rsidR="003D469C">
        <w:t>final</w:t>
      </w:r>
      <w:r w:rsidRPr="0073331E">
        <w:t xml:space="preserve"> rule under Executive Order 12866, Executive Order 13563,</w:t>
      </w:r>
      <w:r w:rsidR="005A0E84">
        <w:t xml:space="preserve"> Executive Order 14094,</w:t>
      </w:r>
      <w:r w:rsidRPr="0073331E">
        <w:t xml:space="preserve"> the Regulatory Flexibility Act (5 U.S.C. 601-612), </w:t>
      </w:r>
      <w:r w:rsidR="000134F4">
        <w:t xml:space="preserve">the Congressional Review Act/Small Business Regulatory Enforcement Fairness Act (5 U.S.C. 801, Pub. L. 104-121), </w:t>
      </w:r>
      <w:r w:rsidRPr="0073331E">
        <w:t>and the Unfunded Mandates Reform Act of 1995 (Pub. L. 104-4).</w:t>
      </w:r>
      <w:r w:rsidR="00C97A5C">
        <w:t xml:space="preserve"> </w:t>
      </w:r>
    </w:p>
    <w:p w:rsidR="007B48F9" w:rsidP="00026F9A" w14:paraId="5FCEDA36" w14:textId="6E719A67">
      <w:pPr>
        <w:spacing w:line="480" w:lineRule="auto"/>
        <w:ind w:firstLine="720"/>
      </w:pPr>
      <w:r w:rsidRPr="0073331E">
        <w:t>Executive Orders 12866</w:t>
      </w:r>
      <w:r w:rsidR="00171B06">
        <w:t>,</w:t>
      </w:r>
      <w:r w:rsidR="00F24311">
        <w:t xml:space="preserve"> </w:t>
      </w:r>
      <w:r w:rsidRPr="0073331E">
        <w:t>13563</w:t>
      </w:r>
      <w:r w:rsidR="00171B06">
        <w:t>, and 14094</w:t>
      </w:r>
      <w:r w:rsidRPr="0073331E">
        <w:t xml:space="preserve"> direct us to assess all </w:t>
      </w:r>
      <w:r w:rsidR="00AC0615">
        <w:t>benefits,</w:t>
      </w:r>
      <w:r w:rsidR="003E229F">
        <w:t xml:space="preserve"> </w:t>
      </w:r>
      <w:r w:rsidRPr="0073331E">
        <w:t>costs</w:t>
      </w:r>
      <w:r w:rsidR="0062780C">
        <w:t xml:space="preserve">, and transfers </w:t>
      </w:r>
      <w:r w:rsidRPr="0073331E">
        <w:t>of available regulatory alternatives and, when regulation is necessary, to select regulatory approaches that maximize net benefits (including potential economic, environmental, public health and safety, and other advantages; distributive impacts; and equity).</w:t>
      </w:r>
      <w:r w:rsidR="00C97A5C">
        <w:t xml:space="preserve"> </w:t>
      </w:r>
      <w:r w:rsidR="00BB413D">
        <w:t>Rules are “significant” under Executive Order 12866 Section 3(f)(1) (as amended by Executive Order 14094) if they “have an annual effect on the economy of $200 million or more (adjusted every 3 years by the Administrator of the Office of Information and Regulatory Affairs (OIRA) for changes in gross domestic product); or adversely affect in a material way the economy, a sector of the economy, productivity, competition, jobs, the environment, public health or safety, or State, local, territorial, or tribal governments or communities</w:t>
      </w:r>
      <w:r w:rsidR="00F153C2">
        <w:t>.”</w:t>
      </w:r>
      <w:r w:rsidRPr="00E10DB6" w:rsidR="00E10DB6">
        <w:t xml:space="preserve"> OIRA has determined that this </w:t>
      </w:r>
      <w:r w:rsidR="00BE55EB">
        <w:t>final</w:t>
      </w:r>
      <w:r w:rsidRPr="00E10DB6" w:rsidR="00E10DB6">
        <w:t xml:space="preserve"> rule is not a significant regulatory action under Executive Order 12866 Section 3(f)(1).</w:t>
      </w:r>
    </w:p>
    <w:p w:rsidR="00BD7358" w:rsidRPr="0073331E" w:rsidP="00B511F3" w14:paraId="7ECB31F4" w14:textId="2F7D182B">
      <w:pPr>
        <w:spacing w:line="480" w:lineRule="auto"/>
        <w:ind w:firstLine="720"/>
      </w:pPr>
      <w:r w:rsidRPr="006909A9">
        <w:t>Because this rule is not likely to result in an annual effect on the economy of $100 million or more or meets other criteria specified in the Congressional Review Act/Small Business Regulatory Enforcement Fairness Act, OIRA has determined that this rule does not fall within the scope of 5 U.S.C. 804(2).</w:t>
      </w:r>
    </w:p>
    <w:p w:rsidR="007B48F9" w:rsidRPr="0073331E" w:rsidP="00026F9A" w14:paraId="1D96403B" w14:textId="16830522">
      <w:pPr>
        <w:spacing w:line="480" w:lineRule="auto"/>
        <w:ind w:firstLine="720"/>
      </w:pPr>
      <w:r w:rsidRPr="00383D57">
        <w:t>The Regulatory Flexibility Act requires us to analyze regulatory options that would minimize any significant impact of a rule on small entities.</w:t>
      </w:r>
      <w:r w:rsidRPr="00383D57" w:rsidR="00C97A5C">
        <w:t xml:space="preserve"> </w:t>
      </w:r>
      <w:r w:rsidRPr="00383D57">
        <w:t xml:space="preserve">Because </w:t>
      </w:r>
      <w:r w:rsidRPr="00383D57" w:rsidR="00E05CA2">
        <w:t xml:space="preserve">some small entities may </w:t>
      </w:r>
      <w:r w:rsidRPr="00383D57" w:rsidR="00E05CA2">
        <w:t>incur costs larger than 3% o</w:t>
      </w:r>
      <w:r w:rsidRPr="00383D57" w:rsidR="000E0979">
        <w:t xml:space="preserve">f annual revenues, </w:t>
      </w:r>
      <w:r w:rsidRPr="00383D57">
        <w:t xml:space="preserve">we </w:t>
      </w:r>
      <w:r w:rsidRPr="00383D57" w:rsidR="000E0979">
        <w:t>cannot certify</w:t>
      </w:r>
      <w:r w:rsidRPr="00383D57">
        <w:t xml:space="preserve"> that the </w:t>
      </w:r>
      <w:r w:rsidRPr="00383D57" w:rsidR="006A119F">
        <w:t>final</w:t>
      </w:r>
      <w:r w:rsidRPr="00383D57">
        <w:t xml:space="preserve"> rule </w:t>
      </w:r>
      <w:r w:rsidRPr="00383D57" w:rsidR="000E0979">
        <w:t xml:space="preserve">will not </w:t>
      </w:r>
      <w:r w:rsidRPr="00383D57">
        <w:t>have a significant economic impact on a substantial number of small entities.</w:t>
      </w:r>
    </w:p>
    <w:p w:rsidR="00514711" w:rsidP="00026F9A" w14:paraId="22F9A122" w14:textId="0288288C">
      <w:pPr>
        <w:spacing w:line="480" w:lineRule="auto"/>
        <w:ind w:firstLine="720"/>
      </w:pPr>
      <w:r w:rsidRPr="0073331E">
        <w:t xml:space="preserve">The Unfunded Mandates Reform Act of 1995 (section 202(a)) requires us to prepare a written statement, which includes </w:t>
      </w:r>
      <w:r w:rsidR="00CB5D89">
        <w:t>estimate</w:t>
      </w:r>
      <w:r w:rsidR="006D22BD">
        <w:t>s</w:t>
      </w:r>
      <w:r w:rsidRPr="0073331E">
        <w:t xml:space="preserve"> of anticipated </w:t>
      </w:r>
      <w:r w:rsidR="006D22BD">
        <w:t>impacts</w:t>
      </w:r>
      <w:r w:rsidRPr="0073331E">
        <w:t xml:space="preserve">, before </w:t>
      </w:r>
      <w:r w:rsidR="00D701A8">
        <w:t>issuing</w:t>
      </w:r>
      <w:r w:rsidRPr="0073331E">
        <w:t xml:space="preserve"> “any rule that includes any Federal mandate that may result in the </w:t>
      </w:r>
      <w:bookmarkStart w:id="5" w:name="_Hlk82084740"/>
      <w:r w:rsidRPr="0073331E">
        <w:t xml:space="preserve">expenditure by State, local, and tribal governments, in the aggregate, or by the private sector, of $100,000,000 </w:t>
      </w:r>
      <w:bookmarkEnd w:id="5"/>
      <w:r w:rsidRPr="0073331E">
        <w:t>or more (adjusted annually for inflation) in any one year.”</w:t>
      </w:r>
      <w:r w:rsidR="00C97A5C">
        <w:t xml:space="preserve"> </w:t>
      </w:r>
      <w:r w:rsidRPr="0073331E">
        <w:t>The current threshold after adjustment for inflation is $1</w:t>
      </w:r>
      <w:r w:rsidR="00C659D7">
        <w:t>83</w:t>
      </w:r>
      <w:r w:rsidRPr="0073331E">
        <w:t xml:space="preserve"> million, using the most current (202</w:t>
      </w:r>
      <w:r w:rsidR="00C659D7">
        <w:t>3</w:t>
      </w:r>
      <w:r w:rsidRPr="0073331E">
        <w:t>) Implicit Price Deflator for the Gross Domestic Product.</w:t>
      </w:r>
      <w:r w:rsidR="00C97A5C">
        <w:t xml:space="preserve"> </w:t>
      </w:r>
      <w:r w:rsidRPr="0073331E">
        <w:t xml:space="preserve">This </w:t>
      </w:r>
      <w:r w:rsidR="00D701A8">
        <w:t>final</w:t>
      </w:r>
      <w:r w:rsidRPr="0073331E">
        <w:t xml:space="preserve"> rule </w:t>
      </w:r>
      <w:r w:rsidR="00D35E0D">
        <w:t>would not</w:t>
      </w:r>
      <w:r w:rsidRPr="0073331E">
        <w:t xml:space="preserve"> result in an expenditure in any year that meets or exceeds this amount.</w:t>
      </w:r>
    </w:p>
    <w:p w:rsidR="00006C8F" w:rsidRPr="0073331E" w:rsidP="00026F9A" w14:paraId="5DA74FB8" w14:textId="511AA71D">
      <w:pPr>
        <w:pStyle w:val="Heading2"/>
      </w:pPr>
      <w:bookmarkStart w:id="6" w:name="_Toc102486126"/>
      <w:bookmarkStart w:id="7" w:name="_Toc139642983"/>
      <w:r w:rsidRPr="0073331E">
        <w:t xml:space="preserve">Summary of </w:t>
      </w:r>
      <w:r w:rsidR="0062780C">
        <w:t xml:space="preserve">Benefits, </w:t>
      </w:r>
      <w:r w:rsidR="00E915F9">
        <w:t>Costs</w:t>
      </w:r>
      <w:r w:rsidR="0062780C">
        <w:t xml:space="preserve">, </w:t>
      </w:r>
      <w:r w:rsidR="00E915F9">
        <w:t xml:space="preserve">and </w:t>
      </w:r>
      <w:bookmarkEnd w:id="6"/>
      <w:r w:rsidR="0062780C">
        <w:t>Transfers</w:t>
      </w:r>
      <w:bookmarkEnd w:id="7"/>
    </w:p>
    <w:p w:rsidR="00D72E07" w:rsidP="00026F9A" w14:paraId="2A9CBF4F" w14:textId="3D6C94CC">
      <w:pPr>
        <w:spacing w:line="480" w:lineRule="auto"/>
      </w:pPr>
      <w:r>
        <w:tab/>
      </w:r>
      <w:bookmarkStart w:id="8" w:name="_Hlk58586928"/>
      <w:r>
        <w:t xml:space="preserve">We estimate costs of the rule resulting from reading the rule, conducting pre-harvest agricultural water assessments, conducting mitigation measures when reasonably necessary based on the outcomes of the pre-harvest agricultural water assessments, and recordkeeping as a result of the pre-harvest agricultural water assessments. </w:t>
      </w:r>
      <w:r w:rsidRPr="00FB157F">
        <w:t>For the purposes of this analysis, the primary baseline</w:t>
      </w:r>
      <w:r w:rsidR="008B5ED1">
        <w:t xml:space="preserve"> against which </w:t>
      </w:r>
      <w:r w:rsidRPr="00FB157F">
        <w:t>the costs and benefits of th</w:t>
      </w:r>
      <w:r w:rsidR="008B5ED1">
        <w:t xml:space="preserve">is rule are measured </w:t>
      </w:r>
      <w:r w:rsidR="00F9796D">
        <w:t>are</w:t>
      </w:r>
      <w:r w:rsidR="008B5ED1">
        <w:t xml:space="preserve"> the</w:t>
      </w:r>
      <w:r w:rsidRPr="00FB157F">
        <w:t xml:space="preserve"> </w:t>
      </w:r>
      <w:r w:rsidR="0030159E">
        <w:t xml:space="preserve">microbial quality criteria and testing </w:t>
      </w:r>
      <w:r w:rsidRPr="00FB157F">
        <w:t xml:space="preserve">provisions </w:t>
      </w:r>
      <w:r w:rsidR="007E2A27">
        <w:t xml:space="preserve">for pre-harvest agricultural water </w:t>
      </w:r>
      <w:r w:rsidR="0030159E">
        <w:t xml:space="preserve">for non-sprout covered produce </w:t>
      </w:r>
      <w:r w:rsidRPr="00FB157F">
        <w:t xml:space="preserve">in the </w:t>
      </w:r>
      <w:r>
        <w:t xml:space="preserve">2015 </w:t>
      </w:r>
      <w:r w:rsidR="00113CC3">
        <w:t>p</w:t>
      </w:r>
      <w:r>
        <w:t xml:space="preserve">roduce </w:t>
      </w:r>
      <w:r w:rsidR="00113CC3">
        <w:t>s</w:t>
      </w:r>
      <w:r>
        <w:t xml:space="preserve">afety </w:t>
      </w:r>
      <w:r w:rsidR="00113CC3">
        <w:t>f</w:t>
      </w:r>
      <w:r>
        <w:t xml:space="preserve">inal </w:t>
      </w:r>
      <w:r w:rsidR="00113CC3">
        <w:t>r</w:t>
      </w:r>
      <w:r>
        <w:t>ule</w:t>
      </w:r>
      <w:r w:rsidRPr="00FB157F">
        <w:t>.</w:t>
      </w:r>
      <w:r>
        <w:rPr>
          <w:rStyle w:val="FootnoteReference"/>
        </w:rPr>
        <w:footnoteReference w:id="3"/>
      </w:r>
      <w:r w:rsidRPr="00583451">
        <w:rPr>
          <w:vertAlign w:val="superscript"/>
        </w:rPr>
        <w:t xml:space="preserve"> </w:t>
      </w:r>
      <w:r>
        <w:rPr>
          <w:vertAlign w:val="superscript"/>
        </w:rPr>
        <w:t xml:space="preserve"> </w:t>
      </w:r>
      <w:r w:rsidRPr="00FB157F">
        <w:t xml:space="preserve">However, throughout the analysis, we conduct intermediate calculations of costs and benefits of both the </w:t>
      </w:r>
      <w:r>
        <w:t xml:space="preserve">2015 </w:t>
      </w:r>
      <w:r w:rsidR="00113CC3">
        <w:t>produce safety final rule</w:t>
      </w:r>
      <w:r w:rsidRPr="00FB157F">
        <w:t xml:space="preserve"> </w:t>
      </w:r>
      <w:r>
        <w:t>subpart E pre-harvest agricultural water provisions</w:t>
      </w:r>
      <w:r w:rsidRPr="00FB157F">
        <w:t xml:space="preserve"> and th</w:t>
      </w:r>
      <w:r w:rsidR="002444F1">
        <w:t>is</w:t>
      </w:r>
      <w:r w:rsidRPr="00FB157F">
        <w:t xml:space="preserve"> rule relative to an alternate baseline </w:t>
      </w:r>
      <w:r w:rsidRPr="00FB157F">
        <w:t xml:space="preserve">represented by a state of the world in which there are no pre-harvest agricultural water provisions. </w:t>
      </w:r>
      <w:r w:rsidR="00153C3E">
        <w:t>Given FDA’s announcement of an</w:t>
      </w:r>
      <w:r w:rsidR="00C35868">
        <w:t xml:space="preserve"> intent</w:t>
      </w:r>
      <w:r w:rsidR="009A53E4">
        <w:t xml:space="preserve"> to</w:t>
      </w:r>
      <w:r w:rsidR="00CA3691">
        <w:t xml:space="preserve"> exercise enforcement discretion </w:t>
      </w:r>
      <w:r w:rsidR="00DC0B05">
        <w:t>for</w:t>
      </w:r>
      <w:r w:rsidR="00716152">
        <w:t xml:space="preserve"> </w:t>
      </w:r>
      <w:r w:rsidR="009A53E4">
        <w:t xml:space="preserve">the </w:t>
      </w:r>
      <w:r w:rsidR="00716152">
        <w:t xml:space="preserve">pre-harvest agricultural water </w:t>
      </w:r>
      <w:r w:rsidR="00685D05">
        <w:t>requirements</w:t>
      </w:r>
      <w:r w:rsidR="00716152">
        <w:t xml:space="preserve"> </w:t>
      </w:r>
      <w:r w:rsidR="001B2482">
        <w:t xml:space="preserve">in the </w:t>
      </w:r>
      <w:r w:rsidR="00EA44E4">
        <w:t xml:space="preserve">2015 </w:t>
      </w:r>
      <w:r w:rsidR="00113CC3">
        <w:t>p</w:t>
      </w:r>
      <w:r w:rsidR="00182D7D">
        <w:t xml:space="preserve">roduce </w:t>
      </w:r>
      <w:r w:rsidR="00113CC3">
        <w:t>s</w:t>
      </w:r>
      <w:r w:rsidR="00182D7D">
        <w:t xml:space="preserve">afety </w:t>
      </w:r>
      <w:r w:rsidR="00113CC3">
        <w:t>f</w:t>
      </w:r>
      <w:r w:rsidR="00182D7D">
        <w:t xml:space="preserve">inal </w:t>
      </w:r>
      <w:r w:rsidR="00113CC3">
        <w:t>r</w:t>
      </w:r>
      <w:r w:rsidR="00182D7D">
        <w:t>ule</w:t>
      </w:r>
      <w:r w:rsidR="001B2482">
        <w:t xml:space="preserve"> </w:t>
      </w:r>
      <w:r w:rsidR="004C1C55">
        <w:t>for covered produce (other than sprouts)</w:t>
      </w:r>
      <w:r w:rsidR="004762FD">
        <w:t xml:space="preserve"> while undergoing </w:t>
      </w:r>
      <w:r w:rsidR="00EA44E4">
        <w:t xml:space="preserve">this </w:t>
      </w:r>
      <w:r w:rsidR="004762FD">
        <w:t>rulemaking,</w:t>
      </w:r>
      <w:r w:rsidR="00EF096F">
        <w:t xml:space="preserve"> </w:t>
      </w:r>
      <w:r w:rsidRPr="00800588" w:rsidR="00EF096F">
        <w:t xml:space="preserve">and as this rule revises </w:t>
      </w:r>
      <w:r w:rsidR="0030280F">
        <w:t xml:space="preserve">the 2015 </w:t>
      </w:r>
      <w:r w:rsidR="00113CC3">
        <w:t xml:space="preserve">produce safety final rule </w:t>
      </w:r>
      <w:r w:rsidRPr="00800588" w:rsidR="00EF096F">
        <w:t xml:space="preserve">to remove the pre-harvest microbial quality criteria and </w:t>
      </w:r>
      <w:r w:rsidR="00460EC7">
        <w:t>uniform</w:t>
      </w:r>
      <w:r w:rsidR="000C0195">
        <w:t xml:space="preserve"> </w:t>
      </w:r>
      <w:r w:rsidRPr="00800588" w:rsidR="00EF096F">
        <w:t xml:space="preserve">testing requirements, </w:t>
      </w:r>
      <w:r w:rsidR="00036C35">
        <w:t>a baseline of no pre-harvest agricultural water provisions may better represent the state of the world absent this rule. As such, we include this as an alternate base</w:t>
      </w:r>
      <w:r w:rsidR="00940295">
        <w:t>line in this analysis.</w:t>
      </w:r>
      <w:r w:rsidR="00036C35">
        <w:t xml:space="preserve"> </w:t>
      </w:r>
      <w:r>
        <w:t>In both scenarios, we consider only the effects of subpart E pre-harvest agricultural water provisions. Throughout</w:t>
      </w:r>
      <w:r w:rsidRPr="00FB157F">
        <w:t xml:space="preserve"> this document, we use the term “baseline benefits” to represent the estimated benefits of the </w:t>
      </w:r>
      <w:r w:rsidR="00CC3A1D">
        <w:t xml:space="preserve">pre-harvest </w:t>
      </w:r>
      <w:r w:rsidR="00C87587">
        <w:t xml:space="preserve">agricultural water </w:t>
      </w:r>
      <w:r w:rsidR="00CC3A1D">
        <w:t xml:space="preserve">microbial quality criteria and testing provisions </w:t>
      </w:r>
      <w:r w:rsidR="00C87587">
        <w:t xml:space="preserve">in the </w:t>
      </w:r>
      <w:r>
        <w:t xml:space="preserve">2015 </w:t>
      </w:r>
      <w:r w:rsidR="00113CC3">
        <w:t>produce safety final rule</w:t>
      </w:r>
      <w:r w:rsidRPr="00FB157F">
        <w:t xml:space="preserve"> absent th</w:t>
      </w:r>
      <w:r w:rsidR="002444F1">
        <w:t xml:space="preserve">is </w:t>
      </w:r>
      <w:r w:rsidRPr="00FB157F">
        <w:t xml:space="preserve">rule, and we use the term “baseline costs” to represent the estimated costs of </w:t>
      </w:r>
      <w:r w:rsidR="00C87587">
        <w:t>those provisions in the</w:t>
      </w:r>
      <w:r w:rsidRPr="00FB157F" w:rsidR="00C87587">
        <w:t xml:space="preserve"> </w:t>
      </w:r>
      <w:r>
        <w:t xml:space="preserve">2015 </w:t>
      </w:r>
      <w:r w:rsidR="00113CC3">
        <w:t xml:space="preserve">produce safety final rule </w:t>
      </w:r>
      <w:r w:rsidRPr="00FB157F">
        <w:t>absent the rule.</w:t>
      </w:r>
      <w:r>
        <w:rPr>
          <w:rStyle w:val="CommentReference"/>
        </w:rPr>
        <w:t xml:space="preserve"> </w:t>
      </w:r>
      <w:r>
        <w:t xml:space="preserve">Our primary estimates of annualized costs </w:t>
      </w:r>
      <w:r w:rsidR="002564D6">
        <w:t xml:space="preserve">relative to the primary baseline of </w:t>
      </w:r>
      <w:r w:rsidR="008744CD">
        <w:t xml:space="preserve">the </w:t>
      </w:r>
      <w:r w:rsidR="002564D6">
        <w:t xml:space="preserve">2015 </w:t>
      </w:r>
      <w:r w:rsidR="008744CD">
        <w:t xml:space="preserve">pre-harvest agricultural </w:t>
      </w:r>
      <w:r w:rsidR="002564D6">
        <w:t xml:space="preserve">water </w:t>
      </w:r>
      <w:r w:rsidR="008744CD">
        <w:t xml:space="preserve">microbial quality criteria and </w:t>
      </w:r>
      <w:r w:rsidR="002564D6">
        <w:t xml:space="preserve">testing provisions </w:t>
      </w:r>
      <w:r>
        <w:t>are approximately $1</w:t>
      </w:r>
      <w:r w:rsidR="00703BE1">
        <w:t>7.5</w:t>
      </w:r>
      <w:r>
        <w:t xml:space="preserve"> million at a 3 percent discount rate and approximately $1</w:t>
      </w:r>
      <w:r w:rsidR="00703BE1">
        <w:t>7.7</w:t>
      </w:r>
      <w:r>
        <w:t xml:space="preserve"> million at a 7 percent discount rate over 10 years.</w:t>
      </w:r>
    </w:p>
    <w:bookmarkEnd w:id="8"/>
    <w:p w:rsidR="00D72E07" w:rsidRPr="00D72E07" w:rsidP="00026F9A" w14:paraId="13EA9D2F" w14:textId="5AB20D2A">
      <w:pPr>
        <w:spacing w:line="480" w:lineRule="auto"/>
      </w:pPr>
      <w:r>
        <w:tab/>
        <w:t xml:space="preserve">We estimate benefits of </w:t>
      </w:r>
      <w:r w:rsidR="00054B93">
        <w:t xml:space="preserve">this </w:t>
      </w:r>
      <w:r>
        <w:t xml:space="preserve">rule resulting from the dollar burden of foodborne illnesses averted, and we estimate forgone benefits of </w:t>
      </w:r>
      <w:r w:rsidR="00054B93">
        <w:t xml:space="preserve">this </w:t>
      </w:r>
      <w:r>
        <w:t>rule resulting from foodborne illnesses not averted due to the pre-harvest agricultural water</w:t>
      </w:r>
      <w:r w:rsidR="00201E91">
        <w:t xml:space="preserve"> microbial quality criteria and</w:t>
      </w:r>
      <w:r>
        <w:t xml:space="preserve"> testing provisions</w:t>
      </w:r>
      <w:r w:rsidR="00201E91">
        <w:t xml:space="preserve"> in the 2015 </w:t>
      </w:r>
      <w:r w:rsidR="00113CC3">
        <w:t>produce safety final rule</w:t>
      </w:r>
      <w:r>
        <w:t xml:space="preserve">. </w:t>
      </w:r>
      <w:r w:rsidRPr="007B4074">
        <w:t>Our primary estimates of annualized benefits are approximately $</w:t>
      </w:r>
      <w:r w:rsidR="00703BE1">
        <w:t>10.3</w:t>
      </w:r>
      <w:r w:rsidRPr="007B4074">
        <w:t xml:space="preserve"> million at a 3 percent discount rate and approximately $</w:t>
      </w:r>
      <w:r w:rsidR="00703BE1">
        <w:t>10.1</w:t>
      </w:r>
      <w:r w:rsidRPr="007B4074">
        <w:t xml:space="preserve"> million at a 7 percent discount rate</w:t>
      </w:r>
      <w:r>
        <w:t xml:space="preserve"> over 10 years</w:t>
      </w:r>
      <w:r w:rsidRPr="007B4074">
        <w:t>.</w:t>
      </w:r>
      <w:r>
        <w:t xml:space="preserve"> We discuss </w:t>
      </w:r>
      <w:r w:rsidR="00275159">
        <w:t>non-quantified</w:t>
      </w:r>
      <w:r w:rsidR="00DC7CDA">
        <w:t xml:space="preserve"> </w:t>
      </w:r>
      <w:r>
        <w:t xml:space="preserve">benefits of the rule stemming from </w:t>
      </w:r>
      <w:r w:rsidR="002564D6">
        <w:t>avoiding</w:t>
      </w:r>
      <w:r w:rsidR="00622EF3">
        <w:t xml:space="preserve"> </w:t>
      </w:r>
      <w:r w:rsidR="001A3B69">
        <w:t xml:space="preserve">overly broad </w:t>
      </w:r>
      <w:r w:rsidR="0030008E">
        <w:t xml:space="preserve">recalls </w:t>
      </w:r>
      <w:r w:rsidR="002564D6">
        <w:t>of products that would have occurred absent the rule.</w:t>
      </w:r>
      <w:r w:rsidR="00622EF3">
        <w:t xml:space="preserve"> </w:t>
      </w:r>
      <w:r w:rsidR="002564D6">
        <w:t xml:space="preserve">We also </w:t>
      </w:r>
      <w:r w:rsidR="002564D6">
        <w:t>discuss non-quantified benefits related to</w:t>
      </w:r>
      <w:r w:rsidR="0030008E">
        <w:t xml:space="preserve"> </w:t>
      </w:r>
      <w:r>
        <w:t>increased flexibility for covered farms to comprehensively evaluate their agricultural water systems</w:t>
      </w:r>
      <w:r w:rsidR="007C0FD7">
        <w:t xml:space="preserve">, </w:t>
      </w:r>
      <w:r w:rsidRPr="00682E84" w:rsidR="007C0FD7">
        <w:t>in light of the requirements for pre-harvest agricultural water assessments being designed to accommodate a wide range of agricultural water sources, uses, and practices</w:t>
      </w:r>
      <w:r>
        <w:t xml:space="preserve">. </w:t>
      </w:r>
      <w:r w:rsidRPr="00CA4169" w:rsidR="00BA6C5C">
        <w:t xml:space="preserve">These changes to </w:t>
      </w:r>
      <w:r w:rsidR="00555FB5">
        <w:t xml:space="preserve">the </w:t>
      </w:r>
      <w:r w:rsidRPr="00CA4169" w:rsidR="00BA6C5C">
        <w:t xml:space="preserve">pre-harvest agricultural water provisions are being </w:t>
      </w:r>
      <w:r w:rsidR="00BA6C5C">
        <w:t>finalized to improve public health protections with a regulatory approach that incorporates recent science, data, and other information available to FDA</w:t>
      </w:r>
      <w:r w:rsidRPr="00CA4169" w:rsidR="00BA6C5C">
        <w:t xml:space="preserve">, </w:t>
      </w:r>
      <w:r w:rsidR="00BA6C5C">
        <w:t>and</w:t>
      </w:r>
      <w:r w:rsidRPr="00CA4169" w:rsidR="00BA6C5C">
        <w:t xml:space="preserve"> to address</w:t>
      </w:r>
      <w:r w:rsidR="00BA6C5C">
        <w:t xml:space="preserve"> feedback </w:t>
      </w:r>
      <w:r w:rsidR="00555FB5">
        <w:t xml:space="preserve">on </w:t>
      </w:r>
      <w:r w:rsidRPr="00CA4169" w:rsidR="00BA6C5C">
        <w:t>practical implementation challenges of the</w:t>
      </w:r>
      <w:r w:rsidR="00BA6C5C">
        <w:t xml:space="preserve"> 2015 microbial water quality criteria and</w:t>
      </w:r>
      <w:r w:rsidRPr="00CA4169" w:rsidR="00BA6C5C">
        <w:t xml:space="preserve"> testing requirements</w:t>
      </w:r>
      <w:r w:rsidR="00BA6C5C">
        <w:t>.</w:t>
      </w:r>
    </w:p>
    <w:p w:rsidR="00AC09F1" w:rsidRPr="00CB755E" w:rsidP="00026F9A" w14:paraId="7A6B4D44" w14:textId="7300E15D">
      <w:pPr>
        <w:pStyle w:val="Caption"/>
      </w:pPr>
      <w:r w:rsidRPr="0073331E">
        <w:t xml:space="preserve">Table </w:t>
      </w:r>
      <w:r>
        <w:fldChar w:fldCharType="begin"/>
      </w:r>
      <w:r>
        <w:instrText>SEQ Table \* ARABIC</w:instrText>
      </w:r>
      <w:r>
        <w:fldChar w:fldCharType="separate"/>
      </w:r>
      <w:r w:rsidR="00162F2E">
        <w:rPr>
          <w:noProof/>
        </w:rPr>
        <w:t>1</w:t>
      </w:r>
      <w:r>
        <w:fldChar w:fldCharType="end"/>
      </w:r>
      <w:r w:rsidRPr="0073331E">
        <w:t>.</w:t>
      </w:r>
      <w:r w:rsidR="00C97A5C">
        <w:t xml:space="preserve"> </w:t>
      </w:r>
      <w:r w:rsidRPr="0073331E">
        <w:t>Summary of Benefits, Costs</w:t>
      </w:r>
      <w:r w:rsidR="008610EB">
        <w:t>,</w:t>
      </w:r>
      <w:r w:rsidRPr="0073331E">
        <w:t xml:space="preserve"> and Distributional Effects of</w:t>
      </w:r>
      <w:r w:rsidR="008610EB">
        <w:t xml:space="preserve"> </w:t>
      </w:r>
      <w:r w:rsidR="0062780C">
        <w:t xml:space="preserve">the </w:t>
      </w:r>
      <w:r w:rsidR="00C3218C">
        <w:t>Final</w:t>
      </w:r>
      <w:r w:rsidRPr="0073331E" w:rsidR="00AC7AF2">
        <w:t xml:space="preserve"> R</w:t>
      </w:r>
      <w:r w:rsidRPr="0073331E" w:rsidR="00937696">
        <w:t>ule</w:t>
      </w:r>
      <w:r w:rsidR="0062780C">
        <w:t xml:space="preserve"> (millions of </w:t>
      </w:r>
      <w:r w:rsidR="00D166DF">
        <w:t>202</w:t>
      </w:r>
      <w:r w:rsidR="00742B55">
        <w:t>2</w:t>
      </w:r>
      <w:r w:rsidR="0062780C">
        <w:t xml:space="preserve"> dollars)</w:t>
      </w:r>
    </w:p>
    <w:tbl>
      <w:tblPr>
        <w:tblStyle w:val="TableGrid"/>
        <w:tblW w:w="0" w:type="auto"/>
        <w:tblLayout w:type="fixed"/>
        <w:tblLook w:val="04A0"/>
      </w:tblPr>
      <w:tblGrid>
        <w:gridCol w:w="1075"/>
        <w:gridCol w:w="1260"/>
        <w:gridCol w:w="1080"/>
        <w:gridCol w:w="1080"/>
        <w:gridCol w:w="1080"/>
        <w:gridCol w:w="900"/>
        <w:gridCol w:w="990"/>
        <w:gridCol w:w="900"/>
        <w:gridCol w:w="985"/>
      </w:tblGrid>
      <w:tr w14:paraId="10E15A1E" w14:textId="77777777" w:rsidTr="00A24802">
        <w:tblPrEx>
          <w:tblW w:w="0" w:type="auto"/>
          <w:tblLayout w:type="fixed"/>
          <w:tblLook w:val="04A0"/>
        </w:tblPrEx>
        <w:trPr>
          <w:trHeight w:val="315"/>
          <w:tblHeader/>
        </w:trPr>
        <w:tc>
          <w:tcPr>
            <w:tcW w:w="2335" w:type="dxa"/>
            <w:gridSpan w:val="2"/>
            <w:vMerge w:val="restart"/>
            <w:vAlign w:val="center"/>
          </w:tcPr>
          <w:p w:rsidR="00006C8F" w:rsidRPr="00D166DF" w:rsidP="00026F9A" w14:paraId="01801A79" w14:textId="77777777">
            <w:pPr>
              <w:pStyle w:val="NoSpacing"/>
              <w:rPr>
                <w:sz w:val="20"/>
                <w:szCs w:val="20"/>
              </w:rPr>
            </w:pPr>
            <w:r w:rsidRPr="00D166DF">
              <w:rPr>
                <w:sz w:val="20"/>
                <w:szCs w:val="20"/>
              </w:rPr>
              <w:t>Category</w:t>
            </w:r>
          </w:p>
        </w:tc>
        <w:tc>
          <w:tcPr>
            <w:tcW w:w="1080" w:type="dxa"/>
            <w:vMerge w:val="restart"/>
            <w:vAlign w:val="center"/>
          </w:tcPr>
          <w:p w:rsidR="00006C8F" w:rsidRPr="00D166DF" w:rsidP="00026F9A" w14:paraId="2A8455AC" w14:textId="77777777">
            <w:pPr>
              <w:pStyle w:val="NoSpacing"/>
              <w:jc w:val="center"/>
              <w:rPr>
                <w:sz w:val="20"/>
                <w:szCs w:val="20"/>
              </w:rPr>
            </w:pPr>
            <w:r w:rsidRPr="00D166DF">
              <w:rPr>
                <w:sz w:val="20"/>
                <w:szCs w:val="20"/>
              </w:rPr>
              <w:t>Primary Estimate</w:t>
            </w:r>
          </w:p>
        </w:tc>
        <w:tc>
          <w:tcPr>
            <w:tcW w:w="1080" w:type="dxa"/>
            <w:vMerge w:val="restart"/>
            <w:vAlign w:val="center"/>
          </w:tcPr>
          <w:p w:rsidR="00006C8F" w:rsidRPr="00D166DF" w:rsidP="00026F9A" w14:paraId="31D7666D" w14:textId="77777777">
            <w:pPr>
              <w:pStyle w:val="NoSpacing"/>
              <w:jc w:val="center"/>
              <w:rPr>
                <w:sz w:val="20"/>
                <w:szCs w:val="20"/>
              </w:rPr>
            </w:pPr>
            <w:r w:rsidRPr="00D166DF">
              <w:rPr>
                <w:sz w:val="20"/>
                <w:szCs w:val="20"/>
              </w:rPr>
              <w:t>Low Estimate</w:t>
            </w:r>
          </w:p>
        </w:tc>
        <w:tc>
          <w:tcPr>
            <w:tcW w:w="1080" w:type="dxa"/>
            <w:vMerge w:val="restart"/>
            <w:vAlign w:val="center"/>
          </w:tcPr>
          <w:p w:rsidR="00006C8F" w:rsidRPr="00D166DF" w:rsidP="00026F9A" w14:paraId="2F8138C1" w14:textId="77777777">
            <w:pPr>
              <w:pStyle w:val="NoSpacing"/>
              <w:jc w:val="center"/>
              <w:rPr>
                <w:sz w:val="20"/>
                <w:szCs w:val="20"/>
              </w:rPr>
            </w:pPr>
            <w:r w:rsidRPr="00D166DF">
              <w:rPr>
                <w:sz w:val="20"/>
                <w:szCs w:val="20"/>
              </w:rPr>
              <w:t>High Estimate</w:t>
            </w:r>
          </w:p>
        </w:tc>
        <w:tc>
          <w:tcPr>
            <w:tcW w:w="2790" w:type="dxa"/>
            <w:gridSpan w:val="3"/>
            <w:vAlign w:val="center"/>
          </w:tcPr>
          <w:p w:rsidR="00006C8F" w:rsidRPr="00D166DF" w:rsidP="00026F9A" w14:paraId="0B6B1B72" w14:textId="77777777">
            <w:pPr>
              <w:pStyle w:val="NoSpacing"/>
              <w:jc w:val="center"/>
              <w:rPr>
                <w:sz w:val="20"/>
                <w:szCs w:val="20"/>
              </w:rPr>
            </w:pPr>
            <w:r w:rsidRPr="00D166DF">
              <w:rPr>
                <w:sz w:val="20"/>
                <w:szCs w:val="20"/>
              </w:rPr>
              <w:t>Units</w:t>
            </w:r>
          </w:p>
        </w:tc>
        <w:tc>
          <w:tcPr>
            <w:tcW w:w="985" w:type="dxa"/>
            <w:vMerge w:val="restart"/>
            <w:vAlign w:val="center"/>
          </w:tcPr>
          <w:p w:rsidR="00006C8F" w:rsidRPr="00D166DF" w:rsidP="00026F9A" w14:paraId="27089FA6" w14:textId="77777777">
            <w:pPr>
              <w:pStyle w:val="NoSpacing"/>
              <w:jc w:val="center"/>
              <w:rPr>
                <w:sz w:val="20"/>
                <w:szCs w:val="20"/>
              </w:rPr>
            </w:pPr>
            <w:r w:rsidRPr="00D166DF">
              <w:rPr>
                <w:sz w:val="20"/>
                <w:szCs w:val="20"/>
              </w:rPr>
              <w:t>Notes</w:t>
            </w:r>
          </w:p>
        </w:tc>
      </w:tr>
      <w:tr w14:paraId="302F80D0" w14:textId="77777777" w:rsidTr="0077582A">
        <w:tblPrEx>
          <w:tblW w:w="0" w:type="auto"/>
          <w:tblLayout w:type="fixed"/>
          <w:tblLook w:val="04A0"/>
        </w:tblPrEx>
        <w:trPr>
          <w:trHeight w:val="315"/>
        </w:trPr>
        <w:tc>
          <w:tcPr>
            <w:tcW w:w="2335" w:type="dxa"/>
            <w:gridSpan w:val="2"/>
            <w:vMerge/>
            <w:vAlign w:val="center"/>
          </w:tcPr>
          <w:p w:rsidR="00006C8F" w:rsidRPr="00D166DF" w:rsidP="00026F9A" w14:paraId="304AF293" w14:textId="77777777">
            <w:pPr>
              <w:pStyle w:val="NoSpacing"/>
              <w:jc w:val="center"/>
              <w:rPr>
                <w:sz w:val="20"/>
                <w:szCs w:val="20"/>
              </w:rPr>
            </w:pPr>
          </w:p>
        </w:tc>
        <w:tc>
          <w:tcPr>
            <w:tcW w:w="1080" w:type="dxa"/>
            <w:vMerge/>
            <w:vAlign w:val="center"/>
          </w:tcPr>
          <w:p w:rsidR="00006C8F" w:rsidRPr="00D166DF" w:rsidP="00026F9A" w14:paraId="4648C00A" w14:textId="77777777">
            <w:pPr>
              <w:pStyle w:val="NoSpacing"/>
              <w:jc w:val="center"/>
              <w:rPr>
                <w:sz w:val="20"/>
                <w:szCs w:val="20"/>
              </w:rPr>
            </w:pPr>
          </w:p>
        </w:tc>
        <w:tc>
          <w:tcPr>
            <w:tcW w:w="1080" w:type="dxa"/>
            <w:vMerge/>
            <w:vAlign w:val="center"/>
          </w:tcPr>
          <w:p w:rsidR="00006C8F" w:rsidRPr="00D166DF" w:rsidP="00026F9A" w14:paraId="6FFC1E87" w14:textId="77777777">
            <w:pPr>
              <w:pStyle w:val="NoSpacing"/>
              <w:jc w:val="center"/>
              <w:rPr>
                <w:sz w:val="20"/>
                <w:szCs w:val="20"/>
              </w:rPr>
            </w:pPr>
          </w:p>
        </w:tc>
        <w:tc>
          <w:tcPr>
            <w:tcW w:w="1080" w:type="dxa"/>
            <w:vMerge/>
            <w:vAlign w:val="center"/>
          </w:tcPr>
          <w:p w:rsidR="00006C8F" w:rsidRPr="00D166DF" w:rsidP="00026F9A" w14:paraId="362C0FF0" w14:textId="77777777">
            <w:pPr>
              <w:pStyle w:val="NoSpacing"/>
              <w:jc w:val="center"/>
              <w:rPr>
                <w:sz w:val="20"/>
                <w:szCs w:val="20"/>
              </w:rPr>
            </w:pPr>
          </w:p>
        </w:tc>
        <w:tc>
          <w:tcPr>
            <w:tcW w:w="900" w:type="dxa"/>
            <w:vAlign w:val="center"/>
          </w:tcPr>
          <w:p w:rsidR="00006C8F" w:rsidRPr="00D166DF" w:rsidP="00026F9A" w14:paraId="536C3D6F" w14:textId="77777777">
            <w:pPr>
              <w:pStyle w:val="NoSpacing"/>
              <w:jc w:val="center"/>
              <w:rPr>
                <w:sz w:val="20"/>
                <w:szCs w:val="20"/>
              </w:rPr>
            </w:pPr>
            <w:r w:rsidRPr="00D166DF">
              <w:rPr>
                <w:sz w:val="20"/>
                <w:szCs w:val="20"/>
              </w:rPr>
              <w:t>Year Dollars</w:t>
            </w:r>
          </w:p>
        </w:tc>
        <w:tc>
          <w:tcPr>
            <w:tcW w:w="990" w:type="dxa"/>
            <w:vAlign w:val="center"/>
          </w:tcPr>
          <w:p w:rsidR="00006C8F" w:rsidRPr="00D166DF" w:rsidP="00026F9A" w14:paraId="7A7D9D98" w14:textId="77777777">
            <w:pPr>
              <w:pStyle w:val="NoSpacing"/>
              <w:jc w:val="center"/>
              <w:rPr>
                <w:sz w:val="20"/>
                <w:szCs w:val="20"/>
              </w:rPr>
            </w:pPr>
            <w:r w:rsidRPr="00D166DF">
              <w:rPr>
                <w:sz w:val="20"/>
                <w:szCs w:val="20"/>
              </w:rPr>
              <w:t>Discount Rate</w:t>
            </w:r>
          </w:p>
        </w:tc>
        <w:tc>
          <w:tcPr>
            <w:tcW w:w="900" w:type="dxa"/>
            <w:vAlign w:val="center"/>
          </w:tcPr>
          <w:p w:rsidR="00006C8F" w:rsidRPr="00D166DF" w:rsidP="00026F9A" w14:paraId="4013BAFE" w14:textId="77777777">
            <w:pPr>
              <w:pStyle w:val="NoSpacing"/>
              <w:jc w:val="center"/>
              <w:rPr>
                <w:sz w:val="20"/>
                <w:szCs w:val="20"/>
              </w:rPr>
            </w:pPr>
            <w:r w:rsidRPr="00D166DF">
              <w:rPr>
                <w:sz w:val="20"/>
                <w:szCs w:val="20"/>
              </w:rPr>
              <w:t>Period Covered</w:t>
            </w:r>
          </w:p>
        </w:tc>
        <w:tc>
          <w:tcPr>
            <w:tcW w:w="985" w:type="dxa"/>
            <w:vMerge/>
            <w:vAlign w:val="center"/>
          </w:tcPr>
          <w:p w:rsidR="00006C8F" w:rsidRPr="00D166DF" w:rsidP="00026F9A" w14:paraId="4FF975F8" w14:textId="77777777">
            <w:pPr>
              <w:pStyle w:val="NoSpacing"/>
              <w:jc w:val="center"/>
              <w:rPr>
                <w:sz w:val="20"/>
                <w:szCs w:val="20"/>
              </w:rPr>
            </w:pPr>
          </w:p>
        </w:tc>
      </w:tr>
      <w:tr w14:paraId="162F8E87" w14:textId="77777777" w:rsidTr="0077582A">
        <w:tblPrEx>
          <w:tblW w:w="0" w:type="auto"/>
          <w:tblLayout w:type="fixed"/>
          <w:tblLook w:val="04A0"/>
        </w:tblPrEx>
        <w:trPr>
          <w:trHeight w:val="383"/>
        </w:trPr>
        <w:tc>
          <w:tcPr>
            <w:tcW w:w="1075" w:type="dxa"/>
            <w:vMerge w:val="restart"/>
            <w:vAlign w:val="center"/>
          </w:tcPr>
          <w:p w:rsidR="00BD7E61" w:rsidRPr="00D166DF" w:rsidP="00026F9A" w14:paraId="296D7D9C" w14:textId="77777777">
            <w:pPr>
              <w:pStyle w:val="NoSpacing"/>
              <w:rPr>
                <w:sz w:val="20"/>
                <w:szCs w:val="20"/>
              </w:rPr>
            </w:pPr>
            <w:r w:rsidRPr="00D166DF">
              <w:rPr>
                <w:sz w:val="20"/>
                <w:szCs w:val="20"/>
              </w:rPr>
              <w:t>Benefits</w:t>
            </w:r>
          </w:p>
        </w:tc>
        <w:tc>
          <w:tcPr>
            <w:tcW w:w="1260" w:type="dxa"/>
            <w:vMerge w:val="restart"/>
            <w:vAlign w:val="center"/>
          </w:tcPr>
          <w:p w:rsidR="00BD7E61" w:rsidRPr="00D166DF" w:rsidP="00026F9A" w14:paraId="68789F8A" w14:textId="2FA25632">
            <w:pPr>
              <w:pStyle w:val="NoSpacing"/>
              <w:jc w:val="center"/>
              <w:rPr>
                <w:sz w:val="20"/>
                <w:szCs w:val="20"/>
              </w:rPr>
            </w:pPr>
            <w:r w:rsidRPr="00D166DF">
              <w:rPr>
                <w:sz w:val="20"/>
                <w:szCs w:val="20"/>
              </w:rPr>
              <w:t>Annualized Monetized ($m/year)</w:t>
            </w:r>
          </w:p>
        </w:tc>
        <w:tc>
          <w:tcPr>
            <w:tcW w:w="1080" w:type="dxa"/>
            <w:vAlign w:val="center"/>
          </w:tcPr>
          <w:p w:rsidR="00BD7E61" w:rsidRPr="00D166DF" w:rsidP="00026F9A" w14:paraId="4CFA5BDA" w14:textId="3C84D0B7">
            <w:pPr>
              <w:pStyle w:val="NoSpacing"/>
              <w:jc w:val="center"/>
              <w:rPr>
                <w:sz w:val="20"/>
                <w:szCs w:val="20"/>
              </w:rPr>
            </w:pPr>
            <w:r>
              <w:rPr>
                <w:sz w:val="20"/>
                <w:szCs w:val="20"/>
              </w:rPr>
              <w:t>$</w:t>
            </w:r>
            <w:r w:rsidR="00D905C2">
              <w:rPr>
                <w:sz w:val="20"/>
                <w:szCs w:val="20"/>
              </w:rPr>
              <w:t>10.1</w:t>
            </w:r>
          </w:p>
        </w:tc>
        <w:tc>
          <w:tcPr>
            <w:tcW w:w="1080" w:type="dxa"/>
            <w:vAlign w:val="center"/>
          </w:tcPr>
          <w:p w:rsidR="00BD7E61" w:rsidRPr="00D166DF" w:rsidP="00026F9A" w14:paraId="3BA29875" w14:textId="1183B751">
            <w:pPr>
              <w:pStyle w:val="NoSpacing"/>
              <w:jc w:val="center"/>
              <w:rPr>
                <w:sz w:val="20"/>
                <w:szCs w:val="20"/>
              </w:rPr>
            </w:pPr>
            <w:r>
              <w:rPr>
                <w:sz w:val="20"/>
                <w:szCs w:val="20"/>
              </w:rPr>
              <w:t>-$29.4</w:t>
            </w:r>
          </w:p>
        </w:tc>
        <w:tc>
          <w:tcPr>
            <w:tcW w:w="1080" w:type="dxa"/>
            <w:vAlign w:val="center"/>
          </w:tcPr>
          <w:p w:rsidR="00BD7E61" w:rsidRPr="00D166DF" w:rsidP="00026F9A" w14:paraId="67BF874F" w14:textId="4E47DA37">
            <w:pPr>
              <w:pStyle w:val="NoSpacing"/>
              <w:jc w:val="center"/>
              <w:rPr>
                <w:sz w:val="20"/>
                <w:szCs w:val="20"/>
              </w:rPr>
            </w:pPr>
            <w:r>
              <w:rPr>
                <w:sz w:val="20"/>
                <w:szCs w:val="20"/>
              </w:rPr>
              <w:t>$5</w:t>
            </w:r>
            <w:r w:rsidR="0086708E">
              <w:rPr>
                <w:sz w:val="20"/>
                <w:szCs w:val="20"/>
              </w:rPr>
              <w:t>1.0</w:t>
            </w:r>
          </w:p>
        </w:tc>
        <w:tc>
          <w:tcPr>
            <w:tcW w:w="900" w:type="dxa"/>
            <w:vAlign w:val="center"/>
          </w:tcPr>
          <w:p w:rsidR="00BD7E61" w:rsidRPr="00D166DF" w:rsidP="00026F9A" w14:paraId="39B6D47D" w14:textId="66F7BBFA">
            <w:pPr>
              <w:pStyle w:val="NoSpacing"/>
              <w:jc w:val="center"/>
              <w:rPr>
                <w:sz w:val="20"/>
                <w:szCs w:val="20"/>
              </w:rPr>
            </w:pPr>
            <w:r>
              <w:rPr>
                <w:sz w:val="20"/>
                <w:szCs w:val="20"/>
              </w:rPr>
              <w:t>2022</w:t>
            </w:r>
          </w:p>
        </w:tc>
        <w:tc>
          <w:tcPr>
            <w:tcW w:w="990" w:type="dxa"/>
            <w:vAlign w:val="center"/>
          </w:tcPr>
          <w:p w:rsidR="00BD7E61" w:rsidRPr="00D166DF" w:rsidP="00026F9A" w14:paraId="3602A3BD" w14:textId="6470991A">
            <w:pPr>
              <w:pStyle w:val="NoSpacing"/>
              <w:jc w:val="center"/>
              <w:rPr>
                <w:sz w:val="20"/>
                <w:szCs w:val="20"/>
              </w:rPr>
            </w:pPr>
            <w:r w:rsidRPr="00D166DF">
              <w:rPr>
                <w:sz w:val="20"/>
                <w:szCs w:val="20"/>
              </w:rPr>
              <w:t>7%</w:t>
            </w:r>
          </w:p>
        </w:tc>
        <w:tc>
          <w:tcPr>
            <w:tcW w:w="900" w:type="dxa"/>
            <w:vAlign w:val="center"/>
          </w:tcPr>
          <w:p w:rsidR="00BD7E61" w:rsidRPr="00D166DF" w:rsidP="00026F9A" w14:paraId="4038A7DA" w14:textId="0CAEA731">
            <w:pPr>
              <w:pStyle w:val="NoSpacing"/>
              <w:jc w:val="center"/>
              <w:rPr>
                <w:sz w:val="20"/>
                <w:szCs w:val="20"/>
              </w:rPr>
            </w:pPr>
            <w:r>
              <w:rPr>
                <w:sz w:val="20"/>
                <w:szCs w:val="20"/>
              </w:rPr>
              <w:t>10 years</w:t>
            </w:r>
          </w:p>
        </w:tc>
        <w:tc>
          <w:tcPr>
            <w:tcW w:w="985" w:type="dxa"/>
            <w:vMerge w:val="restart"/>
            <w:vAlign w:val="center"/>
          </w:tcPr>
          <w:p w:rsidR="00BD7E61" w:rsidRPr="00D166DF" w:rsidP="00026F9A" w14:paraId="588C373A" w14:textId="1E036175">
            <w:pPr>
              <w:pStyle w:val="NoSpacing"/>
              <w:jc w:val="center"/>
              <w:rPr>
                <w:sz w:val="20"/>
                <w:szCs w:val="20"/>
              </w:rPr>
            </w:pPr>
            <w:r w:rsidRPr="00D166DF">
              <w:rPr>
                <w:sz w:val="20"/>
                <w:szCs w:val="20"/>
              </w:rPr>
              <w:t>Benefits are illnesses averted</w:t>
            </w:r>
          </w:p>
        </w:tc>
      </w:tr>
      <w:tr w14:paraId="3639FF36" w14:textId="77777777" w:rsidTr="0077582A">
        <w:tblPrEx>
          <w:tblW w:w="0" w:type="auto"/>
          <w:tblLayout w:type="fixed"/>
          <w:tblLook w:val="04A0"/>
        </w:tblPrEx>
        <w:trPr>
          <w:trHeight w:val="382"/>
        </w:trPr>
        <w:tc>
          <w:tcPr>
            <w:tcW w:w="1075" w:type="dxa"/>
            <w:vMerge/>
            <w:vAlign w:val="center"/>
          </w:tcPr>
          <w:p w:rsidR="00A058F9" w:rsidRPr="00D166DF" w:rsidP="00026F9A" w14:paraId="7F2677D4" w14:textId="77777777">
            <w:pPr>
              <w:pStyle w:val="NoSpacing"/>
              <w:rPr>
                <w:sz w:val="20"/>
                <w:szCs w:val="20"/>
              </w:rPr>
            </w:pPr>
          </w:p>
        </w:tc>
        <w:tc>
          <w:tcPr>
            <w:tcW w:w="1260" w:type="dxa"/>
            <w:vMerge/>
            <w:vAlign w:val="center"/>
          </w:tcPr>
          <w:p w:rsidR="00A058F9" w:rsidRPr="00D166DF" w:rsidP="00026F9A" w14:paraId="01D000D2" w14:textId="77777777">
            <w:pPr>
              <w:pStyle w:val="NoSpacing"/>
              <w:jc w:val="center"/>
              <w:rPr>
                <w:sz w:val="20"/>
                <w:szCs w:val="20"/>
              </w:rPr>
            </w:pPr>
          </w:p>
        </w:tc>
        <w:tc>
          <w:tcPr>
            <w:tcW w:w="1080" w:type="dxa"/>
            <w:vAlign w:val="center"/>
          </w:tcPr>
          <w:p w:rsidR="00A058F9" w:rsidRPr="00D166DF" w:rsidP="00026F9A" w14:paraId="255966A5" w14:textId="358B52BD">
            <w:pPr>
              <w:pStyle w:val="NoSpacing"/>
              <w:jc w:val="center"/>
              <w:rPr>
                <w:sz w:val="20"/>
                <w:szCs w:val="20"/>
              </w:rPr>
            </w:pPr>
            <w:r>
              <w:rPr>
                <w:sz w:val="20"/>
                <w:szCs w:val="20"/>
              </w:rPr>
              <w:t>$</w:t>
            </w:r>
            <w:r w:rsidR="00D905C2">
              <w:rPr>
                <w:sz w:val="20"/>
                <w:szCs w:val="20"/>
              </w:rPr>
              <w:t>10.3</w:t>
            </w:r>
          </w:p>
        </w:tc>
        <w:tc>
          <w:tcPr>
            <w:tcW w:w="1080" w:type="dxa"/>
            <w:vAlign w:val="center"/>
          </w:tcPr>
          <w:p w:rsidR="00A058F9" w:rsidRPr="00D166DF" w:rsidP="00026F9A" w14:paraId="71C3945E" w14:textId="3CF1DF92">
            <w:pPr>
              <w:pStyle w:val="NoSpacing"/>
              <w:jc w:val="center"/>
              <w:rPr>
                <w:sz w:val="20"/>
                <w:szCs w:val="20"/>
              </w:rPr>
            </w:pPr>
            <w:r>
              <w:rPr>
                <w:sz w:val="20"/>
                <w:szCs w:val="20"/>
              </w:rPr>
              <w:t>-$30.</w:t>
            </w:r>
            <w:r w:rsidR="00D905C2">
              <w:rPr>
                <w:sz w:val="20"/>
                <w:szCs w:val="20"/>
              </w:rPr>
              <w:t>3</w:t>
            </w:r>
          </w:p>
        </w:tc>
        <w:tc>
          <w:tcPr>
            <w:tcW w:w="1080" w:type="dxa"/>
            <w:vAlign w:val="center"/>
          </w:tcPr>
          <w:p w:rsidR="00A058F9" w:rsidRPr="00D166DF" w:rsidP="00026F9A" w14:paraId="771FBE79" w14:textId="261AC5BF">
            <w:pPr>
              <w:pStyle w:val="NoSpacing"/>
              <w:jc w:val="center"/>
              <w:rPr>
                <w:sz w:val="20"/>
                <w:szCs w:val="20"/>
              </w:rPr>
            </w:pPr>
            <w:r>
              <w:rPr>
                <w:sz w:val="20"/>
                <w:szCs w:val="20"/>
              </w:rPr>
              <w:t>$52.</w:t>
            </w:r>
            <w:r w:rsidR="0086708E">
              <w:rPr>
                <w:sz w:val="20"/>
                <w:szCs w:val="20"/>
              </w:rPr>
              <w:t>4</w:t>
            </w:r>
          </w:p>
        </w:tc>
        <w:tc>
          <w:tcPr>
            <w:tcW w:w="900" w:type="dxa"/>
            <w:vAlign w:val="center"/>
          </w:tcPr>
          <w:p w:rsidR="00A058F9" w:rsidRPr="00D166DF" w:rsidP="00026F9A" w14:paraId="17DB308E" w14:textId="78709693">
            <w:pPr>
              <w:pStyle w:val="NoSpacing"/>
              <w:jc w:val="center"/>
              <w:rPr>
                <w:sz w:val="20"/>
                <w:szCs w:val="20"/>
              </w:rPr>
            </w:pPr>
            <w:r>
              <w:rPr>
                <w:sz w:val="20"/>
                <w:szCs w:val="20"/>
              </w:rPr>
              <w:t>2022</w:t>
            </w:r>
          </w:p>
        </w:tc>
        <w:tc>
          <w:tcPr>
            <w:tcW w:w="990" w:type="dxa"/>
            <w:vAlign w:val="center"/>
          </w:tcPr>
          <w:p w:rsidR="00A058F9" w:rsidRPr="00D166DF" w:rsidP="00026F9A" w14:paraId="4EE27028" w14:textId="75E2AF9B">
            <w:pPr>
              <w:pStyle w:val="NoSpacing"/>
              <w:jc w:val="center"/>
              <w:rPr>
                <w:sz w:val="20"/>
                <w:szCs w:val="20"/>
              </w:rPr>
            </w:pPr>
            <w:r w:rsidRPr="00D166DF">
              <w:rPr>
                <w:sz w:val="20"/>
                <w:szCs w:val="20"/>
              </w:rPr>
              <w:t>3%</w:t>
            </w:r>
          </w:p>
        </w:tc>
        <w:tc>
          <w:tcPr>
            <w:tcW w:w="900" w:type="dxa"/>
            <w:vAlign w:val="center"/>
          </w:tcPr>
          <w:p w:rsidR="00A058F9" w:rsidRPr="00D166DF" w:rsidP="00026F9A" w14:paraId="23BC350F" w14:textId="24CF3841">
            <w:pPr>
              <w:pStyle w:val="NoSpacing"/>
              <w:jc w:val="center"/>
              <w:rPr>
                <w:sz w:val="20"/>
                <w:szCs w:val="20"/>
              </w:rPr>
            </w:pPr>
            <w:r>
              <w:rPr>
                <w:sz w:val="20"/>
                <w:szCs w:val="20"/>
              </w:rPr>
              <w:t>10 years</w:t>
            </w:r>
          </w:p>
        </w:tc>
        <w:tc>
          <w:tcPr>
            <w:tcW w:w="985" w:type="dxa"/>
            <w:vMerge/>
            <w:vAlign w:val="center"/>
          </w:tcPr>
          <w:p w:rsidR="00A058F9" w:rsidRPr="00D166DF" w:rsidP="00026F9A" w14:paraId="064C3FD8" w14:textId="77777777">
            <w:pPr>
              <w:pStyle w:val="NoSpacing"/>
              <w:jc w:val="center"/>
              <w:rPr>
                <w:sz w:val="20"/>
                <w:szCs w:val="20"/>
              </w:rPr>
            </w:pPr>
          </w:p>
        </w:tc>
      </w:tr>
      <w:tr w14:paraId="04487B2A" w14:textId="77777777" w:rsidTr="0077582A">
        <w:tblPrEx>
          <w:tblW w:w="0" w:type="auto"/>
          <w:tblLayout w:type="fixed"/>
          <w:tblLook w:val="04A0"/>
        </w:tblPrEx>
        <w:trPr>
          <w:trHeight w:val="255"/>
        </w:trPr>
        <w:tc>
          <w:tcPr>
            <w:tcW w:w="1075" w:type="dxa"/>
            <w:vMerge/>
            <w:vAlign w:val="center"/>
          </w:tcPr>
          <w:p w:rsidR="00A058F9" w:rsidRPr="00D166DF" w:rsidP="00026F9A" w14:paraId="397B9E72" w14:textId="77777777">
            <w:pPr>
              <w:pStyle w:val="NoSpacing"/>
              <w:jc w:val="center"/>
              <w:rPr>
                <w:sz w:val="20"/>
                <w:szCs w:val="20"/>
              </w:rPr>
            </w:pPr>
          </w:p>
        </w:tc>
        <w:tc>
          <w:tcPr>
            <w:tcW w:w="1260" w:type="dxa"/>
            <w:vMerge w:val="restart"/>
            <w:vAlign w:val="center"/>
          </w:tcPr>
          <w:p w:rsidR="00A058F9" w:rsidRPr="00D166DF" w:rsidP="00026F9A" w14:paraId="567A473E" w14:textId="77777777">
            <w:pPr>
              <w:pStyle w:val="NoSpacing"/>
              <w:jc w:val="center"/>
              <w:rPr>
                <w:sz w:val="20"/>
                <w:szCs w:val="20"/>
              </w:rPr>
            </w:pPr>
            <w:r w:rsidRPr="00D166DF">
              <w:rPr>
                <w:sz w:val="20"/>
                <w:szCs w:val="20"/>
              </w:rPr>
              <w:t>Annualized Quantified</w:t>
            </w:r>
          </w:p>
        </w:tc>
        <w:tc>
          <w:tcPr>
            <w:tcW w:w="1080" w:type="dxa"/>
            <w:vAlign w:val="center"/>
          </w:tcPr>
          <w:p w:rsidR="00A058F9" w:rsidRPr="00D166DF" w:rsidP="00026F9A" w14:paraId="251D8545" w14:textId="5FFAA8B0">
            <w:pPr>
              <w:pStyle w:val="NoSpacing"/>
              <w:jc w:val="center"/>
              <w:rPr>
                <w:sz w:val="20"/>
                <w:szCs w:val="20"/>
              </w:rPr>
            </w:pPr>
          </w:p>
        </w:tc>
        <w:tc>
          <w:tcPr>
            <w:tcW w:w="1080" w:type="dxa"/>
            <w:vAlign w:val="center"/>
          </w:tcPr>
          <w:p w:rsidR="00A058F9" w:rsidRPr="00D166DF" w:rsidP="00026F9A" w14:paraId="788E7F0E" w14:textId="07E464C6">
            <w:pPr>
              <w:pStyle w:val="NoSpacing"/>
              <w:jc w:val="center"/>
              <w:rPr>
                <w:sz w:val="20"/>
                <w:szCs w:val="20"/>
              </w:rPr>
            </w:pPr>
          </w:p>
        </w:tc>
        <w:tc>
          <w:tcPr>
            <w:tcW w:w="1080" w:type="dxa"/>
            <w:vAlign w:val="center"/>
          </w:tcPr>
          <w:p w:rsidR="00A058F9" w:rsidRPr="00D166DF" w:rsidP="00026F9A" w14:paraId="0DAD37DF" w14:textId="56D36C08">
            <w:pPr>
              <w:pStyle w:val="NoSpacing"/>
              <w:jc w:val="center"/>
              <w:rPr>
                <w:sz w:val="20"/>
                <w:szCs w:val="20"/>
              </w:rPr>
            </w:pPr>
          </w:p>
        </w:tc>
        <w:tc>
          <w:tcPr>
            <w:tcW w:w="900" w:type="dxa"/>
            <w:vAlign w:val="center"/>
          </w:tcPr>
          <w:p w:rsidR="00A058F9" w:rsidRPr="00D166DF" w:rsidP="00026F9A" w14:paraId="49451C2F" w14:textId="77777777">
            <w:pPr>
              <w:pStyle w:val="NoSpacing"/>
              <w:jc w:val="center"/>
              <w:rPr>
                <w:sz w:val="20"/>
                <w:szCs w:val="20"/>
              </w:rPr>
            </w:pPr>
          </w:p>
        </w:tc>
        <w:tc>
          <w:tcPr>
            <w:tcW w:w="990" w:type="dxa"/>
            <w:vAlign w:val="center"/>
          </w:tcPr>
          <w:p w:rsidR="00A058F9" w:rsidRPr="00D166DF" w:rsidP="00026F9A" w14:paraId="7B571D6C" w14:textId="0FCE1C16">
            <w:pPr>
              <w:pStyle w:val="NoSpacing"/>
              <w:jc w:val="center"/>
              <w:rPr>
                <w:sz w:val="20"/>
                <w:szCs w:val="20"/>
              </w:rPr>
            </w:pPr>
            <w:r w:rsidRPr="00D166DF">
              <w:rPr>
                <w:sz w:val="20"/>
                <w:szCs w:val="20"/>
              </w:rPr>
              <w:t>7%</w:t>
            </w:r>
          </w:p>
        </w:tc>
        <w:tc>
          <w:tcPr>
            <w:tcW w:w="900" w:type="dxa"/>
            <w:vAlign w:val="center"/>
          </w:tcPr>
          <w:p w:rsidR="00A058F9" w:rsidRPr="00D166DF" w:rsidP="00026F9A" w14:paraId="31A6DA53" w14:textId="1C41D88E">
            <w:pPr>
              <w:pStyle w:val="NoSpacing"/>
              <w:jc w:val="center"/>
              <w:rPr>
                <w:sz w:val="20"/>
                <w:szCs w:val="20"/>
              </w:rPr>
            </w:pPr>
          </w:p>
        </w:tc>
        <w:tc>
          <w:tcPr>
            <w:tcW w:w="985" w:type="dxa"/>
            <w:vMerge/>
            <w:vAlign w:val="center"/>
          </w:tcPr>
          <w:p w:rsidR="00A058F9" w:rsidRPr="00D166DF" w:rsidP="00026F9A" w14:paraId="69127612" w14:textId="77777777">
            <w:pPr>
              <w:pStyle w:val="NoSpacing"/>
              <w:jc w:val="center"/>
              <w:rPr>
                <w:sz w:val="20"/>
                <w:szCs w:val="20"/>
              </w:rPr>
            </w:pPr>
          </w:p>
        </w:tc>
      </w:tr>
      <w:tr w14:paraId="04742331" w14:textId="77777777" w:rsidTr="0077582A">
        <w:tblPrEx>
          <w:tblW w:w="0" w:type="auto"/>
          <w:tblLayout w:type="fixed"/>
          <w:tblLook w:val="04A0"/>
        </w:tblPrEx>
        <w:trPr>
          <w:trHeight w:val="255"/>
        </w:trPr>
        <w:tc>
          <w:tcPr>
            <w:tcW w:w="1075" w:type="dxa"/>
            <w:vMerge/>
            <w:vAlign w:val="center"/>
          </w:tcPr>
          <w:p w:rsidR="00A058F9" w:rsidRPr="00D166DF" w:rsidP="00026F9A" w14:paraId="42827107" w14:textId="77777777">
            <w:pPr>
              <w:pStyle w:val="NoSpacing"/>
              <w:jc w:val="center"/>
              <w:rPr>
                <w:sz w:val="20"/>
                <w:szCs w:val="20"/>
              </w:rPr>
            </w:pPr>
          </w:p>
        </w:tc>
        <w:tc>
          <w:tcPr>
            <w:tcW w:w="1260" w:type="dxa"/>
            <w:vMerge/>
            <w:vAlign w:val="center"/>
          </w:tcPr>
          <w:p w:rsidR="00A058F9" w:rsidRPr="00D166DF" w:rsidP="00026F9A" w14:paraId="2136EFF0" w14:textId="77777777">
            <w:pPr>
              <w:pStyle w:val="NoSpacing"/>
              <w:jc w:val="center"/>
              <w:rPr>
                <w:sz w:val="20"/>
                <w:szCs w:val="20"/>
              </w:rPr>
            </w:pPr>
          </w:p>
        </w:tc>
        <w:tc>
          <w:tcPr>
            <w:tcW w:w="1080" w:type="dxa"/>
            <w:vAlign w:val="center"/>
          </w:tcPr>
          <w:p w:rsidR="00A058F9" w:rsidRPr="00D166DF" w:rsidP="00026F9A" w14:paraId="0DAACA61" w14:textId="77777777">
            <w:pPr>
              <w:pStyle w:val="NoSpacing"/>
              <w:jc w:val="center"/>
              <w:rPr>
                <w:sz w:val="20"/>
                <w:szCs w:val="20"/>
              </w:rPr>
            </w:pPr>
          </w:p>
        </w:tc>
        <w:tc>
          <w:tcPr>
            <w:tcW w:w="1080" w:type="dxa"/>
            <w:vAlign w:val="center"/>
          </w:tcPr>
          <w:p w:rsidR="00A058F9" w:rsidRPr="00D166DF" w:rsidP="00026F9A" w14:paraId="6C22AE72" w14:textId="77777777">
            <w:pPr>
              <w:pStyle w:val="NoSpacing"/>
              <w:jc w:val="center"/>
              <w:rPr>
                <w:sz w:val="20"/>
                <w:szCs w:val="20"/>
              </w:rPr>
            </w:pPr>
          </w:p>
        </w:tc>
        <w:tc>
          <w:tcPr>
            <w:tcW w:w="1080" w:type="dxa"/>
            <w:vAlign w:val="center"/>
          </w:tcPr>
          <w:p w:rsidR="00A058F9" w:rsidRPr="00D166DF" w:rsidP="00026F9A" w14:paraId="098B48FF" w14:textId="77777777">
            <w:pPr>
              <w:pStyle w:val="NoSpacing"/>
              <w:jc w:val="center"/>
              <w:rPr>
                <w:sz w:val="20"/>
                <w:szCs w:val="20"/>
              </w:rPr>
            </w:pPr>
          </w:p>
        </w:tc>
        <w:tc>
          <w:tcPr>
            <w:tcW w:w="900" w:type="dxa"/>
            <w:vAlign w:val="center"/>
          </w:tcPr>
          <w:p w:rsidR="00A058F9" w:rsidRPr="00D166DF" w:rsidP="00026F9A" w14:paraId="3F7C2299" w14:textId="77777777">
            <w:pPr>
              <w:pStyle w:val="NoSpacing"/>
              <w:jc w:val="center"/>
              <w:rPr>
                <w:sz w:val="20"/>
                <w:szCs w:val="20"/>
              </w:rPr>
            </w:pPr>
          </w:p>
        </w:tc>
        <w:tc>
          <w:tcPr>
            <w:tcW w:w="990" w:type="dxa"/>
            <w:vAlign w:val="center"/>
          </w:tcPr>
          <w:p w:rsidR="00A058F9" w:rsidRPr="00D166DF" w:rsidP="00026F9A" w14:paraId="184817C2" w14:textId="71183AC0">
            <w:pPr>
              <w:pStyle w:val="NoSpacing"/>
              <w:jc w:val="center"/>
              <w:rPr>
                <w:sz w:val="20"/>
                <w:szCs w:val="20"/>
              </w:rPr>
            </w:pPr>
            <w:r w:rsidRPr="00D166DF">
              <w:rPr>
                <w:sz w:val="20"/>
                <w:szCs w:val="20"/>
              </w:rPr>
              <w:t>3%</w:t>
            </w:r>
          </w:p>
        </w:tc>
        <w:tc>
          <w:tcPr>
            <w:tcW w:w="900" w:type="dxa"/>
            <w:vAlign w:val="center"/>
          </w:tcPr>
          <w:p w:rsidR="00A058F9" w:rsidRPr="00D166DF" w:rsidP="00026F9A" w14:paraId="539F8E39" w14:textId="2E79B1E8">
            <w:pPr>
              <w:pStyle w:val="NoSpacing"/>
              <w:jc w:val="center"/>
              <w:rPr>
                <w:sz w:val="20"/>
                <w:szCs w:val="20"/>
              </w:rPr>
            </w:pPr>
          </w:p>
        </w:tc>
        <w:tc>
          <w:tcPr>
            <w:tcW w:w="985" w:type="dxa"/>
            <w:vMerge/>
            <w:vAlign w:val="center"/>
          </w:tcPr>
          <w:p w:rsidR="00A058F9" w:rsidRPr="00D166DF" w:rsidP="00026F9A" w14:paraId="2B1FF7DA" w14:textId="77777777">
            <w:pPr>
              <w:pStyle w:val="NoSpacing"/>
              <w:jc w:val="center"/>
              <w:rPr>
                <w:sz w:val="20"/>
                <w:szCs w:val="20"/>
              </w:rPr>
            </w:pPr>
          </w:p>
        </w:tc>
      </w:tr>
      <w:tr w14:paraId="3934A1BD" w14:textId="77777777" w:rsidTr="00A24802">
        <w:tblPrEx>
          <w:tblW w:w="0" w:type="auto"/>
          <w:tblLayout w:type="fixed"/>
          <w:tblLook w:val="04A0"/>
        </w:tblPrEx>
        <w:tc>
          <w:tcPr>
            <w:tcW w:w="1075" w:type="dxa"/>
            <w:vMerge/>
            <w:vAlign w:val="center"/>
          </w:tcPr>
          <w:p w:rsidR="00A058F9" w:rsidRPr="00D166DF" w:rsidP="00026F9A" w14:paraId="6BA9BFF0" w14:textId="77777777">
            <w:pPr>
              <w:pStyle w:val="NoSpacing"/>
              <w:jc w:val="center"/>
              <w:rPr>
                <w:sz w:val="20"/>
                <w:szCs w:val="20"/>
              </w:rPr>
            </w:pPr>
          </w:p>
        </w:tc>
        <w:tc>
          <w:tcPr>
            <w:tcW w:w="1260" w:type="dxa"/>
            <w:vAlign w:val="center"/>
          </w:tcPr>
          <w:p w:rsidR="00A058F9" w:rsidRPr="00D166DF" w:rsidP="00026F9A" w14:paraId="6A35578A" w14:textId="77777777">
            <w:pPr>
              <w:pStyle w:val="NoSpacing"/>
              <w:jc w:val="center"/>
              <w:rPr>
                <w:sz w:val="20"/>
                <w:szCs w:val="20"/>
              </w:rPr>
            </w:pPr>
            <w:r w:rsidRPr="00D166DF">
              <w:rPr>
                <w:sz w:val="20"/>
                <w:szCs w:val="20"/>
              </w:rPr>
              <w:t>Qualitative</w:t>
            </w:r>
          </w:p>
        </w:tc>
        <w:tc>
          <w:tcPr>
            <w:tcW w:w="6030" w:type="dxa"/>
            <w:gridSpan w:val="6"/>
            <w:vAlign w:val="center"/>
          </w:tcPr>
          <w:p w:rsidR="00A058F9" w:rsidRPr="00D166DF" w:rsidP="00026F9A" w14:paraId="1B6C44FE" w14:textId="5CC1A07B">
            <w:pPr>
              <w:pStyle w:val="NoSpacing"/>
              <w:jc w:val="center"/>
              <w:rPr>
                <w:sz w:val="20"/>
                <w:szCs w:val="20"/>
              </w:rPr>
            </w:pPr>
            <w:r w:rsidRPr="00D166DF">
              <w:rPr>
                <w:sz w:val="20"/>
                <w:szCs w:val="20"/>
              </w:rPr>
              <w:t>Increased flexibility in comprehensively evaluating potential hazards associated with pre-harvest agricultural water</w:t>
            </w:r>
          </w:p>
        </w:tc>
        <w:tc>
          <w:tcPr>
            <w:tcW w:w="985" w:type="dxa"/>
            <w:vMerge/>
            <w:vAlign w:val="center"/>
          </w:tcPr>
          <w:p w:rsidR="00A058F9" w:rsidRPr="00D166DF" w:rsidP="00026F9A" w14:paraId="239F816B" w14:textId="77777777">
            <w:pPr>
              <w:pStyle w:val="NoSpacing"/>
              <w:jc w:val="center"/>
              <w:rPr>
                <w:sz w:val="20"/>
                <w:szCs w:val="20"/>
              </w:rPr>
            </w:pPr>
          </w:p>
        </w:tc>
      </w:tr>
      <w:tr w14:paraId="04A75620" w14:textId="77777777" w:rsidTr="0077582A">
        <w:tblPrEx>
          <w:tblW w:w="0" w:type="auto"/>
          <w:tblLayout w:type="fixed"/>
          <w:tblLook w:val="04A0"/>
        </w:tblPrEx>
        <w:trPr>
          <w:trHeight w:val="383"/>
        </w:trPr>
        <w:tc>
          <w:tcPr>
            <w:tcW w:w="1075" w:type="dxa"/>
            <w:vMerge w:val="restart"/>
            <w:vAlign w:val="center"/>
          </w:tcPr>
          <w:p w:rsidR="00E316B0" w:rsidRPr="00D166DF" w:rsidP="00026F9A" w14:paraId="332DAE85" w14:textId="77777777">
            <w:pPr>
              <w:pStyle w:val="NoSpacing"/>
              <w:rPr>
                <w:sz w:val="20"/>
                <w:szCs w:val="20"/>
              </w:rPr>
            </w:pPr>
            <w:r w:rsidRPr="00D166DF">
              <w:rPr>
                <w:sz w:val="20"/>
                <w:szCs w:val="20"/>
              </w:rPr>
              <w:t>Costs</w:t>
            </w:r>
          </w:p>
        </w:tc>
        <w:tc>
          <w:tcPr>
            <w:tcW w:w="1260" w:type="dxa"/>
            <w:vMerge w:val="restart"/>
            <w:vAlign w:val="center"/>
          </w:tcPr>
          <w:p w:rsidR="00E316B0" w:rsidRPr="00D166DF" w:rsidP="00026F9A" w14:paraId="7A8CFC81" w14:textId="01D188F8">
            <w:pPr>
              <w:pStyle w:val="NoSpacing"/>
              <w:jc w:val="center"/>
              <w:rPr>
                <w:sz w:val="20"/>
                <w:szCs w:val="20"/>
              </w:rPr>
            </w:pPr>
            <w:r w:rsidRPr="00D166DF">
              <w:rPr>
                <w:sz w:val="20"/>
                <w:szCs w:val="20"/>
              </w:rPr>
              <w:t>Annualized Monetized ($m/year)</w:t>
            </w:r>
          </w:p>
        </w:tc>
        <w:tc>
          <w:tcPr>
            <w:tcW w:w="1080" w:type="dxa"/>
            <w:vAlign w:val="center"/>
          </w:tcPr>
          <w:p w:rsidR="00E316B0" w:rsidRPr="00D166DF" w:rsidP="00026F9A" w14:paraId="55FF1747" w14:textId="6C2104D4">
            <w:pPr>
              <w:pStyle w:val="NoSpacing"/>
              <w:jc w:val="center"/>
              <w:rPr>
                <w:sz w:val="20"/>
                <w:szCs w:val="20"/>
              </w:rPr>
            </w:pPr>
            <w:r>
              <w:rPr>
                <w:sz w:val="20"/>
                <w:szCs w:val="20"/>
              </w:rPr>
              <w:t>$1</w:t>
            </w:r>
            <w:r w:rsidR="0086708E">
              <w:rPr>
                <w:sz w:val="20"/>
                <w:szCs w:val="20"/>
              </w:rPr>
              <w:t>7.7</w:t>
            </w:r>
          </w:p>
        </w:tc>
        <w:tc>
          <w:tcPr>
            <w:tcW w:w="1080" w:type="dxa"/>
            <w:vAlign w:val="center"/>
          </w:tcPr>
          <w:p w:rsidR="00E316B0" w:rsidRPr="00D166DF" w:rsidP="00026F9A" w14:paraId="362CF089" w14:textId="49C32E0E">
            <w:pPr>
              <w:pStyle w:val="NoSpacing"/>
              <w:jc w:val="center"/>
              <w:rPr>
                <w:sz w:val="20"/>
                <w:szCs w:val="20"/>
              </w:rPr>
            </w:pPr>
            <w:r>
              <w:rPr>
                <w:sz w:val="20"/>
                <w:szCs w:val="20"/>
              </w:rPr>
              <w:t>$6.</w:t>
            </w:r>
            <w:r w:rsidR="00703BE1">
              <w:rPr>
                <w:sz w:val="20"/>
                <w:szCs w:val="20"/>
              </w:rPr>
              <w:t>7</w:t>
            </w:r>
          </w:p>
        </w:tc>
        <w:tc>
          <w:tcPr>
            <w:tcW w:w="1080" w:type="dxa"/>
            <w:vAlign w:val="center"/>
          </w:tcPr>
          <w:p w:rsidR="00E316B0" w:rsidRPr="00D166DF" w:rsidP="00026F9A" w14:paraId="75148744" w14:textId="5FCA9E6F">
            <w:pPr>
              <w:pStyle w:val="NoSpacing"/>
              <w:jc w:val="center"/>
              <w:rPr>
                <w:sz w:val="20"/>
                <w:szCs w:val="20"/>
              </w:rPr>
            </w:pPr>
            <w:r>
              <w:rPr>
                <w:sz w:val="20"/>
                <w:szCs w:val="20"/>
              </w:rPr>
              <w:t>$2</w:t>
            </w:r>
            <w:r w:rsidR="00703BE1">
              <w:rPr>
                <w:sz w:val="20"/>
                <w:szCs w:val="20"/>
              </w:rPr>
              <w:t>6.0</w:t>
            </w:r>
          </w:p>
        </w:tc>
        <w:tc>
          <w:tcPr>
            <w:tcW w:w="900" w:type="dxa"/>
            <w:vAlign w:val="center"/>
          </w:tcPr>
          <w:p w:rsidR="00E316B0" w:rsidRPr="00D166DF" w:rsidP="00026F9A" w14:paraId="2F963131" w14:textId="1FDB64C8">
            <w:pPr>
              <w:pStyle w:val="NoSpacing"/>
              <w:jc w:val="center"/>
              <w:rPr>
                <w:sz w:val="20"/>
                <w:szCs w:val="20"/>
              </w:rPr>
            </w:pPr>
            <w:r>
              <w:rPr>
                <w:sz w:val="20"/>
                <w:szCs w:val="20"/>
              </w:rPr>
              <w:t>2022</w:t>
            </w:r>
          </w:p>
        </w:tc>
        <w:tc>
          <w:tcPr>
            <w:tcW w:w="990" w:type="dxa"/>
            <w:vAlign w:val="center"/>
          </w:tcPr>
          <w:p w:rsidR="00E316B0" w:rsidRPr="00D166DF" w:rsidP="00026F9A" w14:paraId="2FE9F773" w14:textId="5F54BCB3">
            <w:pPr>
              <w:pStyle w:val="NoSpacing"/>
              <w:jc w:val="center"/>
              <w:rPr>
                <w:sz w:val="20"/>
                <w:szCs w:val="20"/>
              </w:rPr>
            </w:pPr>
            <w:r w:rsidRPr="00D166DF">
              <w:rPr>
                <w:sz w:val="20"/>
                <w:szCs w:val="20"/>
              </w:rPr>
              <w:t>7%</w:t>
            </w:r>
          </w:p>
        </w:tc>
        <w:tc>
          <w:tcPr>
            <w:tcW w:w="900" w:type="dxa"/>
            <w:vAlign w:val="center"/>
          </w:tcPr>
          <w:p w:rsidR="00E316B0" w:rsidRPr="00D166DF" w:rsidP="00026F9A" w14:paraId="091AB6B4" w14:textId="6A4CA198">
            <w:pPr>
              <w:pStyle w:val="NoSpacing"/>
              <w:jc w:val="center"/>
              <w:rPr>
                <w:sz w:val="20"/>
                <w:szCs w:val="20"/>
              </w:rPr>
            </w:pPr>
            <w:r>
              <w:rPr>
                <w:sz w:val="20"/>
                <w:szCs w:val="20"/>
              </w:rPr>
              <w:t>10 years</w:t>
            </w:r>
          </w:p>
        </w:tc>
        <w:tc>
          <w:tcPr>
            <w:tcW w:w="985" w:type="dxa"/>
            <w:vMerge w:val="restart"/>
            <w:vAlign w:val="center"/>
          </w:tcPr>
          <w:p w:rsidR="00E316B0" w:rsidRPr="00D166DF" w:rsidP="00026F9A" w14:paraId="60DFCC23" w14:textId="77777777">
            <w:pPr>
              <w:pStyle w:val="NoSpacing"/>
              <w:jc w:val="center"/>
              <w:rPr>
                <w:sz w:val="20"/>
                <w:szCs w:val="20"/>
              </w:rPr>
            </w:pPr>
          </w:p>
        </w:tc>
      </w:tr>
      <w:tr w14:paraId="5CC62E94" w14:textId="77777777" w:rsidTr="0077582A">
        <w:tblPrEx>
          <w:tblW w:w="0" w:type="auto"/>
          <w:tblLayout w:type="fixed"/>
          <w:tblLook w:val="04A0"/>
        </w:tblPrEx>
        <w:trPr>
          <w:trHeight w:val="382"/>
        </w:trPr>
        <w:tc>
          <w:tcPr>
            <w:tcW w:w="1075" w:type="dxa"/>
            <w:vMerge/>
            <w:vAlign w:val="center"/>
          </w:tcPr>
          <w:p w:rsidR="00991F43" w:rsidRPr="00D166DF" w:rsidP="00026F9A" w14:paraId="15114C8A" w14:textId="77777777">
            <w:pPr>
              <w:pStyle w:val="NoSpacing"/>
              <w:rPr>
                <w:sz w:val="20"/>
                <w:szCs w:val="20"/>
              </w:rPr>
            </w:pPr>
          </w:p>
        </w:tc>
        <w:tc>
          <w:tcPr>
            <w:tcW w:w="1260" w:type="dxa"/>
            <w:vMerge/>
            <w:vAlign w:val="center"/>
          </w:tcPr>
          <w:p w:rsidR="00991F43" w:rsidRPr="00D166DF" w:rsidP="00026F9A" w14:paraId="53B214D6" w14:textId="77777777">
            <w:pPr>
              <w:pStyle w:val="NoSpacing"/>
              <w:jc w:val="center"/>
              <w:rPr>
                <w:sz w:val="20"/>
                <w:szCs w:val="20"/>
              </w:rPr>
            </w:pPr>
          </w:p>
        </w:tc>
        <w:tc>
          <w:tcPr>
            <w:tcW w:w="1080" w:type="dxa"/>
            <w:vAlign w:val="center"/>
          </w:tcPr>
          <w:p w:rsidR="00991F43" w:rsidRPr="00D166DF" w:rsidP="00026F9A" w14:paraId="28AA9A12" w14:textId="7B2CEFDF">
            <w:pPr>
              <w:pStyle w:val="NoSpacing"/>
              <w:jc w:val="center"/>
              <w:rPr>
                <w:sz w:val="20"/>
                <w:szCs w:val="20"/>
              </w:rPr>
            </w:pPr>
            <w:r>
              <w:rPr>
                <w:sz w:val="20"/>
                <w:szCs w:val="20"/>
              </w:rPr>
              <w:t>$1</w:t>
            </w:r>
            <w:r w:rsidR="0086708E">
              <w:rPr>
                <w:sz w:val="20"/>
                <w:szCs w:val="20"/>
              </w:rPr>
              <w:t>7.5</w:t>
            </w:r>
          </w:p>
        </w:tc>
        <w:tc>
          <w:tcPr>
            <w:tcW w:w="1080" w:type="dxa"/>
            <w:vAlign w:val="center"/>
          </w:tcPr>
          <w:p w:rsidR="00991F43" w:rsidRPr="00D166DF" w:rsidP="00026F9A" w14:paraId="33E56CEC" w14:textId="05FB3F44">
            <w:pPr>
              <w:pStyle w:val="NoSpacing"/>
              <w:jc w:val="center"/>
              <w:rPr>
                <w:sz w:val="20"/>
                <w:szCs w:val="20"/>
              </w:rPr>
            </w:pPr>
            <w:r>
              <w:rPr>
                <w:sz w:val="20"/>
                <w:szCs w:val="20"/>
              </w:rPr>
              <w:t>$</w:t>
            </w:r>
            <w:r w:rsidR="00703BE1">
              <w:rPr>
                <w:sz w:val="20"/>
                <w:szCs w:val="20"/>
              </w:rPr>
              <w:t>6.8</w:t>
            </w:r>
          </w:p>
        </w:tc>
        <w:tc>
          <w:tcPr>
            <w:tcW w:w="1080" w:type="dxa"/>
            <w:vAlign w:val="center"/>
          </w:tcPr>
          <w:p w:rsidR="00991F43" w:rsidRPr="00D166DF" w:rsidP="00026F9A" w14:paraId="03905F0C" w14:textId="12B6D3EB">
            <w:pPr>
              <w:pStyle w:val="NoSpacing"/>
              <w:jc w:val="center"/>
              <w:rPr>
                <w:sz w:val="20"/>
                <w:szCs w:val="20"/>
              </w:rPr>
            </w:pPr>
            <w:r>
              <w:rPr>
                <w:sz w:val="20"/>
                <w:szCs w:val="20"/>
              </w:rPr>
              <w:t>$25.</w:t>
            </w:r>
            <w:r w:rsidR="00703BE1">
              <w:rPr>
                <w:sz w:val="20"/>
                <w:szCs w:val="20"/>
              </w:rPr>
              <w:t>6</w:t>
            </w:r>
          </w:p>
        </w:tc>
        <w:tc>
          <w:tcPr>
            <w:tcW w:w="900" w:type="dxa"/>
            <w:vAlign w:val="center"/>
          </w:tcPr>
          <w:p w:rsidR="00991F43" w:rsidRPr="00D166DF" w:rsidP="00026F9A" w14:paraId="549B0382" w14:textId="3F80A4BF">
            <w:pPr>
              <w:pStyle w:val="NoSpacing"/>
              <w:jc w:val="center"/>
              <w:rPr>
                <w:sz w:val="20"/>
                <w:szCs w:val="20"/>
              </w:rPr>
            </w:pPr>
            <w:r>
              <w:rPr>
                <w:sz w:val="20"/>
                <w:szCs w:val="20"/>
              </w:rPr>
              <w:t>2022</w:t>
            </w:r>
          </w:p>
        </w:tc>
        <w:tc>
          <w:tcPr>
            <w:tcW w:w="990" w:type="dxa"/>
            <w:vAlign w:val="center"/>
          </w:tcPr>
          <w:p w:rsidR="00991F43" w:rsidRPr="00D166DF" w:rsidP="00026F9A" w14:paraId="59E27C40" w14:textId="50D7F678">
            <w:pPr>
              <w:pStyle w:val="NoSpacing"/>
              <w:jc w:val="center"/>
              <w:rPr>
                <w:sz w:val="20"/>
                <w:szCs w:val="20"/>
              </w:rPr>
            </w:pPr>
            <w:r w:rsidRPr="00D166DF">
              <w:rPr>
                <w:sz w:val="20"/>
                <w:szCs w:val="20"/>
              </w:rPr>
              <w:t>3%</w:t>
            </w:r>
          </w:p>
        </w:tc>
        <w:tc>
          <w:tcPr>
            <w:tcW w:w="900" w:type="dxa"/>
            <w:vAlign w:val="center"/>
          </w:tcPr>
          <w:p w:rsidR="00991F43" w:rsidRPr="00D166DF" w:rsidP="00026F9A" w14:paraId="71D63340" w14:textId="3FAF5014">
            <w:pPr>
              <w:pStyle w:val="NoSpacing"/>
              <w:jc w:val="center"/>
              <w:rPr>
                <w:sz w:val="20"/>
                <w:szCs w:val="20"/>
              </w:rPr>
            </w:pPr>
            <w:r>
              <w:rPr>
                <w:sz w:val="20"/>
                <w:szCs w:val="20"/>
              </w:rPr>
              <w:t>10 years</w:t>
            </w:r>
          </w:p>
        </w:tc>
        <w:tc>
          <w:tcPr>
            <w:tcW w:w="985" w:type="dxa"/>
            <w:vMerge/>
            <w:vAlign w:val="center"/>
          </w:tcPr>
          <w:p w:rsidR="00991F43" w:rsidRPr="00D166DF" w:rsidP="00026F9A" w14:paraId="41791277" w14:textId="77777777">
            <w:pPr>
              <w:pStyle w:val="NoSpacing"/>
              <w:jc w:val="center"/>
              <w:rPr>
                <w:sz w:val="20"/>
                <w:szCs w:val="20"/>
              </w:rPr>
            </w:pPr>
          </w:p>
        </w:tc>
      </w:tr>
      <w:tr w14:paraId="5CD464C5" w14:textId="77777777" w:rsidTr="0077582A">
        <w:tblPrEx>
          <w:tblW w:w="0" w:type="auto"/>
          <w:tblLayout w:type="fixed"/>
          <w:tblLook w:val="04A0"/>
        </w:tblPrEx>
        <w:trPr>
          <w:trHeight w:val="255"/>
        </w:trPr>
        <w:tc>
          <w:tcPr>
            <w:tcW w:w="1075" w:type="dxa"/>
            <w:vMerge/>
            <w:vAlign w:val="center"/>
          </w:tcPr>
          <w:p w:rsidR="00991F43" w:rsidRPr="00D166DF" w:rsidP="00026F9A" w14:paraId="229FC352" w14:textId="77777777">
            <w:pPr>
              <w:pStyle w:val="NoSpacing"/>
              <w:jc w:val="center"/>
              <w:rPr>
                <w:sz w:val="20"/>
                <w:szCs w:val="20"/>
              </w:rPr>
            </w:pPr>
          </w:p>
        </w:tc>
        <w:tc>
          <w:tcPr>
            <w:tcW w:w="1260" w:type="dxa"/>
            <w:vMerge w:val="restart"/>
            <w:vAlign w:val="center"/>
          </w:tcPr>
          <w:p w:rsidR="00991F43" w:rsidRPr="00D166DF" w:rsidP="00026F9A" w14:paraId="6614F562" w14:textId="77777777">
            <w:pPr>
              <w:pStyle w:val="NoSpacing"/>
              <w:jc w:val="center"/>
              <w:rPr>
                <w:sz w:val="20"/>
                <w:szCs w:val="20"/>
              </w:rPr>
            </w:pPr>
            <w:r w:rsidRPr="00D166DF">
              <w:rPr>
                <w:sz w:val="20"/>
                <w:szCs w:val="20"/>
              </w:rPr>
              <w:t>Annualized Quantified</w:t>
            </w:r>
          </w:p>
        </w:tc>
        <w:tc>
          <w:tcPr>
            <w:tcW w:w="1080" w:type="dxa"/>
            <w:vAlign w:val="center"/>
          </w:tcPr>
          <w:p w:rsidR="00991F43" w:rsidRPr="00D166DF" w:rsidP="00026F9A" w14:paraId="50066D41" w14:textId="3D1F07E3">
            <w:pPr>
              <w:pStyle w:val="NoSpacing"/>
              <w:jc w:val="center"/>
              <w:rPr>
                <w:sz w:val="20"/>
                <w:szCs w:val="20"/>
              </w:rPr>
            </w:pPr>
          </w:p>
        </w:tc>
        <w:tc>
          <w:tcPr>
            <w:tcW w:w="1080" w:type="dxa"/>
            <w:vAlign w:val="center"/>
          </w:tcPr>
          <w:p w:rsidR="00991F43" w:rsidRPr="00D166DF" w:rsidP="00026F9A" w14:paraId="219A2E5B" w14:textId="7E4CF0EA">
            <w:pPr>
              <w:pStyle w:val="NoSpacing"/>
              <w:jc w:val="center"/>
              <w:rPr>
                <w:sz w:val="20"/>
                <w:szCs w:val="20"/>
              </w:rPr>
            </w:pPr>
          </w:p>
        </w:tc>
        <w:tc>
          <w:tcPr>
            <w:tcW w:w="1080" w:type="dxa"/>
            <w:vAlign w:val="center"/>
          </w:tcPr>
          <w:p w:rsidR="00991F43" w:rsidRPr="00D166DF" w:rsidP="00026F9A" w14:paraId="32F1276F" w14:textId="0D9A94D9">
            <w:pPr>
              <w:pStyle w:val="NoSpacing"/>
              <w:jc w:val="center"/>
              <w:rPr>
                <w:sz w:val="20"/>
                <w:szCs w:val="20"/>
              </w:rPr>
            </w:pPr>
          </w:p>
        </w:tc>
        <w:tc>
          <w:tcPr>
            <w:tcW w:w="900" w:type="dxa"/>
            <w:vAlign w:val="center"/>
          </w:tcPr>
          <w:p w:rsidR="00991F43" w:rsidRPr="00D166DF" w:rsidP="00026F9A" w14:paraId="6882A703" w14:textId="77777777">
            <w:pPr>
              <w:pStyle w:val="NoSpacing"/>
              <w:jc w:val="center"/>
              <w:rPr>
                <w:sz w:val="20"/>
                <w:szCs w:val="20"/>
              </w:rPr>
            </w:pPr>
          </w:p>
        </w:tc>
        <w:tc>
          <w:tcPr>
            <w:tcW w:w="990" w:type="dxa"/>
            <w:vAlign w:val="center"/>
          </w:tcPr>
          <w:p w:rsidR="00991F43" w:rsidRPr="00D166DF" w:rsidP="00026F9A" w14:paraId="774E082F" w14:textId="5893CD1D">
            <w:pPr>
              <w:pStyle w:val="NoSpacing"/>
              <w:jc w:val="center"/>
              <w:rPr>
                <w:sz w:val="20"/>
                <w:szCs w:val="20"/>
              </w:rPr>
            </w:pPr>
            <w:r w:rsidRPr="00D166DF">
              <w:rPr>
                <w:sz w:val="20"/>
                <w:szCs w:val="20"/>
              </w:rPr>
              <w:t>7%</w:t>
            </w:r>
          </w:p>
        </w:tc>
        <w:tc>
          <w:tcPr>
            <w:tcW w:w="900" w:type="dxa"/>
            <w:vAlign w:val="center"/>
          </w:tcPr>
          <w:p w:rsidR="00991F43" w:rsidRPr="00D166DF" w:rsidP="00026F9A" w14:paraId="660A7ACE" w14:textId="6F37F031">
            <w:pPr>
              <w:pStyle w:val="NoSpacing"/>
              <w:jc w:val="center"/>
              <w:rPr>
                <w:sz w:val="20"/>
                <w:szCs w:val="20"/>
              </w:rPr>
            </w:pPr>
          </w:p>
        </w:tc>
        <w:tc>
          <w:tcPr>
            <w:tcW w:w="985" w:type="dxa"/>
            <w:vMerge/>
            <w:vAlign w:val="center"/>
          </w:tcPr>
          <w:p w:rsidR="00991F43" w:rsidRPr="00D166DF" w:rsidP="00026F9A" w14:paraId="3B162D4B" w14:textId="77777777">
            <w:pPr>
              <w:pStyle w:val="NoSpacing"/>
              <w:jc w:val="center"/>
              <w:rPr>
                <w:sz w:val="20"/>
                <w:szCs w:val="20"/>
              </w:rPr>
            </w:pPr>
          </w:p>
        </w:tc>
      </w:tr>
      <w:tr w14:paraId="042C9C72" w14:textId="77777777" w:rsidTr="0077582A">
        <w:tblPrEx>
          <w:tblW w:w="0" w:type="auto"/>
          <w:tblLayout w:type="fixed"/>
          <w:tblLook w:val="04A0"/>
        </w:tblPrEx>
        <w:trPr>
          <w:trHeight w:val="255"/>
        </w:trPr>
        <w:tc>
          <w:tcPr>
            <w:tcW w:w="1075" w:type="dxa"/>
            <w:vMerge/>
            <w:vAlign w:val="center"/>
          </w:tcPr>
          <w:p w:rsidR="00991F43" w:rsidRPr="00D166DF" w:rsidP="00026F9A" w14:paraId="432DFB2E" w14:textId="77777777">
            <w:pPr>
              <w:pStyle w:val="NoSpacing"/>
              <w:jc w:val="center"/>
              <w:rPr>
                <w:sz w:val="20"/>
                <w:szCs w:val="20"/>
              </w:rPr>
            </w:pPr>
          </w:p>
        </w:tc>
        <w:tc>
          <w:tcPr>
            <w:tcW w:w="1260" w:type="dxa"/>
            <w:vMerge/>
            <w:vAlign w:val="center"/>
          </w:tcPr>
          <w:p w:rsidR="00991F43" w:rsidRPr="00D166DF" w:rsidP="00026F9A" w14:paraId="5609F557" w14:textId="77777777">
            <w:pPr>
              <w:pStyle w:val="NoSpacing"/>
              <w:jc w:val="center"/>
              <w:rPr>
                <w:sz w:val="20"/>
                <w:szCs w:val="20"/>
              </w:rPr>
            </w:pPr>
          </w:p>
        </w:tc>
        <w:tc>
          <w:tcPr>
            <w:tcW w:w="1080" w:type="dxa"/>
            <w:vAlign w:val="center"/>
          </w:tcPr>
          <w:p w:rsidR="00991F43" w:rsidRPr="00D166DF" w:rsidP="00026F9A" w14:paraId="0FF6B87F" w14:textId="77777777">
            <w:pPr>
              <w:pStyle w:val="NoSpacing"/>
              <w:jc w:val="center"/>
              <w:rPr>
                <w:sz w:val="20"/>
                <w:szCs w:val="20"/>
              </w:rPr>
            </w:pPr>
          </w:p>
        </w:tc>
        <w:tc>
          <w:tcPr>
            <w:tcW w:w="1080" w:type="dxa"/>
            <w:vAlign w:val="center"/>
          </w:tcPr>
          <w:p w:rsidR="00991F43" w:rsidRPr="00D166DF" w:rsidP="00026F9A" w14:paraId="07108AA0" w14:textId="77777777">
            <w:pPr>
              <w:pStyle w:val="NoSpacing"/>
              <w:jc w:val="center"/>
              <w:rPr>
                <w:sz w:val="20"/>
                <w:szCs w:val="20"/>
              </w:rPr>
            </w:pPr>
          </w:p>
        </w:tc>
        <w:tc>
          <w:tcPr>
            <w:tcW w:w="1080" w:type="dxa"/>
            <w:vAlign w:val="center"/>
          </w:tcPr>
          <w:p w:rsidR="00991F43" w:rsidRPr="00D166DF" w:rsidP="00026F9A" w14:paraId="20A2CF3A" w14:textId="77777777">
            <w:pPr>
              <w:pStyle w:val="NoSpacing"/>
              <w:jc w:val="center"/>
              <w:rPr>
                <w:sz w:val="20"/>
                <w:szCs w:val="20"/>
              </w:rPr>
            </w:pPr>
          </w:p>
        </w:tc>
        <w:tc>
          <w:tcPr>
            <w:tcW w:w="900" w:type="dxa"/>
            <w:vAlign w:val="center"/>
          </w:tcPr>
          <w:p w:rsidR="00991F43" w:rsidRPr="00D166DF" w:rsidP="00026F9A" w14:paraId="20F4B944" w14:textId="77777777">
            <w:pPr>
              <w:pStyle w:val="NoSpacing"/>
              <w:jc w:val="center"/>
              <w:rPr>
                <w:sz w:val="20"/>
                <w:szCs w:val="20"/>
              </w:rPr>
            </w:pPr>
          </w:p>
        </w:tc>
        <w:tc>
          <w:tcPr>
            <w:tcW w:w="990" w:type="dxa"/>
            <w:vAlign w:val="center"/>
          </w:tcPr>
          <w:p w:rsidR="00991F43" w:rsidRPr="00D166DF" w:rsidP="00026F9A" w14:paraId="67742D55" w14:textId="3930C3E0">
            <w:pPr>
              <w:pStyle w:val="NoSpacing"/>
              <w:jc w:val="center"/>
              <w:rPr>
                <w:sz w:val="20"/>
                <w:szCs w:val="20"/>
              </w:rPr>
            </w:pPr>
            <w:r w:rsidRPr="00D166DF">
              <w:rPr>
                <w:sz w:val="20"/>
                <w:szCs w:val="20"/>
              </w:rPr>
              <w:t>3%</w:t>
            </w:r>
          </w:p>
        </w:tc>
        <w:tc>
          <w:tcPr>
            <w:tcW w:w="900" w:type="dxa"/>
            <w:vAlign w:val="center"/>
          </w:tcPr>
          <w:p w:rsidR="00991F43" w:rsidRPr="00D166DF" w:rsidP="00026F9A" w14:paraId="5715FE72" w14:textId="1C01E68F">
            <w:pPr>
              <w:pStyle w:val="NoSpacing"/>
              <w:jc w:val="center"/>
              <w:rPr>
                <w:sz w:val="20"/>
                <w:szCs w:val="20"/>
              </w:rPr>
            </w:pPr>
          </w:p>
        </w:tc>
        <w:tc>
          <w:tcPr>
            <w:tcW w:w="985" w:type="dxa"/>
            <w:vMerge/>
            <w:vAlign w:val="center"/>
          </w:tcPr>
          <w:p w:rsidR="00991F43" w:rsidRPr="00D166DF" w:rsidP="00026F9A" w14:paraId="01CF2E37" w14:textId="77777777">
            <w:pPr>
              <w:pStyle w:val="NoSpacing"/>
              <w:jc w:val="center"/>
              <w:rPr>
                <w:sz w:val="20"/>
                <w:szCs w:val="20"/>
              </w:rPr>
            </w:pPr>
          </w:p>
        </w:tc>
      </w:tr>
      <w:tr w14:paraId="60FA6A7F" w14:textId="77777777" w:rsidTr="00A24802">
        <w:tblPrEx>
          <w:tblW w:w="0" w:type="auto"/>
          <w:tblLayout w:type="fixed"/>
          <w:tblLook w:val="04A0"/>
        </w:tblPrEx>
        <w:tc>
          <w:tcPr>
            <w:tcW w:w="1075" w:type="dxa"/>
            <w:vMerge/>
            <w:vAlign w:val="center"/>
          </w:tcPr>
          <w:p w:rsidR="00991F43" w:rsidRPr="00D166DF" w:rsidP="00026F9A" w14:paraId="5B2AC131" w14:textId="77777777">
            <w:pPr>
              <w:pStyle w:val="NoSpacing"/>
              <w:jc w:val="center"/>
              <w:rPr>
                <w:sz w:val="20"/>
                <w:szCs w:val="20"/>
              </w:rPr>
            </w:pPr>
          </w:p>
        </w:tc>
        <w:tc>
          <w:tcPr>
            <w:tcW w:w="1260" w:type="dxa"/>
            <w:vAlign w:val="center"/>
          </w:tcPr>
          <w:p w:rsidR="00991F43" w:rsidRPr="00D166DF" w:rsidP="00026F9A" w14:paraId="124256A9" w14:textId="77777777">
            <w:pPr>
              <w:pStyle w:val="NoSpacing"/>
              <w:jc w:val="center"/>
              <w:rPr>
                <w:sz w:val="20"/>
                <w:szCs w:val="20"/>
              </w:rPr>
            </w:pPr>
            <w:r w:rsidRPr="00D166DF">
              <w:rPr>
                <w:sz w:val="20"/>
                <w:szCs w:val="20"/>
              </w:rPr>
              <w:t>Qualitative</w:t>
            </w:r>
          </w:p>
        </w:tc>
        <w:tc>
          <w:tcPr>
            <w:tcW w:w="6030" w:type="dxa"/>
            <w:gridSpan w:val="6"/>
            <w:vAlign w:val="center"/>
          </w:tcPr>
          <w:p w:rsidR="00991F43" w:rsidRPr="00D166DF" w:rsidP="00026F9A" w14:paraId="16034D6A" w14:textId="77777777">
            <w:pPr>
              <w:pStyle w:val="NoSpacing"/>
              <w:jc w:val="center"/>
              <w:rPr>
                <w:sz w:val="20"/>
                <w:szCs w:val="20"/>
              </w:rPr>
            </w:pPr>
          </w:p>
        </w:tc>
        <w:tc>
          <w:tcPr>
            <w:tcW w:w="985" w:type="dxa"/>
            <w:vMerge/>
            <w:vAlign w:val="center"/>
          </w:tcPr>
          <w:p w:rsidR="00991F43" w:rsidRPr="00D166DF" w:rsidP="00026F9A" w14:paraId="17BDA1F1" w14:textId="77777777">
            <w:pPr>
              <w:pStyle w:val="NoSpacing"/>
              <w:jc w:val="center"/>
              <w:rPr>
                <w:sz w:val="20"/>
                <w:szCs w:val="20"/>
              </w:rPr>
            </w:pPr>
          </w:p>
        </w:tc>
      </w:tr>
      <w:tr w14:paraId="5AA07E75" w14:textId="77777777" w:rsidTr="0077582A">
        <w:tblPrEx>
          <w:tblW w:w="0" w:type="auto"/>
          <w:tblLayout w:type="fixed"/>
          <w:tblLook w:val="04A0"/>
        </w:tblPrEx>
        <w:tc>
          <w:tcPr>
            <w:tcW w:w="1075" w:type="dxa"/>
            <w:vMerge w:val="restart"/>
            <w:vAlign w:val="center"/>
          </w:tcPr>
          <w:p w:rsidR="00AC15AE" w:rsidRPr="00D166DF" w:rsidP="00026F9A" w14:paraId="01D48313" w14:textId="77777777">
            <w:pPr>
              <w:pStyle w:val="NoSpacing"/>
              <w:jc w:val="center"/>
              <w:rPr>
                <w:sz w:val="20"/>
                <w:szCs w:val="20"/>
              </w:rPr>
            </w:pPr>
            <w:r w:rsidRPr="00D166DF">
              <w:rPr>
                <w:sz w:val="20"/>
                <w:szCs w:val="20"/>
              </w:rPr>
              <w:t>Transfers</w:t>
            </w:r>
          </w:p>
        </w:tc>
        <w:tc>
          <w:tcPr>
            <w:tcW w:w="1260" w:type="dxa"/>
            <w:vMerge w:val="restart"/>
            <w:vAlign w:val="center"/>
          </w:tcPr>
          <w:p w:rsidR="00AC15AE" w:rsidRPr="00D166DF" w:rsidP="00026F9A" w14:paraId="50B529D2" w14:textId="5E804C89">
            <w:pPr>
              <w:pStyle w:val="NoSpacing"/>
              <w:jc w:val="center"/>
              <w:rPr>
                <w:sz w:val="20"/>
                <w:szCs w:val="20"/>
              </w:rPr>
            </w:pPr>
            <w:r w:rsidRPr="00D166DF">
              <w:rPr>
                <w:sz w:val="20"/>
                <w:szCs w:val="20"/>
              </w:rPr>
              <w:t>Federal Annualized Monetized ($m/year)</w:t>
            </w:r>
          </w:p>
        </w:tc>
        <w:tc>
          <w:tcPr>
            <w:tcW w:w="1080" w:type="dxa"/>
            <w:vAlign w:val="center"/>
          </w:tcPr>
          <w:p w:rsidR="00AC15AE" w:rsidRPr="00D166DF" w:rsidP="00026F9A" w14:paraId="511246CA" w14:textId="77777777">
            <w:pPr>
              <w:pStyle w:val="NoSpacing"/>
              <w:jc w:val="center"/>
              <w:rPr>
                <w:sz w:val="20"/>
                <w:szCs w:val="20"/>
              </w:rPr>
            </w:pPr>
          </w:p>
        </w:tc>
        <w:tc>
          <w:tcPr>
            <w:tcW w:w="1080" w:type="dxa"/>
            <w:vAlign w:val="center"/>
          </w:tcPr>
          <w:p w:rsidR="00AC15AE" w:rsidRPr="00D166DF" w:rsidP="00026F9A" w14:paraId="45329AA2" w14:textId="77777777">
            <w:pPr>
              <w:pStyle w:val="NoSpacing"/>
              <w:jc w:val="center"/>
              <w:rPr>
                <w:sz w:val="20"/>
                <w:szCs w:val="20"/>
              </w:rPr>
            </w:pPr>
          </w:p>
        </w:tc>
        <w:tc>
          <w:tcPr>
            <w:tcW w:w="1080" w:type="dxa"/>
            <w:vAlign w:val="center"/>
          </w:tcPr>
          <w:p w:rsidR="00AC15AE" w:rsidRPr="00D166DF" w:rsidP="00026F9A" w14:paraId="41631E3B" w14:textId="77777777">
            <w:pPr>
              <w:pStyle w:val="NoSpacing"/>
              <w:jc w:val="center"/>
              <w:rPr>
                <w:sz w:val="20"/>
                <w:szCs w:val="20"/>
              </w:rPr>
            </w:pPr>
          </w:p>
        </w:tc>
        <w:tc>
          <w:tcPr>
            <w:tcW w:w="900" w:type="dxa"/>
            <w:vAlign w:val="center"/>
          </w:tcPr>
          <w:p w:rsidR="00AC15AE" w:rsidRPr="00D166DF" w:rsidP="00026F9A" w14:paraId="128B8E0F" w14:textId="77777777">
            <w:pPr>
              <w:pStyle w:val="NoSpacing"/>
              <w:jc w:val="center"/>
              <w:rPr>
                <w:sz w:val="20"/>
                <w:szCs w:val="20"/>
              </w:rPr>
            </w:pPr>
          </w:p>
        </w:tc>
        <w:tc>
          <w:tcPr>
            <w:tcW w:w="990" w:type="dxa"/>
            <w:vAlign w:val="center"/>
          </w:tcPr>
          <w:p w:rsidR="00AC15AE" w:rsidRPr="00D166DF" w:rsidP="00026F9A" w14:paraId="0ED59A03" w14:textId="2AD95A7E">
            <w:pPr>
              <w:pStyle w:val="NoSpacing"/>
              <w:jc w:val="center"/>
              <w:rPr>
                <w:sz w:val="20"/>
                <w:szCs w:val="20"/>
              </w:rPr>
            </w:pPr>
            <w:r w:rsidRPr="00D166DF">
              <w:rPr>
                <w:sz w:val="20"/>
                <w:szCs w:val="20"/>
              </w:rPr>
              <w:t>7%</w:t>
            </w:r>
          </w:p>
        </w:tc>
        <w:tc>
          <w:tcPr>
            <w:tcW w:w="900" w:type="dxa"/>
            <w:vAlign w:val="center"/>
          </w:tcPr>
          <w:p w:rsidR="00AC15AE" w:rsidRPr="00D166DF" w:rsidP="00026F9A" w14:paraId="33822049" w14:textId="77777777">
            <w:pPr>
              <w:pStyle w:val="NoSpacing"/>
              <w:jc w:val="center"/>
              <w:rPr>
                <w:sz w:val="20"/>
                <w:szCs w:val="20"/>
              </w:rPr>
            </w:pPr>
          </w:p>
        </w:tc>
        <w:tc>
          <w:tcPr>
            <w:tcW w:w="985" w:type="dxa"/>
            <w:vMerge w:val="restart"/>
            <w:vAlign w:val="center"/>
          </w:tcPr>
          <w:p w:rsidR="00AC15AE" w:rsidRPr="00D166DF" w:rsidP="00026F9A" w14:paraId="221D5707" w14:textId="77777777">
            <w:pPr>
              <w:pStyle w:val="NoSpacing"/>
              <w:jc w:val="center"/>
              <w:rPr>
                <w:sz w:val="20"/>
                <w:szCs w:val="20"/>
              </w:rPr>
            </w:pPr>
          </w:p>
        </w:tc>
      </w:tr>
      <w:tr w14:paraId="3F84DD3D" w14:textId="77777777" w:rsidTr="0077582A">
        <w:tblPrEx>
          <w:tblW w:w="0" w:type="auto"/>
          <w:tblLayout w:type="fixed"/>
          <w:tblLook w:val="04A0"/>
        </w:tblPrEx>
        <w:tc>
          <w:tcPr>
            <w:tcW w:w="1075" w:type="dxa"/>
            <w:vMerge/>
            <w:vAlign w:val="center"/>
          </w:tcPr>
          <w:p w:rsidR="00AC15AE" w:rsidRPr="00D166DF" w:rsidP="00026F9A" w14:paraId="5A204351" w14:textId="77777777">
            <w:pPr>
              <w:pStyle w:val="NoSpacing"/>
              <w:jc w:val="center"/>
              <w:rPr>
                <w:sz w:val="20"/>
                <w:szCs w:val="20"/>
              </w:rPr>
            </w:pPr>
          </w:p>
        </w:tc>
        <w:tc>
          <w:tcPr>
            <w:tcW w:w="1260" w:type="dxa"/>
            <w:vMerge/>
            <w:vAlign w:val="center"/>
          </w:tcPr>
          <w:p w:rsidR="00AC15AE" w:rsidRPr="00D166DF" w:rsidP="00026F9A" w14:paraId="22C35B16" w14:textId="77777777">
            <w:pPr>
              <w:pStyle w:val="NoSpacing"/>
              <w:jc w:val="center"/>
              <w:rPr>
                <w:sz w:val="20"/>
                <w:szCs w:val="20"/>
              </w:rPr>
            </w:pPr>
          </w:p>
        </w:tc>
        <w:tc>
          <w:tcPr>
            <w:tcW w:w="1080" w:type="dxa"/>
            <w:vAlign w:val="center"/>
          </w:tcPr>
          <w:p w:rsidR="00AC15AE" w:rsidRPr="00D166DF" w:rsidP="00026F9A" w14:paraId="3B8A1A9B" w14:textId="77777777">
            <w:pPr>
              <w:pStyle w:val="NoSpacing"/>
              <w:jc w:val="center"/>
              <w:rPr>
                <w:sz w:val="20"/>
                <w:szCs w:val="20"/>
              </w:rPr>
            </w:pPr>
          </w:p>
        </w:tc>
        <w:tc>
          <w:tcPr>
            <w:tcW w:w="1080" w:type="dxa"/>
            <w:vAlign w:val="center"/>
          </w:tcPr>
          <w:p w:rsidR="00AC15AE" w:rsidRPr="00D166DF" w:rsidP="00026F9A" w14:paraId="3C2B8E51" w14:textId="77777777">
            <w:pPr>
              <w:pStyle w:val="NoSpacing"/>
              <w:jc w:val="center"/>
              <w:rPr>
                <w:sz w:val="20"/>
                <w:szCs w:val="20"/>
              </w:rPr>
            </w:pPr>
          </w:p>
        </w:tc>
        <w:tc>
          <w:tcPr>
            <w:tcW w:w="1080" w:type="dxa"/>
            <w:vAlign w:val="center"/>
          </w:tcPr>
          <w:p w:rsidR="00AC15AE" w:rsidRPr="00D166DF" w:rsidP="00026F9A" w14:paraId="6DFF8361" w14:textId="77777777">
            <w:pPr>
              <w:pStyle w:val="NoSpacing"/>
              <w:jc w:val="center"/>
              <w:rPr>
                <w:sz w:val="20"/>
                <w:szCs w:val="20"/>
              </w:rPr>
            </w:pPr>
          </w:p>
        </w:tc>
        <w:tc>
          <w:tcPr>
            <w:tcW w:w="900" w:type="dxa"/>
            <w:vAlign w:val="center"/>
          </w:tcPr>
          <w:p w:rsidR="00AC15AE" w:rsidRPr="00D166DF" w:rsidP="00026F9A" w14:paraId="7E6004CA" w14:textId="77777777">
            <w:pPr>
              <w:pStyle w:val="NoSpacing"/>
              <w:jc w:val="center"/>
              <w:rPr>
                <w:sz w:val="20"/>
                <w:szCs w:val="20"/>
              </w:rPr>
            </w:pPr>
          </w:p>
        </w:tc>
        <w:tc>
          <w:tcPr>
            <w:tcW w:w="990" w:type="dxa"/>
            <w:vAlign w:val="center"/>
          </w:tcPr>
          <w:p w:rsidR="00AC15AE" w:rsidRPr="00D166DF" w:rsidP="00026F9A" w14:paraId="44A4B098" w14:textId="6F71527C">
            <w:pPr>
              <w:pStyle w:val="NoSpacing"/>
              <w:jc w:val="center"/>
              <w:rPr>
                <w:sz w:val="20"/>
                <w:szCs w:val="20"/>
              </w:rPr>
            </w:pPr>
            <w:r w:rsidRPr="00D166DF">
              <w:rPr>
                <w:sz w:val="20"/>
                <w:szCs w:val="20"/>
              </w:rPr>
              <w:t>3%</w:t>
            </w:r>
          </w:p>
        </w:tc>
        <w:tc>
          <w:tcPr>
            <w:tcW w:w="900" w:type="dxa"/>
            <w:vAlign w:val="center"/>
          </w:tcPr>
          <w:p w:rsidR="00AC15AE" w:rsidRPr="00D166DF" w:rsidP="00026F9A" w14:paraId="7D1790C1" w14:textId="77777777">
            <w:pPr>
              <w:pStyle w:val="NoSpacing"/>
              <w:jc w:val="center"/>
              <w:rPr>
                <w:sz w:val="20"/>
                <w:szCs w:val="20"/>
              </w:rPr>
            </w:pPr>
          </w:p>
        </w:tc>
        <w:tc>
          <w:tcPr>
            <w:tcW w:w="985" w:type="dxa"/>
            <w:vMerge/>
            <w:vAlign w:val="center"/>
          </w:tcPr>
          <w:p w:rsidR="00AC15AE" w:rsidRPr="00D166DF" w:rsidP="00026F9A" w14:paraId="0C193EA4" w14:textId="77777777">
            <w:pPr>
              <w:pStyle w:val="NoSpacing"/>
              <w:jc w:val="center"/>
              <w:rPr>
                <w:sz w:val="20"/>
                <w:szCs w:val="20"/>
              </w:rPr>
            </w:pPr>
          </w:p>
        </w:tc>
      </w:tr>
      <w:tr w14:paraId="502E9020" w14:textId="77777777" w:rsidTr="00A24802">
        <w:tblPrEx>
          <w:tblW w:w="0" w:type="auto"/>
          <w:tblLayout w:type="fixed"/>
          <w:tblLook w:val="04A0"/>
        </w:tblPrEx>
        <w:trPr>
          <w:trHeight w:val="263"/>
        </w:trPr>
        <w:tc>
          <w:tcPr>
            <w:tcW w:w="1075" w:type="dxa"/>
            <w:vMerge/>
            <w:tcBorders>
              <w:bottom w:val="single" w:sz="4" w:space="0" w:color="auto"/>
            </w:tcBorders>
            <w:vAlign w:val="center"/>
          </w:tcPr>
          <w:p w:rsidR="00991F43" w:rsidRPr="00D166DF" w:rsidP="00026F9A" w14:paraId="672847D2" w14:textId="77777777">
            <w:pPr>
              <w:pStyle w:val="NoSpacing"/>
              <w:jc w:val="center"/>
              <w:rPr>
                <w:sz w:val="20"/>
                <w:szCs w:val="20"/>
              </w:rPr>
            </w:pPr>
          </w:p>
        </w:tc>
        <w:tc>
          <w:tcPr>
            <w:tcW w:w="1260" w:type="dxa"/>
            <w:vMerge/>
            <w:tcBorders>
              <w:bottom w:val="single" w:sz="4" w:space="0" w:color="auto"/>
            </w:tcBorders>
            <w:vAlign w:val="center"/>
          </w:tcPr>
          <w:p w:rsidR="00991F43" w:rsidRPr="00D166DF" w:rsidP="00026F9A" w14:paraId="0F583B41" w14:textId="77777777">
            <w:pPr>
              <w:pStyle w:val="NoSpacing"/>
              <w:jc w:val="center"/>
              <w:rPr>
                <w:sz w:val="20"/>
                <w:szCs w:val="20"/>
              </w:rPr>
            </w:pPr>
          </w:p>
        </w:tc>
        <w:tc>
          <w:tcPr>
            <w:tcW w:w="3240" w:type="dxa"/>
            <w:gridSpan w:val="3"/>
            <w:tcBorders>
              <w:bottom w:val="single" w:sz="4" w:space="0" w:color="auto"/>
            </w:tcBorders>
          </w:tcPr>
          <w:p w:rsidR="00991F43" w:rsidRPr="00D166DF" w:rsidP="00026F9A" w14:paraId="46E5D8AC" w14:textId="77777777">
            <w:pPr>
              <w:pStyle w:val="NoSpacing"/>
              <w:rPr>
                <w:sz w:val="20"/>
                <w:szCs w:val="20"/>
              </w:rPr>
            </w:pPr>
            <w:r w:rsidRPr="00D166DF">
              <w:rPr>
                <w:sz w:val="20"/>
                <w:szCs w:val="20"/>
              </w:rPr>
              <w:t>From:</w:t>
            </w:r>
          </w:p>
        </w:tc>
        <w:tc>
          <w:tcPr>
            <w:tcW w:w="2790" w:type="dxa"/>
            <w:gridSpan w:val="3"/>
            <w:tcBorders>
              <w:bottom w:val="single" w:sz="4" w:space="0" w:color="auto"/>
            </w:tcBorders>
          </w:tcPr>
          <w:p w:rsidR="00991F43" w:rsidRPr="00D166DF" w:rsidP="00026F9A" w14:paraId="7AB610D4" w14:textId="77777777">
            <w:pPr>
              <w:pStyle w:val="NoSpacing"/>
              <w:rPr>
                <w:sz w:val="20"/>
                <w:szCs w:val="20"/>
              </w:rPr>
            </w:pPr>
            <w:r w:rsidRPr="00D166DF">
              <w:rPr>
                <w:sz w:val="20"/>
                <w:szCs w:val="20"/>
              </w:rPr>
              <w:t>To:</w:t>
            </w:r>
          </w:p>
        </w:tc>
        <w:tc>
          <w:tcPr>
            <w:tcW w:w="985" w:type="dxa"/>
            <w:vMerge/>
            <w:tcBorders>
              <w:bottom w:val="single" w:sz="4" w:space="0" w:color="auto"/>
            </w:tcBorders>
            <w:vAlign w:val="center"/>
          </w:tcPr>
          <w:p w:rsidR="00991F43" w:rsidRPr="00D166DF" w:rsidP="00026F9A" w14:paraId="35B086C2" w14:textId="77777777">
            <w:pPr>
              <w:pStyle w:val="NoSpacing"/>
              <w:jc w:val="center"/>
              <w:rPr>
                <w:sz w:val="20"/>
                <w:szCs w:val="20"/>
              </w:rPr>
            </w:pPr>
          </w:p>
        </w:tc>
      </w:tr>
      <w:tr w14:paraId="300C303A" w14:textId="77777777" w:rsidTr="0077582A">
        <w:tblPrEx>
          <w:tblW w:w="0" w:type="auto"/>
          <w:tblLayout w:type="fixed"/>
          <w:tblLook w:val="04A0"/>
        </w:tblPrEx>
        <w:tc>
          <w:tcPr>
            <w:tcW w:w="1075" w:type="dxa"/>
            <w:vMerge/>
            <w:vAlign w:val="center"/>
          </w:tcPr>
          <w:p w:rsidR="00AC15AE" w:rsidRPr="00D166DF" w:rsidP="00026F9A" w14:paraId="255BF8B0" w14:textId="77777777">
            <w:pPr>
              <w:pStyle w:val="NoSpacing"/>
              <w:jc w:val="center"/>
              <w:rPr>
                <w:sz w:val="20"/>
                <w:szCs w:val="20"/>
              </w:rPr>
            </w:pPr>
          </w:p>
        </w:tc>
        <w:tc>
          <w:tcPr>
            <w:tcW w:w="1260" w:type="dxa"/>
            <w:vMerge w:val="restart"/>
            <w:vAlign w:val="center"/>
          </w:tcPr>
          <w:p w:rsidR="00AC15AE" w:rsidRPr="00D166DF" w:rsidP="00026F9A" w14:paraId="54604257" w14:textId="7B0517AF">
            <w:pPr>
              <w:pStyle w:val="NoSpacing"/>
              <w:jc w:val="center"/>
              <w:rPr>
                <w:sz w:val="20"/>
                <w:szCs w:val="20"/>
              </w:rPr>
            </w:pPr>
            <w:r w:rsidRPr="00D166DF">
              <w:rPr>
                <w:sz w:val="20"/>
                <w:szCs w:val="20"/>
              </w:rPr>
              <w:t>Other Annualized Monetized ($m/year)</w:t>
            </w:r>
          </w:p>
        </w:tc>
        <w:tc>
          <w:tcPr>
            <w:tcW w:w="1080" w:type="dxa"/>
            <w:vAlign w:val="center"/>
          </w:tcPr>
          <w:p w:rsidR="00AC15AE" w:rsidRPr="00D166DF" w:rsidP="00026F9A" w14:paraId="0BDDEB9C" w14:textId="77777777">
            <w:pPr>
              <w:pStyle w:val="NoSpacing"/>
              <w:jc w:val="center"/>
              <w:rPr>
                <w:sz w:val="20"/>
                <w:szCs w:val="20"/>
              </w:rPr>
            </w:pPr>
          </w:p>
        </w:tc>
        <w:tc>
          <w:tcPr>
            <w:tcW w:w="1080" w:type="dxa"/>
            <w:vAlign w:val="center"/>
          </w:tcPr>
          <w:p w:rsidR="00AC15AE" w:rsidRPr="00D166DF" w:rsidP="00026F9A" w14:paraId="5BA477A4" w14:textId="77777777">
            <w:pPr>
              <w:pStyle w:val="NoSpacing"/>
              <w:jc w:val="center"/>
              <w:rPr>
                <w:sz w:val="20"/>
                <w:szCs w:val="20"/>
              </w:rPr>
            </w:pPr>
          </w:p>
        </w:tc>
        <w:tc>
          <w:tcPr>
            <w:tcW w:w="1080" w:type="dxa"/>
            <w:vAlign w:val="center"/>
          </w:tcPr>
          <w:p w:rsidR="00AC15AE" w:rsidRPr="00D166DF" w:rsidP="00026F9A" w14:paraId="4F8EC2B7" w14:textId="77777777">
            <w:pPr>
              <w:pStyle w:val="NoSpacing"/>
              <w:jc w:val="center"/>
              <w:rPr>
                <w:sz w:val="20"/>
                <w:szCs w:val="20"/>
              </w:rPr>
            </w:pPr>
          </w:p>
        </w:tc>
        <w:tc>
          <w:tcPr>
            <w:tcW w:w="900" w:type="dxa"/>
            <w:vAlign w:val="center"/>
          </w:tcPr>
          <w:p w:rsidR="00AC15AE" w:rsidRPr="00D166DF" w:rsidP="00026F9A" w14:paraId="32D0D527" w14:textId="77777777">
            <w:pPr>
              <w:pStyle w:val="NoSpacing"/>
              <w:jc w:val="center"/>
              <w:rPr>
                <w:sz w:val="20"/>
                <w:szCs w:val="20"/>
              </w:rPr>
            </w:pPr>
          </w:p>
        </w:tc>
        <w:tc>
          <w:tcPr>
            <w:tcW w:w="990" w:type="dxa"/>
            <w:vAlign w:val="center"/>
          </w:tcPr>
          <w:p w:rsidR="00AC15AE" w:rsidRPr="00D166DF" w:rsidP="00026F9A" w14:paraId="108DF783" w14:textId="09625F57">
            <w:pPr>
              <w:pStyle w:val="NoSpacing"/>
              <w:jc w:val="center"/>
              <w:rPr>
                <w:sz w:val="20"/>
                <w:szCs w:val="20"/>
              </w:rPr>
            </w:pPr>
            <w:r w:rsidRPr="00D166DF">
              <w:rPr>
                <w:sz w:val="20"/>
                <w:szCs w:val="20"/>
              </w:rPr>
              <w:t>7%</w:t>
            </w:r>
          </w:p>
        </w:tc>
        <w:tc>
          <w:tcPr>
            <w:tcW w:w="900" w:type="dxa"/>
            <w:vAlign w:val="center"/>
          </w:tcPr>
          <w:p w:rsidR="00AC15AE" w:rsidRPr="00D166DF" w:rsidP="00026F9A" w14:paraId="315D14DD" w14:textId="77777777">
            <w:pPr>
              <w:pStyle w:val="NoSpacing"/>
              <w:jc w:val="center"/>
              <w:rPr>
                <w:sz w:val="20"/>
                <w:szCs w:val="20"/>
              </w:rPr>
            </w:pPr>
          </w:p>
        </w:tc>
        <w:tc>
          <w:tcPr>
            <w:tcW w:w="985" w:type="dxa"/>
            <w:vMerge w:val="restart"/>
            <w:vAlign w:val="center"/>
          </w:tcPr>
          <w:p w:rsidR="00AC15AE" w:rsidRPr="00D166DF" w:rsidP="00026F9A" w14:paraId="5AF62592" w14:textId="77777777">
            <w:pPr>
              <w:pStyle w:val="NoSpacing"/>
              <w:jc w:val="center"/>
              <w:rPr>
                <w:sz w:val="20"/>
                <w:szCs w:val="20"/>
              </w:rPr>
            </w:pPr>
          </w:p>
        </w:tc>
      </w:tr>
      <w:tr w14:paraId="6582077A" w14:textId="77777777" w:rsidTr="0077582A">
        <w:tblPrEx>
          <w:tblW w:w="0" w:type="auto"/>
          <w:tblLayout w:type="fixed"/>
          <w:tblLook w:val="04A0"/>
        </w:tblPrEx>
        <w:tc>
          <w:tcPr>
            <w:tcW w:w="1075" w:type="dxa"/>
            <w:vMerge/>
            <w:vAlign w:val="center"/>
          </w:tcPr>
          <w:p w:rsidR="00AC15AE" w:rsidRPr="00D166DF" w:rsidP="00026F9A" w14:paraId="5EA2E0E8" w14:textId="77777777">
            <w:pPr>
              <w:pStyle w:val="NoSpacing"/>
              <w:jc w:val="center"/>
              <w:rPr>
                <w:sz w:val="20"/>
                <w:szCs w:val="20"/>
              </w:rPr>
            </w:pPr>
          </w:p>
        </w:tc>
        <w:tc>
          <w:tcPr>
            <w:tcW w:w="1260" w:type="dxa"/>
            <w:vMerge/>
            <w:vAlign w:val="center"/>
          </w:tcPr>
          <w:p w:rsidR="00AC15AE" w:rsidRPr="00D166DF" w:rsidP="00026F9A" w14:paraId="299B1B32" w14:textId="77777777">
            <w:pPr>
              <w:pStyle w:val="NoSpacing"/>
              <w:jc w:val="center"/>
              <w:rPr>
                <w:sz w:val="20"/>
                <w:szCs w:val="20"/>
              </w:rPr>
            </w:pPr>
          </w:p>
        </w:tc>
        <w:tc>
          <w:tcPr>
            <w:tcW w:w="1080" w:type="dxa"/>
            <w:vAlign w:val="center"/>
          </w:tcPr>
          <w:p w:rsidR="00AC15AE" w:rsidRPr="00D166DF" w:rsidP="00026F9A" w14:paraId="3E6F0AC1" w14:textId="77777777">
            <w:pPr>
              <w:pStyle w:val="NoSpacing"/>
              <w:jc w:val="center"/>
              <w:rPr>
                <w:sz w:val="20"/>
                <w:szCs w:val="20"/>
              </w:rPr>
            </w:pPr>
          </w:p>
        </w:tc>
        <w:tc>
          <w:tcPr>
            <w:tcW w:w="1080" w:type="dxa"/>
            <w:vAlign w:val="center"/>
          </w:tcPr>
          <w:p w:rsidR="00AC15AE" w:rsidRPr="00D166DF" w:rsidP="00026F9A" w14:paraId="44FC73CA" w14:textId="77777777">
            <w:pPr>
              <w:pStyle w:val="NoSpacing"/>
              <w:jc w:val="center"/>
              <w:rPr>
                <w:sz w:val="20"/>
                <w:szCs w:val="20"/>
              </w:rPr>
            </w:pPr>
          </w:p>
        </w:tc>
        <w:tc>
          <w:tcPr>
            <w:tcW w:w="1080" w:type="dxa"/>
            <w:vAlign w:val="center"/>
          </w:tcPr>
          <w:p w:rsidR="00AC15AE" w:rsidRPr="00D166DF" w:rsidP="00026F9A" w14:paraId="23F2F8E2" w14:textId="77777777">
            <w:pPr>
              <w:pStyle w:val="NoSpacing"/>
              <w:jc w:val="center"/>
              <w:rPr>
                <w:sz w:val="20"/>
                <w:szCs w:val="20"/>
              </w:rPr>
            </w:pPr>
          </w:p>
        </w:tc>
        <w:tc>
          <w:tcPr>
            <w:tcW w:w="900" w:type="dxa"/>
            <w:vAlign w:val="center"/>
          </w:tcPr>
          <w:p w:rsidR="00AC15AE" w:rsidRPr="00D166DF" w:rsidP="00026F9A" w14:paraId="3B42AA2D" w14:textId="77777777">
            <w:pPr>
              <w:pStyle w:val="NoSpacing"/>
              <w:jc w:val="center"/>
              <w:rPr>
                <w:sz w:val="20"/>
                <w:szCs w:val="20"/>
              </w:rPr>
            </w:pPr>
          </w:p>
        </w:tc>
        <w:tc>
          <w:tcPr>
            <w:tcW w:w="990" w:type="dxa"/>
            <w:vAlign w:val="center"/>
          </w:tcPr>
          <w:p w:rsidR="00AC15AE" w:rsidRPr="00D166DF" w:rsidP="00026F9A" w14:paraId="07876368" w14:textId="1DF0325F">
            <w:pPr>
              <w:pStyle w:val="NoSpacing"/>
              <w:jc w:val="center"/>
              <w:rPr>
                <w:sz w:val="20"/>
                <w:szCs w:val="20"/>
              </w:rPr>
            </w:pPr>
            <w:r w:rsidRPr="00D166DF">
              <w:rPr>
                <w:sz w:val="20"/>
                <w:szCs w:val="20"/>
              </w:rPr>
              <w:t>3%</w:t>
            </w:r>
          </w:p>
        </w:tc>
        <w:tc>
          <w:tcPr>
            <w:tcW w:w="900" w:type="dxa"/>
            <w:vAlign w:val="center"/>
          </w:tcPr>
          <w:p w:rsidR="00AC15AE" w:rsidRPr="00D166DF" w:rsidP="00026F9A" w14:paraId="6FFD4533" w14:textId="77777777">
            <w:pPr>
              <w:pStyle w:val="NoSpacing"/>
              <w:jc w:val="center"/>
              <w:rPr>
                <w:sz w:val="20"/>
                <w:szCs w:val="20"/>
              </w:rPr>
            </w:pPr>
          </w:p>
        </w:tc>
        <w:tc>
          <w:tcPr>
            <w:tcW w:w="985" w:type="dxa"/>
            <w:vMerge/>
            <w:vAlign w:val="center"/>
          </w:tcPr>
          <w:p w:rsidR="00AC15AE" w:rsidRPr="00D166DF" w:rsidP="00026F9A" w14:paraId="6254AD1C" w14:textId="77777777">
            <w:pPr>
              <w:pStyle w:val="NoSpacing"/>
              <w:jc w:val="center"/>
              <w:rPr>
                <w:sz w:val="20"/>
                <w:szCs w:val="20"/>
              </w:rPr>
            </w:pPr>
          </w:p>
        </w:tc>
      </w:tr>
      <w:tr w14:paraId="292658BD" w14:textId="77777777" w:rsidTr="00A24802">
        <w:tblPrEx>
          <w:tblW w:w="0" w:type="auto"/>
          <w:tblLayout w:type="fixed"/>
          <w:tblLook w:val="04A0"/>
        </w:tblPrEx>
        <w:trPr>
          <w:trHeight w:val="263"/>
        </w:trPr>
        <w:tc>
          <w:tcPr>
            <w:tcW w:w="1075" w:type="dxa"/>
            <w:vMerge/>
            <w:tcBorders>
              <w:bottom w:val="single" w:sz="4" w:space="0" w:color="auto"/>
            </w:tcBorders>
            <w:vAlign w:val="center"/>
          </w:tcPr>
          <w:p w:rsidR="00991F43" w:rsidRPr="00D166DF" w:rsidP="00026F9A" w14:paraId="4865BA46" w14:textId="77777777">
            <w:pPr>
              <w:pStyle w:val="NoSpacing"/>
              <w:jc w:val="center"/>
              <w:rPr>
                <w:sz w:val="20"/>
                <w:szCs w:val="20"/>
              </w:rPr>
            </w:pPr>
          </w:p>
        </w:tc>
        <w:tc>
          <w:tcPr>
            <w:tcW w:w="1260" w:type="dxa"/>
            <w:vMerge/>
            <w:tcBorders>
              <w:bottom w:val="single" w:sz="4" w:space="0" w:color="auto"/>
            </w:tcBorders>
            <w:vAlign w:val="center"/>
          </w:tcPr>
          <w:p w:rsidR="00991F43" w:rsidRPr="00D166DF" w:rsidP="00026F9A" w14:paraId="01A7D8F0" w14:textId="77777777">
            <w:pPr>
              <w:pStyle w:val="NoSpacing"/>
              <w:jc w:val="center"/>
              <w:rPr>
                <w:sz w:val="20"/>
                <w:szCs w:val="20"/>
              </w:rPr>
            </w:pPr>
          </w:p>
        </w:tc>
        <w:tc>
          <w:tcPr>
            <w:tcW w:w="3240" w:type="dxa"/>
            <w:gridSpan w:val="3"/>
            <w:tcBorders>
              <w:bottom w:val="single" w:sz="4" w:space="0" w:color="auto"/>
            </w:tcBorders>
          </w:tcPr>
          <w:p w:rsidR="00991F43" w:rsidRPr="00D166DF" w:rsidP="00026F9A" w14:paraId="1F3A29EF" w14:textId="77777777">
            <w:pPr>
              <w:pStyle w:val="NoSpacing"/>
              <w:rPr>
                <w:sz w:val="20"/>
                <w:szCs w:val="20"/>
              </w:rPr>
            </w:pPr>
            <w:r w:rsidRPr="00D166DF">
              <w:rPr>
                <w:sz w:val="20"/>
                <w:szCs w:val="20"/>
              </w:rPr>
              <w:t>From:</w:t>
            </w:r>
          </w:p>
        </w:tc>
        <w:tc>
          <w:tcPr>
            <w:tcW w:w="2790" w:type="dxa"/>
            <w:gridSpan w:val="3"/>
            <w:tcBorders>
              <w:bottom w:val="single" w:sz="4" w:space="0" w:color="auto"/>
            </w:tcBorders>
          </w:tcPr>
          <w:p w:rsidR="00991F43" w:rsidRPr="00D166DF" w:rsidP="00026F9A" w14:paraId="156778E4" w14:textId="77777777">
            <w:pPr>
              <w:pStyle w:val="NoSpacing"/>
              <w:rPr>
                <w:sz w:val="20"/>
                <w:szCs w:val="20"/>
              </w:rPr>
            </w:pPr>
            <w:r w:rsidRPr="00D166DF">
              <w:rPr>
                <w:sz w:val="20"/>
                <w:szCs w:val="20"/>
              </w:rPr>
              <w:t>To:</w:t>
            </w:r>
          </w:p>
        </w:tc>
        <w:tc>
          <w:tcPr>
            <w:tcW w:w="985" w:type="dxa"/>
            <w:vMerge/>
            <w:tcBorders>
              <w:bottom w:val="single" w:sz="4" w:space="0" w:color="auto"/>
            </w:tcBorders>
            <w:vAlign w:val="center"/>
          </w:tcPr>
          <w:p w:rsidR="00991F43" w:rsidRPr="00D166DF" w:rsidP="00026F9A" w14:paraId="3D95713F" w14:textId="77777777">
            <w:pPr>
              <w:pStyle w:val="NoSpacing"/>
              <w:jc w:val="center"/>
              <w:rPr>
                <w:sz w:val="20"/>
                <w:szCs w:val="20"/>
              </w:rPr>
            </w:pPr>
          </w:p>
        </w:tc>
      </w:tr>
      <w:tr w14:paraId="054F4723" w14:textId="77777777" w:rsidTr="00A24802">
        <w:tblPrEx>
          <w:tblW w:w="0" w:type="auto"/>
          <w:tblLayout w:type="fixed"/>
          <w:tblLook w:val="04A0"/>
        </w:tblPrEx>
        <w:tc>
          <w:tcPr>
            <w:tcW w:w="1075" w:type="dxa"/>
            <w:vMerge w:val="restart"/>
            <w:vAlign w:val="center"/>
          </w:tcPr>
          <w:p w:rsidR="00991F43" w:rsidRPr="00D166DF" w:rsidP="00026F9A" w14:paraId="3F271A89" w14:textId="77777777">
            <w:pPr>
              <w:pStyle w:val="NoSpacing"/>
              <w:jc w:val="center"/>
              <w:rPr>
                <w:sz w:val="20"/>
                <w:szCs w:val="20"/>
              </w:rPr>
            </w:pPr>
            <w:r w:rsidRPr="00D166DF">
              <w:rPr>
                <w:sz w:val="20"/>
                <w:szCs w:val="20"/>
              </w:rPr>
              <w:t>Effects</w:t>
            </w:r>
          </w:p>
        </w:tc>
        <w:tc>
          <w:tcPr>
            <w:tcW w:w="7290" w:type="dxa"/>
            <w:gridSpan w:val="7"/>
            <w:tcBorders>
              <w:bottom w:val="nil"/>
            </w:tcBorders>
          </w:tcPr>
          <w:p w:rsidR="00991F43" w:rsidRPr="00D166DF" w:rsidP="00026F9A" w14:paraId="5A31C55F" w14:textId="5CFF848A">
            <w:pPr>
              <w:pStyle w:val="NoSpacing"/>
              <w:rPr>
                <w:sz w:val="20"/>
                <w:szCs w:val="20"/>
              </w:rPr>
            </w:pPr>
            <w:r w:rsidRPr="00D166DF">
              <w:rPr>
                <w:sz w:val="20"/>
                <w:szCs w:val="20"/>
              </w:rPr>
              <w:t>State, Local</w:t>
            </w:r>
            <w:r w:rsidRPr="00D166DF" w:rsidR="008610EB">
              <w:rPr>
                <w:sz w:val="20"/>
                <w:szCs w:val="20"/>
              </w:rPr>
              <w:t>,</w:t>
            </w:r>
            <w:r w:rsidRPr="00D166DF">
              <w:rPr>
                <w:sz w:val="20"/>
                <w:szCs w:val="20"/>
              </w:rPr>
              <w:t xml:space="preserve"> or Tribal Government:</w:t>
            </w:r>
            <w:r w:rsidR="00B52563">
              <w:rPr>
                <w:sz w:val="20"/>
                <w:szCs w:val="20"/>
              </w:rPr>
              <w:t xml:space="preserve"> None</w:t>
            </w:r>
          </w:p>
        </w:tc>
        <w:tc>
          <w:tcPr>
            <w:tcW w:w="985" w:type="dxa"/>
            <w:vMerge w:val="restart"/>
            <w:vAlign w:val="center"/>
          </w:tcPr>
          <w:p w:rsidR="00991F43" w:rsidRPr="00D166DF" w:rsidP="00026F9A" w14:paraId="426DB1EA" w14:textId="77777777">
            <w:pPr>
              <w:pStyle w:val="NoSpacing"/>
              <w:jc w:val="center"/>
              <w:rPr>
                <w:sz w:val="20"/>
                <w:szCs w:val="20"/>
              </w:rPr>
            </w:pPr>
          </w:p>
        </w:tc>
      </w:tr>
      <w:tr w14:paraId="5D44D522" w14:textId="77777777" w:rsidTr="00A24802">
        <w:tblPrEx>
          <w:tblW w:w="0" w:type="auto"/>
          <w:tblLayout w:type="fixed"/>
          <w:tblLook w:val="04A0"/>
        </w:tblPrEx>
        <w:tc>
          <w:tcPr>
            <w:tcW w:w="1075" w:type="dxa"/>
            <w:vMerge/>
            <w:vAlign w:val="center"/>
          </w:tcPr>
          <w:p w:rsidR="00991F43" w:rsidRPr="00D166DF" w:rsidP="00026F9A" w14:paraId="4D68B71F" w14:textId="77777777">
            <w:pPr>
              <w:pStyle w:val="NoSpacing"/>
              <w:jc w:val="center"/>
              <w:rPr>
                <w:sz w:val="20"/>
                <w:szCs w:val="20"/>
              </w:rPr>
            </w:pPr>
          </w:p>
        </w:tc>
        <w:tc>
          <w:tcPr>
            <w:tcW w:w="7290" w:type="dxa"/>
            <w:gridSpan w:val="7"/>
            <w:tcBorders>
              <w:top w:val="nil"/>
              <w:bottom w:val="nil"/>
            </w:tcBorders>
          </w:tcPr>
          <w:p w:rsidR="00991F43" w:rsidRPr="00D166DF" w:rsidP="00026F9A" w14:paraId="4545FCF3" w14:textId="6797025E">
            <w:pPr>
              <w:pStyle w:val="NoSpacing"/>
              <w:rPr>
                <w:sz w:val="20"/>
                <w:szCs w:val="20"/>
              </w:rPr>
            </w:pPr>
            <w:r w:rsidRPr="00D166DF">
              <w:rPr>
                <w:sz w:val="20"/>
                <w:szCs w:val="20"/>
              </w:rPr>
              <w:t>Small Business:</w:t>
            </w:r>
            <w:r w:rsidR="00B52563">
              <w:rPr>
                <w:sz w:val="20"/>
                <w:szCs w:val="20"/>
              </w:rPr>
              <w:t xml:space="preserve"> </w:t>
            </w:r>
            <w:r w:rsidR="00D50174">
              <w:rPr>
                <w:sz w:val="20"/>
                <w:szCs w:val="20"/>
              </w:rPr>
              <w:t>Small farms will incur costs o</w:t>
            </w:r>
            <w:r w:rsidR="005156BB">
              <w:rPr>
                <w:sz w:val="20"/>
                <w:szCs w:val="20"/>
              </w:rPr>
              <w:t>f complying with the rule.</w:t>
            </w:r>
          </w:p>
        </w:tc>
        <w:tc>
          <w:tcPr>
            <w:tcW w:w="985" w:type="dxa"/>
            <w:vMerge/>
            <w:vAlign w:val="center"/>
          </w:tcPr>
          <w:p w:rsidR="00991F43" w:rsidRPr="00D166DF" w:rsidP="00026F9A" w14:paraId="2905C434" w14:textId="77777777">
            <w:pPr>
              <w:pStyle w:val="NoSpacing"/>
              <w:jc w:val="center"/>
              <w:rPr>
                <w:sz w:val="20"/>
                <w:szCs w:val="20"/>
              </w:rPr>
            </w:pPr>
          </w:p>
        </w:tc>
      </w:tr>
      <w:tr w14:paraId="37741AA8" w14:textId="77777777" w:rsidTr="00A24802">
        <w:tblPrEx>
          <w:tblW w:w="0" w:type="auto"/>
          <w:tblLayout w:type="fixed"/>
          <w:tblLook w:val="04A0"/>
        </w:tblPrEx>
        <w:tc>
          <w:tcPr>
            <w:tcW w:w="1075" w:type="dxa"/>
            <w:vMerge/>
            <w:vAlign w:val="center"/>
          </w:tcPr>
          <w:p w:rsidR="00991F43" w:rsidRPr="00D166DF" w:rsidP="00026F9A" w14:paraId="34B155D0" w14:textId="77777777">
            <w:pPr>
              <w:pStyle w:val="NoSpacing"/>
              <w:jc w:val="center"/>
              <w:rPr>
                <w:sz w:val="20"/>
                <w:szCs w:val="20"/>
              </w:rPr>
            </w:pPr>
          </w:p>
        </w:tc>
        <w:tc>
          <w:tcPr>
            <w:tcW w:w="7290" w:type="dxa"/>
            <w:gridSpan w:val="7"/>
            <w:tcBorders>
              <w:top w:val="nil"/>
              <w:bottom w:val="nil"/>
            </w:tcBorders>
          </w:tcPr>
          <w:p w:rsidR="00991F43" w:rsidRPr="00D166DF" w:rsidP="00026F9A" w14:paraId="1235EBF3" w14:textId="3E7CBA9C">
            <w:pPr>
              <w:pStyle w:val="NoSpacing"/>
              <w:rPr>
                <w:sz w:val="20"/>
                <w:szCs w:val="20"/>
              </w:rPr>
            </w:pPr>
            <w:r w:rsidRPr="00D166DF">
              <w:rPr>
                <w:sz w:val="20"/>
                <w:szCs w:val="20"/>
              </w:rPr>
              <w:t>Wages:</w:t>
            </w:r>
            <w:r w:rsidR="00B52563">
              <w:rPr>
                <w:sz w:val="20"/>
                <w:szCs w:val="20"/>
              </w:rPr>
              <w:t xml:space="preserve"> None</w:t>
            </w:r>
          </w:p>
        </w:tc>
        <w:tc>
          <w:tcPr>
            <w:tcW w:w="985" w:type="dxa"/>
            <w:vMerge/>
            <w:vAlign w:val="center"/>
          </w:tcPr>
          <w:p w:rsidR="00991F43" w:rsidRPr="00D166DF" w:rsidP="00026F9A" w14:paraId="39A98585" w14:textId="77777777">
            <w:pPr>
              <w:pStyle w:val="NoSpacing"/>
              <w:jc w:val="center"/>
              <w:rPr>
                <w:sz w:val="20"/>
                <w:szCs w:val="20"/>
              </w:rPr>
            </w:pPr>
          </w:p>
        </w:tc>
      </w:tr>
      <w:tr w14:paraId="19CFA39B" w14:textId="77777777" w:rsidTr="00A24802">
        <w:tblPrEx>
          <w:tblW w:w="0" w:type="auto"/>
          <w:tblLayout w:type="fixed"/>
          <w:tblLook w:val="04A0"/>
        </w:tblPrEx>
        <w:tc>
          <w:tcPr>
            <w:tcW w:w="1075" w:type="dxa"/>
            <w:vMerge/>
            <w:vAlign w:val="center"/>
          </w:tcPr>
          <w:p w:rsidR="00991F43" w:rsidRPr="00D166DF" w:rsidP="00026F9A" w14:paraId="7C2F629D" w14:textId="77777777">
            <w:pPr>
              <w:pStyle w:val="NoSpacing"/>
              <w:jc w:val="center"/>
              <w:rPr>
                <w:sz w:val="20"/>
                <w:szCs w:val="20"/>
              </w:rPr>
            </w:pPr>
          </w:p>
        </w:tc>
        <w:tc>
          <w:tcPr>
            <w:tcW w:w="7290" w:type="dxa"/>
            <w:gridSpan w:val="7"/>
            <w:tcBorders>
              <w:top w:val="nil"/>
            </w:tcBorders>
          </w:tcPr>
          <w:p w:rsidR="00991F43" w:rsidRPr="00D166DF" w:rsidP="00026F9A" w14:paraId="40E71B18" w14:textId="75BF9531">
            <w:pPr>
              <w:pStyle w:val="NoSpacing"/>
              <w:rPr>
                <w:sz w:val="20"/>
                <w:szCs w:val="20"/>
              </w:rPr>
            </w:pPr>
            <w:r w:rsidRPr="00D166DF">
              <w:rPr>
                <w:sz w:val="20"/>
                <w:szCs w:val="20"/>
              </w:rPr>
              <w:t>Growth:</w:t>
            </w:r>
            <w:r w:rsidR="00B52563">
              <w:rPr>
                <w:sz w:val="20"/>
                <w:szCs w:val="20"/>
              </w:rPr>
              <w:t xml:space="preserve"> None</w:t>
            </w:r>
          </w:p>
        </w:tc>
        <w:tc>
          <w:tcPr>
            <w:tcW w:w="985" w:type="dxa"/>
            <w:vMerge/>
            <w:vAlign w:val="center"/>
          </w:tcPr>
          <w:p w:rsidR="00991F43" w:rsidRPr="00D166DF" w:rsidP="00026F9A" w14:paraId="7D073D82" w14:textId="77777777">
            <w:pPr>
              <w:pStyle w:val="NoSpacing"/>
              <w:jc w:val="center"/>
              <w:rPr>
                <w:sz w:val="20"/>
                <w:szCs w:val="20"/>
              </w:rPr>
            </w:pPr>
          </w:p>
        </w:tc>
      </w:tr>
    </w:tbl>
    <w:p w:rsidR="00A70779" w:rsidP="00026F9A" w14:paraId="4DC4430E" w14:textId="3174F947"/>
    <w:p w:rsidR="00A70779" w14:paraId="6F8BEC56" w14:textId="77777777">
      <w:pPr>
        <w:spacing w:line="276" w:lineRule="auto"/>
      </w:pPr>
      <w:r>
        <w:br w:type="page"/>
      </w:r>
    </w:p>
    <w:p w:rsidR="00006C8F" w:rsidRPr="0073331E" w:rsidP="00026F9A" w14:paraId="6EFE6BA8" w14:textId="77777777"/>
    <w:p w:rsidR="00957A2C" w:rsidRPr="00DF37AC" w:rsidP="00026F9A" w14:paraId="42B7BB68" w14:textId="2EC5D4C9">
      <w:pPr>
        <w:pStyle w:val="Heading2"/>
      </w:pPr>
      <w:bookmarkStart w:id="9" w:name="_Toc98519243"/>
      <w:bookmarkStart w:id="10" w:name="_Toc139642984"/>
      <w:r w:rsidRPr="00DF37AC">
        <w:t>Comments on the Preliminary Economic Analysis of Impacts and Our Responses</w:t>
      </w:r>
      <w:bookmarkEnd w:id="9"/>
      <w:bookmarkEnd w:id="10"/>
    </w:p>
    <w:p w:rsidR="00663794" w:rsidRPr="009A2515" w:rsidP="00026F9A" w14:paraId="23A1942A" w14:textId="7D2E3468">
      <w:pPr>
        <w:spacing w:line="480" w:lineRule="auto"/>
        <w:ind w:firstLine="720"/>
      </w:pPr>
      <w:r w:rsidRPr="009A2515">
        <w:t xml:space="preserve">FDA’s proposed rule, “Standards for the Growing, Harvesting, Packing, and Holding of Produce for Human Consumption Relating to Agricultural Water,” (86 FR 69120) </w:t>
      </w:r>
      <w:r w:rsidRPr="009A2515" w:rsidR="00FB27E4">
        <w:t xml:space="preserve">(2021 </w:t>
      </w:r>
      <w:r w:rsidR="00641C28">
        <w:t>agricultural water proposed rule</w:t>
      </w:r>
      <w:r w:rsidRPr="009A2515" w:rsidR="00FB27E4">
        <w:t xml:space="preserve">) </w:t>
      </w:r>
      <w:r w:rsidRPr="009A2515">
        <w:t>was published on December 6, 2021</w:t>
      </w:r>
      <w:r w:rsidRPr="009A2515" w:rsidR="00035586">
        <w:t>.</w:t>
      </w:r>
      <w:r w:rsidRPr="009A2515">
        <w:t xml:space="preserve"> </w:t>
      </w:r>
      <w:r w:rsidRPr="009A2515" w:rsidR="00035586">
        <w:t>The</w:t>
      </w:r>
      <w:r w:rsidRPr="009A2515">
        <w:t xml:space="preserve"> comment period </w:t>
      </w:r>
      <w:r w:rsidRPr="009A2515" w:rsidR="00035586">
        <w:t xml:space="preserve">for the 2021 </w:t>
      </w:r>
      <w:r w:rsidR="00641C28">
        <w:t>agricultural water proposed rule</w:t>
      </w:r>
      <w:r w:rsidRPr="009A2515" w:rsidR="00641C28">
        <w:t xml:space="preserve"> </w:t>
      </w:r>
      <w:r w:rsidRPr="009A2515" w:rsidR="00035586">
        <w:t xml:space="preserve">closed </w:t>
      </w:r>
      <w:r w:rsidRPr="009A2515">
        <w:t xml:space="preserve">on April 5, 2022. On July 19, 2022, we published a supplemental notice to the proposed rule (87 FR 42973) in which we proposed dates for compliance with the pre-harvest agricultural water requirements for covered produce other than sprouts in the 2021 </w:t>
      </w:r>
      <w:r w:rsidR="00641C28">
        <w:t>agricultural water proposed rule</w:t>
      </w:r>
      <w:r w:rsidRPr="009A2515">
        <w:t xml:space="preserve">. The comment period for the supplemental notice closed on September 19, 2022. </w:t>
      </w:r>
    </w:p>
    <w:p w:rsidR="00423C03" w:rsidRPr="009A2515" w:rsidP="00026F9A" w14:paraId="6CB9D950" w14:textId="58FE760D">
      <w:pPr>
        <w:spacing w:line="480" w:lineRule="auto"/>
        <w:ind w:firstLine="720"/>
        <w:rPr>
          <w:iCs/>
        </w:rPr>
      </w:pPr>
      <w:r w:rsidRPr="009A2515">
        <w:rPr>
          <w:iCs/>
        </w:rPr>
        <w:t xml:space="preserve">In the paragraphs that follow, we describe and respond to the comments we received on the Preliminary Regulatory Impact Analysis (PRIA) </w:t>
      </w:r>
      <w:r w:rsidRPr="009A2515" w:rsidR="00EC5C1F">
        <w:rPr>
          <w:iCs/>
        </w:rPr>
        <w:t xml:space="preserve">for the 2021 </w:t>
      </w:r>
      <w:r w:rsidR="00641C28">
        <w:t>agricultural water proposed rule</w:t>
      </w:r>
      <w:r w:rsidRPr="009A2515" w:rsidR="00EC5C1F">
        <w:rPr>
          <w:iCs/>
        </w:rPr>
        <w:t xml:space="preserve"> (Ref. 1) </w:t>
      </w:r>
      <w:r w:rsidRPr="009A2515">
        <w:rPr>
          <w:iCs/>
        </w:rPr>
        <w:t>that are within the scope of th</w:t>
      </w:r>
      <w:r w:rsidRPr="009A2515" w:rsidR="00372E54">
        <w:rPr>
          <w:iCs/>
        </w:rPr>
        <w:t>e</w:t>
      </w:r>
      <w:r w:rsidRPr="009A2515">
        <w:rPr>
          <w:iCs/>
        </w:rPr>
        <w:t xml:space="preserve"> rulemaking.  </w:t>
      </w:r>
      <w:r w:rsidRPr="009A2515" w:rsidR="0096533F">
        <w:rPr>
          <w:iCs/>
        </w:rPr>
        <w:t xml:space="preserve">We did not receive any comments on the PRIA </w:t>
      </w:r>
      <w:r w:rsidRPr="009A2515">
        <w:rPr>
          <w:iCs/>
        </w:rPr>
        <w:t xml:space="preserve">for the supplemental proposed rule </w:t>
      </w:r>
      <w:r w:rsidRPr="009A2515" w:rsidR="000C52A8">
        <w:rPr>
          <w:iCs/>
        </w:rPr>
        <w:t>relevant</w:t>
      </w:r>
      <w:r w:rsidRPr="009A2515">
        <w:rPr>
          <w:iCs/>
        </w:rPr>
        <w:t xml:space="preserve"> to our economic analysis.</w:t>
      </w:r>
    </w:p>
    <w:p w:rsidR="002A4A6E" w:rsidP="00026F9A" w14:paraId="68B96F01" w14:textId="699EE346">
      <w:pPr>
        <w:spacing w:line="480" w:lineRule="auto"/>
        <w:ind w:firstLine="720"/>
        <w:rPr>
          <w:i/>
        </w:rPr>
      </w:pPr>
      <w:r w:rsidRPr="009A2515">
        <w:rPr>
          <w:iCs/>
        </w:rPr>
        <w:t>We have numbered each comment to help distinguish between different comment themes. The number assigned to each comment is purely for organizational purposes and does not signify the comment’s value, importance, or the order in which it was received.</w:t>
      </w:r>
      <w:r w:rsidRPr="0020608F">
        <w:rPr>
          <w:iCs/>
        </w:rPr>
        <w:t xml:space="preserve"> </w:t>
      </w:r>
      <w:r>
        <w:rPr>
          <w:iCs/>
        </w:rPr>
        <w:t xml:space="preserve"> </w:t>
      </w:r>
    </w:p>
    <w:p w:rsidR="00487427" w:rsidRPr="00FA5D28" w:rsidP="00026F9A" w14:paraId="2954B3EB" w14:textId="14B02B2E">
      <w:pPr>
        <w:rPr>
          <w:i/>
        </w:rPr>
      </w:pPr>
      <w:r>
        <w:rPr>
          <w:i/>
        </w:rPr>
        <w:t xml:space="preserve">Comment 1: </w:t>
      </w:r>
      <w:r w:rsidRPr="00FA5D28" w:rsidR="00082912">
        <w:rPr>
          <w:i/>
        </w:rPr>
        <w:t>General support for the rule</w:t>
      </w:r>
    </w:p>
    <w:p w:rsidR="00082912" w:rsidP="00026F9A" w14:paraId="6CE20186" w14:textId="253F71FC">
      <w:pPr>
        <w:spacing w:line="480" w:lineRule="auto"/>
        <w:ind w:firstLine="720"/>
        <w:rPr>
          <w:iCs/>
        </w:rPr>
      </w:pPr>
      <w:r>
        <w:rPr>
          <w:iCs/>
        </w:rPr>
        <w:t xml:space="preserve">Several comments express general support for the rule, </w:t>
      </w:r>
      <w:r w:rsidR="00DF17D7">
        <w:rPr>
          <w:iCs/>
        </w:rPr>
        <w:t xml:space="preserve">suggesting </w:t>
      </w:r>
      <w:r>
        <w:rPr>
          <w:iCs/>
        </w:rPr>
        <w:t xml:space="preserve">that </w:t>
      </w:r>
      <w:r w:rsidR="00DF17D7">
        <w:rPr>
          <w:iCs/>
        </w:rPr>
        <w:t xml:space="preserve">it </w:t>
      </w:r>
      <w:r w:rsidR="006130F8">
        <w:rPr>
          <w:iCs/>
        </w:rPr>
        <w:t>will protect public health</w:t>
      </w:r>
      <w:r w:rsidR="00A07B41">
        <w:rPr>
          <w:iCs/>
        </w:rPr>
        <w:t xml:space="preserve"> by preventing foodborne illnesses</w:t>
      </w:r>
      <w:r w:rsidR="00DF17D7">
        <w:rPr>
          <w:iCs/>
        </w:rPr>
        <w:t>.</w:t>
      </w:r>
      <w:r w:rsidR="0087556C">
        <w:rPr>
          <w:iCs/>
        </w:rPr>
        <w:t xml:space="preserve"> Some of these comments </w:t>
      </w:r>
      <w:r w:rsidR="006B7321">
        <w:rPr>
          <w:iCs/>
        </w:rPr>
        <w:t xml:space="preserve">suggest </w:t>
      </w:r>
      <w:r w:rsidR="0087556C">
        <w:rPr>
          <w:iCs/>
        </w:rPr>
        <w:t>that while the proposed requireme</w:t>
      </w:r>
      <w:r w:rsidR="00401186">
        <w:rPr>
          <w:iCs/>
        </w:rPr>
        <w:t>nts</w:t>
      </w:r>
      <w:r w:rsidR="0087556C">
        <w:rPr>
          <w:iCs/>
        </w:rPr>
        <w:t xml:space="preserve"> for pre-harvest agricultural water assessments </w:t>
      </w:r>
      <w:r w:rsidR="00B67C9B">
        <w:rPr>
          <w:iCs/>
        </w:rPr>
        <w:t xml:space="preserve">may be more costly than the previous </w:t>
      </w:r>
      <w:r w:rsidR="00DF5E8D">
        <w:rPr>
          <w:iCs/>
        </w:rPr>
        <w:t xml:space="preserve">microbial quality and testing requirements, </w:t>
      </w:r>
      <w:r w:rsidR="004464E4">
        <w:rPr>
          <w:iCs/>
        </w:rPr>
        <w:t>they consider the benefits of the rule</w:t>
      </w:r>
      <w:r w:rsidR="00442E72">
        <w:rPr>
          <w:iCs/>
        </w:rPr>
        <w:t xml:space="preserve"> to</w:t>
      </w:r>
      <w:r w:rsidR="004464E4">
        <w:rPr>
          <w:iCs/>
        </w:rPr>
        <w:t xml:space="preserve"> </w:t>
      </w:r>
      <w:r w:rsidR="00836557">
        <w:rPr>
          <w:iCs/>
        </w:rPr>
        <w:t>be worth the costs</w:t>
      </w:r>
      <w:r w:rsidR="004464E4">
        <w:rPr>
          <w:iCs/>
        </w:rPr>
        <w:t>.</w:t>
      </w:r>
      <w:r w:rsidR="00326E0F">
        <w:rPr>
          <w:iCs/>
        </w:rPr>
        <w:t xml:space="preserve"> O</w:t>
      </w:r>
      <w:r w:rsidR="005A4F99">
        <w:rPr>
          <w:iCs/>
        </w:rPr>
        <w:t xml:space="preserve">ne comment </w:t>
      </w:r>
      <w:r w:rsidR="000C1C3D">
        <w:rPr>
          <w:iCs/>
        </w:rPr>
        <w:t>suggests</w:t>
      </w:r>
      <w:r w:rsidR="005A4F99">
        <w:rPr>
          <w:iCs/>
        </w:rPr>
        <w:t xml:space="preserve"> that while the costs of the proposed rule </w:t>
      </w:r>
      <w:r w:rsidR="00180058">
        <w:rPr>
          <w:iCs/>
        </w:rPr>
        <w:t>exceed</w:t>
      </w:r>
      <w:r w:rsidR="005A4F99">
        <w:rPr>
          <w:iCs/>
        </w:rPr>
        <w:t xml:space="preserve"> the benefits in the PRIA, </w:t>
      </w:r>
      <w:r w:rsidR="00A832E1">
        <w:rPr>
          <w:iCs/>
        </w:rPr>
        <w:t>the “unseen” benefits are much greater</w:t>
      </w:r>
      <w:r w:rsidR="00961BCE">
        <w:rPr>
          <w:iCs/>
        </w:rPr>
        <w:t>.</w:t>
      </w:r>
      <w:r w:rsidR="004464E4">
        <w:rPr>
          <w:iCs/>
        </w:rPr>
        <w:t xml:space="preserve"> </w:t>
      </w:r>
      <w:r w:rsidR="000A52E3">
        <w:rPr>
          <w:iCs/>
        </w:rPr>
        <w:t xml:space="preserve"> </w:t>
      </w:r>
    </w:p>
    <w:p w:rsidR="008E0BD0" w:rsidP="00026F9A" w14:paraId="40011619" w14:textId="77777777">
      <w:pPr>
        <w:spacing w:line="480" w:lineRule="auto"/>
        <w:ind w:firstLine="720"/>
      </w:pPr>
      <w:r>
        <w:rPr>
          <w:iCs/>
        </w:rPr>
        <w:t xml:space="preserve">Response: </w:t>
      </w:r>
      <w:r w:rsidR="00C978C8">
        <w:t>We appreciate the comments voicing support for the proposed rule. We developed this approach to pre-harvest agricultural water by considering the public health objectives we aim to achieve through pre-harvest agricultural water measures for covered produce other than sprouts</w:t>
      </w:r>
      <w:r w:rsidRPr="00E65B7D" w:rsidR="00C978C8">
        <w:t xml:space="preserve"> </w:t>
      </w:r>
      <w:r w:rsidR="00C978C8">
        <w:t>while recognizing that each farm</w:t>
      </w:r>
      <w:r w:rsidR="001A338D">
        <w:t xml:space="preserve"> </w:t>
      </w:r>
      <w:r w:rsidR="00C978C8">
        <w:t xml:space="preserve">has a unique combination of agricultural water source(s), growing practices, current and previous uses of the farmland, and adjacent and nearby land uses, among other factors, that may influence the safety of its agricultural water. </w:t>
      </w:r>
    </w:p>
    <w:p w:rsidR="008E251A" w:rsidP="00026F9A" w14:paraId="1BACB5E5" w14:textId="4BFB85E8">
      <w:pPr>
        <w:spacing w:line="480" w:lineRule="auto"/>
        <w:ind w:firstLine="720"/>
      </w:pPr>
      <w:r>
        <w:t>In this FRIA, w</w:t>
      </w:r>
      <w:r w:rsidRPr="00D86346">
        <w:t>e estimate benefits of the rule resulting from the</w:t>
      </w:r>
      <w:r w:rsidR="006B64A3">
        <w:t xml:space="preserve"> avoidance of foodborne illnesses and their attendant costs (</w:t>
      </w:r>
      <w:r w:rsidR="00A61D51">
        <w:t xml:space="preserve">quantified as </w:t>
      </w:r>
      <w:r w:rsidRPr="00D86346">
        <w:t>dollar burden of foodborne illnesses averted</w:t>
      </w:r>
      <w:r w:rsidR="006B64A3">
        <w:t>)</w:t>
      </w:r>
      <w:r w:rsidR="00166366">
        <w:t xml:space="preserve"> relative to a primary baseline of the 2015 provisions</w:t>
      </w:r>
      <w:r w:rsidRPr="00D86346">
        <w:t>.</w:t>
      </w:r>
      <w:r>
        <w:t xml:space="preserve"> O</w:t>
      </w:r>
      <w:r w:rsidRPr="007B4074" w:rsidR="00296D03">
        <w:t xml:space="preserve">ur primary estimates of annualized benefits </w:t>
      </w:r>
      <w:r w:rsidR="009872F4">
        <w:t>of</w:t>
      </w:r>
      <w:r w:rsidR="00227E9A">
        <w:t xml:space="preserve"> this rule </w:t>
      </w:r>
      <w:r w:rsidRPr="007B4074" w:rsidR="00296D03">
        <w:t>are approximately $</w:t>
      </w:r>
      <w:r w:rsidR="00742B55">
        <w:t>10.3</w:t>
      </w:r>
      <w:r w:rsidRPr="007B4074" w:rsidR="00296D03">
        <w:t xml:space="preserve"> million at a 3 percent discount rate and approximately $</w:t>
      </w:r>
      <w:r w:rsidR="00742B55">
        <w:t>10.1</w:t>
      </w:r>
      <w:r w:rsidRPr="007B4074" w:rsidR="00296D03">
        <w:t xml:space="preserve"> million at a 7 percent discount rate</w:t>
      </w:r>
      <w:r w:rsidR="00296D03">
        <w:t xml:space="preserve"> over 10 years</w:t>
      </w:r>
      <w:r w:rsidRPr="007B4074" w:rsidR="00296D03">
        <w:t>.</w:t>
      </w:r>
      <w:r w:rsidR="00296D03">
        <w:t xml:space="preserve"> </w:t>
      </w:r>
    </w:p>
    <w:p w:rsidR="00526358" w:rsidP="00026F9A" w14:paraId="27689DB7" w14:textId="277CAC6A">
      <w:pPr>
        <w:spacing w:line="480" w:lineRule="auto"/>
        <w:ind w:firstLine="720"/>
      </w:pPr>
      <w:r>
        <w:t>To the extent that the comment regarding “unseen” benefits is referring to</w:t>
      </w:r>
      <w:r w:rsidR="00FD413B">
        <w:t xml:space="preserve"> </w:t>
      </w:r>
      <w:r w:rsidR="00673925">
        <w:t xml:space="preserve">non-quantified </w:t>
      </w:r>
      <w:r>
        <w:t>benefits of the rule, we agree</w:t>
      </w:r>
      <w:r w:rsidR="007516DB">
        <w:t xml:space="preserve"> that there are </w:t>
      </w:r>
      <w:r w:rsidR="00673925">
        <w:t>non-quantified</w:t>
      </w:r>
      <w:r w:rsidR="00CF2362">
        <w:t xml:space="preserve"> </w:t>
      </w:r>
      <w:r w:rsidR="007516DB">
        <w:t>benefits of the rule</w:t>
      </w:r>
      <w:r w:rsidR="00A60576">
        <w:t>,</w:t>
      </w:r>
      <w:r w:rsidR="00BF66DE">
        <w:t xml:space="preserve"> </w:t>
      </w:r>
      <w:r w:rsidR="004E18C4">
        <w:t xml:space="preserve">in particular, those that </w:t>
      </w:r>
      <w:r w:rsidR="007516DB">
        <w:t xml:space="preserve">stem from </w:t>
      </w:r>
      <w:r w:rsidR="00996BFC">
        <w:t xml:space="preserve">recalls averted and </w:t>
      </w:r>
      <w:r w:rsidR="007516DB">
        <w:t>increased flexibility for covered farms to comprehensively evaluate their agricultural water system</w:t>
      </w:r>
      <w:r w:rsidR="00376CDB">
        <w:t>s.</w:t>
      </w:r>
      <w:r w:rsidR="007516DB">
        <w:t xml:space="preserve"> </w:t>
      </w:r>
      <w:r w:rsidR="007E5F17">
        <w:t xml:space="preserve">For discussion of </w:t>
      </w:r>
      <w:r w:rsidR="006B6561">
        <w:t xml:space="preserve">general </w:t>
      </w:r>
      <w:r w:rsidR="007E5F17">
        <w:t>comments related to costs of the final rule, refer to comment 2.</w:t>
      </w:r>
      <w:r w:rsidR="00581889">
        <w:t xml:space="preserve"> </w:t>
      </w:r>
    </w:p>
    <w:p w:rsidR="00CA5640" w:rsidRPr="00FA5D28" w:rsidP="00026F9A" w14:paraId="2190CF02" w14:textId="16989130">
      <w:pPr>
        <w:rPr>
          <w:i/>
        </w:rPr>
      </w:pPr>
      <w:r>
        <w:rPr>
          <w:i/>
        </w:rPr>
        <w:t xml:space="preserve">Comment 2: </w:t>
      </w:r>
      <w:r w:rsidR="009950AC">
        <w:rPr>
          <w:i/>
        </w:rPr>
        <w:t xml:space="preserve">General </w:t>
      </w:r>
      <w:r w:rsidR="004870CF">
        <w:rPr>
          <w:i/>
        </w:rPr>
        <w:t>concern for c</w:t>
      </w:r>
      <w:r w:rsidR="00521FE2">
        <w:rPr>
          <w:i/>
        </w:rPr>
        <w:t xml:space="preserve">osts borne by </w:t>
      </w:r>
      <w:r w:rsidR="005939E3">
        <w:rPr>
          <w:i/>
        </w:rPr>
        <w:t>farms</w:t>
      </w:r>
    </w:p>
    <w:p w:rsidR="00CA5640" w:rsidP="00026F9A" w14:paraId="4B6250B9" w14:textId="6B65E016">
      <w:pPr>
        <w:spacing w:line="480" w:lineRule="auto"/>
        <w:ind w:firstLine="720"/>
        <w:rPr>
          <w:iCs/>
        </w:rPr>
      </w:pPr>
      <w:r>
        <w:rPr>
          <w:iCs/>
        </w:rPr>
        <w:t xml:space="preserve">Several comments express </w:t>
      </w:r>
      <w:r w:rsidR="00B74401">
        <w:rPr>
          <w:iCs/>
        </w:rPr>
        <w:t xml:space="preserve">general </w:t>
      </w:r>
      <w:r w:rsidR="00174715">
        <w:rPr>
          <w:iCs/>
        </w:rPr>
        <w:t xml:space="preserve">concerns </w:t>
      </w:r>
      <w:r w:rsidR="00257912">
        <w:rPr>
          <w:iCs/>
        </w:rPr>
        <w:t>that th</w:t>
      </w:r>
      <w:r w:rsidR="00651133">
        <w:rPr>
          <w:iCs/>
        </w:rPr>
        <w:t>e</w:t>
      </w:r>
      <w:r w:rsidR="00257912">
        <w:rPr>
          <w:iCs/>
        </w:rPr>
        <w:t xml:space="preserve"> rule</w:t>
      </w:r>
      <w:r w:rsidR="001E374E">
        <w:rPr>
          <w:iCs/>
        </w:rPr>
        <w:t xml:space="preserve">, if finalized, would </w:t>
      </w:r>
      <w:r w:rsidR="00317FE7">
        <w:rPr>
          <w:iCs/>
        </w:rPr>
        <w:t xml:space="preserve">result in </w:t>
      </w:r>
      <w:r w:rsidR="0045504D">
        <w:rPr>
          <w:iCs/>
        </w:rPr>
        <w:t xml:space="preserve">increased </w:t>
      </w:r>
      <w:r w:rsidR="00257912">
        <w:rPr>
          <w:iCs/>
        </w:rPr>
        <w:t xml:space="preserve">costs to </w:t>
      </w:r>
      <w:r w:rsidR="00110A64">
        <w:rPr>
          <w:iCs/>
        </w:rPr>
        <w:t xml:space="preserve">covered </w:t>
      </w:r>
      <w:r w:rsidR="005939E3">
        <w:rPr>
          <w:iCs/>
        </w:rPr>
        <w:t>farms</w:t>
      </w:r>
      <w:r w:rsidR="00257912">
        <w:rPr>
          <w:iCs/>
        </w:rPr>
        <w:t>.</w:t>
      </w:r>
      <w:r w:rsidR="00C30274">
        <w:rPr>
          <w:iCs/>
        </w:rPr>
        <w:t xml:space="preserve"> </w:t>
      </w:r>
      <w:r w:rsidR="003545E3">
        <w:rPr>
          <w:iCs/>
        </w:rPr>
        <w:t>A few of these</w:t>
      </w:r>
      <w:r w:rsidR="006B6525">
        <w:rPr>
          <w:iCs/>
        </w:rPr>
        <w:t xml:space="preserve"> express concern that the </w:t>
      </w:r>
      <w:r w:rsidR="002A1981">
        <w:rPr>
          <w:iCs/>
        </w:rPr>
        <w:t xml:space="preserve">costs of the </w:t>
      </w:r>
      <w:r w:rsidR="006B6525">
        <w:rPr>
          <w:iCs/>
        </w:rPr>
        <w:t xml:space="preserve">rule will </w:t>
      </w:r>
      <w:r w:rsidR="006B6525">
        <w:rPr>
          <w:iCs/>
        </w:rPr>
        <w:t xml:space="preserve">force some farms, </w:t>
      </w:r>
      <w:r w:rsidR="003F563E">
        <w:rPr>
          <w:iCs/>
        </w:rPr>
        <w:t xml:space="preserve">especially </w:t>
      </w:r>
      <w:r w:rsidR="00C5264B">
        <w:rPr>
          <w:iCs/>
        </w:rPr>
        <w:t xml:space="preserve">small </w:t>
      </w:r>
      <w:r w:rsidR="003F563E">
        <w:rPr>
          <w:iCs/>
        </w:rPr>
        <w:t>farms</w:t>
      </w:r>
      <w:r w:rsidR="00C5264B">
        <w:rPr>
          <w:iCs/>
        </w:rPr>
        <w:t>, out of business.</w:t>
      </w:r>
      <w:r w:rsidR="00774AFE">
        <w:rPr>
          <w:iCs/>
        </w:rPr>
        <w:t xml:space="preserve"> </w:t>
      </w:r>
      <w:r w:rsidR="002606F3">
        <w:rPr>
          <w:iCs/>
        </w:rPr>
        <w:t>Some comments suggest that making tools or templates available for farms would help to minimize the costs</w:t>
      </w:r>
      <w:r w:rsidR="00DE0E99">
        <w:rPr>
          <w:iCs/>
        </w:rPr>
        <w:t xml:space="preserve"> associated with complying with the rule</w:t>
      </w:r>
      <w:r w:rsidR="002606F3">
        <w:rPr>
          <w:iCs/>
        </w:rPr>
        <w:t>.</w:t>
      </w:r>
    </w:p>
    <w:p w:rsidR="00A950CB" w:rsidP="00026F9A" w14:paraId="2742A651" w14:textId="34CD89BE">
      <w:pPr>
        <w:spacing w:line="480" w:lineRule="auto"/>
        <w:ind w:firstLine="720"/>
        <w:rPr>
          <w:iCs/>
        </w:rPr>
      </w:pPr>
      <w:r w:rsidRPr="00BB5D66">
        <w:rPr>
          <w:iCs/>
        </w:rPr>
        <w:t xml:space="preserve">Response: </w:t>
      </w:r>
      <w:r w:rsidRPr="00BB5D66" w:rsidR="00257912">
        <w:rPr>
          <w:iCs/>
        </w:rPr>
        <w:t>We acknowledge that the</w:t>
      </w:r>
      <w:r w:rsidR="005D0B40">
        <w:rPr>
          <w:iCs/>
        </w:rPr>
        <w:t>re are costs associated with this</w:t>
      </w:r>
      <w:r w:rsidRPr="00BB5D66" w:rsidR="00257912">
        <w:rPr>
          <w:iCs/>
        </w:rPr>
        <w:t xml:space="preserve"> </w:t>
      </w:r>
      <w:r w:rsidRPr="00BB5D66" w:rsidR="00D91934">
        <w:rPr>
          <w:iCs/>
        </w:rPr>
        <w:t>rule</w:t>
      </w:r>
      <w:r w:rsidR="005D0B40">
        <w:rPr>
          <w:iCs/>
        </w:rPr>
        <w:t>making</w:t>
      </w:r>
      <w:r w:rsidRPr="00BB5D66" w:rsidR="00521BAA">
        <w:rPr>
          <w:iCs/>
        </w:rPr>
        <w:t>, as detailed in th</w:t>
      </w:r>
      <w:r w:rsidR="008E0BD0">
        <w:rPr>
          <w:iCs/>
        </w:rPr>
        <w:t>is</w:t>
      </w:r>
      <w:r w:rsidRPr="00BB5D66" w:rsidR="00521BAA">
        <w:rPr>
          <w:iCs/>
        </w:rPr>
        <w:t xml:space="preserve"> </w:t>
      </w:r>
      <w:r w:rsidRPr="00BB5D66" w:rsidR="000422DD">
        <w:rPr>
          <w:iCs/>
        </w:rPr>
        <w:t>FRIA</w:t>
      </w:r>
      <w:r w:rsidRPr="00BB5D66">
        <w:rPr>
          <w:iCs/>
        </w:rPr>
        <w:t>.</w:t>
      </w:r>
      <w:r w:rsidR="00604324">
        <w:rPr>
          <w:iCs/>
        </w:rPr>
        <w:t xml:space="preserve"> </w:t>
      </w:r>
      <w:r w:rsidR="00D14562">
        <w:rPr>
          <w:iCs/>
        </w:rPr>
        <w:t xml:space="preserve">In our analysis, we </w:t>
      </w:r>
      <w:r w:rsidR="123ED406">
        <w:t>estimate</w:t>
      </w:r>
      <w:r w:rsidR="00D14562">
        <w:rPr>
          <w:iCs/>
        </w:rPr>
        <w:t xml:space="preserve"> that the average cost of </w:t>
      </w:r>
      <w:r w:rsidR="00FF616E">
        <w:rPr>
          <w:iCs/>
        </w:rPr>
        <w:t xml:space="preserve">the requirements for </w:t>
      </w:r>
      <w:r w:rsidR="00D14562">
        <w:rPr>
          <w:iCs/>
        </w:rPr>
        <w:t xml:space="preserve">pre-harvest agricultural water assessments </w:t>
      </w:r>
      <w:r w:rsidR="6119E08B">
        <w:t xml:space="preserve">relative to </w:t>
      </w:r>
      <w:r w:rsidR="005B7F65">
        <w:t xml:space="preserve">the pre-harvest agricultural water microbial quality criteria and </w:t>
      </w:r>
      <w:r w:rsidR="6119E08B">
        <w:t>testing</w:t>
      </w:r>
      <w:r w:rsidR="005B7F65">
        <w:t xml:space="preserve"> requirements </w:t>
      </w:r>
      <w:r w:rsidR="00D93D5A">
        <w:t xml:space="preserve">in the 2015 </w:t>
      </w:r>
      <w:r w:rsidR="00113CC3">
        <w:t>produce safety final rule</w:t>
      </w:r>
      <w:r w:rsidR="09296782">
        <w:t>, annualized at a 3% discount rate over 10 years, is $6</w:t>
      </w:r>
      <w:r w:rsidR="007B33EC">
        <w:t>79</w:t>
      </w:r>
      <w:r w:rsidR="09296782">
        <w:t xml:space="preserve"> </w:t>
      </w:r>
      <w:r w:rsidR="00D14562">
        <w:t xml:space="preserve">for </w:t>
      </w:r>
      <w:r w:rsidR="00FF616E">
        <w:rPr>
          <w:iCs/>
        </w:rPr>
        <w:t xml:space="preserve">very small farms; </w:t>
      </w:r>
      <w:r w:rsidR="77A7335F">
        <w:t>$</w:t>
      </w:r>
      <w:r w:rsidR="007B33EC">
        <w:t>1,036</w:t>
      </w:r>
      <w:r w:rsidR="77A7335F">
        <w:t xml:space="preserve"> </w:t>
      </w:r>
      <w:r w:rsidR="00FF616E">
        <w:rPr>
          <w:iCs/>
        </w:rPr>
        <w:t xml:space="preserve">for small farms; and </w:t>
      </w:r>
      <w:r w:rsidR="3109F7BD">
        <w:t>$1,</w:t>
      </w:r>
      <w:r w:rsidR="007B33EC">
        <w:t>312</w:t>
      </w:r>
      <w:r w:rsidR="00FF616E">
        <w:t xml:space="preserve"> </w:t>
      </w:r>
      <w:r w:rsidR="00FF616E">
        <w:rPr>
          <w:iCs/>
        </w:rPr>
        <w:t xml:space="preserve">for all other farms. </w:t>
      </w:r>
      <w:r w:rsidRPr="001E5E01">
        <w:rPr>
          <w:iCs/>
        </w:rPr>
        <w:t xml:space="preserve">We recognize </w:t>
      </w:r>
      <w:r w:rsidRPr="001E5E01">
        <w:t>the importance of providing covered farms with education, outreach, and technical assistance</w:t>
      </w:r>
      <w:r w:rsidRPr="001E5E01" w:rsidR="000F2A52">
        <w:t xml:space="preserve">, </w:t>
      </w:r>
      <w:r w:rsidRPr="001E5E01">
        <w:t>which may include, for example,</w:t>
      </w:r>
      <w:r w:rsidRPr="001E5E01" w:rsidR="000F2A52">
        <w:t xml:space="preserve"> guidance,</w:t>
      </w:r>
      <w:r w:rsidRPr="001E5E01">
        <w:t xml:space="preserve"> templates or other tools. </w:t>
      </w:r>
      <w:r w:rsidRPr="001E5E01" w:rsidR="00414EA6">
        <w:t xml:space="preserve">We remain committed to ensuring that educational outreach </w:t>
      </w:r>
      <w:r w:rsidRPr="001E5E01" w:rsidR="00D26D44">
        <w:t xml:space="preserve">and training is made available across industry. </w:t>
      </w:r>
      <w:r w:rsidR="0070659B">
        <w:t xml:space="preserve"> </w:t>
      </w:r>
    </w:p>
    <w:p w:rsidR="00CA5640" w:rsidP="00026F9A" w14:paraId="15BFB09C" w14:textId="60DAA2DF">
      <w:pPr>
        <w:spacing w:line="480" w:lineRule="auto"/>
        <w:ind w:firstLine="720"/>
        <w:rPr>
          <w:iCs/>
        </w:rPr>
      </w:pPr>
      <w:r>
        <w:rPr>
          <w:iCs/>
        </w:rPr>
        <w:t>With respect to comment</w:t>
      </w:r>
      <w:r w:rsidR="00BA47FE">
        <w:rPr>
          <w:iCs/>
        </w:rPr>
        <w:t>s</w:t>
      </w:r>
      <w:r>
        <w:rPr>
          <w:iCs/>
        </w:rPr>
        <w:t xml:space="preserve"> suggesting that farms may go out of business as a result of this rule, </w:t>
      </w:r>
      <w:r w:rsidR="00437644">
        <w:rPr>
          <w:iCs/>
        </w:rPr>
        <w:t xml:space="preserve">we have incorporated flexibility into the </w:t>
      </w:r>
      <w:r w:rsidR="001A3FFC">
        <w:rPr>
          <w:iCs/>
        </w:rPr>
        <w:t xml:space="preserve">pre-harvest agricultural water requirements </w:t>
      </w:r>
      <w:r w:rsidR="006571D2">
        <w:rPr>
          <w:iCs/>
        </w:rPr>
        <w:t>for farms to</w:t>
      </w:r>
      <w:r w:rsidR="00DC59E3">
        <w:rPr>
          <w:iCs/>
        </w:rPr>
        <w:t xml:space="preserve"> mak</w:t>
      </w:r>
      <w:r w:rsidR="006571D2">
        <w:rPr>
          <w:iCs/>
        </w:rPr>
        <w:t>e</w:t>
      </w:r>
      <w:r w:rsidR="00DC59E3">
        <w:rPr>
          <w:iCs/>
        </w:rPr>
        <w:t xml:space="preserve"> decisions around the use of their water </w:t>
      </w:r>
      <w:r w:rsidR="00AF476B">
        <w:rPr>
          <w:iCs/>
        </w:rPr>
        <w:t xml:space="preserve">as appropriate </w:t>
      </w:r>
      <w:r w:rsidR="00DC59E3">
        <w:rPr>
          <w:iCs/>
        </w:rPr>
        <w:t xml:space="preserve">given their agricultural water systems, operations, and conditions. See, e.g., </w:t>
      </w:r>
      <w:r w:rsidR="009A4A8C">
        <w:rPr>
          <w:iCs/>
        </w:rPr>
        <w:t xml:space="preserve">§ 112.45(b), which provides covered farms with various options for </w:t>
      </w:r>
      <w:r w:rsidR="00D96CF0">
        <w:rPr>
          <w:iCs/>
        </w:rPr>
        <w:t>mitigation measures</w:t>
      </w:r>
      <w:r w:rsidR="009A4A8C">
        <w:rPr>
          <w:iCs/>
        </w:rPr>
        <w:t>.</w:t>
      </w:r>
      <w:r w:rsidR="00DC59E3">
        <w:rPr>
          <w:iCs/>
        </w:rPr>
        <w:t xml:space="preserve"> </w:t>
      </w:r>
      <w:r w:rsidR="00C93310">
        <w:rPr>
          <w:iCs/>
        </w:rPr>
        <w:t xml:space="preserve">See also comment </w:t>
      </w:r>
      <w:r w:rsidR="00E60BB6">
        <w:rPr>
          <w:iCs/>
        </w:rPr>
        <w:t>1</w:t>
      </w:r>
      <w:r w:rsidR="00DB58E6">
        <w:rPr>
          <w:iCs/>
        </w:rPr>
        <w:t>1</w:t>
      </w:r>
      <w:r w:rsidR="00C93310">
        <w:rPr>
          <w:iCs/>
        </w:rPr>
        <w:t xml:space="preserve">. </w:t>
      </w:r>
      <w:r w:rsidRPr="00CB0560" w:rsidR="00C32986">
        <w:rPr>
          <w:iCs/>
        </w:rPr>
        <w:t xml:space="preserve">While we cannot guarantee that farms will </w:t>
      </w:r>
      <w:r w:rsidR="00AF476B">
        <w:rPr>
          <w:iCs/>
        </w:rPr>
        <w:t xml:space="preserve">not </w:t>
      </w:r>
      <w:r w:rsidRPr="00CB0560" w:rsidR="00C32986">
        <w:rPr>
          <w:iCs/>
        </w:rPr>
        <w:t xml:space="preserve">go out of business, we do not anticipate significant market exit to </w:t>
      </w:r>
      <w:r w:rsidR="0061752C">
        <w:rPr>
          <w:iCs/>
        </w:rPr>
        <w:t xml:space="preserve">result from </w:t>
      </w:r>
      <w:r w:rsidRPr="00CB0560" w:rsidR="00C32986">
        <w:rPr>
          <w:iCs/>
        </w:rPr>
        <w:t>this rule.</w:t>
      </w:r>
      <w:r w:rsidR="00111E79">
        <w:rPr>
          <w:iCs/>
        </w:rPr>
        <w:t xml:space="preserve"> With respect to comments about small farms specifically, see </w:t>
      </w:r>
      <w:r w:rsidR="00EC02D8">
        <w:rPr>
          <w:iCs/>
        </w:rPr>
        <w:t xml:space="preserve">comment </w:t>
      </w:r>
      <w:r w:rsidR="003A441A">
        <w:rPr>
          <w:iCs/>
        </w:rPr>
        <w:t>5</w:t>
      </w:r>
      <w:r w:rsidR="00EC02D8">
        <w:rPr>
          <w:iCs/>
        </w:rPr>
        <w:t>.</w:t>
      </w:r>
    </w:p>
    <w:p w:rsidR="00BF74C7" w:rsidRPr="00FA5D28" w:rsidP="00026F9A" w14:paraId="46BEC410" w14:textId="042398FA">
      <w:pPr>
        <w:rPr>
          <w:i/>
        </w:rPr>
      </w:pPr>
      <w:r>
        <w:rPr>
          <w:i/>
        </w:rPr>
        <w:t xml:space="preserve">Comment </w:t>
      </w:r>
      <w:r w:rsidR="000356C4">
        <w:rPr>
          <w:i/>
        </w:rPr>
        <w:t>3</w:t>
      </w:r>
      <w:r>
        <w:rPr>
          <w:i/>
        </w:rPr>
        <w:t xml:space="preserve">: </w:t>
      </w:r>
      <w:r w:rsidR="007A2C55">
        <w:rPr>
          <w:i/>
        </w:rPr>
        <w:t>C</w:t>
      </w:r>
      <w:r w:rsidR="007A21D2">
        <w:rPr>
          <w:i/>
        </w:rPr>
        <w:t xml:space="preserve">ompare costs </w:t>
      </w:r>
      <w:r w:rsidR="002E061B">
        <w:rPr>
          <w:i/>
        </w:rPr>
        <w:t>of the rule to costs of testing</w:t>
      </w:r>
    </w:p>
    <w:p w:rsidR="00BF74C7" w:rsidP="00026F9A" w14:paraId="1F7476A7" w14:textId="423B1B4D">
      <w:pPr>
        <w:spacing w:line="480" w:lineRule="auto"/>
        <w:ind w:firstLine="720"/>
        <w:rPr>
          <w:iCs/>
        </w:rPr>
      </w:pPr>
      <w:r>
        <w:rPr>
          <w:iCs/>
        </w:rPr>
        <w:t xml:space="preserve">Several comments </w:t>
      </w:r>
      <w:r w:rsidR="002E061B">
        <w:rPr>
          <w:iCs/>
        </w:rPr>
        <w:t xml:space="preserve">request that we compare the costs of the </w:t>
      </w:r>
      <w:r w:rsidR="0070034F">
        <w:rPr>
          <w:iCs/>
        </w:rPr>
        <w:t xml:space="preserve">proposed requirements for pre-harvest agricultural water assessments </w:t>
      </w:r>
      <w:r w:rsidR="000356C4">
        <w:rPr>
          <w:iCs/>
        </w:rPr>
        <w:t>to the costs of the pre-harvest agricultural water testing provisions</w:t>
      </w:r>
      <w:r w:rsidR="0070034F">
        <w:rPr>
          <w:iCs/>
        </w:rPr>
        <w:t xml:space="preserve"> in the 2015 </w:t>
      </w:r>
      <w:r w:rsidR="00113CC3">
        <w:t>produce safety final rule</w:t>
      </w:r>
      <w:r>
        <w:rPr>
          <w:iCs/>
        </w:rPr>
        <w:t>.</w:t>
      </w:r>
      <w:r w:rsidR="000D7581">
        <w:rPr>
          <w:iCs/>
        </w:rPr>
        <w:t xml:space="preserve"> One comment suggests that </w:t>
      </w:r>
      <w:r w:rsidR="00781524">
        <w:rPr>
          <w:iCs/>
        </w:rPr>
        <w:t xml:space="preserve">replacing the </w:t>
      </w:r>
      <w:r w:rsidR="00242672">
        <w:rPr>
          <w:iCs/>
        </w:rPr>
        <w:t xml:space="preserve">microbial quality criteria and testing requirements in the 2015 </w:t>
      </w:r>
      <w:r w:rsidR="00113CC3">
        <w:t>produce safety final rule</w:t>
      </w:r>
      <w:r w:rsidR="002C70DA">
        <w:t xml:space="preserve"> </w:t>
      </w:r>
      <w:r w:rsidR="00242672">
        <w:rPr>
          <w:iCs/>
        </w:rPr>
        <w:t xml:space="preserve">with provisions for pre-harvest </w:t>
      </w:r>
      <w:r w:rsidR="007638CF">
        <w:rPr>
          <w:iCs/>
        </w:rPr>
        <w:t>agricultural</w:t>
      </w:r>
      <w:r w:rsidR="00242672">
        <w:rPr>
          <w:iCs/>
        </w:rPr>
        <w:t xml:space="preserve"> water assessments will reduce the burden </w:t>
      </w:r>
      <w:r w:rsidR="00683CE4">
        <w:rPr>
          <w:iCs/>
        </w:rPr>
        <w:t>on farms and</w:t>
      </w:r>
      <w:r w:rsidR="00F206D9">
        <w:rPr>
          <w:iCs/>
        </w:rPr>
        <w:t xml:space="preserve"> potentially result in fewer costs than under the previous testing requirements.</w:t>
      </w:r>
    </w:p>
    <w:p w:rsidR="00BF74C7" w:rsidP="00026F9A" w14:paraId="51F89A2A" w14:textId="3DDFDC96">
      <w:pPr>
        <w:spacing w:line="480" w:lineRule="auto"/>
        <w:ind w:firstLine="720"/>
        <w:rPr>
          <w:iCs/>
        </w:rPr>
      </w:pPr>
      <w:r w:rsidRPr="00BB5D66">
        <w:rPr>
          <w:iCs/>
        </w:rPr>
        <w:t xml:space="preserve">Response: </w:t>
      </w:r>
      <w:r w:rsidR="009F0B35">
        <w:rPr>
          <w:iCs/>
        </w:rPr>
        <w:t>Consistent with our approach</w:t>
      </w:r>
      <w:r w:rsidR="0042564C">
        <w:rPr>
          <w:iCs/>
        </w:rPr>
        <w:t xml:space="preserve"> in the </w:t>
      </w:r>
      <w:r w:rsidRPr="00A6661B" w:rsidR="0042564C">
        <w:rPr>
          <w:iCs/>
        </w:rPr>
        <w:t>PRIA</w:t>
      </w:r>
      <w:r w:rsidRPr="00A6661B" w:rsidR="007B3457">
        <w:rPr>
          <w:iCs/>
        </w:rPr>
        <w:t xml:space="preserve"> </w:t>
      </w:r>
      <w:r w:rsidRPr="00A6661B" w:rsidR="007B3457">
        <w:t xml:space="preserve">(Ref. </w:t>
      </w:r>
      <w:r w:rsidRPr="00A6661B" w:rsidR="00524FE2">
        <w:rPr>
          <w:iCs/>
        </w:rPr>
        <w:t>1</w:t>
      </w:r>
      <w:r w:rsidRPr="00A6661B" w:rsidR="007B3457">
        <w:t>)</w:t>
      </w:r>
      <w:r w:rsidRPr="00A6661B" w:rsidR="0042564C">
        <w:t>,</w:t>
      </w:r>
      <w:r w:rsidRPr="00A6661B" w:rsidR="0042564C">
        <w:rPr>
          <w:iCs/>
        </w:rPr>
        <w:t xml:space="preserve"> i</w:t>
      </w:r>
      <w:r w:rsidRPr="00A6661B" w:rsidR="00473B52">
        <w:rPr>
          <w:iCs/>
        </w:rPr>
        <w:t>n th</w:t>
      </w:r>
      <w:r w:rsidRPr="00A6661B" w:rsidR="00BF3D99">
        <w:rPr>
          <w:iCs/>
        </w:rPr>
        <w:t>is</w:t>
      </w:r>
      <w:r w:rsidRPr="00BB5D66" w:rsidR="00473B52">
        <w:rPr>
          <w:iCs/>
        </w:rPr>
        <w:t xml:space="preserve"> FRIA, we estimate and compare the costs of the pre-harvest </w:t>
      </w:r>
      <w:r w:rsidR="00CC1B26">
        <w:rPr>
          <w:iCs/>
        </w:rPr>
        <w:t xml:space="preserve">microbial </w:t>
      </w:r>
      <w:r w:rsidRPr="00BB5D66" w:rsidR="00473B52">
        <w:rPr>
          <w:iCs/>
        </w:rPr>
        <w:t xml:space="preserve">water </w:t>
      </w:r>
      <w:r w:rsidR="00CC1B26">
        <w:rPr>
          <w:iCs/>
        </w:rPr>
        <w:t xml:space="preserve">quality and </w:t>
      </w:r>
      <w:r w:rsidRPr="00BB5D66" w:rsidR="00473B52">
        <w:rPr>
          <w:iCs/>
        </w:rPr>
        <w:t xml:space="preserve">testing requirements </w:t>
      </w:r>
      <w:r w:rsidR="00CC1B26">
        <w:rPr>
          <w:iCs/>
        </w:rPr>
        <w:t xml:space="preserve">in the 2015 </w:t>
      </w:r>
      <w:r w:rsidR="00113CC3">
        <w:t>produce safety final rule</w:t>
      </w:r>
      <w:r w:rsidR="002C70DA">
        <w:t xml:space="preserve"> </w:t>
      </w:r>
      <w:r w:rsidR="0015629E">
        <w:rPr>
          <w:iCs/>
        </w:rPr>
        <w:t xml:space="preserve">with </w:t>
      </w:r>
      <w:r w:rsidRPr="00BB5D66" w:rsidR="00473B52">
        <w:rPr>
          <w:iCs/>
        </w:rPr>
        <w:t xml:space="preserve">the </w:t>
      </w:r>
      <w:r w:rsidR="001342CF">
        <w:rPr>
          <w:iCs/>
        </w:rPr>
        <w:t xml:space="preserve">requirements for </w:t>
      </w:r>
      <w:r w:rsidR="0015629E">
        <w:rPr>
          <w:iCs/>
        </w:rPr>
        <w:t>pre-harvest agricultural</w:t>
      </w:r>
      <w:r w:rsidRPr="00BB5D66" w:rsidR="00473B52">
        <w:rPr>
          <w:iCs/>
        </w:rPr>
        <w:t xml:space="preserve"> water assessment</w:t>
      </w:r>
      <w:r w:rsidR="0015629E">
        <w:rPr>
          <w:iCs/>
        </w:rPr>
        <w:t>s</w:t>
      </w:r>
      <w:r w:rsidRPr="00BB5D66" w:rsidR="00473B52">
        <w:rPr>
          <w:iCs/>
        </w:rPr>
        <w:t xml:space="preserve"> specified in th</w:t>
      </w:r>
      <w:r w:rsidR="00E64A3B">
        <w:rPr>
          <w:iCs/>
        </w:rPr>
        <w:t>is</w:t>
      </w:r>
      <w:r w:rsidR="00396404">
        <w:rPr>
          <w:iCs/>
        </w:rPr>
        <w:t xml:space="preserve"> final</w:t>
      </w:r>
      <w:r w:rsidRPr="00BB5D66" w:rsidR="00473B52">
        <w:rPr>
          <w:iCs/>
        </w:rPr>
        <w:t xml:space="preserve"> rule as part of the benefit-cost analysis</w:t>
      </w:r>
      <w:r w:rsidR="00473B52">
        <w:t>.</w:t>
      </w:r>
      <w:r w:rsidR="1362EBE9">
        <w:t xml:space="preserve"> We estimate benefits and costs of the rule relative to </w:t>
      </w:r>
      <w:r w:rsidR="1BB4262A">
        <w:t>a primary baseline of</w:t>
      </w:r>
      <w:r w:rsidR="1362EBE9">
        <w:t xml:space="preserve"> pre-harvest </w:t>
      </w:r>
      <w:r w:rsidR="6CC84583">
        <w:t xml:space="preserve">microbial water quality and testing requirements in the 2015 </w:t>
      </w:r>
      <w:r w:rsidR="00113CC3">
        <w:t>produce safety final rule</w:t>
      </w:r>
      <w:r w:rsidR="002C70DA">
        <w:t xml:space="preserve"> </w:t>
      </w:r>
      <w:r w:rsidR="4C1AB81C">
        <w:t xml:space="preserve">and relative to an alternate baseline of no pre-harvest microbial water quality and testing requirements. </w:t>
      </w:r>
      <w:r w:rsidR="00A02902">
        <w:t xml:space="preserve">See section I.B. </w:t>
      </w:r>
      <w:r w:rsidR="00813E90">
        <w:t>Our primary estimates of annualized costs</w:t>
      </w:r>
      <w:r w:rsidR="004F3A0A">
        <w:t xml:space="preserve"> relative to the primary baseline</w:t>
      </w:r>
      <w:r w:rsidR="00813E90">
        <w:t xml:space="preserve"> are approximately $1</w:t>
      </w:r>
      <w:r w:rsidR="007B33EC">
        <w:t>7.5</w:t>
      </w:r>
      <w:r w:rsidR="00813E90">
        <w:t xml:space="preserve"> million at a 3 percent discount rate and approximately $1</w:t>
      </w:r>
      <w:r w:rsidR="007B33EC">
        <w:t>7.7</w:t>
      </w:r>
      <w:r w:rsidR="00813E90">
        <w:t xml:space="preserve"> million at a 7 percent discount rate over 10 years.</w:t>
      </w:r>
      <w:r w:rsidR="00C348D0">
        <w:t xml:space="preserve"> </w:t>
      </w:r>
      <w:r w:rsidRPr="007B4074" w:rsidR="00C348D0">
        <w:t xml:space="preserve">Our primary estimates of annualized benefits </w:t>
      </w:r>
      <w:r w:rsidR="00882FC0">
        <w:t xml:space="preserve">relative to the primary baseline </w:t>
      </w:r>
      <w:r w:rsidRPr="007B4074" w:rsidR="00C348D0">
        <w:t>are approximately $</w:t>
      </w:r>
      <w:r w:rsidR="007B33EC">
        <w:t>10.3</w:t>
      </w:r>
      <w:r w:rsidRPr="007B4074" w:rsidR="00C348D0">
        <w:t xml:space="preserve"> million at a 3 percent discount rate and approximately $</w:t>
      </w:r>
      <w:r w:rsidR="007B33EC">
        <w:t>10.1</w:t>
      </w:r>
      <w:r w:rsidRPr="007B4074" w:rsidR="00C348D0">
        <w:t xml:space="preserve"> million at a 7 percent discount rate</w:t>
      </w:r>
      <w:r w:rsidR="00C348D0">
        <w:t xml:space="preserve"> over 10 years</w:t>
      </w:r>
      <w:r w:rsidRPr="007B4074" w:rsidR="00C348D0">
        <w:t>.</w:t>
      </w:r>
      <w:r w:rsidR="00C348D0">
        <w:t xml:space="preserve"> </w:t>
      </w:r>
      <w:r w:rsidR="0041027A">
        <w:t>Our primary estimate</w:t>
      </w:r>
      <w:r w:rsidR="00A66103">
        <w:t>s</w:t>
      </w:r>
      <w:r w:rsidR="0041027A">
        <w:t xml:space="preserve"> o</w:t>
      </w:r>
      <w:r w:rsidR="00A66103">
        <w:t xml:space="preserve">f annualized costs relative to the alternate baseline are approximately $36.1 million </w:t>
      </w:r>
      <w:r w:rsidR="00992417">
        <w:t xml:space="preserve">at a 3 percent discount rate and approximately </w:t>
      </w:r>
      <w:r w:rsidR="004D3557">
        <w:t xml:space="preserve">$35.3 at a 7 percent discount rate. Our primary estimates of annualized benefits </w:t>
      </w:r>
      <w:r w:rsidR="00882FC0">
        <w:t xml:space="preserve">relative to the alternate baseline </w:t>
      </w:r>
      <w:r w:rsidR="004D3557">
        <w:t xml:space="preserve">are approximately </w:t>
      </w:r>
      <w:r w:rsidR="00E4671F">
        <w:t xml:space="preserve">$86.1 million at a 3 percent discount rate and </w:t>
      </w:r>
      <w:r w:rsidR="005706FF">
        <w:t xml:space="preserve">approximately $83.8 at a 7 percent discount rate. </w:t>
      </w:r>
      <w:r w:rsidR="00C348D0">
        <w:t xml:space="preserve">We also discuss </w:t>
      </w:r>
      <w:r w:rsidR="00CF2362">
        <w:t xml:space="preserve">non-quantified </w:t>
      </w:r>
      <w:r w:rsidR="00C348D0">
        <w:t xml:space="preserve">benefits of the rule stemming from </w:t>
      </w:r>
      <w:r w:rsidR="0031380B">
        <w:t xml:space="preserve">recalls averted and </w:t>
      </w:r>
      <w:r w:rsidR="00C348D0">
        <w:t>increased flexibility for covered farms to comprehensively evaluate their agricultural water systems.</w:t>
      </w:r>
    </w:p>
    <w:p w:rsidR="00802D2B" w14:paraId="7F534892" w14:textId="77777777">
      <w:pPr>
        <w:spacing w:line="276" w:lineRule="auto"/>
        <w:rPr>
          <w:i/>
        </w:rPr>
      </w:pPr>
      <w:r>
        <w:rPr>
          <w:i/>
        </w:rPr>
        <w:br w:type="page"/>
      </w:r>
    </w:p>
    <w:p w:rsidR="007A2C55" w:rsidRPr="00FA5D28" w:rsidP="00026F9A" w14:paraId="5C9DABD7" w14:textId="0AE14651">
      <w:pPr>
        <w:rPr>
          <w:i/>
        </w:rPr>
      </w:pPr>
      <w:r>
        <w:rPr>
          <w:i/>
        </w:rPr>
        <w:t xml:space="preserve">Comment </w:t>
      </w:r>
      <w:r w:rsidR="00BC5CC7">
        <w:rPr>
          <w:i/>
        </w:rPr>
        <w:t>4</w:t>
      </w:r>
      <w:r>
        <w:rPr>
          <w:i/>
        </w:rPr>
        <w:t xml:space="preserve">: </w:t>
      </w:r>
      <w:r w:rsidR="00D57F4A">
        <w:rPr>
          <w:i/>
        </w:rPr>
        <w:t>Account for staggered compliance dates</w:t>
      </w:r>
    </w:p>
    <w:p w:rsidR="007A2C55" w:rsidP="00026F9A" w14:paraId="27D62EC6" w14:textId="535D57D2">
      <w:pPr>
        <w:spacing w:line="480" w:lineRule="auto"/>
        <w:ind w:firstLine="720"/>
        <w:rPr>
          <w:iCs/>
        </w:rPr>
      </w:pPr>
      <w:r>
        <w:rPr>
          <w:iCs/>
        </w:rPr>
        <w:t xml:space="preserve">In response to </w:t>
      </w:r>
      <w:r w:rsidR="007173F1">
        <w:rPr>
          <w:iCs/>
        </w:rPr>
        <w:t xml:space="preserve">the PRIA that accompanied the 2021 </w:t>
      </w:r>
      <w:r w:rsidR="00641C28">
        <w:t>agricultural water proposed rule</w:t>
      </w:r>
      <w:r w:rsidR="007173F1">
        <w:rPr>
          <w:iCs/>
        </w:rPr>
        <w:t xml:space="preserve">, </w:t>
      </w:r>
      <w:r w:rsidR="006E2EC8">
        <w:rPr>
          <w:iCs/>
        </w:rPr>
        <w:t xml:space="preserve">which explained that for the </w:t>
      </w:r>
      <w:r w:rsidRPr="009719B9" w:rsidR="006E2EC8">
        <w:rPr>
          <w:iCs/>
        </w:rPr>
        <w:t>purposes of th</w:t>
      </w:r>
      <w:r w:rsidR="006E2EC8">
        <w:rPr>
          <w:iCs/>
        </w:rPr>
        <w:t>at</w:t>
      </w:r>
      <w:r w:rsidRPr="009719B9" w:rsidR="006E2EC8">
        <w:rPr>
          <w:iCs/>
        </w:rPr>
        <w:t xml:space="preserve"> analysis, we assume</w:t>
      </w:r>
      <w:r w:rsidR="006E2EC8">
        <w:rPr>
          <w:iCs/>
        </w:rPr>
        <w:t>d</w:t>
      </w:r>
      <w:r w:rsidRPr="009719B9" w:rsidR="006E2EC8">
        <w:rPr>
          <w:iCs/>
        </w:rPr>
        <w:t xml:space="preserve"> compliance dates of 3 years following publication of the rule for very small farms, 2 years following publication of the rule for small farms, and 1 year following publication of the rule for all other (large) farms</w:t>
      </w:r>
      <w:r w:rsidR="00AB13AC">
        <w:rPr>
          <w:iCs/>
        </w:rPr>
        <w:t xml:space="preserve">, </w:t>
      </w:r>
      <w:r w:rsidR="00383FAE">
        <w:rPr>
          <w:iCs/>
        </w:rPr>
        <w:t>a few</w:t>
      </w:r>
      <w:r>
        <w:rPr>
          <w:iCs/>
        </w:rPr>
        <w:t xml:space="preserve"> comments </w:t>
      </w:r>
      <w:r w:rsidR="00D57F4A">
        <w:rPr>
          <w:iCs/>
        </w:rPr>
        <w:t xml:space="preserve">suggest that if FDA </w:t>
      </w:r>
      <w:r w:rsidR="00D825C9">
        <w:rPr>
          <w:iCs/>
        </w:rPr>
        <w:t>does not</w:t>
      </w:r>
      <w:r w:rsidR="00431438">
        <w:rPr>
          <w:iCs/>
        </w:rPr>
        <w:t xml:space="preserve"> provide staggered compliance </w:t>
      </w:r>
      <w:r w:rsidR="00FE021B">
        <w:rPr>
          <w:iCs/>
        </w:rPr>
        <w:t>dates based on farm size with those intervals</w:t>
      </w:r>
      <w:r w:rsidR="004408A0">
        <w:rPr>
          <w:iCs/>
        </w:rPr>
        <w:t xml:space="preserve">, </w:t>
      </w:r>
      <w:r w:rsidR="00431438">
        <w:rPr>
          <w:iCs/>
        </w:rPr>
        <w:t xml:space="preserve">then the </w:t>
      </w:r>
      <w:r w:rsidR="006C500F">
        <w:rPr>
          <w:iCs/>
        </w:rPr>
        <w:t>cost estimates of the rule should be recalculated.</w:t>
      </w:r>
      <w:r w:rsidR="00F6267B">
        <w:rPr>
          <w:iCs/>
        </w:rPr>
        <w:t xml:space="preserve"> </w:t>
      </w:r>
      <w:r w:rsidR="00D825C9">
        <w:rPr>
          <w:iCs/>
        </w:rPr>
        <w:t xml:space="preserve"> </w:t>
      </w:r>
    </w:p>
    <w:p w:rsidR="006D0935" w:rsidRPr="002618AA" w:rsidP="00026F9A" w14:paraId="336F7B93" w14:textId="5CA16BD4">
      <w:pPr>
        <w:spacing w:line="480" w:lineRule="auto"/>
        <w:ind w:firstLine="720"/>
        <w:rPr>
          <w:iCs/>
        </w:rPr>
      </w:pPr>
      <w:r w:rsidRPr="002618AA">
        <w:rPr>
          <w:iCs/>
        </w:rPr>
        <w:t>Response:</w:t>
      </w:r>
      <w:r w:rsidR="00072094">
        <w:rPr>
          <w:iCs/>
        </w:rPr>
        <w:t xml:space="preserve"> We agree that cost estimates should be reflective of</w:t>
      </w:r>
      <w:r w:rsidR="00EF232D">
        <w:rPr>
          <w:iCs/>
        </w:rPr>
        <w:t xml:space="preserve"> relevant compliance dates for covered farms. </w:t>
      </w:r>
      <w:r w:rsidR="00010DD6">
        <w:rPr>
          <w:iCs/>
        </w:rPr>
        <w:t xml:space="preserve">In </w:t>
      </w:r>
      <w:r w:rsidR="00595DB5">
        <w:rPr>
          <w:iCs/>
        </w:rPr>
        <w:t xml:space="preserve">the 2022 supplemental </w:t>
      </w:r>
      <w:r w:rsidR="005A770F">
        <w:rPr>
          <w:iCs/>
        </w:rPr>
        <w:t xml:space="preserve">notice of </w:t>
      </w:r>
      <w:r w:rsidR="00595DB5">
        <w:rPr>
          <w:iCs/>
        </w:rPr>
        <w:t>proposed rule</w:t>
      </w:r>
      <w:r w:rsidR="005A770F">
        <w:rPr>
          <w:iCs/>
        </w:rPr>
        <w:t>making</w:t>
      </w:r>
      <w:r w:rsidR="00595DB5">
        <w:rPr>
          <w:iCs/>
        </w:rPr>
        <w:t>, we proposed dates</w:t>
      </w:r>
      <w:r w:rsidR="00936C3B">
        <w:rPr>
          <w:iCs/>
        </w:rPr>
        <w:t xml:space="preserve"> for compliance </w:t>
      </w:r>
      <w:r w:rsidR="004B1311">
        <w:rPr>
          <w:iCs/>
        </w:rPr>
        <w:t xml:space="preserve">with the pre-harvest agricultural water provisions for covered produce (other than sprouts) of </w:t>
      </w:r>
      <w:r w:rsidR="00EE0D5D">
        <w:rPr>
          <w:iCs/>
        </w:rPr>
        <w:t>2 years and 9 months after the effective date of a final rule for very small businesses; 1 year and 9 months after the effective date of a final rule for small businesses; and 9 months after the effective date of a final rule for all other businesses.</w:t>
      </w:r>
      <w:r w:rsidR="00E27A3C">
        <w:rPr>
          <w:iCs/>
        </w:rPr>
        <w:t xml:space="preserve"> </w:t>
      </w:r>
      <w:r w:rsidR="001500E6">
        <w:rPr>
          <w:iCs/>
        </w:rPr>
        <w:t>With this rule, w</w:t>
      </w:r>
      <w:r w:rsidR="00B239C5">
        <w:rPr>
          <w:iCs/>
        </w:rPr>
        <w:t xml:space="preserve">e are finalizing </w:t>
      </w:r>
      <w:r w:rsidR="00AC2193">
        <w:rPr>
          <w:iCs/>
        </w:rPr>
        <w:t>the dates for compliance with the pre-harvest agricultural water provisions for covered produce (other than sprouts) as proposed</w:t>
      </w:r>
      <w:r w:rsidR="00F63CA3">
        <w:rPr>
          <w:iCs/>
        </w:rPr>
        <w:t>.</w:t>
      </w:r>
      <w:r w:rsidRPr="002618AA" w:rsidR="00BF3D99">
        <w:rPr>
          <w:iCs/>
        </w:rPr>
        <w:t xml:space="preserve"> </w:t>
      </w:r>
      <w:r w:rsidR="00710639">
        <w:rPr>
          <w:iCs/>
        </w:rPr>
        <w:t>For the purposes of this FRIA, we assume that a final rule will publish in April</w:t>
      </w:r>
      <w:r w:rsidR="00BA7EE8">
        <w:rPr>
          <w:iCs/>
        </w:rPr>
        <w:t>,</w:t>
      </w:r>
      <w:r w:rsidR="00710639">
        <w:rPr>
          <w:iCs/>
        </w:rPr>
        <w:t xml:space="preserve"> 2024. </w:t>
      </w:r>
      <w:r w:rsidR="00DA453C">
        <w:rPr>
          <w:iCs/>
        </w:rPr>
        <w:t xml:space="preserve">See section II.D. </w:t>
      </w:r>
      <w:r w:rsidR="00145DF8">
        <w:rPr>
          <w:iCs/>
        </w:rPr>
        <w:t>For the purposes of this analysis, t</w:t>
      </w:r>
      <w:r w:rsidR="00D94570">
        <w:rPr>
          <w:iCs/>
        </w:rPr>
        <w:t>his results in</w:t>
      </w:r>
      <w:r w:rsidRPr="002618AA" w:rsidR="00307201">
        <w:rPr>
          <w:iCs/>
        </w:rPr>
        <w:t xml:space="preserve"> assumed </w:t>
      </w:r>
      <w:r w:rsidR="00BA7EE8">
        <w:rPr>
          <w:iCs/>
        </w:rPr>
        <w:t>compliance</w:t>
      </w:r>
      <w:r w:rsidRPr="002618AA" w:rsidR="00BA7EE8">
        <w:rPr>
          <w:iCs/>
        </w:rPr>
        <w:t xml:space="preserve"> </w:t>
      </w:r>
      <w:r w:rsidRPr="002618AA" w:rsidR="00307201">
        <w:rPr>
          <w:iCs/>
        </w:rPr>
        <w:t xml:space="preserve">dates </w:t>
      </w:r>
      <w:r w:rsidR="005C729F">
        <w:rPr>
          <w:iCs/>
        </w:rPr>
        <w:t>for the pre-harvest agricultural water provisions for non-sprout covered produce</w:t>
      </w:r>
      <w:r w:rsidRPr="002618AA" w:rsidR="00307201">
        <w:rPr>
          <w:iCs/>
        </w:rPr>
        <w:t xml:space="preserve"> of</w:t>
      </w:r>
      <w:r w:rsidRPr="002618AA">
        <w:rPr>
          <w:iCs/>
        </w:rPr>
        <w:t>:</w:t>
      </w:r>
    </w:p>
    <w:p w:rsidR="007A2C55" w:rsidRPr="002618AA" w:rsidP="00026F9A" w14:paraId="5ECD2956" w14:textId="3857B0F7">
      <w:pPr>
        <w:pStyle w:val="ListParagraph"/>
        <w:numPr>
          <w:ilvl w:val="0"/>
          <w:numId w:val="16"/>
        </w:numPr>
        <w:spacing w:line="480" w:lineRule="auto"/>
        <w:rPr>
          <w:iCs/>
        </w:rPr>
      </w:pPr>
      <w:r w:rsidRPr="002618AA">
        <w:rPr>
          <w:iCs/>
        </w:rPr>
        <w:t xml:space="preserve">January, 2027 for very small </w:t>
      </w:r>
      <w:r w:rsidR="00722863">
        <w:rPr>
          <w:iCs/>
        </w:rPr>
        <w:t>businesses</w:t>
      </w:r>
      <w:r w:rsidRPr="002618AA" w:rsidR="006D0935">
        <w:rPr>
          <w:iCs/>
        </w:rPr>
        <w:t xml:space="preserve">; </w:t>
      </w:r>
    </w:p>
    <w:p w:rsidR="006D0935" w:rsidRPr="002618AA" w:rsidP="00026F9A" w14:paraId="51E461B4" w14:textId="172CB838">
      <w:pPr>
        <w:pStyle w:val="ListParagraph"/>
        <w:numPr>
          <w:ilvl w:val="0"/>
          <w:numId w:val="16"/>
        </w:numPr>
        <w:spacing w:line="480" w:lineRule="auto"/>
        <w:rPr>
          <w:iCs/>
        </w:rPr>
      </w:pPr>
      <w:r w:rsidRPr="002618AA">
        <w:rPr>
          <w:iCs/>
        </w:rPr>
        <w:t xml:space="preserve">January, 2026 for small </w:t>
      </w:r>
      <w:r w:rsidR="00722863">
        <w:rPr>
          <w:iCs/>
        </w:rPr>
        <w:t>businesses</w:t>
      </w:r>
      <w:r w:rsidRPr="002618AA">
        <w:rPr>
          <w:iCs/>
        </w:rPr>
        <w:t>;</w:t>
      </w:r>
    </w:p>
    <w:p w:rsidR="00BF74C7" w:rsidRPr="002618AA" w:rsidP="00026F9A" w14:paraId="70A6B6C6" w14:textId="29A3F092">
      <w:pPr>
        <w:pStyle w:val="ListParagraph"/>
        <w:numPr>
          <w:ilvl w:val="0"/>
          <w:numId w:val="16"/>
        </w:numPr>
        <w:spacing w:line="480" w:lineRule="auto"/>
        <w:rPr>
          <w:iCs/>
        </w:rPr>
      </w:pPr>
      <w:r w:rsidRPr="002618AA">
        <w:rPr>
          <w:iCs/>
        </w:rPr>
        <w:t xml:space="preserve">January, 2025 for all other (large) </w:t>
      </w:r>
      <w:r w:rsidR="00722863">
        <w:rPr>
          <w:iCs/>
        </w:rPr>
        <w:t>businesses</w:t>
      </w:r>
      <w:r w:rsidRPr="002618AA">
        <w:rPr>
          <w:iCs/>
        </w:rPr>
        <w:t>.</w:t>
      </w:r>
    </w:p>
    <w:p w:rsidR="00802D2B" w14:paraId="4EE775F6" w14:textId="77777777">
      <w:pPr>
        <w:spacing w:line="276" w:lineRule="auto"/>
        <w:rPr>
          <w:i/>
        </w:rPr>
      </w:pPr>
      <w:r>
        <w:rPr>
          <w:i/>
        </w:rPr>
        <w:br w:type="page"/>
      </w:r>
    </w:p>
    <w:p w:rsidR="00A40FAD" w:rsidRPr="00FA5D28" w:rsidP="00026F9A" w14:paraId="57727CD1" w14:textId="3913FD41">
      <w:pPr>
        <w:rPr>
          <w:i/>
        </w:rPr>
      </w:pPr>
      <w:r>
        <w:rPr>
          <w:i/>
        </w:rPr>
        <w:t xml:space="preserve">Comment </w:t>
      </w:r>
      <w:r w:rsidR="006D136A">
        <w:rPr>
          <w:i/>
        </w:rPr>
        <w:t>5</w:t>
      </w:r>
      <w:r>
        <w:rPr>
          <w:i/>
        </w:rPr>
        <w:t xml:space="preserve">: </w:t>
      </w:r>
      <w:r w:rsidR="006D136A">
        <w:rPr>
          <w:i/>
        </w:rPr>
        <w:t>Concern about cost to small businesses</w:t>
      </w:r>
    </w:p>
    <w:p w:rsidR="00A40FAD" w:rsidP="00026F9A" w14:paraId="5E2B34EA" w14:textId="38998A2F">
      <w:pPr>
        <w:spacing w:line="480" w:lineRule="auto"/>
        <w:ind w:firstLine="720"/>
        <w:rPr>
          <w:iCs/>
        </w:rPr>
      </w:pPr>
      <w:r>
        <w:rPr>
          <w:iCs/>
        </w:rPr>
        <w:t xml:space="preserve">Several comments </w:t>
      </w:r>
      <w:r w:rsidR="00D41E7B">
        <w:rPr>
          <w:iCs/>
        </w:rPr>
        <w:t>voice</w:t>
      </w:r>
      <w:r w:rsidR="002D4A3D">
        <w:rPr>
          <w:iCs/>
        </w:rPr>
        <w:t xml:space="preserve"> </w:t>
      </w:r>
      <w:r w:rsidR="00315DC4">
        <w:rPr>
          <w:iCs/>
        </w:rPr>
        <w:t xml:space="preserve">concern about the costs imposed </w:t>
      </w:r>
      <w:r w:rsidR="00D41306">
        <w:rPr>
          <w:iCs/>
        </w:rPr>
        <w:t xml:space="preserve">by the rule </w:t>
      </w:r>
      <w:r w:rsidR="00315DC4">
        <w:rPr>
          <w:iCs/>
        </w:rPr>
        <w:t xml:space="preserve">on </w:t>
      </w:r>
      <w:r w:rsidR="00735053">
        <w:rPr>
          <w:iCs/>
        </w:rPr>
        <w:t>small businesses</w:t>
      </w:r>
      <w:r w:rsidR="00183816">
        <w:rPr>
          <w:iCs/>
        </w:rPr>
        <w:t xml:space="preserve">. Some of these suggest that </w:t>
      </w:r>
      <w:r w:rsidR="00681C25">
        <w:rPr>
          <w:iCs/>
        </w:rPr>
        <w:t xml:space="preserve">compliance costs for smaller farms will represent a larger proportion of </w:t>
      </w:r>
      <w:r w:rsidR="000E6D27">
        <w:rPr>
          <w:iCs/>
        </w:rPr>
        <w:t>their revenue compared to larger farms.</w:t>
      </w:r>
      <w:r w:rsidR="009A0025">
        <w:rPr>
          <w:iCs/>
        </w:rPr>
        <w:t xml:space="preserve"> </w:t>
      </w:r>
      <w:r w:rsidR="00897C8A">
        <w:rPr>
          <w:iCs/>
        </w:rPr>
        <w:t>O</w:t>
      </w:r>
      <w:r w:rsidR="000E6D27">
        <w:rPr>
          <w:iCs/>
        </w:rPr>
        <w:t>ne</w:t>
      </w:r>
      <w:r w:rsidR="001627D4">
        <w:rPr>
          <w:iCs/>
        </w:rPr>
        <w:t xml:space="preserve"> comment claim</w:t>
      </w:r>
      <w:r w:rsidR="000E6D27">
        <w:rPr>
          <w:iCs/>
        </w:rPr>
        <w:t>s</w:t>
      </w:r>
      <w:r w:rsidR="001627D4">
        <w:rPr>
          <w:iCs/>
        </w:rPr>
        <w:t xml:space="preserve"> that the total burden of the rule </w:t>
      </w:r>
      <w:r w:rsidR="00C87204">
        <w:rPr>
          <w:iCs/>
        </w:rPr>
        <w:t>will</w:t>
      </w:r>
      <w:r w:rsidR="001627D4">
        <w:rPr>
          <w:iCs/>
        </w:rPr>
        <w:t xml:space="preserve"> fall on small farms. </w:t>
      </w:r>
      <w:r w:rsidR="00FA1B83">
        <w:rPr>
          <w:iCs/>
        </w:rPr>
        <w:t xml:space="preserve">A few comments suggest that smaller farms </w:t>
      </w:r>
      <w:r w:rsidR="00DA16FB">
        <w:rPr>
          <w:iCs/>
        </w:rPr>
        <w:t>may need additional time</w:t>
      </w:r>
      <w:r w:rsidR="00607184">
        <w:rPr>
          <w:iCs/>
        </w:rPr>
        <w:t xml:space="preserve"> to </w:t>
      </w:r>
      <w:r w:rsidR="002A2FA7">
        <w:rPr>
          <w:iCs/>
        </w:rPr>
        <w:t>prepare for the economic burden that comes with</w:t>
      </w:r>
      <w:r w:rsidR="00E51C64">
        <w:rPr>
          <w:iCs/>
        </w:rPr>
        <w:t xml:space="preserve"> </w:t>
      </w:r>
      <w:r w:rsidR="00607184">
        <w:rPr>
          <w:iCs/>
        </w:rPr>
        <w:t>comply</w:t>
      </w:r>
      <w:r w:rsidR="00E51C64">
        <w:rPr>
          <w:iCs/>
        </w:rPr>
        <w:t>ing</w:t>
      </w:r>
      <w:r w:rsidR="00607184">
        <w:rPr>
          <w:iCs/>
        </w:rPr>
        <w:t xml:space="preserve"> with the proposed requirements for pre-harvest agricultural water assessments</w:t>
      </w:r>
      <w:r w:rsidR="00CF71F0">
        <w:rPr>
          <w:iCs/>
        </w:rPr>
        <w:t>.</w:t>
      </w:r>
    </w:p>
    <w:p w:rsidR="00894281" w:rsidP="00026F9A" w14:paraId="3338B02C" w14:textId="10321319">
      <w:pPr>
        <w:spacing w:line="480" w:lineRule="auto"/>
        <w:ind w:firstLine="720"/>
        <w:rPr>
          <w:iCs/>
        </w:rPr>
      </w:pPr>
      <w:r w:rsidRPr="00CB0560">
        <w:rPr>
          <w:iCs/>
        </w:rPr>
        <w:t xml:space="preserve">Response: </w:t>
      </w:r>
      <w:r w:rsidRPr="00CB0560" w:rsidR="00735053">
        <w:rPr>
          <w:iCs/>
        </w:rPr>
        <w:t>We acknowledge that the rule imposes costs on businesses</w:t>
      </w:r>
      <w:r w:rsidRPr="00CB0560" w:rsidR="000D525A">
        <w:rPr>
          <w:iCs/>
        </w:rPr>
        <w:t xml:space="preserve">. Our primary estimate </w:t>
      </w:r>
      <w:r w:rsidRPr="00CB0560" w:rsidR="000C5A83">
        <w:rPr>
          <w:iCs/>
        </w:rPr>
        <w:t>of</w:t>
      </w:r>
      <w:r w:rsidRPr="00CB0560" w:rsidR="000D525A">
        <w:rPr>
          <w:iCs/>
        </w:rPr>
        <w:t xml:space="preserve"> the</w:t>
      </w:r>
      <w:r w:rsidR="016CC073">
        <w:t xml:space="preserve"> average</w:t>
      </w:r>
      <w:r w:rsidRPr="00CB0560" w:rsidR="000D525A">
        <w:rPr>
          <w:iCs/>
        </w:rPr>
        <w:t xml:space="preserve"> per-farm </w:t>
      </w:r>
      <w:r w:rsidRPr="00CB0560" w:rsidR="000C5A83">
        <w:rPr>
          <w:iCs/>
        </w:rPr>
        <w:t xml:space="preserve">cost </w:t>
      </w:r>
      <w:r w:rsidRPr="00CB0560" w:rsidR="00116B53">
        <w:rPr>
          <w:iCs/>
        </w:rPr>
        <w:t xml:space="preserve">of the rule </w:t>
      </w:r>
      <w:r w:rsidR="03A4CF07">
        <w:t>for farms that conduct assessments</w:t>
      </w:r>
      <w:r w:rsidR="00116B53">
        <w:t xml:space="preserve"> </w:t>
      </w:r>
      <w:r w:rsidRPr="00CB0560" w:rsidR="00116B53">
        <w:rPr>
          <w:iCs/>
        </w:rPr>
        <w:t xml:space="preserve">relative to pre-harvest </w:t>
      </w:r>
      <w:r w:rsidRPr="00CB0560" w:rsidR="007F5956">
        <w:rPr>
          <w:iCs/>
        </w:rPr>
        <w:t>agricultural water testing provisions</w:t>
      </w:r>
      <w:r w:rsidRPr="00CB0560" w:rsidR="000C5A83">
        <w:rPr>
          <w:iCs/>
        </w:rPr>
        <w:t xml:space="preserve">, annualized at a 3% discount rate over 10 years, is </w:t>
      </w:r>
      <w:r w:rsidRPr="00CB0560" w:rsidR="009258CA">
        <w:rPr>
          <w:iCs/>
        </w:rPr>
        <w:t>$6</w:t>
      </w:r>
      <w:r w:rsidR="00334109">
        <w:rPr>
          <w:iCs/>
        </w:rPr>
        <w:t>79</w:t>
      </w:r>
      <w:r w:rsidR="62F7419F">
        <w:t xml:space="preserve"> for very small farms</w:t>
      </w:r>
      <w:r w:rsidR="009258CA">
        <w:t>.</w:t>
      </w:r>
      <w:r w:rsidRPr="00CB0560" w:rsidR="009258CA">
        <w:rPr>
          <w:iCs/>
        </w:rPr>
        <w:t xml:space="preserve"> </w:t>
      </w:r>
      <w:r w:rsidRPr="00CB0560" w:rsidR="00595EF9">
        <w:rPr>
          <w:iCs/>
        </w:rPr>
        <w:t xml:space="preserve">For small farms, this per-farm estimate is </w:t>
      </w:r>
      <w:r w:rsidRPr="00CB0560" w:rsidR="00906BD6">
        <w:rPr>
          <w:iCs/>
        </w:rPr>
        <w:t>$</w:t>
      </w:r>
      <w:r w:rsidR="00334109">
        <w:rPr>
          <w:iCs/>
        </w:rPr>
        <w:t>1,036</w:t>
      </w:r>
      <w:r w:rsidR="3DACBD73">
        <w:t>.</w:t>
      </w:r>
      <w:r w:rsidR="6E01E473">
        <w:t xml:space="preserve"> For farms that conduct at least one mitigation over the 10-year period, our primary estimate of the average per-farm</w:t>
      </w:r>
      <w:r w:rsidR="04D30848">
        <w:t xml:space="preserve"> </w:t>
      </w:r>
      <w:r w:rsidR="1116269F">
        <w:t xml:space="preserve">cost of the rule relative to pre-harvest agricultural water testing provisions, annualized at a 3% discount rate over 10 years, is </w:t>
      </w:r>
      <w:r w:rsidR="5B694BB6">
        <w:t>$1,0</w:t>
      </w:r>
      <w:r w:rsidR="00334109">
        <w:t>90</w:t>
      </w:r>
      <w:r w:rsidR="5B694BB6">
        <w:t xml:space="preserve"> for very small farms and $</w:t>
      </w:r>
      <w:r w:rsidR="00334109">
        <w:t>2,054</w:t>
      </w:r>
      <w:r w:rsidR="5B694BB6">
        <w:t xml:space="preserve"> for small farms. </w:t>
      </w:r>
      <w:r w:rsidR="1116269F">
        <w:t xml:space="preserve"> </w:t>
      </w:r>
      <w:r w:rsidR="00C8622B">
        <w:rPr>
          <w:iCs/>
        </w:rPr>
        <w:t>See also section III, where we discuss impacts of the rule on small entities.</w:t>
      </w:r>
    </w:p>
    <w:p w:rsidR="00A40FAD" w:rsidP="00026F9A" w14:paraId="3A99F0CA" w14:textId="7EE791AE">
      <w:pPr>
        <w:spacing w:line="480" w:lineRule="auto"/>
        <w:ind w:firstLine="720"/>
        <w:rPr>
          <w:iCs/>
        </w:rPr>
      </w:pPr>
      <w:r>
        <w:rPr>
          <w:iCs/>
        </w:rPr>
        <w:t>A</w:t>
      </w:r>
      <w:r w:rsidRPr="00B61B8E" w:rsidR="00894281">
        <w:rPr>
          <w:iCs/>
        </w:rPr>
        <w:t xml:space="preserve">s the </w:t>
      </w:r>
      <w:r>
        <w:rPr>
          <w:iCs/>
        </w:rPr>
        <w:t xml:space="preserve">requirements being finalized here </w:t>
      </w:r>
      <w:r w:rsidRPr="00B61B8E" w:rsidR="00894281">
        <w:rPr>
          <w:iCs/>
        </w:rPr>
        <w:t>apply t</w:t>
      </w:r>
      <w:r w:rsidR="00894281">
        <w:rPr>
          <w:iCs/>
        </w:rPr>
        <w:t xml:space="preserve">o </w:t>
      </w:r>
      <w:r w:rsidRPr="00B61B8E" w:rsidR="00894281">
        <w:rPr>
          <w:iCs/>
        </w:rPr>
        <w:t>farms of all size</w:t>
      </w:r>
      <w:r w:rsidR="00894281">
        <w:rPr>
          <w:iCs/>
        </w:rPr>
        <w:t>s</w:t>
      </w:r>
      <w:r w:rsidRPr="00B61B8E" w:rsidR="00894281">
        <w:rPr>
          <w:iCs/>
        </w:rPr>
        <w:t xml:space="preserve"> provided the farms are covered by the </w:t>
      </w:r>
      <w:r w:rsidR="0036141B">
        <w:rPr>
          <w:iCs/>
        </w:rPr>
        <w:t>2015 p</w:t>
      </w:r>
      <w:r w:rsidRPr="00B61B8E" w:rsidR="00894281">
        <w:rPr>
          <w:iCs/>
        </w:rPr>
        <w:t xml:space="preserve">roduce </w:t>
      </w:r>
      <w:r w:rsidR="0036141B">
        <w:rPr>
          <w:iCs/>
        </w:rPr>
        <w:t>s</w:t>
      </w:r>
      <w:r w:rsidRPr="00B61B8E" w:rsidR="00894281">
        <w:rPr>
          <w:iCs/>
        </w:rPr>
        <w:t xml:space="preserve">afety </w:t>
      </w:r>
      <w:r w:rsidR="0036141B">
        <w:rPr>
          <w:iCs/>
        </w:rPr>
        <w:t>final r</w:t>
      </w:r>
      <w:r w:rsidRPr="00B61B8E" w:rsidR="00894281">
        <w:rPr>
          <w:iCs/>
        </w:rPr>
        <w:t>ule</w:t>
      </w:r>
      <w:r w:rsidR="00894281">
        <w:rPr>
          <w:iCs/>
        </w:rPr>
        <w:t xml:space="preserve"> and subject to the requirements in § 112.43 for pre-harvest agricultural water assessments for non-sprout covered produce</w:t>
      </w:r>
      <w:r w:rsidR="007366CD">
        <w:rPr>
          <w:iCs/>
        </w:rPr>
        <w:t>, we disagree with the comment suggesting that the total burden of the rule will fall on small farms.</w:t>
      </w:r>
      <w:r w:rsidRPr="00B61B8E" w:rsidR="00894281">
        <w:rPr>
          <w:iCs/>
        </w:rPr>
        <w:t xml:space="preserve"> </w:t>
      </w:r>
    </w:p>
    <w:p w:rsidR="007366CD" w:rsidRPr="00491301" w:rsidP="00026F9A" w14:paraId="4FB62184" w14:textId="16C4053D">
      <w:pPr>
        <w:spacing w:line="480" w:lineRule="auto"/>
        <w:ind w:firstLine="720"/>
        <w:rPr>
          <w:iCs/>
          <w:strike/>
        </w:rPr>
      </w:pPr>
      <w:r>
        <w:rPr>
          <w:iCs/>
        </w:rPr>
        <w:t xml:space="preserve">Additionally, </w:t>
      </w:r>
      <w:r w:rsidRPr="007366CD">
        <w:rPr>
          <w:iCs/>
        </w:rPr>
        <w:t xml:space="preserve">we </w:t>
      </w:r>
      <w:r w:rsidR="000B5D46">
        <w:rPr>
          <w:iCs/>
        </w:rPr>
        <w:t xml:space="preserve">recognize that </w:t>
      </w:r>
      <w:r w:rsidR="000B5D46">
        <w:t>staggered</w:t>
      </w:r>
      <w:r w:rsidRPr="00372C54" w:rsidR="000B5D46">
        <w:t xml:space="preserve"> compliance dates</w:t>
      </w:r>
      <w:r w:rsidR="000B5D46">
        <w:t xml:space="preserve"> based on farm size</w:t>
      </w:r>
      <w:r w:rsidR="00DD69C8">
        <w:t xml:space="preserve"> allows</w:t>
      </w:r>
      <w:r w:rsidRPr="00372C54" w:rsidR="000B5D46">
        <w:t xml:space="preserve"> businesses of various sizes time to come into compliance with the rule technically, financially, and operationally. </w:t>
      </w:r>
      <w:r w:rsidR="001634B1">
        <w:t xml:space="preserve">In light of practical considerations for small and very small businesses, we consider that additional time for small and very small farms to come into compliance is </w:t>
      </w:r>
      <w:r w:rsidR="001634B1">
        <w:t xml:space="preserve">warranted. </w:t>
      </w:r>
      <w:r w:rsidR="00CB7500">
        <w:t>As such, w</w:t>
      </w:r>
      <w:r w:rsidRPr="007366CD">
        <w:rPr>
          <w:iCs/>
        </w:rPr>
        <w:t>e are finalizing compliance dates for the pre-harvest agricultural water requirements for non-sprout covered produce based on farm size as follows: 2 years and 9 months after the effective date of a final rule for very small businesses; 1 year and 9 months after the effective date of a final rule for small businesses; and 9 months after the effective date of a final rule for all other businesses</w:t>
      </w:r>
      <w:r w:rsidR="00FD054C">
        <w:rPr>
          <w:iCs/>
        </w:rPr>
        <w:t>, and consider those compliance dates for the purposes of this analysis</w:t>
      </w:r>
      <w:r w:rsidRPr="007366CD">
        <w:rPr>
          <w:iCs/>
        </w:rPr>
        <w:t xml:space="preserve">. </w:t>
      </w:r>
      <w:r w:rsidRPr="00491301" w:rsidR="00491301">
        <w:rPr>
          <w:iCs/>
        </w:rPr>
        <w:t>See the final rule for additional discussion on staggered compliance dates for the pre-harvest agricultural water requirements for non-sprout covered produce.</w:t>
      </w:r>
      <w:r w:rsidR="00491301">
        <w:rPr>
          <w:iCs/>
        </w:rPr>
        <w:t xml:space="preserve"> </w:t>
      </w:r>
    </w:p>
    <w:p w:rsidR="000906AD" w:rsidRPr="00FA5D28" w:rsidP="00026F9A" w14:paraId="5C840A2E" w14:textId="3F7F7381">
      <w:pPr>
        <w:rPr>
          <w:i/>
        </w:rPr>
      </w:pPr>
      <w:r>
        <w:rPr>
          <w:i/>
        </w:rPr>
        <w:t xml:space="preserve">Comment </w:t>
      </w:r>
      <w:r w:rsidR="004C280C">
        <w:rPr>
          <w:i/>
        </w:rPr>
        <w:t>6</w:t>
      </w:r>
      <w:r>
        <w:rPr>
          <w:i/>
        </w:rPr>
        <w:t>: Costs underestimated</w:t>
      </w:r>
    </w:p>
    <w:p w:rsidR="000906AD" w:rsidP="00026F9A" w14:paraId="50877514" w14:textId="7289A127">
      <w:pPr>
        <w:spacing w:line="480" w:lineRule="auto"/>
        <w:ind w:firstLine="720"/>
        <w:rPr>
          <w:iCs/>
        </w:rPr>
      </w:pPr>
      <w:r>
        <w:rPr>
          <w:iCs/>
        </w:rPr>
        <w:t xml:space="preserve">Several comments express general concerns that the PRIA underestimates costs to farms. For example, a few comments suggest that it would cost more than the PRIA estimated if they were to convert to a different method of water application, such as drip irrigation. Other comments suggest that the PRIA underestimated the costs of water treatment, with a few of these suggesting that costs associated with treatment and other mitigation measures should be accounted for “at scale.” </w:t>
      </w:r>
    </w:p>
    <w:p w:rsidR="000906AD" w:rsidRPr="00F90C58" w:rsidP="00026F9A" w14:paraId="77A36F75" w14:textId="6C13676B">
      <w:pPr>
        <w:spacing w:line="480" w:lineRule="auto"/>
        <w:ind w:firstLine="720"/>
        <w:rPr>
          <w:iCs/>
        </w:rPr>
      </w:pPr>
      <w:r w:rsidRPr="00264950">
        <w:rPr>
          <w:iCs/>
        </w:rPr>
        <w:t xml:space="preserve">Response: </w:t>
      </w:r>
      <w:r w:rsidRPr="00F90C58">
        <w:rPr>
          <w:iCs/>
        </w:rPr>
        <w:t xml:space="preserve">We have updated our cost estimates </w:t>
      </w:r>
      <w:r>
        <w:rPr>
          <w:iCs/>
        </w:rPr>
        <w:t xml:space="preserve">in this FRIA </w:t>
      </w:r>
      <w:r w:rsidRPr="00F90C58">
        <w:rPr>
          <w:iCs/>
        </w:rPr>
        <w:t>in various ways, including updat</w:t>
      </w:r>
      <w:r>
        <w:rPr>
          <w:iCs/>
        </w:rPr>
        <w:t>ing values to</w:t>
      </w:r>
      <w:r w:rsidRPr="00F90C58">
        <w:rPr>
          <w:iCs/>
        </w:rPr>
        <w:t xml:space="preserve"> 202</w:t>
      </w:r>
      <w:r w:rsidR="007A0B3B">
        <w:rPr>
          <w:iCs/>
        </w:rPr>
        <w:t>2</w:t>
      </w:r>
      <w:r w:rsidRPr="00F90C58">
        <w:rPr>
          <w:iCs/>
        </w:rPr>
        <w:t xml:space="preserve"> dollars</w:t>
      </w:r>
      <w:r>
        <w:rPr>
          <w:iCs/>
        </w:rPr>
        <w:t xml:space="preserve"> and updating </w:t>
      </w:r>
      <w:r w:rsidRPr="00F90C58">
        <w:rPr>
          <w:iCs/>
        </w:rPr>
        <w:t>wage rates and covered farm counts</w:t>
      </w:r>
      <w:r>
        <w:rPr>
          <w:iCs/>
        </w:rPr>
        <w:t>,</w:t>
      </w:r>
      <w:r w:rsidRPr="00F90C58">
        <w:rPr>
          <w:iCs/>
        </w:rPr>
        <w:t xml:space="preserve"> to provide a more accurate estimate of costs.</w:t>
      </w:r>
    </w:p>
    <w:p w:rsidR="000906AD" w:rsidP="00026F9A" w14:paraId="53F7CA9F" w14:textId="0794B11F">
      <w:pPr>
        <w:spacing w:line="480" w:lineRule="auto"/>
        <w:ind w:firstLine="720"/>
        <w:rPr>
          <w:iCs/>
        </w:rPr>
      </w:pPr>
      <w:r w:rsidRPr="00F90C58">
        <w:rPr>
          <w:iCs/>
        </w:rPr>
        <w:t>With respect to costs associated with treatment of</w:t>
      </w:r>
      <w:r>
        <w:rPr>
          <w:iCs/>
        </w:rPr>
        <w:t xml:space="preserve"> pre-harvest</w:t>
      </w:r>
      <w:r w:rsidRPr="00F90C58">
        <w:rPr>
          <w:iCs/>
        </w:rPr>
        <w:t xml:space="preserve"> agricultural water, in the PRIA, we used findings from a USDA ERS </w:t>
      </w:r>
      <w:r w:rsidRPr="00A6661B">
        <w:rPr>
          <w:iCs/>
        </w:rPr>
        <w:t xml:space="preserve">survey </w:t>
      </w:r>
      <w:r w:rsidRPr="00A6661B">
        <w:t xml:space="preserve">(Ref. </w:t>
      </w:r>
      <w:r w:rsidRPr="00A6661B" w:rsidR="0029223A">
        <w:rPr>
          <w:iCs/>
        </w:rPr>
        <w:t>2</w:t>
      </w:r>
      <w:r w:rsidRPr="00A6661B">
        <w:t>)</w:t>
      </w:r>
      <w:r w:rsidRPr="00A6661B">
        <w:rPr>
          <w:iCs/>
        </w:rPr>
        <w:t xml:space="preserve"> to prov</w:t>
      </w:r>
      <w:r w:rsidRPr="00F90C58">
        <w:rPr>
          <w:iCs/>
        </w:rPr>
        <w:t>ide a single point estimate</w:t>
      </w:r>
      <w:r>
        <w:rPr>
          <w:iCs/>
        </w:rPr>
        <w:t xml:space="preserve"> for each farm size</w:t>
      </w:r>
      <w:r w:rsidRPr="00F90C58">
        <w:rPr>
          <w:iCs/>
        </w:rPr>
        <w:t xml:space="preserve"> for the cost of water treatment. </w:t>
      </w:r>
      <w:r>
        <w:rPr>
          <w:iCs/>
        </w:rPr>
        <w:t>We are not aware of, and c</w:t>
      </w:r>
      <w:r w:rsidRPr="00F90C58">
        <w:rPr>
          <w:iCs/>
        </w:rPr>
        <w:t>omments did not provide</w:t>
      </w:r>
      <w:r>
        <w:rPr>
          <w:iCs/>
        </w:rPr>
        <w:t>,</w:t>
      </w:r>
      <w:r w:rsidRPr="00F90C58">
        <w:rPr>
          <w:iCs/>
        </w:rPr>
        <w:t xml:space="preserve"> data or information </w:t>
      </w:r>
      <w:r>
        <w:rPr>
          <w:iCs/>
        </w:rPr>
        <w:t xml:space="preserve">as to estimates that would be more appropriate across the </w:t>
      </w:r>
      <w:r w:rsidRPr="00F90C58">
        <w:rPr>
          <w:iCs/>
        </w:rPr>
        <w:t xml:space="preserve">diversity of operations, agricultural water </w:t>
      </w:r>
      <w:r>
        <w:rPr>
          <w:iCs/>
        </w:rPr>
        <w:t>systems</w:t>
      </w:r>
      <w:r w:rsidRPr="00F90C58">
        <w:rPr>
          <w:iCs/>
        </w:rPr>
        <w:t>, and agricultural water uses of covered farms</w:t>
      </w:r>
      <w:r>
        <w:rPr>
          <w:iCs/>
        </w:rPr>
        <w:t xml:space="preserve">. However, </w:t>
      </w:r>
      <w:r w:rsidRPr="00F90C58">
        <w:rPr>
          <w:iCs/>
        </w:rPr>
        <w:t xml:space="preserve">we recognize that farms may </w:t>
      </w:r>
      <w:r>
        <w:rPr>
          <w:iCs/>
        </w:rPr>
        <w:t>incur</w:t>
      </w:r>
      <w:r w:rsidRPr="00F90C58">
        <w:rPr>
          <w:iCs/>
        </w:rPr>
        <w:t xml:space="preserve"> a range of possible costs if treating their pre-harvest </w:t>
      </w:r>
      <w:r w:rsidRPr="00F90C58">
        <w:rPr>
          <w:iCs/>
        </w:rPr>
        <w:t xml:space="preserve">agricultural water. </w:t>
      </w:r>
      <w:r w:rsidR="00592A08">
        <w:rPr>
          <w:iCs/>
        </w:rPr>
        <w:t xml:space="preserve">For example, </w:t>
      </w:r>
      <w:r w:rsidR="00E20479">
        <w:rPr>
          <w:iCs/>
        </w:rPr>
        <w:t xml:space="preserve">two </w:t>
      </w:r>
      <w:r w:rsidR="00D3356E">
        <w:rPr>
          <w:iCs/>
        </w:rPr>
        <w:t>covered farms</w:t>
      </w:r>
      <w:r w:rsidR="00EF4807">
        <w:rPr>
          <w:iCs/>
        </w:rPr>
        <w:t xml:space="preserve"> </w:t>
      </w:r>
      <w:r w:rsidR="00BF475D">
        <w:rPr>
          <w:iCs/>
        </w:rPr>
        <w:t>may incur</w:t>
      </w:r>
      <w:r w:rsidR="00176EC8">
        <w:rPr>
          <w:iCs/>
        </w:rPr>
        <w:t xml:space="preserve"> different treatment costs depending on </w:t>
      </w:r>
      <w:r w:rsidR="00595FAB">
        <w:rPr>
          <w:iCs/>
        </w:rPr>
        <w:t>various factors</w:t>
      </w:r>
      <w:r w:rsidR="00356A6C">
        <w:rPr>
          <w:iCs/>
        </w:rPr>
        <w:t xml:space="preserve">—such </w:t>
      </w:r>
      <w:r w:rsidR="001D67B2">
        <w:rPr>
          <w:iCs/>
        </w:rPr>
        <w:t>as</w:t>
      </w:r>
      <w:r w:rsidR="00595FAB">
        <w:rPr>
          <w:iCs/>
        </w:rPr>
        <w:t xml:space="preserve"> </w:t>
      </w:r>
      <w:r w:rsidR="006B7608">
        <w:rPr>
          <w:iCs/>
        </w:rPr>
        <w:t>the nature of their agricultural water system</w:t>
      </w:r>
      <w:r w:rsidR="001D67B2">
        <w:rPr>
          <w:iCs/>
        </w:rPr>
        <w:t>s</w:t>
      </w:r>
      <w:r w:rsidR="006B7608">
        <w:rPr>
          <w:iCs/>
        </w:rPr>
        <w:t xml:space="preserve"> and the method</w:t>
      </w:r>
      <w:r w:rsidR="001D67B2">
        <w:rPr>
          <w:iCs/>
        </w:rPr>
        <w:t>s</w:t>
      </w:r>
      <w:r w:rsidR="006B7608">
        <w:rPr>
          <w:iCs/>
        </w:rPr>
        <w:t xml:space="preserve"> used to treat their agricultural water</w:t>
      </w:r>
      <w:r w:rsidR="00356A6C">
        <w:rPr>
          <w:iCs/>
        </w:rPr>
        <w:t>—even if</w:t>
      </w:r>
      <w:r w:rsidR="001D67B2">
        <w:rPr>
          <w:iCs/>
        </w:rPr>
        <w:t xml:space="preserve"> they are </w:t>
      </w:r>
      <w:r w:rsidR="00E20479">
        <w:rPr>
          <w:iCs/>
        </w:rPr>
        <w:t>both</w:t>
      </w:r>
      <w:r w:rsidR="001D67B2">
        <w:rPr>
          <w:iCs/>
        </w:rPr>
        <w:t xml:space="preserve"> considered “small farms.”</w:t>
      </w:r>
      <w:r w:rsidR="00BF475D">
        <w:rPr>
          <w:iCs/>
        </w:rPr>
        <w:t xml:space="preserve"> </w:t>
      </w:r>
      <w:r w:rsidRPr="00F90C58">
        <w:rPr>
          <w:iCs/>
        </w:rPr>
        <w:t xml:space="preserve">Therefore, we have replaced the point estimates used in the PRIA with a </w:t>
      </w:r>
      <w:r>
        <w:rPr>
          <w:iCs/>
        </w:rPr>
        <w:t xml:space="preserve">PERT distribution and use those </w:t>
      </w:r>
      <w:r>
        <w:t xml:space="preserve">estimates of water treatment costs to remain consistent across the pre-harvest microbial quality criteria and testing provisions in the 2015 </w:t>
      </w:r>
      <w:r w:rsidR="00113CC3">
        <w:t>produce safety final rule</w:t>
      </w:r>
      <w:r w:rsidR="002C70DA">
        <w:t xml:space="preserve"> </w:t>
      </w:r>
      <w:r>
        <w:t xml:space="preserve">and the requirements for pre-harvest agricultural water assessments and measures that we are finalizing with this rule. </w:t>
      </w:r>
      <w:r w:rsidRPr="00F90C58">
        <w:rPr>
          <w:iCs/>
        </w:rPr>
        <w:t>See also section</w:t>
      </w:r>
      <w:r>
        <w:rPr>
          <w:iCs/>
        </w:rPr>
        <w:t>s II.D. and II.F.</w:t>
      </w:r>
    </w:p>
    <w:p w:rsidR="000906AD" w:rsidP="00026F9A" w14:paraId="64251DFC" w14:textId="6D16B523">
      <w:pPr>
        <w:spacing w:line="480" w:lineRule="auto"/>
        <w:ind w:firstLine="720"/>
        <w:rPr>
          <w:iCs/>
        </w:rPr>
      </w:pPr>
      <w:r w:rsidRPr="00F90C58">
        <w:rPr>
          <w:iCs/>
        </w:rPr>
        <w:t xml:space="preserve">With respect to costs associated with </w:t>
      </w:r>
      <w:r>
        <w:rPr>
          <w:iCs/>
        </w:rPr>
        <w:t>other</w:t>
      </w:r>
      <w:r w:rsidRPr="00F90C58">
        <w:rPr>
          <w:iCs/>
        </w:rPr>
        <w:t xml:space="preserve"> mitigation measures (</w:t>
      </w:r>
      <w:r>
        <w:rPr>
          <w:iCs/>
        </w:rPr>
        <w:t>including</w:t>
      </w:r>
      <w:r w:rsidRPr="00F90C58">
        <w:rPr>
          <w:iCs/>
        </w:rPr>
        <w:t xml:space="preserve"> changing the water application method) under the approach for pre-harvest agricultural water we are finalizing here, our estimates in the PRIA for th</w:t>
      </w:r>
      <w:r>
        <w:rPr>
          <w:iCs/>
        </w:rPr>
        <w:t>o</w:t>
      </w:r>
      <w:r w:rsidRPr="00F90C58">
        <w:rPr>
          <w:iCs/>
        </w:rPr>
        <w:t xml:space="preserve">se measures were based on results from a survey of subject matter </w:t>
      </w:r>
      <w:r w:rsidRPr="00A6661B">
        <w:rPr>
          <w:iCs/>
        </w:rPr>
        <w:t>experts (</w:t>
      </w:r>
      <w:r w:rsidRPr="00A6661B">
        <w:t xml:space="preserve">Ref. </w:t>
      </w:r>
      <w:r w:rsidRPr="00A6661B" w:rsidR="00414F0E">
        <w:rPr>
          <w:iCs/>
        </w:rPr>
        <w:t>3</w:t>
      </w:r>
      <w:r w:rsidRPr="00A6661B">
        <w:t>).</w:t>
      </w:r>
      <w:r w:rsidRPr="00A6661B">
        <w:rPr>
          <w:iCs/>
        </w:rPr>
        <w:t xml:space="preserve"> In the</w:t>
      </w:r>
      <w:r w:rsidRPr="00F90C58">
        <w:rPr>
          <w:iCs/>
        </w:rPr>
        <w:t xml:space="preserve"> PRIA, we provided these results as a range, with low, most likely, and high estimates each for very small, small, and large farms. We expect </w:t>
      </w:r>
      <w:r>
        <w:rPr>
          <w:iCs/>
        </w:rPr>
        <w:t xml:space="preserve">that </w:t>
      </w:r>
      <w:r w:rsidRPr="00F90C58">
        <w:rPr>
          <w:iCs/>
        </w:rPr>
        <w:t xml:space="preserve">these values account for a range of possible costs that may be incurred by farms in implementing </w:t>
      </w:r>
      <w:r>
        <w:rPr>
          <w:iCs/>
        </w:rPr>
        <w:t xml:space="preserve">those </w:t>
      </w:r>
      <w:r w:rsidRPr="00F90C58">
        <w:rPr>
          <w:iCs/>
        </w:rPr>
        <w:t>mitigation measures under the requirements we are finalizing with this rule.</w:t>
      </w:r>
      <w:r>
        <w:rPr>
          <w:iCs/>
        </w:rPr>
        <w:t xml:space="preserve"> While some comments suggest that the costs associated with changing the water application method were underestimated, w</w:t>
      </w:r>
      <w:r w:rsidRPr="00F90C58">
        <w:rPr>
          <w:iCs/>
        </w:rPr>
        <w:t xml:space="preserve">e are not aware of, and comments did not provide, data or information suggesting </w:t>
      </w:r>
      <w:r>
        <w:rPr>
          <w:iCs/>
        </w:rPr>
        <w:t xml:space="preserve">estimates that would be more applicable across the diversity that exists in industry. </w:t>
      </w:r>
      <w:r w:rsidRPr="00F90C58">
        <w:rPr>
          <w:iCs/>
        </w:rPr>
        <w:t>Therefore, we decline to adjust the</w:t>
      </w:r>
      <w:r>
        <w:rPr>
          <w:iCs/>
        </w:rPr>
        <w:t xml:space="preserve"> cost</w:t>
      </w:r>
      <w:r w:rsidRPr="00F90C58">
        <w:rPr>
          <w:iCs/>
        </w:rPr>
        <w:t xml:space="preserve"> </w:t>
      </w:r>
      <w:r>
        <w:rPr>
          <w:iCs/>
        </w:rPr>
        <w:t xml:space="preserve">estimates for changing the method of water application as a </w:t>
      </w:r>
      <w:r w:rsidRPr="00F90C58">
        <w:rPr>
          <w:iCs/>
        </w:rPr>
        <w:t>mitigation measure</w:t>
      </w:r>
      <w:r>
        <w:t>.</w:t>
      </w:r>
      <w:r w:rsidRPr="00F90C58">
        <w:rPr>
          <w:iCs/>
        </w:rPr>
        <w:t xml:space="preserve"> </w:t>
      </w:r>
    </w:p>
    <w:p w:rsidR="00304A6F" w:rsidRPr="00FA5D28" w:rsidP="00026F9A" w14:paraId="7FF51F01" w14:textId="2137DAC8">
      <w:pPr>
        <w:rPr>
          <w:i/>
        </w:rPr>
      </w:pPr>
      <w:r>
        <w:rPr>
          <w:i/>
        </w:rPr>
        <w:t xml:space="preserve">Comment </w:t>
      </w:r>
      <w:r w:rsidR="004C280C">
        <w:rPr>
          <w:i/>
        </w:rPr>
        <w:t>7</w:t>
      </w:r>
      <w:r>
        <w:rPr>
          <w:i/>
        </w:rPr>
        <w:t xml:space="preserve">: Burden on </w:t>
      </w:r>
      <w:r w:rsidR="005939E3">
        <w:rPr>
          <w:i/>
        </w:rPr>
        <w:t xml:space="preserve">farms </w:t>
      </w:r>
      <w:r>
        <w:rPr>
          <w:i/>
        </w:rPr>
        <w:t>with multiple water sources</w:t>
      </w:r>
    </w:p>
    <w:p w:rsidR="00304A6F" w:rsidP="00026F9A" w14:paraId="79B354F5" w14:textId="7744662B">
      <w:pPr>
        <w:spacing w:line="480" w:lineRule="auto"/>
        <w:ind w:firstLine="720"/>
        <w:rPr>
          <w:iCs/>
        </w:rPr>
      </w:pPr>
      <w:r>
        <w:rPr>
          <w:iCs/>
        </w:rPr>
        <w:t xml:space="preserve">A </w:t>
      </w:r>
      <w:r w:rsidR="003605FB">
        <w:rPr>
          <w:iCs/>
        </w:rPr>
        <w:t xml:space="preserve">few comments suggest that </w:t>
      </w:r>
      <w:r w:rsidR="000749FA">
        <w:rPr>
          <w:iCs/>
        </w:rPr>
        <w:t xml:space="preserve">pre-harvest agricultural water assessments will be more costly and take more time for </w:t>
      </w:r>
      <w:r w:rsidR="005939E3">
        <w:rPr>
          <w:iCs/>
        </w:rPr>
        <w:t xml:space="preserve">farms </w:t>
      </w:r>
      <w:r w:rsidR="00343B6A">
        <w:rPr>
          <w:iCs/>
        </w:rPr>
        <w:t>with multiple water sources</w:t>
      </w:r>
      <w:r>
        <w:rPr>
          <w:iCs/>
        </w:rPr>
        <w:t>.</w:t>
      </w:r>
    </w:p>
    <w:p w:rsidR="0044160F" w:rsidP="00026F9A" w14:paraId="72E8BF67" w14:textId="51B4204A">
      <w:pPr>
        <w:spacing w:line="480" w:lineRule="auto"/>
        <w:ind w:firstLine="720"/>
      </w:pPr>
      <w:r w:rsidRPr="00B61B8E">
        <w:rPr>
          <w:iCs/>
        </w:rPr>
        <w:t xml:space="preserve">Response: </w:t>
      </w:r>
      <w:r w:rsidR="00CE274A">
        <w:t>We recognize that the costs associated with the provisions for pre-harvest agricultural water assessments are likely to range for a variety of reasons, not limited to the number of agricultural water sources a covered farm uses for pre-harvest agricultural water for non-sprout covered produce. As such, in the PRIA we estimated costs associated with the requirements for pre-harvest agricultural water assessments on a per-farm basis, for which we also provide</w:t>
      </w:r>
      <w:r w:rsidR="00F97F27">
        <w:t>d</w:t>
      </w:r>
      <w:r w:rsidR="00CE274A">
        <w:t xml:space="preserve"> low, most likely, and high estimates. </w:t>
      </w:r>
      <w:r w:rsidRPr="00840C98" w:rsidR="00471CC9">
        <w:rPr>
          <w:iCs/>
        </w:rPr>
        <w:t>We expect that these values account for a range of possible costs that may be incurred by farms in implementing the provisions for pre-harvest agricultural water assessments that we are finalizing with this rule</w:t>
      </w:r>
      <w:r w:rsidRPr="00471CC9" w:rsidR="00471CC9">
        <w:rPr>
          <w:iCs/>
        </w:rPr>
        <w:t>.</w:t>
      </w:r>
      <w:r w:rsidR="00471CC9">
        <w:rPr>
          <w:iCs/>
        </w:rPr>
        <w:t xml:space="preserve"> </w:t>
      </w:r>
      <w:r w:rsidR="00CE274A">
        <w:t xml:space="preserve">We are not aware of, and comments did not provide, data or information </w:t>
      </w:r>
      <w:r w:rsidRPr="00F90C58" w:rsidR="00CE274A">
        <w:rPr>
          <w:iCs/>
        </w:rPr>
        <w:t xml:space="preserve">suggesting </w:t>
      </w:r>
      <w:r w:rsidR="00CE274A">
        <w:rPr>
          <w:iCs/>
        </w:rPr>
        <w:t>estimates that would be more applicable across the diversity that exists in industry</w:t>
      </w:r>
      <w:r w:rsidR="00547692">
        <w:rPr>
          <w:iCs/>
        </w:rPr>
        <w:t xml:space="preserve"> in agricultural water systems, operations, and conditions</w:t>
      </w:r>
      <w:r w:rsidR="00CE274A">
        <w:t xml:space="preserve">. As such, we use the same estimates for </w:t>
      </w:r>
      <w:r w:rsidR="00547692">
        <w:t xml:space="preserve">the </w:t>
      </w:r>
      <w:r w:rsidR="00CE274A">
        <w:t xml:space="preserve">time to conduct pre-harvest agricultural water assessments in this FRIA as used in the PRIA. See Table 18. To the extent that a farm may have multiple water sources, </w:t>
      </w:r>
      <w:r w:rsidRPr="002273CE" w:rsidR="00CE274A">
        <w:t>we expect that several of the factors evaluated in the assessment (for example, agricultural water use practices, commodity characteristics, and environmental conditions) might be similar regardless of the agricultural water sy</w:t>
      </w:r>
      <w:r w:rsidRPr="00EE37ED" w:rsidR="00CE274A">
        <w:t xml:space="preserve">stem, </w:t>
      </w:r>
      <w:r w:rsidRPr="00840C98" w:rsidR="00CE274A">
        <w:t>thus limiting</w:t>
      </w:r>
      <w:r w:rsidRPr="00840C98" w:rsidR="0E8C6E58">
        <w:t xml:space="preserve"> any increase in</w:t>
      </w:r>
      <w:r w:rsidRPr="00840C98" w:rsidR="00B5199E">
        <w:t xml:space="preserve"> the</w:t>
      </w:r>
      <w:r w:rsidRPr="00840C98" w:rsidR="00CE274A">
        <w:t xml:space="preserve"> time a farm may need to collect and consider information for agricultural water assessment purposes.</w:t>
      </w:r>
      <w:r w:rsidR="00483C01">
        <w:t xml:space="preserve"> </w:t>
      </w:r>
    </w:p>
    <w:p w:rsidR="005060AA" w:rsidRPr="00FA5D28" w:rsidP="00026F9A" w14:paraId="20BE770D" w14:textId="5E907204">
      <w:pPr>
        <w:rPr>
          <w:i/>
        </w:rPr>
      </w:pPr>
      <w:r>
        <w:rPr>
          <w:i/>
        </w:rPr>
        <w:t xml:space="preserve">Comment </w:t>
      </w:r>
      <w:r w:rsidR="004C280C">
        <w:rPr>
          <w:i/>
        </w:rPr>
        <w:t>8</w:t>
      </w:r>
      <w:r>
        <w:rPr>
          <w:i/>
        </w:rPr>
        <w:t>: Cost of hiring a third party</w:t>
      </w:r>
    </w:p>
    <w:p w:rsidR="005060AA" w:rsidP="00026F9A" w14:paraId="45E9EE03" w14:textId="77777777">
      <w:pPr>
        <w:spacing w:line="480" w:lineRule="auto"/>
        <w:ind w:firstLine="720"/>
        <w:rPr>
          <w:iCs/>
        </w:rPr>
      </w:pPr>
      <w:r>
        <w:rPr>
          <w:iCs/>
        </w:rPr>
        <w:t xml:space="preserve">Some comments claim that the rule appears to require farms to hire consultants, </w:t>
      </w:r>
      <w:r w:rsidRPr="00DD0AD1">
        <w:rPr>
          <w:iCs/>
        </w:rPr>
        <w:t>trained personnel</w:t>
      </w:r>
      <w:r>
        <w:rPr>
          <w:iCs/>
        </w:rPr>
        <w:t>, or other third</w:t>
      </w:r>
      <w:r>
        <w:t xml:space="preserve"> </w:t>
      </w:r>
      <w:r>
        <w:rPr>
          <w:iCs/>
        </w:rPr>
        <w:t xml:space="preserve">parties to understand and implement the requirements, which would generate significant compliance costs for farms. </w:t>
      </w:r>
    </w:p>
    <w:p w:rsidR="005060AA" w:rsidP="00026F9A" w14:paraId="3A5CBD16" w14:textId="386C58F9">
      <w:pPr>
        <w:spacing w:line="480" w:lineRule="auto"/>
        <w:ind w:firstLine="720"/>
        <w:rPr>
          <w:iCs/>
        </w:rPr>
      </w:pPr>
      <w:r w:rsidRPr="006726CA">
        <w:rPr>
          <w:iCs/>
        </w:rPr>
        <w:t xml:space="preserve">Response: </w:t>
      </w:r>
      <w:r w:rsidRPr="00920101">
        <w:rPr>
          <w:iCs/>
        </w:rPr>
        <w:t xml:space="preserve">In accordance with section 419(c)(1)(E) of the </w:t>
      </w:r>
      <w:r>
        <w:rPr>
          <w:iCs/>
        </w:rPr>
        <w:t>Food, Drug, and Cosmetic Act</w:t>
      </w:r>
      <w:r w:rsidRPr="00920101">
        <w:rPr>
          <w:iCs/>
        </w:rPr>
        <w:t>, we are not requir</w:t>
      </w:r>
      <w:r>
        <w:rPr>
          <w:iCs/>
        </w:rPr>
        <w:t>ing</w:t>
      </w:r>
      <w:r w:rsidRPr="00920101">
        <w:rPr>
          <w:iCs/>
        </w:rPr>
        <w:t xml:space="preserve"> a farm to hire a consultant or third party to identify, implement, certify, or </w:t>
      </w:r>
      <w:r w:rsidRPr="00920101">
        <w:rPr>
          <w:iCs/>
        </w:rPr>
        <w:t xml:space="preserve">comply </w:t>
      </w:r>
      <w:r>
        <w:rPr>
          <w:iCs/>
        </w:rPr>
        <w:t>with the requirements</w:t>
      </w:r>
      <w:r w:rsidR="00D8781E">
        <w:rPr>
          <w:iCs/>
        </w:rPr>
        <w:t xml:space="preserve"> being finalized with this rule</w:t>
      </w:r>
      <w:r w:rsidRPr="00920101">
        <w:rPr>
          <w:iCs/>
        </w:rPr>
        <w:t xml:space="preserve">. These </w:t>
      </w:r>
      <w:r>
        <w:rPr>
          <w:iCs/>
        </w:rPr>
        <w:t xml:space="preserve">standards </w:t>
      </w:r>
      <w:r w:rsidRPr="00920101">
        <w:rPr>
          <w:iCs/>
        </w:rPr>
        <w:t xml:space="preserve">are intended to be capable of implementation by those who engage in routine activities on the farm. </w:t>
      </w:r>
      <w:r>
        <w:rPr>
          <w:iCs/>
        </w:rPr>
        <w:t>See also 78 FR 3504 at 3519. As such, we disagree with the suggestion in the comments that the cost of hiring a consultant or other third party to ensure compliance should be included in the FRIA</w:t>
      </w:r>
      <w:r w:rsidRPr="006726CA">
        <w:rPr>
          <w:iCs/>
        </w:rPr>
        <w:t>.</w:t>
      </w:r>
      <w:r>
        <w:rPr>
          <w:iCs/>
        </w:rPr>
        <w:t xml:space="preserve"> </w:t>
      </w:r>
    </w:p>
    <w:p w:rsidR="00DE043D" w:rsidRPr="00FA5D28" w:rsidP="00026F9A" w14:paraId="040FC2AC" w14:textId="246D5D60">
      <w:pPr>
        <w:rPr>
          <w:i/>
        </w:rPr>
      </w:pPr>
      <w:r>
        <w:rPr>
          <w:i/>
        </w:rPr>
        <w:t xml:space="preserve">Comment </w:t>
      </w:r>
      <w:r w:rsidR="004C280C">
        <w:rPr>
          <w:i/>
        </w:rPr>
        <w:t>9</w:t>
      </w:r>
      <w:r>
        <w:rPr>
          <w:i/>
        </w:rPr>
        <w:t>: Other costs</w:t>
      </w:r>
    </w:p>
    <w:p w:rsidR="00DE043D" w:rsidP="00026F9A" w14:paraId="6BABF827" w14:textId="3BAF3CF7">
      <w:pPr>
        <w:spacing w:line="480" w:lineRule="auto"/>
        <w:ind w:firstLine="720"/>
        <w:rPr>
          <w:iCs/>
        </w:rPr>
      </w:pPr>
      <w:r>
        <w:rPr>
          <w:iCs/>
        </w:rPr>
        <w:t xml:space="preserve">One comment suggests that the economic analysis should consider costs beyond those associated with compliance. </w:t>
      </w:r>
      <w:r w:rsidR="00190B0D">
        <w:rPr>
          <w:iCs/>
        </w:rPr>
        <w:t>For</w:t>
      </w:r>
      <w:r w:rsidRPr="00190B0D" w:rsidR="00190B0D">
        <w:rPr>
          <w:iCs/>
        </w:rPr>
        <w:t xml:space="preserve"> </w:t>
      </w:r>
      <w:r w:rsidRPr="00190B0D">
        <w:rPr>
          <w:iCs/>
        </w:rPr>
        <w:t xml:space="preserve">example, the comment suggests that FDA consider </w:t>
      </w:r>
      <w:r>
        <w:rPr>
          <w:iCs/>
        </w:rPr>
        <w:t xml:space="preserve">cost savings in the form of averted outbreaks and recalls of food products that would result from the rule. </w:t>
      </w:r>
    </w:p>
    <w:p w:rsidR="005060AA" w:rsidRPr="00DE043D" w:rsidP="009A2515" w14:paraId="18B2F562" w14:textId="593CFF60">
      <w:pPr>
        <w:spacing w:line="480" w:lineRule="auto"/>
        <w:ind w:firstLine="720"/>
        <w:rPr>
          <w:iCs/>
        </w:rPr>
      </w:pPr>
      <w:r w:rsidRPr="00840C98">
        <w:rPr>
          <w:iCs/>
        </w:rPr>
        <w:t xml:space="preserve">Response: We acknowledge that there may be cost savings to industry as a result of averted recalls due to the requirements we are finalizing for pre-harvest agricultural water assessments for non-sprout covered produce. </w:t>
      </w:r>
      <w:r w:rsidRPr="00FD3522">
        <w:t>We are not aware of</w:t>
      </w:r>
      <w:r w:rsidR="0083307F">
        <w:t xml:space="preserve">, </w:t>
      </w:r>
      <w:r w:rsidRPr="00FD3522">
        <w:t>and comments did not provide</w:t>
      </w:r>
      <w:r w:rsidR="0083307F">
        <w:t xml:space="preserve">, </w:t>
      </w:r>
      <w:r w:rsidRPr="00FD3522">
        <w:t xml:space="preserve">quantitative data or information </w:t>
      </w:r>
      <w:r w:rsidRPr="00840C98">
        <w:rPr>
          <w:iCs/>
        </w:rPr>
        <w:t xml:space="preserve">related to recalls that can be directly attributed to pre-harvest agricultural water for non-sprout covered produce that would allow us to estimate those cost savings quantitatively. </w:t>
      </w:r>
      <w:r>
        <w:rPr>
          <w:iCs/>
        </w:rPr>
        <w:t>However, w</w:t>
      </w:r>
      <w:r w:rsidRPr="00840C98">
        <w:rPr>
          <w:iCs/>
        </w:rPr>
        <w:t>e have included a brief qualitative discussion about the potential cost savings of averted recalls in the FRIA.</w:t>
      </w:r>
      <w:r>
        <w:rPr>
          <w:iCs/>
        </w:rPr>
        <w:t xml:space="preserve">   </w:t>
      </w:r>
    </w:p>
    <w:p w:rsidR="009C4E59" w:rsidRPr="00FA5D28" w:rsidP="00026F9A" w14:paraId="1B7A1E19" w14:textId="0413AF56">
      <w:pPr>
        <w:rPr>
          <w:i/>
        </w:rPr>
      </w:pPr>
      <w:r>
        <w:rPr>
          <w:i/>
        </w:rPr>
        <w:t xml:space="preserve">Comment </w:t>
      </w:r>
      <w:r w:rsidR="005305D9">
        <w:rPr>
          <w:i/>
        </w:rPr>
        <w:t>10</w:t>
      </w:r>
      <w:r>
        <w:rPr>
          <w:i/>
        </w:rPr>
        <w:t>: Increase</w:t>
      </w:r>
      <w:r w:rsidR="00F412BC">
        <w:rPr>
          <w:i/>
        </w:rPr>
        <w:t>d prices</w:t>
      </w:r>
    </w:p>
    <w:p w:rsidR="009C4E59" w:rsidP="00026F9A" w14:paraId="36E15D0F" w14:textId="38F61A22">
      <w:pPr>
        <w:spacing w:line="480" w:lineRule="auto"/>
        <w:ind w:firstLine="720"/>
        <w:rPr>
          <w:iCs/>
        </w:rPr>
      </w:pPr>
      <w:r w:rsidRPr="002D7FEA">
        <w:rPr>
          <w:iCs/>
        </w:rPr>
        <w:t xml:space="preserve">One comment </w:t>
      </w:r>
      <w:r w:rsidRPr="002D7FEA" w:rsidR="00F412BC">
        <w:rPr>
          <w:iCs/>
        </w:rPr>
        <w:t>suggest</w:t>
      </w:r>
      <w:r w:rsidR="001851BD">
        <w:rPr>
          <w:iCs/>
        </w:rPr>
        <w:t>s</w:t>
      </w:r>
      <w:r w:rsidRPr="002D7FEA" w:rsidR="00F412BC">
        <w:rPr>
          <w:iCs/>
        </w:rPr>
        <w:t xml:space="preserve"> that the rule </w:t>
      </w:r>
      <w:r w:rsidR="006E7F4B">
        <w:rPr>
          <w:iCs/>
        </w:rPr>
        <w:t>will</w:t>
      </w:r>
      <w:r w:rsidRPr="002D7FEA" w:rsidR="006E7F4B">
        <w:rPr>
          <w:iCs/>
        </w:rPr>
        <w:t xml:space="preserve"> </w:t>
      </w:r>
      <w:r w:rsidRPr="002D7FEA" w:rsidR="00F412BC">
        <w:rPr>
          <w:iCs/>
        </w:rPr>
        <w:t>cause a</w:t>
      </w:r>
      <w:r w:rsidR="00112840">
        <w:rPr>
          <w:iCs/>
        </w:rPr>
        <w:t xml:space="preserve">n </w:t>
      </w:r>
      <w:r w:rsidRPr="002D7FEA" w:rsidR="00F412BC">
        <w:rPr>
          <w:iCs/>
        </w:rPr>
        <w:t>increase in prices</w:t>
      </w:r>
      <w:r w:rsidR="000C6C9B">
        <w:rPr>
          <w:iCs/>
        </w:rPr>
        <w:t>.</w:t>
      </w:r>
    </w:p>
    <w:p w:rsidR="009C4E59" w:rsidP="00026F9A" w14:paraId="7EBBC6DC" w14:textId="141DFBF7">
      <w:pPr>
        <w:spacing w:line="480" w:lineRule="auto"/>
        <w:ind w:firstLine="720"/>
        <w:rPr>
          <w:iCs/>
        </w:rPr>
      </w:pPr>
      <w:r w:rsidRPr="002D7FEA">
        <w:rPr>
          <w:iCs/>
        </w:rPr>
        <w:t xml:space="preserve">Response: </w:t>
      </w:r>
      <w:r w:rsidR="00681753">
        <w:rPr>
          <w:iCs/>
        </w:rPr>
        <w:t xml:space="preserve">It is unclear to us </w:t>
      </w:r>
      <w:r w:rsidRPr="002D7FEA" w:rsidR="00CA1BA2">
        <w:rPr>
          <w:iCs/>
        </w:rPr>
        <w:t xml:space="preserve">which prices </w:t>
      </w:r>
      <w:r w:rsidR="00067DA8">
        <w:rPr>
          <w:iCs/>
        </w:rPr>
        <w:t>the</w:t>
      </w:r>
      <w:r w:rsidR="00681753">
        <w:rPr>
          <w:iCs/>
        </w:rPr>
        <w:t xml:space="preserve"> commenter</w:t>
      </w:r>
      <w:r w:rsidRPr="002D7FEA" w:rsidR="009953C8">
        <w:rPr>
          <w:iCs/>
        </w:rPr>
        <w:t xml:space="preserve"> expect</w:t>
      </w:r>
      <w:r w:rsidR="00681753">
        <w:rPr>
          <w:iCs/>
        </w:rPr>
        <w:t>s</w:t>
      </w:r>
      <w:r w:rsidRPr="002D7FEA" w:rsidR="009953C8">
        <w:rPr>
          <w:iCs/>
        </w:rPr>
        <w:t xml:space="preserve"> to increase. </w:t>
      </w:r>
      <w:r w:rsidR="00171643">
        <w:rPr>
          <w:iCs/>
        </w:rPr>
        <w:t xml:space="preserve">To the extent the commenter is suggesting that </w:t>
      </w:r>
      <w:r w:rsidR="00B560CB">
        <w:rPr>
          <w:iCs/>
        </w:rPr>
        <w:t>consumer prices would increase</w:t>
      </w:r>
      <w:r w:rsidR="00591BE5">
        <w:rPr>
          <w:iCs/>
        </w:rPr>
        <w:t xml:space="preserve">, </w:t>
      </w:r>
      <w:r w:rsidR="00B97D89">
        <w:rPr>
          <w:iCs/>
        </w:rPr>
        <w:t xml:space="preserve">we are not aware of, and the comment did not provide, data </w:t>
      </w:r>
      <w:r w:rsidR="0078025F">
        <w:rPr>
          <w:iCs/>
        </w:rPr>
        <w:t xml:space="preserve">or information </w:t>
      </w:r>
      <w:r w:rsidR="00A02979">
        <w:rPr>
          <w:iCs/>
        </w:rPr>
        <w:t xml:space="preserve">that would allow for </w:t>
      </w:r>
      <w:r w:rsidR="0078025F">
        <w:rPr>
          <w:iCs/>
        </w:rPr>
        <w:t>quantitative estimate</w:t>
      </w:r>
      <w:r w:rsidR="00A02979">
        <w:rPr>
          <w:iCs/>
        </w:rPr>
        <w:t>s of such potential effects.</w:t>
      </w:r>
      <w:r w:rsidR="0078025F">
        <w:rPr>
          <w:iCs/>
        </w:rPr>
        <w:t xml:space="preserve"> </w:t>
      </w:r>
      <w:r w:rsidR="00D85010">
        <w:rPr>
          <w:iCs/>
        </w:rPr>
        <w:t xml:space="preserve">However, we note that the total cost of this rule </w:t>
      </w:r>
      <w:r w:rsidRPr="00FB2CAB" w:rsidR="00D85010">
        <w:rPr>
          <w:iCs/>
        </w:rPr>
        <w:t>($</w:t>
      </w:r>
      <w:r w:rsidRPr="00FB2CAB" w:rsidR="4B116506">
        <w:t>1</w:t>
      </w:r>
      <w:r w:rsidR="003B43E7">
        <w:t>7.5</w:t>
      </w:r>
      <w:r w:rsidRPr="00FB2CAB" w:rsidR="00D85010">
        <w:rPr>
          <w:iCs/>
        </w:rPr>
        <w:t xml:space="preserve"> million, as shown in Table </w:t>
      </w:r>
      <w:r w:rsidRPr="00FB2CAB" w:rsidR="71DE772C">
        <w:t>1</w:t>
      </w:r>
      <w:r w:rsidRPr="00FB2CAB" w:rsidR="00D85010">
        <w:rPr>
          <w:iCs/>
        </w:rPr>
        <w:t xml:space="preserve">) when fully implemented represent approximately </w:t>
      </w:r>
      <w:r w:rsidRPr="00FB2CAB" w:rsidR="0BD4C800">
        <w:t>0.02</w:t>
      </w:r>
      <w:r w:rsidRPr="00FB2CAB" w:rsidR="00D85010">
        <w:rPr>
          <w:iCs/>
        </w:rPr>
        <w:t>%</w:t>
      </w:r>
      <w:r w:rsidR="00D85010">
        <w:rPr>
          <w:iCs/>
        </w:rPr>
        <w:t xml:space="preserve"> of the total value of </w:t>
      </w:r>
      <w:r w:rsidR="00D85010">
        <w:rPr>
          <w:iCs/>
        </w:rPr>
        <w:t>produce sold in the US ($ 75.1 billion</w:t>
      </w:r>
      <w:r w:rsidRPr="00A6661B" w:rsidR="00D85010">
        <w:rPr>
          <w:iCs/>
        </w:rPr>
        <w:t>) (</w:t>
      </w:r>
      <w:r w:rsidRPr="00A6661B" w:rsidR="00D85010">
        <w:t xml:space="preserve">Ref. </w:t>
      </w:r>
      <w:r w:rsidRPr="00A6661B" w:rsidR="0085602D">
        <w:rPr>
          <w:iCs/>
        </w:rPr>
        <w:t>4</w:t>
      </w:r>
      <w:r w:rsidRPr="00A6661B" w:rsidR="00D85010">
        <w:t>).</w:t>
      </w:r>
      <w:r w:rsidRPr="00A6661B" w:rsidR="00D34133">
        <w:rPr>
          <w:iCs/>
        </w:rPr>
        <w:t xml:space="preserve"> </w:t>
      </w:r>
      <w:r w:rsidRPr="00A6661B" w:rsidR="00E7165B">
        <w:rPr>
          <w:iCs/>
        </w:rPr>
        <w:t>As</w:t>
      </w:r>
      <w:r w:rsidR="00E7165B">
        <w:rPr>
          <w:iCs/>
        </w:rPr>
        <w:t xml:space="preserve"> the costs of this rule represent a small portion of the total value of the US produce market</w:t>
      </w:r>
      <w:r w:rsidR="00776977">
        <w:rPr>
          <w:iCs/>
        </w:rPr>
        <w:t xml:space="preserve">, </w:t>
      </w:r>
      <w:r w:rsidR="00F5369A">
        <w:rPr>
          <w:iCs/>
        </w:rPr>
        <w:t>we do not expect that there will be a significant price effect to consumers as a result of this rule.</w:t>
      </w:r>
      <w:r w:rsidR="00827757">
        <w:rPr>
          <w:iCs/>
        </w:rPr>
        <w:t xml:space="preserve">  </w:t>
      </w:r>
    </w:p>
    <w:p w:rsidR="005E3003" w:rsidRPr="00FA5D28" w:rsidP="00026F9A" w14:paraId="6BD32A5C" w14:textId="20921BFB">
      <w:pPr>
        <w:rPr>
          <w:i/>
        </w:rPr>
      </w:pPr>
      <w:r>
        <w:rPr>
          <w:i/>
        </w:rPr>
        <w:t xml:space="preserve">Comment </w:t>
      </w:r>
      <w:r w:rsidR="005305D9">
        <w:rPr>
          <w:i/>
        </w:rPr>
        <w:t>11</w:t>
      </w:r>
      <w:r>
        <w:rPr>
          <w:i/>
        </w:rPr>
        <w:t xml:space="preserve">: </w:t>
      </w:r>
      <w:r w:rsidR="00F252B3">
        <w:rPr>
          <w:i/>
        </w:rPr>
        <w:t>Abandoning crops</w:t>
      </w:r>
      <w:r w:rsidR="00A52102">
        <w:rPr>
          <w:i/>
        </w:rPr>
        <w:t xml:space="preserve"> and food scarcity</w:t>
      </w:r>
    </w:p>
    <w:p w:rsidR="005E3003" w:rsidP="00026F9A" w14:paraId="1F0D06C2" w14:textId="56E12829">
      <w:pPr>
        <w:spacing w:line="480" w:lineRule="auto"/>
        <w:ind w:firstLine="720"/>
        <w:rPr>
          <w:iCs/>
        </w:rPr>
      </w:pPr>
      <w:r>
        <w:rPr>
          <w:iCs/>
        </w:rPr>
        <w:t xml:space="preserve">A few comments suggest that </w:t>
      </w:r>
      <w:r w:rsidR="0027224C">
        <w:rPr>
          <w:iCs/>
        </w:rPr>
        <w:t xml:space="preserve">under the proposed requirements, </w:t>
      </w:r>
      <w:r w:rsidR="00335E18">
        <w:rPr>
          <w:iCs/>
        </w:rPr>
        <w:t xml:space="preserve">farms will be required to either change their water application method </w:t>
      </w:r>
      <w:r w:rsidR="00E0483F">
        <w:rPr>
          <w:iCs/>
        </w:rPr>
        <w:t>(such as from overhead to drip irrigation)</w:t>
      </w:r>
      <w:r w:rsidR="0081143D">
        <w:rPr>
          <w:iCs/>
        </w:rPr>
        <w:t xml:space="preserve"> or</w:t>
      </w:r>
      <w:r w:rsidR="00E0483F">
        <w:rPr>
          <w:iCs/>
        </w:rPr>
        <w:t xml:space="preserve"> </w:t>
      </w:r>
      <w:r w:rsidR="00F87BB7">
        <w:rPr>
          <w:iCs/>
        </w:rPr>
        <w:t>treat their water</w:t>
      </w:r>
      <w:r w:rsidR="00B009D3">
        <w:rPr>
          <w:iCs/>
        </w:rPr>
        <w:t xml:space="preserve">. These comments note limitations with these </w:t>
      </w:r>
      <w:r w:rsidR="00B21F49">
        <w:rPr>
          <w:iCs/>
        </w:rPr>
        <w:t>acti</w:t>
      </w:r>
      <w:r w:rsidR="001F0446">
        <w:rPr>
          <w:iCs/>
        </w:rPr>
        <w:t>vities</w:t>
      </w:r>
      <w:r w:rsidR="00B21F49">
        <w:rPr>
          <w:iCs/>
        </w:rPr>
        <w:t>, including that some crops need to be irrigated with overhead irrigation</w:t>
      </w:r>
      <w:r w:rsidR="00930BF5">
        <w:rPr>
          <w:iCs/>
        </w:rPr>
        <w:t>, and that some farms (</w:t>
      </w:r>
      <w:r w:rsidR="00FD4464">
        <w:rPr>
          <w:iCs/>
        </w:rPr>
        <w:t xml:space="preserve">such as </w:t>
      </w:r>
      <w:r w:rsidR="009E4FAB">
        <w:rPr>
          <w:iCs/>
        </w:rPr>
        <w:t>organic farms)</w:t>
      </w:r>
      <w:r w:rsidR="008D209F">
        <w:rPr>
          <w:iCs/>
        </w:rPr>
        <w:t xml:space="preserve"> may not have any </w:t>
      </w:r>
      <w:r w:rsidR="00904922">
        <w:rPr>
          <w:iCs/>
        </w:rPr>
        <w:t xml:space="preserve">treatments options </w:t>
      </w:r>
      <w:r w:rsidR="00852B4E">
        <w:rPr>
          <w:iCs/>
        </w:rPr>
        <w:t>available to use</w:t>
      </w:r>
      <w:r w:rsidR="00904922">
        <w:rPr>
          <w:iCs/>
        </w:rPr>
        <w:t xml:space="preserve">. These comments suggest that </w:t>
      </w:r>
      <w:r w:rsidR="00C06522">
        <w:rPr>
          <w:iCs/>
        </w:rPr>
        <w:t>these limitation</w:t>
      </w:r>
      <w:r w:rsidR="009B4606">
        <w:rPr>
          <w:iCs/>
        </w:rPr>
        <w:t>s</w:t>
      </w:r>
      <w:r w:rsidR="00C06522">
        <w:rPr>
          <w:iCs/>
        </w:rPr>
        <w:t xml:space="preserve"> would result in </w:t>
      </w:r>
      <w:r w:rsidR="006959A5">
        <w:rPr>
          <w:iCs/>
        </w:rPr>
        <w:t>some</w:t>
      </w:r>
      <w:r w:rsidR="00C06522">
        <w:rPr>
          <w:iCs/>
        </w:rPr>
        <w:t xml:space="preserve"> farm</w:t>
      </w:r>
      <w:r w:rsidR="006959A5">
        <w:rPr>
          <w:iCs/>
        </w:rPr>
        <w:t>s</w:t>
      </w:r>
      <w:r w:rsidR="00C06522">
        <w:rPr>
          <w:iCs/>
        </w:rPr>
        <w:t xml:space="preserve"> needing</w:t>
      </w:r>
      <w:r w:rsidR="00843DD3">
        <w:rPr>
          <w:iCs/>
        </w:rPr>
        <w:t xml:space="preserve"> to abandon growing certain crops</w:t>
      </w:r>
      <w:r w:rsidR="00C06522">
        <w:rPr>
          <w:iCs/>
        </w:rPr>
        <w:t>, which, the comments note, was not considered in the PRIA</w:t>
      </w:r>
      <w:r>
        <w:rPr>
          <w:iCs/>
        </w:rPr>
        <w:t xml:space="preserve">. </w:t>
      </w:r>
      <w:r w:rsidR="001F7967">
        <w:rPr>
          <w:iCs/>
        </w:rPr>
        <w:t>Another comment suggests that food scarcity may result from farms complying with the rule and recommends that the economic analysis account for that occurring.</w:t>
      </w:r>
    </w:p>
    <w:p w:rsidR="00F111A2" w:rsidP="00026F9A" w14:paraId="1AF3D926" w14:textId="0DA1A709">
      <w:pPr>
        <w:spacing w:line="480" w:lineRule="auto"/>
        <w:ind w:firstLine="720"/>
        <w:rPr>
          <w:iCs/>
        </w:rPr>
      </w:pPr>
      <w:r w:rsidRPr="00432F5C">
        <w:rPr>
          <w:iCs/>
        </w:rPr>
        <w:t xml:space="preserve">Response: </w:t>
      </w:r>
      <w:r w:rsidR="00F432D7">
        <w:rPr>
          <w:iCs/>
        </w:rPr>
        <w:t>W</w:t>
      </w:r>
      <w:r w:rsidR="00F91D44">
        <w:rPr>
          <w:iCs/>
        </w:rPr>
        <w:t>e</w:t>
      </w:r>
      <w:r w:rsidR="00F432D7">
        <w:rPr>
          <w:iCs/>
        </w:rPr>
        <w:t xml:space="preserve"> are not</w:t>
      </w:r>
      <w:r w:rsidR="00F91D44">
        <w:rPr>
          <w:iCs/>
        </w:rPr>
        <w:t xml:space="preserve"> requiring that </w:t>
      </w:r>
      <w:r w:rsidR="00D04C1F">
        <w:rPr>
          <w:iCs/>
        </w:rPr>
        <w:t>covered farms</w:t>
      </w:r>
      <w:r w:rsidR="00B22632">
        <w:rPr>
          <w:iCs/>
        </w:rPr>
        <w:t xml:space="preserve"> change their water application methods or treat their pre-harvest agricultural water as mitigation measures under § 112.45(b)</w:t>
      </w:r>
      <w:r w:rsidR="000B7233">
        <w:rPr>
          <w:iCs/>
        </w:rPr>
        <w:t xml:space="preserve">. </w:t>
      </w:r>
      <w:r w:rsidR="00B22632">
        <w:t>Rather</w:t>
      </w:r>
      <w:r w:rsidR="005F5F05">
        <w:t xml:space="preserve">, we have incorporated flexibility to provide covered farms </w:t>
      </w:r>
      <w:r w:rsidR="0048365E">
        <w:rPr>
          <w:iCs/>
        </w:rPr>
        <w:t xml:space="preserve">a range </w:t>
      </w:r>
      <w:r w:rsidR="0074410F">
        <w:rPr>
          <w:iCs/>
        </w:rPr>
        <w:t xml:space="preserve">of </w:t>
      </w:r>
      <w:r w:rsidR="00E63A82">
        <w:rPr>
          <w:iCs/>
        </w:rPr>
        <w:t>options</w:t>
      </w:r>
      <w:r w:rsidR="0048365E">
        <w:rPr>
          <w:iCs/>
        </w:rPr>
        <w:t xml:space="preserve"> in § 112.45(b)</w:t>
      </w:r>
      <w:r>
        <w:rPr>
          <w:iCs/>
        </w:rPr>
        <w:t>, which include:</w:t>
      </w:r>
    </w:p>
    <w:p w:rsidR="00F111A2" w:rsidP="00026F9A" w14:paraId="323A3514" w14:textId="7C518B90">
      <w:pPr>
        <w:pStyle w:val="ListParagraph"/>
        <w:numPr>
          <w:ilvl w:val="0"/>
          <w:numId w:val="22"/>
        </w:numPr>
        <w:spacing w:line="480" w:lineRule="auto"/>
        <w:rPr>
          <w:iCs/>
        </w:rPr>
      </w:pPr>
      <w:r w:rsidRPr="00F111A2">
        <w:rPr>
          <w:iCs/>
        </w:rPr>
        <w:t>making</w:t>
      </w:r>
      <w:r w:rsidRPr="00F111A2" w:rsidR="001940C9">
        <w:rPr>
          <w:iCs/>
        </w:rPr>
        <w:t xml:space="preserve"> necessary changes (for example, repa</w:t>
      </w:r>
      <w:r w:rsidRPr="00F111A2" w:rsidR="00C003E4">
        <w:rPr>
          <w:iCs/>
        </w:rPr>
        <w:t>i</w:t>
      </w:r>
      <w:r w:rsidRPr="00F111A2" w:rsidR="001940C9">
        <w:rPr>
          <w:iCs/>
        </w:rPr>
        <w:t xml:space="preserve">rs); </w:t>
      </w:r>
    </w:p>
    <w:p w:rsidR="00F111A2" w:rsidP="00026F9A" w14:paraId="5F29DBCB" w14:textId="77777777">
      <w:pPr>
        <w:pStyle w:val="ListParagraph"/>
        <w:numPr>
          <w:ilvl w:val="0"/>
          <w:numId w:val="22"/>
        </w:numPr>
        <w:spacing w:line="480" w:lineRule="auto"/>
        <w:rPr>
          <w:iCs/>
        </w:rPr>
      </w:pPr>
      <w:r w:rsidRPr="00F111A2">
        <w:rPr>
          <w:iCs/>
        </w:rPr>
        <w:t>in</w:t>
      </w:r>
      <w:r w:rsidRPr="00F111A2" w:rsidR="009C7B51">
        <w:rPr>
          <w:iCs/>
        </w:rPr>
        <w:t>creasing the time interval between last direct water application and harvest</w:t>
      </w:r>
      <w:r w:rsidRPr="00F111A2" w:rsidR="000B49E9">
        <w:rPr>
          <w:iCs/>
        </w:rPr>
        <w:t xml:space="preserve"> to allow for microbial die-off</w:t>
      </w:r>
      <w:r w:rsidRPr="00F111A2" w:rsidR="009C7B51">
        <w:rPr>
          <w:iCs/>
        </w:rPr>
        <w:t xml:space="preserve">; </w:t>
      </w:r>
    </w:p>
    <w:p w:rsidR="00F111A2" w:rsidP="00026F9A" w14:paraId="641F4F05" w14:textId="77777777">
      <w:pPr>
        <w:pStyle w:val="ListParagraph"/>
        <w:numPr>
          <w:ilvl w:val="0"/>
          <w:numId w:val="22"/>
        </w:numPr>
        <w:spacing w:line="480" w:lineRule="auto"/>
        <w:rPr>
          <w:iCs/>
        </w:rPr>
      </w:pPr>
      <w:r w:rsidRPr="00F111A2">
        <w:rPr>
          <w:iCs/>
        </w:rPr>
        <w:t>increasing the time interval between harvest and end or storage and/o</w:t>
      </w:r>
      <w:r w:rsidRPr="00F111A2" w:rsidR="00275F56">
        <w:rPr>
          <w:iCs/>
        </w:rPr>
        <w:t xml:space="preserve">r </w:t>
      </w:r>
      <w:r w:rsidRPr="00F111A2" w:rsidR="00C003E4">
        <w:rPr>
          <w:iCs/>
        </w:rPr>
        <w:t>conducting other activities during or after harvest</w:t>
      </w:r>
      <w:r w:rsidRPr="00F111A2" w:rsidR="00F576B7">
        <w:rPr>
          <w:iCs/>
        </w:rPr>
        <w:t xml:space="preserve"> to allow for microbial die-off or removal</w:t>
      </w:r>
      <w:r w:rsidRPr="00F111A2" w:rsidR="00C003E4">
        <w:rPr>
          <w:iCs/>
        </w:rPr>
        <w:t xml:space="preserve">; </w:t>
      </w:r>
    </w:p>
    <w:p w:rsidR="00F111A2" w:rsidP="00026F9A" w14:paraId="4BE1B7BF" w14:textId="77777777">
      <w:pPr>
        <w:pStyle w:val="ListParagraph"/>
        <w:numPr>
          <w:ilvl w:val="0"/>
          <w:numId w:val="22"/>
        </w:numPr>
        <w:spacing w:line="480" w:lineRule="auto"/>
        <w:rPr>
          <w:iCs/>
        </w:rPr>
      </w:pPr>
      <w:r w:rsidRPr="00F111A2">
        <w:rPr>
          <w:iCs/>
        </w:rPr>
        <w:t>changing the method of water application</w:t>
      </w:r>
      <w:r w:rsidRPr="00F111A2" w:rsidR="007149B4">
        <w:rPr>
          <w:iCs/>
        </w:rPr>
        <w:t xml:space="preserve"> to reduce the potential for contamination of covered produce</w:t>
      </w:r>
      <w:r w:rsidRPr="00F111A2">
        <w:rPr>
          <w:iCs/>
        </w:rPr>
        <w:t xml:space="preserve">; </w:t>
      </w:r>
    </w:p>
    <w:p w:rsidR="00F111A2" w:rsidP="00026F9A" w14:paraId="09ACDEE8" w14:textId="5F641B4E">
      <w:pPr>
        <w:pStyle w:val="ListParagraph"/>
        <w:numPr>
          <w:ilvl w:val="0"/>
          <w:numId w:val="22"/>
        </w:numPr>
        <w:spacing w:line="480" w:lineRule="auto"/>
        <w:rPr>
          <w:iCs/>
        </w:rPr>
      </w:pPr>
      <w:r w:rsidRPr="00F111A2">
        <w:rPr>
          <w:iCs/>
        </w:rPr>
        <w:t>treating the water</w:t>
      </w:r>
      <w:r w:rsidRPr="00F111A2" w:rsidR="007149B4">
        <w:rPr>
          <w:iCs/>
        </w:rPr>
        <w:t xml:space="preserve"> in accordance with § 112.46</w:t>
      </w:r>
      <w:r w:rsidRPr="00F111A2">
        <w:rPr>
          <w:iCs/>
        </w:rPr>
        <w:t xml:space="preserve">; </w:t>
      </w:r>
      <w:r>
        <w:rPr>
          <w:iCs/>
        </w:rPr>
        <w:t>and</w:t>
      </w:r>
      <w:r w:rsidRPr="00F111A2">
        <w:rPr>
          <w:iCs/>
        </w:rPr>
        <w:t xml:space="preserve"> </w:t>
      </w:r>
    </w:p>
    <w:p w:rsidR="00086BA8" w:rsidRPr="00F111A2" w:rsidP="00026F9A" w14:paraId="065AF007" w14:textId="5D57F065">
      <w:pPr>
        <w:pStyle w:val="ListParagraph"/>
        <w:numPr>
          <w:ilvl w:val="0"/>
          <w:numId w:val="22"/>
        </w:numPr>
        <w:spacing w:line="480" w:lineRule="auto"/>
        <w:rPr>
          <w:iCs/>
        </w:rPr>
      </w:pPr>
      <w:r w:rsidRPr="00F111A2">
        <w:rPr>
          <w:iCs/>
        </w:rPr>
        <w:t>taking an alternative mitigation measure</w:t>
      </w:r>
      <w:r w:rsidRPr="00F111A2" w:rsidR="007149B4">
        <w:rPr>
          <w:iCs/>
        </w:rPr>
        <w:t xml:space="preserve"> provided the requirements in § 112.12 are met</w:t>
      </w:r>
      <w:r w:rsidR="00F111A2">
        <w:rPr>
          <w:iCs/>
        </w:rPr>
        <w:t>.</w:t>
      </w:r>
      <w:r w:rsidRPr="00F111A2" w:rsidR="004E4527">
        <w:rPr>
          <w:iCs/>
        </w:rPr>
        <w:t xml:space="preserve"> </w:t>
      </w:r>
    </w:p>
    <w:p w:rsidR="00357112" w:rsidP="00026F9A" w14:paraId="28BDB891" w14:textId="517421A5">
      <w:pPr>
        <w:spacing w:line="480" w:lineRule="auto"/>
        <w:ind w:firstLine="720"/>
        <w:rPr>
          <w:iCs/>
        </w:rPr>
      </w:pPr>
      <w:r>
        <w:rPr>
          <w:iCs/>
        </w:rPr>
        <w:t xml:space="preserve">Given this flexibility, we do not expect </w:t>
      </w:r>
      <w:r w:rsidR="00927893">
        <w:rPr>
          <w:iCs/>
        </w:rPr>
        <w:t xml:space="preserve">that </w:t>
      </w:r>
      <w:r w:rsidR="00154136">
        <w:rPr>
          <w:iCs/>
        </w:rPr>
        <w:t xml:space="preserve">if mitigation measures are reasonably necessary to reduce the potential for </w:t>
      </w:r>
      <w:r w:rsidR="006E14CD">
        <w:rPr>
          <w:iCs/>
        </w:rPr>
        <w:t xml:space="preserve">contamination of </w:t>
      </w:r>
      <w:r w:rsidR="00CF5881">
        <w:rPr>
          <w:iCs/>
        </w:rPr>
        <w:t xml:space="preserve">non-sprout </w:t>
      </w:r>
      <w:r w:rsidR="00154136">
        <w:rPr>
          <w:iCs/>
        </w:rPr>
        <w:t xml:space="preserve">covered produce </w:t>
      </w:r>
      <w:r w:rsidR="006E14CD">
        <w:rPr>
          <w:iCs/>
        </w:rPr>
        <w:t xml:space="preserve">or food contact surfaces with known or reasonably foreseeable hazards associated with pre-harvest agricultural water, </w:t>
      </w:r>
      <w:r w:rsidR="00927893">
        <w:rPr>
          <w:iCs/>
        </w:rPr>
        <w:t xml:space="preserve">covered farms will </w:t>
      </w:r>
      <w:r w:rsidR="00396E80">
        <w:rPr>
          <w:iCs/>
        </w:rPr>
        <w:t xml:space="preserve">abandon growing </w:t>
      </w:r>
      <w:r w:rsidR="004D1F6F">
        <w:rPr>
          <w:iCs/>
        </w:rPr>
        <w:t xml:space="preserve">certain crops </w:t>
      </w:r>
      <w:r w:rsidR="00CF5881">
        <w:rPr>
          <w:iCs/>
        </w:rPr>
        <w:t>instead of implementing mitigation measures in accordance with § 112.45(b)</w:t>
      </w:r>
      <w:r w:rsidR="00F15149">
        <w:rPr>
          <w:iCs/>
        </w:rPr>
        <w:t>. For this reason, we also do not</w:t>
      </w:r>
      <w:r w:rsidR="00086BA8">
        <w:rPr>
          <w:iCs/>
        </w:rPr>
        <w:t xml:space="preserve"> believe that food scarcity will r</w:t>
      </w:r>
      <w:r w:rsidR="008F2B65">
        <w:rPr>
          <w:iCs/>
        </w:rPr>
        <w:t xml:space="preserve">esult from </w:t>
      </w:r>
      <w:r w:rsidR="007377E0">
        <w:rPr>
          <w:iCs/>
        </w:rPr>
        <w:t>compliance with this</w:t>
      </w:r>
      <w:r w:rsidR="00F15149">
        <w:rPr>
          <w:iCs/>
        </w:rPr>
        <w:t xml:space="preserve"> rule</w:t>
      </w:r>
      <w:r w:rsidR="00CF5881">
        <w:rPr>
          <w:iCs/>
        </w:rPr>
        <w:t>.</w:t>
      </w:r>
      <w:r w:rsidR="00566BA4">
        <w:rPr>
          <w:iCs/>
        </w:rPr>
        <w:t xml:space="preserve"> As such, we decline the suggestion</w:t>
      </w:r>
      <w:r w:rsidR="00F15149">
        <w:rPr>
          <w:iCs/>
        </w:rPr>
        <w:t>s</w:t>
      </w:r>
      <w:r w:rsidR="00566BA4">
        <w:rPr>
          <w:iCs/>
        </w:rPr>
        <w:t xml:space="preserve"> to address </w:t>
      </w:r>
      <w:r w:rsidR="00F15149">
        <w:rPr>
          <w:iCs/>
        </w:rPr>
        <w:t xml:space="preserve">food scarcity and </w:t>
      </w:r>
      <w:r w:rsidR="00566BA4">
        <w:rPr>
          <w:iCs/>
        </w:rPr>
        <w:t>farms that may abandon crops in the FRIA.</w:t>
      </w:r>
    </w:p>
    <w:p w:rsidR="00FC49C5" w:rsidRPr="00DF37AC" w:rsidP="00026F9A" w14:paraId="5D3EB145" w14:textId="48DA799E">
      <w:pPr>
        <w:pStyle w:val="Heading2"/>
      </w:pPr>
      <w:bookmarkStart w:id="11" w:name="_Toc98519244"/>
      <w:bookmarkStart w:id="12" w:name="_Toc139642985"/>
      <w:r w:rsidRPr="00DF37AC">
        <w:t>Summary of Changes</w:t>
      </w:r>
      <w:bookmarkEnd w:id="11"/>
      <w:bookmarkEnd w:id="12"/>
    </w:p>
    <w:p w:rsidR="0099735E" w:rsidP="00026F9A" w14:paraId="5083BA2C" w14:textId="29194CA5">
      <w:pPr>
        <w:spacing w:line="480" w:lineRule="auto"/>
        <w:ind w:firstLine="720"/>
      </w:pPr>
      <w:r>
        <w:t xml:space="preserve">We have updated </w:t>
      </w:r>
      <w:r w:rsidR="004F7726">
        <w:t>our estimates of the costs and benefits of the rule from t</w:t>
      </w:r>
      <w:r w:rsidR="00AF5279">
        <w:t>he</w:t>
      </w:r>
      <w:r w:rsidRPr="00AF5279" w:rsidR="00AF5279">
        <w:rPr>
          <w:rFonts w:eastAsia="Times New Roman"/>
        </w:rPr>
        <w:t xml:space="preserve"> </w:t>
      </w:r>
      <w:r w:rsidR="00AF5279">
        <w:rPr>
          <w:rFonts w:eastAsia="Times New Roman"/>
        </w:rPr>
        <w:t>“Standards for the Growing, Harvesting, Packing, and Holding of Produce for Human Consumption Relating to Agricultural Water Preliminary Regulatory Impact Analysis</w:t>
      </w:r>
      <w:r w:rsidRPr="00830A8B" w:rsidR="00AF5279">
        <w:rPr>
          <w:rFonts w:eastAsia="Times New Roman"/>
        </w:rPr>
        <w:t xml:space="preserve">” </w:t>
      </w:r>
      <w:r w:rsidRPr="00830A8B" w:rsidR="00AF5279">
        <w:t xml:space="preserve">(Ref. </w:t>
      </w:r>
      <w:r w:rsidRPr="00830A8B" w:rsidR="00524FE2">
        <w:t>1</w:t>
      </w:r>
      <w:r w:rsidRPr="00830A8B" w:rsidR="00AF5279">
        <w:t>) in</w:t>
      </w:r>
      <w:r w:rsidR="00AF5279">
        <w:t xml:space="preserve"> the following ways:</w:t>
      </w:r>
    </w:p>
    <w:p w:rsidR="00AF5279" w:rsidRPr="00CD5B1A" w:rsidP="00026F9A" w14:paraId="0810A87C" w14:textId="201EA06A">
      <w:pPr>
        <w:pStyle w:val="ListParagraph"/>
        <w:numPr>
          <w:ilvl w:val="0"/>
          <w:numId w:val="17"/>
        </w:numPr>
        <w:spacing w:line="480" w:lineRule="auto"/>
      </w:pPr>
      <w:r w:rsidRPr="00CD5B1A">
        <w:t>Updated calculations of benefits and costs from 2019 dollars to 202</w:t>
      </w:r>
      <w:r w:rsidRPr="00CD5B1A" w:rsidR="005B1A08">
        <w:t>2</w:t>
      </w:r>
      <w:r w:rsidRPr="00CD5B1A">
        <w:t xml:space="preserve"> dollars</w:t>
      </w:r>
    </w:p>
    <w:p w:rsidR="00B1628B" w:rsidRPr="00CD5B1A" w:rsidP="00026F9A" w14:paraId="5F879C46" w14:textId="51FCC5A5">
      <w:pPr>
        <w:pStyle w:val="ListParagraph"/>
        <w:numPr>
          <w:ilvl w:val="0"/>
          <w:numId w:val="17"/>
        </w:numPr>
        <w:spacing w:line="480" w:lineRule="auto"/>
      </w:pPr>
      <w:r w:rsidRPr="00CD5B1A">
        <w:t xml:space="preserve">Updated wage rates for labor categories </w:t>
      </w:r>
      <w:r w:rsidRPr="00CD5B1A" w:rsidR="00F55914">
        <w:t>used in the analysis</w:t>
      </w:r>
      <w:r w:rsidRPr="00CD5B1A" w:rsidR="00CC6FAE">
        <w:t xml:space="preserve"> from 2019 wage rates to 202</w:t>
      </w:r>
      <w:r w:rsidRPr="00CD5B1A" w:rsidR="005B1A08">
        <w:t>2</w:t>
      </w:r>
      <w:r w:rsidRPr="00CD5B1A" w:rsidR="00CC6FAE">
        <w:t xml:space="preserve"> wage rates</w:t>
      </w:r>
    </w:p>
    <w:p w:rsidR="00F55914" w:rsidRPr="00CD5B1A" w:rsidP="00026F9A" w14:paraId="65C4E0EA" w14:textId="25668007">
      <w:pPr>
        <w:pStyle w:val="ListParagraph"/>
        <w:numPr>
          <w:ilvl w:val="0"/>
          <w:numId w:val="17"/>
        </w:numPr>
        <w:spacing w:line="480" w:lineRule="auto"/>
      </w:pPr>
      <w:r w:rsidRPr="00CD5B1A">
        <w:t xml:space="preserve">Updated covered farm counts from </w:t>
      </w:r>
      <w:r w:rsidRPr="00CD5B1A" w:rsidR="00BB2B25">
        <w:t>2015 Produce Safety Rule Final Regulatory Impact Analysis</w:t>
      </w:r>
      <w:r w:rsidRPr="00CD5B1A" w:rsidR="00DD5BEA">
        <w:t xml:space="preserve"> data</w:t>
      </w:r>
      <w:r w:rsidRPr="00CD5B1A" w:rsidR="00BB2B25">
        <w:t xml:space="preserve"> </w:t>
      </w:r>
      <w:r w:rsidRPr="00CD5B1A" w:rsidR="00161858">
        <w:t>(based on 2012 NASS Census of Agriculture data) to 2017 NASS Census of Agriculture data</w:t>
      </w:r>
      <w:r w:rsidRPr="00CD5B1A" w:rsidR="00924E6F">
        <w:t xml:space="preserve"> (most recent available)</w:t>
      </w:r>
    </w:p>
    <w:p w:rsidR="00924E6F" w:rsidRPr="00CD5B1A" w:rsidP="00026F9A" w14:paraId="6B3E37AB" w14:textId="57124448">
      <w:pPr>
        <w:pStyle w:val="ListParagraph"/>
        <w:numPr>
          <w:ilvl w:val="0"/>
          <w:numId w:val="17"/>
        </w:numPr>
        <w:spacing w:line="480" w:lineRule="auto"/>
      </w:pPr>
      <w:r w:rsidRPr="00CD5B1A">
        <w:t>Replaced point estimate</w:t>
      </w:r>
      <w:r w:rsidRPr="00CD5B1A" w:rsidR="000869D1">
        <w:t>s</w:t>
      </w:r>
      <w:r w:rsidRPr="00CD5B1A">
        <w:t xml:space="preserve"> </w:t>
      </w:r>
      <w:r w:rsidRPr="00CD5B1A" w:rsidR="000869D1">
        <w:t>for</w:t>
      </w:r>
      <w:r w:rsidRPr="00CD5B1A">
        <w:t xml:space="preserve"> treatment cost</w:t>
      </w:r>
      <w:r w:rsidRPr="00CD5B1A" w:rsidR="000869D1">
        <w:t>s based on farm size</w:t>
      </w:r>
      <w:r w:rsidRPr="00CD5B1A">
        <w:t xml:space="preserve"> with a range</w:t>
      </w:r>
      <w:r w:rsidRPr="00CD5B1A" w:rsidR="0090563D">
        <w:t xml:space="preserve"> of estimated costs</w:t>
      </w:r>
      <w:r w:rsidRPr="00CD5B1A">
        <w:t xml:space="preserve"> </w:t>
      </w:r>
      <w:r w:rsidRPr="00CD5B1A" w:rsidR="008D509C">
        <w:t>in response to comment</w:t>
      </w:r>
      <w:r w:rsidRPr="00CD5B1A" w:rsidR="0090563D">
        <w:t>s</w:t>
      </w:r>
    </w:p>
    <w:p w:rsidR="008D509C" w:rsidRPr="00CD5B1A" w:rsidP="00026F9A" w14:paraId="1C1C3EE9" w14:textId="5993AF60">
      <w:pPr>
        <w:pStyle w:val="ListParagraph"/>
        <w:numPr>
          <w:ilvl w:val="0"/>
          <w:numId w:val="17"/>
        </w:numPr>
        <w:spacing w:line="480" w:lineRule="auto"/>
      </w:pPr>
      <w:r w:rsidRPr="00CD5B1A">
        <w:t xml:space="preserve">Updated </w:t>
      </w:r>
      <w:r w:rsidRPr="00CD5B1A" w:rsidR="0028645D">
        <w:t xml:space="preserve">illness </w:t>
      </w:r>
      <w:r w:rsidRPr="00CD5B1A">
        <w:t>outbreak data used to calculate foodborne illness dollar burden baseline from 2009-2018 data to 2009-2020 data</w:t>
      </w:r>
    </w:p>
    <w:p w:rsidR="0028645D" w:rsidRPr="00CD5B1A" w:rsidP="00026F9A" w14:paraId="11BBD20A" w14:textId="7B3FA315">
      <w:pPr>
        <w:pStyle w:val="ListParagraph"/>
        <w:numPr>
          <w:ilvl w:val="0"/>
          <w:numId w:val="17"/>
        </w:numPr>
        <w:spacing w:line="480" w:lineRule="auto"/>
      </w:pPr>
      <w:r w:rsidRPr="00CD5B1A">
        <w:t xml:space="preserve">Incorporated </w:t>
      </w:r>
      <w:r w:rsidRPr="00CD5B1A" w:rsidR="00166845">
        <w:t>estimates from</w:t>
      </w:r>
      <w:r w:rsidRPr="00CD5B1A" w:rsidR="00C13BED">
        <w:t xml:space="preserve"> the </w:t>
      </w:r>
      <w:r w:rsidRPr="00CD5B1A" w:rsidR="00A047B0">
        <w:t>Requirement</w:t>
      </w:r>
      <w:r w:rsidRPr="00CD5B1A" w:rsidR="00143904">
        <w:t>s</w:t>
      </w:r>
      <w:r w:rsidRPr="00CD5B1A" w:rsidR="00A047B0">
        <w:t xml:space="preserve"> for Additional Traceability Records for Certain Foods </w:t>
      </w:r>
      <w:r w:rsidRPr="00CD5B1A" w:rsidR="00143904">
        <w:t xml:space="preserve">Final Regulatory Impact Analysis </w:t>
      </w:r>
      <w:r w:rsidRPr="00CD5B1A" w:rsidR="00AA1538">
        <w:t xml:space="preserve">(Ref. </w:t>
      </w:r>
      <w:r w:rsidRPr="00CD5B1A" w:rsidR="002C6430">
        <w:t>5</w:t>
      </w:r>
      <w:r w:rsidRPr="00CD5B1A" w:rsidR="00AA1538">
        <w:t xml:space="preserve">) </w:t>
      </w:r>
      <w:bookmarkStart w:id="13" w:name="_Hlk160712900"/>
      <w:r w:rsidRPr="00CD5B1A" w:rsidR="0026138D">
        <w:t xml:space="preserve">of illnesses prevented by the traceability rule to adjust the baseline foodborne illness dollar burden </w:t>
      </w:r>
      <w:r w:rsidRPr="00CD5B1A" w:rsidR="00022BAD">
        <w:t xml:space="preserve">for non-sprout covered produce that </w:t>
      </w:r>
      <w:r w:rsidRPr="00CD5B1A" w:rsidR="002B333A">
        <w:t xml:space="preserve">also </w:t>
      </w:r>
      <w:r w:rsidRPr="00CD5B1A" w:rsidR="00022BAD">
        <w:t>could be affected by this rule</w:t>
      </w:r>
      <w:r w:rsidRPr="00CD5B1A" w:rsidR="00214326">
        <w:t xml:space="preserve"> </w:t>
      </w:r>
      <w:bookmarkEnd w:id="13"/>
    </w:p>
    <w:p w:rsidR="00BE12D2" w:rsidRPr="00CD5B1A" w:rsidP="00026F9A" w14:paraId="369E8DEC" w14:textId="46E61EF9">
      <w:pPr>
        <w:pStyle w:val="ListParagraph"/>
        <w:numPr>
          <w:ilvl w:val="0"/>
          <w:numId w:val="17"/>
        </w:numPr>
        <w:spacing w:line="480" w:lineRule="auto"/>
      </w:pPr>
      <w:r w:rsidRPr="00CD5B1A">
        <w:t xml:space="preserve">Included a qualitative discussion of potential cost savings </w:t>
      </w:r>
      <w:r w:rsidRPr="00CD5B1A" w:rsidR="00780521">
        <w:t>due to recalls averted</w:t>
      </w:r>
      <w:r w:rsidRPr="00CD5B1A" w:rsidR="00CA1F7B">
        <w:t xml:space="preserve"> as a result of this </w:t>
      </w:r>
      <w:r w:rsidRPr="00CD5B1A" w:rsidR="00CA1F7B">
        <w:t>rule</w:t>
      </w:r>
    </w:p>
    <w:p w:rsidR="000741F6" w:rsidP="00026F9A" w14:paraId="1EFCF427" w14:textId="5FDBA347">
      <w:pPr>
        <w:pStyle w:val="ListParagraph"/>
        <w:numPr>
          <w:ilvl w:val="0"/>
          <w:numId w:val="17"/>
        </w:numPr>
        <w:spacing w:line="480" w:lineRule="auto"/>
      </w:pPr>
      <w:r>
        <w:t>Adjusted the Small Entity Analysis in section III</w:t>
      </w:r>
    </w:p>
    <w:p w:rsidR="16A64431" w:rsidRPr="00CD5B1A" w:rsidP="0085215E" w14:paraId="092CAE11" w14:textId="3C8A416E">
      <w:pPr>
        <w:pStyle w:val="ListParagraph"/>
        <w:numPr>
          <w:ilvl w:val="1"/>
          <w:numId w:val="17"/>
        </w:numPr>
        <w:spacing w:line="480" w:lineRule="auto"/>
      </w:pPr>
      <w:r w:rsidRPr="00CD5B1A">
        <w:t>In the PRIA, we proposed to certify that the rule would not have a significant impact on a substantial number of small entities. However, as some very small farms that conduct mitigation may have costs larger than 3% of revenue</w:t>
      </w:r>
      <w:r w:rsidRPr="00CD5B1A" w:rsidR="166268F1">
        <w:t xml:space="preserve">, we no longer certify that the rule would not have a significant impact on </w:t>
      </w:r>
      <w:r w:rsidRPr="00CD5B1A" w:rsidR="57FDDAA1">
        <w:t>a substantial number of small entities.</w:t>
      </w:r>
    </w:p>
    <w:p w:rsidR="00FC49C5" w:rsidRPr="0073331E" w:rsidP="00026F9A" w14:paraId="3C1DC5EC" w14:textId="77777777"/>
    <w:p w:rsidR="00F47D86" w:rsidP="00026F9A" w14:paraId="1A13EF85" w14:textId="7DBA82B7">
      <w:pPr>
        <w:pStyle w:val="Heading1"/>
      </w:pPr>
      <w:bookmarkStart w:id="14" w:name="_Toc102486127"/>
      <w:bookmarkStart w:id="15" w:name="_Toc139642986"/>
      <w:r>
        <w:t>Final</w:t>
      </w:r>
      <w:r w:rsidRPr="0073331E">
        <w:t xml:space="preserve"> </w:t>
      </w:r>
      <w:r w:rsidRPr="0073331E" w:rsidR="00DB42D6">
        <w:t>Economic Analysis of Impacts</w:t>
      </w:r>
      <w:bookmarkEnd w:id="14"/>
      <w:bookmarkEnd w:id="15"/>
    </w:p>
    <w:p w:rsidR="009D014C" w:rsidRPr="000844F6" w:rsidP="00026F9A" w14:paraId="60AD0BCC" w14:textId="77777777">
      <w:pPr>
        <w:tabs>
          <w:tab w:val="left" w:pos="9360"/>
        </w:tabs>
        <w:spacing w:line="480" w:lineRule="auto"/>
        <w:contextualSpacing/>
        <w:rPr>
          <w:rFonts w:eastAsia="Times New Roman"/>
          <w:b/>
        </w:rPr>
      </w:pPr>
      <w:r w:rsidRPr="000844F6">
        <w:rPr>
          <w:rFonts w:eastAsia="Times New Roman"/>
          <w:b/>
          <w:position w:val="-1"/>
        </w:rPr>
        <w:t>Acronyms, Initialisms, and Definitions in This D</w:t>
      </w:r>
      <w:r w:rsidRPr="000844F6">
        <w:rPr>
          <w:rFonts w:eastAsia="Times New Roman"/>
          <w:b/>
          <w:spacing w:val="2"/>
          <w:position w:val="-1"/>
        </w:rPr>
        <w:t>o</w:t>
      </w:r>
      <w:r w:rsidRPr="000844F6">
        <w:rPr>
          <w:rFonts w:eastAsia="Times New Roman"/>
          <w:b/>
          <w:spacing w:val="-1"/>
          <w:position w:val="-1"/>
        </w:rPr>
        <w:t>c</w:t>
      </w:r>
      <w:r w:rsidRPr="000844F6">
        <w:rPr>
          <w:rFonts w:eastAsia="Times New Roman"/>
          <w:b/>
          <w:position w:val="-1"/>
        </w:rPr>
        <w:t>um</w:t>
      </w:r>
      <w:r w:rsidRPr="000844F6">
        <w:rPr>
          <w:rFonts w:eastAsia="Times New Roman"/>
          <w:b/>
          <w:spacing w:val="-1"/>
          <w:position w:val="-1"/>
        </w:rPr>
        <w:t>e</w:t>
      </w:r>
      <w:r w:rsidRPr="000844F6">
        <w:rPr>
          <w:rFonts w:eastAsia="Times New Roman"/>
          <w:b/>
          <w:position w:val="-1"/>
        </w:rPr>
        <w:t xml:space="preserve">nt </w:t>
      </w:r>
    </w:p>
    <w:tbl>
      <w:tblPr>
        <w:tblW w:w="8673" w:type="dxa"/>
        <w:tblInd w:w="-5" w:type="dxa"/>
        <w:tblLayout w:type="fixed"/>
        <w:tblCellMar>
          <w:left w:w="0" w:type="dxa"/>
          <w:right w:w="0" w:type="dxa"/>
        </w:tblCellMar>
        <w:tblLook w:val="01E0"/>
      </w:tblPr>
      <w:tblGrid>
        <w:gridCol w:w="2430"/>
        <w:gridCol w:w="6243"/>
      </w:tblGrid>
      <w:tr w14:paraId="6CA626D3" w14:textId="77777777">
        <w:tblPrEx>
          <w:tblW w:w="8673" w:type="dxa"/>
          <w:tblInd w:w="-5" w:type="dxa"/>
          <w:tblLayout w:type="fixed"/>
          <w:tblCellMar>
            <w:left w:w="0" w:type="dxa"/>
            <w:right w:w="0" w:type="dxa"/>
          </w:tblCellMar>
          <w:tblLook w:val="01E0"/>
        </w:tblPrEx>
        <w:trPr>
          <w:trHeight w:hRule="exact" w:val="289"/>
        </w:trPr>
        <w:tc>
          <w:tcPr>
            <w:tcW w:w="2430" w:type="dxa"/>
            <w:tcBorders>
              <w:top w:val="single" w:sz="4" w:space="0" w:color="000000"/>
              <w:left w:val="single" w:sz="4" w:space="0" w:color="000000"/>
              <w:bottom w:val="single" w:sz="4" w:space="0" w:color="000000"/>
              <w:right w:val="single" w:sz="4" w:space="0" w:color="000000"/>
            </w:tcBorders>
          </w:tcPr>
          <w:p w:rsidR="009D014C" w:rsidRPr="000844F6" w:rsidP="00026F9A" w14:paraId="69AA71B1" w14:textId="77777777">
            <w:pPr>
              <w:ind w:left="102" w:right="-20"/>
              <w:contextualSpacing/>
              <w:rPr>
                <w:rFonts w:eastAsia="Times New Roman"/>
                <w:b/>
              </w:rPr>
            </w:pPr>
            <w:r w:rsidRPr="000844F6">
              <w:rPr>
                <w:rFonts w:eastAsia="Times New Roman"/>
                <w:b/>
              </w:rPr>
              <w:t>Term</w:t>
            </w:r>
          </w:p>
        </w:tc>
        <w:tc>
          <w:tcPr>
            <w:tcW w:w="6243" w:type="dxa"/>
            <w:tcBorders>
              <w:top w:val="single" w:sz="4" w:space="0" w:color="000000"/>
              <w:left w:val="single" w:sz="4" w:space="0" w:color="000000"/>
              <w:bottom w:val="single" w:sz="4" w:space="0" w:color="000000"/>
              <w:right w:val="single" w:sz="4" w:space="0" w:color="000000"/>
            </w:tcBorders>
          </w:tcPr>
          <w:p w:rsidR="009D014C" w:rsidRPr="000844F6" w:rsidP="00026F9A" w14:paraId="4AD8724F" w14:textId="77777777">
            <w:pPr>
              <w:ind w:left="100" w:right="-20"/>
              <w:contextualSpacing/>
              <w:rPr>
                <w:rFonts w:eastAsia="Times New Roman"/>
                <w:b/>
              </w:rPr>
            </w:pPr>
            <w:r w:rsidRPr="000844F6">
              <w:rPr>
                <w:rFonts w:eastAsia="Times New Roman"/>
                <w:b/>
                <w:spacing w:val="1"/>
              </w:rPr>
              <w:t>W</w:t>
            </w:r>
            <w:r w:rsidRPr="000844F6">
              <w:rPr>
                <w:rFonts w:eastAsia="Times New Roman"/>
                <w:b/>
              </w:rPr>
              <w:t>h</w:t>
            </w:r>
            <w:r w:rsidRPr="000844F6">
              <w:rPr>
                <w:rFonts w:eastAsia="Times New Roman"/>
                <w:b/>
                <w:spacing w:val="-1"/>
              </w:rPr>
              <w:t>a</w:t>
            </w:r>
            <w:r w:rsidRPr="000844F6">
              <w:rPr>
                <w:rFonts w:eastAsia="Times New Roman"/>
                <w:b/>
              </w:rPr>
              <w:t>t</w:t>
            </w:r>
            <w:r w:rsidRPr="000844F6">
              <w:rPr>
                <w:rFonts w:eastAsia="Times New Roman"/>
                <w:b/>
                <w:spacing w:val="3"/>
              </w:rPr>
              <w:t xml:space="preserve"> </w:t>
            </w:r>
            <w:r w:rsidRPr="000844F6">
              <w:rPr>
                <w:rFonts w:eastAsia="Times New Roman"/>
                <w:b/>
                <w:spacing w:val="-6"/>
              </w:rPr>
              <w:t>I</w:t>
            </w:r>
            <w:r w:rsidRPr="000844F6">
              <w:rPr>
                <w:rFonts w:eastAsia="Times New Roman"/>
                <w:b/>
              </w:rPr>
              <w:t>t M</w:t>
            </w:r>
            <w:r w:rsidRPr="000844F6">
              <w:rPr>
                <w:rFonts w:eastAsia="Times New Roman"/>
                <w:b/>
                <w:spacing w:val="-1"/>
              </w:rPr>
              <w:t>ea</w:t>
            </w:r>
            <w:r w:rsidRPr="000844F6">
              <w:rPr>
                <w:rFonts w:eastAsia="Times New Roman"/>
                <w:b/>
              </w:rPr>
              <w:t>ns</w:t>
            </w:r>
          </w:p>
        </w:tc>
      </w:tr>
      <w:tr w14:paraId="2ECEB14B" w14:textId="77777777" w:rsidTr="0062635B">
        <w:tblPrEx>
          <w:tblW w:w="8673" w:type="dxa"/>
          <w:tblInd w:w="-5" w:type="dxa"/>
          <w:tblLayout w:type="fixed"/>
          <w:tblCellMar>
            <w:left w:w="0" w:type="dxa"/>
            <w:right w:w="0" w:type="dxa"/>
          </w:tblCellMar>
          <w:tblLook w:val="01E0"/>
        </w:tblPrEx>
        <w:trPr>
          <w:trHeight w:hRule="exact" w:val="1504"/>
        </w:trPr>
        <w:tc>
          <w:tcPr>
            <w:tcW w:w="2430" w:type="dxa"/>
            <w:tcBorders>
              <w:top w:val="single" w:sz="4" w:space="0" w:color="000000"/>
              <w:left w:val="single" w:sz="4" w:space="0" w:color="000000"/>
              <w:bottom w:val="single" w:sz="4" w:space="0" w:color="000000"/>
              <w:right w:val="single" w:sz="4" w:space="0" w:color="000000"/>
            </w:tcBorders>
          </w:tcPr>
          <w:p w:rsidR="009D014C" w:rsidP="00026F9A" w14:paraId="3D2C5C99" w14:textId="77777777">
            <w:pPr>
              <w:ind w:left="102" w:right="-20"/>
              <w:contextualSpacing/>
              <w:rPr>
                <w:rFonts w:eastAsia="Times New Roman"/>
              </w:rPr>
            </w:pPr>
            <w:r>
              <w:rPr>
                <w:rFonts w:eastAsia="Times New Roman"/>
              </w:rPr>
              <w:t>2015 FRIA</w:t>
            </w:r>
          </w:p>
        </w:tc>
        <w:tc>
          <w:tcPr>
            <w:tcW w:w="6243" w:type="dxa"/>
            <w:tcBorders>
              <w:top w:val="single" w:sz="4" w:space="0" w:color="000000"/>
              <w:left w:val="single" w:sz="4" w:space="0" w:color="000000"/>
              <w:bottom w:val="single" w:sz="4" w:space="0" w:color="000000"/>
              <w:right w:val="single" w:sz="4" w:space="0" w:color="000000"/>
            </w:tcBorders>
          </w:tcPr>
          <w:p w:rsidR="009D014C" w:rsidRPr="00E27E29" w:rsidP="00026F9A" w14:paraId="69E91B71" w14:textId="7227CD8D">
            <w:pPr>
              <w:ind w:left="100" w:right="-20"/>
              <w:contextualSpacing/>
              <w:rPr>
                <w:rFonts w:eastAsia="Times New Roman"/>
              </w:rPr>
            </w:pPr>
            <w:r w:rsidRPr="00E27E29">
              <w:rPr>
                <w:rFonts w:eastAsia="Times New Roman"/>
              </w:rPr>
              <w:t xml:space="preserve">FDA’s analysis of economic impacts of the </w:t>
            </w:r>
            <w:r>
              <w:t xml:space="preserve">2015 </w:t>
            </w:r>
            <w:r w:rsidR="00113CC3">
              <w:t>produce safety final rule</w:t>
            </w:r>
            <w:r w:rsidRPr="00E27E29">
              <w:rPr>
                <w:rFonts w:eastAsia="Times New Roman"/>
              </w:rPr>
              <w:t>; “</w:t>
            </w:r>
            <w:r w:rsidRPr="00E27E29">
              <w:t>Analysis of Economic Impacts - Standards for the Growing, Harvesting, Packing and Holding of Produce for Human Consumption (FRIA),” published in 2015</w:t>
            </w:r>
          </w:p>
        </w:tc>
      </w:tr>
      <w:tr w14:paraId="65DA87CA" w14:textId="77777777">
        <w:tblPrEx>
          <w:tblW w:w="8673" w:type="dxa"/>
          <w:tblInd w:w="-5" w:type="dxa"/>
          <w:tblLayout w:type="fixed"/>
          <w:tblCellMar>
            <w:left w:w="0" w:type="dxa"/>
            <w:right w:w="0" w:type="dxa"/>
          </w:tblCellMar>
          <w:tblLook w:val="01E0"/>
        </w:tblPrEx>
        <w:trPr>
          <w:trHeight w:hRule="exact" w:val="919"/>
        </w:trPr>
        <w:tc>
          <w:tcPr>
            <w:tcW w:w="2430" w:type="dxa"/>
            <w:tcBorders>
              <w:top w:val="single" w:sz="4" w:space="0" w:color="000000"/>
              <w:left w:val="single" w:sz="4" w:space="0" w:color="000000"/>
              <w:bottom w:val="single" w:sz="4" w:space="0" w:color="000000"/>
              <w:right w:val="single" w:sz="4" w:space="0" w:color="000000"/>
            </w:tcBorders>
          </w:tcPr>
          <w:p w:rsidR="009D014C" w:rsidP="00026F9A" w14:paraId="4A744BA8" w14:textId="43BA49FB">
            <w:pPr>
              <w:ind w:left="102" w:right="-20"/>
              <w:contextualSpacing/>
              <w:rPr>
                <w:rFonts w:eastAsia="Times New Roman"/>
              </w:rPr>
            </w:pPr>
            <w:r>
              <w:t xml:space="preserve">2015 </w:t>
            </w:r>
            <w:r w:rsidR="004767D1">
              <w:t>p</w:t>
            </w:r>
            <w:r>
              <w:t xml:space="preserve">roduce </w:t>
            </w:r>
            <w:r w:rsidR="004767D1">
              <w:t>s</w:t>
            </w:r>
            <w:r>
              <w:t xml:space="preserve">afety </w:t>
            </w:r>
            <w:r w:rsidR="004767D1">
              <w:t>f</w:t>
            </w:r>
            <w:r>
              <w:t xml:space="preserve">inal </w:t>
            </w:r>
            <w:r w:rsidR="004767D1">
              <w:t>r</w:t>
            </w:r>
            <w:r>
              <w:t>ule</w:t>
            </w:r>
            <w:r>
              <w:rPr>
                <w:rFonts w:eastAsia="Times New Roman"/>
              </w:rPr>
              <w:t xml:space="preserve"> </w:t>
            </w:r>
          </w:p>
        </w:tc>
        <w:tc>
          <w:tcPr>
            <w:tcW w:w="6243" w:type="dxa"/>
            <w:tcBorders>
              <w:top w:val="single" w:sz="4" w:space="0" w:color="000000"/>
              <w:left w:val="single" w:sz="4" w:space="0" w:color="000000"/>
              <w:bottom w:val="single" w:sz="4" w:space="0" w:color="000000"/>
              <w:right w:val="single" w:sz="4" w:space="0" w:color="000000"/>
            </w:tcBorders>
          </w:tcPr>
          <w:p w:rsidR="009D014C" w:rsidP="00026F9A" w14:paraId="6A875BD2" w14:textId="77777777">
            <w:pPr>
              <w:ind w:left="100" w:right="-20"/>
              <w:contextualSpacing/>
              <w:rPr>
                <w:rFonts w:eastAsia="Times New Roman"/>
              </w:rPr>
            </w:pPr>
            <w:r>
              <w:rPr>
                <w:rFonts w:eastAsia="Times New Roman"/>
              </w:rPr>
              <w:t xml:space="preserve">Food Safety Modernization Act Produce Safety Regulation; “Standards for the Growing, Harvesting, Packing, and Holding of Produce for Human Consumption,” published in 2015 </w:t>
            </w:r>
          </w:p>
        </w:tc>
      </w:tr>
      <w:tr w14:paraId="2F5791E0" w14:textId="77777777">
        <w:tblPrEx>
          <w:tblW w:w="8673" w:type="dxa"/>
          <w:tblInd w:w="-5" w:type="dxa"/>
          <w:tblLayout w:type="fixed"/>
          <w:tblCellMar>
            <w:left w:w="0" w:type="dxa"/>
            <w:right w:w="0" w:type="dxa"/>
          </w:tblCellMar>
          <w:tblLook w:val="01E0"/>
        </w:tblPrEx>
        <w:trPr>
          <w:trHeight w:hRule="exact" w:val="919"/>
        </w:trPr>
        <w:tc>
          <w:tcPr>
            <w:tcW w:w="2430" w:type="dxa"/>
            <w:tcBorders>
              <w:top w:val="single" w:sz="4" w:space="0" w:color="000000"/>
              <w:left w:val="single" w:sz="4" w:space="0" w:color="000000"/>
              <w:bottom w:val="single" w:sz="4" w:space="0" w:color="000000"/>
              <w:right w:val="single" w:sz="4" w:space="0" w:color="000000"/>
            </w:tcBorders>
          </w:tcPr>
          <w:p w:rsidR="009D014C" w:rsidP="00026F9A" w14:paraId="0B983DEE" w14:textId="77777777">
            <w:pPr>
              <w:ind w:left="102" w:right="-20"/>
              <w:contextualSpacing/>
              <w:rPr>
                <w:rFonts w:eastAsia="Times New Roman"/>
              </w:rPr>
            </w:pPr>
            <w:r>
              <w:rPr>
                <w:rFonts w:eastAsia="Times New Roman"/>
              </w:rPr>
              <w:t>FSMA</w:t>
            </w:r>
          </w:p>
        </w:tc>
        <w:tc>
          <w:tcPr>
            <w:tcW w:w="6243" w:type="dxa"/>
            <w:tcBorders>
              <w:top w:val="single" w:sz="4" w:space="0" w:color="000000"/>
              <w:left w:val="single" w:sz="4" w:space="0" w:color="000000"/>
              <w:bottom w:val="single" w:sz="4" w:space="0" w:color="000000"/>
              <w:right w:val="single" w:sz="4" w:space="0" w:color="000000"/>
            </w:tcBorders>
          </w:tcPr>
          <w:p w:rsidR="009D014C" w:rsidP="00026F9A" w14:paraId="6A8C9C5D" w14:textId="77777777">
            <w:pPr>
              <w:ind w:left="100" w:right="-20"/>
              <w:contextualSpacing/>
              <w:rPr>
                <w:rFonts w:eastAsia="Times New Roman"/>
              </w:rPr>
            </w:pPr>
            <w:r>
              <w:rPr>
                <w:rFonts w:eastAsia="Times New Roman"/>
              </w:rPr>
              <w:t>FDA Food Safety Modernization Act</w:t>
            </w:r>
          </w:p>
        </w:tc>
      </w:tr>
      <w:tr w14:paraId="6509A42B" w14:textId="77777777">
        <w:tblPrEx>
          <w:tblW w:w="8673" w:type="dxa"/>
          <w:tblInd w:w="-5" w:type="dxa"/>
          <w:tblLayout w:type="fixed"/>
          <w:tblCellMar>
            <w:left w:w="0" w:type="dxa"/>
            <w:right w:w="0" w:type="dxa"/>
          </w:tblCellMar>
          <w:tblLook w:val="01E0"/>
        </w:tblPrEx>
        <w:trPr>
          <w:trHeight w:hRule="exact" w:val="919"/>
        </w:trPr>
        <w:tc>
          <w:tcPr>
            <w:tcW w:w="2430" w:type="dxa"/>
            <w:tcBorders>
              <w:top w:val="single" w:sz="4" w:space="0" w:color="000000"/>
              <w:left w:val="single" w:sz="4" w:space="0" w:color="000000"/>
              <w:bottom w:val="single" w:sz="4" w:space="0" w:color="000000"/>
              <w:right w:val="single" w:sz="4" w:space="0" w:color="000000"/>
            </w:tcBorders>
          </w:tcPr>
          <w:p w:rsidR="009D014C" w:rsidP="00026F9A" w14:paraId="4D83FC0A" w14:textId="77777777">
            <w:pPr>
              <w:ind w:left="102" w:right="-20"/>
              <w:contextualSpacing/>
              <w:rPr>
                <w:rFonts w:eastAsia="Times New Roman"/>
              </w:rPr>
            </w:pPr>
            <w:r>
              <w:rPr>
                <w:rFonts w:eastAsia="Times New Roman"/>
              </w:rPr>
              <w:t>Subpart E</w:t>
            </w:r>
          </w:p>
        </w:tc>
        <w:tc>
          <w:tcPr>
            <w:tcW w:w="6243" w:type="dxa"/>
            <w:tcBorders>
              <w:top w:val="single" w:sz="4" w:space="0" w:color="000000"/>
              <w:left w:val="single" w:sz="4" w:space="0" w:color="000000"/>
              <w:bottom w:val="single" w:sz="4" w:space="0" w:color="000000"/>
              <w:right w:val="single" w:sz="4" w:space="0" w:color="000000"/>
            </w:tcBorders>
          </w:tcPr>
          <w:p w:rsidR="009D014C" w:rsidP="00026F9A" w14:paraId="5B68F847" w14:textId="32B1AABD">
            <w:pPr>
              <w:ind w:left="100" w:right="-20"/>
              <w:contextualSpacing/>
              <w:rPr>
                <w:rFonts w:eastAsia="Times New Roman"/>
              </w:rPr>
            </w:pPr>
            <w:r>
              <w:rPr>
                <w:rFonts w:eastAsia="Times New Roman"/>
              </w:rPr>
              <w:t>Subpart E (21 CFR §§112.4</w:t>
            </w:r>
            <w:r w:rsidR="00147A39">
              <w:rPr>
                <w:rFonts w:eastAsia="Times New Roman"/>
              </w:rPr>
              <w:t>0</w:t>
            </w:r>
            <w:r>
              <w:rPr>
                <w:rFonts w:eastAsia="Times New Roman"/>
              </w:rPr>
              <w:t>-112.50) of “Standards for the Growing, Harvesting, Packing, and Holding of Produce for Human Consumption”; agricultural water provisions</w:t>
            </w:r>
          </w:p>
        </w:tc>
      </w:tr>
      <w:tr w14:paraId="389E7F1A" w14:textId="77777777">
        <w:tblPrEx>
          <w:tblW w:w="8673" w:type="dxa"/>
          <w:tblInd w:w="-5" w:type="dxa"/>
          <w:tblLayout w:type="fixed"/>
          <w:tblCellMar>
            <w:left w:w="0" w:type="dxa"/>
            <w:right w:w="0" w:type="dxa"/>
          </w:tblCellMar>
          <w:tblLook w:val="01E0"/>
        </w:tblPrEx>
        <w:trPr>
          <w:trHeight w:hRule="exact" w:val="919"/>
        </w:trPr>
        <w:tc>
          <w:tcPr>
            <w:tcW w:w="2430" w:type="dxa"/>
            <w:tcBorders>
              <w:top w:val="single" w:sz="4" w:space="0" w:color="000000"/>
              <w:left w:val="single" w:sz="4" w:space="0" w:color="000000"/>
              <w:bottom w:val="single" w:sz="4" w:space="0" w:color="000000"/>
              <w:right w:val="single" w:sz="4" w:space="0" w:color="000000"/>
            </w:tcBorders>
          </w:tcPr>
          <w:p w:rsidR="009D014C" w:rsidP="00026F9A" w14:paraId="3DEBE06F" w14:textId="4043FA9F">
            <w:pPr>
              <w:ind w:left="102" w:right="-20"/>
              <w:contextualSpacing/>
              <w:rPr>
                <w:rFonts w:eastAsia="Times New Roman"/>
              </w:rPr>
            </w:pPr>
            <w:r>
              <w:rPr>
                <w:rFonts w:eastAsia="Times New Roman"/>
              </w:rPr>
              <w:t xml:space="preserve">2019 </w:t>
            </w:r>
            <w:r w:rsidR="004767D1">
              <w:rPr>
                <w:rFonts w:eastAsia="Times New Roman"/>
              </w:rPr>
              <w:t>c</w:t>
            </w:r>
            <w:r>
              <w:rPr>
                <w:rFonts w:eastAsia="Times New Roman"/>
              </w:rPr>
              <w:t xml:space="preserve">ompliance </w:t>
            </w:r>
            <w:r w:rsidR="004767D1">
              <w:rPr>
                <w:rFonts w:eastAsia="Times New Roman"/>
              </w:rPr>
              <w:t>d</w:t>
            </w:r>
            <w:r>
              <w:rPr>
                <w:rFonts w:eastAsia="Times New Roman"/>
              </w:rPr>
              <w:t xml:space="preserve">ate </w:t>
            </w:r>
            <w:r w:rsidR="004767D1">
              <w:rPr>
                <w:rFonts w:eastAsia="Times New Roman"/>
              </w:rPr>
              <w:t>e</w:t>
            </w:r>
            <w:r>
              <w:rPr>
                <w:rFonts w:eastAsia="Times New Roman"/>
              </w:rPr>
              <w:t>xtension</w:t>
            </w:r>
          </w:p>
        </w:tc>
        <w:tc>
          <w:tcPr>
            <w:tcW w:w="6243" w:type="dxa"/>
            <w:tcBorders>
              <w:top w:val="single" w:sz="4" w:space="0" w:color="000000"/>
              <w:left w:val="single" w:sz="4" w:space="0" w:color="000000"/>
              <w:bottom w:val="single" w:sz="4" w:space="0" w:color="000000"/>
              <w:right w:val="single" w:sz="4" w:space="0" w:color="000000"/>
            </w:tcBorders>
          </w:tcPr>
          <w:p w:rsidR="009D014C" w:rsidP="00026F9A" w14:paraId="1D0DE1DC" w14:textId="77777777">
            <w:pPr>
              <w:ind w:left="100" w:right="-20"/>
              <w:contextualSpacing/>
              <w:rPr>
                <w:rFonts w:eastAsia="Times New Roman"/>
              </w:rPr>
            </w:pPr>
            <w:r>
              <w:rPr>
                <w:rFonts w:eastAsia="Times New Roman"/>
              </w:rPr>
              <w:t>“Standards for the Growing, Harvesting, Packing, and Holding of Produce for Human Consumption; Extension of Compliance Dates for Subpart E,” published in 2019</w:t>
            </w:r>
          </w:p>
        </w:tc>
      </w:tr>
      <w:tr w14:paraId="30355EC6" w14:textId="77777777" w:rsidTr="009D219B">
        <w:tblPrEx>
          <w:tblW w:w="8673" w:type="dxa"/>
          <w:tblInd w:w="-5" w:type="dxa"/>
          <w:tblLayout w:type="fixed"/>
          <w:tblCellMar>
            <w:left w:w="0" w:type="dxa"/>
            <w:right w:w="0" w:type="dxa"/>
          </w:tblCellMar>
          <w:tblLook w:val="01E0"/>
        </w:tblPrEx>
        <w:trPr>
          <w:trHeight w:hRule="exact" w:val="1207"/>
        </w:trPr>
        <w:tc>
          <w:tcPr>
            <w:tcW w:w="2430" w:type="dxa"/>
            <w:tcBorders>
              <w:top w:val="single" w:sz="4" w:space="0" w:color="000000"/>
              <w:left w:val="single" w:sz="4" w:space="0" w:color="000000"/>
              <w:bottom w:val="single" w:sz="4" w:space="0" w:color="000000"/>
              <w:right w:val="single" w:sz="4" w:space="0" w:color="000000"/>
            </w:tcBorders>
          </w:tcPr>
          <w:p w:rsidR="009D219B" w:rsidP="00026F9A" w14:paraId="131FCD6C" w14:textId="4DEC344B">
            <w:pPr>
              <w:ind w:left="102" w:right="-20"/>
              <w:contextualSpacing/>
              <w:rPr>
                <w:rFonts w:eastAsia="Times New Roman"/>
              </w:rPr>
            </w:pPr>
            <w:r>
              <w:rPr>
                <w:rFonts w:eastAsia="Times New Roman"/>
              </w:rPr>
              <w:t xml:space="preserve">2021 </w:t>
            </w:r>
            <w:r w:rsidR="004767D1">
              <w:rPr>
                <w:rFonts w:eastAsia="Times New Roman"/>
              </w:rPr>
              <w:t>a</w:t>
            </w:r>
            <w:r>
              <w:rPr>
                <w:rFonts w:eastAsia="Times New Roman"/>
              </w:rPr>
              <w:t xml:space="preserve">gricultural </w:t>
            </w:r>
            <w:r w:rsidR="004767D1">
              <w:rPr>
                <w:rFonts w:eastAsia="Times New Roman"/>
              </w:rPr>
              <w:t>w</w:t>
            </w:r>
            <w:r>
              <w:rPr>
                <w:rFonts w:eastAsia="Times New Roman"/>
              </w:rPr>
              <w:t xml:space="preserve">ater </w:t>
            </w:r>
            <w:r w:rsidR="004767D1">
              <w:rPr>
                <w:rFonts w:eastAsia="Times New Roman"/>
              </w:rPr>
              <w:t>p</w:t>
            </w:r>
            <w:r>
              <w:rPr>
                <w:rFonts w:eastAsia="Times New Roman"/>
              </w:rPr>
              <w:t xml:space="preserve">roposed </w:t>
            </w:r>
            <w:r w:rsidR="004767D1">
              <w:rPr>
                <w:rFonts w:eastAsia="Times New Roman"/>
              </w:rPr>
              <w:t>r</w:t>
            </w:r>
            <w:r>
              <w:rPr>
                <w:rFonts w:eastAsia="Times New Roman"/>
              </w:rPr>
              <w:t>ule</w:t>
            </w:r>
          </w:p>
        </w:tc>
        <w:tc>
          <w:tcPr>
            <w:tcW w:w="6243" w:type="dxa"/>
            <w:tcBorders>
              <w:top w:val="single" w:sz="4" w:space="0" w:color="000000"/>
              <w:left w:val="single" w:sz="4" w:space="0" w:color="000000"/>
              <w:bottom w:val="single" w:sz="4" w:space="0" w:color="000000"/>
              <w:right w:val="single" w:sz="4" w:space="0" w:color="000000"/>
            </w:tcBorders>
          </w:tcPr>
          <w:p w:rsidR="009D219B" w:rsidP="00026F9A" w14:paraId="4618605B" w14:textId="382375F1">
            <w:pPr>
              <w:ind w:left="100" w:right="-20"/>
              <w:contextualSpacing/>
              <w:rPr>
                <w:rFonts w:eastAsia="Times New Roman"/>
              </w:rPr>
            </w:pPr>
            <w:r>
              <w:rPr>
                <w:rFonts w:eastAsia="Times New Roman"/>
              </w:rPr>
              <w:t xml:space="preserve">2021 FDA rulemaking entitled “Standards for the Growing, Harvesting, Packing, and Holding of Produce for Human Consumption Relating to Agricultural Water,” published in </w:t>
            </w:r>
            <w:r w:rsidR="00F1084C">
              <w:rPr>
                <w:rFonts w:eastAsia="Times New Roman"/>
              </w:rPr>
              <w:t xml:space="preserve">December, </w:t>
            </w:r>
            <w:r>
              <w:rPr>
                <w:rFonts w:eastAsia="Times New Roman"/>
              </w:rPr>
              <w:t>2021</w:t>
            </w:r>
          </w:p>
        </w:tc>
      </w:tr>
      <w:tr w14:paraId="2DC4E37C" w14:textId="77777777" w:rsidTr="009D219B">
        <w:tblPrEx>
          <w:tblW w:w="8673" w:type="dxa"/>
          <w:tblInd w:w="-5" w:type="dxa"/>
          <w:tblLayout w:type="fixed"/>
          <w:tblCellMar>
            <w:left w:w="0" w:type="dxa"/>
            <w:right w:w="0" w:type="dxa"/>
          </w:tblCellMar>
          <w:tblLook w:val="01E0"/>
        </w:tblPrEx>
        <w:trPr>
          <w:trHeight w:hRule="exact" w:val="1531"/>
        </w:trPr>
        <w:tc>
          <w:tcPr>
            <w:tcW w:w="2430" w:type="dxa"/>
            <w:tcBorders>
              <w:top w:val="single" w:sz="4" w:space="0" w:color="000000"/>
              <w:left w:val="single" w:sz="4" w:space="0" w:color="000000"/>
              <w:bottom w:val="single" w:sz="4" w:space="0" w:color="000000"/>
              <w:right w:val="single" w:sz="4" w:space="0" w:color="000000"/>
            </w:tcBorders>
          </w:tcPr>
          <w:p w:rsidR="009D219B" w:rsidP="00026F9A" w14:paraId="60E53FF5" w14:textId="09AD683B">
            <w:pPr>
              <w:ind w:left="102" w:right="-20"/>
              <w:contextualSpacing/>
              <w:rPr>
                <w:rFonts w:eastAsia="Times New Roman"/>
              </w:rPr>
            </w:pPr>
            <w:r>
              <w:rPr>
                <w:rFonts w:eastAsia="Times New Roman"/>
              </w:rPr>
              <w:t xml:space="preserve">2021 </w:t>
            </w:r>
            <w:r w:rsidR="004767D1">
              <w:rPr>
                <w:rFonts w:eastAsia="Times New Roman"/>
              </w:rPr>
              <w:t>a</w:t>
            </w:r>
            <w:r>
              <w:rPr>
                <w:rFonts w:eastAsia="Times New Roman"/>
              </w:rPr>
              <w:t xml:space="preserve">gricultural </w:t>
            </w:r>
            <w:r w:rsidR="004767D1">
              <w:rPr>
                <w:rFonts w:eastAsia="Times New Roman"/>
              </w:rPr>
              <w:t>w</w:t>
            </w:r>
            <w:r>
              <w:rPr>
                <w:rFonts w:eastAsia="Times New Roman"/>
              </w:rPr>
              <w:t>ater PRIA</w:t>
            </w:r>
          </w:p>
        </w:tc>
        <w:tc>
          <w:tcPr>
            <w:tcW w:w="6243" w:type="dxa"/>
            <w:tcBorders>
              <w:top w:val="single" w:sz="4" w:space="0" w:color="000000"/>
              <w:left w:val="single" w:sz="4" w:space="0" w:color="000000"/>
              <w:bottom w:val="single" w:sz="4" w:space="0" w:color="000000"/>
              <w:right w:val="single" w:sz="4" w:space="0" w:color="000000"/>
            </w:tcBorders>
          </w:tcPr>
          <w:p w:rsidR="009D219B" w:rsidP="00026F9A" w14:paraId="55D37F3B" w14:textId="76759557">
            <w:pPr>
              <w:ind w:left="100" w:right="-20"/>
              <w:contextualSpacing/>
              <w:rPr>
                <w:rFonts w:eastAsia="Times New Roman"/>
              </w:rPr>
            </w:pPr>
            <w:r>
              <w:rPr>
                <w:rFonts w:eastAsia="Times New Roman"/>
              </w:rPr>
              <w:t xml:space="preserve">FDA’s analysis of the impacts of the 2021 </w:t>
            </w:r>
            <w:r w:rsidR="00500677">
              <w:rPr>
                <w:rFonts w:eastAsia="Times New Roman"/>
              </w:rPr>
              <w:t>a</w:t>
            </w:r>
            <w:r>
              <w:rPr>
                <w:rFonts w:eastAsia="Times New Roman"/>
              </w:rPr>
              <w:t xml:space="preserve">gricultural </w:t>
            </w:r>
            <w:r w:rsidR="00500677">
              <w:rPr>
                <w:rFonts w:eastAsia="Times New Roman"/>
              </w:rPr>
              <w:t>w</w:t>
            </w:r>
            <w:r>
              <w:rPr>
                <w:rFonts w:eastAsia="Times New Roman"/>
              </w:rPr>
              <w:t xml:space="preserve">ater </w:t>
            </w:r>
            <w:r w:rsidR="00500677">
              <w:rPr>
                <w:rFonts w:eastAsia="Times New Roman"/>
              </w:rPr>
              <w:t>p</w:t>
            </w:r>
            <w:r>
              <w:rPr>
                <w:rFonts w:eastAsia="Times New Roman"/>
              </w:rPr>
              <w:t xml:space="preserve">roposed </w:t>
            </w:r>
            <w:r w:rsidR="00500677">
              <w:rPr>
                <w:rFonts w:eastAsia="Times New Roman"/>
              </w:rPr>
              <w:t>r</w:t>
            </w:r>
            <w:r>
              <w:rPr>
                <w:rFonts w:eastAsia="Times New Roman"/>
              </w:rPr>
              <w:t xml:space="preserve">ule; “Standards for the Growing, Harvesting, Packing, and Holding of Produce for Human Consumption Relating to Agricultural Water (Preliminary Regulatory Impact Analysis),” published in </w:t>
            </w:r>
            <w:r w:rsidR="00F1084C">
              <w:rPr>
                <w:rFonts w:eastAsia="Times New Roman"/>
              </w:rPr>
              <w:t xml:space="preserve">December, </w:t>
            </w:r>
            <w:r>
              <w:rPr>
                <w:rFonts w:eastAsia="Times New Roman"/>
              </w:rPr>
              <w:t>2021</w:t>
            </w:r>
          </w:p>
        </w:tc>
      </w:tr>
      <w:tr w14:paraId="27867D44" w14:textId="77777777" w:rsidTr="009D219B">
        <w:tblPrEx>
          <w:tblW w:w="8673" w:type="dxa"/>
          <w:tblInd w:w="-5" w:type="dxa"/>
          <w:tblLayout w:type="fixed"/>
          <w:tblCellMar>
            <w:left w:w="0" w:type="dxa"/>
            <w:right w:w="0" w:type="dxa"/>
          </w:tblCellMar>
          <w:tblLook w:val="01E0"/>
        </w:tblPrEx>
        <w:trPr>
          <w:trHeight w:hRule="exact" w:val="1531"/>
        </w:trPr>
        <w:tc>
          <w:tcPr>
            <w:tcW w:w="2430" w:type="dxa"/>
            <w:tcBorders>
              <w:top w:val="single" w:sz="4" w:space="0" w:color="000000"/>
              <w:left w:val="single" w:sz="4" w:space="0" w:color="000000"/>
              <w:bottom w:val="single" w:sz="4" w:space="0" w:color="000000"/>
              <w:right w:val="single" w:sz="4" w:space="0" w:color="000000"/>
            </w:tcBorders>
          </w:tcPr>
          <w:p w:rsidR="00B04389" w:rsidP="00026F9A" w14:paraId="5FDE8AD5" w14:textId="38569DAE">
            <w:pPr>
              <w:ind w:left="102" w:right="-20"/>
              <w:contextualSpacing/>
              <w:rPr>
                <w:rFonts w:eastAsia="Times New Roman"/>
              </w:rPr>
            </w:pPr>
            <w:r>
              <w:rPr>
                <w:rFonts w:eastAsia="Times New Roman"/>
              </w:rPr>
              <w:t xml:space="preserve">2022 </w:t>
            </w:r>
            <w:r w:rsidR="003E6AA3">
              <w:rPr>
                <w:rFonts w:eastAsia="Times New Roman"/>
              </w:rPr>
              <w:t>s</w:t>
            </w:r>
            <w:r>
              <w:rPr>
                <w:rFonts w:eastAsia="Times New Roman"/>
              </w:rPr>
              <w:t xml:space="preserve">upplemental </w:t>
            </w:r>
            <w:r w:rsidR="001B3A71">
              <w:rPr>
                <w:rFonts w:eastAsia="Times New Roman"/>
              </w:rPr>
              <w:t>n</w:t>
            </w:r>
            <w:r>
              <w:rPr>
                <w:rFonts w:eastAsia="Times New Roman"/>
              </w:rPr>
              <w:t xml:space="preserve">otice of </w:t>
            </w:r>
            <w:r w:rsidR="001B3A71">
              <w:rPr>
                <w:rFonts w:eastAsia="Times New Roman"/>
              </w:rPr>
              <w:t>p</w:t>
            </w:r>
            <w:r>
              <w:rPr>
                <w:rFonts w:eastAsia="Times New Roman"/>
              </w:rPr>
              <w:t xml:space="preserve">roposed </w:t>
            </w:r>
            <w:r w:rsidR="001B3A71">
              <w:rPr>
                <w:rFonts w:eastAsia="Times New Roman"/>
              </w:rPr>
              <w:t>r</w:t>
            </w:r>
            <w:r>
              <w:rPr>
                <w:rFonts w:eastAsia="Times New Roman"/>
              </w:rPr>
              <w:t>ulemaking (</w:t>
            </w:r>
            <w:r w:rsidR="004767D1">
              <w:rPr>
                <w:rFonts w:eastAsia="Times New Roman"/>
              </w:rPr>
              <w:t>c</w:t>
            </w:r>
            <w:r>
              <w:rPr>
                <w:rFonts w:eastAsia="Times New Roman"/>
              </w:rPr>
              <w:t xml:space="preserve">ompliance </w:t>
            </w:r>
            <w:r w:rsidR="004767D1">
              <w:rPr>
                <w:rFonts w:eastAsia="Times New Roman"/>
              </w:rPr>
              <w:t>d</w:t>
            </w:r>
            <w:r>
              <w:rPr>
                <w:rFonts w:eastAsia="Times New Roman"/>
              </w:rPr>
              <w:t>ates)</w:t>
            </w:r>
          </w:p>
        </w:tc>
        <w:tc>
          <w:tcPr>
            <w:tcW w:w="6243" w:type="dxa"/>
            <w:tcBorders>
              <w:top w:val="single" w:sz="4" w:space="0" w:color="000000"/>
              <w:left w:val="single" w:sz="4" w:space="0" w:color="000000"/>
              <w:bottom w:val="single" w:sz="4" w:space="0" w:color="000000"/>
              <w:right w:val="single" w:sz="4" w:space="0" w:color="000000"/>
            </w:tcBorders>
          </w:tcPr>
          <w:p w:rsidR="00B04389" w:rsidP="00026F9A" w14:paraId="7780E963" w14:textId="46E6CFBD">
            <w:pPr>
              <w:ind w:left="100" w:right="-20"/>
              <w:contextualSpacing/>
              <w:rPr>
                <w:rFonts w:eastAsia="Times New Roman"/>
              </w:rPr>
            </w:pPr>
            <w:r>
              <w:rPr>
                <w:rFonts w:eastAsia="Times New Roman"/>
              </w:rPr>
              <w:t>2022</w:t>
            </w:r>
            <w:r w:rsidR="001113D4">
              <w:rPr>
                <w:rFonts w:eastAsia="Times New Roman"/>
              </w:rPr>
              <w:t xml:space="preserve"> supplemental notice of proposed rulemaking </w:t>
            </w:r>
            <w:r w:rsidR="008D5A5C">
              <w:rPr>
                <w:rFonts w:eastAsia="Times New Roman"/>
              </w:rPr>
              <w:t>that specifie</w:t>
            </w:r>
            <w:r w:rsidR="00E67EA8">
              <w:rPr>
                <w:rFonts w:eastAsia="Times New Roman"/>
              </w:rPr>
              <w:t>s</w:t>
            </w:r>
            <w:r w:rsidR="008D5A5C">
              <w:rPr>
                <w:rFonts w:eastAsia="Times New Roman"/>
              </w:rPr>
              <w:t xml:space="preserve"> compliance dates for provisions in</w:t>
            </w:r>
            <w:r w:rsidR="001113D4">
              <w:rPr>
                <w:rFonts w:eastAsia="Times New Roman"/>
              </w:rPr>
              <w:t xml:space="preserve"> “Standards for the Growing, Harvesting, Packing, and Holding of Produce for Human Consumption Relating to Agricultural Water,”</w:t>
            </w:r>
            <w:r w:rsidR="008D5A5C">
              <w:rPr>
                <w:rFonts w:eastAsia="Times New Roman"/>
              </w:rPr>
              <w:t xml:space="preserve"> published in July, 2022</w:t>
            </w:r>
          </w:p>
        </w:tc>
      </w:tr>
      <w:tr w14:paraId="6E39E307" w14:textId="77777777">
        <w:tblPrEx>
          <w:tblW w:w="8673" w:type="dxa"/>
          <w:tblInd w:w="-5" w:type="dxa"/>
          <w:tblLayout w:type="fixed"/>
          <w:tblCellMar>
            <w:left w:w="0" w:type="dxa"/>
            <w:right w:w="0" w:type="dxa"/>
          </w:tblCellMar>
          <w:tblLook w:val="01E0"/>
        </w:tblPrEx>
        <w:trPr>
          <w:trHeight w:hRule="exact" w:val="1495"/>
        </w:trPr>
        <w:tc>
          <w:tcPr>
            <w:tcW w:w="2430" w:type="dxa"/>
            <w:tcBorders>
              <w:top w:val="single" w:sz="4" w:space="0" w:color="000000"/>
              <w:left w:val="single" w:sz="4" w:space="0" w:color="000000"/>
              <w:bottom w:val="single" w:sz="4" w:space="0" w:color="000000"/>
              <w:right w:val="single" w:sz="4" w:space="0" w:color="000000"/>
            </w:tcBorders>
          </w:tcPr>
          <w:p w:rsidR="009D219B" w:rsidP="00026F9A" w14:paraId="337EDB8B" w14:textId="77777777">
            <w:pPr>
              <w:ind w:left="102" w:right="-20"/>
              <w:contextualSpacing/>
              <w:rPr>
                <w:rFonts w:eastAsia="Times New Roman"/>
              </w:rPr>
            </w:pPr>
            <w:r>
              <w:rPr>
                <w:rFonts w:eastAsia="Times New Roman"/>
              </w:rPr>
              <w:t>Large farm</w:t>
            </w:r>
          </w:p>
        </w:tc>
        <w:tc>
          <w:tcPr>
            <w:tcW w:w="6243" w:type="dxa"/>
            <w:tcBorders>
              <w:top w:val="single" w:sz="4" w:space="0" w:color="000000"/>
              <w:left w:val="single" w:sz="4" w:space="0" w:color="000000"/>
              <w:bottom w:val="single" w:sz="4" w:space="0" w:color="000000"/>
              <w:right w:val="single" w:sz="4" w:space="0" w:color="000000"/>
            </w:tcBorders>
          </w:tcPr>
          <w:p w:rsidR="009D219B" w:rsidP="00026F9A" w14:paraId="24B927D5" w14:textId="00654E98">
            <w:pPr>
              <w:ind w:left="100" w:right="-20"/>
              <w:contextualSpacing/>
              <w:rPr>
                <w:rFonts w:eastAsia="Times New Roman"/>
              </w:rPr>
            </w:pPr>
            <w:r>
              <w:rPr>
                <w:rFonts w:eastAsia="Times New Roman"/>
              </w:rPr>
              <w:t xml:space="preserve">For the purposes of </w:t>
            </w:r>
            <w:r>
              <w:t xml:space="preserve">2015 </w:t>
            </w:r>
            <w:r w:rsidR="00113CC3">
              <w:t>produce safety final rule</w:t>
            </w:r>
            <w:r w:rsidR="00500677">
              <w:rPr>
                <w:rFonts w:eastAsia="Times New Roman"/>
              </w:rPr>
              <w:t xml:space="preserve"> </w:t>
            </w:r>
            <w:r>
              <w:rPr>
                <w:rFonts w:eastAsia="Times New Roman"/>
              </w:rPr>
              <w:t xml:space="preserve">requirements discussed in this document, “large farm” refers to </w:t>
            </w:r>
            <w:bookmarkStart w:id="16" w:name="_Hlk52802156"/>
            <w:r>
              <w:rPr>
                <w:rFonts w:eastAsia="Times New Roman"/>
              </w:rPr>
              <w:t>a c</w:t>
            </w:r>
            <w:r w:rsidRPr="00F36C56">
              <w:rPr>
                <w:rFonts w:eastAsia="Times New Roman"/>
              </w:rPr>
              <w:t>overed farm for which, on a rolling basis, the average annual monetary value of produce the farm sold during the previous 3-year period is more than $500,000.</w:t>
            </w:r>
            <w:bookmarkEnd w:id="16"/>
          </w:p>
        </w:tc>
      </w:tr>
      <w:tr w14:paraId="1AB148C0" w14:textId="77777777">
        <w:tblPrEx>
          <w:tblW w:w="8673" w:type="dxa"/>
          <w:tblInd w:w="-5" w:type="dxa"/>
          <w:tblLayout w:type="fixed"/>
          <w:tblCellMar>
            <w:left w:w="0" w:type="dxa"/>
            <w:right w:w="0" w:type="dxa"/>
          </w:tblCellMar>
          <w:tblLook w:val="01E0"/>
        </w:tblPrEx>
        <w:trPr>
          <w:trHeight w:hRule="exact" w:val="1459"/>
        </w:trPr>
        <w:tc>
          <w:tcPr>
            <w:tcW w:w="2430" w:type="dxa"/>
            <w:tcBorders>
              <w:top w:val="single" w:sz="4" w:space="0" w:color="000000"/>
              <w:left w:val="single" w:sz="4" w:space="0" w:color="000000"/>
              <w:bottom w:val="single" w:sz="4" w:space="0" w:color="000000"/>
              <w:right w:val="single" w:sz="4" w:space="0" w:color="000000"/>
            </w:tcBorders>
          </w:tcPr>
          <w:p w:rsidR="009D219B" w:rsidP="00026F9A" w14:paraId="3DC77CC7" w14:textId="77777777">
            <w:pPr>
              <w:ind w:left="102" w:right="-20"/>
              <w:contextualSpacing/>
              <w:rPr>
                <w:rFonts w:eastAsia="Times New Roman"/>
              </w:rPr>
            </w:pPr>
            <w:r>
              <w:rPr>
                <w:rFonts w:eastAsia="Times New Roman"/>
              </w:rPr>
              <w:t>Small farm</w:t>
            </w:r>
          </w:p>
        </w:tc>
        <w:tc>
          <w:tcPr>
            <w:tcW w:w="6243" w:type="dxa"/>
            <w:tcBorders>
              <w:top w:val="single" w:sz="4" w:space="0" w:color="000000"/>
              <w:left w:val="single" w:sz="4" w:space="0" w:color="000000"/>
              <w:bottom w:val="single" w:sz="4" w:space="0" w:color="000000"/>
              <w:right w:val="single" w:sz="4" w:space="0" w:color="000000"/>
            </w:tcBorders>
          </w:tcPr>
          <w:p w:rsidR="009D219B" w:rsidP="00026F9A" w14:paraId="290AB43D" w14:textId="18D79F3D">
            <w:pPr>
              <w:ind w:left="100" w:right="-20"/>
              <w:contextualSpacing/>
              <w:rPr>
                <w:rFonts w:eastAsia="Times New Roman"/>
              </w:rPr>
            </w:pPr>
            <w:r>
              <w:rPr>
                <w:rFonts w:eastAsia="Times New Roman"/>
              </w:rPr>
              <w:t xml:space="preserve">For the purposes of </w:t>
            </w:r>
            <w:r>
              <w:t xml:space="preserve">2015 </w:t>
            </w:r>
            <w:r w:rsidR="00113CC3">
              <w:t>produce safety final rule</w:t>
            </w:r>
            <w:r w:rsidR="00500677">
              <w:rPr>
                <w:rFonts w:eastAsia="Times New Roman"/>
              </w:rPr>
              <w:t xml:space="preserve"> </w:t>
            </w:r>
            <w:r>
              <w:rPr>
                <w:rFonts w:eastAsia="Times New Roman"/>
              </w:rPr>
              <w:t>requirements discussed in this document, “small farm” refers to a c</w:t>
            </w:r>
            <w:r w:rsidRPr="00F36C56">
              <w:rPr>
                <w:rFonts w:eastAsia="Times New Roman"/>
              </w:rPr>
              <w:t>overed farm for which, on a rolling basis, the average annual monetary value of produce the farm sold during the previous 3-year period is more than $250,000 but no more than $500,000</w:t>
            </w:r>
            <w:r>
              <w:rPr>
                <w:rFonts w:eastAsia="Times New Roman"/>
              </w:rPr>
              <w:t>.</w:t>
            </w:r>
          </w:p>
        </w:tc>
      </w:tr>
      <w:tr w14:paraId="5EBE9144" w14:textId="77777777">
        <w:tblPrEx>
          <w:tblW w:w="8673" w:type="dxa"/>
          <w:tblInd w:w="-5" w:type="dxa"/>
          <w:tblLayout w:type="fixed"/>
          <w:tblCellMar>
            <w:left w:w="0" w:type="dxa"/>
            <w:right w:w="0" w:type="dxa"/>
          </w:tblCellMar>
          <w:tblLook w:val="01E0"/>
        </w:tblPrEx>
        <w:trPr>
          <w:trHeight w:hRule="exact" w:val="1729"/>
        </w:trPr>
        <w:tc>
          <w:tcPr>
            <w:tcW w:w="2430" w:type="dxa"/>
            <w:tcBorders>
              <w:top w:val="single" w:sz="4" w:space="0" w:color="000000"/>
              <w:left w:val="single" w:sz="4" w:space="0" w:color="000000"/>
              <w:bottom w:val="single" w:sz="4" w:space="0" w:color="000000"/>
              <w:right w:val="single" w:sz="4" w:space="0" w:color="000000"/>
            </w:tcBorders>
          </w:tcPr>
          <w:p w:rsidR="009D219B" w:rsidP="00026F9A" w14:paraId="1E40B742" w14:textId="77777777">
            <w:pPr>
              <w:ind w:left="102" w:right="-20"/>
              <w:contextualSpacing/>
              <w:rPr>
                <w:rFonts w:eastAsia="Times New Roman"/>
              </w:rPr>
            </w:pPr>
            <w:r>
              <w:rPr>
                <w:rFonts w:eastAsia="Times New Roman"/>
              </w:rPr>
              <w:t>Very small farm</w:t>
            </w:r>
          </w:p>
        </w:tc>
        <w:tc>
          <w:tcPr>
            <w:tcW w:w="6243" w:type="dxa"/>
            <w:tcBorders>
              <w:top w:val="single" w:sz="4" w:space="0" w:color="000000"/>
              <w:left w:val="single" w:sz="4" w:space="0" w:color="000000"/>
              <w:bottom w:val="single" w:sz="4" w:space="0" w:color="000000"/>
              <w:right w:val="single" w:sz="4" w:space="0" w:color="000000"/>
            </w:tcBorders>
          </w:tcPr>
          <w:p w:rsidR="009D219B" w:rsidP="00026F9A" w14:paraId="33C319B9" w14:textId="760A1F16">
            <w:pPr>
              <w:ind w:left="100" w:right="-20"/>
              <w:contextualSpacing/>
              <w:rPr>
                <w:rFonts w:eastAsia="Times New Roman"/>
              </w:rPr>
            </w:pPr>
            <w:r>
              <w:rPr>
                <w:rFonts w:eastAsia="Times New Roman"/>
              </w:rPr>
              <w:t xml:space="preserve">For the purposes of </w:t>
            </w:r>
            <w:r>
              <w:t xml:space="preserve">2015 </w:t>
            </w:r>
            <w:r w:rsidR="00113CC3">
              <w:t>produce safety final rule</w:t>
            </w:r>
            <w:r w:rsidR="00500677">
              <w:rPr>
                <w:rFonts w:eastAsia="Times New Roman"/>
              </w:rPr>
              <w:t xml:space="preserve"> </w:t>
            </w:r>
            <w:r>
              <w:rPr>
                <w:rFonts w:eastAsia="Times New Roman"/>
              </w:rPr>
              <w:t>requirements discussed in this document, “very small farm” refers to a c</w:t>
            </w:r>
            <w:r w:rsidRPr="00F36C56">
              <w:rPr>
                <w:rFonts w:eastAsia="Times New Roman"/>
              </w:rPr>
              <w:t>overed farm for which, on a rolling basis, the average annual monetary value of produce the farm sold during the previous 3-year period is more than $25,000 but no more than $250,000.</w:t>
            </w:r>
          </w:p>
        </w:tc>
      </w:tr>
      <w:tr w14:paraId="4A74A631" w14:textId="77777777" w:rsidTr="008B0FDC">
        <w:tblPrEx>
          <w:tblW w:w="8673" w:type="dxa"/>
          <w:tblInd w:w="-5" w:type="dxa"/>
          <w:tblLayout w:type="fixed"/>
          <w:tblCellMar>
            <w:left w:w="0" w:type="dxa"/>
            <w:right w:w="0" w:type="dxa"/>
          </w:tblCellMar>
          <w:tblLook w:val="01E0"/>
        </w:tblPrEx>
        <w:trPr>
          <w:trHeight w:hRule="exact" w:val="640"/>
        </w:trPr>
        <w:tc>
          <w:tcPr>
            <w:tcW w:w="2430" w:type="dxa"/>
            <w:tcBorders>
              <w:top w:val="single" w:sz="4" w:space="0" w:color="000000"/>
              <w:left w:val="single" w:sz="4" w:space="0" w:color="000000"/>
              <w:bottom w:val="single" w:sz="4" w:space="0" w:color="000000"/>
              <w:right w:val="single" w:sz="4" w:space="0" w:color="000000"/>
            </w:tcBorders>
          </w:tcPr>
          <w:p w:rsidR="009D219B" w:rsidP="00026F9A" w14:paraId="4FD7CD58" w14:textId="77777777">
            <w:pPr>
              <w:ind w:left="102" w:right="-20"/>
              <w:contextualSpacing/>
              <w:rPr>
                <w:rFonts w:eastAsia="Times New Roman"/>
              </w:rPr>
            </w:pPr>
            <w:r>
              <w:rPr>
                <w:rFonts w:eastAsia="Times New Roman"/>
              </w:rPr>
              <w:t>Agricultural water assessment</w:t>
            </w:r>
          </w:p>
        </w:tc>
        <w:tc>
          <w:tcPr>
            <w:tcW w:w="6243" w:type="dxa"/>
            <w:tcBorders>
              <w:top w:val="single" w:sz="4" w:space="0" w:color="000000"/>
              <w:left w:val="single" w:sz="4" w:space="0" w:color="000000"/>
              <w:bottom w:val="single" w:sz="4" w:space="0" w:color="000000"/>
              <w:right w:val="single" w:sz="4" w:space="0" w:color="000000"/>
            </w:tcBorders>
          </w:tcPr>
          <w:p w:rsidR="009D219B" w:rsidP="00026F9A" w14:paraId="24ED9B89" w14:textId="6E9121AC">
            <w:pPr>
              <w:ind w:left="100" w:right="-20"/>
              <w:contextualSpacing/>
              <w:rPr>
                <w:rFonts w:eastAsia="Times New Roman"/>
              </w:rPr>
            </w:pPr>
            <w:r>
              <w:rPr>
                <w:rFonts w:eastAsia="Times New Roman"/>
              </w:rPr>
              <w:t>An assessment of potential pre-harvest agricultural water hazards as described in §</w:t>
            </w:r>
            <w:r w:rsidR="003D5D48">
              <w:rPr>
                <w:rFonts w:eastAsia="Times New Roman"/>
              </w:rPr>
              <w:t xml:space="preserve"> </w:t>
            </w:r>
            <w:r>
              <w:rPr>
                <w:rFonts w:eastAsia="Times New Roman"/>
              </w:rPr>
              <w:t xml:space="preserve">112.43 of the </w:t>
            </w:r>
            <w:r w:rsidR="00C164B4">
              <w:rPr>
                <w:rFonts w:eastAsia="Times New Roman"/>
              </w:rPr>
              <w:t>final</w:t>
            </w:r>
            <w:r>
              <w:rPr>
                <w:rFonts w:eastAsia="Times New Roman"/>
              </w:rPr>
              <w:t xml:space="preserve"> rule</w:t>
            </w:r>
          </w:p>
        </w:tc>
      </w:tr>
      <w:tr w14:paraId="0A93029E" w14:textId="77777777" w:rsidTr="008B0FDC">
        <w:tblPrEx>
          <w:tblW w:w="8673" w:type="dxa"/>
          <w:tblInd w:w="-5" w:type="dxa"/>
          <w:tblLayout w:type="fixed"/>
          <w:tblCellMar>
            <w:left w:w="0" w:type="dxa"/>
            <w:right w:w="0" w:type="dxa"/>
          </w:tblCellMar>
          <w:tblLook w:val="01E0"/>
        </w:tblPrEx>
        <w:trPr>
          <w:trHeight w:hRule="exact" w:val="1522"/>
        </w:trPr>
        <w:tc>
          <w:tcPr>
            <w:tcW w:w="2430" w:type="dxa"/>
            <w:tcBorders>
              <w:top w:val="single" w:sz="4" w:space="0" w:color="000000"/>
              <w:left w:val="single" w:sz="4" w:space="0" w:color="000000"/>
              <w:bottom w:val="single" w:sz="4" w:space="0" w:color="000000"/>
              <w:right w:val="single" w:sz="4" w:space="0" w:color="000000"/>
            </w:tcBorders>
          </w:tcPr>
          <w:p w:rsidR="009D219B" w:rsidP="00026F9A" w14:paraId="78189451" w14:textId="77777777">
            <w:pPr>
              <w:ind w:left="102" w:right="-20"/>
              <w:contextualSpacing/>
              <w:rPr>
                <w:rFonts w:eastAsia="Times New Roman"/>
              </w:rPr>
            </w:pPr>
            <w:r>
              <w:rPr>
                <w:rFonts w:eastAsia="Times New Roman"/>
              </w:rPr>
              <w:t>Mitigation measure</w:t>
            </w:r>
          </w:p>
        </w:tc>
        <w:tc>
          <w:tcPr>
            <w:tcW w:w="6243" w:type="dxa"/>
            <w:tcBorders>
              <w:top w:val="single" w:sz="4" w:space="0" w:color="000000"/>
              <w:left w:val="single" w:sz="4" w:space="0" w:color="000000"/>
              <w:bottom w:val="single" w:sz="4" w:space="0" w:color="000000"/>
              <w:right w:val="single" w:sz="4" w:space="0" w:color="000000"/>
            </w:tcBorders>
          </w:tcPr>
          <w:p w:rsidR="009D219B" w:rsidP="00026F9A" w14:paraId="61FEE48E" w14:textId="3D6B54FE">
            <w:pPr>
              <w:ind w:left="100" w:right="-20"/>
              <w:contextualSpacing/>
              <w:rPr>
                <w:rFonts w:eastAsia="Times New Roman"/>
              </w:rPr>
            </w:pPr>
            <w:r>
              <w:rPr>
                <w:rFonts w:eastAsia="Times New Roman"/>
              </w:rPr>
              <w:t>An action that is reasonably necessary to reduce the potential for contamination of covered produce or food contact surfaces with known or reasonably foreseeable hazards associated with pre-harvest agricultural water. Options for mitigation measures are described in §</w:t>
            </w:r>
            <w:r w:rsidR="003D5D48">
              <w:rPr>
                <w:rFonts w:eastAsia="Times New Roman"/>
              </w:rPr>
              <w:t xml:space="preserve"> </w:t>
            </w:r>
            <w:r>
              <w:rPr>
                <w:rFonts w:eastAsia="Times New Roman"/>
              </w:rPr>
              <w:t xml:space="preserve">112.45 of the </w:t>
            </w:r>
            <w:r w:rsidR="00C164B4">
              <w:rPr>
                <w:rFonts w:eastAsia="Times New Roman"/>
              </w:rPr>
              <w:t>final</w:t>
            </w:r>
            <w:r>
              <w:rPr>
                <w:rFonts w:eastAsia="Times New Roman"/>
              </w:rPr>
              <w:t xml:space="preserve"> rule.</w:t>
            </w:r>
          </w:p>
        </w:tc>
      </w:tr>
    </w:tbl>
    <w:p w:rsidR="009D014C" w:rsidRPr="009D014C" w:rsidP="00026F9A" w14:paraId="7735A94E" w14:textId="77777777"/>
    <w:p w:rsidR="00F47D86" w:rsidRPr="0073331E" w:rsidP="00026F9A" w14:paraId="53B9F6BD" w14:textId="77777777">
      <w:pPr>
        <w:pStyle w:val="Heading2"/>
        <w:numPr>
          <w:ilvl w:val="0"/>
          <w:numId w:val="4"/>
        </w:numPr>
        <w:ind w:left="360"/>
      </w:pPr>
      <w:bookmarkStart w:id="17" w:name="_Toc102486128"/>
      <w:bookmarkStart w:id="18" w:name="_Toc139642987"/>
      <w:r w:rsidRPr="0073331E">
        <w:t>Background</w:t>
      </w:r>
      <w:bookmarkEnd w:id="17"/>
      <w:bookmarkEnd w:id="18"/>
    </w:p>
    <w:p w:rsidR="009D67D6" w:rsidP="00026F9A" w14:paraId="1CB3C587" w14:textId="7A0D7DE8">
      <w:pPr>
        <w:spacing w:line="480" w:lineRule="auto"/>
        <w:ind w:firstLine="720"/>
        <w:rPr>
          <w:sz w:val="23"/>
          <w:szCs w:val="23"/>
        </w:rPr>
      </w:pPr>
      <w:bookmarkStart w:id="19" w:name="_Toc102486129"/>
      <w:r>
        <w:t xml:space="preserve">In 2015, FDA issued the </w:t>
      </w:r>
      <w:r>
        <w:rPr>
          <w:rFonts w:eastAsia="Times New Roman"/>
        </w:rPr>
        <w:t xml:space="preserve">“Standards for the Growing, Harvesting, Packing, and Holding of Produce for Human Consumption” (hereafter referred to in this document as the </w:t>
      </w:r>
      <w:r>
        <w:t xml:space="preserve">2015 </w:t>
      </w:r>
      <w:r w:rsidR="00500677">
        <w:t>produce safety final rule</w:t>
      </w:r>
      <w:r>
        <w:rPr>
          <w:rFonts w:eastAsia="Times New Roman"/>
        </w:rPr>
        <w:t>), codified at 21 CFR 112</w:t>
      </w:r>
      <w:r w:rsidRPr="008643D1">
        <w:rPr>
          <w:rFonts w:eastAsia="Times New Roman"/>
        </w:rPr>
        <w:t>;</w:t>
      </w:r>
      <w:r w:rsidRPr="0055511E">
        <w:rPr>
          <w:rFonts w:eastAsia="Times New Roman"/>
          <w:b/>
        </w:rPr>
        <w:t xml:space="preserve"> </w:t>
      </w:r>
      <w:r w:rsidRPr="007F56F2">
        <w:rPr>
          <w:rStyle w:val="Strong"/>
          <w:b w:val="0"/>
          <w:lang w:val="en"/>
        </w:rPr>
        <w:t>80 FR 7435</w:t>
      </w:r>
      <w:r w:rsidRPr="007F56F2" w:rsidR="008E2E9F">
        <w:rPr>
          <w:rStyle w:val="Strong"/>
          <w:b w:val="0"/>
          <w:lang w:val="en"/>
        </w:rPr>
        <w:t>4</w:t>
      </w:r>
      <w:r>
        <w:rPr>
          <w:rFonts w:eastAsia="Times New Roman"/>
        </w:rPr>
        <w:t xml:space="preserve">) pursuant to the FDA Food Safety Modernization Act (FSMA). The </w:t>
      </w:r>
      <w:r>
        <w:t xml:space="preserve">2015 </w:t>
      </w:r>
      <w:r w:rsidR="00500677">
        <w:t>produce safety final rule</w:t>
      </w:r>
      <w:r w:rsidR="00500677">
        <w:rPr>
          <w:rFonts w:eastAsia="Times New Roman"/>
        </w:rPr>
        <w:t xml:space="preserve"> </w:t>
      </w:r>
      <w:r>
        <w:rPr>
          <w:rFonts w:eastAsia="Times New Roman"/>
        </w:rPr>
        <w:t xml:space="preserve">encompasses science-based </w:t>
      </w:r>
      <w:r>
        <w:rPr>
          <w:sz w:val="23"/>
          <w:szCs w:val="23"/>
        </w:rPr>
        <w:t>minimum standards for the safe growing, harvesting, packing, and holding of produce.</w:t>
      </w:r>
    </w:p>
    <w:p w:rsidR="009D67D6" w:rsidP="00026F9A" w14:paraId="37AD8105" w14:textId="31C8AA38">
      <w:pPr>
        <w:spacing w:line="480" w:lineRule="auto"/>
        <w:ind w:firstLine="720"/>
        <w:rPr>
          <w:rFonts w:eastAsia="Times New Roman"/>
        </w:rPr>
      </w:pPr>
      <w:r w:rsidRPr="00CC1875">
        <w:t xml:space="preserve">The </w:t>
      </w:r>
      <w:r>
        <w:t xml:space="preserve">2015 </w:t>
      </w:r>
      <w:r w:rsidR="00500677">
        <w:t>produce safety final rule</w:t>
      </w:r>
      <w:r w:rsidR="00AD14CD">
        <w:t xml:space="preserve"> </w:t>
      </w:r>
      <w:r>
        <w:t>provisions</w:t>
      </w:r>
      <w:r w:rsidRPr="00CC1875">
        <w:t xml:space="preserve"> focus on major routes of potential contamination of produce</w:t>
      </w:r>
      <w:r>
        <w:t>, including</w:t>
      </w:r>
      <w:r w:rsidRPr="00CC1875">
        <w:t xml:space="preserve"> worker health and hygiene</w:t>
      </w:r>
      <w:r>
        <w:t>;</w:t>
      </w:r>
      <w:r w:rsidRPr="00CC1875">
        <w:t xml:space="preserve"> agricultural water</w:t>
      </w:r>
      <w:r>
        <w:t>;</w:t>
      </w:r>
      <w:r w:rsidRPr="00CC1875">
        <w:t xml:space="preserve"> biological soil amendments</w:t>
      </w:r>
      <w:r>
        <w:t>;</w:t>
      </w:r>
      <w:r w:rsidRPr="00CC1875">
        <w:t xml:space="preserve"> domesticated and wild animals</w:t>
      </w:r>
      <w:r>
        <w:t>;</w:t>
      </w:r>
      <w:r w:rsidRPr="00CC1875">
        <w:t xml:space="preserve"> and equipment, buildings, and tools</w:t>
      </w:r>
      <w:r>
        <w:t xml:space="preserve">. </w:t>
      </w:r>
      <w:r w:rsidR="00DC04DA">
        <w:t xml:space="preserve">This rule replaces the microbial water quality criteria and </w:t>
      </w:r>
      <w:r w:rsidR="00460EC7">
        <w:t>uniform</w:t>
      </w:r>
      <w:r w:rsidR="000C0195">
        <w:t xml:space="preserve"> </w:t>
      </w:r>
      <w:r w:rsidR="00DC04DA">
        <w:t>testing requirements</w:t>
      </w:r>
      <w:r w:rsidR="003A12D8">
        <w:t xml:space="preserve"> for pre-harvest agricultural water for covered produce (other than sprouts) that were established</w:t>
      </w:r>
      <w:r w:rsidRPr="00765266">
        <w:t xml:space="preserve"> </w:t>
      </w:r>
      <w:r w:rsidRPr="00765266" w:rsidR="000A6959">
        <w:t xml:space="preserve">in </w:t>
      </w:r>
      <w:r w:rsidR="00993BAE">
        <w:t>s</w:t>
      </w:r>
      <w:r w:rsidRPr="00765266" w:rsidR="000A6959">
        <w:t xml:space="preserve">ubpart E of the 2015 </w:t>
      </w:r>
      <w:r w:rsidR="00B81888">
        <w:t>produce safety final rule</w:t>
      </w:r>
      <w:r w:rsidRPr="00840C98" w:rsidR="003A12D8">
        <w:t>.</w:t>
      </w:r>
      <w:r w:rsidRPr="00765266">
        <w:rPr>
          <w:rFonts w:eastAsia="Times New Roman"/>
        </w:rPr>
        <w:t xml:space="preserve"> </w:t>
      </w:r>
      <w:r w:rsidRPr="00840C98" w:rsidR="00765266">
        <w:rPr>
          <w:rFonts w:eastAsia="Times New Roman"/>
        </w:rPr>
        <w:t xml:space="preserve">Subpart E </w:t>
      </w:r>
      <w:r w:rsidRPr="00765266">
        <w:rPr>
          <w:rFonts w:eastAsia="Times New Roman"/>
        </w:rPr>
        <w:t>require</w:t>
      </w:r>
      <w:r w:rsidRPr="00765266" w:rsidR="00542BA0">
        <w:rPr>
          <w:rFonts w:eastAsia="Times New Roman"/>
        </w:rPr>
        <w:t>d</w:t>
      </w:r>
      <w:r w:rsidRPr="00765266">
        <w:rPr>
          <w:rFonts w:eastAsia="Times New Roman"/>
        </w:rPr>
        <w:t>,</w:t>
      </w:r>
      <w:r>
        <w:rPr>
          <w:rFonts w:eastAsia="Times New Roman"/>
        </w:rPr>
        <w:t xml:space="preserve"> in relevant part, that farms test certain water sources used during pre-harvest activities for covered produce (other than sprouts) to ensure the water meets established microbial water quality criteria. For each untreated surface water source used for pre-harvest activities for covered produce (other than sprouts), a covered farm </w:t>
      </w:r>
      <w:r w:rsidR="00E33F42">
        <w:rPr>
          <w:rFonts w:eastAsia="Times New Roman"/>
        </w:rPr>
        <w:t xml:space="preserve">would have </w:t>
      </w:r>
      <w:r>
        <w:rPr>
          <w:rFonts w:eastAsia="Times New Roman"/>
        </w:rPr>
        <w:t>conduct</w:t>
      </w:r>
      <w:r w:rsidR="00E33F42">
        <w:rPr>
          <w:rFonts w:eastAsia="Times New Roman"/>
        </w:rPr>
        <w:t>ed</w:t>
      </w:r>
      <w:r>
        <w:rPr>
          <w:rFonts w:eastAsia="Times New Roman"/>
        </w:rPr>
        <w:t xml:space="preserve"> an initial survey consisting of 20 tests (collected over 2-4 years) and update</w:t>
      </w:r>
      <w:r w:rsidR="00E33F42">
        <w:rPr>
          <w:rFonts w:eastAsia="Times New Roman"/>
        </w:rPr>
        <w:t>d</w:t>
      </w:r>
      <w:r>
        <w:rPr>
          <w:rFonts w:eastAsia="Times New Roman"/>
        </w:rPr>
        <w:t xml:space="preserve"> the microbial water quality profile with 5 new tests per year thereafter; for each untreated ground water source, a farm </w:t>
      </w:r>
      <w:r w:rsidR="00BE75B0">
        <w:rPr>
          <w:rFonts w:eastAsia="Times New Roman"/>
        </w:rPr>
        <w:t xml:space="preserve">would have </w:t>
      </w:r>
      <w:r>
        <w:rPr>
          <w:rFonts w:eastAsia="Times New Roman"/>
        </w:rPr>
        <w:t>conduct</w:t>
      </w:r>
      <w:r w:rsidR="00BE75B0">
        <w:rPr>
          <w:rFonts w:eastAsia="Times New Roman"/>
        </w:rPr>
        <w:t>ed</w:t>
      </w:r>
      <w:r>
        <w:rPr>
          <w:rFonts w:eastAsia="Times New Roman"/>
        </w:rPr>
        <w:t xml:space="preserve"> an initial survey consisting of 4 </w:t>
      </w:r>
      <w:r>
        <w:rPr>
          <w:rFonts w:eastAsia="Times New Roman"/>
        </w:rPr>
        <w:t>tests (taken during the growing season or over a period of 1 year) and update</w:t>
      </w:r>
      <w:r w:rsidR="00BE75B0">
        <w:rPr>
          <w:rFonts w:eastAsia="Times New Roman"/>
        </w:rPr>
        <w:t>d</w:t>
      </w:r>
      <w:r>
        <w:rPr>
          <w:rFonts w:eastAsia="Times New Roman"/>
        </w:rPr>
        <w:t xml:space="preserve"> the water quality profile with 1 new test per year thereafter</w:t>
      </w:r>
      <w:r w:rsidR="000B291E">
        <w:rPr>
          <w:rFonts w:eastAsia="Times New Roman"/>
        </w:rPr>
        <w:t>.</w:t>
      </w:r>
      <w:r>
        <w:rPr>
          <w:rFonts w:eastAsia="Times New Roman"/>
        </w:rPr>
        <w:t xml:space="preserve"> (</w:t>
      </w:r>
      <w:r w:rsidR="000B291E">
        <w:rPr>
          <w:rFonts w:eastAsia="Times New Roman"/>
        </w:rPr>
        <w:t xml:space="preserve">See </w:t>
      </w:r>
      <w:r>
        <w:rPr>
          <w:rFonts w:eastAsia="Times New Roman"/>
        </w:rPr>
        <w:t>§</w:t>
      </w:r>
      <w:r w:rsidR="00BE75B0">
        <w:rPr>
          <w:rFonts w:eastAsia="Times New Roman"/>
        </w:rPr>
        <w:t xml:space="preserve"> </w:t>
      </w:r>
      <w:r>
        <w:rPr>
          <w:rFonts w:eastAsia="Times New Roman"/>
        </w:rPr>
        <w:t>112.46(b)</w:t>
      </w:r>
      <w:r w:rsidR="000B291E">
        <w:rPr>
          <w:rFonts w:eastAsia="Times New Roman"/>
        </w:rPr>
        <w:t xml:space="preserve"> as established in the 2015 </w:t>
      </w:r>
      <w:r w:rsidR="00B81888">
        <w:t>produce safety final rule</w:t>
      </w:r>
      <w:r w:rsidR="0027776E">
        <w:rPr>
          <w:rFonts w:eastAsia="Times New Roman"/>
        </w:rPr>
        <w:t>.</w:t>
      </w:r>
      <w:r>
        <w:rPr>
          <w:rFonts w:eastAsia="Times New Roman"/>
        </w:rPr>
        <w:t xml:space="preserve">)  </w:t>
      </w:r>
    </w:p>
    <w:p w:rsidR="009D67D6" w:rsidP="00026F9A" w14:paraId="163B6068" w14:textId="785BF929">
      <w:pPr>
        <w:spacing w:line="480" w:lineRule="auto"/>
        <w:ind w:firstLine="720"/>
        <w:rPr>
          <w:rFonts w:eastAsia="Times New Roman"/>
        </w:rPr>
      </w:pPr>
      <w:r>
        <w:rPr>
          <w:rFonts w:eastAsia="Times New Roman"/>
        </w:rPr>
        <w:t xml:space="preserve">For pre-harvest agricultural water directly applied to non-sprout covered produce, the following microbial water quality criteria would have applied (see § 112.44(b) as established in the 2015 </w:t>
      </w:r>
      <w:r w:rsidR="00B81888">
        <w:t>produce safety final rule</w:t>
      </w:r>
      <w:r>
        <w:rPr>
          <w:rFonts w:eastAsia="Times New Roman"/>
        </w:rPr>
        <w:t>):</w:t>
      </w:r>
    </w:p>
    <w:p w:rsidR="009D67D6" w:rsidP="00026F9A" w14:paraId="7EEE231C" w14:textId="43B49C7B">
      <w:pPr>
        <w:pStyle w:val="ListParagraph"/>
        <w:numPr>
          <w:ilvl w:val="0"/>
          <w:numId w:val="7"/>
        </w:numPr>
        <w:spacing w:after="0" w:line="480" w:lineRule="auto"/>
      </w:pPr>
      <w:r w:rsidRPr="00793C15">
        <w:t xml:space="preserve">A geometric mean (GM) of 126 or less colony forming units (CFU) of generic </w:t>
      </w:r>
      <w:r w:rsidRPr="00793C15">
        <w:rPr>
          <w:i/>
          <w:iCs/>
        </w:rPr>
        <w:t>E. coli</w:t>
      </w:r>
      <w:r w:rsidRPr="00793C15">
        <w:t xml:space="preserve"> per 100 mL of water (GM is a measure of the central tendency of your water quality distribution); and</w:t>
      </w:r>
    </w:p>
    <w:p w:rsidR="009D67D6" w:rsidRPr="0015338D" w:rsidP="00026F9A" w14:paraId="12F8C0AA" w14:textId="06F7ADBB">
      <w:pPr>
        <w:pStyle w:val="ListParagraph"/>
        <w:numPr>
          <w:ilvl w:val="0"/>
          <w:numId w:val="7"/>
        </w:numPr>
        <w:spacing w:after="0" w:line="480" w:lineRule="auto"/>
      </w:pPr>
      <w:r w:rsidRPr="0015338D">
        <w:t xml:space="preserve">A statistical threshold value (STV) of 410 or less CFU of generic </w:t>
      </w:r>
      <w:r w:rsidRPr="0015338D">
        <w:rPr>
          <w:i/>
          <w:iCs/>
        </w:rPr>
        <w:t>E. coli</w:t>
      </w:r>
      <w:r w:rsidRPr="0015338D">
        <w:t xml:space="preserve"> per 100 mL of water (STV is a measure of variability of your water quality distribution, derived as a model-based calculation approximating the 90th percentile using the lognormal distribution).</w:t>
      </w:r>
    </w:p>
    <w:p w:rsidR="00004781" w:rsidP="00026F9A" w14:paraId="017FF113" w14:textId="79BF051C">
      <w:pPr>
        <w:spacing w:line="480" w:lineRule="auto"/>
        <w:ind w:firstLine="720"/>
        <w:rPr>
          <w:rFonts w:eastAsia="Times New Roman"/>
        </w:rPr>
      </w:pPr>
      <w:r>
        <w:t xml:space="preserve">The 2015 </w:t>
      </w:r>
      <w:r w:rsidR="00B81888">
        <w:t>produce safety final rule</w:t>
      </w:r>
      <w:r w:rsidR="001F22C7">
        <w:t xml:space="preserve"> </w:t>
      </w:r>
      <w:r>
        <w:t xml:space="preserve">initially established compliance dates </w:t>
      </w:r>
      <w:r w:rsidR="001A6C69">
        <w:t xml:space="preserve">for </w:t>
      </w:r>
      <w:r w:rsidR="004D3FA9">
        <w:t>most provisions</w:t>
      </w:r>
      <w:r w:rsidR="001F22C7">
        <w:t xml:space="preserve"> of that rule</w:t>
      </w:r>
      <w:r w:rsidR="00A15F15">
        <w:t xml:space="preserve">, </w:t>
      </w:r>
      <w:r w:rsidR="004D3FA9">
        <w:t xml:space="preserve">ranging from 2 to 4 years based on the size of the </w:t>
      </w:r>
      <w:r w:rsidR="00533EE1">
        <w:t xml:space="preserve">covered </w:t>
      </w:r>
      <w:r w:rsidR="004D3FA9">
        <w:t>farm, with an additional 2 years to comply with some of the</w:t>
      </w:r>
      <w:r>
        <w:t xml:space="preserve"> agricultural water pro</w:t>
      </w:r>
      <w:r w:rsidRPr="00472210">
        <w:t xml:space="preserve">visions </w:t>
      </w:r>
      <w:r>
        <w:t xml:space="preserve">for non-sprout covered produce </w:t>
      </w:r>
      <w:r w:rsidRPr="00472210">
        <w:t>(</w:t>
      </w:r>
      <w:r>
        <w:t xml:space="preserve">see </w:t>
      </w:r>
      <w:r w:rsidRPr="00472210">
        <w:t>§§ 112.44, 112.45(a) (with respect to the § 112.44(a) criterion), 112.45(b), 112.46(b)(1) (with respect to untreated ground water), 112.46(b)(2) and (b)(3), and 112.46(c)</w:t>
      </w:r>
      <w:r w:rsidR="00BA67FA">
        <w:t xml:space="preserve"> as established in the 2015 </w:t>
      </w:r>
      <w:r w:rsidR="00B81888">
        <w:t>produce safety final rule</w:t>
      </w:r>
      <w:r w:rsidRPr="00472210">
        <w:t>)</w:t>
      </w:r>
      <w:r>
        <w:t>. In 2019, FDA issued an additional rule (</w:t>
      </w:r>
      <w:r>
        <w:rPr>
          <w:rFonts w:eastAsia="Times New Roman"/>
        </w:rPr>
        <w:t xml:space="preserve">“Standards for the Growing, Harvesting, Packing, and Holding of Produce for Human Consumption; Extension of Compliance Dates for Subpart E,” hereafter referred to as “2019 </w:t>
      </w:r>
      <w:r w:rsidR="00993BAE">
        <w:rPr>
          <w:rFonts w:eastAsia="Times New Roman"/>
        </w:rPr>
        <w:t>c</w:t>
      </w:r>
      <w:r>
        <w:rPr>
          <w:rFonts w:eastAsia="Times New Roman"/>
        </w:rPr>
        <w:t xml:space="preserve">ompliance </w:t>
      </w:r>
      <w:r w:rsidR="00993BAE">
        <w:rPr>
          <w:rFonts w:eastAsia="Times New Roman"/>
        </w:rPr>
        <w:t>d</w:t>
      </w:r>
      <w:r w:rsidR="007A69B1">
        <w:rPr>
          <w:rFonts w:eastAsia="Times New Roman"/>
        </w:rPr>
        <w:t xml:space="preserve">ate </w:t>
      </w:r>
      <w:r w:rsidR="00993BAE">
        <w:rPr>
          <w:rFonts w:eastAsia="Times New Roman"/>
        </w:rPr>
        <w:t>e</w:t>
      </w:r>
      <w:r>
        <w:rPr>
          <w:rFonts w:eastAsia="Times New Roman"/>
        </w:rPr>
        <w:t>xtension”</w:t>
      </w:r>
      <w:r w:rsidR="005B5B8C">
        <w:rPr>
          <w:rFonts w:eastAsia="Times New Roman"/>
        </w:rPr>
        <w:t xml:space="preserve"> </w:t>
      </w:r>
      <w:r w:rsidR="00562310">
        <w:rPr>
          <w:rFonts w:eastAsia="Times New Roman"/>
        </w:rPr>
        <w:t>(</w:t>
      </w:r>
      <w:r w:rsidRPr="0062635B" w:rsidR="00562310">
        <w:t>84 FR 9706</w:t>
      </w:r>
      <w:r w:rsidR="00562310">
        <w:t>)</w:t>
      </w:r>
      <w:r>
        <w:rPr>
          <w:rFonts w:eastAsia="Times New Roman"/>
        </w:rPr>
        <w:t xml:space="preserve">) that extended compliance dates for all </w:t>
      </w:r>
      <w:r w:rsidR="00993BAE">
        <w:rPr>
          <w:rFonts w:eastAsia="Times New Roman"/>
        </w:rPr>
        <w:t>s</w:t>
      </w:r>
      <w:r>
        <w:rPr>
          <w:rFonts w:eastAsia="Times New Roman"/>
        </w:rPr>
        <w:t xml:space="preserve">ubpart E </w:t>
      </w:r>
      <w:r>
        <w:rPr>
          <w:rFonts w:eastAsia="Times New Roman"/>
        </w:rPr>
        <w:t xml:space="preserve">provisions for covered produce other than sprouts until 2 to 4 years after the original compliance dates specified in the </w:t>
      </w:r>
      <w:r>
        <w:t xml:space="preserve">2015 </w:t>
      </w:r>
      <w:r w:rsidR="00B81888">
        <w:t>produce safety final rule</w:t>
      </w:r>
      <w:r>
        <w:rPr>
          <w:rFonts w:eastAsia="Times New Roman"/>
        </w:rPr>
        <w:t xml:space="preserve">. </w:t>
      </w:r>
    </w:p>
    <w:p w:rsidR="00004781" w:rsidP="00026F9A" w14:paraId="2AA6A171" w14:textId="5433A89F">
      <w:pPr>
        <w:spacing w:line="480" w:lineRule="auto"/>
        <w:ind w:firstLine="720"/>
        <w:rPr>
          <w:color w:val="323232"/>
        </w:rPr>
      </w:pPr>
      <w:r w:rsidRPr="00004781">
        <w:t xml:space="preserve">The 2021 </w:t>
      </w:r>
      <w:r w:rsidR="00ED6619">
        <w:t>agricultural water proposed rule</w:t>
      </w:r>
      <w:r w:rsidRPr="00004781" w:rsidR="00ED6619">
        <w:t xml:space="preserve"> </w:t>
      </w:r>
      <w:r w:rsidR="00A96493">
        <w:t xml:space="preserve">(“Standards </w:t>
      </w:r>
      <w:r w:rsidR="005A59CD">
        <w:t>for the Growing, Harvesting, Packing, and Holding of Produce for Human Consumption Relating to Agricultural Water” (</w:t>
      </w:r>
      <w:r w:rsidRPr="0062635B" w:rsidR="002E29D3">
        <w:t>86 FR 69120</w:t>
      </w:r>
      <w:r w:rsidR="002E29D3">
        <w:t>))</w:t>
      </w:r>
      <w:r w:rsidRPr="00004781">
        <w:t xml:space="preserve"> preamble remind</w:t>
      </w:r>
      <w:r w:rsidR="006F133C">
        <w:t>ed</w:t>
      </w:r>
      <w:r w:rsidRPr="00004781">
        <w:t xml:space="preserve"> stakeholders that </w:t>
      </w:r>
      <w:r w:rsidR="009301C3">
        <w:t xml:space="preserve">at that time, </w:t>
      </w:r>
      <w:r w:rsidR="0004189B">
        <w:t xml:space="preserve">covered farms were required to comply with </w:t>
      </w:r>
      <w:r w:rsidRPr="00004781">
        <w:t xml:space="preserve">the subpart E pre-harvest, harvest, and post-harvest agricultural water requirements for covered produce (other than sprouts) </w:t>
      </w:r>
      <w:r w:rsidR="0004189B">
        <w:t>beginning on</w:t>
      </w:r>
      <w:r w:rsidRPr="00004781" w:rsidR="0004189B">
        <w:t xml:space="preserve"> </w:t>
      </w:r>
      <w:r w:rsidRPr="00004781">
        <w:t>January 26, 2024, for very small farms; January 26, 2023, for small farms; and January 26, 2022, for all other covered farms (</w:t>
      </w:r>
      <w:r w:rsidRPr="0062635B">
        <w:t>84 FR 9706</w:t>
      </w:r>
      <w:r w:rsidRPr="00004781">
        <w:t>). Further, it explain</w:t>
      </w:r>
      <w:r w:rsidR="00C02639">
        <w:t>ed</w:t>
      </w:r>
      <w:r w:rsidRPr="00004781">
        <w:t xml:space="preserve"> that FDA intend</w:t>
      </w:r>
      <w:r w:rsidR="00C02639">
        <w:t>ed</w:t>
      </w:r>
      <w:r w:rsidRPr="00004781">
        <w:t xml:space="preserve"> to exercise enforcement discretion for th</w:t>
      </w:r>
      <w:r w:rsidR="00306D3C">
        <w:t>o</w:t>
      </w:r>
      <w:r w:rsidRPr="00004781">
        <w:t xml:space="preserve">se requirements while working to address </w:t>
      </w:r>
      <w:r w:rsidRPr="00004781">
        <w:rPr>
          <w:color w:val="323232"/>
        </w:rPr>
        <w:t xml:space="preserve">compliance dates in a targeted manner through the rulemaking process, with the goal of completing the rulemaking as quickly as possible </w:t>
      </w:r>
      <w:r w:rsidRPr="00004781">
        <w:t>(</w:t>
      </w:r>
      <w:r w:rsidRPr="0062635B">
        <w:t>86 FR 69147</w:t>
      </w:r>
      <w:r w:rsidRPr="00004781">
        <w:t>)</w:t>
      </w:r>
      <w:r w:rsidRPr="00004781">
        <w:rPr>
          <w:color w:val="323232"/>
        </w:rPr>
        <w:t>.</w:t>
      </w:r>
    </w:p>
    <w:p w:rsidR="00422E3E" w:rsidP="00026F9A" w14:paraId="38FC6C9E" w14:textId="773688F6">
      <w:pPr>
        <w:spacing w:line="480" w:lineRule="auto"/>
        <w:ind w:firstLine="720"/>
      </w:pPr>
      <w:r>
        <w:rPr>
          <w:color w:val="323232"/>
        </w:rPr>
        <w:t>In 2022, FDA issued</w:t>
      </w:r>
      <w:r w:rsidR="002D797A">
        <w:rPr>
          <w:color w:val="323232"/>
        </w:rPr>
        <w:t xml:space="preserve"> a supplemental notice of proposed rulemaking</w:t>
      </w:r>
      <w:r>
        <w:rPr>
          <w:color w:val="323232"/>
        </w:rPr>
        <w:t xml:space="preserve"> </w:t>
      </w:r>
      <w:r w:rsidR="002D797A">
        <w:rPr>
          <w:color w:val="323232"/>
        </w:rPr>
        <w:t>(“</w:t>
      </w:r>
      <w:r>
        <w:rPr>
          <w:color w:val="323232"/>
        </w:rPr>
        <w:t>Supplemental Notice of Proposed Rulemaking</w:t>
      </w:r>
      <w:r w:rsidR="0047568A">
        <w:rPr>
          <w:color w:val="323232"/>
        </w:rPr>
        <w:t>: Standards for the Growing, Harvesting, Packing, and Holding of Produce for Human Consumption Relating to Agricultural Water</w:t>
      </w:r>
      <w:r w:rsidR="002D797A">
        <w:rPr>
          <w:color w:val="323232"/>
        </w:rPr>
        <w:t>”</w:t>
      </w:r>
      <w:r w:rsidR="00F35A4B">
        <w:rPr>
          <w:color w:val="323232"/>
        </w:rPr>
        <w:t xml:space="preserve"> (</w:t>
      </w:r>
      <w:r w:rsidRPr="0062635B" w:rsidR="00F35A4B">
        <w:t>87 FR 42973</w:t>
      </w:r>
      <w:r w:rsidR="00F35A4B">
        <w:t>)</w:t>
      </w:r>
      <w:r w:rsidR="002D797A">
        <w:t xml:space="preserve">) that </w:t>
      </w:r>
      <w:r w:rsidR="00D70384">
        <w:t>proposed</w:t>
      </w:r>
      <w:r w:rsidR="002D797A">
        <w:t xml:space="preserve"> compliance dates for </w:t>
      </w:r>
      <w:r w:rsidR="002F1586">
        <w:t xml:space="preserve">the pre-harvest agricultural water provisions </w:t>
      </w:r>
      <w:r w:rsidR="007972CD">
        <w:t xml:space="preserve">in the 2021 </w:t>
      </w:r>
      <w:r w:rsidR="00ED6619">
        <w:t xml:space="preserve">agricultural water proposed rule </w:t>
      </w:r>
      <w:r w:rsidR="00E5263C">
        <w:t>for covered produce other than sprouts of:</w:t>
      </w:r>
    </w:p>
    <w:p w:rsidR="00E5263C" w:rsidP="00026F9A" w14:paraId="6AF789FC" w14:textId="53E600EB">
      <w:pPr>
        <w:pStyle w:val="ListParagraph"/>
        <w:numPr>
          <w:ilvl w:val="0"/>
          <w:numId w:val="8"/>
        </w:numPr>
        <w:spacing w:line="480" w:lineRule="auto"/>
        <w:rPr>
          <w:color w:val="323232"/>
        </w:rPr>
      </w:pPr>
      <w:r>
        <w:rPr>
          <w:color w:val="323232"/>
        </w:rPr>
        <w:t>2 years and 9 months after the effective date of a final rule for very small farms;</w:t>
      </w:r>
    </w:p>
    <w:p w:rsidR="00025551" w:rsidP="00026F9A" w14:paraId="39BE1ACD" w14:textId="4C265211">
      <w:pPr>
        <w:pStyle w:val="ListParagraph"/>
        <w:numPr>
          <w:ilvl w:val="0"/>
          <w:numId w:val="8"/>
        </w:numPr>
        <w:spacing w:line="480" w:lineRule="auto"/>
        <w:rPr>
          <w:color w:val="323232"/>
        </w:rPr>
      </w:pPr>
      <w:r>
        <w:rPr>
          <w:color w:val="323232"/>
        </w:rPr>
        <w:t>1 year and 9 months after the effective date of a final rule for small farms;</w:t>
      </w:r>
    </w:p>
    <w:p w:rsidR="008D5CAA" w:rsidP="00026F9A" w14:paraId="6AF8DFC6" w14:textId="42977F84">
      <w:pPr>
        <w:pStyle w:val="ListParagraph"/>
        <w:numPr>
          <w:ilvl w:val="0"/>
          <w:numId w:val="8"/>
        </w:numPr>
        <w:spacing w:line="480" w:lineRule="auto"/>
        <w:rPr>
          <w:color w:val="323232"/>
        </w:rPr>
      </w:pPr>
      <w:r>
        <w:rPr>
          <w:color w:val="323232"/>
        </w:rPr>
        <w:t xml:space="preserve">9 months after the effective date of a final rule for </w:t>
      </w:r>
      <w:r w:rsidR="008E2CFC">
        <w:rPr>
          <w:color w:val="323232"/>
        </w:rPr>
        <w:t>all other (large) farms.</w:t>
      </w:r>
    </w:p>
    <w:p w:rsidR="00795B76" w:rsidRPr="00840C98" w:rsidP="00026F9A" w14:paraId="5E6BF095" w14:textId="37449201">
      <w:pPr>
        <w:spacing w:line="480" w:lineRule="auto"/>
        <w:rPr>
          <w:color w:val="323232"/>
        </w:rPr>
      </w:pPr>
      <w:r>
        <w:rPr>
          <w:color w:val="323232"/>
        </w:rPr>
        <w:t xml:space="preserve">We also explained that </w:t>
      </w:r>
      <w:r w:rsidR="00D9637C">
        <w:rPr>
          <w:color w:val="323232"/>
        </w:rPr>
        <w:t>o</w:t>
      </w:r>
      <w:r w:rsidRPr="00D9637C" w:rsidR="00D9637C">
        <w:rPr>
          <w:color w:val="323232"/>
        </w:rPr>
        <w:t xml:space="preserve">ur goal </w:t>
      </w:r>
      <w:r w:rsidR="00D9637C">
        <w:rPr>
          <w:color w:val="323232"/>
        </w:rPr>
        <w:t>was</w:t>
      </w:r>
      <w:r w:rsidRPr="00D9637C" w:rsidR="00D9637C">
        <w:rPr>
          <w:color w:val="323232"/>
        </w:rPr>
        <w:t xml:space="preserve"> to complete </w:t>
      </w:r>
      <w:r w:rsidR="00D9637C">
        <w:rPr>
          <w:color w:val="323232"/>
        </w:rPr>
        <w:t>that</w:t>
      </w:r>
      <w:r w:rsidRPr="00D9637C" w:rsidR="00D9637C">
        <w:rPr>
          <w:color w:val="323232"/>
        </w:rPr>
        <w:t xml:space="preserve"> rulemaking as quickly as possible, and </w:t>
      </w:r>
      <w:r w:rsidR="00D9637C">
        <w:rPr>
          <w:color w:val="323232"/>
        </w:rPr>
        <w:t xml:space="preserve">that </w:t>
      </w:r>
      <w:r w:rsidRPr="00D9637C" w:rsidR="00D9637C">
        <w:rPr>
          <w:color w:val="323232"/>
        </w:rPr>
        <w:t>in the meantime, we intend</w:t>
      </w:r>
      <w:r w:rsidR="00D9637C">
        <w:rPr>
          <w:color w:val="323232"/>
        </w:rPr>
        <w:t>ed</w:t>
      </w:r>
      <w:r w:rsidRPr="00D9637C" w:rsidR="00D9637C">
        <w:rPr>
          <w:color w:val="323232"/>
        </w:rPr>
        <w:t xml:space="preserve"> to exercise enforcement discretion for the pre-harvest agricultural water requirements in the</w:t>
      </w:r>
      <w:r w:rsidR="00095032">
        <w:rPr>
          <w:color w:val="323232"/>
        </w:rPr>
        <w:t xml:space="preserve"> 2015 </w:t>
      </w:r>
      <w:r w:rsidR="00B81888">
        <w:t>produce safety final rule</w:t>
      </w:r>
      <w:r w:rsidR="00095032">
        <w:rPr>
          <w:color w:val="323232"/>
        </w:rPr>
        <w:t xml:space="preserve"> </w:t>
      </w:r>
      <w:r w:rsidRPr="00D9637C" w:rsidR="00D9637C">
        <w:rPr>
          <w:color w:val="323232"/>
        </w:rPr>
        <w:t xml:space="preserve">for covered produce other than sprouts.  </w:t>
      </w:r>
    </w:p>
    <w:p w:rsidR="00F47D86" w:rsidRPr="0073331E" w:rsidP="00026F9A" w14:paraId="533EF532" w14:textId="41D427BC">
      <w:pPr>
        <w:pStyle w:val="Heading2"/>
      </w:pPr>
      <w:bookmarkStart w:id="20" w:name="_Toc139642988"/>
      <w:r>
        <w:t>Potential Need</w:t>
      </w:r>
      <w:r w:rsidRPr="0073331E" w:rsidR="00FC2498">
        <w:t xml:space="preserve"> </w:t>
      </w:r>
      <w:r w:rsidR="009421A8">
        <w:t xml:space="preserve">for </w:t>
      </w:r>
      <w:r w:rsidRPr="0073331E">
        <w:t>Federal Regulatory Action</w:t>
      </w:r>
      <w:bookmarkEnd w:id="19"/>
      <w:bookmarkEnd w:id="20"/>
    </w:p>
    <w:p w:rsidR="005C0E12" w:rsidRPr="008177E0" w:rsidP="00026F9A" w14:paraId="73A38FBB" w14:textId="03D2DBFC">
      <w:pPr>
        <w:spacing w:line="480" w:lineRule="auto"/>
        <w:ind w:firstLine="720"/>
      </w:pPr>
      <w:r>
        <w:t>T</w:t>
      </w:r>
      <w:r w:rsidRPr="00503BE2">
        <w:t>his rule stems from</w:t>
      </w:r>
      <w:r>
        <w:t xml:space="preserve"> the need to amend the pre-harvest agricultural water</w:t>
      </w:r>
      <w:r w:rsidR="00DC4A4C">
        <w:t xml:space="preserve"> microbial quality criteria and testing</w:t>
      </w:r>
      <w:r>
        <w:t xml:space="preserve"> requirements in the 2015</w:t>
      </w:r>
      <w:r w:rsidRPr="00503BE2">
        <w:t xml:space="preserve"> </w:t>
      </w:r>
      <w:r w:rsidR="00B81888">
        <w:t>produce safety final rule</w:t>
      </w:r>
      <w:r w:rsidR="00AD14CD">
        <w:t xml:space="preserve"> </w:t>
      </w:r>
      <w:r w:rsidR="004B3FBE">
        <w:t xml:space="preserve">to be adequately protective based on recent science, data, and other information available to FDA. </w:t>
      </w:r>
      <w:r w:rsidR="0092777F">
        <w:t xml:space="preserve">It also stems, in part, from </w:t>
      </w:r>
      <w:r w:rsidR="006E7839">
        <w:t xml:space="preserve">frequent and consistent </w:t>
      </w:r>
      <w:r w:rsidR="00231241">
        <w:t xml:space="preserve">feedback </w:t>
      </w:r>
      <w:r w:rsidR="00293CAE">
        <w:t xml:space="preserve">on practical implementation challenges associated with the </w:t>
      </w:r>
      <w:r w:rsidR="00460EC7">
        <w:t>uniform</w:t>
      </w:r>
      <w:r w:rsidR="002A1C8A">
        <w:t xml:space="preserve"> </w:t>
      </w:r>
      <w:r w:rsidR="00293CAE">
        <w:t xml:space="preserve">2015 pre-harvest agricultural water testing requirements </w:t>
      </w:r>
      <w:r w:rsidR="00231241">
        <w:t xml:space="preserve">that </w:t>
      </w:r>
      <w:r w:rsidR="006E7839">
        <w:t>has come from farms of many commodities in many regions, both individually and in groups via associations</w:t>
      </w:r>
      <w:r w:rsidRPr="00503BE2">
        <w:t xml:space="preserve">. </w:t>
      </w:r>
      <w:r>
        <w:t>FDA has considered</w:t>
      </w:r>
      <w:r w:rsidRPr="00503BE2">
        <w:t xml:space="preserve"> concerns </w:t>
      </w:r>
      <w:r>
        <w:t>raised about</w:t>
      </w:r>
      <w:r w:rsidRPr="00503BE2">
        <w:t xml:space="preserve"> the </w:t>
      </w:r>
      <w:r>
        <w:t xml:space="preserve">complexity and </w:t>
      </w:r>
      <w:r w:rsidRPr="00503BE2">
        <w:t xml:space="preserve">practical implementation </w:t>
      </w:r>
      <w:r>
        <w:t xml:space="preserve">challenges </w:t>
      </w:r>
      <w:r w:rsidRPr="00503BE2">
        <w:t xml:space="preserve">of </w:t>
      </w:r>
      <w:r>
        <w:t xml:space="preserve">pre-harvest </w:t>
      </w:r>
      <w:r w:rsidRPr="00503BE2">
        <w:t>agricultural water testing requirements</w:t>
      </w:r>
      <w:r>
        <w:t xml:space="preserve"> for covered produce other than sprouts</w:t>
      </w:r>
      <w:r w:rsidRPr="00503BE2">
        <w:t xml:space="preserve">. </w:t>
      </w:r>
      <w:r w:rsidR="00DC44D4">
        <w:t xml:space="preserve">After evaluating relevant information gathered since publication of the 2015 </w:t>
      </w:r>
      <w:r w:rsidR="00B81888">
        <w:t>produce safety final rule</w:t>
      </w:r>
      <w:r w:rsidR="00DC44D4">
        <w:t xml:space="preserve">, </w:t>
      </w:r>
      <w:r w:rsidR="00E53FDF">
        <w:t xml:space="preserve">considering feedback from an array of stakeholders, </w:t>
      </w:r>
      <w:r w:rsidRPr="009C136B" w:rsidR="00A579CC">
        <w:t xml:space="preserve">we </w:t>
      </w:r>
      <w:r w:rsidR="00A579CC">
        <w:t xml:space="preserve">have </w:t>
      </w:r>
      <w:r w:rsidRPr="009C136B" w:rsidR="00A579CC">
        <w:t xml:space="preserve">concluded that the most appropriate regulatory approach </w:t>
      </w:r>
      <w:r w:rsidR="00CD75CC">
        <w:t xml:space="preserve">to address these concerns </w:t>
      </w:r>
      <w:r w:rsidR="00A579CC">
        <w:t>is</w:t>
      </w:r>
      <w:r w:rsidRPr="009C136B" w:rsidR="00A579CC">
        <w:t xml:space="preserve"> to undertake rulemaking</w:t>
      </w:r>
      <w:r w:rsidR="00A579CC">
        <w:t>.</w:t>
      </w:r>
      <w:r w:rsidR="00DC44D4">
        <w:t xml:space="preserve"> </w:t>
      </w:r>
      <w:r w:rsidR="00AE04C1">
        <w:t>This final rule</w:t>
      </w:r>
      <w:r w:rsidRPr="00B8370F">
        <w:t xml:space="preserve"> replace</w:t>
      </w:r>
      <w:r w:rsidR="00AE04C1">
        <w:t xml:space="preserve">s </w:t>
      </w:r>
      <w:r w:rsidRPr="00B8370F">
        <w:t xml:space="preserve">the microbial criteria and </w:t>
      </w:r>
      <w:r w:rsidR="00460EC7">
        <w:t>uniform</w:t>
      </w:r>
      <w:r w:rsidR="008C271C">
        <w:t xml:space="preserve"> </w:t>
      </w:r>
      <w:r w:rsidRPr="00B8370F">
        <w:t xml:space="preserve">testing requirements for pre-harvest agricultural water for covered produce (other than sprouts) with provisions for systems-based agricultural water assessments that are designed to </w:t>
      </w:r>
      <w:r w:rsidRPr="00B8370F" w:rsidR="00811372">
        <w:t>achiev</w:t>
      </w:r>
      <w:r w:rsidR="00811372">
        <w:t>e</w:t>
      </w:r>
      <w:r w:rsidRPr="00B8370F" w:rsidR="00811372">
        <w:t xml:space="preserve"> improved public health protections</w:t>
      </w:r>
      <w:r w:rsidR="00802CFC">
        <w:t xml:space="preserve"> and </w:t>
      </w:r>
      <w:r w:rsidRPr="00802CFC" w:rsidR="00802CFC">
        <w:t>more comprehensively address a known route of contamination that can lead to preventable foodborne illness that is a significant public health problem.</w:t>
      </w:r>
      <w:r w:rsidR="00802CFC">
        <w:t xml:space="preserve"> Moreover, </w:t>
      </w:r>
      <w:r w:rsidR="009868B1">
        <w:t>these requirements are designed to be</w:t>
      </w:r>
      <w:r w:rsidRPr="00B8370F">
        <w:t xml:space="preserve"> more feasible to implement across the wide variety of agricultural water systems, uses, and practices, </w:t>
      </w:r>
      <w:r w:rsidR="00811372">
        <w:t xml:space="preserve">and </w:t>
      </w:r>
      <w:r w:rsidRPr="00B8370F">
        <w:t xml:space="preserve">adaptable to </w:t>
      </w:r>
      <w:r w:rsidRPr="000F25DB">
        <w:t>future</w:t>
      </w:r>
      <w:r>
        <w:t xml:space="preserve"> </w:t>
      </w:r>
      <w:r w:rsidRPr="00B8370F">
        <w:t>advancements in agricultural water quality science.</w:t>
      </w:r>
    </w:p>
    <w:p w:rsidR="005C0E12" w:rsidRPr="005C0E12" w:rsidP="00026F9A" w14:paraId="49D7B766" w14:textId="77777777">
      <w:pPr>
        <w:rPr>
          <w:iCs/>
        </w:rPr>
      </w:pPr>
    </w:p>
    <w:p w:rsidR="00F47D86" w:rsidRPr="0073331E" w:rsidP="00026F9A" w14:paraId="0B7678B0" w14:textId="545A4C96">
      <w:pPr>
        <w:pStyle w:val="Heading2"/>
      </w:pPr>
      <w:bookmarkStart w:id="21" w:name="_Toc102486130"/>
      <w:bookmarkStart w:id="22" w:name="_Toc139642989"/>
      <w:r w:rsidRPr="0073331E">
        <w:t>Purpose of the Rule</w:t>
      </w:r>
      <w:bookmarkEnd w:id="21"/>
      <w:bookmarkEnd w:id="22"/>
    </w:p>
    <w:p w:rsidR="002F2FB0" w:rsidP="00026F9A" w14:paraId="19DE0067" w14:textId="1753D459">
      <w:pPr>
        <w:spacing w:line="480" w:lineRule="auto"/>
        <w:ind w:firstLine="720"/>
      </w:pPr>
      <w:r>
        <w:t xml:space="preserve">This final rule replaces </w:t>
      </w:r>
      <w:r w:rsidR="008E35E2">
        <w:t>the pre-harvest agricultural water microbial quality criteria and</w:t>
      </w:r>
      <w:r>
        <w:t xml:space="preserve"> </w:t>
      </w:r>
      <w:r w:rsidR="00460EC7">
        <w:t>uniform</w:t>
      </w:r>
      <w:r w:rsidR="008C271C">
        <w:t xml:space="preserve"> </w:t>
      </w:r>
      <w:r>
        <w:t xml:space="preserve">testing provisions for non-sprout covered produce with provisions for </w:t>
      </w:r>
      <w:r w:rsidR="009D5A04">
        <w:t xml:space="preserve">at least </w:t>
      </w:r>
      <w:r>
        <w:t>annual pre-harvest agricultural water assessment</w:t>
      </w:r>
      <w:r w:rsidR="009D5A04">
        <w:t>s</w:t>
      </w:r>
      <w:r>
        <w:t xml:space="preserve"> in which farms using pre-harvest agricultural water for non-sprout covered produce will holistically evaluate potential hazards that may impact their water sources. If covered farms determine there are known or reasonably foreseeable hazards associated with their pre-harvest agricultural water, they must conduct </w:t>
      </w:r>
      <w:r w:rsidRPr="00282F54">
        <w:rPr>
          <w:rFonts w:eastAsia="Times New Roman"/>
          <w:color w:val="000000"/>
        </w:rPr>
        <w:t>any mitigation measures that are reasonably necessary to reduce the potential for contamination of covered produce or food contact surfaces</w:t>
      </w:r>
      <w:r>
        <w:t xml:space="preserve"> </w:t>
      </w:r>
      <w:r w:rsidRPr="00282F54">
        <w:rPr>
          <w:rFonts w:eastAsia="Times New Roman"/>
          <w:color w:val="000000"/>
        </w:rPr>
        <w:t xml:space="preserve">as soon as practicable and no later than </w:t>
      </w:r>
      <w:r>
        <w:rPr>
          <w:rFonts w:eastAsia="Times New Roman"/>
          <w:color w:val="000000"/>
        </w:rPr>
        <w:t>1</w:t>
      </w:r>
      <w:r w:rsidRPr="00282F54">
        <w:rPr>
          <w:rFonts w:eastAsia="Times New Roman"/>
          <w:color w:val="000000"/>
        </w:rPr>
        <w:t xml:space="preserve"> year after the date </w:t>
      </w:r>
      <w:r>
        <w:rPr>
          <w:rFonts w:eastAsia="Times New Roman"/>
          <w:color w:val="000000"/>
        </w:rPr>
        <w:t>of the</w:t>
      </w:r>
      <w:r w:rsidRPr="00282F54">
        <w:rPr>
          <w:rFonts w:eastAsia="Times New Roman"/>
          <w:color w:val="000000"/>
        </w:rPr>
        <w:t xml:space="preserve"> agricultural water assessment</w:t>
      </w:r>
      <w:r>
        <w:rPr>
          <w:rFonts w:eastAsia="Times New Roman"/>
          <w:color w:val="000000"/>
        </w:rPr>
        <w:t xml:space="preserve">, except for in certain circumstances, such as known or reasonably foreseeable hazards related to animal activity, biological soil amendments of animal origin, or untreated or improperly treated human waste associated with adjacent and nearby lands, in which covered farms </w:t>
      </w:r>
      <w:r w:rsidR="00412FF4">
        <w:rPr>
          <w:rFonts w:eastAsia="Times New Roman"/>
          <w:color w:val="000000"/>
        </w:rPr>
        <w:t>are</w:t>
      </w:r>
      <w:r>
        <w:rPr>
          <w:rFonts w:eastAsia="Times New Roman"/>
          <w:color w:val="000000"/>
        </w:rPr>
        <w:t xml:space="preserve"> required to implement mitigation measures </w:t>
      </w:r>
      <w:r w:rsidR="00CF068F">
        <w:rPr>
          <w:rFonts w:eastAsia="Times New Roman"/>
          <w:color w:val="000000"/>
        </w:rPr>
        <w:t xml:space="preserve">promptly, and </w:t>
      </w:r>
      <w:r>
        <w:rPr>
          <w:rFonts w:eastAsia="Times New Roman"/>
          <w:color w:val="000000"/>
        </w:rPr>
        <w:t>no later than in the same growing season in which the assessment was conducted.</w:t>
      </w:r>
    </w:p>
    <w:p w:rsidR="004B0A8A" w:rsidRPr="004B0A8A" w:rsidP="00026F9A" w14:paraId="14F17A15" w14:textId="63268A75">
      <w:pPr>
        <w:pStyle w:val="Heading2"/>
      </w:pPr>
      <w:bookmarkStart w:id="23" w:name="_Toc102486131"/>
      <w:bookmarkStart w:id="24" w:name="_Toc139642990"/>
      <w:r w:rsidRPr="0073331E">
        <w:t>Baseline Conditions</w:t>
      </w:r>
      <w:bookmarkEnd w:id="23"/>
      <w:bookmarkEnd w:id="24"/>
    </w:p>
    <w:p w:rsidR="004B0A8A" w:rsidRPr="00827302" w:rsidP="00026F9A" w14:paraId="61C2B0CC" w14:textId="481551A3">
      <w:pPr>
        <w:spacing w:line="480" w:lineRule="auto"/>
        <w:ind w:firstLine="720"/>
      </w:pPr>
      <w:r>
        <w:t xml:space="preserve">Due to imperfect information about </w:t>
      </w:r>
      <w:r w:rsidR="00427523">
        <w:t xml:space="preserve">the </w:t>
      </w:r>
      <w:r w:rsidR="00237321">
        <w:t xml:space="preserve">pre-harvest agricultural water microbial quality criteria and testing requirements in the 2015 </w:t>
      </w:r>
      <w:r w:rsidR="00B81888">
        <w:t>produce safety final rule</w:t>
      </w:r>
      <w:r w:rsidR="00AD14CD">
        <w:t xml:space="preserve"> </w:t>
      </w:r>
      <w:r>
        <w:t xml:space="preserve">and </w:t>
      </w:r>
      <w:r w:rsidR="00237321">
        <w:t xml:space="preserve">the requirements we are finalizing with this rule for </w:t>
      </w:r>
      <w:r>
        <w:t>pre-harvest agricultural water assessment</w:t>
      </w:r>
      <w:r w:rsidR="00237321">
        <w:t>s</w:t>
      </w:r>
      <w:r>
        <w:t>, we make some assumptions about the baseline conditions and the behavior of entities conducting pre-harvest agricultural water assessments to estimate the effects of the final rule.</w:t>
      </w:r>
    </w:p>
    <w:p w:rsidR="004B0A8A" w:rsidRPr="004239B9" w:rsidP="00026F9A" w14:paraId="05057E45" w14:textId="11333C91">
      <w:pPr>
        <w:pStyle w:val="Heading3"/>
        <w:spacing w:line="480" w:lineRule="auto"/>
        <w:rPr>
          <w:i/>
          <w:u w:val="none"/>
        </w:rPr>
      </w:pPr>
      <w:bookmarkStart w:id="25" w:name="_Toc31979346"/>
      <w:bookmarkStart w:id="26" w:name="_Toc62219878"/>
      <w:r w:rsidRPr="004239B9">
        <w:rPr>
          <w:i/>
          <w:u w:val="none"/>
        </w:rPr>
        <w:t xml:space="preserve"> </w:t>
      </w:r>
      <w:bookmarkStart w:id="27" w:name="_Toc139642991"/>
      <w:r w:rsidRPr="004239B9">
        <w:rPr>
          <w:i/>
          <w:u w:val="none"/>
        </w:rPr>
        <w:t>Assumptions</w:t>
      </w:r>
      <w:bookmarkEnd w:id="25"/>
      <w:bookmarkEnd w:id="26"/>
      <w:bookmarkEnd w:id="27"/>
    </w:p>
    <w:p w:rsidR="004B0A8A" w:rsidP="00026F9A" w14:paraId="3EC9CFB8" w14:textId="4BE5881E">
      <w:pPr>
        <w:pStyle w:val="ListParagraph"/>
        <w:numPr>
          <w:ilvl w:val="0"/>
          <w:numId w:val="9"/>
        </w:numPr>
        <w:spacing w:after="0" w:line="480" w:lineRule="auto"/>
      </w:pPr>
      <w:r>
        <w:t xml:space="preserve">All farms covered by the 2015 </w:t>
      </w:r>
      <w:r w:rsidR="00B81888">
        <w:t>produce safety final rule</w:t>
      </w:r>
      <w:r w:rsidR="00AD14CD">
        <w:t xml:space="preserve"> </w:t>
      </w:r>
      <w:r>
        <w:t xml:space="preserve">will spend the necessary time to read and understand the rule.  </w:t>
      </w:r>
      <w:r>
        <w:tab/>
      </w:r>
    </w:p>
    <w:p w:rsidR="004B0A8A" w:rsidP="00026F9A" w14:paraId="5F329797" w14:textId="6CEDF60C">
      <w:pPr>
        <w:pStyle w:val="ListParagraph"/>
        <w:numPr>
          <w:ilvl w:val="0"/>
          <w:numId w:val="9"/>
        </w:numPr>
        <w:spacing w:after="0" w:line="480" w:lineRule="auto"/>
      </w:pPr>
      <w:r>
        <w:t xml:space="preserve">Farms not covered by the 2015 </w:t>
      </w:r>
      <w:r w:rsidR="00B81888">
        <w:t>produce safety final rule</w:t>
      </w:r>
      <w:r w:rsidR="00AD14CD">
        <w:t xml:space="preserve"> </w:t>
      </w:r>
      <w:r>
        <w:t>will not read the rule.</w:t>
      </w:r>
    </w:p>
    <w:p w:rsidR="004B0A8A" w:rsidP="00026F9A" w14:paraId="32EE5C37" w14:textId="77777777">
      <w:pPr>
        <w:pStyle w:val="ListParagraph"/>
        <w:numPr>
          <w:ilvl w:val="0"/>
          <w:numId w:val="9"/>
        </w:numPr>
        <w:spacing w:after="0" w:line="480" w:lineRule="auto"/>
      </w:pPr>
      <w:r>
        <w:t xml:space="preserve">Reading and understanding the rule will be a one-time cost incurred in the year following the publication of the final rule. </w:t>
      </w:r>
    </w:p>
    <w:p w:rsidR="004B0A8A" w:rsidP="00026F9A" w14:paraId="7D547415" w14:textId="77777777">
      <w:pPr>
        <w:pStyle w:val="ListParagraph"/>
        <w:numPr>
          <w:ilvl w:val="0"/>
          <w:numId w:val="9"/>
        </w:numPr>
        <w:spacing w:after="0" w:line="480" w:lineRule="auto"/>
      </w:pPr>
      <w:r>
        <w:t>Industry costs associated with conducting pre-harvest agricultural water assessments occur in the year assessment occurs; industry costs associated with conducting mitigation of identified hazards occur in the year mitigation occurs.</w:t>
      </w:r>
    </w:p>
    <w:p w:rsidR="004B0A8A" w:rsidP="00026F9A" w14:paraId="2BF63C1F" w14:textId="04E85434">
      <w:pPr>
        <w:pStyle w:val="ListParagraph"/>
        <w:numPr>
          <w:ilvl w:val="0"/>
          <w:numId w:val="9"/>
        </w:numPr>
        <w:spacing w:after="0" w:line="480" w:lineRule="auto"/>
      </w:pPr>
      <w:r>
        <w:t xml:space="preserve">As specified in the regulatory text, covered farms must conduct pre-harvest agricultural water assessments </w:t>
      </w:r>
      <w:r w:rsidR="001A5868">
        <w:t xml:space="preserve">at least once </w:t>
      </w:r>
      <w:r>
        <w:t xml:space="preserve">annually, as well as “whenever a significant change occurs in your agricultural water system.” We assume that farms covered by these provisions will conduct 1.1 pre-harvest agricultural water assessments per year. </w:t>
      </w:r>
    </w:p>
    <w:p w:rsidR="004B0A8A" w:rsidRPr="00F62A07" w:rsidP="00026F9A" w14:paraId="206D39B8" w14:textId="52AE5C66">
      <w:pPr>
        <w:pStyle w:val="ListParagraph"/>
        <w:numPr>
          <w:ilvl w:val="0"/>
          <w:numId w:val="9"/>
        </w:numPr>
        <w:spacing w:after="0" w:line="480" w:lineRule="auto"/>
      </w:pPr>
      <w:r>
        <w:t xml:space="preserve">For the purposes of this analysis, </w:t>
      </w:r>
      <w:r w:rsidR="00E600C4">
        <w:t xml:space="preserve">we assume that a final rule will publish </w:t>
      </w:r>
      <w:r w:rsidR="000B1C94">
        <w:t>in April, 2024</w:t>
      </w:r>
      <w:r w:rsidR="008C3FCA">
        <w:t xml:space="preserve">. The final rule </w:t>
      </w:r>
      <w:r w:rsidR="00C33A48">
        <w:t>provides</w:t>
      </w:r>
      <w:r w:rsidR="003A0CB8">
        <w:t xml:space="preserve"> </w:t>
      </w:r>
      <w:r w:rsidR="00B06BE2">
        <w:t>compliance</w:t>
      </w:r>
      <w:r w:rsidR="003A0CB8">
        <w:t xml:space="preserve"> dates </w:t>
      </w:r>
      <w:r w:rsidR="00C33A48">
        <w:t xml:space="preserve">for the pre-harvest agricultural water provisions for covered produce (other than sprouts) </w:t>
      </w:r>
      <w:r w:rsidR="003A0CB8">
        <w:t xml:space="preserve">of 2 years and 9 months after the effective </w:t>
      </w:r>
      <w:r w:rsidR="00B06BE2">
        <w:t>date of the final rule for very small farms, 1 year and 9 months for small farms, and 9 months for all other (large) farms.</w:t>
      </w:r>
      <w:r w:rsidR="000B1C94">
        <w:t xml:space="preserve"> </w:t>
      </w:r>
      <w:r w:rsidR="001224D8">
        <w:t>For the purposes of this analysis, t</w:t>
      </w:r>
      <w:r w:rsidR="00B06BE2">
        <w:t>h</w:t>
      </w:r>
      <w:r w:rsidR="0018702A">
        <w:t>is</w:t>
      </w:r>
      <w:r w:rsidR="000B1C94">
        <w:t xml:space="preserve"> result</w:t>
      </w:r>
      <w:r w:rsidR="00BE1D21">
        <w:t>s</w:t>
      </w:r>
      <w:r w:rsidR="000B1C94">
        <w:t xml:space="preserve"> in the following </w:t>
      </w:r>
      <w:r w:rsidR="00BE1D21">
        <w:t xml:space="preserve">assumed </w:t>
      </w:r>
      <w:r w:rsidR="000B1C94">
        <w:t>co</w:t>
      </w:r>
      <w:r w:rsidR="008C3FCA">
        <w:t xml:space="preserve">mpliance dates: </w:t>
      </w:r>
      <w:r w:rsidR="0018702A">
        <w:t>January, 2027 for very small farms</w:t>
      </w:r>
      <w:r w:rsidR="00BE1D21">
        <w:t>; January, 2026 for small farms; January, 2025 for all other (large) farms.</w:t>
      </w:r>
    </w:p>
    <w:p w:rsidR="004B0A8A" w:rsidP="00026F9A" w14:paraId="194C1420" w14:textId="6105D011">
      <w:pPr>
        <w:pStyle w:val="ListParagraph"/>
        <w:numPr>
          <w:ilvl w:val="0"/>
          <w:numId w:val="9"/>
        </w:numPr>
        <w:spacing w:after="0" w:line="480" w:lineRule="auto"/>
      </w:pPr>
      <w:r w:rsidRPr="00503BE2">
        <w:t>We estimate costs and cost savings in 20</w:t>
      </w:r>
      <w:r w:rsidR="00BE1D21">
        <w:t>2</w:t>
      </w:r>
      <w:r w:rsidR="00FB17B1">
        <w:t>2</w:t>
      </w:r>
      <w:r w:rsidRPr="00503BE2">
        <w:t xml:space="preserve"> dollars.</w:t>
      </w:r>
    </w:p>
    <w:p w:rsidR="00F04DA8" w:rsidP="00F04DA8" w14:paraId="12BBEF86" w14:textId="77777777">
      <w:pPr>
        <w:spacing w:after="0" w:line="480" w:lineRule="auto"/>
      </w:pPr>
    </w:p>
    <w:p w:rsidR="00E65478" w:rsidRPr="00E65478" w:rsidP="00026F9A" w14:paraId="2990E7C4" w14:textId="7687644B">
      <w:pPr>
        <w:pStyle w:val="Heading3"/>
        <w:spacing w:line="480" w:lineRule="auto"/>
        <w:rPr>
          <w:i/>
          <w:u w:val="none"/>
        </w:rPr>
      </w:pPr>
      <w:bookmarkStart w:id="28" w:name="_Toc31979347"/>
      <w:bookmarkStart w:id="29" w:name="_Toc62219879"/>
      <w:bookmarkStart w:id="30" w:name="_Toc139642992"/>
      <w:r w:rsidRPr="00E65478">
        <w:rPr>
          <w:i/>
          <w:u w:val="none"/>
        </w:rPr>
        <w:t>Baseline Conditions</w:t>
      </w:r>
      <w:bookmarkEnd w:id="28"/>
      <w:bookmarkEnd w:id="29"/>
      <w:bookmarkEnd w:id="30"/>
    </w:p>
    <w:p w:rsidR="00861EAE" w:rsidP="00026F9A" w14:paraId="2268F4BD" w14:textId="1010BE21">
      <w:pPr>
        <w:spacing w:line="480" w:lineRule="auto"/>
      </w:pPr>
      <w:r>
        <w:tab/>
      </w:r>
      <w:r>
        <w:t xml:space="preserve">As discussed </w:t>
      </w:r>
      <w:r w:rsidR="00392CB4">
        <w:t>throughout this section</w:t>
      </w:r>
      <w:r>
        <w:t xml:space="preserve">, this analysis conducts </w:t>
      </w:r>
      <w:r w:rsidR="00B7550B">
        <w:t xml:space="preserve">various calculations to estimate costs and benefits of the final rule. </w:t>
      </w:r>
      <w:r w:rsidR="00BC6E15">
        <w:t>T</w:t>
      </w:r>
      <w:r w:rsidR="00B7550B">
        <w:t xml:space="preserve">his </w:t>
      </w:r>
      <w:r w:rsidR="00D11188">
        <w:t>analysis</w:t>
      </w:r>
      <w:r w:rsidR="00B7550B">
        <w:t>:</w:t>
      </w:r>
    </w:p>
    <w:p w:rsidR="00B7550B" w:rsidP="00B7550B" w14:paraId="6473D33C" w14:textId="7655205D">
      <w:pPr>
        <w:pStyle w:val="ListParagraph"/>
        <w:numPr>
          <w:ilvl w:val="0"/>
          <w:numId w:val="27"/>
        </w:numPr>
        <w:spacing w:line="480" w:lineRule="auto"/>
      </w:pPr>
      <w:r>
        <w:t>Compares this rule to the pre-harvest agricultural water microbial quality criteria and testing requirements in the 2015 produce safety final rule;</w:t>
      </w:r>
    </w:p>
    <w:p w:rsidR="00D11188" w:rsidP="00B7550B" w14:paraId="6F74AC7E" w14:textId="1CF7E0B1">
      <w:pPr>
        <w:pStyle w:val="ListParagraph"/>
        <w:numPr>
          <w:ilvl w:val="0"/>
          <w:numId w:val="27"/>
        </w:numPr>
        <w:spacing w:line="480" w:lineRule="auto"/>
      </w:pPr>
      <w:r>
        <w:t xml:space="preserve">Compares this rule to a </w:t>
      </w:r>
      <w:r w:rsidRPr="00F868D0">
        <w:t>state of the world in which there are no pre-harvest agricultural water provisions</w:t>
      </w:r>
      <w:r>
        <w:t>;</w:t>
      </w:r>
      <w:r w:rsidR="00FE5B22">
        <w:t xml:space="preserve"> and</w:t>
      </w:r>
    </w:p>
    <w:p w:rsidR="00FE5B22" w:rsidP="006B5145" w14:paraId="2E738CEE" w14:textId="37051D5C">
      <w:pPr>
        <w:pStyle w:val="ListParagraph"/>
        <w:numPr>
          <w:ilvl w:val="0"/>
          <w:numId w:val="27"/>
        </w:numPr>
        <w:spacing w:line="480" w:lineRule="auto"/>
      </w:pPr>
      <w:r>
        <w:t xml:space="preserve">Compares the </w:t>
      </w:r>
      <w:r w:rsidRPr="00FE5B22">
        <w:t>pre-harvest agricultural water microbial quality criteria and testing requirements in the 2015 produce safety final rule</w:t>
      </w:r>
      <w:r>
        <w:t xml:space="preserve"> to a state of the world in which there are no pre-harvest agricultural water provisions.</w:t>
      </w:r>
    </w:p>
    <w:p w:rsidR="0036486B" w:rsidP="006B5145" w14:paraId="63DECF8A" w14:textId="4B4E0041">
      <w:pPr>
        <w:spacing w:line="480" w:lineRule="auto"/>
        <w:ind w:firstLine="720"/>
      </w:pPr>
      <w:r>
        <w:t>More specifically, f</w:t>
      </w:r>
      <w:r w:rsidR="00613214">
        <w:t>or the purposes of this analysis, we treat the pre-harvest agricultural water</w:t>
      </w:r>
      <w:r w:rsidR="00582B14">
        <w:t xml:space="preserve"> microbial quality criteria and</w:t>
      </w:r>
      <w:r w:rsidR="00613214">
        <w:t xml:space="preserve"> testing provisions </w:t>
      </w:r>
      <w:r w:rsidR="00582B14">
        <w:t xml:space="preserve">in the 2015 </w:t>
      </w:r>
      <w:r w:rsidR="00B81888">
        <w:t>produce safety final rule</w:t>
      </w:r>
      <w:r w:rsidR="00AD14CD">
        <w:t xml:space="preserve"> </w:t>
      </w:r>
      <w:r w:rsidR="00613214">
        <w:t>as the primary baseline, and we compare estimated benefits and costs of th</w:t>
      </w:r>
      <w:r w:rsidR="00582B14">
        <w:t>is</w:t>
      </w:r>
      <w:r w:rsidR="00613214">
        <w:t xml:space="preserve"> rule to estimated benefits and costs of th</w:t>
      </w:r>
      <w:r w:rsidR="00582B14">
        <w:t>os</w:t>
      </w:r>
      <w:r w:rsidR="00613214">
        <w:t xml:space="preserve">e pre-harvest agricultural water testing provisions. </w:t>
      </w:r>
    </w:p>
    <w:p w:rsidR="0006129E" w:rsidP="0036486B" w14:paraId="71C4081A" w14:textId="65321819">
      <w:pPr>
        <w:spacing w:line="480" w:lineRule="auto"/>
        <w:ind w:firstLine="720"/>
      </w:pPr>
      <w:r w:rsidRPr="00B352FD">
        <w:rPr>
          <w:rStyle w:val="cf01"/>
          <w:rFonts w:ascii="Times New Roman" w:hAnsi="Times New Roman" w:cs="Times New Roman"/>
          <w:i w:val="0"/>
          <w:sz w:val="24"/>
          <w:szCs w:val="24"/>
        </w:rPr>
        <w:t xml:space="preserve">Given FDA’s announcement of an intent to exercise enforcement discretion for the pre-harvest agricultural water requirements in the </w:t>
      </w:r>
      <w:r w:rsidR="00095032">
        <w:rPr>
          <w:rStyle w:val="cf01"/>
          <w:rFonts w:ascii="Times New Roman" w:hAnsi="Times New Roman" w:cs="Times New Roman"/>
          <w:i w:val="0"/>
          <w:sz w:val="24"/>
          <w:szCs w:val="24"/>
        </w:rPr>
        <w:t xml:space="preserve">2015 </w:t>
      </w:r>
      <w:r w:rsidR="00B81888">
        <w:t>produce safety final rule</w:t>
      </w:r>
      <w:r w:rsidRPr="00B352FD">
        <w:rPr>
          <w:rStyle w:val="cf01"/>
          <w:rFonts w:ascii="Times New Roman" w:hAnsi="Times New Roman" w:cs="Times New Roman"/>
          <w:i w:val="0"/>
          <w:sz w:val="24"/>
          <w:szCs w:val="24"/>
        </w:rPr>
        <w:t xml:space="preserve"> for covered produce (other than sprouts) while undergoing this rulemaking, and as this rule revises the </w:t>
      </w:r>
      <w:r w:rsidR="002C0E1F">
        <w:rPr>
          <w:rStyle w:val="cf01"/>
          <w:rFonts w:ascii="Times New Roman" w:hAnsi="Times New Roman" w:cs="Times New Roman"/>
          <w:i w:val="0"/>
          <w:sz w:val="24"/>
          <w:szCs w:val="24"/>
        </w:rPr>
        <w:t xml:space="preserve">2015 </w:t>
      </w:r>
      <w:r w:rsidR="00B81888">
        <w:t>produce safety final rule</w:t>
      </w:r>
      <w:r w:rsidRPr="00B352FD">
        <w:rPr>
          <w:rStyle w:val="cf01"/>
          <w:rFonts w:ascii="Times New Roman" w:hAnsi="Times New Roman" w:cs="Times New Roman"/>
          <w:i w:val="0"/>
          <w:sz w:val="24"/>
          <w:szCs w:val="24"/>
        </w:rPr>
        <w:t xml:space="preserve"> to remove the  pre-harvest microbial quality criteria and testing requirements, the 2015 pre-harvest agricultural water testing requirements may not adequately reflect the state of the world absent this final rule.</w:t>
      </w:r>
      <w:r>
        <w:rPr>
          <w:rStyle w:val="cf01"/>
        </w:rPr>
        <w:t xml:space="preserve"> </w:t>
      </w:r>
      <w:r w:rsidR="00A02A5C">
        <w:t xml:space="preserve">As a result, </w:t>
      </w:r>
      <w:r w:rsidR="003026F0">
        <w:t>we also present estimates of the benefits and costs of the rule relative to an alternate baseline in which there are no pre-harvest agricultural water provisions</w:t>
      </w:r>
      <w:r w:rsidR="003436E2">
        <w:t xml:space="preserve">, which </w:t>
      </w:r>
      <w:r w:rsidR="00F60015">
        <w:t xml:space="preserve">may </w:t>
      </w:r>
      <w:r w:rsidR="00180C93">
        <w:t>adequately reflect the state of the world absent this final rule</w:t>
      </w:r>
      <w:r w:rsidR="003026F0">
        <w:t>.</w:t>
      </w:r>
      <w:r w:rsidRPr="00515DF1" w:rsidR="003026F0">
        <w:t xml:space="preserve"> </w:t>
      </w:r>
    </w:p>
    <w:p w:rsidR="00E65478" w:rsidRPr="00D85D90" w:rsidP="00B352FD" w14:paraId="3718028D" w14:textId="4C16DE80">
      <w:pPr>
        <w:spacing w:line="480" w:lineRule="auto"/>
        <w:ind w:firstLine="720"/>
        <w:rPr>
          <w:highlight w:val="yellow"/>
        </w:rPr>
      </w:pPr>
      <w:r w:rsidRPr="00CA6E11">
        <w:t xml:space="preserve">Throughout the analysis, we conduct intermediate calculations of costs and benefits of both the 2015 </w:t>
      </w:r>
      <w:r w:rsidR="00B81888">
        <w:t xml:space="preserve">produce safety final rule </w:t>
      </w:r>
      <w:r w:rsidRPr="00CA6E11">
        <w:t xml:space="preserve">and </w:t>
      </w:r>
      <w:r>
        <w:t>this</w:t>
      </w:r>
      <w:r w:rsidRPr="00CA6E11">
        <w:t xml:space="preserve"> rule relative to an alternate baseline represented by a state of the world in which there are no pre-harvest agricultural water provisions. </w:t>
      </w:r>
      <w:r w:rsidR="009A4E25">
        <w:t xml:space="preserve">When </w:t>
      </w:r>
      <w:r w:rsidR="00EA2245">
        <w:t>discussing the primary baseline</w:t>
      </w:r>
      <w:r w:rsidRPr="00CA6E11">
        <w:t xml:space="preserve">, we use the term “baseline benefits” to represent the estimated benefits of the 2015 </w:t>
      </w:r>
      <w:r w:rsidR="00B81888">
        <w:t xml:space="preserve">produce safety final rule </w:t>
      </w:r>
      <w:r w:rsidRPr="00CA6E11">
        <w:t>absent th</w:t>
      </w:r>
      <w:r w:rsidRPr="00CA6E11" w:rsidR="00CA6E11">
        <w:t>is</w:t>
      </w:r>
      <w:r w:rsidRPr="00CA6E11">
        <w:t xml:space="preserve"> rule, and we use the term “baseline costs” to represent the estimated costs of the 2015 </w:t>
      </w:r>
      <w:r w:rsidR="00B81888">
        <w:t xml:space="preserve">produce safety final rule </w:t>
      </w:r>
      <w:r w:rsidRPr="00CA6E11">
        <w:t>absent th</w:t>
      </w:r>
      <w:r w:rsidRPr="00CA6E11" w:rsidR="00CA6E11">
        <w:t>is</w:t>
      </w:r>
      <w:r w:rsidRPr="00CA6E11">
        <w:t xml:space="preserve"> rule.</w:t>
      </w:r>
      <w:r w:rsidR="00EA2245">
        <w:t xml:space="preserve"> When discussing the alternate baseline, we use the term</w:t>
      </w:r>
      <w:r w:rsidR="005B1D21">
        <w:t>s</w:t>
      </w:r>
      <w:r w:rsidR="00EA2245">
        <w:t xml:space="preserve"> “</w:t>
      </w:r>
      <w:r w:rsidR="008771DC">
        <w:t xml:space="preserve">alternate </w:t>
      </w:r>
      <w:r w:rsidR="00EA2245">
        <w:t xml:space="preserve">baseline benefits” </w:t>
      </w:r>
      <w:r w:rsidR="005B1D21">
        <w:t>and “</w:t>
      </w:r>
      <w:r w:rsidR="008771DC">
        <w:t xml:space="preserve">alternate </w:t>
      </w:r>
      <w:r w:rsidR="005B1D21">
        <w:t xml:space="preserve">baseline costs” </w:t>
      </w:r>
      <w:r w:rsidR="00EA2245">
        <w:t>to represent</w:t>
      </w:r>
      <w:r w:rsidR="005B1D21">
        <w:t xml:space="preserve"> the benefits and costs</w:t>
      </w:r>
      <w:r w:rsidR="00716668">
        <w:t xml:space="preserve"> of this rule</w:t>
      </w:r>
      <w:r w:rsidR="005B1D21">
        <w:t xml:space="preserve"> in a state of the world with no pre-harvest agricultural water provisions. </w:t>
      </w:r>
    </w:p>
    <w:p w:rsidR="00E65478" w:rsidP="00026F9A" w14:paraId="78A71362" w14:textId="4C47F41A">
      <w:pPr>
        <w:spacing w:line="480" w:lineRule="auto"/>
        <w:ind w:firstLine="720"/>
      </w:pPr>
      <w:r w:rsidRPr="00A943F3">
        <w:t xml:space="preserve">As noted previously, stakeholders have expressed concern about the complexity and practical implementation challenges of </w:t>
      </w:r>
      <w:r w:rsidR="00D725E2">
        <w:t xml:space="preserve">the </w:t>
      </w:r>
      <w:r w:rsidR="00460EC7">
        <w:t>uniform</w:t>
      </w:r>
      <w:r w:rsidR="00D725E2">
        <w:t xml:space="preserve"> </w:t>
      </w:r>
      <w:r w:rsidRPr="00A943F3">
        <w:t xml:space="preserve">pre-harvest agricultural water testing requirements (for covered produce other than sprouts) included in the 2015 </w:t>
      </w:r>
      <w:r w:rsidR="00B81888">
        <w:t>produce safety final rule</w:t>
      </w:r>
      <w:r w:rsidRPr="00A943F3">
        <w:t xml:space="preserve">. </w:t>
      </w:r>
      <w:r>
        <w:t>While</w:t>
      </w:r>
      <w:r w:rsidR="00A943F3">
        <w:t xml:space="preserve"> the primary baseline in</w:t>
      </w:r>
      <w:r>
        <w:t xml:space="preserve"> this analysis assumes that farms w</w:t>
      </w:r>
      <w:r w:rsidR="00A943F3">
        <w:t>ould</w:t>
      </w:r>
      <w:r>
        <w:t xml:space="preserve"> comply with the 2015 </w:t>
      </w:r>
      <w:r w:rsidR="00B81888">
        <w:t>produce safety final rule</w:t>
      </w:r>
      <w:r>
        <w:t xml:space="preserve">, we note that if some farms were unable to comply with </w:t>
      </w:r>
      <w:r w:rsidR="00E15B7C">
        <w:t xml:space="preserve">those </w:t>
      </w:r>
      <w:r>
        <w:t xml:space="preserve">testing provisions, </w:t>
      </w:r>
      <w:r w:rsidR="00CF2362">
        <w:t>the portion of</w:t>
      </w:r>
      <w:r w:rsidR="0086785E">
        <w:t xml:space="preserve"> </w:t>
      </w:r>
      <w:r w:rsidR="00644A91">
        <w:t xml:space="preserve">this analysis </w:t>
      </w:r>
      <w:r w:rsidR="0086785E">
        <w:t>comparing against the primary baseline</w:t>
      </w:r>
      <w:r w:rsidR="00FD413B">
        <w:t xml:space="preserve"> </w:t>
      </w:r>
      <w:r w:rsidR="00644A91">
        <w:t xml:space="preserve">would underestimate </w:t>
      </w:r>
      <w:r>
        <w:t>the benefits and costs of the rule</w:t>
      </w:r>
      <w:r w:rsidRPr="00A943F3">
        <w:t xml:space="preserve">. </w:t>
      </w:r>
    </w:p>
    <w:p w:rsidR="00E65478" w:rsidRPr="00F27B43" w:rsidP="00026F9A" w14:paraId="3C9F7D2E" w14:textId="77777777">
      <w:pPr>
        <w:pStyle w:val="ListParagraph"/>
        <w:numPr>
          <w:ilvl w:val="0"/>
          <w:numId w:val="10"/>
        </w:numPr>
        <w:spacing w:after="0" w:line="480" w:lineRule="auto"/>
        <w:rPr>
          <w:b/>
          <w:i/>
        </w:rPr>
      </w:pPr>
      <w:r w:rsidRPr="00F27B43">
        <w:rPr>
          <w:b/>
          <w:i/>
        </w:rPr>
        <w:t>Number of Affected Farms</w:t>
      </w:r>
    </w:p>
    <w:p w:rsidR="00E65478" w:rsidP="00026F9A" w14:paraId="4D921AD0" w14:textId="4EF90079">
      <w:pPr>
        <w:spacing w:line="480" w:lineRule="auto"/>
        <w:ind w:firstLine="720"/>
      </w:pPr>
      <w:r>
        <w:t xml:space="preserve">To determine the number of farms that must read the </w:t>
      </w:r>
      <w:r w:rsidR="00286BF4">
        <w:t>final</w:t>
      </w:r>
      <w:r>
        <w:t xml:space="preserve"> rule, we use estimates of the number of farms covered by the 2015 </w:t>
      </w:r>
      <w:r w:rsidR="00B81888">
        <w:t>produce safety final rule</w:t>
      </w:r>
      <w:r w:rsidR="00AD14CD">
        <w:t xml:space="preserve"> </w:t>
      </w:r>
      <w:r w:rsidR="00286BF4">
        <w:t xml:space="preserve">based on data from the National Agricultural </w:t>
      </w:r>
      <w:r w:rsidR="00224D04">
        <w:t>Statistics Service 2017 Census of Agriculture,</w:t>
      </w:r>
      <w:r>
        <w:t xml:space="preserve"> which accounts for farms not covered by the rule and farms or produce eligible for exemption. This results in approximately </w:t>
      </w:r>
      <w:r w:rsidR="00655029">
        <w:t>43,510</w:t>
      </w:r>
      <w:r>
        <w:t xml:space="preserve"> farms that must read the rule, including 2</w:t>
      </w:r>
      <w:r w:rsidR="00E17551">
        <w:t>7,732</w:t>
      </w:r>
      <w:r>
        <w:t xml:space="preserve"> very small farms, </w:t>
      </w:r>
      <w:r w:rsidR="00E17551">
        <w:t>5,139</w:t>
      </w:r>
      <w:r>
        <w:t xml:space="preserve"> small farms, and </w:t>
      </w:r>
      <w:r w:rsidR="00E17551">
        <w:t>10,639</w:t>
      </w:r>
      <w:r>
        <w:t xml:space="preserve"> large farms. While not all covered farms would need to conduct pre-harvest agricultural water assessments under the provisions, we assume covered farms will read the rule to determine whether they need to conduct the assessments.</w:t>
      </w:r>
    </w:p>
    <w:p w:rsidR="00E65478" w:rsidP="00026F9A" w14:paraId="791B73E0" w14:textId="45AC26FD">
      <w:pPr>
        <w:spacing w:line="480" w:lineRule="auto"/>
        <w:ind w:firstLine="720"/>
      </w:pPr>
      <w:r>
        <w:t xml:space="preserve">In a survey of produce </w:t>
      </w:r>
      <w:r w:rsidR="001B5F0F">
        <w:t xml:space="preserve">farms </w:t>
      </w:r>
      <w:r>
        <w:t xml:space="preserve">conducted by researchers at ERS before the implementation of FSMA rules, USDA estimated that 45 percent of small </w:t>
      </w:r>
      <w:r w:rsidR="001B5F0F">
        <w:t xml:space="preserve">farms </w:t>
      </w:r>
      <w:r>
        <w:t xml:space="preserve">covered by the 2015 </w:t>
      </w:r>
      <w:r w:rsidR="00B81888">
        <w:t xml:space="preserve">produce safety final rule </w:t>
      </w:r>
      <w:r>
        <w:t xml:space="preserve">use non-public pre-harvest agricultural water that contacts </w:t>
      </w:r>
      <w:r w:rsidRPr="00A6661B">
        <w:t xml:space="preserve">produce (Ref. </w:t>
      </w:r>
      <w:r w:rsidRPr="00A6661B" w:rsidR="00DD639C">
        <w:t>2</w:t>
      </w:r>
      <w:r w:rsidRPr="00A6661B">
        <w:t>),</w:t>
      </w:r>
      <w:r w:rsidRPr="00097EE0">
        <w:t xml:space="preserve"> where USDA defines “small” as </w:t>
      </w:r>
      <w:r w:rsidR="00883B57">
        <w:t>farm</w:t>
      </w:r>
      <w:r w:rsidRPr="00097EE0" w:rsidR="00883B57">
        <w:t xml:space="preserve">s </w:t>
      </w:r>
      <w:r w:rsidRPr="00097EE0">
        <w:t>with $25,000 to $500,000 in annual</w:t>
      </w:r>
      <w:r>
        <w:t xml:space="preserve"> revenue. For the purposes of </w:t>
      </w:r>
      <w:r w:rsidR="00D32B00">
        <w:t xml:space="preserve">the </w:t>
      </w:r>
      <w:r>
        <w:t>requirements</w:t>
      </w:r>
      <w:r w:rsidR="003067E4">
        <w:t xml:space="preserve"> discussed in </w:t>
      </w:r>
      <w:r w:rsidR="007060CC">
        <w:t>this analysis</w:t>
      </w:r>
      <w:r>
        <w:t xml:space="preserve">, we consider a farm within this category to be a “very small farm” if they are a </w:t>
      </w:r>
      <w:r w:rsidRPr="00A010DD">
        <w:t>covered farm for which, on a rolling basis, the average annual monetary value of produce the farm sold during the previous 3-year period is more than $25,000 but no more than $250,000</w:t>
      </w:r>
      <w:r>
        <w:t xml:space="preserve">; and a “small farm” if they are </w:t>
      </w:r>
      <w:r w:rsidRPr="00A010DD">
        <w:t>a covered farm for which, on a rolling basis, the average annual monetary value of produce the farm sold during the previous 3-year period is more than $250,000 but no more than $500,000.</w:t>
      </w:r>
      <w:r>
        <w:t xml:space="preserve"> For the purposes of </w:t>
      </w:r>
      <w:r w:rsidR="00D32B00">
        <w:t>these</w:t>
      </w:r>
      <w:r>
        <w:t xml:space="preserve"> requirements, a </w:t>
      </w:r>
      <w:r w:rsidRPr="00BD1EC5">
        <w:t>“large farm” refers to a covered farm for which, on a rolling basis, the average annual monetary value of produce the farm sold during the previous 3-year period is more than $500,000.</w:t>
      </w:r>
      <w:r>
        <w:t xml:space="preserve"> USDA estimates that 54.7 percent of mid-size farms ($500,000 to $1,000,000), 53.8 percent of large farms ($1,000,000 to $5,000,000), and 54.7 percent of very large farms (above $5,000,000) use non-public pre-harvest agricultural water that contacts produce. We construct a weighted average of the percentages to determine that approximately 54.1 percent of covered large farms use non-public pre-harvest agricultural water that contacts produce.</w:t>
      </w:r>
    </w:p>
    <w:p w:rsidR="00EB2089" w:rsidP="00026F9A" w14:paraId="610175E6" w14:textId="5C096825">
      <w:pPr>
        <w:spacing w:line="480" w:lineRule="auto"/>
        <w:ind w:firstLine="720"/>
      </w:pPr>
      <w:r>
        <w:t xml:space="preserve">We estimate the number of farms that would conduct the pre-harvest agricultural water assessments described in the rule by multiplying the number of covered irrigated farms by the estimated percentage of farms using non-public pre-harvest water that contacts produce for each farm size category and summing across categories. Using this method, we estimate that </w:t>
      </w:r>
      <w:r w:rsidR="00EE3FB2">
        <w:t>9,911</w:t>
      </w:r>
      <w:r>
        <w:t xml:space="preserve"> very small farms, </w:t>
      </w:r>
      <w:r w:rsidR="00EE3FB2">
        <w:t>2,057</w:t>
      </w:r>
      <w:r>
        <w:t xml:space="preserve"> small farms, and </w:t>
      </w:r>
      <w:r w:rsidR="00B319EB">
        <w:t>5,392</w:t>
      </w:r>
      <w:r>
        <w:t xml:space="preserve"> large farms would be required to conduct pre-harvest agricultural water assessments under the rule; as a result, </w:t>
      </w:r>
      <w:r w:rsidR="008905BB">
        <w:t xml:space="preserve">we estimate </w:t>
      </w:r>
      <w:r>
        <w:t>a total of 1</w:t>
      </w:r>
      <w:r w:rsidR="00B319EB">
        <w:t>7,360</w:t>
      </w:r>
      <w:r>
        <w:t xml:space="preserve"> </w:t>
      </w:r>
      <w:r>
        <w:t>farms would conduct pre-harvest agricultural water assessments. Table 2 presents the number of affected farms.</w:t>
      </w:r>
    </w:p>
    <w:p w:rsidR="00E65478" w:rsidRPr="009205EA" w:rsidP="00026F9A" w14:paraId="4BE42EF4" w14:textId="77777777">
      <w:pPr>
        <w:rPr>
          <w:b/>
        </w:rPr>
      </w:pPr>
      <w:r w:rsidRPr="009205EA">
        <w:rPr>
          <w:b/>
        </w:rPr>
        <w:t xml:space="preserve">Table </w:t>
      </w:r>
      <w:r>
        <w:rPr>
          <w:b/>
        </w:rPr>
        <w:t>2</w:t>
      </w:r>
      <w:r w:rsidRPr="009205EA">
        <w:rPr>
          <w:b/>
        </w:rPr>
        <w:t xml:space="preserve">: Number of </w:t>
      </w:r>
      <w:r>
        <w:rPr>
          <w:b/>
        </w:rPr>
        <w:t>A</w:t>
      </w:r>
      <w:r w:rsidRPr="009205EA">
        <w:rPr>
          <w:b/>
        </w:rPr>
        <w:t xml:space="preserve">ffected </w:t>
      </w:r>
      <w:r>
        <w:rPr>
          <w:b/>
        </w:rPr>
        <w:t>F</w:t>
      </w:r>
      <w:r w:rsidRPr="009205EA">
        <w:rPr>
          <w:b/>
        </w:rPr>
        <w:t>arms</w:t>
      </w:r>
    </w:p>
    <w:tbl>
      <w:tblPr>
        <w:tblStyle w:val="TableGrid"/>
        <w:tblW w:w="0" w:type="auto"/>
        <w:tblLook w:val="04A0"/>
      </w:tblPr>
      <w:tblGrid>
        <w:gridCol w:w="3145"/>
        <w:gridCol w:w="1530"/>
        <w:gridCol w:w="1350"/>
        <w:gridCol w:w="1350"/>
        <w:gridCol w:w="1255"/>
      </w:tblGrid>
      <w:tr w14:paraId="72CEEC9F" w14:textId="77777777">
        <w:tblPrEx>
          <w:tblW w:w="0" w:type="auto"/>
          <w:tblLook w:val="04A0"/>
        </w:tblPrEx>
        <w:tc>
          <w:tcPr>
            <w:tcW w:w="3145" w:type="dxa"/>
          </w:tcPr>
          <w:p w:rsidR="00E65478" w:rsidP="00026F9A" w14:paraId="0BEA1A57" w14:textId="77777777"/>
        </w:tc>
        <w:tc>
          <w:tcPr>
            <w:tcW w:w="1530" w:type="dxa"/>
          </w:tcPr>
          <w:p w:rsidR="00E65478" w:rsidRPr="009205EA" w:rsidP="00026F9A" w14:paraId="2F012AF6" w14:textId="77777777">
            <w:pPr>
              <w:jc w:val="center"/>
              <w:rPr>
                <w:b/>
              </w:rPr>
            </w:pPr>
            <w:r w:rsidRPr="009205EA">
              <w:rPr>
                <w:b/>
              </w:rPr>
              <w:t>Very small</w:t>
            </w:r>
          </w:p>
        </w:tc>
        <w:tc>
          <w:tcPr>
            <w:tcW w:w="1350" w:type="dxa"/>
          </w:tcPr>
          <w:p w:rsidR="00E65478" w:rsidRPr="009205EA" w:rsidP="00026F9A" w14:paraId="5AD9F16A" w14:textId="77777777">
            <w:pPr>
              <w:jc w:val="center"/>
              <w:rPr>
                <w:b/>
              </w:rPr>
            </w:pPr>
            <w:r w:rsidRPr="009205EA">
              <w:rPr>
                <w:b/>
              </w:rPr>
              <w:t>Small</w:t>
            </w:r>
          </w:p>
        </w:tc>
        <w:tc>
          <w:tcPr>
            <w:tcW w:w="1350" w:type="dxa"/>
          </w:tcPr>
          <w:p w:rsidR="00E65478" w:rsidRPr="009205EA" w:rsidP="00026F9A" w14:paraId="760F455F" w14:textId="77777777">
            <w:pPr>
              <w:jc w:val="center"/>
              <w:rPr>
                <w:b/>
              </w:rPr>
            </w:pPr>
            <w:r w:rsidRPr="009205EA">
              <w:rPr>
                <w:b/>
              </w:rPr>
              <w:t>Large</w:t>
            </w:r>
          </w:p>
        </w:tc>
        <w:tc>
          <w:tcPr>
            <w:tcW w:w="1255" w:type="dxa"/>
          </w:tcPr>
          <w:p w:rsidR="00E65478" w:rsidRPr="009205EA" w:rsidP="00026F9A" w14:paraId="42E553DC" w14:textId="77777777">
            <w:pPr>
              <w:jc w:val="center"/>
              <w:rPr>
                <w:b/>
              </w:rPr>
            </w:pPr>
            <w:r w:rsidRPr="009205EA">
              <w:rPr>
                <w:b/>
              </w:rPr>
              <w:t>Total</w:t>
            </w:r>
          </w:p>
        </w:tc>
      </w:tr>
      <w:tr w14:paraId="4A552A44" w14:textId="77777777">
        <w:tblPrEx>
          <w:tblW w:w="0" w:type="auto"/>
          <w:tblLook w:val="04A0"/>
        </w:tblPrEx>
        <w:tc>
          <w:tcPr>
            <w:tcW w:w="3145" w:type="dxa"/>
          </w:tcPr>
          <w:p w:rsidR="00E65478" w:rsidP="00026F9A" w14:paraId="07587777" w14:textId="77777777">
            <w:r>
              <w:t>Number of covered farms</w:t>
            </w:r>
          </w:p>
        </w:tc>
        <w:tc>
          <w:tcPr>
            <w:tcW w:w="1530" w:type="dxa"/>
            <w:vAlign w:val="center"/>
          </w:tcPr>
          <w:p w:rsidR="00E65478" w:rsidP="00026F9A" w14:paraId="67EBD2B1" w14:textId="44631E9D">
            <w:pPr>
              <w:jc w:val="center"/>
            </w:pPr>
            <w:r>
              <w:t>2</w:t>
            </w:r>
            <w:r w:rsidR="00B319EB">
              <w:t>7,732</w:t>
            </w:r>
          </w:p>
        </w:tc>
        <w:tc>
          <w:tcPr>
            <w:tcW w:w="1350" w:type="dxa"/>
            <w:vAlign w:val="center"/>
          </w:tcPr>
          <w:p w:rsidR="00E65478" w:rsidP="00026F9A" w14:paraId="5CFEAE8F" w14:textId="14AC3E22">
            <w:pPr>
              <w:jc w:val="center"/>
            </w:pPr>
            <w:r>
              <w:t>5,139</w:t>
            </w:r>
          </w:p>
        </w:tc>
        <w:tc>
          <w:tcPr>
            <w:tcW w:w="1350" w:type="dxa"/>
            <w:vAlign w:val="center"/>
          </w:tcPr>
          <w:p w:rsidR="00E65478" w:rsidP="00026F9A" w14:paraId="317B911F" w14:textId="3423E56B">
            <w:pPr>
              <w:jc w:val="center"/>
            </w:pPr>
            <w:r>
              <w:t>10,639</w:t>
            </w:r>
          </w:p>
        </w:tc>
        <w:tc>
          <w:tcPr>
            <w:tcW w:w="1255" w:type="dxa"/>
            <w:vAlign w:val="center"/>
          </w:tcPr>
          <w:p w:rsidR="00E65478" w:rsidP="00026F9A" w14:paraId="6C7B1EB0" w14:textId="432A6FE0">
            <w:pPr>
              <w:jc w:val="center"/>
            </w:pPr>
            <w:r>
              <w:t>43,510</w:t>
            </w:r>
          </w:p>
        </w:tc>
      </w:tr>
      <w:tr w14:paraId="345D951A" w14:textId="77777777">
        <w:tblPrEx>
          <w:tblW w:w="0" w:type="auto"/>
          <w:tblLook w:val="04A0"/>
        </w:tblPrEx>
        <w:tc>
          <w:tcPr>
            <w:tcW w:w="3145" w:type="dxa"/>
          </w:tcPr>
          <w:p w:rsidR="00E65478" w:rsidP="00026F9A" w14:paraId="404354EF" w14:textId="77777777">
            <w:r>
              <w:t>Number of covered irrigated farms</w:t>
            </w:r>
          </w:p>
        </w:tc>
        <w:tc>
          <w:tcPr>
            <w:tcW w:w="1530" w:type="dxa"/>
            <w:vAlign w:val="center"/>
          </w:tcPr>
          <w:p w:rsidR="00E65478" w:rsidP="00026F9A" w14:paraId="721E33AE" w14:textId="357411CB">
            <w:pPr>
              <w:jc w:val="center"/>
            </w:pPr>
            <w:r>
              <w:t>22,025</w:t>
            </w:r>
          </w:p>
        </w:tc>
        <w:tc>
          <w:tcPr>
            <w:tcW w:w="1350" w:type="dxa"/>
            <w:vAlign w:val="center"/>
          </w:tcPr>
          <w:p w:rsidR="00E65478" w:rsidP="00026F9A" w14:paraId="0BB198C5" w14:textId="258E9ADC">
            <w:pPr>
              <w:jc w:val="center"/>
            </w:pPr>
            <w:r>
              <w:t>4,572</w:t>
            </w:r>
          </w:p>
        </w:tc>
        <w:tc>
          <w:tcPr>
            <w:tcW w:w="1350" w:type="dxa"/>
            <w:vAlign w:val="center"/>
          </w:tcPr>
          <w:p w:rsidR="00E65478" w:rsidP="00026F9A" w14:paraId="373E691A" w14:textId="59C4F836">
            <w:pPr>
              <w:jc w:val="center"/>
            </w:pPr>
            <w:r>
              <w:t>9,966</w:t>
            </w:r>
          </w:p>
        </w:tc>
        <w:tc>
          <w:tcPr>
            <w:tcW w:w="1255" w:type="dxa"/>
            <w:vAlign w:val="center"/>
          </w:tcPr>
          <w:p w:rsidR="00E65478" w:rsidP="00026F9A" w14:paraId="7052D260" w14:textId="1F6D83C4">
            <w:pPr>
              <w:jc w:val="center"/>
            </w:pPr>
            <w:r>
              <w:t>36,563</w:t>
            </w:r>
          </w:p>
        </w:tc>
      </w:tr>
      <w:tr w14:paraId="2F7340AE" w14:textId="77777777">
        <w:tblPrEx>
          <w:tblW w:w="0" w:type="auto"/>
          <w:tblLook w:val="04A0"/>
        </w:tblPrEx>
        <w:tc>
          <w:tcPr>
            <w:tcW w:w="3145" w:type="dxa"/>
          </w:tcPr>
          <w:p w:rsidR="00E65478" w:rsidP="00026F9A" w14:paraId="052DD367" w14:textId="77777777">
            <w:r>
              <w:t>Percent of farms using non-public pre-harvest agricultural water that contacts produce</w:t>
            </w:r>
          </w:p>
        </w:tc>
        <w:tc>
          <w:tcPr>
            <w:tcW w:w="1530" w:type="dxa"/>
            <w:vAlign w:val="center"/>
          </w:tcPr>
          <w:p w:rsidR="00E65478" w:rsidP="00026F9A" w14:paraId="4A13B86F" w14:textId="77777777">
            <w:pPr>
              <w:jc w:val="center"/>
            </w:pPr>
            <w:r>
              <w:t>45.0%</w:t>
            </w:r>
          </w:p>
        </w:tc>
        <w:tc>
          <w:tcPr>
            <w:tcW w:w="1350" w:type="dxa"/>
            <w:vAlign w:val="center"/>
          </w:tcPr>
          <w:p w:rsidR="00E65478" w:rsidP="00026F9A" w14:paraId="719765FE" w14:textId="77777777">
            <w:pPr>
              <w:jc w:val="center"/>
            </w:pPr>
            <w:r>
              <w:t>45.0%</w:t>
            </w:r>
          </w:p>
        </w:tc>
        <w:tc>
          <w:tcPr>
            <w:tcW w:w="1350" w:type="dxa"/>
            <w:vAlign w:val="center"/>
          </w:tcPr>
          <w:p w:rsidR="00E65478" w:rsidP="00026F9A" w14:paraId="5830C226" w14:textId="77777777">
            <w:pPr>
              <w:jc w:val="center"/>
            </w:pPr>
            <w:r>
              <w:t>54.1%</w:t>
            </w:r>
          </w:p>
        </w:tc>
        <w:tc>
          <w:tcPr>
            <w:tcW w:w="1255" w:type="dxa"/>
            <w:vAlign w:val="center"/>
          </w:tcPr>
          <w:p w:rsidR="00E65478" w:rsidP="00026F9A" w14:paraId="619515D4" w14:textId="77777777">
            <w:pPr>
              <w:jc w:val="center"/>
            </w:pPr>
          </w:p>
        </w:tc>
      </w:tr>
      <w:tr w14:paraId="6CA17667" w14:textId="77777777">
        <w:tblPrEx>
          <w:tblW w:w="0" w:type="auto"/>
          <w:tblLook w:val="04A0"/>
        </w:tblPrEx>
        <w:tc>
          <w:tcPr>
            <w:tcW w:w="3145" w:type="dxa"/>
          </w:tcPr>
          <w:p w:rsidR="00E65478" w:rsidP="00026F9A" w14:paraId="738524CE" w14:textId="63E2284B">
            <w:r>
              <w:t>Number of farms that would conduct pre-harvest agricultural water assessments under rule</w:t>
            </w:r>
          </w:p>
        </w:tc>
        <w:tc>
          <w:tcPr>
            <w:tcW w:w="1530" w:type="dxa"/>
            <w:vAlign w:val="center"/>
          </w:tcPr>
          <w:p w:rsidR="00E65478" w:rsidP="00026F9A" w14:paraId="55E1EB9F" w14:textId="376518F7">
            <w:pPr>
              <w:jc w:val="center"/>
            </w:pPr>
            <w:r>
              <w:t>9,911</w:t>
            </w:r>
          </w:p>
        </w:tc>
        <w:tc>
          <w:tcPr>
            <w:tcW w:w="1350" w:type="dxa"/>
            <w:vAlign w:val="center"/>
          </w:tcPr>
          <w:p w:rsidR="00E65478" w:rsidP="00026F9A" w14:paraId="5719051B" w14:textId="35C7AE71">
            <w:pPr>
              <w:jc w:val="center"/>
            </w:pPr>
            <w:r>
              <w:t>2,057</w:t>
            </w:r>
          </w:p>
        </w:tc>
        <w:tc>
          <w:tcPr>
            <w:tcW w:w="1350" w:type="dxa"/>
            <w:vAlign w:val="center"/>
          </w:tcPr>
          <w:p w:rsidR="00E65478" w:rsidP="00026F9A" w14:paraId="75E5CE8C" w14:textId="1BFE2C1D">
            <w:pPr>
              <w:jc w:val="center"/>
            </w:pPr>
            <w:r>
              <w:t>5,392</w:t>
            </w:r>
          </w:p>
        </w:tc>
        <w:tc>
          <w:tcPr>
            <w:tcW w:w="1255" w:type="dxa"/>
            <w:vAlign w:val="center"/>
          </w:tcPr>
          <w:p w:rsidR="00E65478" w:rsidP="00026F9A" w14:paraId="0C31C6BA" w14:textId="1275CE40">
            <w:pPr>
              <w:jc w:val="center"/>
            </w:pPr>
            <w:r>
              <w:t>1</w:t>
            </w:r>
            <w:r w:rsidR="00AE695E">
              <w:t>7,360</w:t>
            </w:r>
          </w:p>
        </w:tc>
      </w:tr>
    </w:tbl>
    <w:p w:rsidR="00E65478" w:rsidP="00026F9A" w14:paraId="09484D66" w14:textId="475DC3AF">
      <w:r>
        <w:t xml:space="preserve">*Percentage of farms using non-public pre-harvest </w:t>
      </w:r>
      <w:r w:rsidRPr="00A6661B">
        <w:t xml:space="preserve">water from Ref. </w:t>
      </w:r>
      <w:r w:rsidRPr="00A6661B" w:rsidR="0029223A">
        <w:t>2</w:t>
      </w:r>
    </w:p>
    <w:p w:rsidR="00E65478" w:rsidP="00026F9A" w14:paraId="35CDFED3" w14:textId="49F53590">
      <w:r>
        <w:t xml:space="preserve">**Number of covered farms and covered irrigated farms from </w:t>
      </w:r>
      <w:r w:rsidR="00700643">
        <w:t>National Agricultural Statistics Survey 2017 Census of Agriculture</w:t>
      </w:r>
    </w:p>
    <w:p w:rsidR="00EF0EC0" w:rsidP="00026F9A" w14:paraId="5F14C148" w14:textId="77777777"/>
    <w:p w:rsidR="00EF0EC0" w:rsidRPr="00F27B43" w:rsidP="00026F9A" w14:paraId="48F0E2A2" w14:textId="77777777">
      <w:pPr>
        <w:pStyle w:val="ListParagraph"/>
        <w:numPr>
          <w:ilvl w:val="0"/>
          <w:numId w:val="10"/>
        </w:numPr>
        <w:spacing w:after="0"/>
        <w:rPr>
          <w:b/>
          <w:i/>
        </w:rPr>
      </w:pPr>
      <w:r w:rsidRPr="00F27B43">
        <w:rPr>
          <w:b/>
          <w:i/>
        </w:rPr>
        <w:t>Benefits and Costs</w:t>
      </w:r>
    </w:p>
    <w:p w:rsidR="00EF0EC0" w:rsidP="00026F9A" w14:paraId="5C333C43" w14:textId="77777777">
      <w:pPr>
        <w:rPr>
          <w:i/>
        </w:rPr>
      </w:pPr>
    </w:p>
    <w:p w:rsidR="00EF0EC0" w:rsidRPr="00DC047E" w:rsidP="009A2515" w14:paraId="5737FE8D" w14:textId="78C700D4">
      <w:pPr>
        <w:ind w:firstLine="360"/>
        <w:rPr>
          <w:i/>
        </w:rPr>
      </w:pPr>
      <w:r w:rsidRPr="00F27B43">
        <w:rPr>
          <w:i/>
        </w:rPr>
        <w:t xml:space="preserve">i. Baseline </w:t>
      </w:r>
      <w:r>
        <w:rPr>
          <w:i/>
        </w:rPr>
        <w:t>B</w:t>
      </w:r>
      <w:r w:rsidRPr="00F27B43">
        <w:rPr>
          <w:i/>
        </w:rPr>
        <w:t>enefits</w:t>
      </w:r>
    </w:p>
    <w:p w:rsidR="005B1D21" w:rsidP="00026F9A" w14:paraId="192F65D6" w14:textId="4E9FA749">
      <w:pPr>
        <w:spacing w:line="480" w:lineRule="auto"/>
        <w:ind w:firstLine="720"/>
      </w:pPr>
      <w:r>
        <w:t xml:space="preserve">For the purposes of this analysis, </w:t>
      </w:r>
      <w:r w:rsidR="00C41557">
        <w:t xml:space="preserve">we treat the pre-harvest agricultural water </w:t>
      </w:r>
      <w:r w:rsidR="0027062A">
        <w:t xml:space="preserve">microbial water quality criteria and </w:t>
      </w:r>
      <w:r w:rsidR="00C41557">
        <w:t xml:space="preserve">testing provisions </w:t>
      </w:r>
      <w:r w:rsidR="0027062A">
        <w:t xml:space="preserve">in the 2015 </w:t>
      </w:r>
      <w:r w:rsidR="00B81888">
        <w:t>produce safety final rule</w:t>
      </w:r>
      <w:r w:rsidR="00AD14CD">
        <w:t xml:space="preserve"> </w:t>
      </w:r>
      <w:r w:rsidR="00C41557">
        <w:t>as the primary baseline, and we compare estimated benefits and costs of th</w:t>
      </w:r>
      <w:r w:rsidR="0027062A">
        <w:t>is</w:t>
      </w:r>
      <w:r w:rsidR="00C41557">
        <w:t xml:space="preserve"> rule to estimated benefits and costs of th</w:t>
      </w:r>
      <w:r w:rsidR="00E179A8">
        <w:t>os</w:t>
      </w:r>
      <w:r w:rsidR="00C41557">
        <w:t xml:space="preserve">e </w:t>
      </w:r>
      <w:r w:rsidR="00EC09D4">
        <w:t xml:space="preserve">pre-harvest agricultural water testing provisions. </w:t>
      </w:r>
      <w:r w:rsidR="006D68E0">
        <w:t xml:space="preserve">However, </w:t>
      </w:r>
      <w:r w:rsidR="00AF046D">
        <w:t>because FDA announced an</w:t>
      </w:r>
      <w:r w:rsidR="006D68E0">
        <w:t xml:space="preserve"> </w:t>
      </w:r>
      <w:r w:rsidR="00AF046D">
        <w:t>intent to exercise</w:t>
      </w:r>
      <w:r w:rsidR="006D68E0">
        <w:t xml:space="preserve"> enforcement discretion for the pre-harvest agricultural water requirements in the </w:t>
      </w:r>
      <w:r w:rsidR="001F0D3F">
        <w:t xml:space="preserve">2015 </w:t>
      </w:r>
      <w:r w:rsidR="00B81888">
        <w:t>produce safety final rule</w:t>
      </w:r>
      <w:r w:rsidR="006D68E0">
        <w:t xml:space="preserve"> for covered produce (other than sprouts) while undergoing this rulemaking, and as we are finalizing compliance dates for the pre-harvest agricultural water provisions</w:t>
      </w:r>
      <w:r w:rsidRPr="0024666F" w:rsidR="006D68E0">
        <w:t xml:space="preserve"> </w:t>
      </w:r>
      <w:r w:rsidR="006D68E0">
        <w:t xml:space="preserve">for covered produce other than sprouts in the 2021 agricultural water proposed rule </w:t>
      </w:r>
      <w:r w:rsidR="006D68E0">
        <w:t>that have yet to occur, we also present estimates of the benefits and costs of the rule relative to an alternate baseline in which there are no pre-harvest agricultural water provisions.</w:t>
      </w:r>
      <w:r w:rsidRPr="00515DF1" w:rsidR="006D68E0">
        <w:t xml:space="preserve"> </w:t>
      </w:r>
    </w:p>
    <w:p w:rsidR="00EF0EC0" w:rsidP="00026F9A" w14:paraId="1A2D3D51" w14:textId="69AACE98">
      <w:pPr>
        <w:spacing w:line="480" w:lineRule="auto"/>
        <w:ind w:firstLine="720"/>
      </w:pPr>
      <w:r>
        <w:t>W</w:t>
      </w:r>
      <w:r w:rsidRPr="00515DF1">
        <w:t>e estimate the dollar burden of foodborne illnesses attributable to non-sprout covered produce; using updated outbreak data from 2009-20</w:t>
      </w:r>
      <w:r w:rsidR="000D3C3A">
        <w:t>20</w:t>
      </w:r>
      <w:r w:rsidRPr="00515DF1">
        <w:t>, we estimate that the annual dollar burden of foodborne illnesses attributable to non-sprout covered produce is $</w:t>
      </w:r>
      <w:r w:rsidR="009F617C">
        <w:t>2,</w:t>
      </w:r>
      <w:r w:rsidR="00662A9E">
        <w:t>667</w:t>
      </w:r>
      <w:r w:rsidRPr="00515DF1">
        <w:t xml:space="preserve"> million </w:t>
      </w:r>
      <w:r w:rsidR="00A5762A">
        <w:t>in 202</w:t>
      </w:r>
      <w:r w:rsidR="00662A9E">
        <w:t>2</w:t>
      </w:r>
      <w:r w:rsidR="00A5762A">
        <w:t xml:space="preserve"> dollars </w:t>
      </w:r>
      <w:r w:rsidRPr="00515DF1">
        <w:t xml:space="preserve">(see Appendix A for a more detailed discussion of these calculations). The estimated burden of foodborne illnesses is drawn from Minor </w:t>
      </w:r>
      <w:r w:rsidRPr="00F20701">
        <w:t xml:space="preserve">et al. (Ref. </w:t>
      </w:r>
      <w:r w:rsidRPr="00F20701" w:rsidR="00AD3539">
        <w:t>6</w:t>
      </w:r>
      <w:r w:rsidRPr="00F20701">
        <w:t>) and comprised</w:t>
      </w:r>
      <w:r w:rsidRPr="00515DF1">
        <w:t xml:space="preserve"> of direct and indirect costs. Direct costs include the costs of doctor visits, emergency room visits, and hospitalizations. Indirect costs include decreased quality of life (of which loss of productivity is a subset). Indirect costs are monetized using the value of a statistical life (VSL), following HHS </w:t>
      </w:r>
      <w:r w:rsidRPr="00F20701">
        <w:t xml:space="preserve">guidelines (Ref. </w:t>
      </w:r>
      <w:r w:rsidRPr="00F20701" w:rsidR="00AD3539">
        <w:t>7</w:t>
      </w:r>
      <w:r w:rsidRPr="00F20701">
        <w:t xml:space="preserve">). Minor et al. (Ref. </w:t>
      </w:r>
      <w:r w:rsidRPr="00F20701" w:rsidR="00AD3539">
        <w:t>6</w:t>
      </w:r>
      <w:r w:rsidRPr="00F20701">
        <w:t>) calculate</w:t>
      </w:r>
      <w:r w:rsidRPr="00515DF1">
        <w:t xml:space="preserve"> QALYs (quality-adjusted life-years) of functional disabilities and symptoms in prior studies and match these conditions to pathogens.</w:t>
      </w:r>
    </w:p>
    <w:p w:rsidR="00E31AA0" w:rsidRPr="003A5659" w:rsidP="00E31AA0" w14:paraId="72EB0E30" w14:textId="77777777">
      <w:pPr>
        <w:spacing w:line="480" w:lineRule="auto"/>
        <w:ind w:firstLine="720"/>
        <w:rPr>
          <w:shd w:val="clear" w:color="auto" w:fill="FFFFFF"/>
        </w:rPr>
      </w:pPr>
      <w:r w:rsidRPr="003A5659">
        <w:t xml:space="preserve">In 2022, FDA published the final rule “Requirement for Additional Traceability Records for Certain Foods” (hereafter “traceability rule”, </w:t>
      </w:r>
      <w:r w:rsidRPr="0062635B">
        <w:t>87 FR 70910</w:t>
      </w:r>
      <w:r w:rsidRPr="003A5659">
        <w:t xml:space="preserve">), which </w:t>
      </w:r>
      <w:r w:rsidRPr="003A5659">
        <w:rPr>
          <w:shd w:val="clear" w:color="auto" w:fill="FFFFFF"/>
        </w:rPr>
        <w:t xml:space="preserve">establishes additional traceability recordkeeping requirements for persons who manufacture, process, pack, or hold foods for which the FDA has determined those additional requirements are appropriate and necessary to protect the public health in accordance with FSMA. </w:t>
      </w:r>
    </w:p>
    <w:p w:rsidR="00E31AA0" w:rsidRPr="00212622" w:rsidP="00E31AA0" w14:paraId="3E8C2E04" w14:textId="77777777">
      <w:pPr>
        <w:spacing w:line="480" w:lineRule="auto"/>
        <w:ind w:firstLine="720"/>
      </w:pPr>
      <w:r w:rsidRPr="003A5659">
        <w:rPr>
          <w:shd w:val="clear" w:color="auto" w:fill="FFFFFF"/>
        </w:rPr>
        <w:t xml:space="preserve">Many foodborne illnesses are caused by produce covered by both the traceability final rule and this rule that relates to pre-harvest agricultural water for covered produce (other than sprouts). An illness prevented by the traceability final rule could not subsequently be prevented by this rule. To account for this, we remove illnesses estimated to be prevented by the traceability rule from the baseline dollar burden of foodborne illnesses attributable to non-sprout </w:t>
      </w:r>
      <w:r w:rsidRPr="003A5659">
        <w:rPr>
          <w:shd w:val="clear" w:color="auto" w:fill="FFFFFF"/>
        </w:rPr>
        <w:t>covered produce. We use the estimated preventable illness percentage by illness type from the traceability rule Final Regulatory Impact Analysis (Ref. 6) to adjust the baseline dollar burden to account for illness assumed to be prevented by the traceability rule; after this adjustment, we estimate that the annual dollar burden of foodborne illnesses attributable to non-sprout covered produce and not assumed to be prevented by the traceability rule to be $1,938.9 million in 2022 dollars (</w:t>
      </w:r>
      <w:r w:rsidRPr="003A5659">
        <w:t>see Appendix A for a more detailed discussion of these calculations).</w:t>
      </w:r>
    </w:p>
    <w:p w:rsidR="00EF0EC0" w:rsidRPr="00515DF1" w:rsidP="00026F9A" w14:paraId="54961AF3" w14:textId="6E4F0AEC">
      <w:pPr>
        <w:spacing w:line="480" w:lineRule="auto"/>
        <w:ind w:firstLine="720"/>
      </w:pPr>
      <w:r w:rsidRPr="00515DF1">
        <w:t xml:space="preserve">There are various potential routes of contamination that may cause these illnesses, of which agricultural water is only one. The 2015 FRIA estimates that agricultural water (including for pre-harvest, harvest, and post-harvest uses) has a 30.69% likelihood of being the route of contamination in </w:t>
      </w:r>
      <w:r w:rsidRPr="00F20701">
        <w:t xml:space="preserve">outbreaks (Ref. </w:t>
      </w:r>
      <w:r w:rsidRPr="00F20701" w:rsidR="00226424">
        <w:t>8</w:t>
      </w:r>
      <w:r w:rsidRPr="00F20701">
        <w:t>); we</w:t>
      </w:r>
      <w:r w:rsidRPr="00515DF1">
        <w:t xml:space="preserve"> multiply this percentage by the annual burden to estimate that the annual dollar burden of foodborne illnesses attributable to agricultural water (pre-harvest, harvest, or post-harvest) is $5</w:t>
      </w:r>
      <w:r w:rsidR="00DF31BD">
        <w:t>95.1</w:t>
      </w:r>
      <w:r w:rsidRPr="00515DF1">
        <w:t xml:space="preserve"> million. However, both the provisions in the 2015 </w:t>
      </w:r>
      <w:r w:rsidR="00B81888">
        <w:t xml:space="preserve">produce safety final rule </w:t>
      </w:r>
      <w:r w:rsidR="0085507F">
        <w:t xml:space="preserve">that we are replacing </w:t>
      </w:r>
      <w:r w:rsidRPr="00515DF1">
        <w:t xml:space="preserve">and the provisions </w:t>
      </w:r>
      <w:r w:rsidR="00EF006E">
        <w:t>in this rule</w:t>
      </w:r>
      <w:r w:rsidRPr="00515DF1">
        <w:t xml:space="preserve"> apply only to pre-harvest agricultural water for non-sprout covered produce. </w:t>
      </w:r>
    </w:p>
    <w:p w:rsidR="00EF0EC0" w:rsidRPr="00515DF1" w:rsidP="00026F9A" w14:paraId="1D94C3E8" w14:textId="2328754B">
      <w:pPr>
        <w:spacing w:line="480" w:lineRule="auto"/>
        <w:ind w:firstLine="720"/>
      </w:pPr>
      <w:r w:rsidRPr="00515DF1">
        <w:t xml:space="preserve">We are unable to identify with certainty the fraction of outbreaks that can be attributed to contaminated pre-harvest, harvest, or post-harvest water. During outbreak investigations, investigation teams may be unable to investigate growing, harvesting, packing, and holding activities that are not taking place at the time of the investigation. Similarly, as some investigations may be conducted after the growing and harvesting season has concluded, fields may be fallow, therefore limiting the information that can be collected around growing activities, harvesting activities, or personnel. As it is often difficult to determine how and when contamination may have occurred, the precise route of contamination may remain uncertain. Investigators may also be unable to rule out sources or means of contamination that were not </w:t>
      </w:r>
      <w:r w:rsidRPr="00515DF1">
        <w:t>identified during an investigation. We note that outbreaks of unknown origin may also have been caused by contaminated pre-harvest agricultural water, but we are unable to identify these. Because we are unable to identify with certainty the fraction of outbreaks that can be attributed to contaminated pre-harvest, harvest, or post-harvest water, we use survey responses from subject matter experts about the percentage of illnesses attributable to pre-harvest agricultural water.</w:t>
      </w:r>
    </w:p>
    <w:p w:rsidR="00EF0EC0" w:rsidRPr="00515DF1" w:rsidP="00026F9A" w14:paraId="6F2C56C6" w14:textId="75A85186">
      <w:pPr>
        <w:spacing w:line="480" w:lineRule="auto"/>
        <w:ind w:firstLine="720"/>
      </w:pPr>
      <w:r w:rsidRPr="00515DF1">
        <w:t xml:space="preserve">In our survey of subject matter </w:t>
      </w:r>
      <w:r w:rsidRPr="00F20701">
        <w:t xml:space="preserve">experts (Ref. </w:t>
      </w:r>
      <w:r w:rsidRPr="00F20701" w:rsidR="00414F0E">
        <w:t>3</w:t>
      </w:r>
      <w:r w:rsidRPr="00F20701">
        <w:t>), we asked</w:t>
      </w:r>
      <w:r w:rsidRPr="00515DF1">
        <w:t xml:space="preserve"> them to estimate the percentage of illnesses attributable to agricultural water generally (including pre-harvest, harvest, or post-harvest) that would be attributable to pre-harvest agricultural water specifically. The median responses from subject matter experts for the low, most likely, and high estimates were 25%, 40%, and 60% of illnesses attributable to pre-harvest agricultural water specifically. We use these percentages as the parameters of a PERT distribution to simulate the dollar burden of foodborne illnesses attributable to pre-harvest agricultural water; this method incorporates the uncertainty about the fraction of illnesses attributable to pre-harvest agricultural water. We note that using a PERT distribution maps the “low” and “high” survey estimates to parameters corresponding to the minimum and maximum value of the distribution, respectively. Table 3 presents our low, primary, and high estimates of the dollar burden of illnesses attributable to pre-harvest agricultural water in the absence of any pre-harvest agricultural water provisions. We note that throughout the analysis, where we incorporate PERT distributions to account for uncertainty, primary estimates map to the mean of the PERT distribution, not the “most likely” parameter of the PERT distribution. We include 5th (“Low Estimate”) and 95th (“High Estimate”) percentile outcomes of the simulated burden as measures of uncertainty.</w:t>
      </w:r>
    </w:p>
    <w:p w:rsidR="00EF0EC0" w:rsidRPr="00515DF1" w:rsidP="00026F9A" w14:paraId="1309CC50" w14:textId="26CC1AF8">
      <w:pPr>
        <w:rPr>
          <w:b/>
        </w:rPr>
      </w:pPr>
      <w:r w:rsidRPr="00515DF1">
        <w:rPr>
          <w:b/>
        </w:rPr>
        <w:t>Table 3: Dollar Burden of Foodborne Illnesses Attributable to Pre-harvest Agricultural Water, No Pre-harvest Provisions in Effect (millions 20</w:t>
      </w:r>
      <w:r w:rsidR="00D745F2">
        <w:rPr>
          <w:b/>
        </w:rPr>
        <w:t>2</w:t>
      </w:r>
      <w:r w:rsidR="005A37F3">
        <w:rPr>
          <w:b/>
        </w:rPr>
        <w:t>2</w:t>
      </w:r>
      <w:r w:rsidRPr="00515DF1">
        <w:rPr>
          <w:b/>
        </w:rPr>
        <w:t>$)</w:t>
      </w:r>
    </w:p>
    <w:tbl>
      <w:tblPr>
        <w:tblStyle w:val="TableGrid"/>
        <w:tblW w:w="5000" w:type="pct"/>
        <w:tblLook w:val="04A0"/>
      </w:tblPr>
      <w:tblGrid>
        <w:gridCol w:w="2411"/>
        <w:gridCol w:w="2313"/>
        <w:gridCol w:w="2313"/>
        <w:gridCol w:w="2313"/>
      </w:tblGrid>
      <w:tr w14:paraId="023B9818"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F0EC0" w:rsidRPr="00515DF1" w:rsidP="00026F9A" w14:paraId="79EFDF91" w14:textId="77777777">
            <w:pPr>
              <w:jc w:val="center"/>
              <w:rPr>
                <w:b/>
              </w:rPr>
            </w:pPr>
            <w:r w:rsidRPr="00515DF1">
              <w:rPr>
                <w:b/>
              </w:rPr>
              <w:t>Years after publication</w:t>
            </w:r>
          </w:p>
        </w:tc>
        <w:tc>
          <w:tcPr>
            <w:tcW w:w="1237" w:type="pct"/>
            <w:tcBorders>
              <w:top w:val="single" w:sz="4" w:space="0" w:color="auto"/>
              <w:left w:val="single" w:sz="4" w:space="0" w:color="auto"/>
              <w:bottom w:val="single" w:sz="4" w:space="0" w:color="auto"/>
              <w:right w:val="single" w:sz="4" w:space="0" w:color="auto"/>
            </w:tcBorders>
            <w:hideMark/>
          </w:tcPr>
          <w:p w:rsidR="00EF0EC0" w:rsidRPr="00515DF1" w:rsidP="00026F9A" w14:paraId="0260BAF6" w14:textId="77777777">
            <w:pPr>
              <w:jc w:val="center"/>
              <w:rPr>
                <w:b/>
              </w:rPr>
            </w:pPr>
            <w:r w:rsidRPr="00515DF1">
              <w:rPr>
                <w:b/>
              </w:rPr>
              <w:t>Low Estimate</w:t>
            </w:r>
          </w:p>
        </w:tc>
        <w:tc>
          <w:tcPr>
            <w:tcW w:w="1237" w:type="pct"/>
            <w:tcBorders>
              <w:top w:val="single" w:sz="4" w:space="0" w:color="auto"/>
              <w:left w:val="single" w:sz="4" w:space="0" w:color="auto"/>
              <w:bottom w:val="single" w:sz="4" w:space="0" w:color="auto"/>
              <w:right w:val="single" w:sz="4" w:space="0" w:color="auto"/>
            </w:tcBorders>
          </w:tcPr>
          <w:p w:rsidR="00EF0EC0" w:rsidRPr="00515DF1" w:rsidP="00026F9A" w14:paraId="53F11774" w14:textId="77777777">
            <w:pPr>
              <w:jc w:val="center"/>
              <w:rPr>
                <w:b/>
              </w:rPr>
            </w:pPr>
            <w:r w:rsidRPr="00515DF1">
              <w:rPr>
                <w:b/>
              </w:rPr>
              <w:t>Primary Estimate</w:t>
            </w:r>
          </w:p>
        </w:tc>
        <w:tc>
          <w:tcPr>
            <w:tcW w:w="1237" w:type="pct"/>
            <w:tcBorders>
              <w:top w:val="single" w:sz="4" w:space="0" w:color="auto"/>
              <w:left w:val="single" w:sz="4" w:space="0" w:color="auto"/>
              <w:bottom w:val="single" w:sz="4" w:space="0" w:color="auto"/>
              <w:right w:val="single" w:sz="4" w:space="0" w:color="auto"/>
            </w:tcBorders>
          </w:tcPr>
          <w:p w:rsidR="00EF0EC0" w:rsidRPr="00515DF1" w:rsidP="00026F9A" w14:paraId="631D9DCC" w14:textId="77777777">
            <w:pPr>
              <w:jc w:val="center"/>
              <w:rPr>
                <w:b/>
              </w:rPr>
            </w:pPr>
            <w:r w:rsidRPr="00515DF1">
              <w:rPr>
                <w:b/>
              </w:rPr>
              <w:t>High Estimate</w:t>
            </w:r>
          </w:p>
        </w:tc>
      </w:tr>
      <w:tr w14:paraId="2A3D5487"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4346834C" w14:textId="77777777">
            <w:pPr>
              <w:jc w:val="center"/>
            </w:pPr>
            <w:r w:rsidRPr="00515DF1">
              <w:t>0</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0327C565" w14:textId="7F3354D0">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27CC6273" w14:textId="6F499CA8">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66E99671" w14:textId="760BC4DA">
            <w:pPr>
              <w:jc w:val="center"/>
              <w:rPr>
                <w:color w:val="000000"/>
              </w:rPr>
            </w:pPr>
            <w:r w:rsidRPr="00491301">
              <w:rPr>
                <w:color w:val="000000"/>
              </w:rPr>
              <w:t>$309.4</w:t>
            </w:r>
          </w:p>
        </w:tc>
      </w:tr>
      <w:tr w14:paraId="03D756E0"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0DE092F7" w14:textId="77777777">
            <w:pPr>
              <w:jc w:val="center"/>
            </w:pPr>
            <w:r w:rsidRPr="00515DF1">
              <w:t>1</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7B72D1FD" w14:textId="3C8BC7B9">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7EEEC2F4" w14:textId="5979C6AB">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28BA0826" w14:textId="2FC76C62">
            <w:pPr>
              <w:jc w:val="center"/>
              <w:rPr>
                <w:color w:val="000000"/>
              </w:rPr>
            </w:pPr>
            <w:r w:rsidRPr="00491301">
              <w:rPr>
                <w:color w:val="000000"/>
              </w:rPr>
              <w:t>$309.4</w:t>
            </w:r>
          </w:p>
        </w:tc>
      </w:tr>
      <w:tr w14:paraId="78C75593"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772C8445" w14:textId="77777777">
            <w:pPr>
              <w:jc w:val="center"/>
            </w:pPr>
            <w:r w:rsidRPr="00515DF1">
              <w:t>2</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01DB546A" w14:textId="1095B269">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56421809" w14:textId="59EA3292">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40A0ED95" w14:textId="08A2EF5F">
            <w:pPr>
              <w:jc w:val="center"/>
              <w:rPr>
                <w:color w:val="000000"/>
              </w:rPr>
            </w:pPr>
            <w:r w:rsidRPr="00491301">
              <w:rPr>
                <w:color w:val="000000"/>
              </w:rPr>
              <w:t>$309.3</w:t>
            </w:r>
          </w:p>
        </w:tc>
      </w:tr>
      <w:tr w14:paraId="63B80F8F"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122AF08D" w14:textId="77777777">
            <w:pPr>
              <w:jc w:val="center"/>
            </w:pPr>
            <w:r w:rsidRPr="00515DF1">
              <w:t>3</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145B065A" w14:textId="6DC5CB4D">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030F55DC" w14:textId="5815473A">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7E5D7E02" w14:textId="435A5875">
            <w:pPr>
              <w:jc w:val="center"/>
              <w:rPr>
                <w:color w:val="000000"/>
              </w:rPr>
            </w:pPr>
            <w:r w:rsidRPr="00491301">
              <w:rPr>
                <w:color w:val="000000"/>
              </w:rPr>
              <w:t>$309.4</w:t>
            </w:r>
          </w:p>
        </w:tc>
      </w:tr>
      <w:tr w14:paraId="67FC7E25"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2739C308" w14:textId="77777777">
            <w:pPr>
              <w:jc w:val="center"/>
            </w:pPr>
            <w:r w:rsidRPr="00515DF1">
              <w:t>4</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6DFBDAD4" w14:textId="7C0058EA">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7206D772" w14:textId="34601619">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0B8427EE" w14:textId="653C981E">
            <w:pPr>
              <w:jc w:val="center"/>
              <w:rPr>
                <w:color w:val="000000"/>
              </w:rPr>
            </w:pPr>
            <w:r w:rsidRPr="00491301">
              <w:rPr>
                <w:color w:val="000000"/>
              </w:rPr>
              <w:t>$309.4</w:t>
            </w:r>
          </w:p>
        </w:tc>
      </w:tr>
      <w:tr w14:paraId="605158BD"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5C80437B" w14:textId="77777777">
            <w:pPr>
              <w:jc w:val="center"/>
            </w:pPr>
            <w:r w:rsidRPr="00515DF1">
              <w:t>5</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3FA9B10E" w14:textId="60A4AB56">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6BFA4B16" w14:textId="284DE66C">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7C1F857F" w14:textId="4F8D9174">
            <w:pPr>
              <w:jc w:val="center"/>
              <w:rPr>
                <w:color w:val="000000"/>
              </w:rPr>
            </w:pPr>
            <w:r w:rsidRPr="00491301">
              <w:rPr>
                <w:color w:val="000000"/>
              </w:rPr>
              <w:t>$309.4</w:t>
            </w:r>
          </w:p>
        </w:tc>
      </w:tr>
      <w:tr w14:paraId="59DB2E89"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2BC63163" w14:textId="77777777">
            <w:pPr>
              <w:jc w:val="center"/>
            </w:pPr>
            <w:r w:rsidRPr="00515DF1">
              <w:t>6</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6D617DED" w14:textId="0511EF47">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5028DA91" w14:textId="1C152BFF">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4A55D50D" w14:textId="734587C3">
            <w:pPr>
              <w:jc w:val="center"/>
              <w:rPr>
                <w:color w:val="000000"/>
              </w:rPr>
            </w:pPr>
            <w:r w:rsidRPr="00491301">
              <w:rPr>
                <w:color w:val="000000"/>
              </w:rPr>
              <w:t>$309.4</w:t>
            </w:r>
          </w:p>
        </w:tc>
      </w:tr>
      <w:tr w14:paraId="37CC491A"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48951D4E" w14:textId="77777777">
            <w:pPr>
              <w:jc w:val="center"/>
            </w:pPr>
            <w:r w:rsidRPr="00515DF1">
              <w:t>7</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1B920384" w14:textId="4D763189">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4B9DB20C" w14:textId="4A572B9C">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7BC4610E" w14:textId="0D30ED85">
            <w:pPr>
              <w:jc w:val="center"/>
              <w:rPr>
                <w:color w:val="000000"/>
              </w:rPr>
            </w:pPr>
            <w:r w:rsidRPr="00491301">
              <w:rPr>
                <w:color w:val="000000"/>
              </w:rPr>
              <w:t>$309.3</w:t>
            </w:r>
          </w:p>
        </w:tc>
      </w:tr>
      <w:tr w14:paraId="45850759"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331D3D64" w14:textId="77777777">
            <w:pPr>
              <w:jc w:val="center"/>
            </w:pPr>
            <w:r w:rsidRPr="00515DF1">
              <w:t>8</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03C90218" w14:textId="2914C5BC">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51620140" w14:textId="1CF27C8A">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37D6C65F" w14:textId="1DA0794D">
            <w:pPr>
              <w:jc w:val="center"/>
              <w:rPr>
                <w:color w:val="000000"/>
              </w:rPr>
            </w:pPr>
            <w:r w:rsidRPr="00491301">
              <w:rPr>
                <w:color w:val="000000"/>
              </w:rPr>
              <w:t>$309.4</w:t>
            </w:r>
          </w:p>
        </w:tc>
      </w:tr>
      <w:tr w14:paraId="07D988A9"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316DC" w:rsidRPr="00515DF1" w:rsidP="00026F9A" w14:paraId="1B77BD32" w14:textId="77777777">
            <w:pPr>
              <w:jc w:val="center"/>
            </w:pPr>
            <w:r w:rsidRPr="00515DF1">
              <w:t>9</w:t>
            </w:r>
          </w:p>
        </w:tc>
        <w:tc>
          <w:tcPr>
            <w:tcW w:w="1237" w:type="pct"/>
            <w:tcBorders>
              <w:top w:val="single" w:sz="4" w:space="0" w:color="auto"/>
              <w:left w:val="single" w:sz="4" w:space="0" w:color="auto"/>
              <w:bottom w:val="single" w:sz="4" w:space="0" w:color="auto"/>
              <w:right w:val="single" w:sz="4" w:space="0" w:color="auto"/>
            </w:tcBorders>
            <w:vAlign w:val="bottom"/>
            <w:hideMark/>
          </w:tcPr>
          <w:p w:rsidR="006316DC" w:rsidRPr="005A37F3" w:rsidP="00026F9A" w14:paraId="5BA1F52A" w14:textId="305A372C">
            <w:pPr>
              <w:jc w:val="center"/>
              <w:rPr>
                <w:color w:val="000000"/>
              </w:rPr>
            </w:pPr>
            <w:r w:rsidRPr="00491301">
              <w:rPr>
                <w:color w:val="000000"/>
              </w:rPr>
              <w:t xml:space="preserve">$180.6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6F472977" w14:textId="10034F4E">
            <w:pPr>
              <w:jc w:val="center"/>
              <w:rPr>
                <w:color w:val="000000"/>
              </w:rPr>
            </w:pPr>
            <w:r w:rsidRPr="00491301">
              <w:rPr>
                <w:color w:val="000000"/>
              </w:rPr>
              <w:t xml:space="preserve">$243.0 </w:t>
            </w:r>
          </w:p>
        </w:tc>
        <w:tc>
          <w:tcPr>
            <w:tcW w:w="1237" w:type="pct"/>
            <w:tcBorders>
              <w:top w:val="single" w:sz="4" w:space="0" w:color="auto"/>
              <w:left w:val="single" w:sz="4" w:space="0" w:color="auto"/>
              <w:bottom w:val="single" w:sz="4" w:space="0" w:color="auto"/>
              <w:right w:val="single" w:sz="4" w:space="0" w:color="auto"/>
            </w:tcBorders>
            <w:vAlign w:val="bottom"/>
          </w:tcPr>
          <w:p w:rsidR="006316DC" w:rsidRPr="005A37F3" w:rsidP="00026F9A" w14:paraId="180EB8F0" w14:textId="6A061F47">
            <w:pPr>
              <w:jc w:val="center"/>
              <w:rPr>
                <w:color w:val="000000"/>
              </w:rPr>
            </w:pPr>
            <w:r w:rsidRPr="00491301">
              <w:rPr>
                <w:color w:val="000000"/>
              </w:rPr>
              <w:t>$309.4</w:t>
            </w:r>
          </w:p>
        </w:tc>
      </w:tr>
      <w:tr w14:paraId="772FACE6"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EF0EC0" w:rsidRPr="00515DF1" w:rsidP="00026F9A" w14:paraId="3F5C7B15" w14:textId="77777777">
            <w:pPr>
              <w:jc w:val="center"/>
            </w:pPr>
            <w:r w:rsidRPr="00515DF1">
              <w:t>Annualized, 3%</w:t>
            </w:r>
          </w:p>
        </w:tc>
        <w:tc>
          <w:tcPr>
            <w:tcW w:w="1237" w:type="pct"/>
            <w:tcBorders>
              <w:top w:val="single" w:sz="4" w:space="0" w:color="auto"/>
              <w:left w:val="single" w:sz="4" w:space="0" w:color="auto"/>
              <w:bottom w:val="single" w:sz="4" w:space="0" w:color="auto"/>
              <w:right w:val="single" w:sz="4" w:space="0" w:color="auto"/>
            </w:tcBorders>
            <w:vAlign w:val="bottom"/>
          </w:tcPr>
          <w:p w:rsidR="00EF0EC0" w:rsidRPr="005A37F3" w:rsidP="00026F9A" w14:paraId="59EABD9A" w14:textId="07EACCA0">
            <w:pPr>
              <w:jc w:val="center"/>
              <w:rPr>
                <w:color w:val="000000"/>
              </w:rPr>
            </w:pPr>
            <w:r w:rsidRPr="005A37F3">
              <w:rPr>
                <w:color w:val="000000"/>
              </w:rPr>
              <w:t>$180.</w:t>
            </w:r>
            <w:r w:rsidRPr="005A37F3" w:rsidR="006316DC">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EF0EC0" w:rsidRPr="005A37F3" w:rsidP="00026F9A" w14:paraId="1D78A925" w14:textId="55B8C3D5">
            <w:pPr>
              <w:jc w:val="center"/>
              <w:rPr>
                <w:color w:val="000000"/>
              </w:rPr>
            </w:pPr>
            <w:r w:rsidRPr="005A37F3">
              <w:rPr>
                <w:color w:val="000000"/>
              </w:rPr>
              <w:t>$2</w:t>
            </w:r>
            <w:r w:rsidRPr="005A37F3" w:rsidR="006316DC">
              <w:rPr>
                <w:color w:val="000000"/>
              </w:rPr>
              <w:t>43.0</w:t>
            </w:r>
          </w:p>
        </w:tc>
        <w:tc>
          <w:tcPr>
            <w:tcW w:w="1237" w:type="pct"/>
            <w:tcBorders>
              <w:top w:val="single" w:sz="4" w:space="0" w:color="auto"/>
              <w:left w:val="single" w:sz="4" w:space="0" w:color="auto"/>
              <w:bottom w:val="single" w:sz="4" w:space="0" w:color="auto"/>
              <w:right w:val="single" w:sz="4" w:space="0" w:color="auto"/>
            </w:tcBorders>
            <w:vAlign w:val="bottom"/>
          </w:tcPr>
          <w:p w:rsidR="00EF0EC0" w:rsidRPr="005A37F3" w:rsidP="00026F9A" w14:paraId="38FDAF02" w14:textId="2C3D9494">
            <w:pPr>
              <w:jc w:val="center"/>
              <w:rPr>
                <w:color w:val="000000"/>
              </w:rPr>
            </w:pPr>
            <w:r w:rsidRPr="005A37F3">
              <w:rPr>
                <w:color w:val="000000"/>
              </w:rPr>
              <w:t>$309.</w:t>
            </w:r>
            <w:r w:rsidRPr="005A37F3" w:rsidR="006316DC">
              <w:rPr>
                <w:color w:val="000000"/>
              </w:rPr>
              <w:t>4</w:t>
            </w:r>
          </w:p>
        </w:tc>
      </w:tr>
      <w:tr w14:paraId="586FCB26"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EF0EC0" w:rsidRPr="00515DF1" w:rsidP="00026F9A" w14:paraId="7B08F733" w14:textId="77777777">
            <w:pPr>
              <w:jc w:val="center"/>
            </w:pPr>
            <w:r w:rsidRPr="00515DF1">
              <w:t>Annualized, 7%</w:t>
            </w:r>
          </w:p>
        </w:tc>
        <w:tc>
          <w:tcPr>
            <w:tcW w:w="1237" w:type="pct"/>
            <w:tcBorders>
              <w:top w:val="single" w:sz="4" w:space="0" w:color="auto"/>
              <w:left w:val="single" w:sz="4" w:space="0" w:color="auto"/>
              <w:bottom w:val="single" w:sz="4" w:space="0" w:color="auto"/>
              <w:right w:val="single" w:sz="4" w:space="0" w:color="auto"/>
            </w:tcBorders>
            <w:vAlign w:val="bottom"/>
          </w:tcPr>
          <w:p w:rsidR="00EF0EC0" w:rsidRPr="005A37F3" w:rsidP="00026F9A" w14:paraId="22006547" w14:textId="5179AF35">
            <w:pPr>
              <w:jc w:val="center"/>
              <w:rPr>
                <w:color w:val="000000"/>
              </w:rPr>
            </w:pPr>
            <w:r w:rsidRPr="005A37F3">
              <w:rPr>
                <w:color w:val="000000"/>
              </w:rPr>
              <w:t>$180.</w:t>
            </w:r>
            <w:r w:rsidRPr="005A37F3" w:rsidR="006316DC">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EF0EC0" w:rsidRPr="005A37F3" w:rsidP="00026F9A" w14:paraId="043A111D" w14:textId="44435BFF">
            <w:pPr>
              <w:jc w:val="center"/>
              <w:rPr>
                <w:color w:val="000000"/>
              </w:rPr>
            </w:pPr>
            <w:r w:rsidRPr="005A37F3">
              <w:rPr>
                <w:color w:val="000000"/>
              </w:rPr>
              <w:t>$2</w:t>
            </w:r>
            <w:r w:rsidRPr="005A37F3" w:rsidR="006316DC">
              <w:rPr>
                <w:color w:val="000000"/>
              </w:rPr>
              <w:t>43.0</w:t>
            </w:r>
          </w:p>
        </w:tc>
        <w:tc>
          <w:tcPr>
            <w:tcW w:w="1237" w:type="pct"/>
            <w:tcBorders>
              <w:top w:val="single" w:sz="4" w:space="0" w:color="auto"/>
              <w:left w:val="single" w:sz="4" w:space="0" w:color="auto"/>
              <w:bottom w:val="single" w:sz="4" w:space="0" w:color="auto"/>
              <w:right w:val="single" w:sz="4" w:space="0" w:color="auto"/>
            </w:tcBorders>
            <w:vAlign w:val="bottom"/>
          </w:tcPr>
          <w:p w:rsidR="00EF0EC0" w:rsidRPr="005A37F3" w:rsidP="00026F9A" w14:paraId="42AF417A" w14:textId="672D1402">
            <w:pPr>
              <w:jc w:val="center"/>
              <w:rPr>
                <w:color w:val="000000"/>
              </w:rPr>
            </w:pPr>
            <w:r w:rsidRPr="005A37F3">
              <w:rPr>
                <w:color w:val="000000"/>
              </w:rPr>
              <w:t>$309.</w:t>
            </w:r>
            <w:r w:rsidRPr="005A37F3" w:rsidR="006316DC">
              <w:rPr>
                <w:color w:val="000000"/>
              </w:rPr>
              <w:t>4</w:t>
            </w:r>
          </w:p>
        </w:tc>
      </w:tr>
    </w:tbl>
    <w:p w:rsidR="00EF0EC0" w:rsidRPr="00515DF1" w:rsidP="00026F9A" w14:paraId="53D144E0" w14:textId="77777777">
      <w:pPr>
        <w:spacing w:line="480" w:lineRule="auto"/>
        <w:ind w:firstLine="720"/>
      </w:pPr>
    </w:p>
    <w:p w:rsidR="00EF0EC0" w:rsidRPr="00515DF1" w:rsidP="00026F9A" w14:paraId="1E4C1793" w14:textId="23D12484">
      <w:pPr>
        <w:spacing w:line="480" w:lineRule="auto"/>
        <w:ind w:firstLine="720"/>
      </w:pPr>
      <w:r>
        <w:t xml:space="preserve">Our primary baseline is the </w:t>
      </w:r>
      <w:r w:rsidR="00D248D3">
        <w:t xml:space="preserve">pre-harvest agricultural water microbial water quality criteria and </w:t>
      </w:r>
      <w:r>
        <w:t>testing provisions</w:t>
      </w:r>
      <w:r w:rsidR="00D248D3">
        <w:t xml:space="preserve"> in the 2015 </w:t>
      </w:r>
      <w:r w:rsidR="00B81888">
        <w:t>produce safety final rule</w:t>
      </w:r>
      <w:r>
        <w:t>.</w:t>
      </w:r>
      <w:r w:rsidRPr="00515DF1">
        <w:t xml:space="preserve"> We acknowledge uncertainty about the effectiveness of pre-harvest agricultural water testing provisions at preventing illnesses.</w:t>
      </w:r>
      <w:r>
        <w:rPr>
          <w:rStyle w:val="FootnoteReference"/>
        </w:rPr>
        <w:footnoteReference w:id="4"/>
      </w:r>
      <w:r w:rsidRPr="00515DF1">
        <w:t xml:space="preserve"> For purposes of this analysis, we use survey responses from subject matter experts about the effectiveness of those pre-harvest agricultural water testing provisions. In our survey of subject matter </w:t>
      </w:r>
      <w:r w:rsidRPr="00F20701">
        <w:t xml:space="preserve">experts (Ref. </w:t>
      </w:r>
      <w:r w:rsidRPr="00F20701" w:rsidR="00414F0E">
        <w:t>3</w:t>
      </w:r>
      <w:r w:rsidRPr="00F20701">
        <w:t>), we provided</w:t>
      </w:r>
      <w:r w:rsidRPr="00515DF1">
        <w:t xml:space="preserve"> the </w:t>
      </w:r>
      <w:r w:rsidR="00A072A7">
        <w:t xml:space="preserve">pre-harvest agricultural water microbial water quality criteria and testing provisions in the 2015 </w:t>
      </w:r>
      <w:r w:rsidR="00B81888">
        <w:t xml:space="preserve">produce safety final rule </w:t>
      </w:r>
      <w:r w:rsidRPr="00515DF1">
        <w:t xml:space="preserve">and asked how effective the provisions would be at preventing illnesses. The median estimates from subject matter experts of the low, most likely, and high estimates of the percentage of illnesses that would occur under the testing regime relative to no provisions were 40%, 65%, and 80%. We use these percentages as </w:t>
      </w:r>
      <w:r w:rsidRPr="00515DF1">
        <w:t xml:space="preserve">parameters of a PERT distribution to simulate the benefits of pre-harvest water testing provisions; this method incorporates the uncertainty about the effectiveness of pre-harvest water testing provisions. Table 4 presents our low, primary, and high estimates of the benefits (dollar burden of illnesses avoided) of </w:t>
      </w:r>
      <w:r w:rsidR="00E10C31">
        <w:t xml:space="preserve">the pre-harvest agricultural water microbial water quality criteria and testing provisions in the 2015 </w:t>
      </w:r>
      <w:r w:rsidR="00B81888">
        <w:t>produce safety final rule</w:t>
      </w:r>
      <w:r w:rsidRPr="00515DF1">
        <w:t xml:space="preserve">. In year 0, there are no estimated benefits as provisions have not taken effect; in year 1, provisions have taken effect only for large farms, which constitute 80% of covered produce acreage; in year 2, provisions have taken effect for large farms and small farms, which constitute 87% of covered acreage; in years 3 and onward, provisions have taken effect for all farm </w:t>
      </w:r>
      <w:r w:rsidRPr="000C24C7">
        <w:t xml:space="preserve">sizes (Ref. </w:t>
      </w:r>
      <w:r w:rsidRPr="000C24C7" w:rsidR="00226424">
        <w:t>8</w:t>
      </w:r>
      <w:r w:rsidRPr="000C24C7">
        <w:t>). W</w:t>
      </w:r>
      <w:r w:rsidRPr="00515DF1">
        <w:t>e estimate that annualized baseline benefits are approximately $</w:t>
      </w:r>
      <w:r w:rsidRPr="00515DF1" w:rsidR="259AE672">
        <w:t>7</w:t>
      </w:r>
      <w:r w:rsidR="00F96D58">
        <w:t>5.8</w:t>
      </w:r>
      <w:r w:rsidRPr="00515DF1">
        <w:t xml:space="preserve"> million in </w:t>
      </w:r>
      <w:r w:rsidRPr="00515DF1" w:rsidR="259AE672">
        <w:t>20</w:t>
      </w:r>
      <w:r w:rsidRPr="00515DF1" w:rsidR="56773747">
        <w:t>2</w:t>
      </w:r>
      <w:r w:rsidR="00F96D58">
        <w:t>2</w:t>
      </w:r>
      <w:r w:rsidRPr="00515DF1">
        <w:t xml:space="preserve"> dollars at a 3 percent discount rate. At a 7 percent discount rate, estimated annual baseline benefits are approximately $</w:t>
      </w:r>
      <w:r w:rsidR="00F96D58">
        <w:t>73.7</w:t>
      </w:r>
      <w:r w:rsidRPr="00515DF1">
        <w:t xml:space="preserve"> million. We use these estimated benefits of the </w:t>
      </w:r>
      <w:r w:rsidR="003D5A36">
        <w:t xml:space="preserve">pre-harvest agricultural water microbial water quality criteria and testing provisions in the 2015 </w:t>
      </w:r>
      <w:r w:rsidR="00B81888">
        <w:t xml:space="preserve">produce safety final rule </w:t>
      </w:r>
      <w:r w:rsidRPr="00515DF1">
        <w:t>as the baseline for th</w:t>
      </w:r>
      <w:r w:rsidR="00831D1F">
        <w:t>is</w:t>
      </w:r>
      <w:r w:rsidRPr="00515DF1">
        <w:t xml:space="preserve"> rule. We include 5th (“Low Estimate”) and 95th (“High Estimate”) percentile outcomes of the simulated benefits as measures of uncertainty.</w:t>
      </w:r>
    </w:p>
    <w:p w:rsidR="00EF0EC0" w:rsidRPr="00515DF1" w:rsidP="00026F9A" w14:paraId="68311FD7" w14:textId="29F45FD8">
      <w:pPr>
        <w:rPr>
          <w:b/>
        </w:rPr>
      </w:pPr>
      <w:r w:rsidRPr="00515DF1">
        <w:rPr>
          <w:b/>
        </w:rPr>
        <w:t xml:space="preserve">Table 4: Estimated Benefits of </w:t>
      </w:r>
      <w:r w:rsidR="00831D1F">
        <w:rPr>
          <w:b/>
        </w:rPr>
        <w:t>P</w:t>
      </w:r>
      <w:r w:rsidRPr="00831D1F" w:rsidR="00831D1F">
        <w:rPr>
          <w:b/>
        </w:rPr>
        <w:t xml:space="preserve">re-harvest </w:t>
      </w:r>
      <w:r w:rsidR="00831D1F">
        <w:rPr>
          <w:b/>
        </w:rPr>
        <w:t>A</w:t>
      </w:r>
      <w:r w:rsidRPr="00831D1F" w:rsidR="00831D1F">
        <w:rPr>
          <w:b/>
        </w:rPr>
        <w:t xml:space="preserve">gricultural </w:t>
      </w:r>
      <w:r w:rsidR="00831D1F">
        <w:rPr>
          <w:b/>
        </w:rPr>
        <w:t>W</w:t>
      </w:r>
      <w:r w:rsidRPr="00831D1F" w:rsidR="00831D1F">
        <w:rPr>
          <w:b/>
        </w:rPr>
        <w:t xml:space="preserve">ater </w:t>
      </w:r>
      <w:r w:rsidR="00831D1F">
        <w:rPr>
          <w:b/>
        </w:rPr>
        <w:t>M</w:t>
      </w:r>
      <w:r w:rsidRPr="00831D1F" w:rsidR="00831D1F">
        <w:rPr>
          <w:b/>
        </w:rPr>
        <w:t xml:space="preserve">icrobial </w:t>
      </w:r>
      <w:r w:rsidR="00831D1F">
        <w:rPr>
          <w:b/>
        </w:rPr>
        <w:t>Q</w:t>
      </w:r>
      <w:r w:rsidRPr="00831D1F" w:rsidR="00831D1F">
        <w:rPr>
          <w:b/>
        </w:rPr>
        <w:t xml:space="preserve">uality </w:t>
      </w:r>
      <w:r w:rsidR="00831D1F">
        <w:rPr>
          <w:b/>
        </w:rPr>
        <w:t>C</w:t>
      </w:r>
      <w:r w:rsidRPr="00831D1F" w:rsidR="00831D1F">
        <w:rPr>
          <w:b/>
        </w:rPr>
        <w:t xml:space="preserve">riteria and </w:t>
      </w:r>
      <w:r w:rsidR="00F67108">
        <w:rPr>
          <w:b/>
        </w:rPr>
        <w:t>T</w:t>
      </w:r>
      <w:r w:rsidRPr="00831D1F" w:rsidR="00831D1F">
        <w:rPr>
          <w:b/>
        </w:rPr>
        <w:t xml:space="preserve">esting </w:t>
      </w:r>
      <w:r w:rsidR="00F67108">
        <w:rPr>
          <w:b/>
        </w:rPr>
        <w:t>P</w:t>
      </w:r>
      <w:r w:rsidRPr="00831D1F" w:rsidR="00831D1F">
        <w:rPr>
          <w:b/>
        </w:rPr>
        <w:t>rovisions in the 2015 Produce Safety Final Rule</w:t>
      </w:r>
      <w:r w:rsidRPr="00515DF1">
        <w:rPr>
          <w:b/>
        </w:rPr>
        <w:t>, Relative to No Provisions, (millions 20</w:t>
      </w:r>
      <w:r w:rsidR="00F76BD6">
        <w:rPr>
          <w:b/>
        </w:rPr>
        <w:t>2</w:t>
      </w:r>
      <w:r w:rsidR="00F96D58">
        <w:rPr>
          <w:b/>
        </w:rPr>
        <w:t>2</w:t>
      </w:r>
      <w:r w:rsidRPr="00515DF1">
        <w:rPr>
          <w:b/>
        </w:rPr>
        <w:t>$)</w:t>
      </w:r>
    </w:p>
    <w:tbl>
      <w:tblPr>
        <w:tblStyle w:val="TableGrid"/>
        <w:tblW w:w="5000" w:type="pct"/>
        <w:tblLook w:val="04A0"/>
      </w:tblPr>
      <w:tblGrid>
        <w:gridCol w:w="2411"/>
        <w:gridCol w:w="2313"/>
        <w:gridCol w:w="2313"/>
        <w:gridCol w:w="2313"/>
      </w:tblGrid>
      <w:tr w14:paraId="7BED34DC"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F0EC0" w:rsidRPr="00515DF1" w:rsidP="00026F9A" w14:paraId="3F9F7936" w14:textId="77777777">
            <w:pPr>
              <w:jc w:val="center"/>
              <w:rPr>
                <w:b/>
              </w:rPr>
            </w:pPr>
            <w:r w:rsidRPr="00515DF1">
              <w:rPr>
                <w:b/>
              </w:rPr>
              <w:t>Years after publication</w:t>
            </w:r>
          </w:p>
        </w:tc>
        <w:tc>
          <w:tcPr>
            <w:tcW w:w="1237" w:type="pct"/>
            <w:tcBorders>
              <w:top w:val="single" w:sz="4" w:space="0" w:color="auto"/>
              <w:left w:val="single" w:sz="4" w:space="0" w:color="auto"/>
              <w:bottom w:val="single" w:sz="4" w:space="0" w:color="auto"/>
              <w:right w:val="single" w:sz="4" w:space="0" w:color="auto"/>
            </w:tcBorders>
            <w:hideMark/>
          </w:tcPr>
          <w:p w:rsidR="00EF0EC0" w:rsidRPr="00515DF1" w:rsidP="00026F9A" w14:paraId="63F9DAFE" w14:textId="77777777">
            <w:pPr>
              <w:jc w:val="center"/>
              <w:rPr>
                <w:b/>
              </w:rPr>
            </w:pPr>
            <w:r w:rsidRPr="00515DF1">
              <w:rPr>
                <w:b/>
              </w:rPr>
              <w:t>Low Estimate</w:t>
            </w:r>
          </w:p>
        </w:tc>
        <w:tc>
          <w:tcPr>
            <w:tcW w:w="1237" w:type="pct"/>
            <w:tcBorders>
              <w:top w:val="single" w:sz="4" w:space="0" w:color="auto"/>
              <w:left w:val="single" w:sz="4" w:space="0" w:color="auto"/>
              <w:bottom w:val="single" w:sz="4" w:space="0" w:color="auto"/>
              <w:right w:val="single" w:sz="4" w:space="0" w:color="auto"/>
            </w:tcBorders>
          </w:tcPr>
          <w:p w:rsidR="00EF0EC0" w:rsidRPr="00515DF1" w:rsidP="00026F9A" w14:paraId="03531BF7" w14:textId="77777777">
            <w:pPr>
              <w:jc w:val="center"/>
              <w:rPr>
                <w:b/>
              </w:rPr>
            </w:pPr>
            <w:r w:rsidRPr="00515DF1">
              <w:rPr>
                <w:b/>
              </w:rPr>
              <w:t>Primary Estimate</w:t>
            </w:r>
          </w:p>
        </w:tc>
        <w:tc>
          <w:tcPr>
            <w:tcW w:w="1237" w:type="pct"/>
            <w:tcBorders>
              <w:top w:val="single" w:sz="4" w:space="0" w:color="auto"/>
              <w:left w:val="single" w:sz="4" w:space="0" w:color="auto"/>
              <w:bottom w:val="single" w:sz="4" w:space="0" w:color="auto"/>
              <w:right w:val="single" w:sz="4" w:space="0" w:color="auto"/>
            </w:tcBorders>
          </w:tcPr>
          <w:p w:rsidR="00EF0EC0" w:rsidRPr="00515DF1" w:rsidP="00026F9A" w14:paraId="26649678" w14:textId="77777777">
            <w:pPr>
              <w:jc w:val="center"/>
              <w:rPr>
                <w:b/>
              </w:rPr>
            </w:pPr>
            <w:r w:rsidRPr="00515DF1">
              <w:rPr>
                <w:b/>
              </w:rPr>
              <w:t>High Estimate</w:t>
            </w:r>
          </w:p>
        </w:tc>
      </w:tr>
      <w:tr w14:paraId="58FDAB6C"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5611E6C3" w14:textId="77777777">
            <w:pPr>
              <w:jc w:val="center"/>
            </w:pPr>
            <w:r w:rsidRPr="00515DF1">
              <w:t>0</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07CEB703" w14:textId="1F0DB444">
            <w:pPr>
              <w:jc w:val="center"/>
              <w:rPr>
                <w:color w:val="000000"/>
              </w:rPr>
            </w:pPr>
            <w:r w:rsidRPr="00491301">
              <w:rPr>
                <w:color w:val="000000"/>
              </w:rPr>
              <w:t>$0.0</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204F9E59" w14:textId="6BC96386">
            <w:pPr>
              <w:jc w:val="center"/>
              <w:rPr>
                <w:color w:val="000000"/>
              </w:rPr>
            </w:pPr>
            <w:r w:rsidRPr="00491301">
              <w:rPr>
                <w:color w:val="000000"/>
              </w:rPr>
              <w:t>$0.0</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297A6EE9" w14:textId="27FC0F2E">
            <w:pPr>
              <w:jc w:val="center"/>
              <w:rPr>
                <w:color w:val="000000"/>
              </w:rPr>
            </w:pPr>
            <w:r w:rsidRPr="00491301">
              <w:rPr>
                <w:color w:val="000000"/>
              </w:rPr>
              <w:t>$0.0</w:t>
            </w:r>
          </w:p>
        </w:tc>
      </w:tr>
      <w:tr w14:paraId="79322D11"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16A632B7" w14:textId="77777777">
            <w:pPr>
              <w:jc w:val="center"/>
            </w:pPr>
            <w:r w:rsidRPr="00515DF1">
              <w:t>1</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00F46037" w14:textId="0BDF2929">
            <w:pPr>
              <w:jc w:val="center"/>
              <w:rPr>
                <w:color w:val="000000"/>
              </w:rPr>
            </w:pPr>
            <w:r w:rsidRPr="00491301">
              <w:rPr>
                <w:color w:val="000000"/>
              </w:rPr>
              <w:t>$43.8</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3A1BC744" w14:textId="0B3ACE62">
            <w:pPr>
              <w:jc w:val="center"/>
              <w:rPr>
                <w:color w:val="000000"/>
              </w:rPr>
            </w:pPr>
            <w:r w:rsidRPr="00491301">
              <w:rPr>
                <w:color w:val="000000"/>
              </w:rPr>
              <w:t>$71.3</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56B858C4" w14:textId="6A0C39D3">
            <w:pPr>
              <w:jc w:val="center"/>
              <w:rPr>
                <w:color w:val="000000"/>
              </w:rPr>
            </w:pPr>
            <w:r w:rsidRPr="00491301">
              <w:rPr>
                <w:color w:val="000000"/>
              </w:rPr>
              <w:t>$105.1</w:t>
            </w:r>
          </w:p>
        </w:tc>
      </w:tr>
      <w:tr w14:paraId="1371E65A"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14F7EB86" w14:textId="77777777">
            <w:pPr>
              <w:jc w:val="center"/>
            </w:pPr>
            <w:r w:rsidRPr="00515DF1">
              <w:t>2</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06134162" w14:textId="721344A4">
            <w:pPr>
              <w:jc w:val="center"/>
              <w:rPr>
                <w:color w:val="000000"/>
              </w:rPr>
            </w:pPr>
            <w:r w:rsidRPr="00491301">
              <w:rPr>
                <w:color w:val="000000"/>
              </w:rPr>
              <w:t>$48.1</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2BC00DF1" w14:textId="683D447B">
            <w:pPr>
              <w:jc w:val="center"/>
              <w:rPr>
                <w:color w:val="000000"/>
              </w:rPr>
            </w:pPr>
            <w:r w:rsidRPr="00491301">
              <w:rPr>
                <w:color w:val="000000"/>
              </w:rPr>
              <w:t>$77.8</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01E39904" w14:textId="11791B19">
            <w:pPr>
              <w:jc w:val="center"/>
              <w:rPr>
                <w:color w:val="000000"/>
              </w:rPr>
            </w:pPr>
            <w:r w:rsidRPr="00491301">
              <w:rPr>
                <w:color w:val="000000"/>
              </w:rPr>
              <w:t>$114.6</w:t>
            </w:r>
          </w:p>
        </w:tc>
      </w:tr>
      <w:tr w14:paraId="218E8012"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139ED182" w14:textId="77777777">
            <w:pPr>
              <w:jc w:val="center"/>
            </w:pPr>
            <w:r w:rsidRPr="00515DF1">
              <w:t>3</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4ED8254B" w14:textId="6E113D96">
            <w:pPr>
              <w:jc w:val="center"/>
              <w:rPr>
                <w:color w:val="000000"/>
              </w:rPr>
            </w:pPr>
            <w:r w:rsidRPr="00491301">
              <w:rPr>
                <w:color w:val="000000"/>
              </w:rPr>
              <w:t>$55.2</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551B8982" w14:textId="2674837A">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1C772336" w14:textId="5EE4AD05">
            <w:pPr>
              <w:jc w:val="center"/>
              <w:rPr>
                <w:color w:val="000000"/>
              </w:rPr>
            </w:pPr>
            <w:r w:rsidRPr="00491301">
              <w:rPr>
                <w:color w:val="000000"/>
              </w:rPr>
              <w:t>$131.3</w:t>
            </w:r>
          </w:p>
        </w:tc>
      </w:tr>
      <w:tr w14:paraId="53E7CA88"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72D407E1" w14:textId="77777777">
            <w:pPr>
              <w:jc w:val="center"/>
            </w:pPr>
            <w:r w:rsidRPr="00515DF1">
              <w:t>4</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4B3F3EAB" w14:textId="05CE8085">
            <w:pPr>
              <w:jc w:val="center"/>
              <w:rPr>
                <w:color w:val="000000"/>
              </w:rPr>
            </w:pPr>
            <w:r w:rsidRPr="00491301">
              <w:rPr>
                <w:color w:val="000000"/>
              </w:rPr>
              <w:t>$55.4</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545410BE" w14:textId="5E2530C7">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38133512" w14:textId="53CD208D">
            <w:pPr>
              <w:jc w:val="center"/>
              <w:rPr>
                <w:color w:val="000000"/>
              </w:rPr>
            </w:pPr>
            <w:r w:rsidRPr="00491301">
              <w:rPr>
                <w:color w:val="000000"/>
              </w:rPr>
              <w:t>$131.3</w:t>
            </w:r>
          </w:p>
        </w:tc>
      </w:tr>
      <w:tr w14:paraId="2DCECF41"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7E5198D2" w14:textId="77777777">
            <w:pPr>
              <w:jc w:val="center"/>
            </w:pPr>
            <w:r w:rsidRPr="00515DF1">
              <w:t>5</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1B60B331" w14:textId="7F66AE64">
            <w:pPr>
              <w:jc w:val="center"/>
              <w:rPr>
                <w:color w:val="000000"/>
              </w:rPr>
            </w:pPr>
            <w:r w:rsidRPr="00491301">
              <w:rPr>
                <w:color w:val="000000"/>
              </w:rPr>
              <w:t>$55.3</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67C71EDD" w14:textId="213D251F">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5CF7E9BD" w14:textId="41C5D43A">
            <w:pPr>
              <w:jc w:val="center"/>
              <w:rPr>
                <w:color w:val="000000"/>
              </w:rPr>
            </w:pPr>
            <w:r w:rsidRPr="00491301">
              <w:rPr>
                <w:color w:val="000000"/>
              </w:rPr>
              <w:t>$131.3</w:t>
            </w:r>
          </w:p>
        </w:tc>
      </w:tr>
      <w:tr w14:paraId="7EF87B33"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71F1B10D" w14:textId="77777777">
            <w:pPr>
              <w:jc w:val="center"/>
            </w:pPr>
            <w:r w:rsidRPr="00515DF1">
              <w:t>6</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602221A7" w14:textId="5D6B973A">
            <w:pPr>
              <w:jc w:val="center"/>
              <w:rPr>
                <w:color w:val="000000"/>
              </w:rPr>
            </w:pPr>
            <w:r w:rsidRPr="00491301">
              <w:rPr>
                <w:color w:val="000000"/>
              </w:rPr>
              <w:t>$55.1</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1871ED18" w14:textId="039563F7">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65A17AFF" w14:textId="1528B0AF">
            <w:pPr>
              <w:jc w:val="center"/>
              <w:rPr>
                <w:color w:val="000000"/>
              </w:rPr>
            </w:pPr>
            <w:r w:rsidRPr="00491301">
              <w:rPr>
                <w:color w:val="000000"/>
              </w:rPr>
              <w:t>$131.4</w:t>
            </w:r>
          </w:p>
        </w:tc>
      </w:tr>
      <w:tr w14:paraId="0E5EF714"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1D9B4951" w14:textId="77777777">
            <w:pPr>
              <w:jc w:val="center"/>
            </w:pPr>
            <w:r w:rsidRPr="00515DF1">
              <w:t>7</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69587094" w14:textId="550ED4A8">
            <w:pPr>
              <w:jc w:val="center"/>
              <w:rPr>
                <w:color w:val="000000"/>
              </w:rPr>
            </w:pPr>
            <w:r w:rsidRPr="00491301">
              <w:rPr>
                <w:color w:val="000000"/>
              </w:rPr>
              <w:t>$55.2</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00E3DAE6" w14:textId="35011BE1">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40516A11" w14:textId="06976155">
            <w:pPr>
              <w:jc w:val="center"/>
              <w:rPr>
                <w:color w:val="000000"/>
              </w:rPr>
            </w:pPr>
            <w:r w:rsidRPr="00491301">
              <w:rPr>
                <w:color w:val="000000"/>
              </w:rPr>
              <w:t>$131.9</w:t>
            </w:r>
          </w:p>
        </w:tc>
      </w:tr>
      <w:tr w14:paraId="51083A1F"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6C398498" w14:textId="77777777">
            <w:pPr>
              <w:jc w:val="center"/>
            </w:pPr>
            <w:r w:rsidRPr="00515DF1">
              <w:t>8</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75A09C3F" w14:textId="787D9E24">
            <w:pPr>
              <w:jc w:val="center"/>
              <w:rPr>
                <w:color w:val="000000"/>
              </w:rPr>
            </w:pPr>
            <w:r w:rsidRPr="00491301">
              <w:rPr>
                <w:color w:val="000000"/>
              </w:rPr>
              <w:t>$54.4</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2D9725C8" w14:textId="0628C7FD">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1A913E1A" w14:textId="658CE097">
            <w:pPr>
              <w:jc w:val="center"/>
              <w:rPr>
                <w:color w:val="000000"/>
              </w:rPr>
            </w:pPr>
            <w:r w:rsidRPr="00491301">
              <w:rPr>
                <w:color w:val="000000"/>
              </w:rPr>
              <w:t>$131.1</w:t>
            </w:r>
          </w:p>
        </w:tc>
      </w:tr>
      <w:tr w14:paraId="7201A478"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375E5" w:rsidRPr="00515DF1" w:rsidP="00026F9A" w14:paraId="43AA8676" w14:textId="77777777">
            <w:pPr>
              <w:jc w:val="center"/>
            </w:pPr>
            <w:r w:rsidRPr="00515DF1">
              <w:t>9</w:t>
            </w:r>
          </w:p>
        </w:tc>
        <w:tc>
          <w:tcPr>
            <w:tcW w:w="1237" w:type="pct"/>
            <w:tcBorders>
              <w:top w:val="single" w:sz="4" w:space="0" w:color="auto"/>
              <w:left w:val="single" w:sz="4" w:space="0" w:color="auto"/>
              <w:bottom w:val="single" w:sz="4" w:space="0" w:color="auto"/>
              <w:right w:val="single" w:sz="4" w:space="0" w:color="auto"/>
            </w:tcBorders>
            <w:vAlign w:val="bottom"/>
            <w:hideMark/>
          </w:tcPr>
          <w:p w:rsidR="004375E5" w:rsidRPr="00F96D58" w:rsidP="00026F9A" w14:paraId="7FF5367A" w14:textId="6890FD16">
            <w:pPr>
              <w:jc w:val="center"/>
              <w:rPr>
                <w:color w:val="000000"/>
              </w:rPr>
            </w:pPr>
            <w:r w:rsidRPr="00491301">
              <w:rPr>
                <w:color w:val="000000"/>
              </w:rPr>
              <w:t>$54.9</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7D37EFCF" w14:textId="1D4A14FA">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4375E5" w:rsidRPr="00F96D58" w:rsidP="00026F9A" w14:paraId="65F7E463" w14:textId="3E138872">
            <w:pPr>
              <w:jc w:val="center"/>
              <w:rPr>
                <w:color w:val="000000"/>
              </w:rPr>
            </w:pPr>
            <w:r w:rsidRPr="00491301">
              <w:rPr>
                <w:color w:val="000000"/>
              </w:rPr>
              <w:t>$131.5</w:t>
            </w:r>
          </w:p>
        </w:tc>
      </w:tr>
      <w:tr w14:paraId="3E54D654"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F96D58" w:rsidRPr="00515DF1" w:rsidP="00026F9A" w14:paraId="440F8F1F" w14:textId="77777777">
            <w:pPr>
              <w:jc w:val="center"/>
            </w:pPr>
            <w:r w:rsidRPr="00515DF1">
              <w:t>Annualized, 3%</w:t>
            </w:r>
          </w:p>
        </w:tc>
        <w:tc>
          <w:tcPr>
            <w:tcW w:w="1237" w:type="pct"/>
            <w:tcBorders>
              <w:top w:val="single" w:sz="4" w:space="0" w:color="auto"/>
              <w:left w:val="single" w:sz="4" w:space="0" w:color="auto"/>
              <w:bottom w:val="single" w:sz="4" w:space="0" w:color="auto"/>
              <w:right w:val="single" w:sz="4" w:space="0" w:color="auto"/>
            </w:tcBorders>
            <w:vAlign w:val="bottom"/>
          </w:tcPr>
          <w:p w:rsidR="00F96D58" w:rsidRPr="00F96D58" w:rsidP="00026F9A" w14:paraId="23F27819" w14:textId="0E665E26">
            <w:pPr>
              <w:jc w:val="center"/>
              <w:rPr>
                <w:color w:val="000000"/>
              </w:rPr>
            </w:pPr>
            <w:r w:rsidRPr="00491301">
              <w:rPr>
                <w:color w:val="000000"/>
              </w:rPr>
              <w:t>$46.8</w:t>
            </w:r>
          </w:p>
        </w:tc>
        <w:tc>
          <w:tcPr>
            <w:tcW w:w="1237" w:type="pct"/>
            <w:tcBorders>
              <w:top w:val="single" w:sz="4" w:space="0" w:color="auto"/>
              <w:left w:val="single" w:sz="4" w:space="0" w:color="auto"/>
              <w:bottom w:val="single" w:sz="4" w:space="0" w:color="auto"/>
              <w:right w:val="single" w:sz="4" w:space="0" w:color="auto"/>
            </w:tcBorders>
            <w:vAlign w:val="bottom"/>
          </w:tcPr>
          <w:p w:rsidR="00F96D58" w:rsidRPr="00F96D58" w:rsidP="00026F9A" w14:paraId="27F616C6" w14:textId="08369E64">
            <w:pPr>
              <w:jc w:val="center"/>
              <w:rPr>
                <w:color w:val="000000"/>
              </w:rPr>
            </w:pPr>
            <w:r w:rsidRPr="00491301">
              <w:rPr>
                <w:color w:val="000000"/>
              </w:rPr>
              <w:t>$75.8</w:t>
            </w:r>
          </w:p>
        </w:tc>
        <w:tc>
          <w:tcPr>
            <w:tcW w:w="1237" w:type="pct"/>
            <w:tcBorders>
              <w:top w:val="single" w:sz="4" w:space="0" w:color="auto"/>
              <w:left w:val="single" w:sz="4" w:space="0" w:color="auto"/>
              <w:bottom w:val="single" w:sz="4" w:space="0" w:color="auto"/>
              <w:right w:val="single" w:sz="4" w:space="0" w:color="auto"/>
            </w:tcBorders>
            <w:vAlign w:val="bottom"/>
          </w:tcPr>
          <w:p w:rsidR="00F96D58" w:rsidRPr="00F96D58" w:rsidP="00026F9A" w14:paraId="26D46C8B" w14:textId="326719DA">
            <w:pPr>
              <w:jc w:val="center"/>
              <w:rPr>
                <w:color w:val="000000"/>
              </w:rPr>
            </w:pPr>
            <w:r w:rsidRPr="00491301">
              <w:rPr>
                <w:color w:val="000000"/>
              </w:rPr>
              <w:t>$111.7</w:t>
            </w:r>
          </w:p>
        </w:tc>
      </w:tr>
      <w:tr w14:paraId="07DF267A"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F96D58" w:rsidRPr="00515DF1" w:rsidP="00026F9A" w14:paraId="57AF3971" w14:textId="77777777">
            <w:pPr>
              <w:jc w:val="center"/>
            </w:pPr>
            <w:r w:rsidRPr="00515DF1">
              <w:t>Annualized, 7%</w:t>
            </w:r>
          </w:p>
        </w:tc>
        <w:tc>
          <w:tcPr>
            <w:tcW w:w="1237" w:type="pct"/>
            <w:tcBorders>
              <w:top w:val="single" w:sz="4" w:space="0" w:color="auto"/>
              <w:left w:val="single" w:sz="4" w:space="0" w:color="auto"/>
              <w:bottom w:val="single" w:sz="4" w:space="0" w:color="auto"/>
              <w:right w:val="single" w:sz="4" w:space="0" w:color="auto"/>
            </w:tcBorders>
            <w:vAlign w:val="bottom"/>
          </w:tcPr>
          <w:p w:rsidR="00F96D58" w:rsidRPr="00F96D58" w:rsidP="00026F9A" w14:paraId="783B9796" w14:textId="38578A86">
            <w:pPr>
              <w:jc w:val="center"/>
              <w:rPr>
                <w:color w:val="000000"/>
              </w:rPr>
            </w:pPr>
            <w:r w:rsidRPr="00491301">
              <w:rPr>
                <w:color w:val="000000"/>
              </w:rPr>
              <w:t>$45.5</w:t>
            </w:r>
          </w:p>
        </w:tc>
        <w:tc>
          <w:tcPr>
            <w:tcW w:w="1237" w:type="pct"/>
            <w:tcBorders>
              <w:top w:val="single" w:sz="4" w:space="0" w:color="auto"/>
              <w:left w:val="single" w:sz="4" w:space="0" w:color="auto"/>
              <w:bottom w:val="single" w:sz="4" w:space="0" w:color="auto"/>
              <w:right w:val="single" w:sz="4" w:space="0" w:color="auto"/>
            </w:tcBorders>
            <w:vAlign w:val="bottom"/>
          </w:tcPr>
          <w:p w:rsidR="00F96D58" w:rsidRPr="00F96D58" w:rsidP="00026F9A" w14:paraId="21335925" w14:textId="116A17B7">
            <w:pPr>
              <w:jc w:val="center"/>
              <w:rPr>
                <w:color w:val="000000"/>
              </w:rPr>
            </w:pPr>
            <w:r w:rsidRPr="00491301">
              <w:rPr>
                <w:color w:val="000000"/>
              </w:rPr>
              <w:t>$73.7</w:t>
            </w:r>
          </w:p>
        </w:tc>
        <w:tc>
          <w:tcPr>
            <w:tcW w:w="1237" w:type="pct"/>
            <w:tcBorders>
              <w:top w:val="single" w:sz="4" w:space="0" w:color="auto"/>
              <w:left w:val="single" w:sz="4" w:space="0" w:color="auto"/>
              <w:bottom w:val="single" w:sz="4" w:space="0" w:color="auto"/>
              <w:right w:val="single" w:sz="4" w:space="0" w:color="auto"/>
            </w:tcBorders>
            <w:vAlign w:val="bottom"/>
          </w:tcPr>
          <w:p w:rsidR="00F96D58" w:rsidRPr="00F96D58" w:rsidP="00026F9A" w14:paraId="49EF9976" w14:textId="2E1C8393">
            <w:pPr>
              <w:jc w:val="center"/>
              <w:rPr>
                <w:color w:val="000000"/>
              </w:rPr>
            </w:pPr>
            <w:r w:rsidRPr="00491301">
              <w:rPr>
                <w:color w:val="000000"/>
              </w:rPr>
              <w:t>$108.7</w:t>
            </w:r>
          </w:p>
        </w:tc>
      </w:tr>
    </w:tbl>
    <w:p w:rsidR="00EF0EC0" w:rsidP="00026F9A" w14:paraId="16D3CB4C" w14:textId="77777777">
      <w:pPr>
        <w:spacing w:line="480" w:lineRule="auto"/>
        <w:ind w:firstLine="720"/>
      </w:pPr>
    </w:p>
    <w:p w:rsidR="00EF0EC0" w:rsidRPr="00F77C59" w:rsidP="00026F9A" w14:paraId="46CDDFDC" w14:textId="3C1995D8">
      <w:pPr>
        <w:ind w:firstLine="360"/>
        <w:rPr>
          <w:i/>
        </w:rPr>
      </w:pPr>
      <w:r w:rsidRPr="00F27B43">
        <w:rPr>
          <w:i/>
        </w:rPr>
        <w:t xml:space="preserve">ii. Baseline </w:t>
      </w:r>
      <w:r>
        <w:rPr>
          <w:i/>
        </w:rPr>
        <w:t>C</w:t>
      </w:r>
      <w:r w:rsidRPr="00F27B43">
        <w:rPr>
          <w:i/>
        </w:rPr>
        <w:t>osts</w:t>
      </w:r>
    </w:p>
    <w:p w:rsidR="00EF0EC0" w:rsidP="00026F9A" w14:paraId="6311D0A3" w14:textId="54124735">
      <w:pPr>
        <w:spacing w:line="480" w:lineRule="auto"/>
        <w:ind w:firstLine="720"/>
      </w:pPr>
      <w:r w:rsidRPr="0022415D">
        <w:t xml:space="preserve">For the purpose of this analysis, we use the pre-harvest agricultural water </w:t>
      </w:r>
      <w:r w:rsidR="00AD37DB">
        <w:t xml:space="preserve">microbial water quality criteria and </w:t>
      </w:r>
      <w:r w:rsidRPr="0022415D">
        <w:t xml:space="preserve">testing provisions in </w:t>
      </w:r>
      <w:r w:rsidR="00993BAE">
        <w:t>s</w:t>
      </w:r>
      <w:r w:rsidRPr="0022415D">
        <w:t xml:space="preserve">ubpart E of the 2015 </w:t>
      </w:r>
      <w:r w:rsidR="00B81888">
        <w:t xml:space="preserve">produce safety final rule </w:t>
      </w:r>
      <w:r w:rsidRPr="0022415D">
        <w:t>for covered produce other than sprouts as the primary baseline. Therefore, baseline costs for the current analysis would be represented by the costs associated with the pre-harvest agricultural water testing provisions</w:t>
      </w:r>
      <w:r w:rsidR="000344BF">
        <w:t xml:space="preserve"> in the 2015 </w:t>
      </w:r>
      <w:r w:rsidR="00B81888">
        <w:t>produce safety final rule</w:t>
      </w:r>
      <w:r w:rsidRPr="0022415D">
        <w:t>.</w:t>
      </w:r>
      <w:r>
        <w:t xml:space="preserve"> In this section, we estimate costs of testing untreated surface and ground water used during pre-harvest activities for non-sprout covered produce, treating surface and ground water</w:t>
      </w:r>
      <w:r w:rsidRPr="00084F59">
        <w:t xml:space="preserve"> </w:t>
      </w:r>
      <w:r>
        <w:t xml:space="preserve">used during pre-harvest activities for non-sprout covered produce, and recordkeeping. </w:t>
      </w:r>
    </w:p>
    <w:p w:rsidR="00EF0EC0" w:rsidP="00026F9A" w14:paraId="3D7DF5A0" w14:textId="77777777">
      <w:pPr>
        <w:pStyle w:val="ListParagraph"/>
        <w:numPr>
          <w:ilvl w:val="0"/>
          <w:numId w:val="13"/>
        </w:numPr>
        <w:spacing w:after="0" w:line="480" w:lineRule="auto"/>
      </w:pPr>
      <w:r>
        <w:t>Water Testing</w:t>
      </w:r>
    </w:p>
    <w:p w:rsidR="00EF0EC0" w:rsidP="00026F9A" w14:paraId="2444D0FF" w14:textId="188FBD4F">
      <w:pPr>
        <w:spacing w:line="480" w:lineRule="auto"/>
        <w:ind w:firstLine="720"/>
        <w:rPr>
          <w:rFonts w:eastAsia="Times New Roman"/>
        </w:rPr>
      </w:pPr>
      <w:r>
        <w:t>The agricultural water provisions</w:t>
      </w:r>
      <w:r w:rsidR="009C00E0">
        <w:t xml:space="preserve"> in the 2015 </w:t>
      </w:r>
      <w:r w:rsidR="00B81888">
        <w:t xml:space="preserve">produce safety final rule </w:t>
      </w:r>
      <w:r>
        <w:rPr>
          <w:rFonts w:eastAsia="Times New Roman"/>
        </w:rPr>
        <w:t>require</w:t>
      </w:r>
      <w:r w:rsidR="00ED24ED">
        <w:rPr>
          <w:rFonts w:eastAsia="Times New Roman"/>
        </w:rPr>
        <w:t>d</w:t>
      </w:r>
      <w:r>
        <w:rPr>
          <w:rFonts w:eastAsia="Times New Roman"/>
        </w:rPr>
        <w:t xml:space="preserve">, in relevant part, that farms test certain water sources used during pre-harvest activities for covered produce (other than sprouts) to ensure the water meets established microbial water quality criteria. For each untreated surface water source used for pre-harvest activities for covered produce (other than sprouts), a covered farm </w:t>
      </w:r>
      <w:r w:rsidR="0027776E">
        <w:rPr>
          <w:rFonts w:eastAsia="Times New Roman"/>
        </w:rPr>
        <w:t xml:space="preserve">would have </w:t>
      </w:r>
      <w:r>
        <w:rPr>
          <w:rFonts w:eastAsia="Times New Roman"/>
        </w:rPr>
        <w:t>conduct</w:t>
      </w:r>
      <w:r w:rsidR="0027776E">
        <w:rPr>
          <w:rFonts w:eastAsia="Times New Roman"/>
        </w:rPr>
        <w:t>ed</w:t>
      </w:r>
      <w:r>
        <w:rPr>
          <w:rFonts w:eastAsia="Times New Roman"/>
        </w:rPr>
        <w:t xml:space="preserve"> an initial survey consisting of 20 tests (collected over 2-4 years) and update</w:t>
      </w:r>
      <w:r w:rsidR="0027776E">
        <w:rPr>
          <w:rFonts w:eastAsia="Times New Roman"/>
        </w:rPr>
        <w:t>d</w:t>
      </w:r>
      <w:r>
        <w:rPr>
          <w:rFonts w:eastAsia="Times New Roman"/>
        </w:rPr>
        <w:t xml:space="preserve"> the microbial water quality profile with 5 new tests per year thereafter; for each untreated ground water source, a farm </w:t>
      </w:r>
      <w:r w:rsidR="0027776E">
        <w:rPr>
          <w:rFonts w:eastAsia="Times New Roman"/>
        </w:rPr>
        <w:t xml:space="preserve">would have </w:t>
      </w:r>
      <w:r>
        <w:rPr>
          <w:rFonts w:eastAsia="Times New Roman"/>
        </w:rPr>
        <w:t>conduct</w:t>
      </w:r>
      <w:r w:rsidR="0027776E">
        <w:rPr>
          <w:rFonts w:eastAsia="Times New Roman"/>
        </w:rPr>
        <w:t>ed</w:t>
      </w:r>
      <w:r>
        <w:rPr>
          <w:rFonts w:eastAsia="Times New Roman"/>
        </w:rPr>
        <w:t xml:space="preserve"> an initial survey consisting of 4 tests (taken during the growing season or over a period of 1 year) and update</w:t>
      </w:r>
      <w:r w:rsidR="0027776E">
        <w:rPr>
          <w:rFonts w:eastAsia="Times New Roman"/>
        </w:rPr>
        <w:t>d</w:t>
      </w:r>
      <w:r>
        <w:rPr>
          <w:rFonts w:eastAsia="Times New Roman"/>
        </w:rPr>
        <w:t xml:space="preserve"> the water quality profile with 1 new test per year thereafter</w:t>
      </w:r>
      <w:r w:rsidR="0027776E">
        <w:rPr>
          <w:rFonts w:eastAsia="Times New Roman"/>
        </w:rPr>
        <w:t>.</w:t>
      </w:r>
      <w:r>
        <w:rPr>
          <w:rFonts w:eastAsia="Times New Roman"/>
        </w:rPr>
        <w:t xml:space="preserve"> (</w:t>
      </w:r>
      <w:r w:rsidR="0027776E">
        <w:rPr>
          <w:rFonts w:eastAsia="Times New Roman"/>
        </w:rPr>
        <w:t xml:space="preserve">See </w:t>
      </w:r>
      <w:r>
        <w:rPr>
          <w:rFonts w:eastAsia="Times New Roman"/>
        </w:rPr>
        <w:t>§</w:t>
      </w:r>
      <w:r w:rsidR="0027776E">
        <w:rPr>
          <w:rFonts w:eastAsia="Times New Roman"/>
        </w:rPr>
        <w:t xml:space="preserve"> </w:t>
      </w:r>
      <w:r>
        <w:rPr>
          <w:rFonts w:eastAsia="Times New Roman"/>
        </w:rPr>
        <w:t>112.46(b)</w:t>
      </w:r>
      <w:r w:rsidR="0027776E">
        <w:rPr>
          <w:rFonts w:eastAsia="Times New Roman"/>
        </w:rPr>
        <w:t xml:space="preserve"> as established in the 2015 </w:t>
      </w:r>
      <w:r w:rsidR="00B81888">
        <w:t>produce safety final rule</w:t>
      </w:r>
      <w:r w:rsidR="0027776E">
        <w:rPr>
          <w:rFonts w:eastAsia="Times New Roman"/>
        </w:rPr>
        <w:t>.</w:t>
      </w:r>
      <w:r>
        <w:rPr>
          <w:rFonts w:eastAsia="Times New Roman"/>
        </w:rPr>
        <w:t>)</w:t>
      </w:r>
    </w:p>
    <w:p w:rsidR="00EF0EC0" w:rsidP="00026F9A" w14:paraId="7F128041" w14:textId="36D22435">
      <w:pPr>
        <w:spacing w:line="480" w:lineRule="auto"/>
        <w:ind w:firstLine="720"/>
        <w:rPr>
          <w:rFonts w:eastAsia="Times New Roman"/>
        </w:rPr>
      </w:pPr>
      <w:r>
        <w:rPr>
          <w:rFonts w:eastAsia="Times New Roman"/>
        </w:rPr>
        <w:t xml:space="preserve">Table 5 presents estimates of the number of farms that would have </w:t>
      </w:r>
      <w:r w:rsidR="00542CA3">
        <w:rPr>
          <w:rFonts w:eastAsia="Times New Roman"/>
        </w:rPr>
        <w:t xml:space="preserve">had </w:t>
      </w:r>
      <w:r>
        <w:rPr>
          <w:rFonts w:eastAsia="Times New Roman"/>
        </w:rPr>
        <w:t>to conduct testing of untreated surface water sources under the pre-harvest agricultural water testing requirements</w:t>
      </w:r>
      <w:r w:rsidR="005A6496">
        <w:rPr>
          <w:rFonts w:eastAsia="Times New Roman"/>
        </w:rPr>
        <w:t xml:space="preserve"> in the 2015 </w:t>
      </w:r>
      <w:r w:rsidR="00B81888">
        <w:t>produce safety final rule</w:t>
      </w:r>
      <w:r>
        <w:rPr>
          <w:rFonts w:eastAsia="Times New Roman"/>
        </w:rPr>
        <w:t xml:space="preserve">. As discussed in the baseline number of affected farms section, we estimate that there are </w:t>
      </w:r>
      <w:r w:rsidR="00920417">
        <w:rPr>
          <w:rFonts w:eastAsia="Times New Roman"/>
        </w:rPr>
        <w:t>22,025</w:t>
      </w:r>
      <w:r>
        <w:rPr>
          <w:rFonts w:eastAsia="Times New Roman"/>
        </w:rPr>
        <w:t xml:space="preserve"> covered irrigated very small farms, </w:t>
      </w:r>
      <w:r w:rsidR="00920417">
        <w:rPr>
          <w:rFonts w:eastAsia="Times New Roman"/>
        </w:rPr>
        <w:t>4,572</w:t>
      </w:r>
      <w:r>
        <w:rPr>
          <w:rFonts w:eastAsia="Times New Roman"/>
        </w:rPr>
        <w:t xml:space="preserve"> covered irrigated small farms, and </w:t>
      </w:r>
      <w:r w:rsidR="00920417">
        <w:rPr>
          <w:rFonts w:eastAsia="Times New Roman"/>
        </w:rPr>
        <w:t>9,966</w:t>
      </w:r>
      <w:r>
        <w:rPr>
          <w:rFonts w:eastAsia="Times New Roman"/>
        </w:rPr>
        <w:t xml:space="preserve"> covered irrigated large farms. Of these, 45.0% of very small and small farms use untreated surface or ground water that contact produce, and 54.1% of large farms use untreated surface or ground water that contacts </w:t>
      </w:r>
      <w:r w:rsidRPr="000C24C7">
        <w:rPr>
          <w:rFonts w:eastAsia="Times New Roman"/>
        </w:rPr>
        <w:t xml:space="preserve">produce (Ref. </w:t>
      </w:r>
      <w:r w:rsidRPr="000C24C7" w:rsidR="0029223A">
        <w:rPr>
          <w:rFonts w:eastAsia="Times New Roman"/>
        </w:rPr>
        <w:t>2</w:t>
      </w:r>
      <w:r w:rsidRPr="000C24C7">
        <w:rPr>
          <w:rFonts w:eastAsia="Times New Roman"/>
        </w:rPr>
        <w:t>). Of farms</w:t>
      </w:r>
      <w:r>
        <w:rPr>
          <w:rFonts w:eastAsia="Times New Roman"/>
        </w:rPr>
        <w:t xml:space="preserve"> that use untreated surface or ground water that contacts produce, USDA estimates that 31.9% use surface water. We multiply the number of covered irrigated farms by these percentages to estimate that </w:t>
      </w:r>
      <w:r w:rsidR="00702C50">
        <w:rPr>
          <w:rFonts w:eastAsia="Times New Roman"/>
        </w:rPr>
        <w:t>3,162</w:t>
      </w:r>
      <w:r>
        <w:rPr>
          <w:rFonts w:eastAsia="Times New Roman"/>
        </w:rPr>
        <w:t xml:space="preserve"> very small farms, </w:t>
      </w:r>
      <w:r w:rsidR="00CA18BF">
        <w:rPr>
          <w:rFonts w:eastAsia="Times New Roman"/>
        </w:rPr>
        <w:t>656</w:t>
      </w:r>
      <w:r>
        <w:rPr>
          <w:rFonts w:eastAsia="Times New Roman"/>
        </w:rPr>
        <w:t xml:space="preserve"> small farms, and 1,</w:t>
      </w:r>
      <w:r w:rsidR="00CA18BF">
        <w:rPr>
          <w:rFonts w:eastAsia="Times New Roman"/>
        </w:rPr>
        <w:t>720</w:t>
      </w:r>
      <w:r>
        <w:rPr>
          <w:rFonts w:eastAsia="Times New Roman"/>
        </w:rPr>
        <w:t xml:space="preserve"> large farms </w:t>
      </w:r>
      <w:r w:rsidR="00665DB0">
        <w:rPr>
          <w:rFonts w:eastAsia="Times New Roman"/>
        </w:rPr>
        <w:t xml:space="preserve">would have been required to </w:t>
      </w:r>
      <w:r>
        <w:rPr>
          <w:rFonts w:eastAsia="Times New Roman"/>
        </w:rPr>
        <w:t>perform the baseline survey for untreated surface water sources</w:t>
      </w:r>
      <w:r w:rsidR="00665DB0">
        <w:rPr>
          <w:rFonts w:eastAsia="Times New Roman"/>
        </w:rPr>
        <w:t xml:space="preserve"> established in the 2015 </w:t>
      </w:r>
      <w:r w:rsidR="00B81888">
        <w:t>produce safety final rule</w:t>
      </w:r>
      <w:r>
        <w:rPr>
          <w:rFonts w:eastAsia="Times New Roman"/>
        </w:rPr>
        <w:t xml:space="preserve">. The 2015 FRIA estimates that the cost of a water sample, including supplies and shipping, is </w:t>
      </w:r>
      <w:r w:rsidRPr="000C24C7">
        <w:rPr>
          <w:rFonts w:eastAsia="Times New Roman"/>
        </w:rPr>
        <w:t xml:space="preserve">$110 (Ref. </w:t>
      </w:r>
      <w:r w:rsidRPr="000C24C7" w:rsidR="00226424">
        <w:rPr>
          <w:rFonts w:eastAsia="Times New Roman"/>
        </w:rPr>
        <w:t>8</w:t>
      </w:r>
      <w:r w:rsidRPr="000C24C7">
        <w:rPr>
          <w:rFonts w:eastAsia="Times New Roman"/>
        </w:rPr>
        <w:t>). We</w:t>
      </w:r>
      <w:r>
        <w:rPr>
          <w:rFonts w:eastAsia="Times New Roman"/>
        </w:rPr>
        <w:t xml:space="preserve"> update this number to 20</w:t>
      </w:r>
      <w:r w:rsidR="0096290F">
        <w:rPr>
          <w:rFonts w:eastAsia="Times New Roman"/>
        </w:rPr>
        <w:t>2</w:t>
      </w:r>
      <w:r w:rsidR="00281966">
        <w:rPr>
          <w:rFonts w:eastAsia="Times New Roman"/>
        </w:rPr>
        <w:t>2</w:t>
      </w:r>
      <w:r>
        <w:rPr>
          <w:rFonts w:eastAsia="Times New Roman"/>
        </w:rPr>
        <w:t xml:space="preserve"> dollars and estimate that the cost of a water sample is $1</w:t>
      </w:r>
      <w:r w:rsidR="00BA585F">
        <w:rPr>
          <w:rFonts w:eastAsia="Times New Roman"/>
        </w:rPr>
        <w:t>37</w:t>
      </w:r>
      <w:r>
        <w:rPr>
          <w:rFonts w:eastAsia="Times New Roman"/>
        </w:rPr>
        <w:t xml:space="preserve">. </w:t>
      </w:r>
    </w:p>
    <w:p w:rsidR="00EF0EC0" w:rsidRPr="00A46B49" w:rsidP="00026F9A" w14:paraId="03CF319B" w14:textId="381D6BEF">
      <w:pPr>
        <w:rPr>
          <w:b/>
        </w:rPr>
      </w:pPr>
      <w:r w:rsidRPr="00F16FAC">
        <w:rPr>
          <w:b/>
        </w:rPr>
        <w:t xml:space="preserve">Table </w:t>
      </w:r>
      <w:r>
        <w:rPr>
          <w:b/>
        </w:rPr>
        <w:t>5</w:t>
      </w:r>
      <w:r w:rsidRPr="00F16FAC">
        <w:rPr>
          <w:b/>
        </w:rPr>
        <w:t xml:space="preserve">: </w:t>
      </w:r>
      <w:r>
        <w:rPr>
          <w:b/>
        </w:rPr>
        <w:t>Surface Water Testing</w:t>
      </w:r>
      <w:r w:rsidRPr="00F16FAC">
        <w:rPr>
          <w:b/>
        </w:rPr>
        <w:t xml:space="preserve"> </w:t>
      </w:r>
      <w:r>
        <w:rPr>
          <w:b/>
        </w:rPr>
        <w:t>Costs of Requirements</w:t>
      </w:r>
      <w:r w:rsidR="00520C3A">
        <w:rPr>
          <w:b/>
        </w:rPr>
        <w:t xml:space="preserve"> in the 2015 Produce Safety Final Rule</w:t>
      </w:r>
      <w:r>
        <w:rPr>
          <w:b/>
        </w:rPr>
        <w:t xml:space="preserve"> (20</w:t>
      </w:r>
      <w:r w:rsidR="0096290F">
        <w:rPr>
          <w:b/>
        </w:rPr>
        <w:t>2</w:t>
      </w:r>
      <w:r w:rsidR="00E7401B">
        <w:rPr>
          <w:b/>
        </w:rPr>
        <w:t>2</w:t>
      </w:r>
      <w:r>
        <w:rPr>
          <w:b/>
        </w:rPr>
        <w:t>$)</w:t>
      </w:r>
    </w:p>
    <w:tbl>
      <w:tblPr>
        <w:tblStyle w:val="TableGrid"/>
        <w:tblW w:w="0" w:type="auto"/>
        <w:tblLook w:val="04A0"/>
      </w:tblPr>
      <w:tblGrid>
        <w:gridCol w:w="4225"/>
        <w:gridCol w:w="1440"/>
        <w:gridCol w:w="1350"/>
        <w:gridCol w:w="1260"/>
        <w:gridCol w:w="1075"/>
      </w:tblGrid>
      <w:tr w14:paraId="38A8887B" w14:textId="77777777">
        <w:tblPrEx>
          <w:tblW w:w="0" w:type="auto"/>
          <w:tblLook w:val="04A0"/>
        </w:tblPrEx>
        <w:tc>
          <w:tcPr>
            <w:tcW w:w="4225" w:type="dxa"/>
            <w:vAlign w:val="bottom"/>
          </w:tcPr>
          <w:p w:rsidR="00EF0EC0" w:rsidRPr="002C5B6F" w:rsidP="00026F9A" w14:paraId="3EAEC1AE" w14:textId="77777777">
            <w:pPr>
              <w:rPr>
                <w:rFonts w:eastAsia="Times New Roman"/>
                <w:b/>
                <w:bCs/>
                <w:color w:val="000000"/>
              </w:rPr>
            </w:pPr>
            <w:r w:rsidRPr="002C5B6F">
              <w:rPr>
                <w:rFonts w:eastAsia="Times New Roman"/>
                <w:b/>
                <w:bCs/>
                <w:color w:val="000000"/>
              </w:rPr>
              <w:t xml:space="preserve">Cost of testing untreated surface water </w:t>
            </w:r>
          </w:p>
        </w:tc>
        <w:tc>
          <w:tcPr>
            <w:tcW w:w="1440" w:type="dxa"/>
            <w:vAlign w:val="bottom"/>
          </w:tcPr>
          <w:p w:rsidR="00EF0EC0" w:rsidRPr="002C5B6F" w:rsidP="00026F9A" w14:paraId="5148F6CB" w14:textId="77777777">
            <w:pPr>
              <w:rPr>
                <w:rFonts w:eastAsia="Times New Roman"/>
                <w:color w:val="000000"/>
              </w:rPr>
            </w:pPr>
            <w:r w:rsidRPr="002C5B6F">
              <w:rPr>
                <w:rFonts w:eastAsia="Times New Roman"/>
                <w:color w:val="000000"/>
              </w:rPr>
              <w:t> </w:t>
            </w:r>
          </w:p>
        </w:tc>
        <w:tc>
          <w:tcPr>
            <w:tcW w:w="1350" w:type="dxa"/>
            <w:vAlign w:val="bottom"/>
          </w:tcPr>
          <w:p w:rsidR="00EF0EC0" w:rsidRPr="002C5B6F" w:rsidP="00026F9A" w14:paraId="7730A7A1" w14:textId="77777777">
            <w:pPr>
              <w:rPr>
                <w:rFonts w:eastAsia="Times New Roman"/>
                <w:color w:val="000000"/>
              </w:rPr>
            </w:pPr>
            <w:r w:rsidRPr="002C5B6F">
              <w:rPr>
                <w:rFonts w:eastAsia="Times New Roman"/>
                <w:color w:val="000000"/>
              </w:rPr>
              <w:t> </w:t>
            </w:r>
          </w:p>
        </w:tc>
        <w:tc>
          <w:tcPr>
            <w:tcW w:w="1260" w:type="dxa"/>
            <w:vAlign w:val="bottom"/>
          </w:tcPr>
          <w:p w:rsidR="00EF0EC0" w:rsidRPr="002C5B6F" w:rsidP="00026F9A" w14:paraId="209BBC2F" w14:textId="77777777">
            <w:pPr>
              <w:rPr>
                <w:rFonts w:eastAsia="Times New Roman"/>
                <w:color w:val="000000"/>
              </w:rPr>
            </w:pPr>
            <w:r w:rsidRPr="002C5B6F">
              <w:rPr>
                <w:rFonts w:eastAsia="Times New Roman"/>
                <w:color w:val="000000"/>
              </w:rPr>
              <w:t> </w:t>
            </w:r>
          </w:p>
        </w:tc>
        <w:tc>
          <w:tcPr>
            <w:tcW w:w="1075" w:type="dxa"/>
            <w:vAlign w:val="bottom"/>
          </w:tcPr>
          <w:p w:rsidR="00EF0EC0" w:rsidRPr="002C5B6F" w:rsidP="00026F9A" w14:paraId="118F11BF" w14:textId="77777777">
            <w:pPr>
              <w:rPr>
                <w:rFonts w:eastAsia="Times New Roman"/>
                <w:color w:val="000000"/>
              </w:rPr>
            </w:pPr>
            <w:r w:rsidRPr="002C5B6F">
              <w:rPr>
                <w:rFonts w:eastAsia="Times New Roman"/>
                <w:color w:val="000000"/>
              </w:rPr>
              <w:t> </w:t>
            </w:r>
          </w:p>
        </w:tc>
      </w:tr>
      <w:tr w14:paraId="5E94D07B" w14:textId="77777777">
        <w:tblPrEx>
          <w:tblW w:w="0" w:type="auto"/>
          <w:tblLook w:val="04A0"/>
        </w:tblPrEx>
        <w:tc>
          <w:tcPr>
            <w:tcW w:w="4225" w:type="dxa"/>
            <w:vAlign w:val="bottom"/>
          </w:tcPr>
          <w:p w:rsidR="00EF0EC0" w:rsidRPr="002C5B6F" w:rsidP="00026F9A" w14:paraId="3488A416" w14:textId="77777777">
            <w:pPr>
              <w:rPr>
                <w:rFonts w:eastAsia="Times New Roman"/>
                <w:color w:val="000000"/>
              </w:rPr>
            </w:pPr>
            <w:r w:rsidRPr="002C5B6F">
              <w:rPr>
                <w:rFonts w:eastAsia="Times New Roman"/>
                <w:color w:val="000000"/>
              </w:rPr>
              <w:t> </w:t>
            </w:r>
          </w:p>
        </w:tc>
        <w:tc>
          <w:tcPr>
            <w:tcW w:w="1440" w:type="dxa"/>
            <w:vAlign w:val="bottom"/>
          </w:tcPr>
          <w:p w:rsidR="00EF0EC0" w:rsidRPr="002C5B6F" w:rsidP="00026F9A" w14:paraId="790BABD1" w14:textId="77777777">
            <w:pPr>
              <w:jc w:val="center"/>
              <w:rPr>
                <w:rFonts w:eastAsia="Times New Roman"/>
                <w:b/>
                <w:bCs/>
                <w:color w:val="000000"/>
              </w:rPr>
            </w:pPr>
            <w:r w:rsidRPr="002C5B6F">
              <w:rPr>
                <w:rFonts w:eastAsia="Times New Roman"/>
                <w:b/>
                <w:bCs/>
                <w:color w:val="000000"/>
              </w:rPr>
              <w:t>Very small</w:t>
            </w:r>
          </w:p>
        </w:tc>
        <w:tc>
          <w:tcPr>
            <w:tcW w:w="1350" w:type="dxa"/>
            <w:vAlign w:val="bottom"/>
          </w:tcPr>
          <w:p w:rsidR="00EF0EC0" w:rsidRPr="002C5B6F" w:rsidP="00026F9A" w14:paraId="4FCB6A3C" w14:textId="77777777">
            <w:pPr>
              <w:jc w:val="center"/>
              <w:rPr>
                <w:rFonts w:eastAsia="Times New Roman"/>
                <w:b/>
                <w:bCs/>
                <w:color w:val="000000"/>
              </w:rPr>
            </w:pPr>
            <w:r w:rsidRPr="002C5B6F">
              <w:rPr>
                <w:rFonts w:eastAsia="Times New Roman"/>
                <w:b/>
                <w:bCs/>
                <w:color w:val="000000"/>
              </w:rPr>
              <w:t>Small</w:t>
            </w:r>
          </w:p>
        </w:tc>
        <w:tc>
          <w:tcPr>
            <w:tcW w:w="1260" w:type="dxa"/>
            <w:vAlign w:val="bottom"/>
          </w:tcPr>
          <w:p w:rsidR="00EF0EC0" w:rsidRPr="002C5B6F" w:rsidP="00026F9A" w14:paraId="49B75CA2" w14:textId="77777777">
            <w:pPr>
              <w:jc w:val="center"/>
              <w:rPr>
                <w:rFonts w:eastAsia="Times New Roman"/>
                <w:b/>
                <w:bCs/>
                <w:color w:val="000000"/>
              </w:rPr>
            </w:pPr>
            <w:r w:rsidRPr="002C5B6F">
              <w:rPr>
                <w:rFonts w:eastAsia="Times New Roman"/>
                <w:b/>
                <w:bCs/>
                <w:color w:val="000000"/>
              </w:rPr>
              <w:t>Large</w:t>
            </w:r>
          </w:p>
        </w:tc>
        <w:tc>
          <w:tcPr>
            <w:tcW w:w="1075" w:type="dxa"/>
            <w:vAlign w:val="bottom"/>
          </w:tcPr>
          <w:p w:rsidR="00EF0EC0" w:rsidRPr="002C5B6F" w:rsidP="00026F9A" w14:paraId="1A698EB7" w14:textId="77777777">
            <w:pPr>
              <w:jc w:val="center"/>
              <w:rPr>
                <w:rFonts w:eastAsia="Times New Roman"/>
                <w:b/>
                <w:bCs/>
                <w:color w:val="000000"/>
              </w:rPr>
            </w:pPr>
            <w:r w:rsidRPr="002C5B6F">
              <w:rPr>
                <w:rFonts w:eastAsia="Times New Roman"/>
                <w:b/>
                <w:bCs/>
                <w:color w:val="000000"/>
              </w:rPr>
              <w:t>Total</w:t>
            </w:r>
          </w:p>
        </w:tc>
      </w:tr>
      <w:tr w14:paraId="0FB767A2" w14:textId="77777777">
        <w:tblPrEx>
          <w:tblW w:w="0" w:type="auto"/>
          <w:tblLook w:val="04A0"/>
        </w:tblPrEx>
        <w:tc>
          <w:tcPr>
            <w:tcW w:w="4225" w:type="dxa"/>
            <w:vAlign w:val="bottom"/>
          </w:tcPr>
          <w:p w:rsidR="00EF0EC0" w:rsidRPr="002C5B6F" w:rsidP="00026F9A" w14:paraId="0E0EDBE6" w14:textId="77777777">
            <w:pPr>
              <w:rPr>
                <w:rFonts w:eastAsia="Times New Roman"/>
                <w:color w:val="000000"/>
              </w:rPr>
            </w:pPr>
            <w:r w:rsidRPr="002C5B6F">
              <w:rPr>
                <w:rFonts w:eastAsia="Times New Roman"/>
                <w:color w:val="000000"/>
              </w:rPr>
              <w:t>Number of covered irrigated farms</w:t>
            </w:r>
          </w:p>
        </w:tc>
        <w:tc>
          <w:tcPr>
            <w:tcW w:w="1440" w:type="dxa"/>
            <w:vAlign w:val="center"/>
          </w:tcPr>
          <w:p w:rsidR="00EF0EC0" w:rsidRPr="002C5B6F" w:rsidP="00026F9A" w14:paraId="6B16B888" w14:textId="6172B0D5">
            <w:pPr>
              <w:jc w:val="center"/>
              <w:rPr>
                <w:rFonts w:eastAsia="Times New Roman"/>
                <w:color w:val="000000"/>
              </w:rPr>
            </w:pPr>
            <w:r w:rsidRPr="002C5B6F">
              <w:rPr>
                <w:rFonts w:eastAsia="Times New Roman"/>
                <w:color w:val="000000"/>
              </w:rPr>
              <w:t>22,025</w:t>
            </w:r>
          </w:p>
        </w:tc>
        <w:tc>
          <w:tcPr>
            <w:tcW w:w="1350" w:type="dxa"/>
            <w:vAlign w:val="center"/>
          </w:tcPr>
          <w:p w:rsidR="00EF0EC0" w:rsidRPr="002C5B6F" w:rsidP="00026F9A" w14:paraId="61B2192A" w14:textId="4B4095A8">
            <w:pPr>
              <w:jc w:val="center"/>
              <w:rPr>
                <w:rFonts w:eastAsia="Times New Roman"/>
                <w:color w:val="000000"/>
              </w:rPr>
            </w:pPr>
            <w:r w:rsidRPr="002C5B6F">
              <w:rPr>
                <w:rFonts w:eastAsia="Times New Roman"/>
                <w:color w:val="000000"/>
              </w:rPr>
              <w:t>4,572</w:t>
            </w:r>
          </w:p>
        </w:tc>
        <w:tc>
          <w:tcPr>
            <w:tcW w:w="1260" w:type="dxa"/>
            <w:vAlign w:val="center"/>
          </w:tcPr>
          <w:p w:rsidR="00EF0EC0" w:rsidRPr="002C5B6F" w:rsidP="00026F9A" w14:paraId="087C3F7F" w14:textId="473F8082">
            <w:pPr>
              <w:jc w:val="center"/>
              <w:rPr>
                <w:rFonts w:eastAsia="Times New Roman"/>
                <w:color w:val="000000"/>
              </w:rPr>
            </w:pPr>
            <w:r w:rsidRPr="002C5B6F">
              <w:rPr>
                <w:rFonts w:eastAsia="Times New Roman"/>
                <w:color w:val="000000"/>
              </w:rPr>
              <w:t>9,966</w:t>
            </w:r>
          </w:p>
        </w:tc>
        <w:tc>
          <w:tcPr>
            <w:tcW w:w="1075" w:type="dxa"/>
            <w:vAlign w:val="bottom"/>
          </w:tcPr>
          <w:p w:rsidR="00EF0EC0" w:rsidRPr="002C5B6F" w:rsidP="00026F9A" w14:paraId="219C9972" w14:textId="24EE6B66">
            <w:pPr>
              <w:jc w:val="center"/>
              <w:rPr>
                <w:rFonts w:eastAsia="Times New Roman"/>
                <w:color w:val="000000"/>
              </w:rPr>
            </w:pPr>
            <w:r w:rsidRPr="002C5B6F">
              <w:rPr>
                <w:rFonts w:eastAsia="Times New Roman"/>
                <w:color w:val="000000"/>
              </w:rPr>
              <w:t>36,563</w:t>
            </w:r>
          </w:p>
        </w:tc>
      </w:tr>
      <w:tr w14:paraId="29020798" w14:textId="77777777">
        <w:tblPrEx>
          <w:tblW w:w="0" w:type="auto"/>
          <w:tblLook w:val="04A0"/>
        </w:tblPrEx>
        <w:tc>
          <w:tcPr>
            <w:tcW w:w="4225" w:type="dxa"/>
            <w:vAlign w:val="bottom"/>
          </w:tcPr>
          <w:p w:rsidR="00EF0EC0" w:rsidRPr="002C5B6F" w:rsidP="00026F9A" w14:paraId="0A0F74B1" w14:textId="77777777">
            <w:pPr>
              <w:rPr>
                <w:rFonts w:eastAsia="Times New Roman"/>
                <w:color w:val="000000"/>
              </w:rPr>
            </w:pPr>
            <w:r w:rsidRPr="002C5B6F">
              <w:rPr>
                <w:rFonts w:eastAsia="Times New Roman"/>
                <w:color w:val="000000"/>
              </w:rPr>
              <w:t>Percentage of covered farms that use untreated surface or ground water that contacts produce</w:t>
            </w:r>
          </w:p>
        </w:tc>
        <w:tc>
          <w:tcPr>
            <w:tcW w:w="1440" w:type="dxa"/>
            <w:vAlign w:val="center"/>
          </w:tcPr>
          <w:p w:rsidR="00EF0EC0" w:rsidRPr="002C5B6F" w:rsidP="00026F9A" w14:paraId="0DFC5EAE" w14:textId="77777777">
            <w:pPr>
              <w:jc w:val="center"/>
              <w:rPr>
                <w:rFonts w:eastAsia="Times New Roman"/>
                <w:color w:val="000000"/>
              </w:rPr>
            </w:pPr>
            <w:r w:rsidRPr="002C5B6F">
              <w:rPr>
                <w:rFonts w:eastAsia="Times New Roman"/>
                <w:color w:val="000000"/>
              </w:rPr>
              <w:t>45.00%</w:t>
            </w:r>
          </w:p>
        </w:tc>
        <w:tc>
          <w:tcPr>
            <w:tcW w:w="1350" w:type="dxa"/>
            <w:vAlign w:val="center"/>
          </w:tcPr>
          <w:p w:rsidR="00EF0EC0" w:rsidRPr="002C5B6F" w:rsidP="00026F9A" w14:paraId="25C8EB6A" w14:textId="77777777">
            <w:pPr>
              <w:jc w:val="center"/>
              <w:rPr>
                <w:rFonts w:eastAsia="Times New Roman"/>
                <w:color w:val="000000"/>
              </w:rPr>
            </w:pPr>
            <w:r w:rsidRPr="002C5B6F">
              <w:rPr>
                <w:rFonts w:eastAsia="Times New Roman"/>
                <w:color w:val="000000"/>
              </w:rPr>
              <w:t>45.00%</w:t>
            </w:r>
          </w:p>
        </w:tc>
        <w:tc>
          <w:tcPr>
            <w:tcW w:w="1260" w:type="dxa"/>
            <w:vAlign w:val="center"/>
          </w:tcPr>
          <w:p w:rsidR="00EF0EC0" w:rsidRPr="002C5B6F" w:rsidP="00026F9A" w14:paraId="27FC0FCF" w14:textId="77777777">
            <w:pPr>
              <w:jc w:val="center"/>
              <w:rPr>
                <w:rFonts w:eastAsia="Times New Roman"/>
                <w:color w:val="000000"/>
              </w:rPr>
            </w:pPr>
            <w:r w:rsidRPr="002C5B6F">
              <w:rPr>
                <w:rFonts w:eastAsia="Times New Roman"/>
                <w:color w:val="000000"/>
              </w:rPr>
              <w:t>54.10%</w:t>
            </w:r>
          </w:p>
        </w:tc>
        <w:tc>
          <w:tcPr>
            <w:tcW w:w="1075" w:type="dxa"/>
            <w:vAlign w:val="bottom"/>
          </w:tcPr>
          <w:p w:rsidR="00EF0EC0" w:rsidRPr="002C5B6F" w:rsidP="00026F9A" w14:paraId="0BF74AEC" w14:textId="699AF228">
            <w:pPr>
              <w:jc w:val="center"/>
              <w:rPr>
                <w:rFonts w:eastAsia="Times New Roman"/>
                <w:color w:val="000000"/>
              </w:rPr>
            </w:pPr>
          </w:p>
        </w:tc>
      </w:tr>
      <w:tr w14:paraId="6BB9D288" w14:textId="77777777">
        <w:tblPrEx>
          <w:tblW w:w="0" w:type="auto"/>
          <w:tblLook w:val="04A0"/>
        </w:tblPrEx>
        <w:tc>
          <w:tcPr>
            <w:tcW w:w="4225" w:type="dxa"/>
            <w:vAlign w:val="bottom"/>
          </w:tcPr>
          <w:p w:rsidR="00EF0EC0" w:rsidRPr="002C5B6F" w:rsidP="00026F9A" w14:paraId="4DEA0D1D" w14:textId="77777777">
            <w:pPr>
              <w:rPr>
                <w:rFonts w:eastAsia="Times New Roman"/>
                <w:color w:val="000000"/>
              </w:rPr>
            </w:pPr>
            <w:r w:rsidRPr="002C5B6F">
              <w:rPr>
                <w:rFonts w:eastAsia="Times New Roman"/>
                <w:color w:val="000000"/>
              </w:rPr>
              <w:t>Percentage of covered farms that use untreated surface or ground water that contacts produce that use surface water</w:t>
            </w:r>
          </w:p>
        </w:tc>
        <w:tc>
          <w:tcPr>
            <w:tcW w:w="1440" w:type="dxa"/>
            <w:vAlign w:val="center"/>
          </w:tcPr>
          <w:p w:rsidR="00EF0EC0" w:rsidRPr="002C5B6F" w:rsidP="00026F9A" w14:paraId="2705E289" w14:textId="77777777">
            <w:pPr>
              <w:jc w:val="center"/>
              <w:rPr>
                <w:rFonts w:eastAsia="Times New Roman"/>
                <w:color w:val="000000"/>
              </w:rPr>
            </w:pPr>
            <w:r w:rsidRPr="002C5B6F">
              <w:rPr>
                <w:rFonts w:eastAsia="Times New Roman"/>
                <w:color w:val="000000"/>
              </w:rPr>
              <w:t>31.90%</w:t>
            </w:r>
          </w:p>
        </w:tc>
        <w:tc>
          <w:tcPr>
            <w:tcW w:w="1350" w:type="dxa"/>
            <w:vAlign w:val="center"/>
          </w:tcPr>
          <w:p w:rsidR="00EF0EC0" w:rsidRPr="002C5B6F" w:rsidP="00026F9A" w14:paraId="27D062CF" w14:textId="77777777">
            <w:pPr>
              <w:jc w:val="center"/>
              <w:rPr>
                <w:rFonts w:eastAsia="Times New Roman"/>
                <w:color w:val="000000"/>
              </w:rPr>
            </w:pPr>
            <w:r w:rsidRPr="002C5B6F">
              <w:rPr>
                <w:rFonts w:eastAsia="Times New Roman"/>
                <w:color w:val="000000"/>
              </w:rPr>
              <w:t>31.90%</w:t>
            </w:r>
          </w:p>
        </w:tc>
        <w:tc>
          <w:tcPr>
            <w:tcW w:w="1260" w:type="dxa"/>
            <w:vAlign w:val="center"/>
          </w:tcPr>
          <w:p w:rsidR="00EF0EC0" w:rsidRPr="002C5B6F" w:rsidP="00026F9A" w14:paraId="006B6C28" w14:textId="77777777">
            <w:pPr>
              <w:jc w:val="center"/>
              <w:rPr>
                <w:rFonts w:eastAsia="Times New Roman"/>
                <w:color w:val="000000"/>
              </w:rPr>
            </w:pPr>
            <w:r w:rsidRPr="002C5B6F">
              <w:rPr>
                <w:rFonts w:eastAsia="Times New Roman"/>
                <w:color w:val="000000"/>
              </w:rPr>
              <w:t>31.90%</w:t>
            </w:r>
          </w:p>
        </w:tc>
        <w:tc>
          <w:tcPr>
            <w:tcW w:w="1075" w:type="dxa"/>
            <w:vAlign w:val="bottom"/>
          </w:tcPr>
          <w:p w:rsidR="00EF0EC0" w:rsidRPr="002C5B6F" w:rsidP="00026F9A" w14:paraId="3420DC8D" w14:textId="7848DB05">
            <w:pPr>
              <w:jc w:val="center"/>
              <w:rPr>
                <w:rFonts w:eastAsia="Times New Roman"/>
                <w:color w:val="000000"/>
              </w:rPr>
            </w:pPr>
          </w:p>
        </w:tc>
      </w:tr>
      <w:tr w14:paraId="3876582E" w14:textId="77777777">
        <w:tblPrEx>
          <w:tblW w:w="0" w:type="auto"/>
          <w:tblLook w:val="04A0"/>
        </w:tblPrEx>
        <w:tc>
          <w:tcPr>
            <w:tcW w:w="4225" w:type="dxa"/>
            <w:vAlign w:val="bottom"/>
          </w:tcPr>
          <w:p w:rsidR="00EF0EC0" w:rsidRPr="002C5B6F" w:rsidP="00026F9A" w14:paraId="52CE916C" w14:textId="77777777">
            <w:pPr>
              <w:rPr>
                <w:rFonts w:eastAsia="Times New Roman"/>
                <w:color w:val="000000"/>
              </w:rPr>
            </w:pPr>
            <w:r w:rsidRPr="002C5B6F">
              <w:rPr>
                <w:rFonts w:eastAsia="Times New Roman"/>
                <w:color w:val="000000"/>
              </w:rPr>
              <w:t>Number of farms that must perform baseline survey</w:t>
            </w:r>
          </w:p>
        </w:tc>
        <w:tc>
          <w:tcPr>
            <w:tcW w:w="1440" w:type="dxa"/>
            <w:vAlign w:val="bottom"/>
          </w:tcPr>
          <w:p w:rsidR="00EF0EC0" w:rsidRPr="002C5B6F" w:rsidP="00026F9A" w14:paraId="59ADAE94" w14:textId="25D94D73">
            <w:pPr>
              <w:jc w:val="center"/>
              <w:rPr>
                <w:rFonts w:eastAsia="Times New Roman"/>
                <w:color w:val="000000"/>
              </w:rPr>
            </w:pPr>
            <w:r w:rsidRPr="002C5B6F">
              <w:rPr>
                <w:rFonts w:eastAsia="Times New Roman"/>
                <w:color w:val="000000"/>
              </w:rPr>
              <w:t>3,162</w:t>
            </w:r>
          </w:p>
        </w:tc>
        <w:tc>
          <w:tcPr>
            <w:tcW w:w="1350" w:type="dxa"/>
            <w:vAlign w:val="bottom"/>
          </w:tcPr>
          <w:p w:rsidR="00EF0EC0" w:rsidRPr="002C5B6F" w:rsidP="00026F9A" w14:paraId="770F5581" w14:textId="23A362AF">
            <w:pPr>
              <w:jc w:val="center"/>
              <w:rPr>
                <w:rFonts w:eastAsia="Times New Roman"/>
                <w:color w:val="000000"/>
              </w:rPr>
            </w:pPr>
            <w:r w:rsidRPr="002C5B6F">
              <w:rPr>
                <w:rFonts w:eastAsia="Times New Roman"/>
                <w:color w:val="000000"/>
              </w:rPr>
              <w:t>656</w:t>
            </w:r>
          </w:p>
        </w:tc>
        <w:tc>
          <w:tcPr>
            <w:tcW w:w="1260" w:type="dxa"/>
            <w:vAlign w:val="bottom"/>
          </w:tcPr>
          <w:p w:rsidR="00EF0EC0" w:rsidRPr="002C5B6F" w:rsidP="00026F9A" w14:paraId="22502BBA" w14:textId="42841AA9">
            <w:pPr>
              <w:jc w:val="center"/>
              <w:rPr>
                <w:rFonts w:eastAsia="Times New Roman"/>
                <w:color w:val="000000"/>
              </w:rPr>
            </w:pPr>
            <w:r w:rsidRPr="002C5B6F">
              <w:rPr>
                <w:rFonts w:eastAsia="Times New Roman"/>
                <w:color w:val="000000"/>
              </w:rPr>
              <w:t>1,720</w:t>
            </w:r>
          </w:p>
        </w:tc>
        <w:tc>
          <w:tcPr>
            <w:tcW w:w="1075" w:type="dxa"/>
            <w:vAlign w:val="bottom"/>
          </w:tcPr>
          <w:p w:rsidR="00EF0EC0" w:rsidRPr="002C5B6F" w:rsidP="00026F9A" w14:paraId="78AA4DC4" w14:textId="54A50798">
            <w:pPr>
              <w:jc w:val="center"/>
              <w:rPr>
                <w:rFonts w:eastAsia="Times New Roman"/>
                <w:color w:val="000000"/>
              </w:rPr>
            </w:pPr>
            <w:r w:rsidRPr="002C5B6F">
              <w:rPr>
                <w:rFonts w:eastAsia="Times New Roman"/>
                <w:color w:val="000000"/>
              </w:rPr>
              <w:t>5,538</w:t>
            </w:r>
          </w:p>
        </w:tc>
      </w:tr>
      <w:tr w14:paraId="33FFE9F1" w14:textId="77777777">
        <w:tblPrEx>
          <w:tblW w:w="0" w:type="auto"/>
          <w:tblLook w:val="04A0"/>
        </w:tblPrEx>
        <w:tc>
          <w:tcPr>
            <w:tcW w:w="4225" w:type="dxa"/>
            <w:vAlign w:val="bottom"/>
          </w:tcPr>
          <w:p w:rsidR="00EF0EC0" w:rsidRPr="002C5B6F" w:rsidP="00026F9A" w14:paraId="2F21BFD8" w14:textId="77777777">
            <w:pPr>
              <w:rPr>
                <w:rFonts w:eastAsia="Times New Roman"/>
                <w:color w:val="000000"/>
              </w:rPr>
            </w:pPr>
            <w:r w:rsidRPr="002C5B6F">
              <w:rPr>
                <w:rFonts w:eastAsia="Times New Roman"/>
                <w:color w:val="000000"/>
              </w:rPr>
              <w:t>Cost of collecting sample</w:t>
            </w:r>
          </w:p>
        </w:tc>
        <w:tc>
          <w:tcPr>
            <w:tcW w:w="1440" w:type="dxa"/>
            <w:vAlign w:val="bottom"/>
          </w:tcPr>
          <w:p w:rsidR="00EF0EC0" w:rsidRPr="002C5B6F" w:rsidP="00026F9A" w14:paraId="3CC980DC" w14:textId="519B0B42">
            <w:pPr>
              <w:jc w:val="center"/>
              <w:rPr>
                <w:rFonts w:eastAsia="Times New Roman"/>
                <w:color w:val="000000"/>
              </w:rPr>
            </w:pPr>
            <w:r w:rsidRPr="002C5B6F">
              <w:rPr>
                <w:rFonts w:eastAsia="Times New Roman"/>
                <w:color w:val="000000"/>
              </w:rPr>
              <w:t>$1</w:t>
            </w:r>
            <w:r w:rsidR="00BA585F">
              <w:rPr>
                <w:rFonts w:eastAsia="Times New Roman"/>
                <w:color w:val="000000"/>
              </w:rPr>
              <w:t>37</w:t>
            </w:r>
          </w:p>
        </w:tc>
        <w:tc>
          <w:tcPr>
            <w:tcW w:w="1350" w:type="dxa"/>
            <w:vAlign w:val="bottom"/>
          </w:tcPr>
          <w:p w:rsidR="00EF0EC0" w:rsidRPr="002C5B6F" w:rsidP="00026F9A" w14:paraId="19614507" w14:textId="0F914409">
            <w:pPr>
              <w:jc w:val="center"/>
              <w:rPr>
                <w:rFonts w:eastAsia="Times New Roman"/>
                <w:color w:val="000000"/>
              </w:rPr>
            </w:pPr>
            <w:r w:rsidRPr="002C5B6F">
              <w:rPr>
                <w:rFonts w:eastAsia="Times New Roman"/>
                <w:color w:val="000000"/>
              </w:rPr>
              <w:t>$1</w:t>
            </w:r>
            <w:r w:rsidR="00BA585F">
              <w:rPr>
                <w:rFonts w:eastAsia="Times New Roman"/>
                <w:color w:val="000000"/>
              </w:rPr>
              <w:t>37</w:t>
            </w:r>
          </w:p>
        </w:tc>
        <w:tc>
          <w:tcPr>
            <w:tcW w:w="1260" w:type="dxa"/>
            <w:vAlign w:val="bottom"/>
          </w:tcPr>
          <w:p w:rsidR="00EF0EC0" w:rsidRPr="002C5B6F" w:rsidP="00026F9A" w14:paraId="43A1CD7F" w14:textId="3914B3A5">
            <w:pPr>
              <w:jc w:val="center"/>
              <w:rPr>
                <w:rFonts w:eastAsia="Times New Roman"/>
                <w:color w:val="000000"/>
              </w:rPr>
            </w:pPr>
            <w:r w:rsidRPr="002C5B6F">
              <w:rPr>
                <w:rFonts w:eastAsia="Times New Roman"/>
                <w:color w:val="000000"/>
              </w:rPr>
              <w:t>$1</w:t>
            </w:r>
            <w:r w:rsidR="00BA585F">
              <w:rPr>
                <w:rFonts w:eastAsia="Times New Roman"/>
                <w:color w:val="000000"/>
              </w:rPr>
              <w:t>37</w:t>
            </w:r>
          </w:p>
        </w:tc>
        <w:tc>
          <w:tcPr>
            <w:tcW w:w="1075" w:type="dxa"/>
            <w:vAlign w:val="bottom"/>
          </w:tcPr>
          <w:p w:rsidR="00EF0EC0" w:rsidRPr="002C5B6F" w:rsidP="00026F9A" w14:paraId="31556491" w14:textId="3E228BBB">
            <w:pPr>
              <w:jc w:val="center"/>
              <w:rPr>
                <w:rFonts w:eastAsia="Times New Roman"/>
                <w:color w:val="000000"/>
              </w:rPr>
            </w:pPr>
          </w:p>
        </w:tc>
      </w:tr>
      <w:tr w14:paraId="4BDA4012" w14:textId="77777777">
        <w:tblPrEx>
          <w:tblW w:w="0" w:type="auto"/>
          <w:tblLook w:val="04A0"/>
        </w:tblPrEx>
        <w:tc>
          <w:tcPr>
            <w:tcW w:w="4225" w:type="dxa"/>
            <w:vAlign w:val="bottom"/>
          </w:tcPr>
          <w:p w:rsidR="00EF0EC0" w:rsidRPr="002C5B6F" w:rsidP="00026F9A" w14:paraId="7BBE7F2A" w14:textId="77777777">
            <w:pPr>
              <w:rPr>
                <w:rFonts w:eastAsia="Times New Roman"/>
                <w:color w:val="000000"/>
              </w:rPr>
            </w:pPr>
            <w:r w:rsidRPr="002C5B6F">
              <w:rPr>
                <w:rFonts w:eastAsia="Times New Roman"/>
                <w:color w:val="000000"/>
              </w:rPr>
              <w:t>Baseline testing frequency</w:t>
            </w:r>
          </w:p>
        </w:tc>
        <w:tc>
          <w:tcPr>
            <w:tcW w:w="1440" w:type="dxa"/>
            <w:vAlign w:val="bottom"/>
          </w:tcPr>
          <w:p w:rsidR="00EF0EC0" w:rsidRPr="002C5B6F" w:rsidP="00026F9A" w14:paraId="56216C70" w14:textId="77777777">
            <w:pPr>
              <w:jc w:val="center"/>
              <w:rPr>
                <w:rFonts w:eastAsia="Times New Roman"/>
                <w:color w:val="000000"/>
              </w:rPr>
            </w:pPr>
            <w:r w:rsidRPr="002C5B6F">
              <w:rPr>
                <w:rFonts w:eastAsia="Times New Roman"/>
                <w:color w:val="000000"/>
              </w:rPr>
              <w:t>5</w:t>
            </w:r>
          </w:p>
        </w:tc>
        <w:tc>
          <w:tcPr>
            <w:tcW w:w="1350" w:type="dxa"/>
            <w:vAlign w:val="bottom"/>
          </w:tcPr>
          <w:p w:rsidR="00EF0EC0" w:rsidRPr="002C5B6F" w:rsidP="00026F9A" w14:paraId="5B49DA08" w14:textId="77777777">
            <w:pPr>
              <w:jc w:val="center"/>
              <w:rPr>
                <w:rFonts w:eastAsia="Times New Roman"/>
                <w:color w:val="000000"/>
              </w:rPr>
            </w:pPr>
            <w:r w:rsidRPr="002C5B6F">
              <w:rPr>
                <w:rFonts w:eastAsia="Times New Roman"/>
                <w:color w:val="000000"/>
              </w:rPr>
              <w:t>5</w:t>
            </w:r>
          </w:p>
        </w:tc>
        <w:tc>
          <w:tcPr>
            <w:tcW w:w="1260" w:type="dxa"/>
            <w:vAlign w:val="bottom"/>
          </w:tcPr>
          <w:p w:rsidR="00EF0EC0" w:rsidRPr="002C5B6F" w:rsidP="00026F9A" w14:paraId="3B3E3A7A" w14:textId="77777777">
            <w:pPr>
              <w:jc w:val="center"/>
              <w:rPr>
                <w:rFonts w:eastAsia="Times New Roman"/>
                <w:color w:val="000000"/>
              </w:rPr>
            </w:pPr>
            <w:r w:rsidRPr="002C5B6F">
              <w:rPr>
                <w:rFonts w:eastAsia="Times New Roman"/>
                <w:color w:val="000000"/>
              </w:rPr>
              <w:t>5</w:t>
            </w:r>
          </w:p>
        </w:tc>
        <w:tc>
          <w:tcPr>
            <w:tcW w:w="1075" w:type="dxa"/>
            <w:vAlign w:val="bottom"/>
          </w:tcPr>
          <w:p w:rsidR="00EF0EC0" w:rsidRPr="002C5B6F" w:rsidP="00026F9A" w14:paraId="5D561E6E" w14:textId="4E574DFD">
            <w:pPr>
              <w:jc w:val="center"/>
              <w:rPr>
                <w:rFonts w:eastAsia="Times New Roman"/>
                <w:color w:val="000000"/>
              </w:rPr>
            </w:pPr>
          </w:p>
        </w:tc>
      </w:tr>
      <w:tr w14:paraId="39D93825" w14:textId="77777777">
        <w:tblPrEx>
          <w:tblW w:w="0" w:type="auto"/>
          <w:tblLook w:val="04A0"/>
        </w:tblPrEx>
        <w:tc>
          <w:tcPr>
            <w:tcW w:w="4225" w:type="dxa"/>
            <w:vAlign w:val="bottom"/>
          </w:tcPr>
          <w:p w:rsidR="00EF0EC0" w:rsidRPr="002C5B6F" w:rsidP="00026F9A" w14:paraId="0ED8D1C7" w14:textId="77777777">
            <w:pPr>
              <w:rPr>
                <w:rFonts w:eastAsia="Times New Roman"/>
                <w:color w:val="000000"/>
              </w:rPr>
            </w:pPr>
            <w:r w:rsidRPr="002C5B6F">
              <w:rPr>
                <w:rFonts w:eastAsia="Times New Roman"/>
                <w:color w:val="000000"/>
              </w:rPr>
              <w:t>Annual testing frequency</w:t>
            </w:r>
          </w:p>
        </w:tc>
        <w:tc>
          <w:tcPr>
            <w:tcW w:w="1440" w:type="dxa"/>
            <w:vAlign w:val="bottom"/>
          </w:tcPr>
          <w:p w:rsidR="00EF0EC0" w:rsidRPr="002C5B6F" w:rsidP="00026F9A" w14:paraId="2EF46D9A" w14:textId="77777777">
            <w:pPr>
              <w:jc w:val="center"/>
              <w:rPr>
                <w:rFonts w:eastAsia="Times New Roman"/>
                <w:color w:val="000000"/>
              </w:rPr>
            </w:pPr>
            <w:r w:rsidRPr="002C5B6F">
              <w:rPr>
                <w:rFonts w:eastAsia="Times New Roman"/>
                <w:color w:val="000000"/>
              </w:rPr>
              <w:t>5</w:t>
            </w:r>
          </w:p>
        </w:tc>
        <w:tc>
          <w:tcPr>
            <w:tcW w:w="1350" w:type="dxa"/>
            <w:vAlign w:val="bottom"/>
          </w:tcPr>
          <w:p w:rsidR="00EF0EC0" w:rsidRPr="002C5B6F" w:rsidP="00026F9A" w14:paraId="721D6A29" w14:textId="77777777">
            <w:pPr>
              <w:jc w:val="center"/>
              <w:rPr>
                <w:rFonts w:eastAsia="Times New Roman"/>
                <w:color w:val="000000"/>
              </w:rPr>
            </w:pPr>
            <w:r w:rsidRPr="002C5B6F">
              <w:rPr>
                <w:rFonts w:eastAsia="Times New Roman"/>
                <w:color w:val="000000"/>
              </w:rPr>
              <w:t>5</w:t>
            </w:r>
          </w:p>
        </w:tc>
        <w:tc>
          <w:tcPr>
            <w:tcW w:w="1260" w:type="dxa"/>
            <w:vAlign w:val="bottom"/>
          </w:tcPr>
          <w:p w:rsidR="00EF0EC0" w:rsidRPr="002C5B6F" w:rsidP="00026F9A" w14:paraId="6D7E9017" w14:textId="77777777">
            <w:pPr>
              <w:jc w:val="center"/>
              <w:rPr>
                <w:rFonts w:eastAsia="Times New Roman"/>
                <w:color w:val="000000"/>
              </w:rPr>
            </w:pPr>
            <w:r w:rsidRPr="002C5B6F">
              <w:rPr>
                <w:rFonts w:eastAsia="Times New Roman"/>
                <w:color w:val="000000"/>
              </w:rPr>
              <w:t>5</w:t>
            </w:r>
          </w:p>
        </w:tc>
        <w:tc>
          <w:tcPr>
            <w:tcW w:w="1075" w:type="dxa"/>
            <w:vAlign w:val="bottom"/>
          </w:tcPr>
          <w:p w:rsidR="00EF0EC0" w:rsidRPr="002C5B6F" w:rsidP="00026F9A" w14:paraId="2B6AC375" w14:textId="0657C093">
            <w:pPr>
              <w:jc w:val="center"/>
              <w:rPr>
                <w:rFonts w:eastAsia="Times New Roman"/>
                <w:color w:val="000000"/>
              </w:rPr>
            </w:pPr>
          </w:p>
        </w:tc>
      </w:tr>
      <w:tr w14:paraId="0A0D1F85" w14:textId="77777777">
        <w:tblPrEx>
          <w:tblW w:w="0" w:type="auto"/>
          <w:tblLook w:val="04A0"/>
        </w:tblPrEx>
        <w:tc>
          <w:tcPr>
            <w:tcW w:w="4225" w:type="dxa"/>
            <w:vAlign w:val="bottom"/>
          </w:tcPr>
          <w:p w:rsidR="00EF0EC0" w:rsidRPr="002C5B6F" w:rsidP="00026F9A" w14:paraId="5D4BB8B5" w14:textId="77777777">
            <w:pPr>
              <w:rPr>
                <w:rFonts w:eastAsia="Times New Roman"/>
                <w:color w:val="000000"/>
              </w:rPr>
            </w:pPr>
            <w:r w:rsidRPr="002C5B6F">
              <w:rPr>
                <w:rFonts w:eastAsia="Times New Roman"/>
                <w:color w:val="000000"/>
              </w:rPr>
              <w:t>Baseline testing cost per source</w:t>
            </w:r>
          </w:p>
        </w:tc>
        <w:tc>
          <w:tcPr>
            <w:tcW w:w="1440" w:type="dxa"/>
            <w:vAlign w:val="bottom"/>
          </w:tcPr>
          <w:p w:rsidR="00EF0EC0" w:rsidRPr="002C5B6F" w:rsidP="00026F9A" w14:paraId="3CF9ECB8" w14:textId="6A3CA006">
            <w:pPr>
              <w:jc w:val="center"/>
              <w:rPr>
                <w:rFonts w:eastAsia="Times New Roman"/>
                <w:color w:val="000000"/>
              </w:rPr>
            </w:pPr>
            <w:r w:rsidRPr="002C5B6F">
              <w:rPr>
                <w:rFonts w:eastAsia="Times New Roman"/>
                <w:color w:val="000000"/>
              </w:rPr>
              <w:t>$6</w:t>
            </w:r>
            <w:r w:rsidR="00BA585F">
              <w:rPr>
                <w:rFonts w:eastAsia="Times New Roman"/>
                <w:color w:val="000000"/>
              </w:rPr>
              <w:t>85</w:t>
            </w:r>
          </w:p>
        </w:tc>
        <w:tc>
          <w:tcPr>
            <w:tcW w:w="1350" w:type="dxa"/>
            <w:vAlign w:val="bottom"/>
          </w:tcPr>
          <w:p w:rsidR="00EF0EC0" w:rsidRPr="002C5B6F" w:rsidP="00026F9A" w14:paraId="5AFB1713" w14:textId="32D3F347">
            <w:pPr>
              <w:jc w:val="center"/>
              <w:rPr>
                <w:rFonts w:eastAsia="Times New Roman"/>
                <w:color w:val="000000"/>
              </w:rPr>
            </w:pPr>
            <w:r w:rsidRPr="002C5B6F">
              <w:rPr>
                <w:rFonts w:eastAsia="Times New Roman"/>
                <w:color w:val="000000"/>
              </w:rPr>
              <w:t>$6</w:t>
            </w:r>
            <w:r w:rsidR="00BA585F">
              <w:rPr>
                <w:rFonts w:eastAsia="Times New Roman"/>
                <w:color w:val="000000"/>
              </w:rPr>
              <w:t>85</w:t>
            </w:r>
          </w:p>
        </w:tc>
        <w:tc>
          <w:tcPr>
            <w:tcW w:w="1260" w:type="dxa"/>
            <w:vAlign w:val="bottom"/>
          </w:tcPr>
          <w:p w:rsidR="00EF0EC0" w:rsidRPr="002C5B6F" w:rsidP="00026F9A" w14:paraId="6DB111A3" w14:textId="0828B041">
            <w:pPr>
              <w:jc w:val="center"/>
              <w:rPr>
                <w:rFonts w:eastAsia="Times New Roman"/>
                <w:color w:val="000000"/>
              </w:rPr>
            </w:pPr>
            <w:r w:rsidRPr="002C5B6F">
              <w:rPr>
                <w:rFonts w:eastAsia="Times New Roman"/>
                <w:color w:val="000000"/>
              </w:rPr>
              <w:t>$6</w:t>
            </w:r>
            <w:r w:rsidR="00BA585F">
              <w:rPr>
                <w:rFonts w:eastAsia="Times New Roman"/>
                <w:color w:val="000000"/>
              </w:rPr>
              <w:t>85</w:t>
            </w:r>
          </w:p>
        </w:tc>
        <w:tc>
          <w:tcPr>
            <w:tcW w:w="1075" w:type="dxa"/>
            <w:vAlign w:val="bottom"/>
          </w:tcPr>
          <w:p w:rsidR="00EF0EC0" w:rsidRPr="002C5B6F" w:rsidP="00026F9A" w14:paraId="3CFE7CF9" w14:textId="64F18F44">
            <w:pPr>
              <w:jc w:val="center"/>
              <w:rPr>
                <w:rFonts w:eastAsia="Times New Roman"/>
                <w:color w:val="000000"/>
              </w:rPr>
            </w:pPr>
          </w:p>
        </w:tc>
      </w:tr>
      <w:tr w14:paraId="0012E6B7" w14:textId="77777777">
        <w:tblPrEx>
          <w:tblW w:w="0" w:type="auto"/>
          <w:tblLook w:val="04A0"/>
        </w:tblPrEx>
        <w:tc>
          <w:tcPr>
            <w:tcW w:w="4225" w:type="dxa"/>
            <w:vAlign w:val="bottom"/>
          </w:tcPr>
          <w:p w:rsidR="00EF0EC0" w:rsidRPr="002C5B6F" w:rsidP="00026F9A" w14:paraId="347EFA99" w14:textId="77777777">
            <w:pPr>
              <w:rPr>
                <w:rFonts w:eastAsia="Times New Roman"/>
                <w:color w:val="000000"/>
              </w:rPr>
            </w:pPr>
            <w:r w:rsidRPr="002C5B6F">
              <w:rPr>
                <w:rFonts w:eastAsia="Times New Roman"/>
                <w:color w:val="000000"/>
              </w:rPr>
              <w:t>Annual testing cost per source</w:t>
            </w:r>
          </w:p>
        </w:tc>
        <w:tc>
          <w:tcPr>
            <w:tcW w:w="1440" w:type="dxa"/>
            <w:vAlign w:val="bottom"/>
          </w:tcPr>
          <w:p w:rsidR="00EF0EC0" w:rsidRPr="002C5B6F" w:rsidP="00026F9A" w14:paraId="06608BCA" w14:textId="1BFE6FB4">
            <w:pPr>
              <w:jc w:val="center"/>
              <w:rPr>
                <w:rFonts w:eastAsia="Times New Roman"/>
                <w:color w:val="000000"/>
              </w:rPr>
            </w:pPr>
            <w:r w:rsidRPr="002C5B6F">
              <w:rPr>
                <w:rFonts w:eastAsia="Times New Roman"/>
                <w:color w:val="000000"/>
              </w:rPr>
              <w:t>$6</w:t>
            </w:r>
            <w:r w:rsidR="00BA585F">
              <w:rPr>
                <w:rFonts w:eastAsia="Times New Roman"/>
                <w:color w:val="000000"/>
              </w:rPr>
              <w:t>85</w:t>
            </w:r>
          </w:p>
        </w:tc>
        <w:tc>
          <w:tcPr>
            <w:tcW w:w="1350" w:type="dxa"/>
            <w:vAlign w:val="bottom"/>
          </w:tcPr>
          <w:p w:rsidR="00EF0EC0" w:rsidRPr="002C5B6F" w:rsidP="00026F9A" w14:paraId="40DF6D72" w14:textId="0B1007D0">
            <w:pPr>
              <w:jc w:val="center"/>
              <w:rPr>
                <w:rFonts w:eastAsia="Times New Roman"/>
                <w:color w:val="000000"/>
              </w:rPr>
            </w:pPr>
            <w:r w:rsidRPr="002C5B6F">
              <w:rPr>
                <w:rFonts w:eastAsia="Times New Roman"/>
                <w:color w:val="000000"/>
              </w:rPr>
              <w:t>$6</w:t>
            </w:r>
            <w:r w:rsidR="00BA585F">
              <w:rPr>
                <w:rFonts w:eastAsia="Times New Roman"/>
                <w:color w:val="000000"/>
              </w:rPr>
              <w:t>85</w:t>
            </w:r>
          </w:p>
        </w:tc>
        <w:tc>
          <w:tcPr>
            <w:tcW w:w="1260" w:type="dxa"/>
            <w:vAlign w:val="bottom"/>
          </w:tcPr>
          <w:p w:rsidR="00EF0EC0" w:rsidRPr="002C5B6F" w:rsidP="00026F9A" w14:paraId="56767692" w14:textId="01086B9E">
            <w:pPr>
              <w:jc w:val="center"/>
              <w:rPr>
                <w:rFonts w:eastAsia="Times New Roman"/>
                <w:color w:val="000000"/>
              </w:rPr>
            </w:pPr>
            <w:r w:rsidRPr="002C5B6F">
              <w:rPr>
                <w:rFonts w:eastAsia="Times New Roman"/>
                <w:color w:val="000000"/>
              </w:rPr>
              <w:t>$6</w:t>
            </w:r>
            <w:r w:rsidR="00BA585F">
              <w:rPr>
                <w:rFonts w:eastAsia="Times New Roman"/>
                <w:color w:val="000000"/>
              </w:rPr>
              <w:t>85</w:t>
            </w:r>
          </w:p>
        </w:tc>
        <w:tc>
          <w:tcPr>
            <w:tcW w:w="1075" w:type="dxa"/>
            <w:vAlign w:val="bottom"/>
          </w:tcPr>
          <w:p w:rsidR="00EF0EC0" w:rsidRPr="002C5B6F" w:rsidP="00026F9A" w14:paraId="19AF95CF" w14:textId="2BBC40DD">
            <w:pPr>
              <w:jc w:val="center"/>
              <w:rPr>
                <w:rFonts w:eastAsia="Times New Roman"/>
                <w:color w:val="000000"/>
              </w:rPr>
            </w:pPr>
          </w:p>
        </w:tc>
      </w:tr>
    </w:tbl>
    <w:p w:rsidR="00EF0EC0" w:rsidRPr="00081B23" w:rsidP="00026F9A" w14:paraId="7029BD04" w14:textId="35C82D79">
      <w:pPr>
        <w:spacing w:line="480" w:lineRule="auto"/>
        <w:rPr>
          <w:rFonts w:eastAsia="Times New Roman"/>
          <w:sz w:val="20"/>
          <w:szCs w:val="20"/>
        </w:rPr>
      </w:pPr>
      <w:r>
        <w:rPr>
          <w:rFonts w:eastAsia="Times New Roman"/>
          <w:sz w:val="20"/>
          <w:szCs w:val="20"/>
        </w:rPr>
        <w:t>*Numbers may not add due to rounding</w:t>
      </w:r>
    </w:p>
    <w:p w:rsidR="00EF0EC0" w:rsidRPr="001B1A30" w:rsidP="00026F9A" w14:paraId="541034F9" w14:textId="05A19F1A">
      <w:pPr>
        <w:spacing w:line="480" w:lineRule="auto"/>
        <w:ind w:firstLine="720"/>
      </w:pPr>
      <w:r>
        <w:rPr>
          <w:rFonts w:eastAsia="Times New Roman"/>
        </w:rPr>
        <w:t xml:space="preserve">Many farms may have more than one source of surface water that they </w:t>
      </w:r>
      <w:r w:rsidR="00755005">
        <w:rPr>
          <w:rFonts w:eastAsia="Times New Roman"/>
        </w:rPr>
        <w:t xml:space="preserve">would have </w:t>
      </w:r>
      <w:r>
        <w:rPr>
          <w:rFonts w:eastAsia="Times New Roman"/>
        </w:rPr>
        <w:t>need</w:t>
      </w:r>
      <w:r w:rsidR="00755005">
        <w:rPr>
          <w:rFonts w:eastAsia="Times New Roman"/>
        </w:rPr>
        <w:t>ed</w:t>
      </w:r>
      <w:r>
        <w:rPr>
          <w:rFonts w:eastAsia="Times New Roman"/>
        </w:rPr>
        <w:t xml:space="preserve"> to test under the pre-harvest agricultural water requirements of the </w:t>
      </w:r>
      <w:r>
        <w:t xml:space="preserve">2015 </w:t>
      </w:r>
      <w:r w:rsidR="00AD4A5E">
        <w:t>produce safety final rule</w:t>
      </w:r>
      <w:r>
        <w:rPr>
          <w:rFonts w:eastAsia="Times New Roman"/>
        </w:rPr>
        <w:t xml:space="preserve">. In our survey of subject matter </w:t>
      </w:r>
      <w:r w:rsidRPr="000C24C7">
        <w:rPr>
          <w:rFonts w:eastAsia="Times New Roman"/>
        </w:rPr>
        <w:t xml:space="preserve">experts (Ref. </w:t>
      </w:r>
      <w:r w:rsidRPr="000C24C7" w:rsidR="00414F0E">
        <w:rPr>
          <w:rFonts w:eastAsia="Times New Roman"/>
        </w:rPr>
        <w:t>3</w:t>
      </w:r>
      <w:r w:rsidRPr="000C24C7">
        <w:rPr>
          <w:rFonts w:eastAsia="Times New Roman"/>
        </w:rPr>
        <w:t>), we asked</w:t>
      </w:r>
      <w:r>
        <w:rPr>
          <w:rFonts w:eastAsia="Times New Roman"/>
        </w:rPr>
        <w:t xml:space="preserve"> how many sources of surface water farms of the specified sizes would need to test</w:t>
      </w:r>
      <w:r w:rsidRPr="00084F59">
        <w:t xml:space="preserve"> </w:t>
      </w:r>
      <w:r>
        <w:t>under th</w:t>
      </w:r>
      <w:r w:rsidR="002117A1">
        <w:t>os</w:t>
      </w:r>
      <w:r>
        <w:t>e</w:t>
      </w:r>
      <w:r w:rsidRPr="00084F59">
        <w:rPr>
          <w:rFonts w:eastAsia="Times New Roman"/>
        </w:rPr>
        <w:t xml:space="preserve"> requirements</w:t>
      </w:r>
      <w:r>
        <w:rPr>
          <w:rFonts w:eastAsia="Times New Roman"/>
        </w:rPr>
        <w:t>. Table 6 presents the median estimates of the subject matter experts. We use these low, most likely, and high estimates as parameters of a PERT distribution to estimate the costs of testing all necessary sources of surface water under the pre-harvest agricultural water testing provisions</w:t>
      </w:r>
      <w:r w:rsidR="003C4038">
        <w:rPr>
          <w:rFonts w:eastAsia="Times New Roman"/>
        </w:rPr>
        <w:t xml:space="preserve"> in the 2015 </w:t>
      </w:r>
      <w:r w:rsidR="00AD4A5E">
        <w:t>produce safety final rule</w:t>
      </w:r>
      <w:r>
        <w:rPr>
          <w:rFonts w:eastAsia="Times New Roman"/>
        </w:rPr>
        <w:t xml:space="preserve">; this method incorporates the uncertainty about the number of surface water sources farms would need to test. Table 7 presents our estimates of the costs of testing surface water under </w:t>
      </w:r>
      <w:r w:rsidR="00AD2F82">
        <w:rPr>
          <w:rFonts w:eastAsia="Times New Roman"/>
        </w:rPr>
        <w:t xml:space="preserve">those </w:t>
      </w:r>
      <w:r>
        <w:rPr>
          <w:rFonts w:eastAsia="Times New Roman"/>
        </w:rPr>
        <w:t xml:space="preserve">provisions by year. </w:t>
      </w:r>
      <w:r>
        <w:t xml:space="preserve">In year 0, provisions have not taken effect; in year 1, provisions have taken effect only for large farms; in year 2, provisions have taken effect for large farms and small farms; in years 3 and onward, provisions have taken effect for all farm sizes. </w:t>
      </w:r>
      <w:r>
        <w:rPr>
          <w:rFonts w:eastAsia="Times New Roman"/>
        </w:rPr>
        <w:t>Our primary estimate is $</w:t>
      </w:r>
      <w:r w:rsidR="009B760C">
        <w:rPr>
          <w:rFonts w:eastAsia="Times New Roman"/>
        </w:rPr>
        <w:t>9.3</w:t>
      </w:r>
      <w:r>
        <w:rPr>
          <w:rFonts w:eastAsia="Times New Roman"/>
        </w:rPr>
        <w:t xml:space="preserve"> million annualized at a 3% discount rate; at a 7% discount rate, this primary estimate is $</w:t>
      </w:r>
      <w:r w:rsidR="009B760C">
        <w:rPr>
          <w:rFonts w:eastAsia="Times New Roman"/>
        </w:rPr>
        <w:t>9.0</w:t>
      </w:r>
      <w:r>
        <w:rPr>
          <w:rFonts w:eastAsia="Times New Roman"/>
        </w:rPr>
        <w:t xml:space="preserve"> million annualized. </w:t>
      </w:r>
      <w:r>
        <w:t>We include 5th (“Low Estimate”) and 95th (“High Estimate”) percentile outcomes of the simulated burden as measures of uncertainty.</w:t>
      </w:r>
    </w:p>
    <w:p w:rsidR="00EF0EC0" w:rsidRPr="00A46B49" w:rsidP="00026F9A" w14:paraId="0CCD0A7A" w14:textId="188A7B51">
      <w:pPr>
        <w:rPr>
          <w:b/>
        </w:rPr>
      </w:pPr>
      <w:r w:rsidRPr="00F16FAC">
        <w:rPr>
          <w:b/>
        </w:rPr>
        <w:t xml:space="preserve">Table </w:t>
      </w:r>
      <w:r>
        <w:rPr>
          <w:b/>
        </w:rPr>
        <w:t>6</w:t>
      </w:r>
      <w:r w:rsidRPr="00412172">
        <w:rPr>
          <w:b/>
        </w:rPr>
        <w:t>:</w:t>
      </w:r>
      <w:r w:rsidRPr="00F16FAC">
        <w:rPr>
          <w:b/>
        </w:rPr>
        <w:t xml:space="preserve"> </w:t>
      </w:r>
      <w:r>
        <w:rPr>
          <w:b/>
        </w:rPr>
        <w:t xml:space="preserve">Number of Untreated Surface Water Sources </w:t>
      </w:r>
      <w:r w:rsidR="00174498">
        <w:rPr>
          <w:b/>
        </w:rPr>
        <w:t xml:space="preserve">that Would Need to </w:t>
      </w:r>
      <w:r w:rsidR="000517B0">
        <w:rPr>
          <w:b/>
        </w:rPr>
        <w:t>B</w:t>
      </w:r>
      <w:r w:rsidR="00174498">
        <w:rPr>
          <w:b/>
        </w:rPr>
        <w:t xml:space="preserve">e </w:t>
      </w:r>
      <w:r>
        <w:rPr>
          <w:b/>
        </w:rPr>
        <w:t>Test</w:t>
      </w:r>
      <w:r w:rsidR="00174498">
        <w:rPr>
          <w:b/>
        </w:rPr>
        <w:t>ed</w:t>
      </w:r>
      <w:r>
        <w:rPr>
          <w:b/>
        </w:rPr>
        <w:t xml:space="preserve"> Under the Pre-harvest Agricultural Water Testing Provisions</w:t>
      </w:r>
      <w:r w:rsidR="0006499D">
        <w:rPr>
          <w:b/>
        </w:rPr>
        <w:t xml:space="preserve"> of the 2015 Produce Safety Final Rule</w:t>
      </w:r>
    </w:p>
    <w:tbl>
      <w:tblPr>
        <w:tblStyle w:val="TableGrid"/>
        <w:tblW w:w="5000" w:type="pct"/>
        <w:tblLook w:val="04A0"/>
      </w:tblPr>
      <w:tblGrid>
        <w:gridCol w:w="4402"/>
        <w:gridCol w:w="1799"/>
        <w:gridCol w:w="1530"/>
        <w:gridCol w:w="1619"/>
      </w:tblGrid>
      <w:tr w14:paraId="64FD8D14" w14:textId="77777777">
        <w:tblPrEx>
          <w:tblW w:w="5000" w:type="pct"/>
          <w:tblLook w:val="04A0"/>
        </w:tblPrEx>
        <w:tc>
          <w:tcPr>
            <w:tcW w:w="2354" w:type="pct"/>
            <w:vAlign w:val="bottom"/>
          </w:tcPr>
          <w:p w:rsidR="00EF0EC0" w:rsidRPr="00B0294A" w:rsidP="00026F9A" w14:paraId="3117B1E1" w14:textId="77777777">
            <w:pPr>
              <w:rPr>
                <w:rFonts w:eastAsia="Times New Roman"/>
                <w:color w:val="000000"/>
              </w:rPr>
            </w:pPr>
            <w:r w:rsidRPr="00B0294A">
              <w:rPr>
                <w:rFonts w:eastAsia="Times New Roman"/>
                <w:color w:val="000000"/>
              </w:rPr>
              <w:t> </w:t>
            </w:r>
          </w:p>
        </w:tc>
        <w:tc>
          <w:tcPr>
            <w:tcW w:w="962" w:type="pct"/>
            <w:vAlign w:val="bottom"/>
          </w:tcPr>
          <w:p w:rsidR="00EF0EC0" w:rsidRPr="00B0294A" w:rsidP="00026F9A" w14:paraId="750FCA1E" w14:textId="77777777">
            <w:pPr>
              <w:jc w:val="center"/>
              <w:rPr>
                <w:rFonts w:eastAsia="Times New Roman"/>
                <w:b/>
                <w:bCs/>
                <w:color w:val="000000"/>
              </w:rPr>
            </w:pPr>
            <w:r w:rsidRPr="00B0294A">
              <w:rPr>
                <w:rFonts w:eastAsia="Times New Roman"/>
                <w:b/>
                <w:bCs/>
                <w:color w:val="000000"/>
              </w:rPr>
              <w:t>Low</w:t>
            </w:r>
          </w:p>
        </w:tc>
        <w:tc>
          <w:tcPr>
            <w:tcW w:w="818" w:type="pct"/>
            <w:vAlign w:val="bottom"/>
          </w:tcPr>
          <w:p w:rsidR="00EF0EC0" w:rsidRPr="00B0294A" w:rsidP="00026F9A" w14:paraId="79C9E8BD" w14:textId="77777777">
            <w:pPr>
              <w:jc w:val="center"/>
              <w:rPr>
                <w:rFonts w:eastAsia="Times New Roman"/>
                <w:b/>
                <w:bCs/>
                <w:color w:val="000000"/>
              </w:rPr>
            </w:pPr>
            <w:r w:rsidRPr="00B0294A">
              <w:rPr>
                <w:rFonts w:eastAsia="Times New Roman"/>
                <w:b/>
                <w:bCs/>
                <w:color w:val="000000"/>
              </w:rPr>
              <w:t>Most Likely</w:t>
            </w:r>
          </w:p>
        </w:tc>
        <w:tc>
          <w:tcPr>
            <w:tcW w:w="866" w:type="pct"/>
            <w:vAlign w:val="bottom"/>
          </w:tcPr>
          <w:p w:rsidR="00EF0EC0" w:rsidRPr="00B0294A" w:rsidP="00026F9A" w14:paraId="51F2A700" w14:textId="77777777">
            <w:pPr>
              <w:jc w:val="center"/>
              <w:rPr>
                <w:rFonts w:eastAsia="Times New Roman"/>
                <w:b/>
                <w:bCs/>
                <w:color w:val="000000"/>
              </w:rPr>
            </w:pPr>
            <w:r w:rsidRPr="00B0294A">
              <w:rPr>
                <w:rFonts w:eastAsia="Times New Roman"/>
                <w:b/>
                <w:bCs/>
                <w:color w:val="000000"/>
              </w:rPr>
              <w:t>High</w:t>
            </w:r>
          </w:p>
        </w:tc>
      </w:tr>
      <w:tr w14:paraId="74F9DD84" w14:textId="77777777">
        <w:tblPrEx>
          <w:tblW w:w="5000" w:type="pct"/>
          <w:tblLook w:val="04A0"/>
        </w:tblPrEx>
        <w:tc>
          <w:tcPr>
            <w:tcW w:w="2354" w:type="pct"/>
            <w:vAlign w:val="bottom"/>
          </w:tcPr>
          <w:p w:rsidR="00EF0EC0" w:rsidRPr="00B0294A" w:rsidP="00026F9A" w14:paraId="6E1A2F8D" w14:textId="77777777">
            <w:pPr>
              <w:jc w:val="center"/>
              <w:rPr>
                <w:rFonts w:eastAsia="Times New Roman"/>
                <w:color w:val="000000"/>
              </w:rPr>
            </w:pPr>
            <w:r w:rsidRPr="00B0294A">
              <w:rPr>
                <w:rFonts w:eastAsia="Times New Roman"/>
                <w:color w:val="000000"/>
              </w:rPr>
              <w:t>Very Small</w:t>
            </w:r>
          </w:p>
        </w:tc>
        <w:tc>
          <w:tcPr>
            <w:tcW w:w="962" w:type="pct"/>
            <w:vAlign w:val="center"/>
          </w:tcPr>
          <w:p w:rsidR="00EF0EC0" w:rsidRPr="00B0294A" w:rsidP="00026F9A" w14:paraId="7D9F14A7" w14:textId="77777777">
            <w:pPr>
              <w:jc w:val="center"/>
              <w:rPr>
                <w:rFonts w:eastAsia="Times New Roman"/>
                <w:color w:val="000000"/>
              </w:rPr>
            </w:pPr>
            <w:r w:rsidRPr="00B0294A">
              <w:rPr>
                <w:rFonts w:eastAsia="Times New Roman"/>
                <w:color w:val="000000"/>
              </w:rPr>
              <w:t>1</w:t>
            </w:r>
          </w:p>
        </w:tc>
        <w:tc>
          <w:tcPr>
            <w:tcW w:w="818" w:type="pct"/>
            <w:vAlign w:val="center"/>
          </w:tcPr>
          <w:p w:rsidR="00EF0EC0" w:rsidRPr="00B0294A" w:rsidP="00026F9A" w14:paraId="5AE8422D" w14:textId="77777777">
            <w:pPr>
              <w:jc w:val="center"/>
              <w:rPr>
                <w:rFonts w:eastAsia="Times New Roman"/>
                <w:color w:val="000000"/>
              </w:rPr>
            </w:pPr>
            <w:r w:rsidRPr="00B0294A">
              <w:rPr>
                <w:rFonts w:eastAsia="Times New Roman"/>
                <w:color w:val="000000"/>
              </w:rPr>
              <w:t>1</w:t>
            </w:r>
          </w:p>
        </w:tc>
        <w:tc>
          <w:tcPr>
            <w:tcW w:w="866" w:type="pct"/>
            <w:vAlign w:val="center"/>
          </w:tcPr>
          <w:p w:rsidR="00EF0EC0" w:rsidRPr="00B0294A" w:rsidP="00026F9A" w14:paraId="1B3FADC3" w14:textId="77777777">
            <w:pPr>
              <w:jc w:val="center"/>
              <w:rPr>
                <w:rFonts w:eastAsia="Times New Roman"/>
                <w:color w:val="000000"/>
              </w:rPr>
            </w:pPr>
            <w:r w:rsidRPr="00B0294A">
              <w:rPr>
                <w:rFonts w:eastAsia="Times New Roman"/>
                <w:color w:val="000000"/>
              </w:rPr>
              <w:t>3</w:t>
            </w:r>
          </w:p>
        </w:tc>
      </w:tr>
      <w:tr w14:paraId="1FDFD7FA" w14:textId="77777777">
        <w:tblPrEx>
          <w:tblW w:w="5000" w:type="pct"/>
          <w:tblLook w:val="04A0"/>
        </w:tblPrEx>
        <w:tc>
          <w:tcPr>
            <w:tcW w:w="2354" w:type="pct"/>
            <w:vAlign w:val="bottom"/>
          </w:tcPr>
          <w:p w:rsidR="00EF0EC0" w:rsidRPr="00B0294A" w:rsidP="00026F9A" w14:paraId="30B3FC54" w14:textId="77777777">
            <w:pPr>
              <w:jc w:val="center"/>
              <w:rPr>
                <w:rFonts w:eastAsia="Times New Roman"/>
                <w:color w:val="000000"/>
              </w:rPr>
            </w:pPr>
            <w:r w:rsidRPr="00B0294A">
              <w:rPr>
                <w:rFonts w:eastAsia="Times New Roman"/>
                <w:color w:val="000000"/>
              </w:rPr>
              <w:t>Small</w:t>
            </w:r>
          </w:p>
        </w:tc>
        <w:tc>
          <w:tcPr>
            <w:tcW w:w="962" w:type="pct"/>
            <w:vAlign w:val="center"/>
          </w:tcPr>
          <w:p w:rsidR="00EF0EC0" w:rsidRPr="00B0294A" w:rsidP="00026F9A" w14:paraId="03E3E13C" w14:textId="77777777">
            <w:pPr>
              <w:jc w:val="center"/>
              <w:rPr>
                <w:rFonts w:eastAsia="Times New Roman"/>
                <w:color w:val="000000"/>
              </w:rPr>
            </w:pPr>
            <w:r w:rsidRPr="00B0294A">
              <w:rPr>
                <w:rFonts w:eastAsia="Times New Roman"/>
                <w:color w:val="000000"/>
              </w:rPr>
              <w:t>1</w:t>
            </w:r>
          </w:p>
        </w:tc>
        <w:tc>
          <w:tcPr>
            <w:tcW w:w="818" w:type="pct"/>
            <w:vAlign w:val="center"/>
          </w:tcPr>
          <w:p w:rsidR="00EF0EC0" w:rsidRPr="00B0294A" w:rsidP="00026F9A" w14:paraId="58446F8C" w14:textId="77777777">
            <w:pPr>
              <w:jc w:val="center"/>
              <w:rPr>
                <w:rFonts w:eastAsia="Times New Roman"/>
                <w:color w:val="000000"/>
              </w:rPr>
            </w:pPr>
            <w:r w:rsidRPr="00B0294A">
              <w:rPr>
                <w:rFonts w:eastAsia="Times New Roman"/>
                <w:color w:val="000000"/>
              </w:rPr>
              <w:t>2</w:t>
            </w:r>
          </w:p>
        </w:tc>
        <w:tc>
          <w:tcPr>
            <w:tcW w:w="866" w:type="pct"/>
            <w:vAlign w:val="center"/>
          </w:tcPr>
          <w:p w:rsidR="00EF0EC0" w:rsidRPr="00B0294A" w:rsidP="00026F9A" w14:paraId="547822E7" w14:textId="77777777">
            <w:pPr>
              <w:jc w:val="center"/>
              <w:rPr>
                <w:rFonts w:eastAsia="Times New Roman"/>
                <w:color w:val="000000"/>
              </w:rPr>
            </w:pPr>
            <w:r w:rsidRPr="00B0294A">
              <w:rPr>
                <w:rFonts w:eastAsia="Times New Roman"/>
                <w:color w:val="000000"/>
              </w:rPr>
              <w:t>4</w:t>
            </w:r>
          </w:p>
        </w:tc>
      </w:tr>
      <w:tr w14:paraId="0A9F4ED8" w14:textId="77777777">
        <w:tblPrEx>
          <w:tblW w:w="5000" w:type="pct"/>
          <w:tblLook w:val="04A0"/>
        </w:tblPrEx>
        <w:tc>
          <w:tcPr>
            <w:tcW w:w="2354" w:type="pct"/>
            <w:vAlign w:val="bottom"/>
          </w:tcPr>
          <w:p w:rsidR="00EF0EC0" w:rsidRPr="00B0294A" w:rsidP="00026F9A" w14:paraId="696D666A" w14:textId="77777777">
            <w:pPr>
              <w:jc w:val="center"/>
              <w:rPr>
                <w:rFonts w:eastAsia="Times New Roman"/>
                <w:color w:val="000000"/>
              </w:rPr>
            </w:pPr>
            <w:r w:rsidRPr="00B0294A">
              <w:rPr>
                <w:rFonts w:eastAsia="Times New Roman"/>
                <w:color w:val="000000"/>
              </w:rPr>
              <w:t>Large</w:t>
            </w:r>
          </w:p>
        </w:tc>
        <w:tc>
          <w:tcPr>
            <w:tcW w:w="962" w:type="pct"/>
            <w:vAlign w:val="center"/>
          </w:tcPr>
          <w:p w:rsidR="00EF0EC0" w:rsidRPr="00B0294A" w:rsidP="00026F9A" w14:paraId="24FECD1F" w14:textId="77777777">
            <w:pPr>
              <w:jc w:val="center"/>
              <w:rPr>
                <w:rFonts w:eastAsia="Times New Roman"/>
                <w:color w:val="000000"/>
              </w:rPr>
            </w:pPr>
            <w:r w:rsidRPr="00B0294A">
              <w:rPr>
                <w:rFonts w:eastAsia="Times New Roman"/>
                <w:color w:val="000000"/>
              </w:rPr>
              <w:t>1</w:t>
            </w:r>
          </w:p>
        </w:tc>
        <w:tc>
          <w:tcPr>
            <w:tcW w:w="818" w:type="pct"/>
            <w:vAlign w:val="center"/>
          </w:tcPr>
          <w:p w:rsidR="00EF0EC0" w:rsidRPr="00B0294A" w:rsidP="00026F9A" w14:paraId="5E0FE538" w14:textId="77777777">
            <w:pPr>
              <w:jc w:val="center"/>
              <w:rPr>
                <w:rFonts w:eastAsia="Times New Roman"/>
                <w:color w:val="000000"/>
              </w:rPr>
            </w:pPr>
            <w:r w:rsidRPr="00B0294A">
              <w:rPr>
                <w:rFonts w:eastAsia="Times New Roman"/>
                <w:color w:val="000000"/>
              </w:rPr>
              <w:t>3</w:t>
            </w:r>
          </w:p>
        </w:tc>
        <w:tc>
          <w:tcPr>
            <w:tcW w:w="866" w:type="pct"/>
            <w:vAlign w:val="center"/>
          </w:tcPr>
          <w:p w:rsidR="00EF0EC0" w:rsidRPr="00B0294A" w:rsidP="00026F9A" w14:paraId="22D96FB6" w14:textId="77777777">
            <w:pPr>
              <w:jc w:val="center"/>
              <w:rPr>
                <w:rFonts w:eastAsia="Times New Roman"/>
                <w:color w:val="000000"/>
              </w:rPr>
            </w:pPr>
            <w:r w:rsidRPr="00B0294A">
              <w:rPr>
                <w:rFonts w:eastAsia="Times New Roman"/>
                <w:color w:val="000000"/>
              </w:rPr>
              <w:t>6</w:t>
            </w:r>
          </w:p>
        </w:tc>
      </w:tr>
    </w:tbl>
    <w:p w:rsidR="00EF0EC0" w:rsidP="00026F9A" w14:paraId="1CA07103" w14:textId="77777777">
      <w:pPr>
        <w:spacing w:line="480" w:lineRule="auto"/>
        <w:ind w:firstLine="720"/>
        <w:rPr>
          <w:rFonts w:eastAsia="Times New Roman"/>
        </w:rPr>
      </w:pPr>
    </w:p>
    <w:p w:rsidR="00EF0EC0" w:rsidRPr="00F16FAC" w:rsidP="00026F9A" w14:paraId="521C50F0" w14:textId="1E065DD4">
      <w:pPr>
        <w:rPr>
          <w:b/>
        </w:rPr>
      </w:pPr>
      <w:r w:rsidRPr="00F16FAC">
        <w:rPr>
          <w:b/>
        </w:rPr>
        <w:t xml:space="preserve">Table </w:t>
      </w:r>
      <w:r>
        <w:rPr>
          <w:b/>
        </w:rPr>
        <w:t>7:</w:t>
      </w:r>
      <w:r w:rsidRPr="00F16FAC">
        <w:rPr>
          <w:b/>
        </w:rPr>
        <w:t xml:space="preserve"> </w:t>
      </w:r>
      <w:r>
        <w:rPr>
          <w:b/>
        </w:rPr>
        <w:t xml:space="preserve">Total Cost of Testing Untreated Surface Water Sources, </w:t>
      </w:r>
      <w:r w:rsidR="005C129D">
        <w:rPr>
          <w:b/>
        </w:rPr>
        <w:t xml:space="preserve">Under the </w:t>
      </w:r>
      <w:r>
        <w:rPr>
          <w:b/>
        </w:rPr>
        <w:t>Pre-harvest Agricultural Water Testing Provisions</w:t>
      </w:r>
      <w:r w:rsidR="005C129D">
        <w:rPr>
          <w:b/>
        </w:rPr>
        <w:t xml:space="preserve"> in the 2015 Produce Safety Final Rule</w:t>
      </w:r>
      <w:r w:rsidRPr="00F16FAC">
        <w:rPr>
          <w:b/>
        </w:rPr>
        <w:t xml:space="preserve"> (</w:t>
      </w:r>
      <w:r w:rsidR="003F7244">
        <w:rPr>
          <w:b/>
        </w:rPr>
        <w:t xml:space="preserve">millions </w:t>
      </w:r>
      <w:r w:rsidRPr="00F16FAC">
        <w:rPr>
          <w:b/>
        </w:rPr>
        <w:t>20</w:t>
      </w:r>
      <w:r w:rsidR="005D4818">
        <w:rPr>
          <w:b/>
        </w:rPr>
        <w:t>2</w:t>
      </w:r>
      <w:r w:rsidR="00BB5AAA">
        <w:rPr>
          <w:b/>
        </w:rPr>
        <w:t>2</w:t>
      </w:r>
      <w:r w:rsidRPr="00F16FAC">
        <w:rPr>
          <w:b/>
        </w:rPr>
        <w:t>$)</w:t>
      </w:r>
    </w:p>
    <w:tbl>
      <w:tblPr>
        <w:tblStyle w:val="TableGrid"/>
        <w:tblW w:w="5000" w:type="pct"/>
        <w:tblLayout w:type="fixed"/>
        <w:tblLook w:val="04A0"/>
      </w:tblPr>
      <w:tblGrid>
        <w:gridCol w:w="2044"/>
        <w:gridCol w:w="2339"/>
        <w:gridCol w:w="2536"/>
        <w:gridCol w:w="2431"/>
      </w:tblGrid>
      <w:tr w14:paraId="517AA191"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EF0EC0" w:rsidRPr="00F16FAC" w:rsidP="00026F9A" w14:paraId="2359E0A7" w14:textId="77777777">
            <w:pPr>
              <w:jc w:val="center"/>
              <w:rPr>
                <w:b/>
              </w:rPr>
            </w:pPr>
            <w:r w:rsidRPr="00F16FAC">
              <w:rPr>
                <w:b/>
              </w:rPr>
              <w:t>Years after publication</w:t>
            </w:r>
          </w:p>
        </w:tc>
        <w:tc>
          <w:tcPr>
            <w:tcW w:w="1251" w:type="pct"/>
            <w:tcBorders>
              <w:top w:val="single" w:sz="4" w:space="0" w:color="auto"/>
              <w:left w:val="single" w:sz="4" w:space="0" w:color="auto"/>
              <w:bottom w:val="single" w:sz="4" w:space="0" w:color="auto"/>
              <w:right w:val="single" w:sz="4" w:space="0" w:color="auto"/>
            </w:tcBorders>
            <w:hideMark/>
          </w:tcPr>
          <w:p w:rsidR="00EF0EC0" w:rsidRPr="00F16FAC" w:rsidP="00026F9A" w14:paraId="4A0C3BDC" w14:textId="77777777">
            <w:pPr>
              <w:jc w:val="center"/>
              <w:rPr>
                <w:b/>
              </w:rPr>
            </w:pPr>
            <w:r>
              <w:rPr>
                <w:b/>
              </w:rPr>
              <w:t>Low Estimate</w:t>
            </w:r>
          </w:p>
        </w:tc>
        <w:tc>
          <w:tcPr>
            <w:tcW w:w="1356" w:type="pct"/>
            <w:tcBorders>
              <w:top w:val="single" w:sz="4" w:space="0" w:color="auto"/>
              <w:left w:val="single" w:sz="4" w:space="0" w:color="auto"/>
              <w:bottom w:val="single" w:sz="4" w:space="0" w:color="auto"/>
              <w:right w:val="single" w:sz="4" w:space="0" w:color="auto"/>
            </w:tcBorders>
          </w:tcPr>
          <w:p w:rsidR="00EF0EC0" w:rsidRPr="00F16FAC" w:rsidP="00026F9A" w14:paraId="526154EA" w14:textId="77777777">
            <w:pPr>
              <w:jc w:val="center"/>
              <w:rPr>
                <w:b/>
              </w:rPr>
            </w:pPr>
            <w:r>
              <w:rPr>
                <w:b/>
              </w:rPr>
              <w:t>Primary Estimate</w:t>
            </w:r>
          </w:p>
        </w:tc>
        <w:tc>
          <w:tcPr>
            <w:tcW w:w="1300" w:type="pct"/>
            <w:tcBorders>
              <w:top w:val="single" w:sz="4" w:space="0" w:color="auto"/>
              <w:left w:val="single" w:sz="4" w:space="0" w:color="auto"/>
              <w:bottom w:val="single" w:sz="4" w:space="0" w:color="auto"/>
              <w:right w:val="single" w:sz="4" w:space="0" w:color="auto"/>
            </w:tcBorders>
          </w:tcPr>
          <w:p w:rsidR="00EF0EC0" w:rsidRPr="00F16FAC" w:rsidP="00026F9A" w14:paraId="7B0387B8" w14:textId="77777777">
            <w:pPr>
              <w:jc w:val="center"/>
              <w:rPr>
                <w:b/>
              </w:rPr>
            </w:pPr>
            <w:r>
              <w:rPr>
                <w:b/>
              </w:rPr>
              <w:t>High Estimate</w:t>
            </w:r>
          </w:p>
        </w:tc>
      </w:tr>
      <w:tr w14:paraId="28210D75"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6C5054" w:rsidRPr="00F16FAC" w:rsidP="00026F9A" w14:paraId="68951E1A" w14:textId="77777777">
            <w:pPr>
              <w:jc w:val="center"/>
            </w:pPr>
            <w:r w:rsidRPr="00F16FAC">
              <w:t>0</w:t>
            </w:r>
          </w:p>
        </w:tc>
        <w:tc>
          <w:tcPr>
            <w:tcW w:w="1251" w:type="pct"/>
            <w:tcBorders>
              <w:top w:val="single" w:sz="4" w:space="0" w:color="auto"/>
              <w:left w:val="single" w:sz="4" w:space="0" w:color="auto"/>
              <w:bottom w:val="single" w:sz="4" w:space="0" w:color="auto"/>
              <w:right w:val="single" w:sz="4" w:space="0" w:color="auto"/>
            </w:tcBorders>
            <w:vAlign w:val="bottom"/>
            <w:hideMark/>
          </w:tcPr>
          <w:p w:rsidR="006C5054" w:rsidRPr="00BB5AAA" w:rsidP="00026F9A" w14:paraId="3BB0B0E6" w14:textId="754A3E91">
            <w:pPr>
              <w:jc w:val="center"/>
              <w:rPr>
                <w:rFonts w:eastAsia="Times New Roman"/>
                <w:color w:val="000000"/>
              </w:rPr>
            </w:pPr>
            <w:r w:rsidRPr="00491301">
              <w:rPr>
                <w:color w:val="000000"/>
              </w:rPr>
              <w:t>$0</w:t>
            </w:r>
            <w:r w:rsidR="00BB5AAA">
              <w:rPr>
                <w:color w:val="000000"/>
              </w:rPr>
              <w:t>.0</w:t>
            </w:r>
          </w:p>
        </w:tc>
        <w:tc>
          <w:tcPr>
            <w:tcW w:w="1356" w:type="pct"/>
            <w:tcBorders>
              <w:top w:val="single" w:sz="4" w:space="0" w:color="auto"/>
              <w:left w:val="single" w:sz="4" w:space="0" w:color="auto"/>
              <w:bottom w:val="single" w:sz="4" w:space="0" w:color="auto"/>
              <w:right w:val="single" w:sz="4" w:space="0" w:color="auto"/>
            </w:tcBorders>
            <w:vAlign w:val="bottom"/>
          </w:tcPr>
          <w:p w:rsidR="006C5054" w:rsidRPr="00BB5AAA" w:rsidP="00026F9A" w14:paraId="047F3F26" w14:textId="3C4F357D">
            <w:pPr>
              <w:jc w:val="center"/>
              <w:rPr>
                <w:color w:val="000000"/>
              </w:rPr>
            </w:pPr>
            <w:r w:rsidRPr="00491301">
              <w:rPr>
                <w:color w:val="000000"/>
              </w:rPr>
              <w:t>$0</w:t>
            </w:r>
            <w:r w:rsidR="00BB5AAA">
              <w:rPr>
                <w:color w:val="000000"/>
              </w:rPr>
              <w:t>.0</w:t>
            </w:r>
          </w:p>
        </w:tc>
        <w:tc>
          <w:tcPr>
            <w:tcW w:w="1300" w:type="pct"/>
            <w:tcBorders>
              <w:top w:val="single" w:sz="4" w:space="0" w:color="auto"/>
              <w:left w:val="single" w:sz="4" w:space="0" w:color="auto"/>
              <w:bottom w:val="single" w:sz="4" w:space="0" w:color="auto"/>
              <w:right w:val="single" w:sz="4" w:space="0" w:color="auto"/>
            </w:tcBorders>
            <w:vAlign w:val="bottom"/>
          </w:tcPr>
          <w:p w:rsidR="006C5054" w:rsidRPr="00BB5AAA" w:rsidP="00026F9A" w14:paraId="20A6553F" w14:textId="45C3DD24">
            <w:pPr>
              <w:jc w:val="center"/>
              <w:rPr>
                <w:color w:val="000000"/>
              </w:rPr>
            </w:pPr>
            <w:r w:rsidRPr="00491301">
              <w:rPr>
                <w:color w:val="000000"/>
              </w:rPr>
              <w:t>$0</w:t>
            </w:r>
            <w:r w:rsidR="00BB5AAA">
              <w:rPr>
                <w:color w:val="000000"/>
              </w:rPr>
              <w:t>.0</w:t>
            </w:r>
          </w:p>
        </w:tc>
      </w:tr>
      <w:tr w14:paraId="11387200" w14:textId="77777777">
        <w:tblPrEx>
          <w:tblW w:w="5000" w:type="pct"/>
          <w:tblLayout w:type="fixed"/>
          <w:tblLook w:val="04A0"/>
        </w:tblPrEx>
        <w:trPr>
          <w:trHeight w:val="265"/>
        </w:trPr>
        <w:tc>
          <w:tcPr>
            <w:tcW w:w="1093" w:type="pct"/>
            <w:tcBorders>
              <w:top w:val="single" w:sz="4" w:space="0" w:color="auto"/>
              <w:left w:val="single" w:sz="4" w:space="0" w:color="auto"/>
              <w:bottom w:val="single" w:sz="4" w:space="0" w:color="auto"/>
              <w:right w:val="single" w:sz="4" w:space="0" w:color="auto"/>
            </w:tcBorders>
            <w:hideMark/>
          </w:tcPr>
          <w:p w:rsidR="006C5054" w:rsidRPr="00F16FAC" w:rsidP="00026F9A" w14:paraId="170E047E" w14:textId="77777777">
            <w:pPr>
              <w:jc w:val="center"/>
            </w:pPr>
            <w:r w:rsidRPr="00F16FAC">
              <w:t>1</w:t>
            </w:r>
          </w:p>
        </w:tc>
        <w:tc>
          <w:tcPr>
            <w:tcW w:w="1251" w:type="pct"/>
            <w:tcBorders>
              <w:top w:val="single" w:sz="4" w:space="0" w:color="auto"/>
              <w:left w:val="single" w:sz="4" w:space="0" w:color="auto"/>
              <w:bottom w:val="single" w:sz="4" w:space="0" w:color="auto"/>
              <w:right w:val="single" w:sz="4" w:space="0" w:color="auto"/>
            </w:tcBorders>
            <w:vAlign w:val="bottom"/>
            <w:hideMark/>
          </w:tcPr>
          <w:p w:rsidR="006C5054" w:rsidRPr="00BB5AAA" w:rsidP="00026F9A" w14:paraId="0FCF1817" w14:textId="06079B07">
            <w:pPr>
              <w:jc w:val="center"/>
              <w:rPr>
                <w:color w:val="000000"/>
              </w:rPr>
            </w:pPr>
            <w:r w:rsidRPr="00491301">
              <w:rPr>
                <w:color w:val="000000"/>
              </w:rPr>
              <w:t>$2</w:t>
            </w:r>
            <w:r w:rsidR="00BB5AAA">
              <w:rPr>
                <w:color w:val="000000"/>
              </w:rPr>
              <w:t>.7</w:t>
            </w:r>
          </w:p>
        </w:tc>
        <w:tc>
          <w:tcPr>
            <w:tcW w:w="1356" w:type="pct"/>
            <w:tcBorders>
              <w:top w:val="single" w:sz="4" w:space="0" w:color="auto"/>
              <w:left w:val="single" w:sz="4" w:space="0" w:color="auto"/>
              <w:bottom w:val="single" w:sz="4" w:space="0" w:color="auto"/>
              <w:right w:val="single" w:sz="4" w:space="0" w:color="auto"/>
            </w:tcBorders>
            <w:vAlign w:val="bottom"/>
          </w:tcPr>
          <w:p w:rsidR="006C5054" w:rsidRPr="00BB5AAA" w:rsidP="00026F9A" w14:paraId="16DBD451" w14:textId="6CD31310">
            <w:pPr>
              <w:jc w:val="center"/>
              <w:rPr>
                <w:color w:val="000000"/>
              </w:rPr>
            </w:pPr>
            <w:r w:rsidRPr="00491301">
              <w:rPr>
                <w:color w:val="000000"/>
              </w:rPr>
              <w:t>$6</w:t>
            </w:r>
            <w:r w:rsidR="00BB5AAA">
              <w:rPr>
                <w:color w:val="000000"/>
              </w:rPr>
              <w:t>.9</w:t>
            </w:r>
          </w:p>
        </w:tc>
        <w:tc>
          <w:tcPr>
            <w:tcW w:w="1300" w:type="pct"/>
            <w:tcBorders>
              <w:top w:val="single" w:sz="4" w:space="0" w:color="auto"/>
              <w:left w:val="single" w:sz="4" w:space="0" w:color="auto"/>
              <w:bottom w:val="single" w:sz="4" w:space="0" w:color="auto"/>
              <w:right w:val="single" w:sz="4" w:space="0" w:color="auto"/>
            </w:tcBorders>
            <w:vAlign w:val="bottom"/>
          </w:tcPr>
          <w:p w:rsidR="006C5054" w:rsidRPr="00BB5AAA" w:rsidP="00026F9A" w14:paraId="0A6CF67B" w14:textId="788F3D80">
            <w:pPr>
              <w:jc w:val="center"/>
              <w:rPr>
                <w:color w:val="000000"/>
              </w:rPr>
            </w:pPr>
            <w:r w:rsidRPr="00491301">
              <w:rPr>
                <w:color w:val="000000"/>
              </w:rPr>
              <w:t>$11</w:t>
            </w:r>
            <w:r w:rsidR="009B760C">
              <w:rPr>
                <w:color w:val="000000"/>
              </w:rPr>
              <w:t>.1</w:t>
            </w:r>
          </w:p>
        </w:tc>
      </w:tr>
      <w:tr w14:paraId="5E2751CB"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6C5054" w:rsidRPr="00F16FAC" w:rsidP="00026F9A" w14:paraId="3D7A2F02" w14:textId="77777777">
            <w:pPr>
              <w:jc w:val="center"/>
            </w:pPr>
            <w:r w:rsidRPr="00F16FAC">
              <w:t>2</w:t>
            </w:r>
          </w:p>
        </w:tc>
        <w:tc>
          <w:tcPr>
            <w:tcW w:w="1251" w:type="pct"/>
            <w:tcBorders>
              <w:top w:val="single" w:sz="4" w:space="0" w:color="auto"/>
              <w:left w:val="single" w:sz="4" w:space="0" w:color="auto"/>
              <w:bottom w:val="single" w:sz="4" w:space="0" w:color="auto"/>
              <w:right w:val="single" w:sz="4" w:space="0" w:color="auto"/>
            </w:tcBorders>
            <w:vAlign w:val="bottom"/>
            <w:hideMark/>
          </w:tcPr>
          <w:p w:rsidR="006C5054" w:rsidRPr="00BB5AAA" w:rsidP="00026F9A" w14:paraId="136A44BC" w14:textId="2A375EE6">
            <w:pPr>
              <w:jc w:val="center"/>
              <w:rPr>
                <w:color w:val="000000"/>
              </w:rPr>
            </w:pPr>
            <w:r w:rsidRPr="00491301">
              <w:rPr>
                <w:color w:val="000000"/>
              </w:rPr>
              <w:t>$3</w:t>
            </w:r>
            <w:r w:rsidR="00BB5AAA">
              <w:rPr>
                <w:color w:val="000000"/>
              </w:rPr>
              <w:t>.8</w:t>
            </w:r>
          </w:p>
        </w:tc>
        <w:tc>
          <w:tcPr>
            <w:tcW w:w="1356" w:type="pct"/>
            <w:tcBorders>
              <w:top w:val="single" w:sz="4" w:space="0" w:color="auto"/>
              <w:left w:val="single" w:sz="4" w:space="0" w:color="auto"/>
              <w:bottom w:val="single" w:sz="4" w:space="0" w:color="auto"/>
              <w:right w:val="single" w:sz="4" w:space="0" w:color="auto"/>
            </w:tcBorders>
            <w:vAlign w:val="bottom"/>
          </w:tcPr>
          <w:p w:rsidR="006C5054" w:rsidRPr="00BB5AAA" w:rsidP="00026F9A" w14:paraId="6EDB8E13" w14:textId="294059B9">
            <w:pPr>
              <w:jc w:val="center"/>
              <w:rPr>
                <w:color w:val="000000"/>
              </w:rPr>
            </w:pPr>
            <w:r w:rsidRPr="00491301">
              <w:rPr>
                <w:color w:val="000000"/>
              </w:rPr>
              <w:t>$</w:t>
            </w:r>
            <w:r w:rsidR="00BB5AAA">
              <w:rPr>
                <w:color w:val="000000"/>
              </w:rPr>
              <w:t>8.1</w:t>
            </w:r>
          </w:p>
        </w:tc>
        <w:tc>
          <w:tcPr>
            <w:tcW w:w="1300" w:type="pct"/>
            <w:tcBorders>
              <w:top w:val="single" w:sz="4" w:space="0" w:color="auto"/>
              <w:left w:val="single" w:sz="4" w:space="0" w:color="auto"/>
              <w:bottom w:val="single" w:sz="4" w:space="0" w:color="auto"/>
              <w:right w:val="single" w:sz="4" w:space="0" w:color="auto"/>
            </w:tcBorders>
            <w:vAlign w:val="bottom"/>
          </w:tcPr>
          <w:p w:rsidR="006C5054" w:rsidRPr="00BB5AAA" w:rsidP="00026F9A" w14:paraId="77E66E6D" w14:textId="24BEE294">
            <w:pPr>
              <w:jc w:val="center"/>
              <w:rPr>
                <w:color w:val="000000"/>
              </w:rPr>
            </w:pPr>
            <w:r w:rsidRPr="00491301">
              <w:rPr>
                <w:color w:val="000000"/>
              </w:rPr>
              <w:t>$12</w:t>
            </w:r>
            <w:r w:rsidR="009B760C">
              <w:rPr>
                <w:color w:val="000000"/>
              </w:rPr>
              <w:t>.3</w:t>
            </w:r>
          </w:p>
        </w:tc>
      </w:tr>
      <w:tr w14:paraId="1C536DAD"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6C5054" w:rsidRPr="00F16FAC" w:rsidP="00026F9A" w14:paraId="2579BEE0" w14:textId="77777777">
            <w:pPr>
              <w:jc w:val="center"/>
            </w:pPr>
            <w:r w:rsidRPr="00F16FAC">
              <w:t>3</w:t>
            </w:r>
          </w:p>
        </w:tc>
        <w:tc>
          <w:tcPr>
            <w:tcW w:w="1251" w:type="pct"/>
            <w:tcBorders>
              <w:top w:val="single" w:sz="4" w:space="0" w:color="auto"/>
              <w:left w:val="single" w:sz="4" w:space="0" w:color="auto"/>
              <w:bottom w:val="single" w:sz="4" w:space="0" w:color="auto"/>
              <w:right w:val="single" w:sz="4" w:space="0" w:color="auto"/>
            </w:tcBorders>
            <w:vAlign w:val="bottom"/>
            <w:hideMark/>
          </w:tcPr>
          <w:p w:rsidR="006C5054" w:rsidRPr="00BB5AAA" w:rsidP="00026F9A" w14:paraId="4A9C60F4" w14:textId="4A070F79">
            <w:pPr>
              <w:jc w:val="center"/>
              <w:rPr>
                <w:color w:val="000000"/>
              </w:rPr>
            </w:pPr>
            <w:r w:rsidRPr="00491301">
              <w:rPr>
                <w:color w:val="000000"/>
              </w:rPr>
              <w:t>$6</w:t>
            </w:r>
            <w:r w:rsidR="00BB5AAA">
              <w:rPr>
                <w:color w:val="000000"/>
              </w:rPr>
              <w:t>.7</w:t>
            </w:r>
          </w:p>
        </w:tc>
        <w:tc>
          <w:tcPr>
            <w:tcW w:w="1356" w:type="pct"/>
            <w:tcBorders>
              <w:top w:val="single" w:sz="4" w:space="0" w:color="auto"/>
              <w:left w:val="single" w:sz="4" w:space="0" w:color="auto"/>
              <w:bottom w:val="single" w:sz="4" w:space="0" w:color="auto"/>
              <w:right w:val="single" w:sz="4" w:space="0" w:color="auto"/>
            </w:tcBorders>
            <w:vAlign w:val="bottom"/>
          </w:tcPr>
          <w:p w:rsidR="006C5054" w:rsidRPr="00BB5AAA" w:rsidP="00026F9A" w14:paraId="6C4058B7" w14:textId="0BE96848">
            <w:pPr>
              <w:jc w:val="center"/>
              <w:rPr>
                <w:color w:val="000000"/>
              </w:rPr>
            </w:pPr>
            <w:r w:rsidRPr="00491301">
              <w:rPr>
                <w:color w:val="000000"/>
              </w:rPr>
              <w:t>$11</w:t>
            </w:r>
            <w:r w:rsidR="009B760C">
              <w:rPr>
                <w:color w:val="000000"/>
              </w:rPr>
              <w:t>.5</w:t>
            </w:r>
          </w:p>
        </w:tc>
        <w:tc>
          <w:tcPr>
            <w:tcW w:w="1300" w:type="pct"/>
            <w:tcBorders>
              <w:top w:val="single" w:sz="4" w:space="0" w:color="auto"/>
              <w:left w:val="single" w:sz="4" w:space="0" w:color="auto"/>
              <w:bottom w:val="single" w:sz="4" w:space="0" w:color="auto"/>
              <w:right w:val="single" w:sz="4" w:space="0" w:color="auto"/>
            </w:tcBorders>
            <w:vAlign w:val="bottom"/>
          </w:tcPr>
          <w:p w:rsidR="006C5054" w:rsidRPr="00BB5AAA" w:rsidP="00026F9A" w14:paraId="7B9849C8" w14:textId="14524509">
            <w:pPr>
              <w:jc w:val="center"/>
              <w:rPr>
                <w:color w:val="000000"/>
              </w:rPr>
            </w:pPr>
            <w:r w:rsidRPr="00491301">
              <w:rPr>
                <w:color w:val="000000"/>
              </w:rPr>
              <w:t>$15</w:t>
            </w:r>
            <w:r w:rsidR="009B760C">
              <w:rPr>
                <w:color w:val="000000"/>
              </w:rPr>
              <w:t>.6</w:t>
            </w:r>
          </w:p>
        </w:tc>
      </w:tr>
      <w:tr w14:paraId="3EF56D41"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9B760C" w:rsidRPr="00F16FAC" w:rsidP="00026F9A" w14:paraId="47A34E9A" w14:textId="77777777">
            <w:pPr>
              <w:jc w:val="center"/>
            </w:pPr>
            <w:r w:rsidRPr="00F16FAC">
              <w:t>4</w:t>
            </w:r>
          </w:p>
        </w:tc>
        <w:tc>
          <w:tcPr>
            <w:tcW w:w="1251" w:type="pct"/>
            <w:tcBorders>
              <w:top w:val="single" w:sz="4" w:space="0" w:color="auto"/>
              <w:left w:val="single" w:sz="4" w:space="0" w:color="auto"/>
              <w:bottom w:val="single" w:sz="4" w:space="0" w:color="auto"/>
              <w:right w:val="single" w:sz="4" w:space="0" w:color="auto"/>
            </w:tcBorders>
            <w:vAlign w:val="bottom"/>
            <w:hideMark/>
          </w:tcPr>
          <w:p w:rsidR="009B760C" w:rsidRPr="00BB5AAA" w:rsidP="00026F9A" w14:paraId="5F0B5218" w14:textId="332F2A8F">
            <w:pPr>
              <w:jc w:val="center"/>
              <w:rPr>
                <w:color w:val="000000"/>
              </w:rPr>
            </w:pPr>
            <w:r w:rsidRPr="005B00BD">
              <w:rPr>
                <w:color w:val="000000"/>
              </w:rPr>
              <w:t>$6</w:t>
            </w:r>
            <w:r>
              <w:rPr>
                <w:color w:val="000000"/>
              </w:rPr>
              <w:t>.7</w:t>
            </w:r>
          </w:p>
        </w:tc>
        <w:tc>
          <w:tcPr>
            <w:tcW w:w="1356"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50594EFD" w14:textId="338083F2">
            <w:pPr>
              <w:jc w:val="center"/>
              <w:rPr>
                <w:color w:val="000000"/>
              </w:rPr>
            </w:pPr>
            <w:r w:rsidRPr="005B00BD">
              <w:rPr>
                <w:color w:val="000000"/>
              </w:rPr>
              <w:t>$11</w:t>
            </w:r>
            <w:r>
              <w:rPr>
                <w:color w:val="000000"/>
              </w:rPr>
              <w:t>.5</w:t>
            </w:r>
          </w:p>
        </w:tc>
        <w:tc>
          <w:tcPr>
            <w:tcW w:w="1300"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0D382BCF" w14:textId="6452A624">
            <w:pPr>
              <w:jc w:val="center"/>
              <w:rPr>
                <w:color w:val="000000"/>
              </w:rPr>
            </w:pPr>
            <w:r w:rsidRPr="005B00BD">
              <w:rPr>
                <w:color w:val="000000"/>
              </w:rPr>
              <w:t>$15</w:t>
            </w:r>
            <w:r>
              <w:rPr>
                <w:color w:val="000000"/>
              </w:rPr>
              <w:t>.6</w:t>
            </w:r>
          </w:p>
        </w:tc>
      </w:tr>
      <w:tr w14:paraId="4A827138"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9B760C" w:rsidRPr="00F16FAC" w:rsidP="00026F9A" w14:paraId="686D3446" w14:textId="77777777">
            <w:pPr>
              <w:jc w:val="center"/>
            </w:pPr>
            <w:r w:rsidRPr="00F16FAC">
              <w:t>5</w:t>
            </w:r>
          </w:p>
        </w:tc>
        <w:tc>
          <w:tcPr>
            <w:tcW w:w="1251" w:type="pct"/>
            <w:tcBorders>
              <w:top w:val="single" w:sz="4" w:space="0" w:color="auto"/>
              <w:left w:val="single" w:sz="4" w:space="0" w:color="auto"/>
              <w:bottom w:val="single" w:sz="4" w:space="0" w:color="auto"/>
              <w:right w:val="single" w:sz="4" w:space="0" w:color="auto"/>
            </w:tcBorders>
            <w:vAlign w:val="bottom"/>
            <w:hideMark/>
          </w:tcPr>
          <w:p w:rsidR="009B760C" w:rsidRPr="00BB5AAA" w:rsidP="00026F9A" w14:paraId="407B3D38" w14:textId="51BC9B01">
            <w:pPr>
              <w:jc w:val="center"/>
              <w:rPr>
                <w:color w:val="000000"/>
              </w:rPr>
            </w:pPr>
            <w:r w:rsidRPr="005B00BD">
              <w:rPr>
                <w:color w:val="000000"/>
              </w:rPr>
              <w:t>$6</w:t>
            </w:r>
            <w:r>
              <w:rPr>
                <w:color w:val="000000"/>
              </w:rPr>
              <w:t>.7</w:t>
            </w:r>
          </w:p>
        </w:tc>
        <w:tc>
          <w:tcPr>
            <w:tcW w:w="1356"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52E85460" w14:textId="4B934CBB">
            <w:pPr>
              <w:jc w:val="center"/>
              <w:rPr>
                <w:color w:val="000000"/>
              </w:rPr>
            </w:pPr>
            <w:r w:rsidRPr="005B00BD">
              <w:rPr>
                <w:color w:val="000000"/>
              </w:rPr>
              <w:t>$11</w:t>
            </w:r>
            <w:r>
              <w:rPr>
                <w:color w:val="000000"/>
              </w:rPr>
              <w:t>.5</w:t>
            </w:r>
          </w:p>
        </w:tc>
        <w:tc>
          <w:tcPr>
            <w:tcW w:w="1300"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35F9C835" w14:textId="6CF373D4">
            <w:pPr>
              <w:jc w:val="center"/>
              <w:rPr>
                <w:color w:val="000000"/>
              </w:rPr>
            </w:pPr>
            <w:r w:rsidRPr="005B00BD">
              <w:rPr>
                <w:color w:val="000000"/>
              </w:rPr>
              <w:t>$15</w:t>
            </w:r>
            <w:r>
              <w:rPr>
                <w:color w:val="000000"/>
              </w:rPr>
              <w:t>.6</w:t>
            </w:r>
          </w:p>
        </w:tc>
      </w:tr>
      <w:tr w14:paraId="64F9998F"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9B760C" w:rsidRPr="00F16FAC" w:rsidP="00026F9A" w14:paraId="093E54A1" w14:textId="77777777">
            <w:pPr>
              <w:jc w:val="center"/>
            </w:pPr>
            <w:r w:rsidRPr="00F16FAC">
              <w:t>6</w:t>
            </w:r>
          </w:p>
        </w:tc>
        <w:tc>
          <w:tcPr>
            <w:tcW w:w="1251" w:type="pct"/>
            <w:tcBorders>
              <w:top w:val="single" w:sz="4" w:space="0" w:color="auto"/>
              <w:left w:val="single" w:sz="4" w:space="0" w:color="auto"/>
              <w:bottom w:val="single" w:sz="4" w:space="0" w:color="auto"/>
              <w:right w:val="single" w:sz="4" w:space="0" w:color="auto"/>
            </w:tcBorders>
            <w:vAlign w:val="bottom"/>
            <w:hideMark/>
          </w:tcPr>
          <w:p w:rsidR="009B760C" w:rsidRPr="00BB5AAA" w:rsidP="00026F9A" w14:paraId="37414B74" w14:textId="52AF7A4F">
            <w:pPr>
              <w:jc w:val="center"/>
              <w:rPr>
                <w:color w:val="000000"/>
              </w:rPr>
            </w:pPr>
            <w:r w:rsidRPr="005B00BD">
              <w:rPr>
                <w:color w:val="000000"/>
              </w:rPr>
              <w:t>$6</w:t>
            </w:r>
            <w:r>
              <w:rPr>
                <w:color w:val="000000"/>
              </w:rPr>
              <w:t>.7</w:t>
            </w:r>
          </w:p>
        </w:tc>
        <w:tc>
          <w:tcPr>
            <w:tcW w:w="1356"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5EF86600" w14:textId="30F410ED">
            <w:pPr>
              <w:jc w:val="center"/>
              <w:rPr>
                <w:color w:val="000000"/>
              </w:rPr>
            </w:pPr>
            <w:r w:rsidRPr="005B00BD">
              <w:rPr>
                <w:color w:val="000000"/>
              </w:rPr>
              <w:t>$11</w:t>
            </w:r>
            <w:r>
              <w:rPr>
                <w:color w:val="000000"/>
              </w:rPr>
              <w:t>.5</w:t>
            </w:r>
          </w:p>
        </w:tc>
        <w:tc>
          <w:tcPr>
            <w:tcW w:w="1300"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7A6DE510" w14:textId="1E3A20FA">
            <w:pPr>
              <w:jc w:val="center"/>
              <w:rPr>
                <w:color w:val="000000"/>
              </w:rPr>
            </w:pPr>
            <w:r w:rsidRPr="005B00BD">
              <w:rPr>
                <w:color w:val="000000"/>
              </w:rPr>
              <w:t>$15</w:t>
            </w:r>
            <w:r>
              <w:rPr>
                <w:color w:val="000000"/>
              </w:rPr>
              <w:t>.6</w:t>
            </w:r>
          </w:p>
        </w:tc>
      </w:tr>
      <w:tr w14:paraId="70416DE5" w14:textId="77777777">
        <w:tblPrEx>
          <w:tblW w:w="5000" w:type="pct"/>
          <w:tblLayout w:type="fixed"/>
          <w:tblLook w:val="04A0"/>
        </w:tblPrEx>
        <w:trPr>
          <w:trHeight w:val="265"/>
        </w:trPr>
        <w:tc>
          <w:tcPr>
            <w:tcW w:w="1093" w:type="pct"/>
            <w:tcBorders>
              <w:top w:val="single" w:sz="4" w:space="0" w:color="auto"/>
              <w:left w:val="single" w:sz="4" w:space="0" w:color="auto"/>
              <w:bottom w:val="single" w:sz="4" w:space="0" w:color="auto"/>
              <w:right w:val="single" w:sz="4" w:space="0" w:color="auto"/>
            </w:tcBorders>
            <w:hideMark/>
          </w:tcPr>
          <w:p w:rsidR="009B760C" w:rsidRPr="00F16FAC" w:rsidP="00026F9A" w14:paraId="568501CD" w14:textId="77777777">
            <w:pPr>
              <w:jc w:val="center"/>
            </w:pPr>
            <w:r w:rsidRPr="00F16FAC">
              <w:t>7</w:t>
            </w:r>
          </w:p>
        </w:tc>
        <w:tc>
          <w:tcPr>
            <w:tcW w:w="1251" w:type="pct"/>
            <w:tcBorders>
              <w:top w:val="single" w:sz="4" w:space="0" w:color="auto"/>
              <w:left w:val="single" w:sz="4" w:space="0" w:color="auto"/>
              <w:bottom w:val="single" w:sz="4" w:space="0" w:color="auto"/>
              <w:right w:val="single" w:sz="4" w:space="0" w:color="auto"/>
            </w:tcBorders>
            <w:vAlign w:val="bottom"/>
            <w:hideMark/>
          </w:tcPr>
          <w:p w:rsidR="009B760C" w:rsidRPr="00BB5AAA" w:rsidP="00026F9A" w14:paraId="47A3032B" w14:textId="370FD83C">
            <w:pPr>
              <w:jc w:val="center"/>
              <w:rPr>
                <w:color w:val="000000"/>
              </w:rPr>
            </w:pPr>
            <w:r w:rsidRPr="005B00BD">
              <w:rPr>
                <w:color w:val="000000"/>
              </w:rPr>
              <w:t>$6</w:t>
            </w:r>
            <w:r>
              <w:rPr>
                <w:color w:val="000000"/>
              </w:rPr>
              <w:t>.7</w:t>
            </w:r>
          </w:p>
        </w:tc>
        <w:tc>
          <w:tcPr>
            <w:tcW w:w="1356"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53BD5F76" w14:textId="75E73F39">
            <w:pPr>
              <w:jc w:val="center"/>
              <w:rPr>
                <w:color w:val="000000"/>
              </w:rPr>
            </w:pPr>
            <w:r w:rsidRPr="005B00BD">
              <w:rPr>
                <w:color w:val="000000"/>
              </w:rPr>
              <w:t>$11</w:t>
            </w:r>
            <w:r>
              <w:rPr>
                <w:color w:val="000000"/>
              </w:rPr>
              <w:t>.5</w:t>
            </w:r>
          </w:p>
        </w:tc>
        <w:tc>
          <w:tcPr>
            <w:tcW w:w="1300"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23041FB7" w14:textId="43716E36">
            <w:pPr>
              <w:jc w:val="center"/>
              <w:rPr>
                <w:color w:val="000000"/>
              </w:rPr>
            </w:pPr>
            <w:r w:rsidRPr="005B00BD">
              <w:rPr>
                <w:color w:val="000000"/>
              </w:rPr>
              <w:t>$15</w:t>
            </w:r>
            <w:r>
              <w:rPr>
                <w:color w:val="000000"/>
              </w:rPr>
              <w:t>.6</w:t>
            </w:r>
          </w:p>
        </w:tc>
      </w:tr>
      <w:tr w14:paraId="1068A62A"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9B760C" w:rsidRPr="00F16FAC" w:rsidP="00026F9A" w14:paraId="1921CFCC" w14:textId="77777777">
            <w:pPr>
              <w:jc w:val="center"/>
            </w:pPr>
            <w:r w:rsidRPr="00F16FAC">
              <w:t>8</w:t>
            </w:r>
          </w:p>
        </w:tc>
        <w:tc>
          <w:tcPr>
            <w:tcW w:w="1251" w:type="pct"/>
            <w:tcBorders>
              <w:top w:val="single" w:sz="4" w:space="0" w:color="auto"/>
              <w:left w:val="single" w:sz="4" w:space="0" w:color="auto"/>
              <w:bottom w:val="single" w:sz="4" w:space="0" w:color="auto"/>
              <w:right w:val="single" w:sz="4" w:space="0" w:color="auto"/>
            </w:tcBorders>
            <w:vAlign w:val="bottom"/>
            <w:hideMark/>
          </w:tcPr>
          <w:p w:rsidR="009B760C" w:rsidRPr="00BB5AAA" w:rsidP="00026F9A" w14:paraId="412D8446" w14:textId="719DD4DF">
            <w:pPr>
              <w:jc w:val="center"/>
              <w:rPr>
                <w:color w:val="000000"/>
              </w:rPr>
            </w:pPr>
            <w:r w:rsidRPr="005B00BD">
              <w:rPr>
                <w:color w:val="000000"/>
              </w:rPr>
              <w:t>$6</w:t>
            </w:r>
            <w:r>
              <w:rPr>
                <w:color w:val="000000"/>
              </w:rPr>
              <w:t>.7</w:t>
            </w:r>
          </w:p>
        </w:tc>
        <w:tc>
          <w:tcPr>
            <w:tcW w:w="1356"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0A384FFE" w14:textId="4EFC653F">
            <w:pPr>
              <w:jc w:val="center"/>
              <w:rPr>
                <w:color w:val="000000"/>
              </w:rPr>
            </w:pPr>
            <w:r w:rsidRPr="005B00BD">
              <w:rPr>
                <w:color w:val="000000"/>
              </w:rPr>
              <w:t>$11</w:t>
            </w:r>
            <w:r>
              <w:rPr>
                <w:color w:val="000000"/>
              </w:rPr>
              <w:t>.5</w:t>
            </w:r>
          </w:p>
        </w:tc>
        <w:tc>
          <w:tcPr>
            <w:tcW w:w="1300"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2D617F98" w14:textId="43C51401">
            <w:pPr>
              <w:jc w:val="center"/>
              <w:rPr>
                <w:color w:val="000000"/>
              </w:rPr>
            </w:pPr>
            <w:r w:rsidRPr="005B00BD">
              <w:rPr>
                <w:color w:val="000000"/>
              </w:rPr>
              <w:t>$15</w:t>
            </w:r>
            <w:r>
              <w:rPr>
                <w:color w:val="000000"/>
              </w:rPr>
              <w:t>.6</w:t>
            </w:r>
          </w:p>
        </w:tc>
      </w:tr>
      <w:tr w14:paraId="38243339"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9B760C" w:rsidRPr="00F16FAC" w:rsidP="00026F9A" w14:paraId="19BB58BA" w14:textId="77777777">
            <w:pPr>
              <w:jc w:val="center"/>
            </w:pPr>
            <w:r w:rsidRPr="00F16FAC">
              <w:t>9</w:t>
            </w:r>
          </w:p>
        </w:tc>
        <w:tc>
          <w:tcPr>
            <w:tcW w:w="1251" w:type="pct"/>
            <w:tcBorders>
              <w:top w:val="single" w:sz="4" w:space="0" w:color="auto"/>
              <w:left w:val="single" w:sz="4" w:space="0" w:color="auto"/>
              <w:bottom w:val="single" w:sz="4" w:space="0" w:color="auto"/>
              <w:right w:val="single" w:sz="4" w:space="0" w:color="auto"/>
            </w:tcBorders>
            <w:vAlign w:val="bottom"/>
            <w:hideMark/>
          </w:tcPr>
          <w:p w:rsidR="009B760C" w:rsidRPr="00BB5AAA" w:rsidP="00026F9A" w14:paraId="43478547" w14:textId="7A9D3656">
            <w:pPr>
              <w:jc w:val="center"/>
              <w:rPr>
                <w:color w:val="000000"/>
              </w:rPr>
            </w:pPr>
            <w:r w:rsidRPr="005B00BD">
              <w:rPr>
                <w:color w:val="000000"/>
              </w:rPr>
              <w:t>$6</w:t>
            </w:r>
            <w:r>
              <w:rPr>
                <w:color w:val="000000"/>
              </w:rPr>
              <w:t>.7</w:t>
            </w:r>
          </w:p>
        </w:tc>
        <w:tc>
          <w:tcPr>
            <w:tcW w:w="1356"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29D0C6FE" w14:textId="7C3A887C">
            <w:pPr>
              <w:jc w:val="center"/>
              <w:rPr>
                <w:color w:val="000000"/>
              </w:rPr>
            </w:pPr>
            <w:r w:rsidRPr="005B00BD">
              <w:rPr>
                <w:color w:val="000000"/>
              </w:rPr>
              <w:t>$11</w:t>
            </w:r>
            <w:r>
              <w:rPr>
                <w:color w:val="000000"/>
              </w:rPr>
              <w:t>.5</w:t>
            </w:r>
          </w:p>
        </w:tc>
        <w:tc>
          <w:tcPr>
            <w:tcW w:w="1300" w:type="pct"/>
            <w:tcBorders>
              <w:top w:val="single" w:sz="4" w:space="0" w:color="auto"/>
              <w:left w:val="single" w:sz="4" w:space="0" w:color="auto"/>
              <w:bottom w:val="single" w:sz="4" w:space="0" w:color="auto"/>
              <w:right w:val="single" w:sz="4" w:space="0" w:color="auto"/>
            </w:tcBorders>
            <w:vAlign w:val="bottom"/>
          </w:tcPr>
          <w:p w:rsidR="009B760C" w:rsidRPr="00BB5AAA" w:rsidP="00026F9A" w14:paraId="496EBBB7" w14:textId="6C92F800">
            <w:pPr>
              <w:jc w:val="center"/>
              <w:rPr>
                <w:color w:val="000000"/>
              </w:rPr>
            </w:pPr>
            <w:r w:rsidRPr="005B00BD">
              <w:rPr>
                <w:color w:val="000000"/>
              </w:rPr>
              <w:t>$15</w:t>
            </w:r>
            <w:r>
              <w:rPr>
                <w:color w:val="000000"/>
              </w:rPr>
              <w:t>.6</w:t>
            </w:r>
          </w:p>
        </w:tc>
      </w:tr>
      <w:tr w14:paraId="1296388B"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tcPr>
          <w:p w:rsidR="00BB5AAA" w:rsidRPr="00F16FAC" w:rsidP="00026F9A" w14:paraId="5FCDE015" w14:textId="77777777">
            <w:pPr>
              <w:jc w:val="center"/>
            </w:pPr>
            <w:r>
              <w:t>Annualized, 3%</w:t>
            </w:r>
          </w:p>
        </w:tc>
        <w:tc>
          <w:tcPr>
            <w:tcW w:w="1251" w:type="pct"/>
            <w:tcBorders>
              <w:top w:val="single" w:sz="4" w:space="0" w:color="auto"/>
              <w:left w:val="single" w:sz="4" w:space="0" w:color="auto"/>
              <w:bottom w:val="single" w:sz="4" w:space="0" w:color="auto"/>
              <w:right w:val="single" w:sz="4" w:space="0" w:color="auto"/>
            </w:tcBorders>
            <w:vAlign w:val="bottom"/>
          </w:tcPr>
          <w:p w:rsidR="00BB5AAA" w:rsidRPr="00BB5AAA" w:rsidP="00026F9A" w14:paraId="781A5F51" w14:textId="5D411B0C">
            <w:pPr>
              <w:jc w:val="center"/>
              <w:rPr>
                <w:rFonts w:eastAsia="Times New Roman"/>
                <w:color w:val="000000"/>
              </w:rPr>
            </w:pPr>
            <w:r w:rsidRPr="00491301">
              <w:rPr>
                <w:color w:val="000000"/>
              </w:rPr>
              <w:t>$5</w:t>
            </w:r>
            <w:r>
              <w:rPr>
                <w:color w:val="000000"/>
              </w:rPr>
              <w:t>.2</w:t>
            </w:r>
          </w:p>
        </w:tc>
        <w:tc>
          <w:tcPr>
            <w:tcW w:w="1356" w:type="pct"/>
            <w:tcBorders>
              <w:top w:val="single" w:sz="4" w:space="0" w:color="auto"/>
              <w:left w:val="single" w:sz="4" w:space="0" w:color="auto"/>
              <w:bottom w:val="single" w:sz="4" w:space="0" w:color="auto"/>
              <w:right w:val="single" w:sz="4" w:space="0" w:color="auto"/>
            </w:tcBorders>
            <w:vAlign w:val="bottom"/>
          </w:tcPr>
          <w:p w:rsidR="00BB5AAA" w:rsidRPr="00BB5AAA" w:rsidP="00026F9A" w14:paraId="26C79087" w14:textId="25B78FBA">
            <w:pPr>
              <w:jc w:val="center"/>
              <w:rPr>
                <w:color w:val="000000"/>
              </w:rPr>
            </w:pPr>
            <w:r w:rsidRPr="00491301">
              <w:rPr>
                <w:color w:val="000000"/>
              </w:rPr>
              <w:t>$9</w:t>
            </w:r>
            <w:r w:rsidR="009B760C">
              <w:rPr>
                <w:color w:val="000000"/>
              </w:rPr>
              <w:t>.3</w:t>
            </w:r>
          </w:p>
        </w:tc>
        <w:tc>
          <w:tcPr>
            <w:tcW w:w="1300" w:type="pct"/>
            <w:tcBorders>
              <w:top w:val="single" w:sz="4" w:space="0" w:color="auto"/>
              <w:left w:val="single" w:sz="4" w:space="0" w:color="auto"/>
              <w:bottom w:val="single" w:sz="4" w:space="0" w:color="auto"/>
              <w:right w:val="single" w:sz="4" w:space="0" w:color="auto"/>
            </w:tcBorders>
            <w:vAlign w:val="bottom"/>
          </w:tcPr>
          <w:p w:rsidR="00BB5AAA" w:rsidRPr="00BB5AAA" w:rsidP="00026F9A" w14:paraId="5100464F" w14:textId="0E11896C">
            <w:pPr>
              <w:jc w:val="center"/>
              <w:rPr>
                <w:color w:val="000000"/>
              </w:rPr>
            </w:pPr>
            <w:r w:rsidRPr="00491301">
              <w:rPr>
                <w:color w:val="000000"/>
              </w:rPr>
              <w:t>$1</w:t>
            </w:r>
            <w:r w:rsidR="009B760C">
              <w:rPr>
                <w:color w:val="000000"/>
              </w:rPr>
              <w:t>3.0</w:t>
            </w:r>
          </w:p>
        </w:tc>
      </w:tr>
      <w:tr w14:paraId="3F2C434C"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tcPr>
          <w:p w:rsidR="00BB5AAA" w:rsidP="00026F9A" w14:paraId="2803D8EE" w14:textId="77777777">
            <w:pPr>
              <w:jc w:val="center"/>
            </w:pPr>
            <w:r>
              <w:t>Annualized, 7%</w:t>
            </w:r>
          </w:p>
        </w:tc>
        <w:tc>
          <w:tcPr>
            <w:tcW w:w="1251" w:type="pct"/>
            <w:tcBorders>
              <w:top w:val="single" w:sz="4" w:space="0" w:color="auto"/>
              <w:left w:val="single" w:sz="4" w:space="0" w:color="auto"/>
              <w:bottom w:val="single" w:sz="4" w:space="0" w:color="auto"/>
              <w:right w:val="single" w:sz="4" w:space="0" w:color="auto"/>
            </w:tcBorders>
            <w:vAlign w:val="bottom"/>
          </w:tcPr>
          <w:p w:rsidR="00BB5AAA" w:rsidRPr="00BB5AAA" w:rsidP="00026F9A" w14:paraId="36A5F149" w14:textId="51D1A636">
            <w:pPr>
              <w:jc w:val="center"/>
              <w:rPr>
                <w:color w:val="000000"/>
              </w:rPr>
            </w:pPr>
            <w:r w:rsidRPr="00491301">
              <w:rPr>
                <w:color w:val="000000"/>
              </w:rPr>
              <w:t>$</w:t>
            </w:r>
            <w:r>
              <w:rPr>
                <w:color w:val="000000"/>
              </w:rPr>
              <w:t>5.0</w:t>
            </w:r>
          </w:p>
        </w:tc>
        <w:tc>
          <w:tcPr>
            <w:tcW w:w="1356" w:type="pct"/>
            <w:tcBorders>
              <w:top w:val="single" w:sz="4" w:space="0" w:color="auto"/>
              <w:left w:val="single" w:sz="4" w:space="0" w:color="auto"/>
              <w:bottom w:val="single" w:sz="4" w:space="0" w:color="auto"/>
              <w:right w:val="single" w:sz="4" w:space="0" w:color="auto"/>
            </w:tcBorders>
            <w:vAlign w:val="bottom"/>
          </w:tcPr>
          <w:p w:rsidR="00BB5AAA" w:rsidRPr="00BB5AAA" w:rsidP="00026F9A" w14:paraId="17265AA9" w14:textId="72E2455F">
            <w:pPr>
              <w:jc w:val="center"/>
              <w:rPr>
                <w:color w:val="000000"/>
              </w:rPr>
            </w:pPr>
            <w:r w:rsidRPr="00491301">
              <w:rPr>
                <w:color w:val="000000"/>
              </w:rPr>
              <w:t>$</w:t>
            </w:r>
            <w:r w:rsidR="009B760C">
              <w:rPr>
                <w:color w:val="000000"/>
              </w:rPr>
              <w:t>9.0</w:t>
            </w:r>
          </w:p>
        </w:tc>
        <w:tc>
          <w:tcPr>
            <w:tcW w:w="1300" w:type="pct"/>
            <w:tcBorders>
              <w:top w:val="single" w:sz="4" w:space="0" w:color="auto"/>
              <w:left w:val="single" w:sz="4" w:space="0" w:color="auto"/>
              <w:bottom w:val="single" w:sz="4" w:space="0" w:color="auto"/>
              <w:right w:val="single" w:sz="4" w:space="0" w:color="auto"/>
            </w:tcBorders>
            <w:vAlign w:val="bottom"/>
          </w:tcPr>
          <w:p w:rsidR="00BB5AAA" w:rsidRPr="00BB5AAA" w:rsidP="00026F9A" w14:paraId="3570B068" w14:textId="6D8C52F5">
            <w:pPr>
              <w:jc w:val="center"/>
              <w:rPr>
                <w:color w:val="000000"/>
              </w:rPr>
            </w:pPr>
            <w:r w:rsidRPr="00491301">
              <w:rPr>
                <w:color w:val="000000"/>
              </w:rPr>
              <w:t>$12</w:t>
            </w:r>
            <w:r w:rsidR="009B760C">
              <w:rPr>
                <w:color w:val="000000"/>
              </w:rPr>
              <w:t>.6</w:t>
            </w:r>
          </w:p>
        </w:tc>
      </w:tr>
    </w:tbl>
    <w:p w:rsidR="00EF0EC0" w:rsidP="00026F9A" w14:paraId="201E9952" w14:textId="77777777">
      <w:pPr>
        <w:spacing w:line="480" w:lineRule="auto"/>
        <w:ind w:firstLine="720"/>
        <w:rPr>
          <w:rFonts w:eastAsia="Times New Roman"/>
        </w:rPr>
      </w:pPr>
    </w:p>
    <w:p w:rsidR="00EF0EC0" w:rsidP="00026F9A" w14:paraId="50ECA90B" w14:textId="1B3D7155">
      <w:pPr>
        <w:spacing w:line="480" w:lineRule="auto"/>
        <w:ind w:firstLine="720"/>
        <w:rPr>
          <w:rFonts w:eastAsia="Times New Roman"/>
        </w:rPr>
      </w:pPr>
      <w:r>
        <w:rPr>
          <w:rFonts w:eastAsia="Times New Roman"/>
        </w:rPr>
        <w:t xml:space="preserve">Table 8 presents estimates of the number of farms that would have </w:t>
      </w:r>
      <w:r w:rsidR="002E3A01">
        <w:rPr>
          <w:rFonts w:eastAsia="Times New Roman"/>
        </w:rPr>
        <w:t xml:space="preserve">had </w:t>
      </w:r>
      <w:r>
        <w:rPr>
          <w:rFonts w:eastAsia="Times New Roman"/>
        </w:rPr>
        <w:t>to conduct testing of untreated ground water sources under the pre-harvest agricultural water testing requirements</w:t>
      </w:r>
      <w:r w:rsidR="002E3A01">
        <w:rPr>
          <w:rFonts w:eastAsia="Times New Roman"/>
        </w:rPr>
        <w:t xml:space="preserve"> in the 2015 </w:t>
      </w:r>
      <w:r w:rsidR="00AD4A5E">
        <w:t>produce safety final rule</w:t>
      </w:r>
      <w:r>
        <w:rPr>
          <w:rFonts w:eastAsia="Times New Roman"/>
        </w:rPr>
        <w:t xml:space="preserve">. Of farms that use untreated surface or ground water that contacts produce, USDA estimates that 68.1% use ground </w:t>
      </w:r>
      <w:r w:rsidRPr="000C24C7">
        <w:rPr>
          <w:rFonts w:eastAsia="Times New Roman"/>
        </w:rPr>
        <w:t xml:space="preserve">water (Ref. </w:t>
      </w:r>
      <w:r w:rsidRPr="000C24C7" w:rsidR="0029223A">
        <w:rPr>
          <w:rFonts w:eastAsia="Times New Roman"/>
        </w:rPr>
        <w:t>2</w:t>
      </w:r>
      <w:r w:rsidRPr="000C24C7">
        <w:rPr>
          <w:rFonts w:eastAsia="Times New Roman"/>
        </w:rPr>
        <w:t>). We multiply</w:t>
      </w:r>
      <w:r>
        <w:rPr>
          <w:rFonts w:eastAsia="Times New Roman"/>
        </w:rPr>
        <w:t xml:space="preserve"> the number of covered irrigated farms by these percentages to estimate that </w:t>
      </w:r>
      <w:r w:rsidR="00081B23">
        <w:rPr>
          <w:rFonts w:eastAsia="Times New Roman"/>
        </w:rPr>
        <w:t>6,750</w:t>
      </w:r>
      <w:r>
        <w:rPr>
          <w:rFonts w:eastAsia="Times New Roman"/>
        </w:rPr>
        <w:t xml:space="preserve"> very small farms, 1</w:t>
      </w:r>
      <w:r w:rsidR="00081B23">
        <w:rPr>
          <w:rFonts w:eastAsia="Times New Roman"/>
        </w:rPr>
        <w:t>,401</w:t>
      </w:r>
      <w:r>
        <w:rPr>
          <w:rFonts w:eastAsia="Times New Roman"/>
        </w:rPr>
        <w:t xml:space="preserve"> small farms, and </w:t>
      </w:r>
      <w:r w:rsidR="00081B23">
        <w:rPr>
          <w:rFonts w:eastAsia="Times New Roman"/>
        </w:rPr>
        <w:t>3,672</w:t>
      </w:r>
      <w:r>
        <w:rPr>
          <w:rFonts w:eastAsia="Times New Roman"/>
        </w:rPr>
        <w:t xml:space="preserve"> large farms </w:t>
      </w:r>
      <w:r w:rsidR="00D43C00">
        <w:rPr>
          <w:rFonts w:eastAsia="Times New Roman"/>
        </w:rPr>
        <w:t xml:space="preserve">would have been required to </w:t>
      </w:r>
      <w:r>
        <w:rPr>
          <w:rFonts w:eastAsia="Times New Roman"/>
        </w:rPr>
        <w:t>perform the baseline survey for untreated ground water sources</w:t>
      </w:r>
      <w:r w:rsidRPr="00D43C00" w:rsidR="00D43C00">
        <w:rPr>
          <w:rFonts w:eastAsia="Times New Roman"/>
        </w:rPr>
        <w:t xml:space="preserve"> </w:t>
      </w:r>
      <w:r w:rsidR="00D43C00">
        <w:rPr>
          <w:rFonts w:eastAsia="Times New Roman"/>
        </w:rPr>
        <w:t xml:space="preserve">established in the 2015 </w:t>
      </w:r>
      <w:r w:rsidR="00AD4A5E">
        <w:t>produce safety final rule</w:t>
      </w:r>
      <w:r>
        <w:rPr>
          <w:rFonts w:eastAsia="Times New Roman"/>
        </w:rPr>
        <w:t xml:space="preserve">. The 2015 </w:t>
      </w:r>
      <w:r w:rsidRPr="000C24C7">
        <w:rPr>
          <w:rFonts w:eastAsia="Times New Roman"/>
        </w:rPr>
        <w:t xml:space="preserve">FRIA estimates that the cost of a water sample, including supplies and shipping, is $110 (Ref. </w:t>
      </w:r>
      <w:r w:rsidRPr="000C24C7" w:rsidR="00226424">
        <w:rPr>
          <w:rFonts w:eastAsia="Times New Roman"/>
        </w:rPr>
        <w:t>8</w:t>
      </w:r>
      <w:r w:rsidRPr="000C24C7" w:rsidR="000C24C7">
        <w:rPr>
          <w:rFonts w:eastAsia="Times New Roman"/>
        </w:rPr>
        <w:t>)</w:t>
      </w:r>
      <w:r w:rsidRPr="000C24C7">
        <w:rPr>
          <w:rFonts w:eastAsia="Times New Roman"/>
        </w:rPr>
        <w:t>. We update</w:t>
      </w:r>
      <w:r>
        <w:rPr>
          <w:rFonts w:eastAsia="Times New Roman"/>
        </w:rPr>
        <w:t xml:space="preserve"> this number to 20</w:t>
      </w:r>
      <w:r w:rsidR="00081B23">
        <w:rPr>
          <w:rFonts w:eastAsia="Times New Roman"/>
        </w:rPr>
        <w:t>2</w:t>
      </w:r>
      <w:r w:rsidR="00E7401B">
        <w:rPr>
          <w:rFonts w:eastAsia="Times New Roman"/>
        </w:rPr>
        <w:t>2</w:t>
      </w:r>
      <w:r>
        <w:rPr>
          <w:rFonts w:eastAsia="Times New Roman"/>
        </w:rPr>
        <w:t xml:space="preserve"> dollars </w:t>
      </w:r>
      <w:r w:rsidR="00B0294A">
        <w:rPr>
          <w:rFonts w:eastAsia="Times New Roman"/>
        </w:rPr>
        <w:t>to</w:t>
      </w:r>
      <w:r>
        <w:rPr>
          <w:rFonts w:eastAsia="Times New Roman"/>
        </w:rPr>
        <w:t xml:space="preserve"> estimate the cost of a water sample is $1</w:t>
      </w:r>
      <w:r w:rsidR="00E7401B">
        <w:rPr>
          <w:rFonts w:eastAsia="Times New Roman"/>
        </w:rPr>
        <w:t>37</w:t>
      </w:r>
      <w:r>
        <w:rPr>
          <w:rFonts w:eastAsia="Times New Roman"/>
        </w:rPr>
        <w:t xml:space="preserve">. </w:t>
      </w:r>
    </w:p>
    <w:p w:rsidR="00EF0EC0" w:rsidRPr="00A46B49" w:rsidP="00026F9A" w14:paraId="221DE510" w14:textId="7F120005">
      <w:pPr>
        <w:rPr>
          <w:b/>
        </w:rPr>
      </w:pPr>
      <w:r w:rsidRPr="00F16FAC">
        <w:rPr>
          <w:b/>
        </w:rPr>
        <w:t xml:space="preserve">Table </w:t>
      </w:r>
      <w:r>
        <w:rPr>
          <w:b/>
        </w:rPr>
        <w:t>8</w:t>
      </w:r>
      <w:r w:rsidRPr="00F16FAC">
        <w:rPr>
          <w:b/>
        </w:rPr>
        <w:t xml:space="preserve">: </w:t>
      </w:r>
      <w:r>
        <w:rPr>
          <w:b/>
        </w:rPr>
        <w:t>Ground Water Testing</w:t>
      </w:r>
      <w:r w:rsidRPr="00F16FAC">
        <w:rPr>
          <w:b/>
        </w:rPr>
        <w:t xml:space="preserve"> </w:t>
      </w:r>
      <w:r>
        <w:rPr>
          <w:b/>
        </w:rPr>
        <w:t>Costs of Requirements</w:t>
      </w:r>
      <w:r w:rsidRPr="00D43C00" w:rsidR="00D43C00">
        <w:rPr>
          <w:b/>
        </w:rPr>
        <w:t xml:space="preserve"> </w:t>
      </w:r>
      <w:r w:rsidR="00D43C00">
        <w:rPr>
          <w:b/>
        </w:rPr>
        <w:t>in the 2015 Produce Safety Final Rule</w:t>
      </w:r>
      <w:r>
        <w:rPr>
          <w:b/>
        </w:rPr>
        <w:t xml:space="preserve"> (20</w:t>
      </w:r>
      <w:r w:rsidR="00081B23">
        <w:rPr>
          <w:b/>
        </w:rPr>
        <w:t>2</w:t>
      </w:r>
      <w:r w:rsidR="00E7401B">
        <w:rPr>
          <w:b/>
        </w:rPr>
        <w:t>2</w:t>
      </w:r>
      <w:r>
        <w:rPr>
          <w:b/>
        </w:rPr>
        <w:t>$)</w:t>
      </w:r>
    </w:p>
    <w:tbl>
      <w:tblPr>
        <w:tblStyle w:val="TableGrid"/>
        <w:tblW w:w="0" w:type="auto"/>
        <w:tblLook w:val="04A0"/>
      </w:tblPr>
      <w:tblGrid>
        <w:gridCol w:w="4225"/>
        <w:gridCol w:w="1440"/>
        <w:gridCol w:w="1350"/>
        <w:gridCol w:w="1260"/>
        <w:gridCol w:w="1075"/>
      </w:tblGrid>
      <w:tr w14:paraId="2718819C" w14:textId="77777777">
        <w:tblPrEx>
          <w:tblW w:w="0" w:type="auto"/>
          <w:tblLook w:val="04A0"/>
        </w:tblPrEx>
        <w:tc>
          <w:tcPr>
            <w:tcW w:w="4225" w:type="dxa"/>
            <w:vAlign w:val="bottom"/>
          </w:tcPr>
          <w:p w:rsidR="00EF0EC0" w:rsidRPr="002C5B6F" w:rsidP="00026F9A" w14:paraId="6FE95706" w14:textId="77777777">
            <w:pPr>
              <w:rPr>
                <w:rFonts w:eastAsia="Times New Roman"/>
                <w:b/>
                <w:bCs/>
                <w:color w:val="000000"/>
              </w:rPr>
            </w:pPr>
            <w:r w:rsidRPr="002C5B6F">
              <w:rPr>
                <w:rFonts w:eastAsia="Times New Roman"/>
                <w:b/>
                <w:bCs/>
                <w:color w:val="000000"/>
              </w:rPr>
              <w:t xml:space="preserve">Cost of testing untreated ground water </w:t>
            </w:r>
          </w:p>
        </w:tc>
        <w:tc>
          <w:tcPr>
            <w:tcW w:w="1440" w:type="dxa"/>
            <w:vAlign w:val="bottom"/>
          </w:tcPr>
          <w:p w:rsidR="00EF0EC0" w:rsidRPr="002C5B6F" w:rsidP="00026F9A" w14:paraId="65BC7491" w14:textId="77777777">
            <w:pPr>
              <w:rPr>
                <w:rFonts w:eastAsia="Times New Roman"/>
                <w:color w:val="000000"/>
              </w:rPr>
            </w:pPr>
            <w:r w:rsidRPr="002C5B6F">
              <w:rPr>
                <w:rFonts w:eastAsia="Times New Roman"/>
                <w:color w:val="000000"/>
              </w:rPr>
              <w:t> </w:t>
            </w:r>
          </w:p>
        </w:tc>
        <w:tc>
          <w:tcPr>
            <w:tcW w:w="1350" w:type="dxa"/>
            <w:vAlign w:val="bottom"/>
          </w:tcPr>
          <w:p w:rsidR="00EF0EC0" w:rsidRPr="002C5B6F" w:rsidP="00026F9A" w14:paraId="09D0D464" w14:textId="77777777">
            <w:pPr>
              <w:rPr>
                <w:rFonts w:eastAsia="Times New Roman"/>
                <w:color w:val="000000"/>
              </w:rPr>
            </w:pPr>
            <w:r w:rsidRPr="002C5B6F">
              <w:rPr>
                <w:rFonts w:eastAsia="Times New Roman"/>
                <w:color w:val="000000"/>
              </w:rPr>
              <w:t> </w:t>
            </w:r>
          </w:p>
        </w:tc>
        <w:tc>
          <w:tcPr>
            <w:tcW w:w="1260" w:type="dxa"/>
            <w:vAlign w:val="bottom"/>
          </w:tcPr>
          <w:p w:rsidR="00EF0EC0" w:rsidRPr="002C5B6F" w:rsidP="00026F9A" w14:paraId="2B70C184" w14:textId="77777777">
            <w:pPr>
              <w:rPr>
                <w:rFonts w:eastAsia="Times New Roman"/>
                <w:color w:val="000000"/>
              </w:rPr>
            </w:pPr>
            <w:r w:rsidRPr="002C5B6F">
              <w:rPr>
                <w:rFonts w:eastAsia="Times New Roman"/>
                <w:color w:val="000000"/>
              </w:rPr>
              <w:t> </w:t>
            </w:r>
          </w:p>
        </w:tc>
        <w:tc>
          <w:tcPr>
            <w:tcW w:w="1075" w:type="dxa"/>
            <w:vAlign w:val="bottom"/>
          </w:tcPr>
          <w:p w:rsidR="00EF0EC0" w:rsidRPr="002C5B6F" w:rsidP="00026F9A" w14:paraId="1FBCBFD8" w14:textId="77777777">
            <w:pPr>
              <w:rPr>
                <w:rFonts w:eastAsia="Times New Roman"/>
                <w:color w:val="000000"/>
              </w:rPr>
            </w:pPr>
            <w:r w:rsidRPr="002C5B6F">
              <w:rPr>
                <w:rFonts w:eastAsia="Times New Roman"/>
                <w:color w:val="000000"/>
              </w:rPr>
              <w:t> </w:t>
            </w:r>
          </w:p>
        </w:tc>
      </w:tr>
      <w:tr w14:paraId="3D408E63" w14:textId="77777777">
        <w:tblPrEx>
          <w:tblW w:w="0" w:type="auto"/>
          <w:tblLook w:val="04A0"/>
        </w:tblPrEx>
        <w:tc>
          <w:tcPr>
            <w:tcW w:w="4225" w:type="dxa"/>
            <w:vAlign w:val="bottom"/>
          </w:tcPr>
          <w:p w:rsidR="00EF0EC0" w:rsidRPr="002C5B6F" w:rsidP="00026F9A" w14:paraId="723103BA" w14:textId="77777777">
            <w:pPr>
              <w:rPr>
                <w:rFonts w:eastAsia="Times New Roman"/>
                <w:color w:val="000000"/>
              </w:rPr>
            </w:pPr>
            <w:r w:rsidRPr="002C5B6F">
              <w:rPr>
                <w:rFonts w:eastAsia="Times New Roman"/>
                <w:color w:val="000000"/>
              </w:rPr>
              <w:t> </w:t>
            </w:r>
          </w:p>
        </w:tc>
        <w:tc>
          <w:tcPr>
            <w:tcW w:w="1440" w:type="dxa"/>
            <w:vAlign w:val="bottom"/>
          </w:tcPr>
          <w:p w:rsidR="00EF0EC0" w:rsidRPr="002C5B6F" w:rsidP="00026F9A" w14:paraId="5D68F067" w14:textId="77777777">
            <w:pPr>
              <w:jc w:val="center"/>
              <w:rPr>
                <w:rFonts w:eastAsia="Times New Roman"/>
                <w:b/>
                <w:bCs/>
                <w:color w:val="000000"/>
              </w:rPr>
            </w:pPr>
            <w:r w:rsidRPr="002C5B6F">
              <w:rPr>
                <w:rFonts w:eastAsia="Times New Roman"/>
                <w:b/>
                <w:bCs/>
                <w:color w:val="000000"/>
              </w:rPr>
              <w:t>Very Small</w:t>
            </w:r>
          </w:p>
        </w:tc>
        <w:tc>
          <w:tcPr>
            <w:tcW w:w="1350" w:type="dxa"/>
            <w:vAlign w:val="bottom"/>
          </w:tcPr>
          <w:p w:rsidR="00EF0EC0" w:rsidRPr="002C5B6F" w:rsidP="00026F9A" w14:paraId="1DDB86BF" w14:textId="77777777">
            <w:pPr>
              <w:jc w:val="center"/>
              <w:rPr>
                <w:rFonts w:eastAsia="Times New Roman"/>
                <w:b/>
                <w:bCs/>
                <w:color w:val="000000"/>
              </w:rPr>
            </w:pPr>
            <w:r w:rsidRPr="002C5B6F">
              <w:rPr>
                <w:rFonts w:eastAsia="Times New Roman"/>
                <w:b/>
                <w:bCs/>
                <w:color w:val="000000"/>
              </w:rPr>
              <w:t>Small</w:t>
            </w:r>
          </w:p>
        </w:tc>
        <w:tc>
          <w:tcPr>
            <w:tcW w:w="1260" w:type="dxa"/>
            <w:vAlign w:val="bottom"/>
          </w:tcPr>
          <w:p w:rsidR="00EF0EC0" w:rsidRPr="002C5B6F" w:rsidP="00026F9A" w14:paraId="09CD1360" w14:textId="77777777">
            <w:pPr>
              <w:jc w:val="center"/>
              <w:rPr>
                <w:rFonts w:eastAsia="Times New Roman"/>
                <w:b/>
                <w:bCs/>
                <w:color w:val="000000"/>
              </w:rPr>
            </w:pPr>
            <w:r w:rsidRPr="002C5B6F">
              <w:rPr>
                <w:rFonts w:eastAsia="Times New Roman"/>
                <w:b/>
                <w:bCs/>
                <w:color w:val="000000"/>
              </w:rPr>
              <w:t>Large</w:t>
            </w:r>
          </w:p>
        </w:tc>
        <w:tc>
          <w:tcPr>
            <w:tcW w:w="1075" w:type="dxa"/>
            <w:vAlign w:val="bottom"/>
          </w:tcPr>
          <w:p w:rsidR="00EF0EC0" w:rsidRPr="002C5B6F" w:rsidP="00026F9A" w14:paraId="1B6CF004" w14:textId="77777777">
            <w:pPr>
              <w:jc w:val="center"/>
              <w:rPr>
                <w:rFonts w:eastAsia="Times New Roman"/>
                <w:b/>
                <w:bCs/>
                <w:color w:val="000000"/>
              </w:rPr>
            </w:pPr>
            <w:r w:rsidRPr="002C5B6F">
              <w:rPr>
                <w:rFonts w:eastAsia="Times New Roman"/>
                <w:b/>
                <w:bCs/>
                <w:color w:val="000000"/>
              </w:rPr>
              <w:t>Total</w:t>
            </w:r>
          </w:p>
        </w:tc>
      </w:tr>
      <w:tr w14:paraId="28C21FE2" w14:textId="77777777">
        <w:tblPrEx>
          <w:tblW w:w="0" w:type="auto"/>
          <w:tblLook w:val="04A0"/>
        </w:tblPrEx>
        <w:tc>
          <w:tcPr>
            <w:tcW w:w="4225" w:type="dxa"/>
            <w:vAlign w:val="bottom"/>
          </w:tcPr>
          <w:p w:rsidR="00BA2385" w:rsidRPr="002C5B6F" w:rsidP="00026F9A" w14:paraId="70A349FF" w14:textId="77777777">
            <w:pPr>
              <w:rPr>
                <w:rFonts w:eastAsia="Times New Roman"/>
                <w:color w:val="000000"/>
              </w:rPr>
            </w:pPr>
            <w:r w:rsidRPr="002C5B6F">
              <w:rPr>
                <w:rFonts w:eastAsia="Times New Roman"/>
                <w:color w:val="000000"/>
              </w:rPr>
              <w:t>Number of covered irrigated farms</w:t>
            </w:r>
          </w:p>
        </w:tc>
        <w:tc>
          <w:tcPr>
            <w:tcW w:w="1440" w:type="dxa"/>
            <w:vAlign w:val="center"/>
          </w:tcPr>
          <w:p w:rsidR="00BA2385" w:rsidRPr="002C5B6F" w:rsidP="00026F9A" w14:paraId="435ABA44" w14:textId="12362AE3">
            <w:pPr>
              <w:jc w:val="center"/>
              <w:rPr>
                <w:rFonts w:eastAsia="Times New Roman"/>
                <w:color w:val="000000"/>
              </w:rPr>
            </w:pPr>
            <w:r w:rsidRPr="002C5B6F">
              <w:rPr>
                <w:rFonts w:eastAsia="Times New Roman"/>
                <w:color w:val="000000"/>
              </w:rPr>
              <w:t>22,025</w:t>
            </w:r>
          </w:p>
        </w:tc>
        <w:tc>
          <w:tcPr>
            <w:tcW w:w="1350" w:type="dxa"/>
            <w:vAlign w:val="center"/>
          </w:tcPr>
          <w:p w:rsidR="00BA2385" w:rsidRPr="002C5B6F" w:rsidP="00026F9A" w14:paraId="0AA89BA6" w14:textId="0AC539C0">
            <w:pPr>
              <w:jc w:val="center"/>
              <w:rPr>
                <w:rFonts w:eastAsia="Times New Roman"/>
                <w:color w:val="000000"/>
              </w:rPr>
            </w:pPr>
            <w:r w:rsidRPr="002C5B6F">
              <w:rPr>
                <w:rFonts w:eastAsia="Times New Roman"/>
                <w:color w:val="000000"/>
              </w:rPr>
              <w:t>4,572</w:t>
            </w:r>
          </w:p>
        </w:tc>
        <w:tc>
          <w:tcPr>
            <w:tcW w:w="1260" w:type="dxa"/>
            <w:vAlign w:val="center"/>
          </w:tcPr>
          <w:p w:rsidR="00BA2385" w:rsidRPr="002C5B6F" w:rsidP="00026F9A" w14:paraId="0167D3B9" w14:textId="39B1C5BB">
            <w:pPr>
              <w:jc w:val="center"/>
              <w:rPr>
                <w:rFonts w:eastAsia="Times New Roman"/>
                <w:color w:val="000000"/>
              </w:rPr>
            </w:pPr>
            <w:r w:rsidRPr="002C5B6F">
              <w:rPr>
                <w:rFonts w:eastAsia="Times New Roman"/>
                <w:color w:val="000000"/>
              </w:rPr>
              <w:t>9,966</w:t>
            </w:r>
          </w:p>
        </w:tc>
        <w:tc>
          <w:tcPr>
            <w:tcW w:w="1075" w:type="dxa"/>
            <w:vAlign w:val="bottom"/>
          </w:tcPr>
          <w:p w:rsidR="00BA2385" w:rsidRPr="002C5B6F" w:rsidP="00026F9A" w14:paraId="07321E54" w14:textId="1144808B">
            <w:pPr>
              <w:jc w:val="center"/>
              <w:rPr>
                <w:rFonts w:eastAsia="Times New Roman"/>
                <w:color w:val="000000"/>
              </w:rPr>
            </w:pPr>
            <w:r w:rsidRPr="002C5B6F">
              <w:rPr>
                <w:rFonts w:eastAsia="Times New Roman"/>
                <w:color w:val="000000"/>
              </w:rPr>
              <w:t>36,563</w:t>
            </w:r>
          </w:p>
        </w:tc>
      </w:tr>
      <w:tr w14:paraId="0DFBACE2" w14:textId="77777777">
        <w:tblPrEx>
          <w:tblW w:w="0" w:type="auto"/>
          <w:tblLook w:val="04A0"/>
        </w:tblPrEx>
        <w:tc>
          <w:tcPr>
            <w:tcW w:w="4225" w:type="dxa"/>
            <w:vAlign w:val="bottom"/>
          </w:tcPr>
          <w:p w:rsidR="00EF0EC0" w:rsidRPr="002C5B6F" w:rsidP="00026F9A" w14:paraId="3A4DFC41" w14:textId="77777777">
            <w:pPr>
              <w:rPr>
                <w:rFonts w:eastAsia="Times New Roman"/>
                <w:color w:val="000000"/>
              </w:rPr>
            </w:pPr>
            <w:r w:rsidRPr="002C5B6F">
              <w:rPr>
                <w:rFonts w:eastAsia="Times New Roman"/>
                <w:color w:val="000000"/>
              </w:rPr>
              <w:t>Percentage of covered farms that use untreated surface or ground water that contacts produce</w:t>
            </w:r>
          </w:p>
        </w:tc>
        <w:tc>
          <w:tcPr>
            <w:tcW w:w="1440" w:type="dxa"/>
            <w:vAlign w:val="center"/>
          </w:tcPr>
          <w:p w:rsidR="00EF0EC0" w:rsidRPr="002C5B6F" w:rsidP="00026F9A" w14:paraId="5CD30EF5" w14:textId="77777777">
            <w:pPr>
              <w:jc w:val="center"/>
              <w:rPr>
                <w:rFonts w:eastAsia="Times New Roman"/>
                <w:color w:val="000000"/>
              </w:rPr>
            </w:pPr>
            <w:r w:rsidRPr="002C5B6F">
              <w:rPr>
                <w:rFonts w:eastAsia="Times New Roman"/>
                <w:color w:val="000000"/>
              </w:rPr>
              <w:t>45.00%</w:t>
            </w:r>
          </w:p>
        </w:tc>
        <w:tc>
          <w:tcPr>
            <w:tcW w:w="1350" w:type="dxa"/>
            <w:vAlign w:val="center"/>
          </w:tcPr>
          <w:p w:rsidR="00EF0EC0" w:rsidRPr="002C5B6F" w:rsidP="00026F9A" w14:paraId="27F1BE26" w14:textId="77777777">
            <w:pPr>
              <w:jc w:val="center"/>
              <w:rPr>
                <w:rFonts w:eastAsia="Times New Roman"/>
                <w:color w:val="000000"/>
              </w:rPr>
            </w:pPr>
            <w:r w:rsidRPr="002C5B6F">
              <w:rPr>
                <w:rFonts w:eastAsia="Times New Roman"/>
                <w:color w:val="000000"/>
              </w:rPr>
              <w:t>45.00%</w:t>
            </w:r>
          </w:p>
        </w:tc>
        <w:tc>
          <w:tcPr>
            <w:tcW w:w="1260" w:type="dxa"/>
            <w:vAlign w:val="center"/>
          </w:tcPr>
          <w:p w:rsidR="00EF0EC0" w:rsidRPr="002C5B6F" w:rsidP="00026F9A" w14:paraId="001875ED" w14:textId="77777777">
            <w:pPr>
              <w:jc w:val="center"/>
              <w:rPr>
                <w:rFonts w:eastAsia="Times New Roman"/>
                <w:color w:val="000000"/>
              </w:rPr>
            </w:pPr>
            <w:r w:rsidRPr="002C5B6F">
              <w:rPr>
                <w:rFonts w:eastAsia="Times New Roman"/>
                <w:color w:val="000000"/>
              </w:rPr>
              <w:t>54.10%</w:t>
            </w:r>
          </w:p>
        </w:tc>
        <w:tc>
          <w:tcPr>
            <w:tcW w:w="1075" w:type="dxa"/>
            <w:vAlign w:val="bottom"/>
          </w:tcPr>
          <w:p w:rsidR="00EF0EC0" w:rsidRPr="002C5B6F" w:rsidP="00026F9A" w14:paraId="4570A877" w14:textId="046539EE">
            <w:pPr>
              <w:jc w:val="center"/>
              <w:rPr>
                <w:rFonts w:eastAsia="Times New Roman"/>
                <w:color w:val="000000"/>
              </w:rPr>
            </w:pPr>
          </w:p>
        </w:tc>
      </w:tr>
      <w:tr w14:paraId="182E04F9" w14:textId="77777777">
        <w:tblPrEx>
          <w:tblW w:w="0" w:type="auto"/>
          <w:tblLook w:val="04A0"/>
        </w:tblPrEx>
        <w:tc>
          <w:tcPr>
            <w:tcW w:w="4225" w:type="dxa"/>
            <w:vAlign w:val="bottom"/>
          </w:tcPr>
          <w:p w:rsidR="00EF0EC0" w:rsidRPr="002C5B6F" w:rsidP="00026F9A" w14:paraId="0B241E71" w14:textId="77777777">
            <w:pPr>
              <w:rPr>
                <w:rFonts w:eastAsia="Times New Roman"/>
                <w:color w:val="000000"/>
              </w:rPr>
            </w:pPr>
            <w:r w:rsidRPr="002C5B6F">
              <w:rPr>
                <w:rFonts w:eastAsia="Times New Roman"/>
                <w:color w:val="000000"/>
              </w:rPr>
              <w:t>Percentage of covered farms that use untreated surface or ground water that contacts produce that use ground water</w:t>
            </w:r>
          </w:p>
        </w:tc>
        <w:tc>
          <w:tcPr>
            <w:tcW w:w="1440" w:type="dxa"/>
            <w:vAlign w:val="center"/>
          </w:tcPr>
          <w:p w:rsidR="00EF0EC0" w:rsidRPr="002C5B6F" w:rsidP="00026F9A" w14:paraId="03B07B58" w14:textId="77777777">
            <w:pPr>
              <w:jc w:val="center"/>
              <w:rPr>
                <w:rFonts w:eastAsia="Times New Roman"/>
                <w:color w:val="000000"/>
              </w:rPr>
            </w:pPr>
            <w:r w:rsidRPr="002C5B6F">
              <w:rPr>
                <w:rFonts w:eastAsia="Times New Roman"/>
                <w:color w:val="000000"/>
              </w:rPr>
              <w:t>68.10%</w:t>
            </w:r>
          </w:p>
        </w:tc>
        <w:tc>
          <w:tcPr>
            <w:tcW w:w="1350" w:type="dxa"/>
            <w:vAlign w:val="center"/>
          </w:tcPr>
          <w:p w:rsidR="00EF0EC0" w:rsidRPr="002C5B6F" w:rsidP="00026F9A" w14:paraId="24788B7A" w14:textId="77777777">
            <w:pPr>
              <w:jc w:val="center"/>
              <w:rPr>
                <w:rFonts w:eastAsia="Times New Roman"/>
                <w:color w:val="000000"/>
              </w:rPr>
            </w:pPr>
            <w:r w:rsidRPr="002C5B6F">
              <w:rPr>
                <w:rFonts w:eastAsia="Times New Roman"/>
                <w:color w:val="000000"/>
              </w:rPr>
              <w:t>68.10%</w:t>
            </w:r>
          </w:p>
        </w:tc>
        <w:tc>
          <w:tcPr>
            <w:tcW w:w="1260" w:type="dxa"/>
            <w:vAlign w:val="center"/>
          </w:tcPr>
          <w:p w:rsidR="00EF0EC0" w:rsidRPr="002C5B6F" w:rsidP="00026F9A" w14:paraId="3F8B9D1D" w14:textId="77777777">
            <w:pPr>
              <w:jc w:val="center"/>
              <w:rPr>
                <w:rFonts w:eastAsia="Times New Roman"/>
                <w:color w:val="000000"/>
              </w:rPr>
            </w:pPr>
            <w:r w:rsidRPr="002C5B6F">
              <w:rPr>
                <w:rFonts w:eastAsia="Times New Roman"/>
                <w:color w:val="000000"/>
              </w:rPr>
              <w:t>68.10%</w:t>
            </w:r>
          </w:p>
        </w:tc>
        <w:tc>
          <w:tcPr>
            <w:tcW w:w="1075" w:type="dxa"/>
            <w:vAlign w:val="bottom"/>
          </w:tcPr>
          <w:p w:rsidR="00EF0EC0" w:rsidRPr="002C5B6F" w:rsidP="00026F9A" w14:paraId="6A173A8C" w14:textId="3A6C1782">
            <w:pPr>
              <w:jc w:val="center"/>
              <w:rPr>
                <w:rFonts w:eastAsia="Times New Roman"/>
                <w:color w:val="000000"/>
              </w:rPr>
            </w:pPr>
          </w:p>
        </w:tc>
      </w:tr>
      <w:tr w14:paraId="0F7E3E21" w14:textId="77777777">
        <w:tblPrEx>
          <w:tblW w:w="0" w:type="auto"/>
          <w:tblLook w:val="04A0"/>
        </w:tblPrEx>
        <w:tc>
          <w:tcPr>
            <w:tcW w:w="4225" w:type="dxa"/>
            <w:vAlign w:val="bottom"/>
          </w:tcPr>
          <w:p w:rsidR="00EF0EC0" w:rsidRPr="002C5B6F" w:rsidP="00026F9A" w14:paraId="38817E74" w14:textId="77777777">
            <w:pPr>
              <w:rPr>
                <w:rFonts w:eastAsia="Times New Roman"/>
                <w:color w:val="000000"/>
              </w:rPr>
            </w:pPr>
            <w:r w:rsidRPr="002C5B6F">
              <w:rPr>
                <w:rFonts w:eastAsia="Times New Roman"/>
                <w:color w:val="000000"/>
              </w:rPr>
              <w:t>Number of farms that must perform baseline survey</w:t>
            </w:r>
          </w:p>
        </w:tc>
        <w:tc>
          <w:tcPr>
            <w:tcW w:w="1440" w:type="dxa"/>
            <w:vAlign w:val="bottom"/>
          </w:tcPr>
          <w:p w:rsidR="00EF0EC0" w:rsidRPr="002C5B6F" w:rsidP="00026F9A" w14:paraId="5ADCF23E" w14:textId="7AC6A488">
            <w:pPr>
              <w:jc w:val="center"/>
              <w:rPr>
                <w:rFonts w:eastAsia="Times New Roman"/>
                <w:color w:val="000000"/>
              </w:rPr>
            </w:pPr>
            <w:r w:rsidRPr="002C5B6F">
              <w:rPr>
                <w:rFonts w:eastAsia="Times New Roman"/>
                <w:color w:val="000000"/>
              </w:rPr>
              <w:t>6,750</w:t>
            </w:r>
          </w:p>
        </w:tc>
        <w:tc>
          <w:tcPr>
            <w:tcW w:w="1350" w:type="dxa"/>
            <w:vAlign w:val="bottom"/>
          </w:tcPr>
          <w:p w:rsidR="00EF0EC0" w:rsidRPr="002C5B6F" w:rsidP="00026F9A" w14:paraId="69462703" w14:textId="30620440">
            <w:pPr>
              <w:jc w:val="center"/>
              <w:rPr>
                <w:rFonts w:eastAsia="Times New Roman"/>
                <w:color w:val="000000"/>
              </w:rPr>
            </w:pPr>
            <w:r w:rsidRPr="002C5B6F">
              <w:rPr>
                <w:rFonts w:eastAsia="Times New Roman"/>
                <w:color w:val="000000"/>
              </w:rPr>
              <w:t>1,</w:t>
            </w:r>
            <w:r w:rsidRPr="002C5B6F" w:rsidR="00BA2385">
              <w:rPr>
                <w:rFonts w:eastAsia="Times New Roman"/>
                <w:color w:val="000000"/>
              </w:rPr>
              <w:t>401</w:t>
            </w:r>
          </w:p>
        </w:tc>
        <w:tc>
          <w:tcPr>
            <w:tcW w:w="1260" w:type="dxa"/>
            <w:vAlign w:val="bottom"/>
          </w:tcPr>
          <w:p w:rsidR="00EF0EC0" w:rsidRPr="002C5B6F" w:rsidP="00026F9A" w14:paraId="43538CE9" w14:textId="4C267BC5">
            <w:pPr>
              <w:jc w:val="center"/>
              <w:rPr>
                <w:rFonts w:eastAsia="Times New Roman"/>
                <w:color w:val="000000"/>
              </w:rPr>
            </w:pPr>
            <w:r w:rsidRPr="002C5B6F">
              <w:rPr>
                <w:rFonts w:eastAsia="Times New Roman"/>
                <w:color w:val="000000"/>
              </w:rPr>
              <w:t>3,672</w:t>
            </w:r>
          </w:p>
        </w:tc>
        <w:tc>
          <w:tcPr>
            <w:tcW w:w="1075" w:type="dxa"/>
            <w:vAlign w:val="bottom"/>
          </w:tcPr>
          <w:p w:rsidR="00EF0EC0" w:rsidRPr="002C5B6F" w:rsidP="00026F9A" w14:paraId="775192EB" w14:textId="5C9861D3">
            <w:pPr>
              <w:jc w:val="center"/>
              <w:rPr>
                <w:rFonts w:eastAsia="Times New Roman"/>
                <w:color w:val="000000"/>
              </w:rPr>
            </w:pPr>
            <w:r w:rsidRPr="002C5B6F">
              <w:rPr>
                <w:rFonts w:eastAsia="Times New Roman"/>
                <w:color w:val="000000"/>
              </w:rPr>
              <w:t>11,82</w:t>
            </w:r>
            <w:r w:rsidRPr="002C5B6F" w:rsidR="002C5B6F">
              <w:rPr>
                <w:rFonts w:eastAsia="Times New Roman"/>
                <w:color w:val="000000"/>
              </w:rPr>
              <w:t>3</w:t>
            </w:r>
          </w:p>
        </w:tc>
      </w:tr>
      <w:tr w14:paraId="24799B68" w14:textId="77777777">
        <w:tblPrEx>
          <w:tblW w:w="0" w:type="auto"/>
          <w:tblLook w:val="04A0"/>
        </w:tblPrEx>
        <w:tc>
          <w:tcPr>
            <w:tcW w:w="4225" w:type="dxa"/>
            <w:vAlign w:val="bottom"/>
          </w:tcPr>
          <w:p w:rsidR="00EF0EC0" w:rsidRPr="002C5B6F" w:rsidP="00026F9A" w14:paraId="79223C18" w14:textId="77777777">
            <w:pPr>
              <w:rPr>
                <w:rFonts w:eastAsia="Times New Roman"/>
                <w:color w:val="000000"/>
              </w:rPr>
            </w:pPr>
            <w:r w:rsidRPr="002C5B6F">
              <w:rPr>
                <w:rFonts w:eastAsia="Times New Roman"/>
                <w:color w:val="000000"/>
              </w:rPr>
              <w:t>Cost of collecting sample</w:t>
            </w:r>
          </w:p>
        </w:tc>
        <w:tc>
          <w:tcPr>
            <w:tcW w:w="1440" w:type="dxa"/>
            <w:vAlign w:val="bottom"/>
          </w:tcPr>
          <w:p w:rsidR="00EF0EC0" w:rsidRPr="002C5B6F" w:rsidP="00026F9A" w14:paraId="31686931" w14:textId="0871F45C">
            <w:pPr>
              <w:jc w:val="center"/>
              <w:rPr>
                <w:rFonts w:eastAsia="Times New Roman"/>
                <w:color w:val="000000"/>
              </w:rPr>
            </w:pPr>
            <w:r w:rsidRPr="002C5B6F">
              <w:rPr>
                <w:rFonts w:eastAsia="Times New Roman"/>
                <w:color w:val="000000"/>
              </w:rPr>
              <w:t>$1</w:t>
            </w:r>
            <w:r w:rsidR="00E7401B">
              <w:rPr>
                <w:rFonts w:eastAsia="Times New Roman"/>
                <w:color w:val="000000"/>
              </w:rPr>
              <w:t>37</w:t>
            </w:r>
          </w:p>
        </w:tc>
        <w:tc>
          <w:tcPr>
            <w:tcW w:w="1350" w:type="dxa"/>
            <w:vAlign w:val="bottom"/>
          </w:tcPr>
          <w:p w:rsidR="00EF0EC0" w:rsidRPr="002C5B6F" w:rsidP="00026F9A" w14:paraId="0D985C0A" w14:textId="2E940318">
            <w:pPr>
              <w:jc w:val="center"/>
              <w:rPr>
                <w:rFonts w:eastAsia="Times New Roman"/>
                <w:color w:val="000000"/>
              </w:rPr>
            </w:pPr>
            <w:r w:rsidRPr="002C5B6F">
              <w:rPr>
                <w:rFonts w:eastAsia="Times New Roman"/>
                <w:color w:val="000000"/>
              </w:rPr>
              <w:t>$1</w:t>
            </w:r>
            <w:r w:rsidR="00E7401B">
              <w:rPr>
                <w:rFonts w:eastAsia="Times New Roman"/>
                <w:color w:val="000000"/>
              </w:rPr>
              <w:t>37</w:t>
            </w:r>
          </w:p>
        </w:tc>
        <w:tc>
          <w:tcPr>
            <w:tcW w:w="1260" w:type="dxa"/>
            <w:vAlign w:val="bottom"/>
          </w:tcPr>
          <w:p w:rsidR="00EF0EC0" w:rsidRPr="002C5B6F" w:rsidP="00026F9A" w14:paraId="290F99F1" w14:textId="736CE789">
            <w:pPr>
              <w:jc w:val="center"/>
              <w:rPr>
                <w:rFonts w:eastAsia="Times New Roman"/>
                <w:color w:val="000000"/>
              </w:rPr>
            </w:pPr>
            <w:r w:rsidRPr="002C5B6F">
              <w:rPr>
                <w:rFonts w:eastAsia="Times New Roman"/>
                <w:color w:val="000000"/>
              </w:rPr>
              <w:t>$1</w:t>
            </w:r>
            <w:r w:rsidR="00E7401B">
              <w:rPr>
                <w:rFonts w:eastAsia="Times New Roman"/>
                <w:color w:val="000000"/>
              </w:rPr>
              <w:t>37</w:t>
            </w:r>
          </w:p>
        </w:tc>
        <w:tc>
          <w:tcPr>
            <w:tcW w:w="1075" w:type="dxa"/>
            <w:vAlign w:val="bottom"/>
          </w:tcPr>
          <w:p w:rsidR="00EF0EC0" w:rsidRPr="002C5B6F" w:rsidP="00026F9A" w14:paraId="56916FC4" w14:textId="5FD1CCDD">
            <w:pPr>
              <w:jc w:val="center"/>
              <w:rPr>
                <w:rFonts w:eastAsia="Times New Roman"/>
                <w:color w:val="000000"/>
              </w:rPr>
            </w:pPr>
          </w:p>
        </w:tc>
      </w:tr>
      <w:tr w14:paraId="12CF84FD" w14:textId="77777777">
        <w:tblPrEx>
          <w:tblW w:w="0" w:type="auto"/>
          <w:tblLook w:val="04A0"/>
        </w:tblPrEx>
        <w:tc>
          <w:tcPr>
            <w:tcW w:w="4225" w:type="dxa"/>
            <w:vAlign w:val="bottom"/>
          </w:tcPr>
          <w:p w:rsidR="00EF0EC0" w:rsidRPr="002C5B6F" w:rsidP="00026F9A" w14:paraId="684B9927" w14:textId="77777777">
            <w:pPr>
              <w:rPr>
                <w:rFonts w:eastAsia="Times New Roman"/>
                <w:color w:val="000000"/>
              </w:rPr>
            </w:pPr>
            <w:r w:rsidRPr="002C5B6F">
              <w:rPr>
                <w:rFonts w:eastAsia="Times New Roman"/>
                <w:color w:val="000000"/>
              </w:rPr>
              <w:t>Baseline testing frequency</w:t>
            </w:r>
          </w:p>
        </w:tc>
        <w:tc>
          <w:tcPr>
            <w:tcW w:w="1440" w:type="dxa"/>
            <w:vAlign w:val="bottom"/>
          </w:tcPr>
          <w:p w:rsidR="00EF0EC0" w:rsidRPr="002C5B6F" w:rsidP="00026F9A" w14:paraId="373F6C19" w14:textId="77777777">
            <w:pPr>
              <w:jc w:val="center"/>
              <w:rPr>
                <w:rFonts w:eastAsia="Times New Roman"/>
                <w:color w:val="000000"/>
              </w:rPr>
            </w:pPr>
            <w:r w:rsidRPr="002C5B6F">
              <w:rPr>
                <w:rFonts w:eastAsia="Times New Roman"/>
                <w:color w:val="000000"/>
              </w:rPr>
              <w:t>4</w:t>
            </w:r>
          </w:p>
        </w:tc>
        <w:tc>
          <w:tcPr>
            <w:tcW w:w="1350" w:type="dxa"/>
            <w:vAlign w:val="bottom"/>
          </w:tcPr>
          <w:p w:rsidR="00EF0EC0" w:rsidRPr="002C5B6F" w:rsidP="00026F9A" w14:paraId="1722C963" w14:textId="77777777">
            <w:pPr>
              <w:jc w:val="center"/>
              <w:rPr>
                <w:rFonts w:eastAsia="Times New Roman"/>
                <w:color w:val="000000"/>
              </w:rPr>
            </w:pPr>
            <w:r w:rsidRPr="002C5B6F">
              <w:rPr>
                <w:rFonts w:eastAsia="Times New Roman"/>
                <w:color w:val="000000"/>
              </w:rPr>
              <w:t>4</w:t>
            </w:r>
          </w:p>
        </w:tc>
        <w:tc>
          <w:tcPr>
            <w:tcW w:w="1260" w:type="dxa"/>
            <w:vAlign w:val="bottom"/>
          </w:tcPr>
          <w:p w:rsidR="00EF0EC0" w:rsidRPr="002C5B6F" w:rsidP="00026F9A" w14:paraId="2C948753" w14:textId="77777777">
            <w:pPr>
              <w:jc w:val="center"/>
              <w:rPr>
                <w:rFonts w:eastAsia="Times New Roman"/>
                <w:color w:val="000000"/>
              </w:rPr>
            </w:pPr>
            <w:r w:rsidRPr="002C5B6F">
              <w:rPr>
                <w:rFonts w:eastAsia="Times New Roman"/>
                <w:color w:val="000000"/>
              </w:rPr>
              <w:t>4</w:t>
            </w:r>
          </w:p>
        </w:tc>
        <w:tc>
          <w:tcPr>
            <w:tcW w:w="1075" w:type="dxa"/>
            <w:vAlign w:val="bottom"/>
          </w:tcPr>
          <w:p w:rsidR="00EF0EC0" w:rsidRPr="002C5B6F" w:rsidP="00026F9A" w14:paraId="59184302" w14:textId="0EAD14A7">
            <w:pPr>
              <w:jc w:val="center"/>
              <w:rPr>
                <w:rFonts w:eastAsia="Times New Roman"/>
                <w:color w:val="000000"/>
              </w:rPr>
            </w:pPr>
          </w:p>
        </w:tc>
      </w:tr>
      <w:tr w14:paraId="67BDD496" w14:textId="77777777">
        <w:tblPrEx>
          <w:tblW w:w="0" w:type="auto"/>
          <w:tblLook w:val="04A0"/>
        </w:tblPrEx>
        <w:tc>
          <w:tcPr>
            <w:tcW w:w="4225" w:type="dxa"/>
            <w:vAlign w:val="bottom"/>
          </w:tcPr>
          <w:p w:rsidR="00EF0EC0" w:rsidRPr="002C5B6F" w:rsidP="00026F9A" w14:paraId="3E2D888B" w14:textId="77777777">
            <w:pPr>
              <w:rPr>
                <w:rFonts w:eastAsia="Times New Roman"/>
                <w:color w:val="000000"/>
              </w:rPr>
            </w:pPr>
            <w:r w:rsidRPr="002C5B6F">
              <w:rPr>
                <w:rFonts w:eastAsia="Times New Roman"/>
                <w:color w:val="000000"/>
              </w:rPr>
              <w:t>Annual testing frequency</w:t>
            </w:r>
          </w:p>
        </w:tc>
        <w:tc>
          <w:tcPr>
            <w:tcW w:w="1440" w:type="dxa"/>
            <w:vAlign w:val="bottom"/>
          </w:tcPr>
          <w:p w:rsidR="00EF0EC0" w:rsidRPr="002C5B6F" w:rsidP="00026F9A" w14:paraId="73DC23E5" w14:textId="77777777">
            <w:pPr>
              <w:jc w:val="center"/>
              <w:rPr>
                <w:rFonts w:eastAsia="Times New Roman"/>
                <w:color w:val="000000"/>
              </w:rPr>
            </w:pPr>
            <w:r w:rsidRPr="002C5B6F">
              <w:rPr>
                <w:rFonts w:eastAsia="Times New Roman"/>
                <w:color w:val="000000"/>
              </w:rPr>
              <w:t>1</w:t>
            </w:r>
          </w:p>
        </w:tc>
        <w:tc>
          <w:tcPr>
            <w:tcW w:w="1350" w:type="dxa"/>
            <w:vAlign w:val="bottom"/>
          </w:tcPr>
          <w:p w:rsidR="00EF0EC0" w:rsidRPr="002C5B6F" w:rsidP="00026F9A" w14:paraId="5F59FB81" w14:textId="77777777">
            <w:pPr>
              <w:jc w:val="center"/>
              <w:rPr>
                <w:rFonts w:eastAsia="Times New Roman"/>
                <w:color w:val="000000"/>
              </w:rPr>
            </w:pPr>
            <w:r w:rsidRPr="002C5B6F">
              <w:rPr>
                <w:rFonts w:eastAsia="Times New Roman"/>
                <w:color w:val="000000"/>
              </w:rPr>
              <w:t>1</w:t>
            </w:r>
          </w:p>
        </w:tc>
        <w:tc>
          <w:tcPr>
            <w:tcW w:w="1260" w:type="dxa"/>
            <w:vAlign w:val="bottom"/>
          </w:tcPr>
          <w:p w:rsidR="00EF0EC0" w:rsidRPr="002C5B6F" w:rsidP="00026F9A" w14:paraId="1A1272AF" w14:textId="77777777">
            <w:pPr>
              <w:jc w:val="center"/>
              <w:rPr>
                <w:rFonts w:eastAsia="Times New Roman"/>
                <w:color w:val="000000"/>
              </w:rPr>
            </w:pPr>
            <w:r w:rsidRPr="002C5B6F">
              <w:rPr>
                <w:rFonts w:eastAsia="Times New Roman"/>
                <w:color w:val="000000"/>
              </w:rPr>
              <w:t>1</w:t>
            </w:r>
          </w:p>
        </w:tc>
        <w:tc>
          <w:tcPr>
            <w:tcW w:w="1075" w:type="dxa"/>
            <w:vAlign w:val="bottom"/>
          </w:tcPr>
          <w:p w:rsidR="00EF0EC0" w:rsidRPr="002C5B6F" w:rsidP="00026F9A" w14:paraId="50C66FDA" w14:textId="20FE0065">
            <w:pPr>
              <w:jc w:val="center"/>
              <w:rPr>
                <w:rFonts w:eastAsia="Times New Roman"/>
                <w:color w:val="000000"/>
              </w:rPr>
            </w:pPr>
          </w:p>
        </w:tc>
      </w:tr>
      <w:tr w14:paraId="4969A41D" w14:textId="77777777">
        <w:tblPrEx>
          <w:tblW w:w="0" w:type="auto"/>
          <w:tblLook w:val="04A0"/>
        </w:tblPrEx>
        <w:tc>
          <w:tcPr>
            <w:tcW w:w="4225" w:type="dxa"/>
            <w:vAlign w:val="bottom"/>
          </w:tcPr>
          <w:p w:rsidR="00EF0EC0" w:rsidRPr="002C5B6F" w:rsidP="00026F9A" w14:paraId="789168E3" w14:textId="77777777">
            <w:pPr>
              <w:rPr>
                <w:rFonts w:eastAsia="Times New Roman"/>
                <w:color w:val="000000"/>
              </w:rPr>
            </w:pPr>
            <w:r w:rsidRPr="002C5B6F">
              <w:rPr>
                <w:rFonts w:eastAsia="Times New Roman"/>
                <w:color w:val="000000"/>
              </w:rPr>
              <w:t>Baseline testing cost per source</w:t>
            </w:r>
          </w:p>
        </w:tc>
        <w:tc>
          <w:tcPr>
            <w:tcW w:w="1440" w:type="dxa"/>
            <w:vAlign w:val="bottom"/>
          </w:tcPr>
          <w:p w:rsidR="00EF0EC0" w:rsidRPr="002C5B6F" w:rsidP="00026F9A" w14:paraId="7D71C9F7" w14:textId="33FB72AC">
            <w:pPr>
              <w:jc w:val="center"/>
              <w:rPr>
                <w:rFonts w:eastAsia="Times New Roman"/>
                <w:color w:val="000000"/>
              </w:rPr>
            </w:pPr>
            <w:r w:rsidRPr="002C5B6F">
              <w:rPr>
                <w:rFonts w:eastAsia="Times New Roman"/>
                <w:color w:val="000000"/>
              </w:rPr>
              <w:t>$</w:t>
            </w:r>
            <w:r w:rsidRPr="002C5B6F" w:rsidR="002C5B6F">
              <w:rPr>
                <w:rFonts w:eastAsia="Times New Roman"/>
                <w:color w:val="000000"/>
              </w:rPr>
              <w:t>5</w:t>
            </w:r>
            <w:r w:rsidR="00BE4DC2">
              <w:rPr>
                <w:rFonts w:eastAsia="Times New Roman"/>
                <w:color w:val="000000"/>
              </w:rPr>
              <w:t>48</w:t>
            </w:r>
          </w:p>
        </w:tc>
        <w:tc>
          <w:tcPr>
            <w:tcW w:w="1350" w:type="dxa"/>
            <w:vAlign w:val="bottom"/>
          </w:tcPr>
          <w:p w:rsidR="00EF0EC0" w:rsidRPr="002C5B6F" w:rsidP="00026F9A" w14:paraId="115E1287" w14:textId="506B0CB8">
            <w:pPr>
              <w:jc w:val="center"/>
              <w:rPr>
                <w:rFonts w:eastAsia="Times New Roman"/>
                <w:color w:val="000000"/>
              </w:rPr>
            </w:pPr>
            <w:r w:rsidRPr="002C5B6F">
              <w:rPr>
                <w:rFonts w:eastAsia="Times New Roman"/>
                <w:color w:val="000000"/>
              </w:rPr>
              <w:t>$</w:t>
            </w:r>
            <w:r w:rsidRPr="002C5B6F" w:rsidR="002C5B6F">
              <w:rPr>
                <w:rFonts w:eastAsia="Times New Roman"/>
                <w:color w:val="000000"/>
              </w:rPr>
              <w:t>5</w:t>
            </w:r>
            <w:r w:rsidR="00BE4DC2">
              <w:rPr>
                <w:rFonts w:eastAsia="Times New Roman"/>
                <w:color w:val="000000"/>
              </w:rPr>
              <w:t>48</w:t>
            </w:r>
          </w:p>
        </w:tc>
        <w:tc>
          <w:tcPr>
            <w:tcW w:w="1260" w:type="dxa"/>
            <w:vAlign w:val="bottom"/>
          </w:tcPr>
          <w:p w:rsidR="00EF0EC0" w:rsidRPr="002C5B6F" w:rsidP="00026F9A" w14:paraId="60F97A04" w14:textId="35D3DFB0">
            <w:pPr>
              <w:jc w:val="center"/>
              <w:rPr>
                <w:rFonts w:eastAsia="Times New Roman"/>
                <w:color w:val="000000"/>
              </w:rPr>
            </w:pPr>
            <w:r w:rsidRPr="002C5B6F">
              <w:rPr>
                <w:rFonts w:eastAsia="Times New Roman"/>
                <w:color w:val="000000"/>
              </w:rPr>
              <w:t>$</w:t>
            </w:r>
            <w:r w:rsidRPr="002C5B6F" w:rsidR="002C5B6F">
              <w:rPr>
                <w:rFonts w:eastAsia="Times New Roman"/>
                <w:color w:val="000000"/>
              </w:rPr>
              <w:t>5</w:t>
            </w:r>
            <w:r w:rsidR="00BE4DC2">
              <w:rPr>
                <w:rFonts w:eastAsia="Times New Roman"/>
                <w:color w:val="000000"/>
              </w:rPr>
              <w:t>48</w:t>
            </w:r>
          </w:p>
        </w:tc>
        <w:tc>
          <w:tcPr>
            <w:tcW w:w="1075" w:type="dxa"/>
            <w:vAlign w:val="bottom"/>
          </w:tcPr>
          <w:p w:rsidR="00EF0EC0" w:rsidRPr="002C5B6F" w:rsidP="00026F9A" w14:paraId="5DCAD566" w14:textId="56EAEAF9">
            <w:pPr>
              <w:jc w:val="center"/>
              <w:rPr>
                <w:rFonts w:eastAsia="Times New Roman"/>
                <w:color w:val="000000"/>
              </w:rPr>
            </w:pPr>
          </w:p>
        </w:tc>
      </w:tr>
      <w:tr w14:paraId="42B1761E" w14:textId="77777777">
        <w:tblPrEx>
          <w:tblW w:w="0" w:type="auto"/>
          <w:tblLook w:val="04A0"/>
        </w:tblPrEx>
        <w:tc>
          <w:tcPr>
            <w:tcW w:w="4225" w:type="dxa"/>
            <w:vAlign w:val="bottom"/>
          </w:tcPr>
          <w:p w:rsidR="00EF0EC0" w:rsidRPr="002C5B6F" w:rsidP="00026F9A" w14:paraId="74C9C240" w14:textId="77777777">
            <w:pPr>
              <w:rPr>
                <w:rFonts w:eastAsia="Times New Roman"/>
                <w:color w:val="000000"/>
              </w:rPr>
            </w:pPr>
            <w:r w:rsidRPr="002C5B6F">
              <w:rPr>
                <w:rFonts w:eastAsia="Times New Roman"/>
                <w:color w:val="000000"/>
              </w:rPr>
              <w:t>Annual testing cost per source</w:t>
            </w:r>
          </w:p>
        </w:tc>
        <w:tc>
          <w:tcPr>
            <w:tcW w:w="1440" w:type="dxa"/>
            <w:vAlign w:val="bottom"/>
          </w:tcPr>
          <w:p w:rsidR="00EF0EC0" w:rsidRPr="002C5B6F" w:rsidP="00026F9A" w14:paraId="7B2E09A8" w14:textId="58484DB5">
            <w:pPr>
              <w:jc w:val="center"/>
              <w:rPr>
                <w:rFonts w:eastAsia="Times New Roman"/>
                <w:color w:val="000000"/>
              </w:rPr>
            </w:pPr>
            <w:r w:rsidRPr="002C5B6F">
              <w:rPr>
                <w:rFonts w:eastAsia="Times New Roman"/>
                <w:color w:val="000000"/>
              </w:rPr>
              <w:t>$1</w:t>
            </w:r>
            <w:r w:rsidR="00BE4DC2">
              <w:rPr>
                <w:rFonts w:eastAsia="Times New Roman"/>
                <w:color w:val="000000"/>
              </w:rPr>
              <w:t>37</w:t>
            </w:r>
          </w:p>
        </w:tc>
        <w:tc>
          <w:tcPr>
            <w:tcW w:w="1350" w:type="dxa"/>
            <w:vAlign w:val="bottom"/>
          </w:tcPr>
          <w:p w:rsidR="00EF0EC0" w:rsidRPr="002C5B6F" w:rsidP="00026F9A" w14:paraId="30356E57" w14:textId="103BD4DB">
            <w:pPr>
              <w:jc w:val="center"/>
              <w:rPr>
                <w:rFonts w:eastAsia="Times New Roman"/>
                <w:color w:val="000000"/>
              </w:rPr>
            </w:pPr>
            <w:r w:rsidRPr="002C5B6F">
              <w:rPr>
                <w:rFonts w:eastAsia="Times New Roman"/>
                <w:color w:val="000000"/>
              </w:rPr>
              <w:t>$1</w:t>
            </w:r>
            <w:r w:rsidR="00BE4DC2">
              <w:rPr>
                <w:rFonts w:eastAsia="Times New Roman"/>
                <w:color w:val="000000"/>
              </w:rPr>
              <w:t>37</w:t>
            </w:r>
          </w:p>
        </w:tc>
        <w:tc>
          <w:tcPr>
            <w:tcW w:w="1260" w:type="dxa"/>
            <w:vAlign w:val="bottom"/>
          </w:tcPr>
          <w:p w:rsidR="00EF0EC0" w:rsidRPr="002C5B6F" w:rsidP="00026F9A" w14:paraId="0CD6C046" w14:textId="515D40C1">
            <w:pPr>
              <w:jc w:val="center"/>
              <w:rPr>
                <w:rFonts w:eastAsia="Times New Roman"/>
                <w:color w:val="000000"/>
              </w:rPr>
            </w:pPr>
            <w:r w:rsidRPr="002C5B6F">
              <w:rPr>
                <w:rFonts w:eastAsia="Times New Roman"/>
                <w:color w:val="000000"/>
              </w:rPr>
              <w:t>$1</w:t>
            </w:r>
            <w:r w:rsidR="00BE4DC2">
              <w:rPr>
                <w:rFonts w:eastAsia="Times New Roman"/>
                <w:color w:val="000000"/>
              </w:rPr>
              <w:t>37</w:t>
            </w:r>
          </w:p>
        </w:tc>
        <w:tc>
          <w:tcPr>
            <w:tcW w:w="1075" w:type="dxa"/>
            <w:vAlign w:val="bottom"/>
          </w:tcPr>
          <w:p w:rsidR="00EF0EC0" w:rsidRPr="002C5B6F" w:rsidP="00026F9A" w14:paraId="259AE78B" w14:textId="150C08E7">
            <w:pPr>
              <w:jc w:val="center"/>
              <w:rPr>
                <w:rFonts w:eastAsia="Times New Roman"/>
                <w:color w:val="000000"/>
              </w:rPr>
            </w:pPr>
          </w:p>
        </w:tc>
      </w:tr>
    </w:tbl>
    <w:p w:rsidR="00EF0EC0" w:rsidRPr="002C5B6F" w:rsidP="00026F9A" w14:paraId="2D0D46B3" w14:textId="25552AB6">
      <w:pPr>
        <w:spacing w:line="480" w:lineRule="auto"/>
        <w:rPr>
          <w:rFonts w:eastAsia="Times New Roman"/>
          <w:sz w:val="20"/>
          <w:szCs w:val="20"/>
        </w:rPr>
      </w:pPr>
      <w:r w:rsidRPr="002C5B6F">
        <w:rPr>
          <w:rFonts w:eastAsia="Times New Roman"/>
          <w:sz w:val="20"/>
          <w:szCs w:val="20"/>
        </w:rPr>
        <w:t>*Numbers may not add due to rounding</w:t>
      </w:r>
    </w:p>
    <w:p w:rsidR="00EF0EC0" w:rsidRPr="001B1A30" w:rsidP="00026F9A" w14:paraId="3F372AFB" w14:textId="6FCE72D6">
      <w:pPr>
        <w:spacing w:line="480" w:lineRule="auto"/>
        <w:ind w:firstLine="720"/>
      </w:pPr>
      <w:r>
        <w:rPr>
          <w:rFonts w:eastAsia="Times New Roman"/>
        </w:rPr>
        <w:t xml:space="preserve">Many farms may have more than one source of ground water that they </w:t>
      </w:r>
      <w:r w:rsidR="00D43C00">
        <w:rPr>
          <w:rFonts w:eastAsia="Times New Roman"/>
        </w:rPr>
        <w:t xml:space="preserve">would have needed </w:t>
      </w:r>
      <w:r>
        <w:rPr>
          <w:rFonts w:eastAsia="Times New Roman"/>
        </w:rPr>
        <w:t xml:space="preserve">to test under the pre-harvest agricultural water provisions of the </w:t>
      </w:r>
      <w:r>
        <w:t xml:space="preserve">2015 </w:t>
      </w:r>
      <w:r w:rsidR="00AD4A5E">
        <w:t>produce safety final rule</w:t>
      </w:r>
      <w:r>
        <w:rPr>
          <w:rFonts w:eastAsia="Times New Roman"/>
        </w:rPr>
        <w:t xml:space="preserve">. In our survey of subject matter experts, we asked how many sources of ground water they thought farms of the specified sizes would need to test </w:t>
      </w:r>
      <w:r>
        <w:t xml:space="preserve">under </w:t>
      </w:r>
      <w:r w:rsidR="00AC27B1">
        <w:t>those</w:t>
      </w:r>
      <w:r w:rsidRPr="00084F59">
        <w:rPr>
          <w:rFonts w:eastAsia="Times New Roman"/>
        </w:rPr>
        <w:t xml:space="preserve"> requirements</w:t>
      </w:r>
      <w:r>
        <w:rPr>
          <w:rFonts w:eastAsia="Times New Roman"/>
        </w:rPr>
        <w:t xml:space="preserve">. Table 9 presents the median estimates of the subject matter experts. We use these low, most likely, and high estimates as parameters of a PERT distribution to estimate the costs of testing all necessary sources of ground water under the </w:t>
      </w:r>
      <w:r w:rsidRPr="00084F59">
        <w:rPr>
          <w:rFonts w:eastAsia="Times New Roman"/>
        </w:rPr>
        <w:t xml:space="preserve">pre-harvest agricultural water </w:t>
      </w:r>
      <w:r>
        <w:rPr>
          <w:rFonts w:eastAsia="Times New Roman"/>
        </w:rPr>
        <w:t>testing provisions</w:t>
      </w:r>
      <w:r w:rsidRPr="002C7CD0" w:rsidR="002C7CD0">
        <w:rPr>
          <w:rFonts w:eastAsia="Times New Roman"/>
        </w:rPr>
        <w:t xml:space="preserve"> </w:t>
      </w:r>
      <w:r w:rsidR="002C7CD0">
        <w:rPr>
          <w:rFonts w:eastAsia="Times New Roman"/>
        </w:rPr>
        <w:t xml:space="preserve">in the 2015 </w:t>
      </w:r>
      <w:r w:rsidR="00026B9D">
        <w:t>produce safety final rule</w:t>
      </w:r>
      <w:r>
        <w:rPr>
          <w:rFonts w:eastAsia="Times New Roman"/>
        </w:rPr>
        <w:t xml:space="preserve">; this method incorporates the uncertainty about the number of ground water sources farms would need to test. Table 10 presents our estimates of the costs of testing ground water under </w:t>
      </w:r>
      <w:r w:rsidR="002C7CD0">
        <w:rPr>
          <w:rFonts w:eastAsia="Times New Roman"/>
        </w:rPr>
        <w:t xml:space="preserve">those </w:t>
      </w:r>
      <w:r>
        <w:rPr>
          <w:rFonts w:eastAsia="Times New Roman"/>
        </w:rPr>
        <w:t xml:space="preserve">provisions by year. </w:t>
      </w:r>
      <w:r>
        <w:t xml:space="preserve">In year 0, provisions have not taken effect; in year 1, provisions have taken effect only for large farms; in year 2, provisions have taken effect for large farms and small farms; in years 3 and onward, provisions have taken effect for all farm sizes. </w:t>
      </w:r>
      <w:r>
        <w:rPr>
          <w:rFonts w:eastAsia="Times New Roman"/>
        </w:rPr>
        <w:t>Our primary estimate is $</w:t>
      </w:r>
      <w:r w:rsidR="00225754">
        <w:rPr>
          <w:rFonts w:eastAsia="Times New Roman"/>
        </w:rPr>
        <w:t>5.</w:t>
      </w:r>
      <w:r w:rsidR="002C0CCD">
        <w:rPr>
          <w:rFonts w:eastAsia="Times New Roman"/>
        </w:rPr>
        <w:t>7</w:t>
      </w:r>
      <w:r>
        <w:rPr>
          <w:rFonts w:eastAsia="Times New Roman"/>
        </w:rPr>
        <w:t xml:space="preserve"> million annualized at a 3% discount rate; at a 7% discount rate, this primary estimate is $</w:t>
      </w:r>
      <w:r w:rsidR="00225754">
        <w:rPr>
          <w:rFonts w:eastAsia="Times New Roman"/>
        </w:rPr>
        <w:t>5.</w:t>
      </w:r>
      <w:r w:rsidR="002C0CCD">
        <w:rPr>
          <w:rFonts w:eastAsia="Times New Roman"/>
        </w:rPr>
        <w:t>7</w:t>
      </w:r>
      <w:r>
        <w:rPr>
          <w:rFonts w:eastAsia="Times New Roman"/>
        </w:rPr>
        <w:t xml:space="preserve"> million annualized. </w:t>
      </w:r>
      <w:r>
        <w:t>We include 5th (“Low Estimate”) and 95th (“High Estimate”) percentile outcomes of the simulated burden as measures of uncertainty.</w:t>
      </w:r>
    </w:p>
    <w:p w:rsidR="00EF0EC0" w:rsidRPr="00A46B49" w:rsidP="00026F9A" w14:paraId="4278B0A1" w14:textId="74A078DE">
      <w:pPr>
        <w:rPr>
          <w:b/>
        </w:rPr>
      </w:pPr>
      <w:r w:rsidRPr="00F16FAC">
        <w:rPr>
          <w:b/>
        </w:rPr>
        <w:t xml:space="preserve">Table </w:t>
      </w:r>
      <w:r>
        <w:rPr>
          <w:b/>
        </w:rPr>
        <w:t>9</w:t>
      </w:r>
      <w:r w:rsidRPr="00412172">
        <w:rPr>
          <w:b/>
        </w:rPr>
        <w:t>:</w:t>
      </w:r>
      <w:r w:rsidRPr="00F16FAC">
        <w:rPr>
          <w:b/>
        </w:rPr>
        <w:t xml:space="preserve"> </w:t>
      </w:r>
      <w:r>
        <w:rPr>
          <w:b/>
        </w:rPr>
        <w:t xml:space="preserve">Number of Untreated Ground Water Sources </w:t>
      </w:r>
      <w:r w:rsidR="002C7CD0">
        <w:rPr>
          <w:b/>
        </w:rPr>
        <w:t xml:space="preserve">that Would Need to Be </w:t>
      </w:r>
      <w:r>
        <w:rPr>
          <w:b/>
        </w:rPr>
        <w:t>Test</w:t>
      </w:r>
      <w:r w:rsidR="002C7CD0">
        <w:rPr>
          <w:b/>
        </w:rPr>
        <w:t>ed</w:t>
      </w:r>
      <w:r>
        <w:rPr>
          <w:b/>
        </w:rPr>
        <w:t xml:space="preserve"> Under the Pre-harvest Agricultural Water Testing Provisions</w:t>
      </w:r>
      <w:r w:rsidR="002C7CD0">
        <w:rPr>
          <w:b/>
        </w:rPr>
        <w:t xml:space="preserve"> of the 2015 Produce Safety Final Rule</w:t>
      </w:r>
    </w:p>
    <w:tbl>
      <w:tblPr>
        <w:tblStyle w:val="TableGrid"/>
        <w:tblW w:w="5000" w:type="pct"/>
        <w:tblLook w:val="04A0"/>
      </w:tblPr>
      <w:tblGrid>
        <w:gridCol w:w="4402"/>
        <w:gridCol w:w="1799"/>
        <w:gridCol w:w="1530"/>
        <w:gridCol w:w="1619"/>
      </w:tblGrid>
      <w:tr w14:paraId="2A56620A" w14:textId="77777777">
        <w:tblPrEx>
          <w:tblW w:w="5000" w:type="pct"/>
          <w:tblLook w:val="04A0"/>
        </w:tblPrEx>
        <w:tc>
          <w:tcPr>
            <w:tcW w:w="2354" w:type="pct"/>
            <w:vAlign w:val="bottom"/>
          </w:tcPr>
          <w:p w:rsidR="00EF0EC0" w:rsidRPr="0083600C" w:rsidP="00026F9A" w14:paraId="2B1CFB56" w14:textId="652CCB8E">
            <w:pPr>
              <w:jc w:val="center"/>
              <w:rPr>
                <w:rFonts w:eastAsia="Times New Roman"/>
                <w:color w:val="000000"/>
              </w:rPr>
            </w:pPr>
          </w:p>
        </w:tc>
        <w:tc>
          <w:tcPr>
            <w:tcW w:w="962" w:type="pct"/>
            <w:vAlign w:val="bottom"/>
          </w:tcPr>
          <w:p w:rsidR="00EF0EC0" w:rsidRPr="0083600C" w:rsidP="00026F9A" w14:paraId="11E2ECD5" w14:textId="77777777">
            <w:pPr>
              <w:jc w:val="center"/>
              <w:rPr>
                <w:rFonts w:eastAsia="Times New Roman"/>
                <w:b/>
                <w:bCs/>
                <w:color w:val="000000"/>
              </w:rPr>
            </w:pPr>
            <w:r w:rsidRPr="0083600C">
              <w:rPr>
                <w:rFonts w:eastAsia="Times New Roman"/>
                <w:b/>
                <w:bCs/>
                <w:color w:val="000000"/>
              </w:rPr>
              <w:t>Low</w:t>
            </w:r>
          </w:p>
        </w:tc>
        <w:tc>
          <w:tcPr>
            <w:tcW w:w="818" w:type="pct"/>
            <w:vAlign w:val="bottom"/>
          </w:tcPr>
          <w:p w:rsidR="00EF0EC0" w:rsidRPr="0083600C" w:rsidP="00026F9A" w14:paraId="49A47202" w14:textId="77777777">
            <w:pPr>
              <w:jc w:val="center"/>
              <w:rPr>
                <w:rFonts w:eastAsia="Times New Roman"/>
                <w:b/>
                <w:bCs/>
                <w:color w:val="000000"/>
              </w:rPr>
            </w:pPr>
            <w:r w:rsidRPr="0083600C">
              <w:rPr>
                <w:rFonts w:eastAsia="Times New Roman"/>
                <w:b/>
                <w:bCs/>
                <w:color w:val="000000"/>
              </w:rPr>
              <w:t>Most Likely</w:t>
            </w:r>
          </w:p>
        </w:tc>
        <w:tc>
          <w:tcPr>
            <w:tcW w:w="866" w:type="pct"/>
            <w:vAlign w:val="bottom"/>
          </w:tcPr>
          <w:p w:rsidR="00EF0EC0" w:rsidRPr="0083600C" w:rsidP="00026F9A" w14:paraId="44B68D45" w14:textId="77777777">
            <w:pPr>
              <w:jc w:val="center"/>
              <w:rPr>
                <w:rFonts w:eastAsia="Times New Roman"/>
                <w:b/>
                <w:bCs/>
                <w:color w:val="000000"/>
              </w:rPr>
            </w:pPr>
            <w:r w:rsidRPr="0083600C">
              <w:rPr>
                <w:rFonts w:eastAsia="Times New Roman"/>
                <w:b/>
                <w:bCs/>
                <w:color w:val="000000"/>
              </w:rPr>
              <w:t>High</w:t>
            </w:r>
          </w:p>
        </w:tc>
      </w:tr>
      <w:tr w14:paraId="36E0EFC3" w14:textId="77777777">
        <w:tblPrEx>
          <w:tblW w:w="5000" w:type="pct"/>
          <w:tblLook w:val="04A0"/>
        </w:tblPrEx>
        <w:tc>
          <w:tcPr>
            <w:tcW w:w="2354" w:type="pct"/>
            <w:vAlign w:val="bottom"/>
          </w:tcPr>
          <w:p w:rsidR="00EF0EC0" w:rsidRPr="0083600C" w:rsidP="00026F9A" w14:paraId="4EFBE888" w14:textId="77777777">
            <w:pPr>
              <w:jc w:val="center"/>
              <w:rPr>
                <w:rFonts w:eastAsia="Times New Roman"/>
                <w:color w:val="000000"/>
              </w:rPr>
            </w:pPr>
            <w:r w:rsidRPr="0083600C">
              <w:rPr>
                <w:rFonts w:eastAsia="Times New Roman"/>
                <w:color w:val="000000"/>
              </w:rPr>
              <w:t>Very Small</w:t>
            </w:r>
          </w:p>
        </w:tc>
        <w:tc>
          <w:tcPr>
            <w:tcW w:w="962" w:type="pct"/>
            <w:vAlign w:val="center"/>
          </w:tcPr>
          <w:p w:rsidR="00EF0EC0" w:rsidRPr="0083600C" w:rsidP="00026F9A" w14:paraId="31148D83" w14:textId="77777777">
            <w:pPr>
              <w:jc w:val="center"/>
              <w:rPr>
                <w:rFonts w:eastAsia="Times New Roman"/>
                <w:color w:val="000000"/>
              </w:rPr>
            </w:pPr>
            <w:r w:rsidRPr="0083600C">
              <w:rPr>
                <w:rFonts w:eastAsia="Times New Roman"/>
                <w:color w:val="000000"/>
              </w:rPr>
              <w:t>1</w:t>
            </w:r>
          </w:p>
        </w:tc>
        <w:tc>
          <w:tcPr>
            <w:tcW w:w="818" w:type="pct"/>
            <w:vAlign w:val="center"/>
          </w:tcPr>
          <w:p w:rsidR="00EF0EC0" w:rsidRPr="0083600C" w:rsidP="00026F9A" w14:paraId="7C85A7D6" w14:textId="77777777">
            <w:pPr>
              <w:jc w:val="center"/>
              <w:rPr>
                <w:rFonts w:eastAsia="Times New Roman"/>
                <w:color w:val="000000"/>
              </w:rPr>
            </w:pPr>
            <w:r w:rsidRPr="0083600C">
              <w:rPr>
                <w:rFonts w:eastAsia="Times New Roman"/>
                <w:color w:val="000000"/>
              </w:rPr>
              <w:t>1</w:t>
            </w:r>
          </w:p>
        </w:tc>
        <w:tc>
          <w:tcPr>
            <w:tcW w:w="866" w:type="pct"/>
            <w:vAlign w:val="center"/>
          </w:tcPr>
          <w:p w:rsidR="00EF0EC0" w:rsidRPr="0083600C" w:rsidP="00026F9A" w14:paraId="2E84C75C" w14:textId="77777777">
            <w:pPr>
              <w:jc w:val="center"/>
              <w:rPr>
                <w:rFonts w:eastAsia="Times New Roman"/>
                <w:color w:val="000000"/>
              </w:rPr>
            </w:pPr>
            <w:r w:rsidRPr="0083600C">
              <w:rPr>
                <w:rFonts w:eastAsia="Times New Roman"/>
                <w:color w:val="000000"/>
              </w:rPr>
              <w:t>3</w:t>
            </w:r>
          </w:p>
        </w:tc>
      </w:tr>
      <w:tr w14:paraId="655F610D" w14:textId="77777777">
        <w:tblPrEx>
          <w:tblW w:w="5000" w:type="pct"/>
          <w:tblLook w:val="04A0"/>
        </w:tblPrEx>
        <w:tc>
          <w:tcPr>
            <w:tcW w:w="2354" w:type="pct"/>
            <w:vAlign w:val="bottom"/>
          </w:tcPr>
          <w:p w:rsidR="00EF0EC0" w:rsidRPr="0083600C" w:rsidP="00026F9A" w14:paraId="6E5ACF6C" w14:textId="77777777">
            <w:pPr>
              <w:jc w:val="center"/>
              <w:rPr>
                <w:rFonts w:eastAsia="Times New Roman"/>
                <w:color w:val="000000"/>
              </w:rPr>
            </w:pPr>
            <w:r w:rsidRPr="0083600C">
              <w:rPr>
                <w:rFonts w:eastAsia="Times New Roman"/>
                <w:color w:val="000000"/>
              </w:rPr>
              <w:t>Small</w:t>
            </w:r>
          </w:p>
        </w:tc>
        <w:tc>
          <w:tcPr>
            <w:tcW w:w="962" w:type="pct"/>
            <w:vAlign w:val="center"/>
          </w:tcPr>
          <w:p w:rsidR="00EF0EC0" w:rsidRPr="0083600C" w:rsidP="00026F9A" w14:paraId="2CD45C4B" w14:textId="77777777">
            <w:pPr>
              <w:jc w:val="center"/>
              <w:rPr>
                <w:rFonts w:eastAsia="Times New Roman"/>
                <w:color w:val="000000"/>
              </w:rPr>
            </w:pPr>
            <w:r w:rsidRPr="0083600C">
              <w:rPr>
                <w:rFonts w:eastAsia="Times New Roman"/>
                <w:color w:val="000000"/>
              </w:rPr>
              <w:t>1</w:t>
            </w:r>
          </w:p>
        </w:tc>
        <w:tc>
          <w:tcPr>
            <w:tcW w:w="818" w:type="pct"/>
            <w:vAlign w:val="center"/>
          </w:tcPr>
          <w:p w:rsidR="00EF0EC0" w:rsidRPr="0083600C" w:rsidP="00026F9A" w14:paraId="69E57F09" w14:textId="77777777">
            <w:pPr>
              <w:jc w:val="center"/>
              <w:rPr>
                <w:rFonts w:eastAsia="Times New Roman"/>
                <w:color w:val="000000"/>
              </w:rPr>
            </w:pPr>
            <w:r w:rsidRPr="0083600C">
              <w:rPr>
                <w:rFonts w:eastAsia="Times New Roman"/>
                <w:color w:val="000000"/>
              </w:rPr>
              <w:t>2</w:t>
            </w:r>
          </w:p>
        </w:tc>
        <w:tc>
          <w:tcPr>
            <w:tcW w:w="866" w:type="pct"/>
            <w:vAlign w:val="center"/>
          </w:tcPr>
          <w:p w:rsidR="00EF0EC0" w:rsidRPr="0083600C" w:rsidP="00026F9A" w14:paraId="24477BA6" w14:textId="77777777">
            <w:pPr>
              <w:jc w:val="center"/>
              <w:rPr>
                <w:rFonts w:eastAsia="Times New Roman"/>
                <w:color w:val="000000"/>
              </w:rPr>
            </w:pPr>
            <w:r w:rsidRPr="0083600C">
              <w:rPr>
                <w:rFonts w:eastAsia="Times New Roman"/>
                <w:color w:val="000000"/>
              </w:rPr>
              <w:t>4</w:t>
            </w:r>
          </w:p>
        </w:tc>
      </w:tr>
      <w:tr w14:paraId="18E93E5E" w14:textId="77777777">
        <w:tblPrEx>
          <w:tblW w:w="5000" w:type="pct"/>
          <w:tblLook w:val="04A0"/>
        </w:tblPrEx>
        <w:tc>
          <w:tcPr>
            <w:tcW w:w="2354" w:type="pct"/>
            <w:vAlign w:val="bottom"/>
          </w:tcPr>
          <w:p w:rsidR="00EF0EC0" w:rsidRPr="0083600C" w:rsidP="00026F9A" w14:paraId="171B1015" w14:textId="77777777">
            <w:pPr>
              <w:jc w:val="center"/>
              <w:rPr>
                <w:rFonts w:eastAsia="Times New Roman"/>
                <w:color w:val="000000"/>
              </w:rPr>
            </w:pPr>
            <w:r w:rsidRPr="0083600C">
              <w:rPr>
                <w:rFonts w:eastAsia="Times New Roman"/>
                <w:color w:val="000000"/>
              </w:rPr>
              <w:t>Large</w:t>
            </w:r>
          </w:p>
        </w:tc>
        <w:tc>
          <w:tcPr>
            <w:tcW w:w="962" w:type="pct"/>
            <w:vAlign w:val="center"/>
          </w:tcPr>
          <w:p w:rsidR="00EF0EC0" w:rsidRPr="0083600C" w:rsidP="00026F9A" w14:paraId="0444BFBD" w14:textId="77777777">
            <w:pPr>
              <w:jc w:val="center"/>
              <w:rPr>
                <w:rFonts w:eastAsia="Times New Roman"/>
                <w:color w:val="000000"/>
              </w:rPr>
            </w:pPr>
            <w:r w:rsidRPr="0083600C">
              <w:rPr>
                <w:rFonts w:eastAsia="Times New Roman"/>
                <w:color w:val="000000"/>
              </w:rPr>
              <w:t>1</w:t>
            </w:r>
          </w:p>
        </w:tc>
        <w:tc>
          <w:tcPr>
            <w:tcW w:w="818" w:type="pct"/>
            <w:vAlign w:val="center"/>
          </w:tcPr>
          <w:p w:rsidR="00EF0EC0" w:rsidRPr="0083600C" w:rsidP="00026F9A" w14:paraId="5C7C5B6C" w14:textId="77777777">
            <w:pPr>
              <w:jc w:val="center"/>
              <w:rPr>
                <w:rFonts w:eastAsia="Times New Roman"/>
                <w:color w:val="000000"/>
              </w:rPr>
            </w:pPr>
            <w:r w:rsidRPr="0083600C">
              <w:rPr>
                <w:rFonts w:eastAsia="Times New Roman"/>
                <w:color w:val="000000"/>
              </w:rPr>
              <w:t>4</w:t>
            </w:r>
          </w:p>
        </w:tc>
        <w:tc>
          <w:tcPr>
            <w:tcW w:w="866" w:type="pct"/>
            <w:vAlign w:val="center"/>
          </w:tcPr>
          <w:p w:rsidR="00EF0EC0" w:rsidRPr="0083600C" w:rsidP="00026F9A" w14:paraId="29CC2D0E" w14:textId="77777777">
            <w:pPr>
              <w:jc w:val="center"/>
              <w:rPr>
                <w:rFonts w:eastAsia="Times New Roman"/>
                <w:color w:val="000000"/>
              </w:rPr>
            </w:pPr>
            <w:r w:rsidRPr="0083600C">
              <w:rPr>
                <w:rFonts w:eastAsia="Times New Roman"/>
                <w:color w:val="000000"/>
              </w:rPr>
              <w:t>10</w:t>
            </w:r>
          </w:p>
        </w:tc>
      </w:tr>
    </w:tbl>
    <w:p w:rsidR="00EF0EC0" w:rsidP="00026F9A" w14:paraId="470A4C2D" w14:textId="77777777">
      <w:pPr>
        <w:spacing w:line="480" w:lineRule="auto"/>
        <w:ind w:firstLine="720"/>
        <w:rPr>
          <w:rFonts w:eastAsia="Times New Roman"/>
        </w:rPr>
      </w:pPr>
    </w:p>
    <w:p w:rsidR="00EF0EC0" w:rsidRPr="00F16FAC" w:rsidP="00026F9A" w14:paraId="711944BE" w14:textId="3B7A8000">
      <w:pPr>
        <w:rPr>
          <w:b/>
        </w:rPr>
      </w:pPr>
      <w:r w:rsidRPr="00F16FAC">
        <w:rPr>
          <w:b/>
        </w:rPr>
        <w:t>Table</w:t>
      </w:r>
      <w:r>
        <w:rPr>
          <w:b/>
        </w:rPr>
        <w:t xml:space="preserve"> 10: Total</w:t>
      </w:r>
      <w:r w:rsidRPr="00F16FAC">
        <w:rPr>
          <w:b/>
        </w:rPr>
        <w:t xml:space="preserve"> </w:t>
      </w:r>
      <w:r>
        <w:rPr>
          <w:b/>
        </w:rPr>
        <w:t xml:space="preserve">Cost of Testing Untreated Ground Water Sources, </w:t>
      </w:r>
      <w:r w:rsidR="002C7CD0">
        <w:rPr>
          <w:b/>
        </w:rPr>
        <w:t xml:space="preserve">Under the </w:t>
      </w:r>
      <w:r>
        <w:rPr>
          <w:b/>
        </w:rPr>
        <w:t>Pre-harvest Agricultural Water Testing Provisions</w:t>
      </w:r>
      <w:r w:rsidRPr="002C7CD0" w:rsidR="002C7CD0">
        <w:rPr>
          <w:b/>
        </w:rPr>
        <w:t xml:space="preserve"> </w:t>
      </w:r>
      <w:r w:rsidR="002C7CD0">
        <w:rPr>
          <w:b/>
        </w:rPr>
        <w:t>in the 2015 Produce Safety Final Rule</w:t>
      </w:r>
      <w:r w:rsidRPr="00F16FAC">
        <w:rPr>
          <w:b/>
        </w:rPr>
        <w:t xml:space="preserve"> (</w:t>
      </w:r>
      <w:r w:rsidR="00225754">
        <w:rPr>
          <w:b/>
        </w:rPr>
        <w:t xml:space="preserve">millions </w:t>
      </w:r>
      <w:r w:rsidRPr="00F16FAC">
        <w:rPr>
          <w:b/>
        </w:rPr>
        <w:t>20</w:t>
      </w:r>
      <w:r w:rsidR="00225754">
        <w:rPr>
          <w:b/>
        </w:rPr>
        <w:t>2</w:t>
      </w:r>
      <w:r w:rsidR="00BE4DC2">
        <w:rPr>
          <w:b/>
        </w:rPr>
        <w:t>2</w:t>
      </w:r>
      <w:r w:rsidRPr="00F16FAC">
        <w:rPr>
          <w:b/>
        </w:rPr>
        <w:t>$)</w:t>
      </w:r>
    </w:p>
    <w:tbl>
      <w:tblPr>
        <w:tblStyle w:val="TableGrid"/>
        <w:tblW w:w="5000" w:type="pct"/>
        <w:tblLayout w:type="fixed"/>
        <w:tblLook w:val="04A0"/>
      </w:tblPr>
      <w:tblGrid>
        <w:gridCol w:w="2237"/>
        <w:gridCol w:w="2341"/>
        <w:gridCol w:w="2283"/>
        <w:gridCol w:w="2489"/>
      </w:tblGrid>
      <w:tr w14:paraId="2E7F01DC"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hideMark/>
          </w:tcPr>
          <w:p w:rsidR="00EF0EC0" w:rsidRPr="00F16FAC" w:rsidP="00026F9A" w14:paraId="716F2A87" w14:textId="77777777">
            <w:pPr>
              <w:jc w:val="center"/>
              <w:rPr>
                <w:b/>
              </w:rPr>
            </w:pPr>
            <w:r w:rsidRPr="00F16FAC">
              <w:rPr>
                <w:b/>
              </w:rPr>
              <w:t>Years after publication</w:t>
            </w:r>
          </w:p>
        </w:tc>
        <w:tc>
          <w:tcPr>
            <w:tcW w:w="1252" w:type="pct"/>
            <w:tcBorders>
              <w:top w:val="single" w:sz="4" w:space="0" w:color="auto"/>
              <w:left w:val="single" w:sz="4" w:space="0" w:color="auto"/>
              <w:bottom w:val="single" w:sz="4" w:space="0" w:color="auto"/>
              <w:right w:val="single" w:sz="4" w:space="0" w:color="auto"/>
            </w:tcBorders>
            <w:hideMark/>
          </w:tcPr>
          <w:p w:rsidR="00EF0EC0" w:rsidRPr="00F16FAC" w:rsidP="00026F9A" w14:paraId="50BF6079" w14:textId="77777777">
            <w:pPr>
              <w:jc w:val="center"/>
              <w:rPr>
                <w:b/>
              </w:rPr>
            </w:pPr>
            <w:r>
              <w:rPr>
                <w:b/>
              </w:rPr>
              <w:t>Low Estimate</w:t>
            </w:r>
          </w:p>
        </w:tc>
        <w:tc>
          <w:tcPr>
            <w:tcW w:w="1221" w:type="pct"/>
            <w:tcBorders>
              <w:top w:val="single" w:sz="4" w:space="0" w:color="auto"/>
              <w:left w:val="single" w:sz="4" w:space="0" w:color="auto"/>
              <w:bottom w:val="single" w:sz="4" w:space="0" w:color="auto"/>
              <w:right w:val="single" w:sz="4" w:space="0" w:color="auto"/>
            </w:tcBorders>
          </w:tcPr>
          <w:p w:rsidR="00EF0EC0" w:rsidRPr="00F16FAC" w:rsidP="00026F9A" w14:paraId="58E4DD4B" w14:textId="77777777">
            <w:pPr>
              <w:jc w:val="center"/>
              <w:rPr>
                <w:b/>
              </w:rPr>
            </w:pPr>
            <w:r>
              <w:rPr>
                <w:b/>
              </w:rPr>
              <w:t>Primary Estimate</w:t>
            </w:r>
          </w:p>
        </w:tc>
        <w:tc>
          <w:tcPr>
            <w:tcW w:w="1331" w:type="pct"/>
            <w:tcBorders>
              <w:top w:val="single" w:sz="4" w:space="0" w:color="auto"/>
              <w:left w:val="single" w:sz="4" w:space="0" w:color="auto"/>
              <w:bottom w:val="single" w:sz="4" w:space="0" w:color="auto"/>
              <w:right w:val="single" w:sz="4" w:space="0" w:color="auto"/>
            </w:tcBorders>
          </w:tcPr>
          <w:p w:rsidR="00EF0EC0" w:rsidRPr="00F16FAC" w:rsidP="00026F9A" w14:paraId="5F0A7031" w14:textId="77777777">
            <w:pPr>
              <w:jc w:val="center"/>
              <w:rPr>
                <w:b/>
              </w:rPr>
            </w:pPr>
            <w:r>
              <w:rPr>
                <w:b/>
              </w:rPr>
              <w:t>High Estimate</w:t>
            </w:r>
          </w:p>
        </w:tc>
      </w:tr>
      <w:tr w14:paraId="33C3AB9A"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hideMark/>
          </w:tcPr>
          <w:p w:rsidR="00655A7E" w:rsidRPr="00F16FAC" w:rsidP="00026F9A" w14:paraId="59772AA3" w14:textId="77777777">
            <w:pPr>
              <w:jc w:val="center"/>
            </w:pPr>
            <w:r w:rsidRPr="00F16FAC">
              <w:t>0</w:t>
            </w:r>
          </w:p>
        </w:tc>
        <w:tc>
          <w:tcPr>
            <w:tcW w:w="1252" w:type="pct"/>
            <w:tcBorders>
              <w:top w:val="single" w:sz="4" w:space="0" w:color="auto"/>
              <w:left w:val="single" w:sz="4" w:space="0" w:color="auto"/>
              <w:bottom w:val="single" w:sz="4" w:space="0" w:color="auto"/>
              <w:right w:val="single" w:sz="4" w:space="0" w:color="auto"/>
            </w:tcBorders>
            <w:vAlign w:val="bottom"/>
            <w:hideMark/>
          </w:tcPr>
          <w:p w:rsidR="00655A7E" w:rsidRPr="00655A7E" w:rsidP="00026F9A" w14:paraId="4BABA7A0" w14:textId="658D6227">
            <w:pPr>
              <w:jc w:val="center"/>
              <w:rPr>
                <w:rFonts w:eastAsia="Times New Roman"/>
                <w:color w:val="000000"/>
              </w:rPr>
            </w:pPr>
            <w:r w:rsidRPr="00491301">
              <w:rPr>
                <w:color w:val="000000"/>
              </w:rPr>
              <w:t>$0</w:t>
            </w:r>
            <w:r>
              <w:rPr>
                <w:color w:val="000000"/>
              </w:rPr>
              <w:t>.0</w:t>
            </w:r>
          </w:p>
        </w:tc>
        <w:tc>
          <w:tcPr>
            <w:tcW w:w="122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134A7AFF" w14:textId="7BFB706B">
            <w:pPr>
              <w:jc w:val="center"/>
              <w:rPr>
                <w:color w:val="000000"/>
              </w:rPr>
            </w:pPr>
            <w:r w:rsidRPr="00491301">
              <w:rPr>
                <w:color w:val="000000"/>
              </w:rPr>
              <w:t>$0</w:t>
            </w:r>
            <w:r>
              <w:rPr>
                <w:color w:val="000000"/>
              </w:rPr>
              <w:t>.0</w:t>
            </w:r>
          </w:p>
        </w:tc>
        <w:tc>
          <w:tcPr>
            <w:tcW w:w="133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2B5D4242" w14:textId="7814BB8B">
            <w:pPr>
              <w:jc w:val="center"/>
              <w:rPr>
                <w:color w:val="000000"/>
              </w:rPr>
            </w:pPr>
            <w:r w:rsidRPr="00491301">
              <w:rPr>
                <w:color w:val="000000"/>
              </w:rPr>
              <w:t>$0</w:t>
            </w:r>
            <w:r>
              <w:rPr>
                <w:color w:val="000000"/>
              </w:rPr>
              <w:t>.0</w:t>
            </w:r>
          </w:p>
        </w:tc>
      </w:tr>
      <w:tr w14:paraId="490BB778" w14:textId="77777777">
        <w:tblPrEx>
          <w:tblW w:w="5000" w:type="pct"/>
          <w:tblLayout w:type="fixed"/>
          <w:tblLook w:val="04A0"/>
        </w:tblPrEx>
        <w:trPr>
          <w:trHeight w:val="265"/>
        </w:trPr>
        <w:tc>
          <w:tcPr>
            <w:tcW w:w="1196" w:type="pct"/>
            <w:tcBorders>
              <w:top w:val="single" w:sz="4" w:space="0" w:color="auto"/>
              <w:left w:val="single" w:sz="4" w:space="0" w:color="auto"/>
              <w:bottom w:val="single" w:sz="4" w:space="0" w:color="auto"/>
              <w:right w:val="single" w:sz="4" w:space="0" w:color="auto"/>
            </w:tcBorders>
            <w:hideMark/>
          </w:tcPr>
          <w:p w:rsidR="00655A7E" w:rsidRPr="00F16FAC" w:rsidP="00026F9A" w14:paraId="749B13AD" w14:textId="77777777">
            <w:pPr>
              <w:jc w:val="center"/>
            </w:pPr>
            <w:r w:rsidRPr="00F16FAC">
              <w:t>1</w:t>
            </w:r>
          </w:p>
        </w:tc>
        <w:tc>
          <w:tcPr>
            <w:tcW w:w="1252" w:type="pct"/>
            <w:tcBorders>
              <w:top w:val="single" w:sz="4" w:space="0" w:color="auto"/>
              <w:left w:val="single" w:sz="4" w:space="0" w:color="auto"/>
              <w:bottom w:val="single" w:sz="4" w:space="0" w:color="auto"/>
              <w:right w:val="single" w:sz="4" w:space="0" w:color="auto"/>
            </w:tcBorders>
            <w:vAlign w:val="bottom"/>
            <w:hideMark/>
          </w:tcPr>
          <w:p w:rsidR="00655A7E" w:rsidRPr="00655A7E" w:rsidP="00026F9A" w14:paraId="7C4EC0CA" w14:textId="4E6BBB4E">
            <w:pPr>
              <w:jc w:val="center"/>
              <w:rPr>
                <w:color w:val="000000"/>
              </w:rPr>
            </w:pPr>
            <w:r w:rsidRPr="00491301">
              <w:rPr>
                <w:color w:val="000000"/>
              </w:rPr>
              <w:t>$4</w:t>
            </w:r>
            <w:r>
              <w:rPr>
                <w:color w:val="000000"/>
              </w:rPr>
              <w:t>.7</w:t>
            </w:r>
          </w:p>
        </w:tc>
        <w:tc>
          <w:tcPr>
            <w:tcW w:w="122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744709C7" w14:textId="15FD8A43">
            <w:pPr>
              <w:jc w:val="center"/>
              <w:rPr>
                <w:color w:val="000000"/>
              </w:rPr>
            </w:pPr>
            <w:r w:rsidRPr="00491301">
              <w:rPr>
                <w:color w:val="000000"/>
              </w:rPr>
              <w:t>$11</w:t>
            </w:r>
            <w:r w:rsidR="00DC6CAC">
              <w:rPr>
                <w:color w:val="000000"/>
              </w:rPr>
              <w:t>.7</w:t>
            </w:r>
          </w:p>
        </w:tc>
        <w:tc>
          <w:tcPr>
            <w:tcW w:w="133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644F15FF" w14:textId="3AADE789">
            <w:pPr>
              <w:jc w:val="center"/>
              <w:rPr>
                <w:color w:val="000000"/>
              </w:rPr>
            </w:pPr>
            <w:r w:rsidRPr="00491301">
              <w:rPr>
                <w:color w:val="000000"/>
              </w:rPr>
              <w:t xml:space="preserve"> $</w:t>
            </w:r>
            <w:r w:rsidR="002C0CCD">
              <w:rPr>
                <w:color w:val="000000"/>
              </w:rPr>
              <w:t>18.9</w:t>
            </w:r>
          </w:p>
        </w:tc>
      </w:tr>
      <w:tr w14:paraId="4E65C38A"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hideMark/>
          </w:tcPr>
          <w:p w:rsidR="00655A7E" w:rsidRPr="00F16FAC" w:rsidP="00026F9A" w14:paraId="618A5CA5" w14:textId="77777777">
            <w:pPr>
              <w:jc w:val="center"/>
            </w:pPr>
            <w:r w:rsidRPr="00F16FAC">
              <w:t>2</w:t>
            </w:r>
          </w:p>
        </w:tc>
        <w:tc>
          <w:tcPr>
            <w:tcW w:w="1252" w:type="pct"/>
            <w:tcBorders>
              <w:top w:val="single" w:sz="4" w:space="0" w:color="auto"/>
              <w:left w:val="single" w:sz="4" w:space="0" w:color="auto"/>
              <w:bottom w:val="single" w:sz="4" w:space="0" w:color="auto"/>
              <w:right w:val="single" w:sz="4" w:space="0" w:color="auto"/>
            </w:tcBorders>
            <w:vAlign w:val="bottom"/>
            <w:hideMark/>
          </w:tcPr>
          <w:p w:rsidR="00655A7E" w:rsidRPr="00655A7E" w:rsidP="00026F9A" w14:paraId="14110EEB" w14:textId="3C983947">
            <w:pPr>
              <w:jc w:val="center"/>
              <w:rPr>
                <w:color w:val="000000"/>
              </w:rPr>
            </w:pPr>
            <w:r w:rsidRPr="00491301">
              <w:rPr>
                <w:color w:val="000000"/>
              </w:rPr>
              <w:t>$2</w:t>
            </w:r>
            <w:r>
              <w:rPr>
                <w:color w:val="000000"/>
              </w:rPr>
              <w:t>.9</w:t>
            </w:r>
          </w:p>
        </w:tc>
        <w:tc>
          <w:tcPr>
            <w:tcW w:w="122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6D761334" w14:textId="36DA2FB6">
            <w:pPr>
              <w:jc w:val="center"/>
              <w:rPr>
                <w:color w:val="000000"/>
              </w:rPr>
            </w:pPr>
            <w:r w:rsidRPr="00491301">
              <w:rPr>
                <w:color w:val="000000"/>
              </w:rPr>
              <w:t>$5</w:t>
            </w:r>
            <w:r w:rsidR="00DC6CAC">
              <w:rPr>
                <w:color w:val="000000"/>
              </w:rPr>
              <w:t>.4</w:t>
            </w:r>
          </w:p>
        </w:tc>
        <w:tc>
          <w:tcPr>
            <w:tcW w:w="133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65CB96D1" w14:textId="6B652791">
            <w:pPr>
              <w:jc w:val="center"/>
              <w:rPr>
                <w:color w:val="000000"/>
              </w:rPr>
            </w:pPr>
            <w:r w:rsidRPr="00491301">
              <w:rPr>
                <w:color w:val="000000"/>
              </w:rPr>
              <w:t xml:space="preserve"> $</w:t>
            </w:r>
            <w:r w:rsidR="002C0CCD">
              <w:rPr>
                <w:color w:val="000000"/>
              </w:rPr>
              <w:t>7.4</w:t>
            </w:r>
          </w:p>
        </w:tc>
      </w:tr>
      <w:tr w14:paraId="0AC7F747"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hideMark/>
          </w:tcPr>
          <w:p w:rsidR="00655A7E" w:rsidRPr="00F16FAC" w:rsidP="00026F9A" w14:paraId="310B6963" w14:textId="77777777">
            <w:pPr>
              <w:jc w:val="center"/>
            </w:pPr>
            <w:r w:rsidRPr="00F16FAC">
              <w:t>3</w:t>
            </w:r>
          </w:p>
        </w:tc>
        <w:tc>
          <w:tcPr>
            <w:tcW w:w="1252" w:type="pct"/>
            <w:tcBorders>
              <w:top w:val="single" w:sz="4" w:space="0" w:color="auto"/>
              <w:left w:val="single" w:sz="4" w:space="0" w:color="auto"/>
              <w:bottom w:val="single" w:sz="4" w:space="0" w:color="auto"/>
              <w:right w:val="single" w:sz="4" w:space="0" w:color="auto"/>
            </w:tcBorders>
            <w:vAlign w:val="bottom"/>
            <w:hideMark/>
          </w:tcPr>
          <w:p w:rsidR="00655A7E" w:rsidRPr="00655A7E" w:rsidP="00026F9A" w14:paraId="1DD6D628" w14:textId="22ABC656">
            <w:pPr>
              <w:jc w:val="center"/>
              <w:rPr>
                <w:color w:val="000000"/>
              </w:rPr>
            </w:pPr>
            <w:r w:rsidRPr="00491301">
              <w:rPr>
                <w:color w:val="000000"/>
              </w:rPr>
              <w:t>$6</w:t>
            </w:r>
            <w:r>
              <w:rPr>
                <w:color w:val="000000"/>
              </w:rPr>
              <w:t>.3</w:t>
            </w:r>
          </w:p>
        </w:tc>
        <w:tc>
          <w:tcPr>
            <w:tcW w:w="122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55E2722E" w14:textId="32E49102">
            <w:pPr>
              <w:jc w:val="center"/>
              <w:rPr>
                <w:color w:val="000000"/>
              </w:rPr>
            </w:pPr>
            <w:r w:rsidRPr="00491301">
              <w:rPr>
                <w:color w:val="000000"/>
              </w:rPr>
              <w:t>$9</w:t>
            </w:r>
            <w:r w:rsidR="00DC6CAC">
              <w:rPr>
                <w:color w:val="000000"/>
              </w:rPr>
              <w:t>.6</w:t>
            </w:r>
          </w:p>
        </w:tc>
        <w:tc>
          <w:tcPr>
            <w:tcW w:w="133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6B432AA5" w14:textId="059BC34F">
            <w:pPr>
              <w:jc w:val="center"/>
              <w:rPr>
                <w:color w:val="000000"/>
              </w:rPr>
            </w:pPr>
            <w:r w:rsidRPr="00491301">
              <w:rPr>
                <w:color w:val="000000"/>
              </w:rPr>
              <w:t xml:space="preserve"> $</w:t>
            </w:r>
            <w:r w:rsidR="002C0CCD">
              <w:rPr>
                <w:color w:val="000000"/>
              </w:rPr>
              <w:t>12.2</w:t>
            </w:r>
            <w:r w:rsidRPr="00491301">
              <w:rPr>
                <w:color w:val="000000"/>
              </w:rPr>
              <w:t xml:space="preserve"> </w:t>
            </w:r>
          </w:p>
        </w:tc>
      </w:tr>
      <w:tr w14:paraId="271C4114"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hideMark/>
          </w:tcPr>
          <w:p w:rsidR="00655A7E" w:rsidRPr="00F16FAC" w:rsidP="00026F9A" w14:paraId="346611AC" w14:textId="77777777">
            <w:pPr>
              <w:jc w:val="center"/>
            </w:pPr>
            <w:r w:rsidRPr="00F16FAC">
              <w:t>4</w:t>
            </w:r>
          </w:p>
        </w:tc>
        <w:tc>
          <w:tcPr>
            <w:tcW w:w="1252" w:type="pct"/>
            <w:tcBorders>
              <w:top w:val="single" w:sz="4" w:space="0" w:color="auto"/>
              <w:left w:val="single" w:sz="4" w:space="0" w:color="auto"/>
              <w:bottom w:val="single" w:sz="4" w:space="0" w:color="auto"/>
              <w:right w:val="single" w:sz="4" w:space="0" w:color="auto"/>
            </w:tcBorders>
            <w:vAlign w:val="bottom"/>
            <w:hideMark/>
          </w:tcPr>
          <w:p w:rsidR="00655A7E" w:rsidRPr="00655A7E" w:rsidP="00026F9A" w14:paraId="4AC0B3C6" w14:textId="43A06F69">
            <w:pPr>
              <w:jc w:val="center"/>
              <w:rPr>
                <w:color w:val="000000"/>
              </w:rPr>
            </w:pPr>
            <w:r w:rsidRPr="00491301">
              <w:rPr>
                <w:color w:val="000000"/>
              </w:rPr>
              <w:t>$</w:t>
            </w:r>
            <w:r>
              <w:rPr>
                <w:color w:val="000000"/>
              </w:rPr>
              <w:t>3.0</w:t>
            </w:r>
          </w:p>
        </w:tc>
        <w:tc>
          <w:tcPr>
            <w:tcW w:w="122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5DBD86EC" w14:textId="7CDEF472">
            <w:pPr>
              <w:jc w:val="center"/>
              <w:rPr>
                <w:color w:val="000000"/>
              </w:rPr>
            </w:pPr>
            <w:r w:rsidRPr="00491301">
              <w:rPr>
                <w:color w:val="000000"/>
              </w:rPr>
              <w:t>$5</w:t>
            </w:r>
            <w:r w:rsidR="00DC6CAC">
              <w:rPr>
                <w:color w:val="000000"/>
              </w:rPr>
              <w:t>.1</w:t>
            </w:r>
          </w:p>
        </w:tc>
        <w:tc>
          <w:tcPr>
            <w:tcW w:w="133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4AEDFD53" w14:textId="1054A96F">
            <w:pPr>
              <w:jc w:val="center"/>
              <w:rPr>
                <w:color w:val="000000"/>
              </w:rPr>
            </w:pPr>
            <w:r w:rsidRPr="00491301">
              <w:rPr>
                <w:color w:val="000000"/>
              </w:rPr>
              <w:t xml:space="preserve"> $</w:t>
            </w:r>
            <w:r w:rsidR="002C0CCD">
              <w:rPr>
                <w:color w:val="000000"/>
              </w:rPr>
              <w:t>6.8</w:t>
            </w:r>
          </w:p>
        </w:tc>
      </w:tr>
      <w:tr w14:paraId="1D194D03"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hideMark/>
          </w:tcPr>
          <w:p w:rsidR="002C0CCD" w:rsidRPr="00F16FAC" w:rsidP="00026F9A" w14:paraId="01F973A3" w14:textId="77777777">
            <w:pPr>
              <w:jc w:val="center"/>
            </w:pPr>
            <w:r w:rsidRPr="00F16FAC">
              <w:t>5</w:t>
            </w:r>
          </w:p>
        </w:tc>
        <w:tc>
          <w:tcPr>
            <w:tcW w:w="1252" w:type="pct"/>
            <w:tcBorders>
              <w:top w:val="single" w:sz="4" w:space="0" w:color="auto"/>
              <w:left w:val="single" w:sz="4" w:space="0" w:color="auto"/>
              <w:bottom w:val="single" w:sz="4" w:space="0" w:color="auto"/>
              <w:right w:val="single" w:sz="4" w:space="0" w:color="auto"/>
            </w:tcBorders>
            <w:vAlign w:val="bottom"/>
            <w:hideMark/>
          </w:tcPr>
          <w:p w:rsidR="002C0CCD" w:rsidRPr="00655A7E" w:rsidP="00026F9A" w14:paraId="59D5DFBF" w14:textId="1AF4D015">
            <w:pPr>
              <w:jc w:val="center"/>
              <w:rPr>
                <w:color w:val="000000"/>
              </w:rPr>
            </w:pPr>
            <w:r w:rsidRPr="005B00BD">
              <w:rPr>
                <w:color w:val="000000"/>
              </w:rPr>
              <w:t>$</w:t>
            </w:r>
            <w:r>
              <w:rPr>
                <w:color w:val="000000"/>
              </w:rPr>
              <w:t>3.0</w:t>
            </w:r>
          </w:p>
        </w:tc>
        <w:tc>
          <w:tcPr>
            <w:tcW w:w="122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7CF590AE" w14:textId="3CDF776B">
            <w:pPr>
              <w:jc w:val="center"/>
              <w:rPr>
                <w:color w:val="000000"/>
              </w:rPr>
            </w:pPr>
            <w:r w:rsidRPr="005B00BD">
              <w:rPr>
                <w:color w:val="000000"/>
              </w:rPr>
              <w:t>$5</w:t>
            </w:r>
            <w:r>
              <w:rPr>
                <w:color w:val="000000"/>
              </w:rPr>
              <w:t>.1</w:t>
            </w:r>
          </w:p>
        </w:tc>
        <w:tc>
          <w:tcPr>
            <w:tcW w:w="133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73BC6270" w14:textId="63F509C7">
            <w:pPr>
              <w:jc w:val="center"/>
              <w:rPr>
                <w:color w:val="000000"/>
              </w:rPr>
            </w:pPr>
            <w:r w:rsidRPr="005B00BD">
              <w:rPr>
                <w:color w:val="000000"/>
              </w:rPr>
              <w:t xml:space="preserve"> $</w:t>
            </w:r>
            <w:r>
              <w:rPr>
                <w:color w:val="000000"/>
              </w:rPr>
              <w:t>6.8</w:t>
            </w:r>
          </w:p>
        </w:tc>
      </w:tr>
      <w:tr w14:paraId="5BFD4C8D"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hideMark/>
          </w:tcPr>
          <w:p w:rsidR="002C0CCD" w:rsidRPr="00F16FAC" w:rsidP="00026F9A" w14:paraId="6EAC3C56" w14:textId="77777777">
            <w:pPr>
              <w:jc w:val="center"/>
            </w:pPr>
            <w:r w:rsidRPr="00F16FAC">
              <w:t>6</w:t>
            </w:r>
          </w:p>
        </w:tc>
        <w:tc>
          <w:tcPr>
            <w:tcW w:w="1252" w:type="pct"/>
            <w:tcBorders>
              <w:top w:val="single" w:sz="4" w:space="0" w:color="auto"/>
              <w:left w:val="single" w:sz="4" w:space="0" w:color="auto"/>
              <w:bottom w:val="single" w:sz="4" w:space="0" w:color="auto"/>
              <w:right w:val="single" w:sz="4" w:space="0" w:color="auto"/>
            </w:tcBorders>
            <w:vAlign w:val="bottom"/>
            <w:hideMark/>
          </w:tcPr>
          <w:p w:rsidR="002C0CCD" w:rsidRPr="00655A7E" w:rsidP="00026F9A" w14:paraId="60939DAF" w14:textId="4A850330">
            <w:pPr>
              <w:jc w:val="center"/>
              <w:rPr>
                <w:color w:val="000000"/>
              </w:rPr>
            </w:pPr>
            <w:r w:rsidRPr="005B00BD">
              <w:rPr>
                <w:color w:val="000000"/>
              </w:rPr>
              <w:t>$</w:t>
            </w:r>
            <w:r>
              <w:rPr>
                <w:color w:val="000000"/>
              </w:rPr>
              <w:t>3.0</w:t>
            </w:r>
          </w:p>
        </w:tc>
        <w:tc>
          <w:tcPr>
            <w:tcW w:w="122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1A1538E3" w14:textId="6BD837DB">
            <w:pPr>
              <w:jc w:val="center"/>
              <w:rPr>
                <w:color w:val="000000"/>
              </w:rPr>
            </w:pPr>
            <w:r w:rsidRPr="005B00BD">
              <w:rPr>
                <w:color w:val="000000"/>
              </w:rPr>
              <w:t>$5</w:t>
            </w:r>
            <w:r>
              <w:rPr>
                <w:color w:val="000000"/>
              </w:rPr>
              <w:t>.1</w:t>
            </w:r>
          </w:p>
        </w:tc>
        <w:tc>
          <w:tcPr>
            <w:tcW w:w="133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3B342F09" w14:textId="60E3AA38">
            <w:pPr>
              <w:jc w:val="center"/>
              <w:rPr>
                <w:color w:val="000000"/>
              </w:rPr>
            </w:pPr>
            <w:r w:rsidRPr="005B00BD">
              <w:rPr>
                <w:color w:val="000000"/>
              </w:rPr>
              <w:t xml:space="preserve"> $</w:t>
            </w:r>
            <w:r>
              <w:rPr>
                <w:color w:val="000000"/>
              </w:rPr>
              <w:t>6.8</w:t>
            </w:r>
          </w:p>
        </w:tc>
      </w:tr>
      <w:tr w14:paraId="1BBAA6A0" w14:textId="77777777">
        <w:tblPrEx>
          <w:tblW w:w="5000" w:type="pct"/>
          <w:tblLayout w:type="fixed"/>
          <w:tblLook w:val="04A0"/>
        </w:tblPrEx>
        <w:trPr>
          <w:trHeight w:val="265"/>
        </w:trPr>
        <w:tc>
          <w:tcPr>
            <w:tcW w:w="1196" w:type="pct"/>
            <w:tcBorders>
              <w:top w:val="single" w:sz="4" w:space="0" w:color="auto"/>
              <w:left w:val="single" w:sz="4" w:space="0" w:color="auto"/>
              <w:bottom w:val="single" w:sz="4" w:space="0" w:color="auto"/>
              <w:right w:val="single" w:sz="4" w:space="0" w:color="auto"/>
            </w:tcBorders>
            <w:hideMark/>
          </w:tcPr>
          <w:p w:rsidR="002C0CCD" w:rsidRPr="00F16FAC" w:rsidP="00026F9A" w14:paraId="1F6EA6B9" w14:textId="77777777">
            <w:pPr>
              <w:jc w:val="center"/>
            </w:pPr>
            <w:r w:rsidRPr="00F16FAC">
              <w:t>7</w:t>
            </w:r>
          </w:p>
        </w:tc>
        <w:tc>
          <w:tcPr>
            <w:tcW w:w="1252" w:type="pct"/>
            <w:tcBorders>
              <w:top w:val="single" w:sz="4" w:space="0" w:color="auto"/>
              <w:left w:val="single" w:sz="4" w:space="0" w:color="auto"/>
              <w:bottom w:val="single" w:sz="4" w:space="0" w:color="auto"/>
              <w:right w:val="single" w:sz="4" w:space="0" w:color="auto"/>
            </w:tcBorders>
            <w:vAlign w:val="bottom"/>
            <w:hideMark/>
          </w:tcPr>
          <w:p w:rsidR="002C0CCD" w:rsidRPr="00655A7E" w:rsidP="00026F9A" w14:paraId="72FED774" w14:textId="19060249">
            <w:pPr>
              <w:jc w:val="center"/>
              <w:rPr>
                <w:color w:val="000000"/>
              </w:rPr>
            </w:pPr>
            <w:r w:rsidRPr="005B00BD">
              <w:rPr>
                <w:color w:val="000000"/>
              </w:rPr>
              <w:t>$</w:t>
            </w:r>
            <w:r>
              <w:rPr>
                <w:color w:val="000000"/>
              </w:rPr>
              <w:t>3.0</w:t>
            </w:r>
          </w:p>
        </w:tc>
        <w:tc>
          <w:tcPr>
            <w:tcW w:w="122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359C6B96" w14:textId="16925921">
            <w:pPr>
              <w:jc w:val="center"/>
              <w:rPr>
                <w:color w:val="000000"/>
              </w:rPr>
            </w:pPr>
            <w:r w:rsidRPr="005B00BD">
              <w:rPr>
                <w:color w:val="000000"/>
              </w:rPr>
              <w:t>$5</w:t>
            </w:r>
            <w:r>
              <w:rPr>
                <w:color w:val="000000"/>
              </w:rPr>
              <w:t>.1</w:t>
            </w:r>
          </w:p>
        </w:tc>
        <w:tc>
          <w:tcPr>
            <w:tcW w:w="133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4CD82971" w14:textId="0771F9B8">
            <w:pPr>
              <w:jc w:val="center"/>
              <w:rPr>
                <w:color w:val="000000"/>
              </w:rPr>
            </w:pPr>
            <w:r w:rsidRPr="005B00BD">
              <w:rPr>
                <w:color w:val="000000"/>
              </w:rPr>
              <w:t xml:space="preserve"> $</w:t>
            </w:r>
            <w:r>
              <w:rPr>
                <w:color w:val="000000"/>
              </w:rPr>
              <w:t>6.8</w:t>
            </w:r>
          </w:p>
        </w:tc>
      </w:tr>
      <w:tr w14:paraId="471B074F"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hideMark/>
          </w:tcPr>
          <w:p w:rsidR="002C0CCD" w:rsidRPr="00F16FAC" w:rsidP="00026F9A" w14:paraId="6297020B" w14:textId="77777777">
            <w:pPr>
              <w:jc w:val="center"/>
            </w:pPr>
            <w:r w:rsidRPr="00F16FAC">
              <w:t>8</w:t>
            </w:r>
          </w:p>
        </w:tc>
        <w:tc>
          <w:tcPr>
            <w:tcW w:w="1252" w:type="pct"/>
            <w:tcBorders>
              <w:top w:val="single" w:sz="4" w:space="0" w:color="auto"/>
              <w:left w:val="single" w:sz="4" w:space="0" w:color="auto"/>
              <w:bottom w:val="single" w:sz="4" w:space="0" w:color="auto"/>
              <w:right w:val="single" w:sz="4" w:space="0" w:color="auto"/>
            </w:tcBorders>
            <w:vAlign w:val="bottom"/>
            <w:hideMark/>
          </w:tcPr>
          <w:p w:rsidR="002C0CCD" w:rsidRPr="00655A7E" w:rsidP="00026F9A" w14:paraId="5636497E" w14:textId="3A85BA32">
            <w:pPr>
              <w:jc w:val="center"/>
              <w:rPr>
                <w:color w:val="000000"/>
              </w:rPr>
            </w:pPr>
            <w:r w:rsidRPr="005B00BD">
              <w:rPr>
                <w:color w:val="000000"/>
              </w:rPr>
              <w:t>$</w:t>
            </w:r>
            <w:r>
              <w:rPr>
                <w:color w:val="000000"/>
              </w:rPr>
              <w:t>3.0</w:t>
            </w:r>
          </w:p>
        </w:tc>
        <w:tc>
          <w:tcPr>
            <w:tcW w:w="122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7BAE5D62" w14:textId="3744EC67">
            <w:pPr>
              <w:jc w:val="center"/>
              <w:rPr>
                <w:color w:val="000000"/>
              </w:rPr>
            </w:pPr>
            <w:r w:rsidRPr="005B00BD">
              <w:rPr>
                <w:color w:val="000000"/>
              </w:rPr>
              <w:t>$5</w:t>
            </w:r>
            <w:r>
              <w:rPr>
                <w:color w:val="000000"/>
              </w:rPr>
              <w:t>.1</w:t>
            </w:r>
          </w:p>
        </w:tc>
        <w:tc>
          <w:tcPr>
            <w:tcW w:w="133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6B41670B" w14:textId="6A2DF5E5">
            <w:pPr>
              <w:jc w:val="center"/>
              <w:rPr>
                <w:color w:val="000000"/>
              </w:rPr>
            </w:pPr>
            <w:r w:rsidRPr="005B00BD">
              <w:rPr>
                <w:color w:val="000000"/>
              </w:rPr>
              <w:t xml:space="preserve"> $</w:t>
            </w:r>
            <w:r>
              <w:rPr>
                <w:color w:val="000000"/>
              </w:rPr>
              <w:t>6.8</w:t>
            </w:r>
          </w:p>
        </w:tc>
      </w:tr>
      <w:tr w14:paraId="442980B8"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hideMark/>
          </w:tcPr>
          <w:p w:rsidR="002C0CCD" w:rsidRPr="00F16FAC" w:rsidP="00026F9A" w14:paraId="72F43458" w14:textId="77777777">
            <w:pPr>
              <w:jc w:val="center"/>
            </w:pPr>
            <w:r w:rsidRPr="00F16FAC">
              <w:t>9</w:t>
            </w:r>
          </w:p>
        </w:tc>
        <w:tc>
          <w:tcPr>
            <w:tcW w:w="1252" w:type="pct"/>
            <w:tcBorders>
              <w:top w:val="single" w:sz="4" w:space="0" w:color="auto"/>
              <w:left w:val="single" w:sz="4" w:space="0" w:color="auto"/>
              <w:bottom w:val="single" w:sz="4" w:space="0" w:color="auto"/>
              <w:right w:val="single" w:sz="4" w:space="0" w:color="auto"/>
            </w:tcBorders>
            <w:vAlign w:val="bottom"/>
            <w:hideMark/>
          </w:tcPr>
          <w:p w:rsidR="002C0CCD" w:rsidRPr="00655A7E" w:rsidP="00026F9A" w14:paraId="1D88FB39" w14:textId="003F412A">
            <w:pPr>
              <w:jc w:val="center"/>
              <w:rPr>
                <w:color w:val="000000"/>
              </w:rPr>
            </w:pPr>
            <w:r w:rsidRPr="005B00BD">
              <w:rPr>
                <w:color w:val="000000"/>
              </w:rPr>
              <w:t>$</w:t>
            </w:r>
            <w:r>
              <w:rPr>
                <w:color w:val="000000"/>
              </w:rPr>
              <w:t>3.0</w:t>
            </w:r>
          </w:p>
        </w:tc>
        <w:tc>
          <w:tcPr>
            <w:tcW w:w="122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2B1A78E0" w14:textId="15B39C1C">
            <w:pPr>
              <w:jc w:val="center"/>
              <w:rPr>
                <w:color w:val="000000"/>
              </w:rPr>
            </w:pPr>
            <w:r w:rsidRPr="005B00BD">
              <w:rPr>
                <w:color w:val="000000"/>
              </w:rPr>
              <w:t>$5</w:t>
            </w:r>
            <w:r>
              <w:rPr>
                <w:color w:val="000000"/>
              </w:rPr>
              <w:t>.1</w:t>
            </w:r>
          </w:p>
        </w:tc>
        <w:tc>
          <w:tcPr>
            <w:tcW w:w="1331" w:type="pct"/>
            <w:tcBorders>
              <w:top w:val="single" w:sz="4" w:space="0" w:color="auto"/>
              <w:left w:val="single" w:sz="4" w:space="0" w:color="auto"/>
              <w:bottom w:val="single" w:sz="4" w:space="0" w:color="auto"/>
              <w:right w:val="single" w:sz="4" w:space="0" w:color="auto"/>
            </w:tcBorders>
            <w:vAlign w:val="bottom"/>
          </w:tcPr>
          <w:p w:rsidR="002C0CCD" w:rsidRPr="00655A7E" w:rsidP="00026F9A" w14:paraId="319BE193" w14:textId="2678AC53">
            <w:pPr>
              <w:jc w:val="center"/>
              <w:rPr>
                <w:color w:val="000000"/>
              </w:rPr>
            </w:pPr>
            <w:r w:rsidRPr="005B00BD">
              <w:rPr>
                <w:color w:val="000000"/>
              </w:rPr>
              <w:t xml:space="preserve"> $</w:t>
            </w:r>
            <w:r>
              <w:rPr>
                <w:color w:val="000000"/>
              </w:rPr>
              <w:t>6.8</w:t>
            </w:r>
          </w:p>
        </w:tc>
      </w:tr>
      <w:tr w14:paraId="66DA0357"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tcPr>
          <w:p w:rsidR="00655A7E" w:rsidRPr="00F16FAC" w:rsidP="00026F9A" w14:paraId="073BF527" w14:textId="77777777">
            <w:pPr>
              <w:jc w:val="center"/>
            </w:pPr>
            <w:r>
              <w:t>Annualized, 3%</w:t>
            </w:r>
          </w:p>
        </w:tc>
        <w:tc>
          <w:tcPr>
            <w:tcW w:w="1252"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223898A2" w14:textId="7E77BF4D">
            <w:pPr>
              <w:jc w:val="center"/>
              <w:rPr>
                <w:rFonts w:eastAsia="Times New Roman"/>
                <w:color w:val="000000"/>
              </w:rPr>
            </w:pPr>
            <w:r w:rsidRPr="00491301">
              <w:rPr>
                <w:color w:val="000000"/>
              </w:rPr>
              <w:t>$3</w:t>
            </w:r>
            <w:r>
              <w:rPr>
                <w:color w:val="000000"/>
              </w:rPr>
              <w:t>.2</w:t>
            </w:r>
          </w:p>
        </w:tc>
        <w:tc>
          <w:tcPr>
            <w:tcW w:w="122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704452EB" w14:textId="52F2E681">
            <w:pPr>
              <w:jc w:val="center"/>
              <w:rPr>
                <w:color w:val="000000"/>
              </w:rPr>
            </w:pPr>
            <w:r w:rsidRPr="00491301">
              <w:rPr>
                <w:color w:val="000000"/>
              </w:rPr>
              <w:t>$5</w:t>
            </w:r>
            <w:r w:rsidR="00DC6CAC">
              <w:rPr>
                <w:color w:val="000000"/>
              </w:rPr>
              <w:t>.7</w:t>
            </w:r>
          </w:p>
        </w:tc>
        <w:tc>
          <w:tcPr>
            <w:tcW w:w="133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082DF9EF" w14:textId="4B81D4AE">
            <w:pPr>
              <w:jc w:val="center"/>
              <w:rPr>
                <w:color w:val="000000"/>
              </w:rPr>
            </w:pPr>
            <w:r w:rsidRPr="00491301">
              <w:rPr>
                <w:color w:val="000000"/>
              </w:rPr>
              <w:t>$</w:t>
            </w:r>
            <w:r w:rsidR="002C0CCD">
              <w:rPr>
                <w:color w:val="000000"/>
              </w:rPr>
              <w:t>8.0</w:t>
            </w:r>
          </w:p>
        </w:tc>
      </w:tr>
      <w:tr w14:paraId="0D1952D5" w14:textId="77777777">
        <w:tblPrEx>
          <w:tblW w:w="5000" w:type="pct"/>
          <w:tblLayout w:type="fixed"/>
          <w:tblLook w:val="04A0"/>
        </w:tblPrEx>
        <w:trPr>
          <w:trHeight w:val="277"/>
        </w:trPr>
        <w:tc>
          <w:tcPr>
            <w:tcW w:w="1196" w:type="pct"/>
            <w:tcBorders>
              <w:top w:val="single" w:sz="4" w:space="0" w:color="auto"/>
              <w:left w:val="single" w:sz="4" w:space="0" w:color="auto"/>
              <w:bottom w:val="single" w:sz="4" w:space="0" w:color="auto"/>
              <w:right w:val="single" w:sz="4" w:space="0" w:color="auto"/>
            </w:tcBorders>
          </w:tcPr>
          <w:p w:rsidR="00655A7E" w:rsidP="00026F9A" w14:paraId="54BEFF50" w14:textId="77777777">
            <w:pPr>
              <w:jc w:val="center"/>
            </w:pPr>
            <w:r>
              <w:t>Annualized, 7%</w:t>
            </w:r>
          </w:p>
        </w:tc>
        <w:tc>
          <w:tcPr>
            <w:tcW w:w="1252"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3E5590AE" w14:textId="4EC8EDAD">
            <w:pPr>
              <w:jc w:val="center"/>
              <w:rPr>
                <w:color w:val="000000"/>
              </w:rPr>
            </w:pPr>
            <w:r w:rsidRPr="00491301">
              <w:rPr>
                <w:color w:val="000000"/>
              </w:rPr>
              <w:t>$3</w:t>
            </w:r>
            <w:r>
              <w:rPr>
                <w:color w:val="000000"/>
              </w:rPr>
              <w:t>.1</w:t>
            </w:r>
          </w:p>
        </w:tc>
        <w:tc>
          <w:tcPr>
            <w:tcW w:w="122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739C3D46" w14:textId="0D52F738">
            <w:pPr>
              <w:jc w:val="center"/>
              <w:rPr>
                <w:color w:val="000000"/>
              </w:rPr>
            </w:pPr>
            <w:r w:rsidRPr="00491301">
              <w:rPr>
                <w:color w:val="000000"/>
              </w:rPr>
              <w:t>$5</w:t>
            </w:r>
            <w:r w:rsidR="00DC6CAC">
              <w:rPr>
                <w:color w:val="000000"/>
              </w:rPr>
              <w:t>.7</w:t>
            </w:r>
          </w:p>
        </w:tc>
        <w:tc>
          <w:tcPr>
            <w:tcW w:w="1331" w:type="pct"/>
            <w:tcBorders>
              <w:top w:val="single" w:sz="4" w:space="0" w:color="auto"/>
              <w:left w:val="single" w:sz="4" w:space="0" w:color="auto"/>
              <w:bottom w:val="single" w:sz="4" w:space="0" w:color="auto"/>
              <w:right w:val="single" w:sz="4" w:space="0" w:color="auto"/>
            </w:tcBorders>
            <w:vAlign w:val="bottom"/>
          </w:tcPr>
          <w:p w:rsidR="00655A7E" w:rsidRPr="00655A7E" w:rsidP="00026F9A" w14:paraId="4BE78D02" w14:textId="42E2CC00">
            <w:pPr>
              <w:jc w:val="center"/>
              <w:rPr>
                <w:color w:val="000000"/>
              </w:rPr>
            </w:pPr>
            <w:r w:rsidRPr="00491301">
              <w:rPr>
                <w:color w:val="000000"/>
              </w:rPr>
              <w:t>$8</w:t>
            </w:r>
            <w:r w:rsidR="002C0CCD">
              <w:rPr>
                <w:color w:val="000000"/>
              </w:rPr>
              <w:t>.1</w:t>
            </w:r>
          </w:p>
        </w:tc>
      </w:tr>
    </w:tbl>
    <w:p w:rsidR="00EF0EC0" w:rsidP="00026F9A" w14:paraId="41BB514F" w14:textId="77777777">
      <w:pPr>
        <w:spacing w:line="480" w:lineRule="auto"/>
      </w:pPr>
    </w:p>
    <w:p w:rsidR="00EF0EC0" w:rsidP="00026F9A" w14:paraId="4A2B1EF6" w14:textId="77777777">
      <w:pPr>
        <w:pStyle w:val="ListParagraph"/>
        <w:numPr>
          <w:ilvl w:val="0"/>
          <w:numId w:val="13"/>
        </w:numPr>
        <w:spacing w:after="0" w:line="480" w:lineRule="auto"/>
      </w:pPr>
      <w:r>
        <w:t>Corrective Measures</w:t>
      </w:r>
    </w:p>
    <w:p w:rsidR="00EF0EC0" w:rsidRPr="00F47E96" w:rsidP="008C15B9" w14:paraId="734FA658" w14:textId="1E934994">
      <w:pPr>
        <w:spacing w:after="0" w:line="480" w:lineRule="auto"/>
        <w:ind w:firstLine="720"/>
      </w:pPr>
      <w:r>
        <w:t xml:space="preserve">The pre-harvest agricultural water provisions in the 2015 </w:t>
      </w:r>
      <w:r w:rsidR="00026B9D">
        <w:t xml:space="preserve">produce safety final rule </w:t>
      </w:r>
      <w:r>
        <w:t xml:space="preserve">required, in relevant part, that water meet the requirements of </w:t>
      </w:r>
      <w:r w:rsidRPr="00F47E96">
        <w:rPr>
          <w:color w:val="000000"/>
        </w:rPr>
        <w:t>§</w:t>
      </w:r>
      <w:r w:rsidR="002A38F1">
        <w:rPr>
          <w:color w:val="000000"/>
        </w:rPr>
        <w:t xml:space="preserve"> </w:t>
      </w:r>
      <w:r w:rsidRPr="00F47E96">
        <w:rPr>
          <w:color w:val="000000"/>
        </w:rPr>
        <w:t>112.44</w:t>
      </w:r>
      <w:r w:rsidR="00EF2304">
        <w:rPr>
          <w:color w:val="000000"/>
        </w:rPr>
        <w:t>(b)</w:t>
      </w:r>
      <w:r>
        <w:rPr>
          <w:color w:val="000000"/>
        </w:rPr>
        <w:t>, which state</w:t>
      </w:r>
      <w:r w:rsidR="00FA5498">
        <w:rPr>
          <w:color w:val="000000"/>
        </w:rPr>
        <w:t>d</w:t>
      </w:r>
      <w:r>
        <w:rPr>
          <w:color w:val="000000"/>
        </w:rPr>
        <w:t>:</w:t>
      </w:r>
    </w:p>
    <w:p w:rsidR="00EF0EC0" w:rsidRPr="00F47E96" w:rsidP="008C15B9" w14:paraId="51AD7C26" w14:textId="77777777">
      <w:pPr>
        <w:pStyle w:val="NormalWeb"/>
        <w:spacing w:after="0" w:afterAutospacing="0" w:line="480" w:lineRule="auto"/>
        <w:ind w:firstLine="720"/>
        <w:rPr>
          <w:color w:val="000000"/>
        </w:rPr>
      </w:pPr>
      <w:r w:rsidRPr="00F47E96">
        <w:rPr>
          <w:color w:val="000000"/>
        </w:rPr>
        <w:t>(b) When you use agricultural water during growing activities for covered produce (other than sprouts) using a direct water application method, the following criteria apply (unless you establish and use alternative criteria in accordance with §112.49):</w:t>
      </w:r>
    </w:p>
    <w:p w:rsidR="00EF0EC0" w:rsidRPr="00F47E96" w:rsidP="00C970A6" w14:paraId="07809327" w14:textId="77777777">
      <w:pPr>
        <w:pStyle w:val="NormalWeb"/>
        <w:spacing w:before="0" w:beforeAutospacing="0" w:after="0" w:afterAutospacing="0" w:line="480" w:lineRule="auto"/>
        <w:ind w:firstLine="720"/>
        <w:rPr>
          <w:color w:val="000000"/>
        </w:rPr>
      </w:pPr>
      <w:r w:rsidRPr="00F47E96">
        <w:rPr>
          <w:color w:val="000000"/>
        </w:rPr>
        <w:t>(1) A geometric mean (GM) of your agricultural water samples of 126 or less colony forming units (CFU) of generic </w:t>
      </w:r>
      <w:r w:rsidRPr="00F47E96">
        <w:rPr>
          <w:i/>
          <w:iCs/>
          <w:color w:val="000000"/>
        </w:rPr>
        <w:t>E. coli</w:t>
      </w:r>
      <w:r w:rsidRPr="00F47E96">
        <w:rPr>
          <w:color w:val="000000"/>
        </w:rPr>
        <w:t> per 100 mL of water (GM is a measure of the central tendency of your water quality distribution); and</w:t>
      </w:r>
    </w:p>
    <w:p w:rsidR="00EF0EC0" w:rsidP="00C970A6" w14:paraId="6A99EE5F" w14:textId="77777777">
      <w:pPr>
        <w:pStyle w:val="NormalWeb"/>
        <w:spacing w:before="0" w:beforeAutospacing="0" w:after="0" w:afterAutospacing="0" w:line="480" w:lineRule="auto"/>
        <w:ind w:firstLine="720"/>
        <w:rPr>
          <w:color w:val="000000"/>
        </w:rPr>
      </w:pPr>
      <w:r w:rsidRPr="00F47E96">
        <w:rPr>
          <w:color w:val="000000"/>
        </w:rPr>
        <w:t>(2) A statistical threshold value (STV) of your agricultural water samples of 410 or less CFU of generic </w:t>
      </w:r>
      <w:r w:rsidRPr="00F47E96">
        <w:rPr>
          <w:i/>
          <w:iCs/>
          <w:color w:val="000000"/>
        </w:rPr>
        <w:t>E. coli</w:t>
      </w:r>
      <w:r w:rsidRPr="00F47E96">
        <w:rPr>
          <w:color w:val="000000"/>
        </w:rPr>
        <w:t> per 100 mL of water (STV is a measure of variability of your water quality distribution, derived as a model-based calculation approximating the 90th percentile using the lognormal distribution).</w:t>
      </w:r>
    </w:p>
    <w:p w:rsidR="00EF0EC0" w:rsidRPr="00F47E96" w:rsidP="00BE0003" w14:paraId="2E5A9CFC" w14:textId="28E280E4">
      <w:pPr>
        <w:pStyle w:val="NormalWeb"/>
        <w:spacing w:line="480" w:lineRule="auto"/>
        <w:ind w:firstLine="720"/>
        <w:rPr>
          <w:color w:val="000000"/>
        </w:rPr>
      </w:pPr>
      <w:r>
        <w:rPr>
          <w:color w:val="000000"/>
        </w:rPr>
        <w:t xml:space="preserve">Section </w:t>
      </w:r>
      <w:r w:rsidRPr="00F47E96">
        <w:rPr>
          <w:color w:val="000000"/>
        </w:rPr>
        <w:t>112.4</w:t>
      </w:r>
      <w:r>
        <w:rPr>
          <w:color w:val="000000"/>
        </w:rPr>
        <w:t xml:space="preserve">5(b) of the </w:t>
      </w:r>
      <w:r>
        <w:t xml:space="preserve">2015 </w:t>
      </w:r>
      <w:r w:rsidR="00026B9D">
        <w:t xml:space="preserve">produce safety final rule </w:t>
      </w:r>
      <w:r>
        <w:rPr>
          <w:color w:val="000000"/>
        </w:rPr>
        <w:t>would have require</w:t>
      </w:r>
      <w:r w:rsidR="004429C2">
        <w:rPr>
          <w:color w:val="000000"/>
        </w:rPr>
        <w:t>d</w:t>
      </w:r>
      <w:r>
        <w:rPr>
          <w:color w:val="000000"/>
        </w:rPr>
        <w:t xml:space="preserve"> that if water did not meet those criteria,</w:t>
      </w:r>
      <w:r w:rsidR="001F1AAD">
        <w:rPr>
          <w:color w:val="000000"/>
        </w:rPr>
        <w:t xml:space="preserve"> then</w:t>
      </w:r>
      <w:r>
        <w:rPr>
          <w:color w:val="000000"/>
        </w:rPr>
        <w:t xml:space="preserve"> </w:t>
      </w:r>
      <w:r w:rsidRPr="00435D49">
        <w:rPr>
          <w:color w:val="000000"/>
        </w:rPr>
        <w:t xml:space="preserve">as soon as practicable and no later than the following year, </w:t>
      </w:r>
      <w:r>
        <w:rPr>
          <w:color w:val="000000"/>
        </w:rPr>
        <w:t>farms</w:t>
      </w:r>
      <w:r w:rsidRPr="00435D49">
        <w:rPr>
          <w:color w:val="000000"/>
        </w:rPr>
        <w:t xml:space="preserve"> </w:t>
      </w:r>
      <w:r w:rsidR="001F1AAD">
        <w:rPr>
          <w:color w:val="000000"/>
        </w:rPr>
        <w:t>would be required to</w:t>
      </w:r>
      <w:r w:rsidRPr="00435D49" w:rsidR="001F1AAD">
        <w:rPr>
          <w:color w:val="000000"/>
        </w:rPr>
        <w:t xml:space="preserve"> </w:t>
      </w:r>
      <w:r w:rsidRPr="00435D49">
        <w:rPr>
          <w:color w:val="000000"/>
        </w:rPr>
        <w:t>discontinue that use</w:t>
      </w:r>
      <w:r>
        <w:rPr>
          <w:color w:val="000000"/>
        </w:rPr>
        <w:t xml:space="preserve"> of agricultural water</w:t>
      </w:r>
      <w:r w:rsidRPr="00435D49">
        <w:rPr>
          <w:color w:val="000000"/>
        </w:rPr>
        <w:t xml:space="preserve">, unless </w:t>
      </w:r>
      <w:r>
        <w:rPr>
          <w:color w:val="000000"/>
        </w:rPr>
        <w:t>they</w:t>
      </w:r>
      <w:r w:rsidRPr="00435D49">
        <w:rPr>
          <w:color w:val="000000"/>
        </w:rPr>
        <w:t xml:space="preserve"> </w:t>
      </w:r>
      <w:r>
        <w:rPr>
          <w:color w:val="000000"/>
        </w:rPr>
        <w:t>implement</w:t>
      </w:r>
      <w:r w:rsidR="003E7D59">
        <w:rPr>
          <w:color w:val="000000"/>
        </w:rPr>
        <w:t>ed</w:t>
      </w:r>
      <w:r>
        <w:rPr>
          <w:color w:val="000000"/>
        </w:rPr>
        <w:t xml:space="preserve"> certain specified corrective measures. We are uncertain about the percentage of farms that, having conducted the prescribed water testing</w:t>
      </w:r>
      <w:r w:rsidR="00C34797">
        <w:rPr>
          <w:color w:val="000000"/>
        </w:rPr>
        <w:t xml:space="preserve"> in the 2015 </w:t>
      </w:r>
      <w:r w:rsidR="00026B9D">
        <w:t>produce safety final rule</w:t>
      </w:r>
      <w:r>
        <w:rPr>
          <w:color w:val="000000"/>
        </w:rPr>
        <w:t xml:space="preserve">, would </w:t>
      </w:r>
      <w:r w:rsidR="00C34797">
        <w:rPr>
          <w:color w:val="000000"/>
        </w:rPr>
        <w:t xml:space="preserve">have </w:t>
      </w:r>
      <w:r>
        <w:rPr>
          <w:color w:val="000000"/>
        </w:rPr>
        <w:t>need</w:t>
      </w:r>
      <w:r w:rsidR="00C34797">
        <w:rPr>
          <w:color w:val="000000"/>
        </w:rPr>
        <w:t>ed</w:t>
      </w:r>
      <w:r>
        <w:rPr>
          <w:color w:val="000000"/>
        </w:rPr>
        <w:t xml:space="preserve"> to implement corrective measures as a result of failing to meet the pre-harvest microbial water quality criteria. The 2015 </w:t>
      </w:r>
      <w:r w:rsidRPr="000C24C7">
        <w:rPr>
          <w:color w:val="000000"/>
        </w:rPr>
        <w:t xml:space="preserve">FRIA (Ref. </w:t>
      </w:r>
      <w:r w:rsidRPr="000C24C7" w:rsidR="00226424">
        <w:rPr>
          <w:color w:val="000000"/>
        </w:rPr>
        <w:t>8</w:t>
      </w:r>
      <w:r w:rsidRPr="000C24C7">
        <w:rPr>
          <w:color w:val="000000"/>
        </w:rPr>
        <w:t xml:space="preserve">) estimates that 2.4% of water would not meet the pre-harvest microbial water quality criteria under the </w:t>
      </w:r>
      <w:r w:rsidRPr="000C24C7">
        <w:t xml:space="preserve">2015 </w:t>
      </w:r>
      <w:r w:rsidR="00026B9D">
        <w:t>produce safety final rule</w:t>
      </w:r>
      <w:r w:rsidRPr="000C24C7">
        <w:rPr>
          <w:color w:val="000000"/>
        </w:rPr>
        <w:t xml:space="preserve">. The EPA’s fact sheet on the 2012 recreational water quality criteria (Ref. </w:t>
      </w:r>
      <w:r w:rsidRPr="000C24C7" w:rsidR="00226424">
        <w:rPr>
          <w:color w:val="000000"/>
        </w:rPr>
        <w:t>9</w:t>
      </w:r>
      <w:r w:rsidRPr="000C24C7">
        <w:rPr>
          <w:color w:val="000000"/>
        </w:rPr>
        <w:t xml:space="preserve">) – which we used in the </w:t>
      </w:r>
      <w:r w:rsidRPr="000C24C7">
        <w:t xml:space="preserve">2015 </w:t>
      </w:r>
      <w:r w:rsidR="00026B9D">
        <w:t xml:space="preserve">produce safety final rule </w:t>
      </w:r>
      <w:r w:rsidRPr="000C24C7">
        <w:rPr>
          <w:color w:val="000000"/>
        </w:rPr>
        <w:t>as a starting point for quantitative microbial criteria</w:t>
      </w:r>
      <w:r w:rsidRPr="00E6578D">
        <w:rPr>
          <w:color w:val="000000"/>
        </w:rPr>
        <w:t xml:space="preserve"> that are generally applicable to minimize the risk of hazards associated with the use of pre-harvest agricultural water –</w:t>
      </w:r>
      <w:r>
        <w:rPr>
          <w:color w:val="000000"/>
        </w:rPr>
        <w:t xml:space="preserve"> states that no more than 10% of water samples should exceed the microbial water quality criteria. We use a PERT distribution with parameters 0%, 2.4%, and 10% to estimate the percentage of farms that, having conducted the prescribed testing, would </w:t>
      </w:r>
      <w:r w:rsidR="002F4A3C">
        <w:rPr>
          <w:color w:val="000000"/>
        </w:rPr>
        <w:t xml:space="preserve">have </w:t>
      </w:r>
      <w:r>
        <w:rPr>
          <w:color w:val="000000"/>
        </w:rPr>
        <w:t>conduct</w:t>
      </w:r>
      <w:r w:rsidR="002F4A3C">
        <w:rPr>
          <w:color w:val="000000"/>
        </w:rPr>
        <w:t>ed</w:t>
      </w:r>
      <w:r>
        <w:rPr>
          <w:color w:val="000000"/>
        </w:rPr>
        <w:t xml:space="preserve"> water treatment. </w:t>
      </w:r>
    </w:p>
    <w:p w:rsidR="008B74F3" w:rsidP="00026F9A" w14:paraId="783352DD" w14:textId="15365BF5">
      <w:pPr>
        <w:spacing w:line="480" w:lineRule="auto"/>
        <w:ind w:firstLine="720"/>
      </w:pPr>
      <w:r w:rsidRPr="005734CF">
        <w:t>USDA estimates that “</w:t>
      </w:r>
      <w:r w:rsidRPr="000C24C7">
        <w:t>small” covered farms ($25,000-$500,000 revenue) that conducted water treatment spent $1,189 annually</w:t>
      </w:r>
      <w:r w:rsidRPr="000C24C7" w:rsidR="002A6F14">
        <w:t xml:space="preserve"> (Ref. </w:t>
      </w:r>
      <w:r w:rsidRPr="000C24C7" w:rsidR="0029223A">
        <w:t>2</w:t>
      </w:r>
      <w:r w:rsidRPr="000C24C7" w:rsidR="002A6F14">
        <w:t>)</w:t>
      </w:r>
      <w:r w:rsidRPr="000C24C7">
        <w:t xml:space="preserve">. </w:t>
      </w:r>
      <w:r w:rsidRPr="000C24C7" w:rsidR="003533D2">
        <w:t>We update</w:t>
      </w:r>
      <w:r w:rsidR="003533D2">
        <w:t xml:space="preserve"> this number to </w:t>
      </w:r>
      <w:r w:rsidR="0076672B">
        <w:t>$1,</w:t>
      </w:r>
      <w:r w:rsidR="00B26C5E">
        <w:t>445</w:t>
      </w:r>
      <w:r w:rsidR="0076672B">
        <w:t xml:space="preserve"> in 202</w:t>
      </w:r>
      <w:r w:rsidR="00B26C5E">
        <w:t>2</w:t>
      </w:r>
      <w:r w:rsidR="0076672B">
        <w:t xml:space="preserve"> dollars. </w:t>
      </w:r>
      <w:r w:rsidRPr="005734CF">
        <w:t>These farms encompass farms in the “very small” and “small” categories for the purposes of this analysis. The “large” category of this analysis is composed of farms in USDA’s “midsize” (annual treatment cost of $1,568</w:t>
      </w:r>
      <w:r w:rsidR="0050115E">
        <w:t>, updated to $1,</w:t>
      </w:r>
      <w:r w:rsidR="00FF75BE">
        <w:t>906</w:t>
      </w:r>
      <w:r w:rsidR="0050115E">
        <w:t xml:space="preserve"> in 202</w:t>
      </w:r>
      <w:r w:rsidR="00FF75BE">
        <w:t>2</w:t>
      </w:r>
      <w:r w:rsidR="0050115E">
        <w:t xml:space="preserve"> dollars</w:t>
      </w:r>
      <w:r w:rsidRPr="005734CF">
        <w:t>), “large” (annual treatment cost of $1,596</w:t>
      </w:r>
      <w:r w:rsidR="0050115E">
        <w:t>, updated to $1,</w:t>
      </w:r>
      <w:r w:rsidR="00FF75BE">
        <w:t>940</w:t>
      </w:r>
      <w:r w:rsidR="0050115E">
        <w:t xml:space="preserve"> in 202</w:t>
      </w:r>
      <w:r w:rsidR="00FF75BE">
        <w:t>2</w:t>
      </w:r>
      <w:r w:rsidR="0050115E">
        <w:t xml:space="preserve"> dollars</w:t>
      </w:r>
      <w:r w:rsidRPr="005734CF">
        <w:t>), and “very large” (annual treatment cost of $22,864</w:t>
      </w:r>
      <w:r w:rsidR="00537583">
        <w:t>, updated to $2</w:t>
      </w:r>
      <w:r w:rsidR="00FF75BE">
        <w:t>7,793</w:t>
      </w:r>
      <w:r w:rsidR="00537583">
        <w:t xml:space="preserve"> in 202</w:t>
      </w:r>
      <w:r w:rsidR="00FF75BE">
        <w:t>2</w:t>
      </w:r>
      <w:r w:rsidR="00537583">
        <w:t xml:space="preserve"> dollars</w:t>
      </w:r>
      <w:r w:rsidRPr="005734CF">
        <w:t>) categories. We construct a weighted average of these treatment costs by number of farms surveyed to estimate that the annual treatment cost for a “large” farm in our analysis is $</w:t>
      </w:r>
      <w:r w:rsidR="005C5A6E">
        <w:t>7,046</w:t>
      </w:r>
      <w:r w:rsidR="007D24E4">
        <w:t xml:space="preserve"> in 202</w:t>
      </w:r>
      <w:r w:rsidR="005C5A6E">
        <w:t>2</w:t>
      </w:r>
      <w:r w:rsidR="007D24E4">
        <w:t xml:space="preserve"> dollars</w:t>
      </w:r>
      <w:r w:rsidRPr="005734CF">
        <w:t>.</w:t>
      </w:r>
      <w:r>
        <w:t xml:space="preserve"> Several public comments suggested </w:t>
      </w:r>
      <w:r w:rsidR="00E95DAF">
        <w:t xml:space="preserve">that we underestimated water treatment cost </w:t>
      </w:r>
      <w:r w:rsidRPr="000D384A" w:rsidR="00E95DAF">
        <w:t xml:space="preserve">but did not provide specific information </w:t>
      </w:r>
      <w:r w:rsidRPr="00840C98" w:rsidR="00AE0B71">
        <w:t xml:space="preserve">as to estimates that would be more appropriate </w:t>
      </w:r>
      <w:r w:rsidR="00EA4DCB">
        <w:t>across</w:t>
      </w:r>
      <w:r w:rsidRPr="00840C98" w:rsidR="00AE0B71">
        <w:t xml:space="preserve"> the diversity of </w:t>
      </w:r>
      <w:r w:rsidRPr="000D384A" w:rsidR="000D384A">
        <w:rPr>
          <w:iCs/>
        </w:rPr>
        <w:t xml:space="preserve">operations, agricultural water </w:t>
      </w:r>
      <w:r w:rsidR="00EA4DCB">
        <w:rPr>
          <w:iCs/>
        </w:rPr>
        <w:t>systems</w:t>
      </w:r>
      <w:r w:rsidRPr="000D384A" w:rsidR="000D384A">
        <w:rPr>
          <w:iCs/>
        </w:rPr>
        <w:t>, and agricultural water uses of covered farms</w:t>
      </w:r>
      <w:r w:rsidR="00E95DAF">
        <w:t xml:space="preserve">. To incorporate uncertainty about water treatment cost, we </w:t>
      </w:r>
      <w:r w:rsidR="00485022">
        <w:t>replace the use of a single estimate</w:t>
      </w:r>
      <w:r w:rsidR="00D54749">
        <w:t xml:space="preserve"> for each farm size</w:t>
      </w:r>
      <w:r w:rsidR="00485022">
        <w:t xml:space="preserve"> with</w:t>
      </w:r>
      <w:r w:rsidR="007B0A58">
        <w:t xml:space="preserve"> a PERT distribution with parameters corresponding to 50% of </w:t>
      </w:r>
      <w:r w:rsidR="002D6D80">
        <w:t>the above calculated treatment cost, 100% of the above calculated treatment cost, and 200% of the above calculated treatment cost</w:t>
      </w:r>
      <w:r w:rsidR="00ED6FC1">
        <w:t xml:space="preserve"> for each farm size category</w:t>
      </w:r>
      <w:r w:rsidR="002D6D80">
        <w:t>.</w:t>
      </w:r>
      <w:r w:rsidRPr="005734CF">
        <w:t xml:space="preserve"> </w:t>
      </w:r>
      <w:r w:rsidR="00E1662A">
        <w:t xml:space="preserve">We use these estimates of water treatment cost to remain consistent across the pre-harvest microbial quality criteria and testing provisions in the 2015 </w:t>
      </w:r>
      <w:r w:rsidR="00026B9D">
        <w:t xml:space="preserve">produce safety final rule </w:t>
      </w:r>
      <w:r w:rsidR="00E1662A">
        <w:t>and the requirements for pre-harvest agricultural water assessments and measures that we are finalizing with this rule.</w:t>
      </w:r>
    </w:p>
    <w:p w:rsidR="00EF0EC0" w:rsidRPr="005734CF" w:rsidP="00026F9A" w14:paraId="65454DA8" w14:textId="2C1925A4">
      <w:pPr>
        <w:spacing w:line="480" w:lineRule="auto"/>
        <w:ind w:firstLine="720"/>
      </w:pPr>
      <w:r w:rsidRPr="005734CF">
        <w:rPr>
          <w:rFonts w:eastAsia="Times New Roman"/>
        </w:rPr>
        <w:t>Table 1</w:t>
      </w:r>
      <w:r>
        <w:rPr>
          <w:rFonts w:eastAsia="Times New Roman"/>
        </w:rPr>
        <w:t>1</w:t>
      </w:r>
      <w:r w:rsidRPr="005734CF">
        <w:rPr>
          <w:rFonts w:eastAsia="Times New Roman"/>
        </w:rPr>
        <w:t xml:space="preserve"> presents our estimates of the costs of treating surface water under the </w:t>
      </w:r>
      <w:r w:rsidR="00B80E8B">
        <w:rPr>
          <w:rFonts w:eastAsia="Times New Roman"/>
        </w:rPr>
        <w:t>pre-harvest agricultural water</w:t>
      </w:r>
      <w:r w:rsidRPr="005734CF" w:rsidR="00B80E8B">
        <w:rPr>
          <w:rFonts w:eastAsia="Times New Roman"/>
        </w:rPr>
        <w:t xml:space="preserve"> </w:t>
      </w:r>
      <w:r w:rsidRPr="005734CF">
        <w:rPr>
          <w:rFonts w:eastAsia="Times New Roman"/>
        </w:rPr>
        <w:t xml:space="preserve">provisions </w:t>
      </w:r>
      <w:r w:rsidR="00B80E8B">
        <w:rPr>
          <w:rFonts w:eastAsia="Times New Roman"/>
        </w:rPr>
        <w:t xml:space="preserve">in the 2015 </w:t>
      </w:r>
      <w:r w:rsidR="00026B9D">
        <w:t xml:space="preserve">produce safety final rule </w:t>
      </w:r>
      <w:r w:rsidRPr="005734CF">
        <w:rPr>
          <w:rFonts w:eastAsia="Times New Roman"/>
        </w:rPr>
        <w:t>by year; Table 1</w:t>
      </w:r>
      <w:r>
        <w:rPr>
          <w:rFonts w:eastAsia="Times New Roman"/>
        </w:rPr>
        <w:t>2</w:t>
      </w:r>
      <w:r w:rsidRPr="005734CF">
        <w:rPr>
          <w:rFonts w:eastAsia="Times New Roman"/>
        </w:rPr>
        <w:t xml:space="preserve"> presents our estimates of the costs of treating ground water under th</w:t>
      </w:r>
      <w:r w:rsidR="00B80E8B">
        <w:rPr>
          <w:rFonts w:eastAsia="Times New Roman"/>
        </w:rPr>
        <w:t xml:space="preserve">ose </w:t>
      </w:r>
      <w:r w:rsidRPr="005734CF">
        <w:rPr>
          <w:rFonts w:eastAsia="Times New Roman"/>
        </w:rPr>
        <w:t xml:space="preserve">provisions by year. </w:t>
      </w:r>
      <w:r w:rsidRPr="005734CF">
        <w:t xml:space="preserve">In year 0, provisions have not taken effect; in year 1, provisions have taken effect only for large </w:t>
      </w:r>
      <w:r w:rsidRPr="005734CF">
        <w:t xml:space="preserve">farms; in year 2, provisions have taken effect for large farms and small farms; in years 3 and onward, provisions have taken effect for all farm sizes. </w:t>
      </w:r>
      <w:r w:rsidRPr="005734CF">
        <w:rPr>
          <w:rFonts w:eastAsia="Times New Roman"/>
        </w:rPr>
        <w:t xml:space="preserve">Our primary estimate of the cost of treating surface water </w:t>
      </w:r>
      <w:r w:rsidR="00592E07">
        <w:rPr>
          <w:rFonts w:eastAsia="Times New Roman"/>
        </w:rPr>
        <w:t xml:space="preserve">under the 2015 </w:t>
      </w:r>
      <w:r w:rsidR="00026B9D">
        <w:t xml:space="preserve">produce safety final rule </w:t>
      </w:r>
      <w:r w:rsidRPr="005734CF">
        <w:rPr>
          <w:rFonts w:eastAsia="Times New Roman"/>
        </w:rPr>
        <w:t>is $</w:t>
      </w:r>
      <w:r>
        <w:rPr>
          <w:rFonts w:eastAsia="Times New Roman"/>
        </w:rPr>
        <w:t>0.</w:t>
      </w:r>
      <w:r w:rsidR="00FA3EE1">
        <w:rPr>
          <w:rFonts w:eastAsia="Times New Roman"/>
        </w:rPr>
        <w:t>5</w:t>
      </w:r>
      <w:r w:rsidRPr="005734CF">
        <w:rPr>
          <w:rFonts w:eastAsia="Times New Roman"/>
        </w:rPr>
        <w:t xml:space="preserve"> million annualized at a 3% discount rate; at a 7% discount rate, this primary estimate is $</w:t>
      </w:r>
      <w:r>
        <w:rPr>
          <w:rFonts w:eastAsia="Times New Roman"/>
        </w:rPr>
        <w:t>0.</w:t>
      </w:r>
      <w:r w:rsidR="00FA3EE1">
        <w:rPr>
          <w:rFonts w:eastAsia="Times New Roman"/>
        </w:rPr>
        <w:t>5</w:t>
      </w:r>
      <w:r w:rsidRPr="005734CF">
        <w:rPr>
          <w:rFonts w:eastAsia="Times New Roman"/>
        </w:rPr>
        <w:t xml:space="preserve"> million annualized. Our primary estimate of the cost of treating ground water </w:t>
      </w:r>
      <w:r w:rsidR="00592E07">
        <w:rPr>
          <w:rFonts w:eastAsia="Times New Roman"/>
        </w:rPr>
        <w:t xml:space="preserve">under the 2015 </w:t>
      </w:r>
      <w:r w:rsidR="00026B9D">
        <w:t xml:space="preserve">produce safety final rule </w:t>
      </w:r>
      <w:r w:rsidRPr="005734CF">
        <w:rPr>
          <w:rFonts w:eastAsia="Times New Roman"/>
        </w:rPr>
        <w:t>is $</w:t>
      </w:r>
      <w:r w:rsidR="00485022">
        <w:rPr>
          <w:rFonts w:eastAsia="Times New Roman"/>
        </w:rPr>
        <w:t>1.</w:t>
      </w:r>
      <w:r w:rsidR="000444D7">
        <w:rPr>
          <w:rFonts w:eastAsia="Times New Roman"/>
        </w:rPr>
        <w:t>1</w:t>
      </w:r>
      <w:r w:rsidRPr="005734CF">
        <w:rPr>
          <w:rFonts w:eastAsia="Times New Roman"/>
        </w:rPr>
        <w:t xml:space="preserve"> million annualized at a 3% discount rate; at a 7% discount rate, this primary estimate is $</w:t>
      </w:r>
      <w:r w:rsidR="00485022">
        <w:rPr>
          <w:rFonts w:eastAsia="Times New Roman"/>
        </w:rPr>
        <w:t>1.</w:t>
      </w:r>
      <w:r w:rsidR="000444D7">
        <w:rPr>
          <w:rFonts w:eastAsia="Times New Roman"/>
        </w:rPr>
        <w:t>1</w:t>
      </w:r>
      <w:r w:rsidRPr="005734CF">
        <w:rPr>
          <w:rFonts w:eastAsia="Times New Roman"/>
        </w:rPr>
        <w:t xml:space="preserve"> million annualized. </w:t>
      </w:r>
      <w:r w:rsidRPr="005734CF">
        <w:t xml:space="preserve">We include 5th (“Low Estimate”) and </w:t>
      </w:r>
      <w:r>
        <w:t>95th</w:t>
      </w:r>
      <w:r w:rsidRPr="005734CF">
        <w:t xml:space="preserve"> (“High Estimate”) percentile outcomes of the simulated burden as measures of uncertainty.</w:t>
      </w:r>
    </w:p>
    <w:p w:rsidR="00EF0EC0" w:rsidRPr="005734CF" w:rsidP="00026F9A" w14:paraId="2EC10544" w14:textId="1778AAF8">
      <w:pPr>
        <w:rPr>
          <w:b/>
        </w:rPr>
      </w:pPr>
      <w:r w:rsidRPr="005734CF">
        <w:rPr>
          <w:b/>
        </w:rPr>
        <w:t>Table 1</w:t>
      </w:r>
      <w:r>
        <w:rPr>
          <w:b/>
        </w:rPr>
        <w:t>1</w:t>
      </w:r>
      <w:r w:rsidRPr="005734CF">
        <w:rPr>
          <w:b/>
        </w:rPr>
        <w:t xml:space="preserve">: Total Cost of Treating Surface Water, </w:t>
      </w:r>
      <w:r>
        <w:rPr>
          <w:b/>
        </w:rPr>
        <w:t>Pre-Harvest Agricultural Water</w:t>
      </w:r>
      <w:r w:rsidRPr="005734CF">
        <w:rPr>
          <w:b/>
        </w:rPr>
        <w:t xml:space="preserve"> Provisions</w:t>
      </w:r>
      <w:r w:rsidR="00A74B92">
        <w:rPr>
          <w:b/>
        </w:rPr>
        <w:t xml:space="preserve"> in the 2015 Produce Safety Final Rule</w:t>
      </w:r>
      <w:r w:rsidRPr="005734CF">
        <w:rPr>
          <w:b/>
        </w:rPr>
        <w:t xml:space="preserve"> (</w:t>
      </w:r>
      <w:r w:rsidR="004C7E95">
        <w:rPr>
          <w:b/>
        </w:rPr>
        <w:t xml:space="preserve">millions </w:t>
      </w:r>
      <w:r w:rsidRPr="005734CF">
        <w:rPr>
          <w:b/>
        </w:rPr>
        <w:t>20</w:t>
      </w:r>
      <w:r w:rsidR="004C7E95">
        <w:rPr>
          <w:b/>
        </w:rPr>
        <w:t>2</w:t>
      </w:r>
      <w:r w:rsidR="00F71F57">
        <w:rPr>
          <w:b/>
        </w:rPr>
        <w:t>2</w:t>
      </w:r>
      <w:r w:rsidRPr="005734CF">
        <w:rPr>
          <w:b/>
        </w:rPr>
        <w:t>$)</w:t>
      </w:r>
    </w:p>
    <w:tbl>
      <w:tblPr>
        <w:tblStyle w:val="TableGrid"/>
        <w:tblW w:w="5000" w:type="pct"/>
        <w:tblLook w:val="04A0"/>
      </w:tblPr>
      <w:tblGrid>
        <w:gridCol w:w="2328"/>
        <w:gridCol w:w="2233"/>
        <w:gridCol w:w="2233"/>
        <w:gridCol w:w="2556"/>
      </w:tblGrid>
      <w:tr w14:paraId="47456BB8"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hideMark/>
          </w:tcPr>
          <w:p w:rsidR="00EF0EC0" w:rsidRPr="005734CF" w:rsidP="00026F9A" w14:paraId="3DF3D65F" w14:textId="77777777">
            <w:pPr>
              <w:jc w:val="center"/>
              <w:rPr>
                <w:b/>
              </w:rPr>
            </w:pPr>
            <w:r w:rsidRPr="005734CF">
              <w:rPr>
                <w:b/>
              </w:rPr>
              <w:t>Years after publication</w:t>
            </w:r>
          </w:p>
        </w:tc>
        <w:tc>
          <w:tcPr>
            <w:tcW w:w="1194" w:type="pct"/>
            <w:tcBorders>
              <w:top w:val="single" w:sz="4" w:space="0" w:color="auto"/>
              <w:left w:val="single" w:sz="4" w:space="0" w:color="auto"/>
              <w:bottom w:val="single" w:sz="4" w:space="0" w:color="auto"/>
              <w:right w:val="single" w:sz="4" w:space="0" w:color="auto"/>
            </w:tcBorders>
            <w:hideMark/>
          </w:tcPr>
          <w:p w:rsidR="00EF0EC0" w:rsidRPr="005734CF" w:rsidP="00026F9A" w14:paraId="4E73DE17" w14:textId="77777777">
            <w:pPr>
              <w:jc w:val="center"/>
              <w:rPr>
                <w:b/>
              </w:rPr>
            </w:pPr>
            <w:r w:rsidRPr="005734CF">
              <w:rPr>
                <w:b/>
              </w:rPr>
              <w:t>Low Estimate</w:t>
            </w:r>
          </w:p>
        </w:tc>
        <w:tc>
          <w:tcPr>
            <w:tcW w:w="1194" w:type="pct"/>
            <w:tcBorders>
              <w:top w:val="single" w:sz="4" w:space="0" w:color="auto"/>
              <w:left w:val="single" w:sz="4" w:space="0" w:color="auto"/>
              <w:bottom w:val="single" w:sz="4" w:space="0" w:color="auto"/>
              <w:right w:val="single" w:sz="4" w:space="0" w:color="auto"/>
            </w:tcBorders>
          </w:tcPr>
          <w:p w:rsidR="00EF0EC0" w:rsidRPr="005734CF" w:rsidP="00026F9A" w14:paraId="4E1C018E" w14:textId="77777777">
            <w:pPr>
              <w:jc w:val="center"/>
              <w:rPr>
                <w:b/>
              </w:rPr>
            </w:pPr>
            <w:r w:rsidRPr="005734CF">
              <w:rPr>
                <w:b/>
              </w:rPr>
              <w:t>Primary Estimate</w:t>
            </w:r>
          </w:p>
        </w:tc>
        <w:tc>
          <w:tcPr>
            <w:tcW w:w="1367" w:type="pct"/>
            <w:tcBorders>
              <w:top w:val="single" w:sz="4" w:space="0" w:color="auto"/>
              <w:left w:val="single" w:sz="4" w:space="0" w:color="auto"/>
              <w:bottom w:val="single" w:sz="4" w:space="0" w:color="auto"/>
              <w:right w:val="single" w:sz="4" w:space="0" w:color="auto"/>
            </w:tcBorders>
          </w:tcPr>
          <w:p w:rsidR="00EF0EC0" w:rsidRPr="005734CF" w:rsidP="00026F9A" w14:paraId="23747F53" w14:textId="77777777">
            <w:pPr>
              <w:jc w:val="center"/>
              <w:rPr>
                <w:b/>
              </w:rPr>
            </w:pPr>
            <w:r w:rsidRPr="005734CF">
              <w:rPr>
                <w:b/>
              </w:rPr>
              <w:t>High Estimate</w:t>
            </w:r>
          </w:p>
        </w:tc>
      </w:tr>
      <w:tr w14:paraId="1885FE49"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hideMark/>
          </w:tcPr>
          <w:p w:rsidR="002C6207" w:rsidRPr="005734CF" w:rsidP="00026F9A" w14:paraId="4D424025" w14:textId="77777777">
            <w:pPr>
              <w:jc w:val="center"/>
            </w:pPr>
            <w:r w:rsidRPr="005734CF">
              <w:t>0</w:t>
            </w:r>
          </w:p>
        </w:tc>
        <w:tc>
          <w:tcPr>
            <w:tcW w:w="1194"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01A39E2B" w14:textId="161EB486">
            <w:pPr>
              <w:jc w:val="center"/>
              <w:rPr>
                <w:rFonts w:eastAsia="Times New Roman"/>
                <w:color w:val="000000"/>
              </w:rPr>
            </w:pPr>
            <w:r w:rsidRPr="002C6207">
              <w:rPr>
                <w:color w:val="000000"/>
              </w:rPr>
              <w:t>$0</w:t>
            </w:r>
            <w:r w:rsidR="00F71F57">
              <w:rPr>
                <w:color w:val="000000"/>
              </w:rPr>
              <w:t>.0</w:t>
            </w:r>
          </w:p>
        </w:tc>
        <w:tc>
          <w:tcPr>
            <w:tcW w:w="1194"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7CF7791C" w14:textId="560C8B1B">
            <w:pPr>
              <w:jc w:val="center"/>
              <w:rPr>
                <w:color w:val="000000"/>
              </w:rPr>
            </w:pPr>
            <w:r w:rsidRPr="002C6207">
              <w:rPr>
                <w:color w:val="000000"/>
              </w:rPr>
              <w:t>$0</w:t>
            </w:r>
            <w:r w:rsidR="00F71F57">
              <w:rPr>
                <w:color w:val="000000"/>
              </w:rPr>
              <w:t>.0</w:t>
            </w:r>
          </w:p>
        </w:tc>
        <w:tc>
          <w:tcPr>
            <w:tcW w:w="1367"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3CEE2ECB" w14:textId="609554A9">
            <w:pPr>
              <w:jc w:val="center"/>
              <w:rPr>
                <w:color w:val="000000"/>
              </w:rPr>
            </w:pPr>
            <w:r w:rsidRPr="002C6207">
              <w:rPr>
                <w:color w:val="000000"/>
              </w:rPr>
              <w:t>$0</w:t>
            </w:r>
            <w:r w:rsidR="00F71F57">
              <w:rPr>
                <w:color w:val="000000"/>
              </w:rPr>
              <w:t>.0</w:t>
            </w:r>
          </w:p>
        </w:tc>
      </w:tr>
      <w:tr w14:paraId="3A7D6F81" w14:textId="77777777" w:rsidTr="002C6207">
        <w:tblPrEx>
          <w:tblW w:w="5000" w:type="pct"/>
          <w:tblLook w:val="04A0"/>
        </w:tblPrEx>
        <w:trPr>
          <w:trHeight w:val="265"/>
        </w:trPr>
        <w:tc>
          <w:tcPr>
            <w:tcW w:w="1245" w:type="pct"/>
            <w:tcBorders>
              <w:top w:val="single" w:sz="4" w:space="0" w:color="auto"/>
              <w:left w:val="single" w:sz="4" w:space="0" w:color="auto"/>
              <w:bottom w:val="single" w:sz="4" w:space="0" w:color="auto"/>
              <w:right w:val="single" w:sz="4" w:space="0" w:color="auto"/>
            </w:tcBorders>
            <w:hideMark/>
          </w:tcPr>
          <w:p w:rsidR="002C6207" w:rsidRPr="005734CF" w:rsidP="00026F9A" w14:paraId="6778F682" w14:textId="77777777">
            <w:pPr>
              <w:jc w:val="center"/>
            </w:pPr>
            <w:r w:rsidRPr="005734CF">
              <w:t>1</w:t>
            </w:r>
          </w:p>
        </w:tc>
        <w:tc>
          <w:tcPr>
            <w:tcW w:w="1194"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2695B7B7" w14:textId="6B07521C">
            <w:pPr>
              <w:jc w:val="center"/>
              <w:rPr>
                <w:color w:val="000000"/>
              </w:rPr>
            </w:pPr>
            <w:r w:rsidRPr="002C6207">
              <w:rPr>
                <w:color w:val="000000"/>
              </w:rPr>
              <w:t>$</w:t>
            </w:r>
            <w:r>
              <w:rPr>
                <w:color w:val="000000"/>
              </w:rPr>
              <w:t>0.1</w:t>
            </w:r>
          </w:p>
        </w:tc>
        <w:tc>
          <w:tcPr>
            <w:tcW w:w="1194"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58B59CD4" w14:textId="1B37F710">
            <w:pPr>
              <w:jc w:val="center"/>
              <w:rPr>
                <w:color w:val="000000"/>
              </w:rPr>
            </w:pPr>
            <w:r w:rsidRPr="002C6207">
              <w:rPr>
                <w:color w:val="000000"/>
              </w:rPr>
              <w:t>$</w:t>
            </w:r>
            <w:r w:rsidR="00C752C0">
              <w:rPr>
                <w:color w:val="000000"/>
              </w:rPr>
              <w:t>0.4</w:t>
            </w:r>
          </w:p>
        </w:tc>
        <w:tc>
          <w:tcPr>
            <w:tcW w:w="1367"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4A4E5771" w14:textId="0B43A066">
            <w:pPr>
              <w:jc w:val="center"/>
              <w:rPr>
                <w:color w:val="000000"/>
              </w:rPr>
            </w:pPr>
            <w:r w:rsidRPr="002C6207">
              <w:rPr>
                <w:color w:val="000000"/>
              </w:rPr>
              <w:t>$</w:t>
            </w:r>
            <w:r w:rsidR="00C752C0">
              <w:rPr>
                <w:color w:val="000000"/>
              </w:rPr>
              <w:t>0.</w:t>
            </w:r>
            <w:r w:rsidR="00E6413D">
              <w:rPr>
                <w:color w:val="000000"/>
              </w:rPr>
              <w:t>9</w:t>
            </w:r>
          </w:p>
        </w:tc>
      </w:tr>
      <w:tr w14:paraId="37AF61BB"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hideMark/>
          </w:tcPr>
          <w:p w:rsidR="002C6207" w:rsidRPr="005734CF" w:rsidP="00026F9A" w14:paraId="792B7F74" w14:textId="77777777">
            <w:pPr>
              <w:jc w:val="center"/>
            </w:pPr>
            <w:r w:rsidRPr="005734CF">
              <w:t>2</w:t>
            </w:r>
          </w:p>
        </w:tc>
        <w:tc>
          <w:tcPr>
            <w:tcW w:w="1194"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14C56BF2" w14:textId="5A7D2873">
            <w:pPr>
              <w:jc w:val="center"/>
              <w:rPr>
                <w:color w:val="000000"/>
              </w:rPr>
            </w:pPr>
            <w:r w:rsidRPr="002C6207">
              <w:rPr>
                <w:color w:val="000000"/>
              </w:rPr>
              <w:t>$</w:t>
            </w:r>
            <w:r>
              <w:rPr>
                <w:color w:val="000000"/>
              </w:rPr>
              <w:t>0.1</w:t>
            </w:r>
          </w:p>
        </w:tc>
        <w:tc>
          <w:tcPr>
            <w:tcW w:w="1194"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74CADE7B" w14:textId="3C6D144A">
            <w:pPr>
              <w:jc w:val="center"/>
              <w:rPr>
                <w:color w:val="000000"/>
              </w:rPr>
            </w:pPr>
            <w:r w:rsidRPr="002C6207">
              <w:rPr>
                <w:color w:val="000000"/>
              </w:rPr>
              <w:t>$</w:t>
            </w:r>
            <w:r w:rsidR="00C752C0">
              <w:rPr>
                <w:color w:val="000000"/>
              </w:rPr>
              <w:t>0.</w:t>
            </w:r>
            <w:r w:rsidR="00E6413D">
              <w:rPr>
                <w:color w:val="000000"/>
              </w:rPr>
              <w:t>5</w:t>
            </w:r>
          </w:p>
        </w:tc>
        <w:tc>
          <w:tcPr>
            <w:tcW w:w="1367"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25C5FE09" w14:textId="3FB02D4E">
            <w:pPr>
              <w:jc w:val="center"/>
              <w:rPr>
                <w:color w:val="000000"/>
              </w:rPr>
            </w:pPr>
            <w:r w:rsidRPr="002C6207">
              <w:rPr>
                <w:color w:val="000000"/>
              </w:rPr>
              <w:t>$</w:t>
            </w:r>
            <w:r w:rsidR="00C752C0">
              <w:rPr>
                <w:color w:val="000000"/>
              </w:rPr>
              <w:t>0.</w:t>
            </w:r>
            <w:r w:rsidR="00E6413D">
              <w:rPr>
                <w:color w:val="000000"/>
              </w:rPr>
              <w:t>9</w:t>
            </w:r>
          </w:p>
        </w:tc>
      </w:tr>
      <w:tr w14:paraId="7826191D"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hideMark/>
          </w:tcPr>
          <w:p w:rsidR="002C6207" w:rsidRPr="005734CF" w:rsidP="00026F9A" w14:paraId="5E452131" w14:textId="77777777">
            <w:pPr>
              <w:jc w:val="center"/>
            </w:pPr>
            <w:r w:rsidRPr="005734CF">
              <w:t>3</w:t>
            </w:r>
          </w:p>
        </w:tc>
        <w:tc>
          <w:tcPr>
            <w:tcW w:w="1194"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1D1741F9" w14:textId="5CEE7DC8">
            <w:pPr>
              <w:jc w:val="center"/>
              <w:rPr>
                <w:color w:val="000000"/>
              </w:rPr>
            </w:pPr>
            <w:r w:rsidRPr="002C6207">
              <w:rPr>
                <w:color w:val="000000"/>
              </w:rPr>
              <w:t>$</w:t>
            </w:r>
            <w:r w:rsidR="00C752C0">
              <w:rPr>
                <w:color w:val="000000"/>
              </w:rPr>
              <w:t>0.2</w:t>
            </w:r>
          </w:p>
        </w:tc>
        <w:tc>
          <w:tcPr>
            <w:tcW w:w="1194"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204AB9E3" w14:textId="76E441E2">
            <w:pPr>
              <w:jc w:val="center"/>
              <w:rPr>
                <w:color w:val="000000"/>
              </w:rPr>
            </w:pPr>
            <w:r w:rsidRPr="002C6207">
              <w:rPr>
                <w:color w:val="000000"/>
              </w:rPr>
              <w:t>$</w:t>
            </w:r>
            <w:r w:rsidR="00C752C0">
              <w:rPr>
                <w:color w:val="000000"/>
              </w:rPr>
              <w:t>0.6</w:t>
            </w:r>
          </w:p>
        </w:tc>
        <w:tc>
          <w:tcPr>
            <w:tcW w:w="1367" w:type="pct"/>
            <w:tcBorders>
              <w:top w:val="single" w:sz="4" w:space="0" w:color="auto"/>
              <w:left w:val="single" w:sz="4" w:space="0" w:color="auto"/>
              <w:bottom w:val="single" w:sz="4" w:space="0" w:color="auto"/>
              <w:right w:val="single" w:sz="4" w:space="0" w:color="auto"/>
            </w:tcBorders>
            <w:vAlign w:val="bottom"/>
          </w:tcPr>
          <w:p w:rsidR="002C6207" w:rsidRPr="002C6207" w:rsidP="00026F9A" w14:paraId="6DC9F76E" w14:textId="64C6DBAE">
            <w:pPr>
              <w:jc w:val="center"/>
              <w:rPr>
                <w:color w:val="000000"/>
              </w:rPr>
            </w:pPr>
            <w:r w:rsidRPr="002C6207">
              <w:rPr>
                <w:color w:val="000000"/>
              </w:rPr>
              <w:t>$</w:t>
            </w:r>
            <w:r w:rsidR="00E6413D">
              <w:rPr>
                <w:color w:val="000000"/>
              </w:rPr>
              <w:t>1.1</w:t>
            </w:r>
          </w:p>
        </w:tc>
      </w:tr>
      <w:tr w14:paraId="7A2B1058"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hideMark/>
          </w:tcPr>
          <w:p w:rsidR="00C752C0" w:rsidRPr="005734CF" w:rsidP="00026F9A" w14:paraId="689E6BF0" w14:textId="77777777">
            <w:pPr>
              <w:jc w:val="center"/>
            </w:pPr>
            <w:r w:rsidRPr="005734CF">
              <w:t>4</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209FC083" w14:textId="5AC63E41">
            <w:pPr>
              <w:jc w:val="center"/>
              <w:rPr>
                <w:color w:val="000000"/>
              </w:rPr>
            </w:pPr>
            <w:r w:rsidRPr="002C6207">
              <w:rPr>
                <w:color w:val="000000"/>
              </w:rPr>
              <w:t>$</w:t>
            </w:r>
            <w:r>
              <w:rPr>
                <w:color w:val="000000"/>
              </w:rPr>
              <w:t>0.2</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2BA931C4" w14:textId="6C230165">
            <w:pPr>
              <w:jc w:val="center"/>
              <w:rPr>
                <w:color w:val="000000"/>
              </w:rPr>
            </w:pPr>
            <w:r w:rsidRPr="002C6207">
              <w:rPr>
                <w:color w:val="000000"/>
              </w:rPr>
              <w:t>$</w:t>
            </w:r>
            <w:r>
              <w:rPr>
                <w:color w:val="000000"/>
              </w:rPr>
              <w:t>0.6</w:t>
            </w:r>
          </w:p>
        </w:tc>
        <w:tc>
          <w:tcPr>
            <w:tcW w:w="1367"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14E6ED52" w14:textId="3BE693F4">
            <w:pPr>
              <w:jc w:val="center"/>
              <w:rPr>
                <w:color w:val="000000"/>
              </w:rPr>
            </w:pPr>
            <w:r w:rsidRPr="002C6207">
              <w:rPr>
                <w:color w:val="000000"/>
              </w:rPr>
              <w:t>$</w:t>
            </w:r>
            <w:r w:rsidR="00E6413D">
              <w:rPr>
                <w:color w:val="000000"/>
              </w:rPr>
              <w:t>1.1</w:t>
            </w:r>
          </w:p>
        </w:tc>
      </w:tr>
      <w:tr w14:paraId="2D94EC4B"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hideMark/>
          </w:tcPr>
          <w:p w:rsidR="00C752C0" w:rsidRPr="005734CF" w:rsidP="00026F9A" w14:paraId="611EEA97" w14:textId="77777777">
            <w:pPr>
              <w:jc w:val="center"/>
            </w:pPr>
            <w:r w:rsidRPr="005734CF">
              <w:t>5</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7A1A8EF9" w14:textId="2D887C72">
            <w:pPr>
              <w:jc w:val="center"/>
              <w:rPr>
                <w:color w:val="000000"/>
              </w:rPr>
            </w:pPr>
            <w:r w:rsidRPr="002C6207">
              <w:rPr>
                <w:color w:val="000000"/>
              </w:rPr>
              <w:t>$</w:t>
            </w:r>
            <w:r>
              <w:rPr>
                <w:color w:val="000000"/>
              </w:rPr>
              <w:t>0.2</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67EBEAC7" w14:textId="220D123E">
            <w:pPr>
              <w:jc w:val="center"/>
              <w:rPr>
                <w:color w:val="000000"/>
              </w:rPr>
            </w:pPr>
            <w:r w:rsidRPr="002C6207">
              <w:rPr>
                <w:color w:val="000000"/>
              </w:rPr>
              <w:t>$</w:t>
            </w:r>
            <w:r>
              <w:rPr>
                <w:color w:val="000000"/>
              </w:rPr>
              <w:t>0.6</w:t>
            </w:r>
          </w:p>
        </w:tc>
        <w:tc>
          <w:tcPr>
            <w:tcW w:w="1367"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609ACC1A" w14:textId="17C6C724">
            <w:pPr>
              <w:jc w:val="center"/>
              <w:rPr>
                <w:color w:val="000000"/>
              </w:rPr>
            </w:pPr>
            <w:r w:rsidRPr="002C6207">
              <w:rPr>
                <w:color w:val="000000"/>
              </w:rPr>
              <w:t>$</w:t>
            </w:r>
            <w:r w:rsidR="00E6413D">
              <w:rPr>
                <w:color w:val="000000"/>
              </w:rPr>
              <w:t>1.1</w:t>
            </w:r>
          </w:p>
        </w:tc>
      </w:tr>
      <w:tr w14:paraId="287FE75A"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hideMark/>
          </w:tcPr>
          <w:p w:rsidR="00C752C0" w:rsidRPr="005734CF" w:rsidP="00026F9A" w14:paraId="4539D3D6" w14:textId="77777777">
            <w:pPr>
              <w:jc w:val="center"/>
            </w:pPr>
            <w:r w:rsidRPr="005734CF">
              <w:t>6</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5680835F" w14:textId="6C58DEEE">
            <w:pPr>
              <w:jc w:val="center"/>
              <w:rPr>
                <w:color w:val="000000"/>
              </w:rPr>
            </w:pPr>
            <w:r w:rsidRPr="002C6207">
              <w:rPr>
                <w:color w:val="000000"/>
              </w:rPr>
              <w:t>$</w:t>
            </w:r>
            <w:r>
              <w:rPr>
                <w:color w:val="000000"/>
              </w:rPr>
              <w:t>0.2</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1B3CAA0E" w14:textId="0ACA58DC">
            <w:pPr>
              <w:jc w:val="center"/>
              <w:rPr>
                <w:color w:val="000000"/>
              </w:rPr>
            </w:pPr>
            <w:r w:rsidRPr="002C6207">
              <w:rPr>
                <w:color w:val="000000"/>
              </w:rPr>
              <w:t>$</w:t>
            </w:r>
            <w:r>
              <w:rPr>
                <w:color w:val="000000"/>
              </w:rPr>
              <w:t>0.6</w:t>
            </w:r>
          </w:p>
        </w:tc>
        <w:tc>
          <w:tcPr>
            <w:tcW w:w="1367"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0154AD10" w14:textId="3FD27F34">
            <w:pPr>
              <w:jc w:val="center"/>
              <w:rPr>
                <w:color w:val="000000"/>
              </w:rPr>
            </w:pPr>
            <w:r w:rsidRPr="002C6207">
              <w:rPr>
                <w:color w:val="000000"/>
              </w:rPr>
              <w:t>$</w:t>
            </w:r>
            <w:r w:rsidR="00E6413D">
              <w:rPr>
                <w:color w:val="000000"/>
              </w:rPr>
              <w:t>1.1</w:t>
            </w:r>
          </w:p>
        </w:tc>
      </w:tr>
      <w:tr w14:paraId="71227EFB" w14:textId="77777777" w:rsidTr="002C6207">
        <w:tblPrEx>
          <w:tblW w:w="5000" w:type="pct"/>
          <w:tblLook w:val="04A0"/>
        </w:tblPrEx>
        <w:trPr>
          <w:trHeight w:val="265"/>
        </w:trPr>
        <w:tc>
          <w:tcPr>
            <w:tcW w:w="1245" w:type="pct"/>
            <w:tcBorders>
              <w:top w:val="single" w:sz="4" w:space="0" w:color="auto"/>
              <w:left w:val="single" w:sz="4" w:space="0" w:color="auto"/>
              <w:bottom w:val="single" w:sz="4" w:space="0" w:color="auto"/>
              <w:right w:val="single" w:sz="4" w:space="0" w:color="auto"/>
            </w:tcBorders>
            <w:hideMark/>
          </w:tcPr>
          <w:p w:rsidR="00C752C0" w:rsidRPr="005734CF" w:rsidP="00026F9A" w14:paraId="4DDB2570" w14:textId="77777777">
            <w:pPr>
              <w:jc w:val="center"/>
            </w:pPr>
            <w:r w:rsidRPr="005734CF">
              <w:t>7</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6B381270" w14:textId="193CC636">
            <w:pPr>
              <w:jc w:val="center"/>
              <w:rPr>
                <w:color w:val="000000"/>
              </w:rPr>
            </w:pPr>
            <w:r w:rsidRPr="002C6207">
              <w:rPr>
                <w:color w:val="000000"/>
              </w:rPr>
              <w:t>$</w:t>
            </w:r>
            <w:r>
              <w:rPr>
                <w:color w:val="000000"/>
              </w:rPr>
              <w:t>0.2</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612845A0" w14:textId="092980B5">
            <w:pPr>
              <w:jc w:val="center"/>
              <w:rPr>
                <w:color w:val="000000"/>
              </w:rPr>
            </w:pPr>
            <w:r w:rsidRPr="002C6207">
              <w:rPr>
                <w:color w:val="000000"/>
              </w:rPr>
              <w:t>$</w:t>
            </w:r>
            <w:r>
              <w:rPr>
                <w:color w:val="000000"/>
              </w:rPr>
              <w:t>0.6</w:t>
            </w:r>
          </w:p>
        </w:tc>
        <w:tc>
          <w:tcPr>
            <w:tcW w:w="1367"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6103FD8A" w14:textId="0966C08A">
            <w:pPr>
              <w:jc w:val="center"/>
              <w:rPr>
                <w:color w:val="000000"/>
              </w:rPr>
            </w:pPr>
            <w:r w:rsidRPr="002C6207">
              <w:rPr>
                <w:color w:val="000000"/>
              </w:rPr>
              <w:t>$</w:t>
            </w:r>
            <w:r w:rsidR="00E6413D">
              <w:rPr>
                <w:color w:val="000000"/>
              </w:rPr>
              <w:t>1.1</w:t>
            </w:r>
          </w:p>
        </w:tc>
      </w:tr>
      <w:tr w14:paraId="4D72973B"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hideMark/>
          </w:tcPr>
          <w:p w:rsidR="00C752C0" w:rsidRPr="005734CF" w:rsidP="00026F9A" w14:paraId="536E59F2" w14:textId="77777777">
            <w:pPr>
              <w:jc w:val="center"/>
            </w:pPr>
            <w:r w:rsidRPr="005734CF">
              <w:t>8</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4B7D6F02" w14:textId="10DDAB1E">
            <w:pPr>
              <w:jc w:val="center"/>
              <w:rPr>
                <w:color w:val="000000"/>
              </w:rPr>
            </w:pPr>
            <w:r w:rsidRPr="002C6207">
              <w:rPr>
                <w:color w:val="000000"/>
              </w:rPr>
              <w:t>$</w:t>
            </w:r>
            <w:r>
              <w:rPr>
                <w:color w:val="000000"/>
              </w:rPr>
              <w:t>0.2</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26186E41" w14:textId="02219E3A">
            <w:pPr>
              <w:jc w:val="center"/>
              <w:rPr>
                <w:color w:val="000000"/>
              </w:rPr>
            </w:pPr>
            <w:r w:rsidRPr="002C6207">
              <w:rPr>
                <w:color w:val="000000"/>
              </w:rPr>
              <w:t>$</w:t>
            </w:r>
            <w:r>
              <w:rPr>
                <w:color w:val="000000"/>
              </w:rPr>
              <w:t>0.6</w:t>
            </w:r>
          </w:p>
        </w:tc>
        <w:tc>
          <w:tcPr>
            <w:tcW w:w="1367"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124A74E1" w14:textId="45F52F05">
            <w:pPr>
              <w:jc w:val="center"/>
              <w:rPr>
                <w:color w:val="000000"/>
              </w:rPr>
            </w:pPr>
            <w:r w:rsidRPr="002C6207">
              <w:rPr>
                <w:color w:val="000000"/>
              </w:rPr>
              <w:t>$</w:t>
            </w:r>
            <w:r w:rsidR="00E6413D">
              <w:rPr>
                <w:color w:val="000000"/>
              </w:rPr>
              <w:t>1.1</w:t>
            </w:r>
          </w:p>
        </w:tc>
      </w:tr>
      <w:tr w14:paraId="42B6E5E9"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hideMark/>
          </w:tcPr>
          <w:p w:rsidR="00C752C0" w:rsidRPr="005734CF" w:rsidP="00026F9A" w14:paraId="402094D1" w14:textId="77777777">
            <w:pPr>
              <w:jc w:val="center"/>
            </w:pPr>
            <w:r w:rsidRPr="005734CF">
              <w:t>9</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3CF9DC5C" w14:textId="2055B55D">
            <w:pPr>
              <w:jc w:val="center"/>
              <w:rPr>
                <w:color w:val="000000"/>
              </w:rPr>
            </w:pPr>
            <w:r w:rsidRPr="002C6207">
              <w:rPr>
                <w:color w:val="000000"/>
              </w:rPr>
              <w:t>$</w:t>
            </w:r>
            <w:r>
              <w:rPr>
                <w:color w:val="000000"/>
              </w:rPr>
              <w:t>0.2</w:t>
            </w:r>
          </w:p>
        </w:tc>
        <w:tc>
          <w:tcPr>
            <w:tcW w:w="1194"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5887855F" w14:textId="203DE8EB">
            <w:pPr>
              <w:jc w:val="center"/>
              <w:rPr>
                <w:color w:val="000000"/>
              </w:rPr>
            </w:pPr>
            <w:r w:rsidRPr="002C6207">
              <w:rPr>
                <w:color w:val="000000"/>
              </w:rPr>
              <w:t>$</w:t>
            </w:r>
            <w:r>
              <w:rPr>
                <w:color w:val="000000"/>
              </w:rPr>
              <w:t>0.6</w:t>
            </w:r>
          </w:p>
        </w:tc>
        <w:tc>
          <w:tcPr>
            <w:tcW w:w="1367" w:type="pct"/>
            <w:tcBorders>
              <w:top w:val="single" w:sz="4" w:space="0" w:color="auto"/>
              <w:left w:val="single" w:sz="4" w:space="0" w:color="auto"/>
              <w:bottom w:val="single" w:sz="4" w:space="0" w:color="auto"/>
              <w:right w:val="single" w:sz="4" w:space="0" w:color="auto"/>
            </w:tcBorders>
            <w:vAlign w:val="bottom"/>
          </w:tcPr>
          <w:p w:rsidR="00C752C0" w:rsidRPr="002C6207" w:rsidP="00026F9A" w14:paraId="62146015" w14:textId="6A19B831">
            <w:pPr>
              <w:jc w:val="center"/>
              <w:rPr>
                <w:color w:val="000000"/>
              </w:rPr>
            </w:pPr>
            <w:r w:rsidRPr="002C6207">
              <w:rPr>
                <w:color w:val="000000"/>
              </w:rPr>
              <w:t>$</w:t>
            </w:r>
            <w:r w:rsidR="00E6413D">
              <w:rPr>
                <w:color w:val="000000"/>
              </w:rPr>
              <w:t>1.1</w:t>
            </w:r>
          </w:p>
        </w:tc>
      </w:tr>
      <w:tr w14:paraId="08F5DB19"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tcPr>
          <w:p w:rsidR="00EF0EC0" w:rsidRPr="005734CF" w:rsidP="00026F9A" w14:paraId="7D9F0524" w14:textId="77777777">
            <w:pPr>
              <w:jc w:val="center"/>
            </w:pPr>
            <w:r w:rsidRPr="005734CF">
              <w:t>Annualized, 3%</w:t>
            </w:r>
          </w:p>
        </w:tc>
        <w:tc>
          <w:tcPr>
            <w:tcW w:w="1194" w:type="pct"/>
            <w:tcBorders>
              <w:top w:val="single" w:sz="4" w:space="0" w:color="auto"/>
              <w:left w:val="single" w:sz="4" w:space="0" w:color="auto"/>
              <w:bottom w:val="single" w:sz="4" w:space="0" w:color="auto"/>
              <w:right w:val="single" w:sz="4" w:space="0" w:color="auto"/>
            </w:tcBorders>
            <w:vAlign w:val="bottom"/>
          </w:tcPr>
          <w:p w:rsidR="00EF0EC0" w:rsidRPr="0051366A" w:rsidP="00026F9A" w14:paraId="58952CB0" w14:textId="20D6DF77">
            <w:pPr>
              <w:jc w:val="center"/>
              <w:rPr>
                <w:rFonts w:eastAsia="Times New Roman"/>
                <w:color w:val="000000"/>
              </w:rPr>
            </w:pPr>
            <w:r w:rsidRPr="00F41467">
              <w:rPr>
                <w:color w:val="000000"/>
              </w:rPr>
              <w:t>$</w:t>
            </w:r>
            <w:r w:rsidR="00087583">
              <w:rPr>
                <w:color w:val="000000"/>
              </w:rPr>
              <w:t>0.2</w:t>
            </w:r>
          </w:p>
        </w:tc>
        <w:tc>
          <w:tcPr>
            <w:tcW w:w="1194" w:type="pct"/>
            <w:tcBorders>
              <w:top w:val="single" w:sz="4" w:space="0" w:color="auto"/>
              <w:left w:val="single" w:sz="4" w:space="0" w:color="auto"/>
              <w:bottom w:val="single" w:sz="4" w:space="0" w:color="auto"/>
              <w:right w:val="single" w:sz="4" w:space="0" w:color="auto"/>
            </w:tcBorders>
            <w:vAlign w:val="bottom"/>
          </w:tcPr>
          <w:p w:rsidR="00EF0EC0" w:rsidRPr="0051366A" w:rsidP="00026F9A" w14:paraId="6DE04A74" w14:textId="3A8F000B">
            <w:pPr>
              <w:jc w:val="center"/>
              <w:rPr>
                <w:color w:val="000000"/>
              </w:rPr>
            </w:pPr>
            <w:r w:rsidRPr="00F41467">
              <w:rPr>
                <w:color w:val="000000"/>
              </w:rPr>
              <w:t>$</w:t>
            </w:r>
            <w:r w:rsidR="00087583">
              <w:rPr>
                <w:color w:val="000000"/>
              </w:rPr>
              <w:t>0.5</w:t>
            </w:r>
          </w:p>
        </w:tc>
        <w:tc>
          <w:tcPr>
            <w:tcW w:w="1367" w:type="pct"/>
            <w:tcBorders>
              <w:top w:val="single" w:sz="4" w:space="0" w:color="auto"/>
              <w:left w:val="single" w:sz="4" w:space="0" w:color="auto"/>
              <w:bottom w:val="single" w:sz="4" w:space="0" w:color="auto"/>
              <w:right w:val="single" w:sz="4" w:space="0" w:color="auto"/>
            </w:tcBorders>
            <w:vAlign w:val="bottom"/>
          </w:tcPr>
          <w:p w:rsidR="00EF0EC0" w:rsidRPr="0051366A" w:rsidP="00026F9A" w14:paraId="50954145" w14:textId="77BC26C9">
            <w:pPr>
              <w:jc w:val="center"/>
              <w:rPr>
                <w:color w:val="000000"/>
              </w:rPr>
            </w:pPr>
            <w:r w:rsidRPr="00F41467">
              <w:rPr>
                <w:color w:val="000000"/>
              </w:rPr>
              <w:t>$</w:t>
            </w:r>
            <w:r w:rsidR="00087583">
              <w:rPr>
                <w:color w:val="000000"/>
              </w:rPr>
              <w:t>0.</w:t>
            </w:r>
            <w:r w:rsidR="00F71F57">
              <w:rPr>
                <w:color w:val="000000"/>
              </w:rPr>
              <w:t>9</w:t>
            </w:r>
          </w:p>
        </w:tc>
      </w:tr>
      <w:tr w14:paraId="4E1FF452" w14:textId="77777777" w:rsidTr="002C6207">
        <w:tblPrEx>
          <w:tblW w:w="5000" w:type="pct"/>
          <w:tblLook w:val="04A0"/>
        </w:tblPrEx>
        <w:trPr>
          <w:trHeight w:val="277"/>
        </w:trPr>
        <w:tc>
          <w:tcPr>
            <w:tcW w:w="1245" w:type="pct"/>
            <w:tcBorders>
              <w:top w:val="single" w:sz="4" w:space="0" w:color="auto"/>
              <w:left w:val="single" w:sz="4" w:space="0" w:color="auto"/>
              <w:bottom w:val="single" w:sz="4" w:space="0" w:color="auto"/>
              <w:right w:val="single" w:sz="4" w:space="0" w:color="auto"/>
            </w:tcBorders>
          </w:tcPr>
          <w:p w:rsidR="00EF0EC0" w:rsidRPr="005734CF" w:rsidP="00026F9A" w14:paraId="5AE2F831" w14:textId="77777777">
            <w:pPr>
              <w:jc w:val="center"/>
            </w:pPr>
            <w:r w:rsidRPr="005734CF">
              <w:t>Annualized, 7%</w:t>
            </w:r>
          </w:p>
        </w:tc>
        <w:tc>
          <w:tcPr>
            <w:tcW w:w="1194" w:type="pct"/>
            <w:tcBorders>
              <w:top w:val="single" w:sz="4" w:space="0" w:color="auto"/>
              <w:left w:val="single" w:sz="4" w:space="0" w:color="auto"/>
              <w:bottom w:val="single" w:sz="4" w:space="0" w:color="auto"/>
              <w:right w:val="single" w:sz="4" w:space="0" w:color="auto"/>
            </w:tcBorders>
            <w:vAlign w:val="bottom"/>
          </w:tcPr>
          <w:p w:rsidR="00EF0EC0" w:rsidRPr="0051366A" w:rsidP="00026F9A" w14:paraId="50584CC9" w14:textId="5EAC8C5E">
            <w:pPr>
              <w:jc w:val="center"/>
              <w:rPr>
                <w:color w:val="000000"/>
              </w:rPr>
            </w:pPr>
            <w:r w:rsidRPr="00F41467">
              <w:rPr>
                <w:color w:val="000000"/>
              </w:rPr>
              <w:t>$</w:t>
            </w:r>
            <w:r w:rsidR="00087583">
              <w:rPr>
                <w:color w:val="000000"/>
              </w:rPr>
              <w:t>0.2</w:t>
            </w:r>
          </w:p>
        </w:tc>
        <w:tc>
          <w:tcPr>
            <w:tcW w:w="1194" w:type="pct"/>
            <w:tcBorders>
              <w:top w:val="single" w:sz="4" w:space="0" w:color="auto"/>
              <w:left w:val="single" w:sz="4" w:space="0" w:color="auto"/>
              <w:bottom w:val="single" w:sz="4" w:space="0" w:color="auto"/>
              <w:right w:val="single" w:sz="4" w:space="0" w:color="auto"/>
            </w:tcBorders>
            <w:vAlign w:val="bottom"/>
          </w:tcPr>
          <w:p w:rsidR="00EF0EC0" w:rsidRPr="0051366A" w:rsidP="00026F9A" w14:paraId="6686A4D1" w14:textId="5FBD9559">
            <w:pPr>
              <w:jc w:val="center"/>
              <w:rPr>
                <w:color w:val="000000"/>
              </w:rPr>
            </w:pPr>
            <w:r w:rsidRPr="00F41467">
              <w:rPr>
                <w:color w:val="000000"/>
              </w:rPr>
              <w:t>$</w:t>
            </w:r>
            <w:r w:rsidR="00087583">
              <w:rPr>
                <w:color w:val="000000"/>
              </w:rPr>
              <w:t>0.5</w:t>
            </w:r>
          </w:p>
        </w:tc>
        <w:tc>
          <w:tcPr>
            <w:tcW w:w="1367" w:type="pct"/>
            <w:tcBorders>
              <w:top w:val="single" w:sz="4" w:space="0" w:color="auto"/>
              <w:left w:val="single" w:sz="4" w:space="0" w:color="auto"/>
              <w:bottom w:val="single" w:sz="4" w:space="0" w:color="auto"/>
              <w:right w:val="single" w:sz="4" w:space="0" w:color="auto"/>
            </w:tcBorders>
            <w:vAlign w:val="bottom"/>
          </w:tcPr>
          <w:p w:rsidR="00EF0EC0" w:rsidRPr="0051366A" w:rsidP="00026F9A" w14:paraId="566DD20C" w14:textId="0828D7F2">
            <w:pPr>
              <w:jc w:val="center"/>
              <w:rPr>
                <w:color w:val="000000"/>
              </w:rPr>
            </w:pPr>
            <w:r w:rsidRPr="00F41467">
              <w:rPr>
                <w:color w:val="000000"/>
              </w:rPr>
              <w:t>$</w:t>
            </w:r>
            <w:r w:rsidR="00087583">
              <w:rPr>
                <w:color w:val="000000"/>
              </w:rPr>
              <w:t>0.</w:t>
            </w:r>
            <w:r w:rsidR="00F71F57">
              <w:rPr>
                <w:color w:val="000000"/>
              </w:rPr>
              <w:t>9</w:t>
            </w:r>
          </w:p>
        </w:tc>
      </w:tr>
    </w:tbl>
    <w:p w:rsidR="00EF0EC0" w:rsidRPr="005734CF" w:rsidP="00026F9A" w14:paraId="3AECBF16" w14:textId="77777777">
      <w:pPr>
        <w:spacing w:line="480" w:lineRule="auto"/>
        <w:ind w:firstLine="720"/>
      </w:pPr>
    </w:p>
    <w:p w:rsidR="00EF0EC0" w:rsidRPr="005734CF" w:rsidP="00026F9A" w14:paraId="276B8BE8" w14:textId="21F11A2F">
      <w:pPr>
        <w:rPr>
          <w:b/>
        </w:rPr>
      </w:pPr>
      <w:r w:rsidRPr="005734CF">
        <w:rPr>
          <w:b/>
        </w:rPr>
        <w:t>Table 1</w:t>
      </w:r>
      <w:r>
        <w:rPr>
          <w:b/>
        </w:rPr>
        <w:t>2</w:t>
      </w:r>
      <w:r w:rsidRPr="005734CF">
        <w:rPr>
          <w:b/>
        </w:rPr>
        <w:t xml:space="preserve">: Total Cost of Treating Ground Water, </w:t>
      </w:r>
      <w:r>
        <w:rPr>
          <w:b/>
        </w:rPr>
        <w:t>Pre-harvest Agricultural Water</w:t>
      </w:r>
      <w:r w:rsidRPr="005734CF">
        <w:rPr>
          <w:b/>
        </w:rPr>
        <w:t xml:space="preserve"> Provisions </w:t>
      </w:r>
      <w:r w:rsidR="00A90D58">
        <w:rPr>
          <w:b/>
        </w:rPr>
        <w:t>in the 2015 Produce Safety Final Rule</w:t>
      </w:r>
      <w:r w:rsidRPr="005734CF" w:rsidR="00A90D58">
        <w:rPr>
          <w:b/>
        </w:rPr>
        <w:t xml:space="preserve"> </w:t>
      </w:r>
      <w:r w:rsidRPr="005734CF">
        <w:rPr>
          <w:b/>
        </w:rPr>
        <w:t>(</w:t>
      </w:r>
      <w:r w:rsidR="00262B49">
        <w:rPr>
          <w:b/>
        </w:rPr>
        <w:t xml:space="preserve">millions </w:t>
      </w:r>
      <w:r w:rsidRPr="005734CF">
        <w:rPr>
          <w:b/>
        </w:rPr>
        <w:t>20</w:t>
      </w:r>
      <w:r w:rsidR="00262B49">
        <w:rPr>
          <w:b/>
        </w:rPr>
        <w:t>2</w:t>
      </w:r>
      <w:r w:rsidR="00F71F57">
        <w:rPr>
          <w:b/>
        </w:rPr>
        <w:t>2</w:t>
      </w:r>
      <w:r w:rsidRPr="005734CF">
        <w:rPr>
          <w:b/>
        </w:rPr>
        <w:t>$)</w:t>
      </w:r>
    </w:p>
    <w:tbl>
      <w:tblPr>
        <w:tblStyle w:val="TableGrid"/>
        <w:tblW w:w="5000" w:type="pct"/>
        <w:tblLook w:val="04A0"/>
      </w:tblPr>
      <w:tblGrid>
        <w:gridCol w:w="2411"/>
        <w:gridCol w:w="2313"/>
        <w:gridCol w:w="2313"/>
        <w:gridCol w:w="2313"/>
      </w:tblGrid>
      <w:tr w14:paraId="028CC55D"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F0EC0" w:rsidRPr="005734CF" w:rsidP="00026F9A" w14:paraId="63E2FFBF" w14:textId="77777777">
            <w:pPr>
              <w:jc w:val="center"/>
              <w:rPr>
                <w:b/>
              </w:rPr>
            </w:pPr>
            <w:r w:rsidRPr="005734CF">
              <w:rPr>
                <w:b/>
              </w:rPr>
              <w:t>Years after publication</w:t>
            </w:r>
          </w:p>
        </w:tc>
        <w:tc>
          <w:tcPr>
            <w:tcW w:w="1237" w:type="pct"/>
            <w:tcBorders>
              <w:top w:val="single" w:sz="4" w:space="0" w:color="auto"/>
              <w:left w:val="single" w:sz="4" w:space="0" w:color="auto"/>
              <w:bottom w:val="single" w:sz="4" w:space="0" w:color="auto"/>
              <w:right w:val="single" w:sz="4" w:space="0" w:color="auto"/>
            </w:tcBorders>
            <w:hideMark/>
          </w:tcPr>
          <w:p w:rsidR="00EF0EC0" w:rsidRPr="005734CF" w:rsidP="00026F9A" w14:paraId="167A32A2" w14:textId="77777777">
            <w:pPr>
              <w:jc w:val="center"/>
              <w:rPr>
                <w:b/>
              </w:rPr>
            </w:pPr>
            <w:r w:rsidRPr="005734CF">
              <w:rPr>
                <w:b/>
              </w:rPr>
              <w:t>Low Estimate</w:t>
            </w:r>
          </w:p>
        </w:tc>
        <w:tc>
          <w:tcPr>
            <w:tcW w:w="1237" w:type="pct"/>
            <w:tcBorders>
              <w:top w:val="single" w:sz="4" w:space="0" w:color="auto"/>
              <w:left w:val="single" w:sz="4" w:space="0" w:color="auto"/>
              <w:bottom w:val="single" w:sz="4" w:space="0" w:color="auto"/>
              <w:right w:val="single" w:sz="4" w:space="0" w:color="auto"/>
            </w:tcBorders>
          </w:tcPr>
          <w:p w:rsidR="00EF0EC0" w:rsidRPr="005734CF" w:rsidP="00026F9A" w14:paraId="68F52812" w14:textId="77777777">
            <w:pPr>
              <w:jc w:val="center"/>
              <w:rPr>
                <w:b/>
              </w:rPr>
            </w:pPr>
            <w:r w:rsidRPr="005734CF">
              <w:rPr>
                <w:b/>
              </w:rPr>
              <w:t>Primary Estimate</w:t>
            </w:r>
          </w:p>
        </w:tc>
        <w:tc>
          <w:tcPr>
            <w:tcW w:w="1237" w:type="pct"/>
            <w:tcBorders>
              <w:top w:val="single" w:sz="4" w:space="0" w:color="auto"/>
              <w:left w:val="single" w:sz="4" w:space="0" w:color="auto"/>
              <w:bottom w:val="single" w:sz="4" w:space="0" w:color="auto"/>
              <w:right w:val="single" w:sz="4" w:space="0" w:color="auto"/>
            </w:tcBorders>
          </w:tcPr>
          <w:p w:rsidR="00EF0EC0" w:rsidRPr="005734CF" w:rsidP="00026F9A" w14:paraId="200F35B9" w14:textId="77777777">
            <w:pPr>
              <w:jc w:val="center"/>
              <w:rPr>
                <w:b/>
              </w:rPr>
            </w:pPr>
            <w:r w:rsidRPr="005734CF">
              <w:rPr>
                <w:b/>
              </w:rPr>
              <w:t>High Estimate</w:t>
            </w:r>
          </w:p>
        </w:tc>
      </w:tr>
      <w:tr w14:paraId="21C2D6E3"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A77B7" w:rsidRPr="005734CF" w:rsidP="00026F9A" w14:paraId="6D7C3B60" w14:textId="77777777">
            <w:pPr>
              <w:jc w:val="center"/>
            </w:pPr>
            <w:r w:rsidRPr="005734CF">
              <w:t>0</w:t>
            </w:r>
          </w:p>
        </w:tc>
        <w:tc>
          <w:tcPr>
            <w:tcW w:w="1237" w:type="pct"/>
            <w:tcBorders>
              <w:top w:val="single" w:sz="4" w:space="0" w:color="auto"/>
              <w:left w:val="single" w:sz="4" w:space="0" w:color="auto"/>
              <w:bottom w:val="single" w:sz="4" w:space="0" w:color="auto"/>
              <w:right w:val="single" w:sz="4" w:space="0" w:color="auto"/>
            </w:tcBorders>
            <w:vAlign w:val="bottom"/>
            <w:hideMark/>
          </w:tcPr>
          <w:p w:rsidR="004A77B7" w:rsidRPr="000444D7" w:rsidP="00026F9A" w14:paraId="51FED3BA" w14:textId="39864A8D">
            <w:pPr>
              <w:jc w:val="center"/>
              <w:rPr>
                <w:rFonts w:eastAsia="Times New Roman"/>
                <w:color w:val="000000"/>
              </w:rPr>
            </w:pPr>
            <w:r w:rsidRPr="00491301">
              <w:rPr>
                <w:color w:val="000000"/>
              </w:rPr>
              <w:t>$0</w:t>
            </w:r>
            <w:r w:rsidR="000444D7">
              <w:rPr>
                <w:color w:val="000000"/>
              </w:rPr>
              <w:t>.0</w:t>
            </w:r>
          </w:p>
        </w:tc>
        <w:tc>
          <w:tcPr>
            <w:tcW w:w="1237" w:type="pct"/>
            <w:tcBorders>
              <w:top w:val="single" w:sz="4" w:space="0" w:color="auto"/>
              <w:left w:val="single" w:sz="4" w:space="0" w:color="auto"/>
              <w:bottom w:val="single" w:sz="4" w:space="0" w:color="auto"/>
              <w:right w:val="single" w:sz="4" w:space="0" w:color="auto"/>
            </w:tcBorders>
            <w:vAlign w:val="bottom"/>
          </w:tcPr>
          <w:p w:rsidR="004A77B7" w:rsidRPr="000444D7" w:rsidP="00026F9A" w14:paraId="380D6F19" w14:textId="6FE6D604">
            <w:pPr>
              <w:jc w:val="center"/>
              <w:rPr>
                <w:color w:val="000000"/>
              </w:rPr>
            </w:pPr>
            <w:r w:rsidRPr="00491301">
              <w:rPr>
                <w:color w:val="000000"/>
              </w:rPr>
              <w:t>$0</w:t>
            </w:r>
            <w:r w:rsidR="000444D7">
              <w:rPr>
                <w:color w:val="000000"/>
              </w:rPr>
              <w:t>.0</w:t>
            </w:r>
          </w:p>
        </w:tc>
        <w:tc>
          <w:tcPr>
            <w:tcW w:w="1237" w:type="pct"/>
            <w:tcBorders>
              <w:top w:val="single" w:sz="4" w:space="0" w:color="auto"/>
              <w:left w:val="single" w:sz="4" w:space="0" w:color="auto"/>
              <w:bottom w:val="single" w:sz="4" w:space="0" w:color="auto"/>
              <w:right w:val="single" w:sz="4" w:space="0" w:color="auto"/>
            </w:tcBorders>
            <w:vAlign w:val="bottom"/>
          </w:tcPr>
          <w:p w:rsidR="004A77B7" w:rsidRPr="000444D7" w:rsidP="00026F9A" w14:paraId="766BD477" w14:textId="05AD4CA5">
            <w:pPr>
              <w:jc w:val="center"/>
              <w:rPr>
                <w:color w:val="000000"/>
              </w:rPr>
            </w:pPr>
            <w:r w:rsidRPr="00491301">
              <w:rPr>
                <w:color w:val="000000"/>
              </w:rPr>
              <w:t>$0</w:t>
            </w:r>
            <w:r w:rsidR="000444D7">
              <w:rPr>
                <w:color w:val="000000"/>
              </w:rPr>
              <w:t>.0</w:t>
            </w:r>
          </w:p>
        </w:tc>
      </w:tr>
      <w:tr w14:paraId="17ED9931"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4A77B7" w:rsidRPr="005734CF" w:rsidP="00026F9A" w14:paraId="4ABA8D78" w14:textId="77777777">
            <w:pPr>
              <w:jc w:val="center"/>
            </w:pPr>
            <w:r w:rsidRPr="005734CF">
              <w:t>1</w:t>
            </w:r>
          </w:p>
        </w:tc>
        <w:tc>
          <w:tcPr>
            <w:tcW w:w="1237" w:type="pct"/>
            <w:tcBorders>
              <w:top w:val="single" w:sz="4" w:space="0" w:color="auto"/>
              <w:left w:val="single" w:sz="4" w:space="0" w:color="auto"/>
              <w:bottom w:val="single" w:sz="4" w:space="0" w:color="auto"/>
              <w:right w:val="single" w:sz="4" w:space="0" w:color="auto"/>
            </w:tcBorders>
            <w:vAlign w:val="bottom"/>
            <w:hideMark/>
          </w:tcPr>
          <w:p w:rsidR="004A77B7" w:rsidRPr="000444D7" w:rsidP="00026F9A" w14:paraId="71D2079D" w14:textId="64620CB6">
            <w:pPr>
              <w:jc w:val="center"/>
              <w:rPr>
                <w:color w:val="000000"/>
              </w:rPr>
            </w:pPr>
            <w:r w:rsidRPr="00491301">
              <w:rPr>
                <w:color w:val="000000"/>
              </w:rPr>
              <w:t>$</w:t>
            </w:r>
            <w:r w:rsidR="000444D7">
              <w:rPr>
                <w:color w:val="000000"/>
              </w:rPr>
              <w:t>0.2</w:t>
            </w:r>
          </w:p>
        </w:tc>
        <w:tc>
          <w:tcPr>
            <w:tcW w:w="1237" w:type="pct"/>
            <w:tcBorders>
              <w:top w:val="single" w:sz="4" w:space="0" w:color="auto"/>
              <w:left w:val="single" w:sz="4" w:space="0" w:color="auto"/>
              <w:bottom w:val="single" w:sz="4" w:space="0" w:color="auto"/>
              <w:right w:val="single" w:sz="4" w:space="0" w:color="auto"/>
            </w:tcBorders>
            <w:vAlign w:val="bottom"/>
          </w:tcPr>
          <w:p w:rsidR="004A77B7" w:rsidRPr="000444D7" w:rsidP="00026F9A" w14:paraId="217AF5C4" w14:textId="208E99DB">
            <w:pPr>
              <w:jc w:val="center"/>
              <w:rPr>
                <w:color w:val="000000"/>
              </w:rPr>
            </w:pPr>
            <w:r w:rsidRPr="00491301">
              <w:rPr>
                <w:color w:val="000000"/>
              </w:rPr>
              <w:t>$</w:t>
            </w:r>
            <w:r w:rsidR="000444D7">
              <w:rPr>
                <w:color w:val="000000"/>
              </w:rPr>
              <w:t>0.9</w:t>
            </w:r>
          </w:p>
        </w:tc>
        <w:tc>
          <w:tcPr>
            <w:tcW w:w="1237" w:type="pct"/>
            <w:tcBorders>
              <w:top w:val="single" w:sz="4" w:space="0" w:color="auto"/>
              <w:left w:val="single" w:sz="4" w:space="0" w:color="auto"/>
              <w:bottom w:val="single" w:sz="4" w:space="0" w:color="auto"/>
              <w:right w:val="single" w:sz="4" w:space="0" w:color="auto"/>
            </w:tcBorders>
            <w:vAlign w:val="bottom"/>
          </w:tcPr>
          <w:p w:rsidR="004A77B7" w:rsidRPr="000444D7" w:rsidP="00026F9A" w14:paraId="0533310E" w14:textId="19B12414">
            <w:pPr>
              <w:jc w:val="center"/>
              <w:rPr>
                <w:color w:val="000000"/>
              </w:rPr>
            </w:pPr>
            <w:r w:rsidRPr="00491301">
              <w:rPr>
                <w:color w:val="000000"/>
              </w:rPr>
              <w:t>$1</w:t>
            </w:r>
            <w:r w:rsidR="000444D7">
              <w:rPr>
                <w:color w:val="000000"/>
              </w:rPr>
              <w:t>.9</w:t>
            </w:r>
          </w:p>
        </w:tc>
      </w:tr>
      <w:tr w14:paraId="06F990CA"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A77B7" w:rsidRPr="005734CF" w:rsidP="00026F9A" w14:paraId="111A9BA2" w14:textId="77777777">
            <w:pPr>
              <w:jc w:val="center"/>
            </w:pPr>
            <w:r w:rsidRPr="005734CF">
              <w:t>2</w:t>
            </w:r>
          </w:p>
        </w:tc>
        <w:tc>
          <w:tcPr>
            <w:tcW w:w="1237" w:type="pct"/>
            <w:tcBorders>
              <w:top w:val="single" w:sz="4" w:space="0" w:color="auto"/>
              <w:left w:val="single" w:sz="4" w:space="0" w:color="auto"/>
              <w:bottom w:val="single" w:sz="4" w:space="0" w:color="auto"/>
              <w:right w:val="single" w:sz="4" w:space="0" w:color="auto"/>
            </w:tcBorders>
            <w:vAlign w:val="bottom"/>
            <w:hideMark/>
          </w:tcPr>
          <w:p w:rsidR="004A77B7" w:rsidRPr="000444D7" w:rsidP="00026F9A" w14:paraId="44D15D7C" w14:textId="3BC1CB9D">
            <w:pPr>
              <w:jc w:val="center"/>
              <w:rPr>
                <w:color w:val="000000"/>
              </w:rPr>
            </w:pPr>
            <w:r w:rsidRPr="00491301">
              <w:rPr>
                <w:color w:val="000000"/>
              </w:rPr>
              <w:t>$</w:t>
            </w:r>
            <w:r w:rsidR="000444D7">
              <w:rPr>
                <w:color w:val="000000"/>
              </w:rPr>
              <w:t>0.2</w:t>
            </w:r>
          </w:p>
        </w:tc>
        <w:tc>
          <w:tcPr>
            <w:tcW w:w="1237" w:type="pct"/>
            <w:tcBorders>
              <w:top w:val="single" w:sz="4" w:space="0" w:color="auto"/>
              <w:left w:val="single" w:sz="4" w:space="0" w:color="auto"/>
              <w:bottom w:val="single" w:sz="4" w:space="0" w:color="auto"/>
              <w:right w:val="single" w:sz="4" w:space="0" w:color="auto"/>
            </w:tcBorders>
            <w:vAlign w:val="bottom"/>
          </w:tcPr>
          <w:p w:rsidR="004A77B7" w:rsidRPr="000444D7" w:rsidP="00026F9A" w14:paraId="2EFC2A66" w14:textId="14AD104B">
            <w:pPr>
              <w:jc w:val="center"/>
              <w:rPr>
                <w:color w:val="000000"/>
              </w:rPr>
            </w:pPr>
            <w:r w:rsidRPr="00491301">
              <w:rPr>
                <w:color w:val="000000"/>
              </w:rPr>
              <w:t>$</w:t>
            </w:r>
            <w:r w:rsidR="000444D7">
              <w:rPr>
                <w:color w:val="000000"/>
              </w:rPr>
              <w:t>1.0</w:t>
            </w:r>
          </w:p>
        </w:tc>
        <w:tc>
          <w:tcPr>
            <w:tcW w:w="1237" w:type="pct"/>
            <w:tcBorders>
              <w:top w:val="single" w:sz="4" w:space="0" w:color="auto"/>
              <w:left w:val="single" w:sz="4" w:space="0" w:color="auto"/>
              <w:bottom w:val="single" w:sz="4" w:space="0" w:color="auto"/>
              <w:right w:val="single" w:sz="4" w:space="0" w:color="auto"/>
            </w:tcBorders>
            <w:vAlign w:val="bottom"/>
          </w:tcPr>
          <w:p w:rsidR="004A77B7" w:rsidRPr="000444D7" w:rsidP="00026F9A" w14:paraId="1AF3686B" w14:textId="4E56C0F2">
            <w:pPr>
              <w:jc w:val="center"/>
              <w:rPr>
                <w:color w:val="000000"/>
              </w:rPr>
            </w:pPr>
            <w:r w:rsidRPr="00491301">
              <w:rPr>
                <w:color w:val="000000"/>
              </w:rPr>
              <w:t>$1</w:t>
            </w:r>
            <w:r w:rsidR="000444D7">
              <w:rPr>
                <w:color w:val="000000"/>
              </w:rPr>
              <w:t>.9</w:t>
            </w:r>
          </w:p>
        </w:tc>
      </w:tr>
      <w:tr w14:paraId="0F5A39DF"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4A77B7" w:rsidRPr="005734CF" w:rsidP="00026F9A" w14:paraId="2F34468A" w14:textId="77777777">
            <w:pPr>
              <w:jc w:val="center"/>
            </w:pPr>
            <w:r w:rsidRPr="005734CF">
              <w:t>3</w:t>
            </w:r>
          </w:p>
        </w:tc>
        <w:tc>
          <w:tcPr>
            <w:tcW w:w="1237" w:type="pct"/>
            <w:tcBorders>
              <w:top w:val="single" w:sz="4" w:space="0" w:color="auto"/>
              <w:left w:val="single" w:sz="4" w:space="0" w:color="auto"/>
              <w:bottom w:val="single" w:sz="4" w:space="0" w:color="auto"/>
              <w:right w:val="single" w:sz="4" w:space="0" w:color="auto"/>
            </w:tcBorders>
            <w:vAlign w:val="bottom"/>
            <w:hideMark/>
          </w:tcPr>
          <w:p w:rsidR="004A77B7" w:rsidRPr="000444D7" w:rsidP="00026F9A" w14:paraId="0382D59B" w14:textId="7134EA7D">
            <w:pPr>
              <w:jc w:val="center"/>
              <w:rPr>
                <w:color w:val="000000"/>
              </w:rPr>
            </w:pPr>
            <w:r w:rsidRPr="00491301">
              <w:rPr>
                <w:color w:val="000000"/>
              </w:rPr>
              <w:t>$</w:t>
            </w:r>
            <w:r w:rsidR="000444D7">
              <w:rPr>
                <w:color w:val="000000"/>
              </w:rPr>
              <w:t>0.5</w:t>
            </w:r>
          </w:p>
        </w:tc>
        <w:tc>
          <w:tcPr>
            <w:tcW w:w="1237" w:type="pct"/>
            <w:tcBorders>
              <w:top w:val="single" w:sz="4" w:space="0" w:color="auto"/>
              <w:left w:val="single" w:sz="4" w:space="0" w:color="auto"/>
              <w:bottom w:val="single" w:sz="4" w:space="0" w:color="auto"/>
              <w:right w:val="single" w:sz="4" w:space="0" w:color="auto"/>
            </w:tcBorders>
            <w:vAlign w:val="bottom"/>
          </w:tcPr>
          <w:p w:rsidR="004A77B7" w:rsidRPr="000444D7" w:rsidP="00026F9A" w14:paraId="4D495AFF" w14:textId="1614B0CD">
            <w:pPr>
              <w:jc w:val="center"/>
              <w:rPr>
                <w:color w:val="000000"/>
              </w:rPr>
            </w:pPr>
            <w:r w:rsidRPr="00491301">
              <w:rPr>
                <w:color w:val="000000"/>
              </w:rPr>
              <w:t>$1</w:t>
            </w:r>
            <w:r w:rsidR="000444D7">
              <w:rPr>
                <w:color w:val="000000"/>
              </w:rPr>
              <w:t>.3</w:t>
            </w:r>
          </w:p>
        </w:tc>
        <w:tc>
          <w:tcPr>
            <w:tcW w:w="1237" w:type="pct"/>
            <w:tcBorders>
              <w:top w:val="single" w:sz="4" w:space="0" w:color="auto"/>
              <w:left w:val="single" w:sz="4" w:space="0" w:color="auto"/>
              <w:bottom w:val="single" w:sz="4" w:space="0" w:color="auto"/>
              <w:right w:val="single" w:sz="4" w:space="0" w:color="auto"/>
            </w:tcBorders>
            <w:vAlign w:val="bottom"/>
          </w:tcPr>
          <w:p w:rsidR="004A77B7" w:rsidRPr="000444D7" w:rsidP="00026F9A" w14:paraId="1234D19D" w14:textId="32CF77D3">
            <w:pPr>
              <w:jc w:val="center"/>
              <w:rPr>
                <w:color w:val="000000"/>
              </w:rPr>
            </w:pPr>
            <w:r w:rsidRPr="00491301">
              <w:rPr>
                <w:color w:val="000000"/>
              </w:rPr>
              <w:t>$2</w:t>
            </w:r>
            <w:r w:rsidR="000444D7">
              <w:rPr>
                <w:color w:val="000000"/>
              </w:rPr>
              <w:t>.3</w:t>
            </w:r>
          </w:p>
        </w:tc>
      </w:tr>
      <w:tr w14:paraId="30BEC55C"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0444D7" w:rsidRPr="005734CF" w:rsidP="00026F9A" w14:paraId="136ADE94" w14:textId="77777777">
            <w:pPr>
              <w:jc w:val="center"/>
            </w:pPr>
            <w:r w:rsidRPr="005734CF">
              <w:t>4</w:t>
            </w:r>
          </w:p>
        </w:tc>
        <w:tc>
          <w:tcPr>
            <w:tcW w:w="1237" w:type="pct"/>
            <w:tcBorders>
              <w:top w:val="single" w:sz="4" w:space="0" w:color="auto"/>
              <w:left w:val="single" w:sz="4" w:space="0" w:color="auto"/>
              <w:bottom w:val="single" w:sz="4" w:space="0" w:color="auto"/>
              <w:right w:val="single" w:sz="4" w:space="0" w:color="auto"/>
            </w:tcBorders>
            <w:vAlign w:val="bottom"/>
            <w:hideMark/>
          </w:tcPr>
          <w:p w:rsidR="000444D7" w:rsidRPr="000444D7" w:rsidP="00026F9A" w14:paraId="05E9A0F2" w14:textId="5C349AD7">
            <w:pPr>
              <w:jc w:val="center"/>
              <w:rPr>
                <w:color w:val="000000"/>
              </w:rPr>
            </w:pPr>
            <w:r w:rsidRPr="005B00BD">
              <w:rPr>
                <w:color w:val="000000"/>
              </w:rPr>
              <w:t>$</w:t>
            </w:r>
            <w:r>
              <w:rPr>
                <w:color w:val="000000"/>
              </w:rPr>
              <w:t>0.5</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6ED01AD5" w14:textId="692504FE">
            <w:pPr>
              <w:jc w:val="center"/>
              <w:rPr>
                <w:color w:val="000000"/>
              </w:rPr>
            </w:pPr>
            <w:r w:rsidRPr="005B00BD">
              <w:rPr>
                <w:color w:val="000000"/>
              </w:rPr>
              <w:t>$1</w:t>
            </w:r>
            <w:r>
              <w:rPr>
                <w:color w:val="000000"/>
              </w:rPr>
              <w:t>.3</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40A2630D" w14:textId="4C3D6AC6">
            <w:pPr>
              <w:jc w:val="center"/>
              <w:rPr>
                <w:color w:val="000000"/>
              </w:rPr>
            </w:pPr>
            <w:r w:rsidRPr="005B00BD">
              <w:rPr>
                <w:color w:val="000000"/>
              </w:rPr>
              <w:t>$2</w:t>
            </w:r>
            <w:r>
              <w:rPr>
                <w:color w:val="000000"/>
              </w:rPr>
              <w:t>.3</w:t>
            </w:r>
          </w:p>
        </w:tc>
      </w:tr>
      <w:tr w14:paraId="5B0B1292"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0444D7" w:rsidRPr="005734CF" w:rsidP="00026F9A" w14:paraId="21A639E2" w14:textId="77777777">
            <w:pPr>
              <w:jc w:val="center"/>
            </w:pPr>
            <w:r w:rsidRPr="005734CF">
              <w:t>5</w:t>
            </w:r>
          </w:p>
        </w:tc>
        <w:tc>
          <w:tcPr>
            <w:tcW w:w="1237" w:type="pct"/>
            <w:tcBorders>
              <w:top w:val="single" w:sz="4" w:space="0" w:color="auto"/>
              <w:left w:val="single" w:sz="4" w:space="0" w:color="auto"/>
              <w:bottom w:val="single" w:sz="4" w:space="0" w:color="auto"/>
              <w:right w:val="single" w:sz="4" w:space="0" w:color="auto"/>
            </w:tcBorders>
            <w:vAlign w:val="bottom"/>
            <w:hideMark/>
          </w:tcPr>
          <w:p w:rsidR="000444D7" w:rsidRPr="000444D7" w:rsidP="00026F9A" w14:paraId="01075651" w14:textId="6B361A59">
            <w:pPr>
              <w:jc w:val="center"/>
              <w:rPr>
                <w:color w:val="000000"/>
              </w:rPr>
            </w:pPr>
            <w:r w:rsidRPr="005B00BD">
              <w:rPr>
                <w:color w:val="000000"/>
              </w:rPr>
              <w:t>$</w:t>
            </w:r>
            <w:r>
              <w:rPr>
                <w:color w:val="000000"/>
              </w:rPr>
              <w:t>0.5</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11871248" w14:textId="159DC22B">
            <w:pPr>
              <w:jc w:val="center"/>
              <w:rPr>
                <w:color w:val="000000"/>
              </w:rPr>
            </w:pPr>
            <w:r w:rsidRPr="005B00BD">
              <w:rPr>
                <w:color w:val="000000"/>
              </w:rPr>
              <w:t>$1</w:t>
            </w:r>
            <w:r>
              <w:rPr>
                <w:color w:val="000000"/>
              </w:rPr>
              <w:t>.3</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05D5181F" w14:textId="602EAC95">
            <w:pPr>
              <w:jc w:val="center"/>
              <w:rPr>
                <w:color w:val="000000"/>
              </w:rPr>
            </w:pPr>
            <w:r w:rsidRPr="005B00BD">
              <w:rPr>
                <w:color w:val="000000"/>
              </w:rPr>
              <w:t>$2</w:t>
            </w:r>
            <w:r>
              <w:rPr>
                <w:color w:val="000000"/>
              </w:rPr>
              <w:t>.3</w:t>
            </w:r>
          </w:p>
        </w:tc>
      </w:tr>
      <w:tr w14:paraId="53CACF49"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0444D7" w:rsidRPr="005734CF" w:rsidP="00026F9A" w14:paraId="52D4612A" w14:textId="77777777">
            <w:pPr>
              <w:jc w:val="center"/>
            </w:pPr>
            <w:r w:rsidRPr="005734CF">
              <w:t>6</w:t>
            </w:r>
          </w:p>
        </w:tc>
        <w:tc>
          <w:tcPr>
            <w:tcW w:w="1237" w:type="pct"/>
            <w:tcBorders>
              <w:top w:val="single" w:sz="4" w:space="0" w:color="auto"/>
              <w:left w:val="single" w:sz="4" w:space="0" w:color="auto"/>
              <w:bottom w:val="single" w:sz="4" w:space="0" w:color="auto"/>
              <w:right w:val="single" w:sz="4" w:space="0" w:color="auto"/>
            </w:tcBorders>
            <w:vAlign w:val="bottom"/>
            <w:hideMark/>
          </w:tcPr>
          <w:p w:rsidR="000444D7" w:rsidRPr="000444D7" w:rsidP="00026F9A" w14:paraId="38A05CA1" w14:textId="799FBC79">
            <w:pPr>
              <w:jc w:val="center"/>
              <w:rPr>
                <w:color w:val="000000"/>
              </w:rPr>
            </w:pPr>
            <w:r w:rsidRPr="005B00BD">
              <w:rPr>
                <w:color w:val="000000"/>
              </w:rPr>
              <w:t>$</w:t>
            </w:r>
            <w:r>
              <w:rPr>
                <w:color w:val="000000"/>
              </w:rPr>
              <w:t>0.5</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7B0E5431" w14:textId="000E60D4">
            <w:pPr>
              <w:jc w:val="center"/>
              <w:rPr>
                <w:color w:val="000000"/>
              </w:rPr>
            </w:pPr>
            <w:r w:rsidRPr="005B00BD">
              <w:rPr>
                <w:color w:val="000000"/>
              </w:rPr>
              <w:t>$1</w:t>
            </w:r>
            <w:r>
              <w:rPr>
                <w:color w:val="000000"/>
              </w:rPr>
              <w:t>.3</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6FC0D57B" w14:textId="42A543A9">
            <w:pPr>
              <w:jc w:val="center"/>
              <w:rPr>
                <w:color w:val="000000"/>
              </w:rPr>
            </w:pPr>
            <w:r w:rsidRPr="005B00BD">
              <w:rPr>
                <w:color w:val="000000"/>
              </w:rPr>
              <w:t>$2</w:t>
            </w:r>
            <w:r>
              <w:rPr>
                <w:color w:val="000000"/>
              </w:rPr>
              <w:t>.3</w:t>
            </w:r>
          </w:p>
        </w:tc>
      </w:tr>
      <w:tr w14:paraId="1384BE26"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0444D7" w:rsidRPr="005734CF" w:rsidP="00026F9A" w14:paraId="267F0A40" w14:textId="77777777">
            <w:pPr>
              <w:jc w:val="center"/>
            </w:pPr>
            <w:r w:rsidRPr="005734CF">
              <w:t>7</w:t>
            </w:r>
          </w:p>
        </w:tc>
        <w:tc>
          <w:tcPr>
            <w:tcW w:w="1237" w:type="pct"/>
            <w:tcBorders>
              <w:top w:val="single" w:sz="4" w:space="0" w:color="auto"/>
              <w:left w:val="single" w:sz="4" w:space="0" w:color="auto"/>
              <w:bottom w:val="single" w:sz="4" w:space="0" w:color="auto"/>
              <w:right w:val="single" w:sz="4" w:space="0" w:color="auto"/>
            </w:tcBorders>
            <w:vAlign w:val="bottom"/>
            <w:hideMark/>
          </w:tcPr>
          <w:p w:rsidR="000444D7" w:rsidRPr="000444D7" w:rsidP="00026F9A" w14:paraId="72B8EDD9" w14:textId="59218F66">
            <w:pPr>
              <w:jc w:val="center"/>
              <w:rPr>
                <w:color w:val="000000"/>
              </w:rPr>
            </w:pPr>
            <w:r w:rsidRPr="005B00BD">
              <w:rPr>
                <w:color w:val="000000"/>
              </w:rPr>
              <w:t>$</w:t>
            </w:r>
            <w:r>
              <w:rPr>
                <w:color w:val="000000"/>
              </w:rPr>
              <w:t>0.5</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3B898B4E" w14:textId="77871DD5">
            <w:pPr>
              <w:jc w:val="center"/>
              <w:rPr>
                <w:color w:val="000000"/>
              </w:rPr>
            </w:pPr>
            <w:r w:rsidRPr="005B00BD">
              <w:rPr>
                <w:color w:val="000000"/>
              </w:rPr>
              <w:t>$1</w:t>
            </w:r>
            <w:r>
              <w:rPr>
                <w:color w:val="000000"/>
              </w:rPr>
              <w:t>.3</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26B1F15A" w14:textId="15907628">
            <w:pPr>
              <w:jc w:val="center"/>
              <w:rPr>
                <w:color w:val="000000"/>
              </w:rPr>
            </w:pPr>
            <w:r w:rsidRPr="005B00BD">
              <w:rPr>
                <w:color w:val="000000"/>
              </w:rPr>
              <w:t>$2</w:t>
            </w:r>
            <w:r>
              <w:rPr>
                <w:color w:val="000000"/>
              </w:rPr>
              <w:t>.3</w:t>
            </w:r>
          </w:p>
        </w:tc>
      </w:tr>
      <w:tr w14:paraId="5744CC86"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0444D7" w:rsidRPr="005734CF" w:rsidP="00026F9A" w14:paraId="667F70F9" w14:textId="77777777">
            <w:pPr>
              <w:jc w:val="center"/>
            </w:pPr>
            <w:r w:rsidRPr="005734CF">
              <w:t>8</w:t>
            </w:r>
          </w:p>
        </w:tc>
        <w:tc>
          <w:tcPr>
            <w:tcW w:w="1237" w:type="pct"/>
            <w:tcBorders>
              <w:top w:val="single" w:sz="4" w:space="0" w:color="auto"/>
              <w:left w:val="single" w:sz="4" w:space="0" w:color="auto"/>
              <w:bottom w:val="single" w:sz="4" w:space="0" w:color="auto"/>
              <w:right w:val="single" w:sz="4" w:space="0" w:color="auto"/>
            </w:tcBorders>
            <w:vAlign w:val="bottom"/>
            <w:hideMark/>
          </w:tcPr>
          <w:p w:rsidR="000444D7" w:rsidRPr="000444D7" w:rsidP="00026F9A" w14:paraId="421DF100" w14:textId="6211A715">
            <w:pPr>
              <w:jc w:val="center"/>
              <w:rPr>
                <w:color w:val="000000"/>
              </w:rPr>
            </w:pPr>
            <w:r w:rsidRPr="005B00BD">
              <w:rPr>
                <w:color w:val="000000"/>
              </w:rPr>
              <w:t>$</w:t>
            </w:r>
            <w:r>
              <w:rPr>
                <w:color w:val="000000"/>
              </w:rPr>
              <w:t>0.5</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11B36019" w14:textId="5A43C691">
            <w:pPr>
              <w:jc w:val="center"/>
              <w:rPr>
                <w:color w:val="000000"/>
              </w:rPr>
            </w:pPr>
            <w:r w:rsidRPr="005B00BD">
              <w:rPr>
                <w:color w:val="000000"/>
              </w:rPr>
              <w:t>$1</w:t>
            </w:r>
            <w:r>
              <w:rPr>
                <w:color w:val="000000"/>
              </w:rPr>
              <w:t>.3</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297A636B" w14:textId="75257EC4">
            <w:pPr>
              <w:jc w:val="center"/>
              <w:rPr>
                <w:color w:val="000000"/>
              </w:rPr>
            </w:pPr>
            <w:r w:rsidRPr="005B00BD">
              <w:rPr>
                <w:color w:val="000000"/>
              </w:rPr>
              <w:t>$2</w:t>
            </w:r>
            <w:r>
              <w:rPr>
                <w:color w:val="000000"/>
              </w:rPr>
              <w:t>.3</w:t>
            </w:r>
          </w:p>
        </w:tc>
      </w:tr>
      <w:tr w14:paraId="21612AF7"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0444D7" w:rsidRPr="005734CF" w:rsidP="00026F9A" w14:paraId="0567038E" w14:textId="77777777">
            <w:pPr>
              <w:jc w:val="center"/>
            </w:pPr>
            <w:r w:rsidRPr="005734CF">
              <w:t>9</w:t>
            </w:r>
          </w:p>
        </w:tc>
        <w:tc>
          <w:tcPr>
            <w:tcW w:w="1237" w:type="pct"/>
            <w:tcBorders>
              <w:top w:val="single" w:sz="4" w:space="0" w:color="auto"/>
              <w:left w:val="single" w:sz="4" w:space="0" w:color="auto"/>
              <w:bottom w:val="single" w:sz="4" w:space="0" w:color="auto"/>
              <w:right w:val="single" w:sz="4" w:space="0" w:color="auto"/>
            </w:tcBorders>
            <w:vAlign w:val="bottom"/>
            <w:hideMark/>
          </w:tcPr>
          <w:p w:rsidR="000444D7" w:rsidRPr="000444D7" w:rsidP="00026F9A" w14:paraId="5C000E04" w14:textId="3A7D1A18">
            <w:pPr>
              <w:jc w:val="center"/>
              <w:rPr>
                <w:color w:val="000000"/>
              </w:rPr>
            </w:pPr>
            <w:r w:rsidRPr="005B00BD">
              <w:rPr>
                <w:color w:val="000000"/>
              </w:rPr>
              <w:t>$</w:t>
            </w:r>
            <w:r>
              <w:rPr>
                <w:color w:val="000000"/>
              </w:rPr>
              <w:t>0.5</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09268879" w14:textId="6C5ECBFB">
            <w:pPr>
              <w:jc w:val="center"/>
              <w:rPr>
                <w:color w:val="000000"/>
              </w:rPr>
            </w:pPr>
            <w:r w:rsidRPr="005B00BD">
              <w:rPr>
                <w:color w:val="000000"/>
              </w:rPr>
              <w:t>$1</w:t>
            </w:r>
            <w:r>
              <w:rPr>
                <w:color w:val="000000"/>
              </w:rPr>
              <w:t>.3</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264E3558" w14:textId="0BC43E0B">
            <w:pPr>
              <w:jc w:val="center"/>
              <w:rPr>
                <w:color w:val="000000"/>
              </w:rPr>
            </w:pPr>
            <w:r w:rsidRPr="005B00BD">
              <w:rPr>
                <w:color w:val="000000"/>
              </w:rPr>
              <w:t>$2</w:t>
            </w:r>
            <w:r>
              <w:rPr>
                <w:color w:val="000000"/>
              </w:rPr>
              <w:t>.3</w:t>
            </w:r>
          </w:p>
        </w:tc>
      </w:tr>
      <w:tr w14:paraId="6D4B2767"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0444D7" w:rsidRPr="005734CF" w:rsidP="00026F9A" w14:paraId="27BA0FD6" w14:textId="77777777">
            <w:pPr>
              <w:jc w:val="center"/>
            </w:pPr>
            <w:r w:rsidRPr="005734CF">
              <w:t>Annualized, 3%</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27FE50DF" w14:textId="028CE82B">
            <w:pPr>
              <w:jc w:val="center"/>
              <w:rPr>
                <w:rFonts w:eastAsia="Times New Roman"/>
                <w:color w:val="000000"/>
              </w:rPr>
            </w:pPr>
            <w:r w:rsidRPr="00491301">
              <w:rPr>
                <w:color w:val="000000"/>
              </w:rPr>
              <w:t>$</w:t>
            </w:r>
            <w:r>
              <w:rPr>
                <w:color w:val="000000"/>
              </w:rPr>
              <w:t>0.4</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62714377" w14:textId="72B367A0">
            <w:pPr>
              <w:jc w:val="center"/>
              <w:rPr>
                <w:color w:val="000000"/>
              </w:rPr>
            </w:pPr>
            <w:r w:rsidRPr="00491301">
              <w:rPr>
                <w:color w:val="000000"/>
              </w:rPr>
              <w:t>$1</w:t>
            </w:r>
            <w:r>
              <w:rPr>
                <w:color w:val="000000"/>
              </w:rPr>
              <w:t>.1</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2E361EDF" w14:textId="679B5332">
            <w:pPr>
              <w:jc w:val="center"/>
              <w:rPr>
                <w:color w:val="000000"/>
              </w:rPr>
            </w:pPr>
            <w:r w:rsidRPr="00491301">
              <w:rPr>
                <w:color w:val="000000"/>
              </w:rPr>
              <w:t>$</w:t>
            </w:r>
            <w:r>
              <w:rPr>
                <w:color w:val="000000"/>
              </w:rPr>
              <w:t>2.0</w:t>
            </w:r>
          </w:p>
        </w:tc>
      </w:tr>
      <w:tr w14:paraId="257D1D05"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0444D7" w:rsidRPr="005734CF" w:rsidP="00026F9A" w14:paraId="773384D0" w14:textId="77777777">
            <w:pPr>
              <w:jc w:val="center"/>
            </w:pPr>
            <w:r w:rsidRPr="005734CF">
              <w:t>Annualized, 7%</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0E7B1D12" w14:textId="4CD38F7D">
            <w:pPr>
              <w:jc w:val="center"/>
              <w:rPr>
                <w:color w:val="000000"/>
              </w:rPr>
            </w:pPr>
            <w:r w:rsidRPr="00491301">
              <w:rPr>
                <w:color w:val="000000"/>
              </w:rPr>
              <w:t>$</w:t>
            </w:r>
            <w:r>
              <w:rPr>
                <w:color w:val="000000"/>
              </w:rPr>
              <w:t>0.3</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2416F89C" w14:textId="6B347E95">
            <w:pPr>
              <w:jc w:val="center"/>
              <w:rPr>
                <w:color w:val="000000"/>
              </w:rPr>
            </w:pPr>
            <w:r w:rsidRPr="00491301">
              <w:rPr>
                <w:color w:val="000000"/>
              </w:rPr>
              <w:t>$1</w:t>
            </w:r>
            <w:r>
              <w:rPr>
                <w:color w:val="000000"/>
              </w:rPr>
              <w:t>.1</w:t>
            </w:r>
          </w:p>
        </w:tc>
        <w:tc>
          <w:tcPr>
            <w:tcW w:w="1237" w:type="pct"/>
            <w:tcBorders>
              <w:top w:val="single" w:sz="4" w:space="0" w:color="auto"/>
              <w:left w:val="single" w:sz="4" w:space="0" w:color="auto"/>
              <w:bottom w:val="single" w:sz="4" w:space="0" w:color="auto"/>
              <w:right w:val="single" w:sz="4" w:space="0" w:color="auto"/>
            </w:tcBorders>
            <w:vAlign w:val="bottom"/>
          </w:tcPr>
          <w:p w:rsidR="000444D7" w:rsidRPr="000444D7" w:rsidP="00026F9A" w14:paraId="204C2D93" w14:textId="57E9019B">
            <w:pPr>
              <w:jc w:val="center"/>
              <w:rPr>
                <w:color w:val="000000"/>
              </w:rPr>
            </w:pPr>
            <w:r w:rsidRPr="00491301">
              <w:rPr>
                <w:color w:val="000000"/>
              </w:rPr>
              <w:t>$1</w:t>
            </w:r>
            <w:r>
              <w:rPr>
                <w:color w:val="000000"/>
              </w:rPr>
              <w:t>.9</w:t>
            </w:r>
          </w:p>
        </w:tc>
      </w:tr>
    </w:tbl>
    <w:p w:rsidR="00EF0EC0" w:rsidP="00287950" w14:paraId="4BCF20A2" w14:textId="77777777">
      <w:pPr>
        <w:spacing w:after="0" w:line="480" w:lineRule="auto"/>
        <w:ind w:firstLine="720"/>
      </w:pPr>
    </w:p>
    <w:p w:rsidR="00EF0EC0" w:rsidP="00287950" w14:paraId="6423BC31" w14:textId="77777777">
      <w:pPr>
        <w:pStyle w:val="ListParagraph"/>
        <w:numPr>
          <w:ilvl w:val="0"/>
          <w:numId w:val="13"/>
        </w:numPr>
        <w:spacing w:after="0" w:line="480" w:lineRule="auto"/>
      </w:pPr>
      <w:r>
        <w:t>Recordkeeping</w:t>
      </w:r>
    </w:p>
    <w:p w:rsidR="00EF0EC0" w:rsidP="00026F9A" w14:paraId="49F79FBB" w14:textId="5685086D">
      <w:pPr>
        <w:spacing w:line="480" w:lineRule="auto"/>
        <w:ind w:firstLine="720"/>
      </w:pPr>
      <w:r>
        <w:t xml:space="preserve">The agricultural water recordkeeping provisions in the 2015 </w:t>
      </w:r>
      <w:r w:rsidR="00026B9D">
        <w:t xml:space="preserve">produce safety final rule </w:t>
      </w:r>
      <w:r>
        <w:rPr>
          <w:color w:val="000000"/>
        </w:rPr>
        <w:t>that apply for pre-harvest</w:t>
      </w:r>
      <w:r w:rsidRPr="507C8EC9" w:rsidR="00353B04">
        <w:rPr>
          <w:color w:val="000000" w:themeColor="text1"/>
        </w:rPr>
        <w:t xml:space="preserve"> agricultural</w:t>
      </w:r>
      <w:r>
        <w:rPr>
          <w:color w:val="000000"/>
        </w:rPr>
        <w:t xml:space="preserve"> water</w:t>
      </w:r>
      <w:r w:rsidRPr="507C8EC9" w:rsidR="00353B04">
        <w:rPr>
          <w:color w:val="000000" w:themeColor="text1"/>
        </w:rPr>
        <w:t xml:space="preserve"> would have</w:t>
      </w:r>
      <w:r>
        <w:rPr>
          <w:color w:val="000000"/>
        </w:rPr>
        <w:t xml:space="preserve"> </w:t>
      </w:r>
      <w:r>
        <w:t>require</w:t>
      </w:r>
      <w:r w:rsidR="00353B04">
        <w:t>d</w:t>
      </w:r>
      <w:r>
        <w:t xml:space="preserve"> that farms keep written records of all analytical water tests conducted. We assume that recordkeeping has a time burden of one hour for each test conducted. We use wage data for “Farm Operators” for very small and small farms and wage data for “Farm Supervisors” for large farms</w:t>
      </w:r>
      <w:r w:rsidR="006B3B93">
        <w:t>, and double the rates to yield fully-loaded labor costs, as per HHS guidelines</w:t>
      </w:r>
      <w:r>
        <w:t>. For very small and small farms, we use the fully-loaded BLS hourly cost of labor of $</w:t>
      </w:r>
      <w:r w:rsidR="008427A9">
        <w:t>80.58</w:t>
      </w:r>
      <w:r>
        <w:t xml:space="preserve"> for “Farmers, Ranchers, and Other Agricultural </w:t>
      </w:r>
      <w:r w:rsidRPr="000C24C7">
        <w:t>Managers”</w:t>
      </w:r>
      <w:r w:rsidRPr="000C24C7">
        <w:rPr>
          <w:kern w:val="36"/>
        </w:rPr>
        <w:t xml:space="preserve"> (Ref. </w:t>
      </w:r>
      <w:r w:rsidRPr="000C24C7" w:rsidR="001341F2">
        <w:rPr>
          <w:kern w:val="36"/>
        </w:rPr>
        <w:t>10</w:t>
      </w:r>
      <w:r w:rsidRPr="000C24C7">
        <w:rPr>
          <w:kern w:val="36"/>
        </w:rPr>
        <w:t>)</w:t>
      </w:r>
      <w:r w:rsidRPr="000C24C7">
        <w:t>.</w:t>
      </w:r>
      <w:r>
        <w:t xml:space="preserve"> For large farms, we use the fully-loaded BLS hourly cost of labor of $5</w:t>
      </w:r>
      <w:r w:rsidR="008427A9">
        <w:t>6.56</w:t>
      </w:r>
      <w:r>
        <w:t xml:space="preserve"> for </w:t>
      </w:r>
      <w:r w:rsidRPr="007A5E27">
        <w:t xml:space="preserve">“First-Line Supervisors of Farming, Fishing, and Forestry </w:t>
      </w:r>
      <w:r w:rsidRPr="00276D8F">
        <w:t xml:space="preserve">Workers” </w:t>
      </w:r>
      <w:r w:rsidRPr="00276D8F">
        <w:rPr>
          <w:kern w:val="36"/>
        </w:rPr>
        <w:t xml:space="preserve">(Ref. </w:t>
      </w:r>
      <w:r w:rsidRPr="00276D8F" w:rsidR="001341F2">
        <w:rPr>
          <w:kern w:val="36"/>
        </w:rPr>
        <w:t>11</w:t>
      </w:r>
      <w:r w:rsidRPr="00276D8F">
        <w:rPr>
          <w:kern w:val="36"/>
        </w:rPr>
        <w:t>)</w:t>
      </w:r>
      <w:r w:rsidRPr="00276D8F">
        <w:t>. Table</w:t>
      </w:r>
      <w:r>
        <w:t xml:space="preserve"> 13 presents estimated costs of recordkeeping </w:t>
      </w:r>
      <w:r w:rsidR="005F180E">
        <w:t xml:space="preserve">related to the pre-harvest agricultural water </w:t>
      </w:r>
      <w:r w:rsidR="00944A8B">
        <w:t xml:space="preserve">testing requirements in the 2015 </w:t>
      </w:r>
      <w:r w:rsidR="00026B9D">
        <w:t xml:space="preserve">produce safety final rule </w:t>
      </w:r>
      <w:r>
        <w:t xml:space="preserve">by year. </w:t>
      </w:r>
      <w:r>
        <w:rPr>
          <w:rFonts w:eastAsia="Times New Roman"/>
        </w:rPr>
        <w:t>Our primary estimate of the cost of recordkeeping is $</w:t>
      </w:r>
      <w:r w:rsidR="00DD5C83">
        <w:rPr>
          <w:rFonts w:eastAsia="Times New Roman"/>
        </w:rPr>
        <w:t>2.</w:t>
      </w:r>
      <w:r w:rsidR="00453A55">
        <w:rPr>
          <w:rFonts w:eastAsia="Times New Roman"/>
        </w:rPr>
        <w:t>5</w:t>
      </w:r>
      <w:r>
        <w:rPr>
          <w:rFonts w:eastAsia="Times New Roman"/>
        </w:rPr>
        <w:t xml:space="preserve"> million annualized at a 3% discount rate; at a 7% discount rate, this primary estimate is also $</w:t>
      </w:r>
      <w:r w:rsidR="00DD5C83">
        <w:rPr>
          <w:rFonts w:eastAsia="Times New Roman"/>
        </w:rPr>
        <w:t>2.</w:t>
      </w:r>
      <w:r w:rsidR="00453A55">
        <w:rPr>
          <w:rFonts w:eastAsia="Times New Roman"/>
        </w:rPr>
        <w:t>5</w:t>
      </w:r>
      <w:r>
        <w:rPr>
          <w:rFonts w:eastAsia="Times New Roman"/>
        </w:rPr>
        <w:t xml:space="preserve"> million annualized.</w:t>
      </w:r>
    </w:p>
    <w:p w:rsidR="00EF0EC0" w:rsidRPr="00F16FAC" w:rsidP="00026F9A" w14:paraId="3BB7B368" w14:textId="30CB3A7C">
      <w:pPr>
        <w:rPr>
          <w:b/>
        </w:rPr>
      </w:pPr>
      <w:r w:rsidRPr="00F16FAC">
        <w:rPr>
          <w:b/>
        </w:rPr>
        <w:t>Table</w:t>
      </w:r>
      <w:r>
        <w:rPr>
          <w:b/>
        </w:rPr>
        <w:t xml:space="preserve"> 13: Total</w:t>
      </w:r>
      <w:r w:rsidRPr="00F16FAC">
        <w:rPr>
          <w:b/>
        </w:rPr>
        <w:t xml:space="preserve"> </w:t>
      </w:r>
      <w:r>
        <w:rPr>
          <w:b/>
        </w:rPr>
        <w:t>Cost of Recordkeeping, Pre-harvest Testing Provisions</w:t>
      </w:r>
      <w:r w:rsidR="006C3444">
        <w:rPr>
          <w:b/>
        </w:rPr>
        <w:t xml:space="preserve"> in the 2015 Produce Safety Final Rule</w:t>
      </w:r>
      <w:r w:rsidRPr="00F16FAC">
        <w:rPr>
          <w:b/>
        </w:rPr>
        <w:t xml:space="preserve"> (</w:t>
      </w:r>
      <w:r w:rsidR="00DD5C83">
        <w:rPr>
          <w:b/>
        </w:rPr>
        <w:t xml:space="preserve">millions </w:t>
      </w:r>
      <w:r w:rsidRPr="00F16FAC">
        <w:rPr>
          <w:b/>
        </w:rPr>
        <w:t>20</w:t>
      </w:r>
      <w:r w:rsidR="00DD5C83">
        <w:rPr>
          <w:b/>
        </w:rPr>
        <w:t>2</w:t>
      </w:r>
      <w:r w:rsidR="00453A55">
        <w:rPr>
          <w:b/>
        </w:rPr>
        <w:t>2</w:t>
      </w:r>
      <w:r w:rsidRPr="00F16FAC">
        <w:rPr>
          <w:b/>
        </w:rPr>
        <w:t>$)</w:t>
      </w:r>
    </w:p>
    <w:tbl>
      <w:tblPr>
        <w:tblStyle w:val="TableGrid"/>
        <w:tblW w:w="5000" w:type="pct"/>
        <w:tblLook w:val="04A0"/>
      </w:tblPr>
      <w:tblGrid>
        <w:gridCol w:w="3413"/>
        <w:gridCol w:w="5937"/>
      </w:tblGrid>
      <w:tr w14:paraId="454DA67B"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hideMark/>
          </w:tcPr>
          <w:p w:rsidR="00EF0EC0" w:rsidRPr="00F16FAC" w:rsidP="00026F9A" w14:paraId="116A7AE5" w14:textId="77777777">
            <w:pPr>
              <w:jc w:val="center"/>
              <w:rPr>
                <w:b/>
              </w:rPr>
            </w:pPr>
            <w:r w:rsidRPr="00F16FAC">
              <w:rPr>
                <w:b/>
              </w:rPr>
              <w:t>Years after publication</w:t>
            </w:r>
          </w:p>
        </w:tc>
        <w:tc>
          <w:tcPr>
            <w:tcW w:w="3175" w:type="pct"/>
            <w:tcBorders>
              <w:top w:val="single" w:sz="4" w:space="0" w:color="auto"/>
              <w:left w:val="single" w:sz="4" w:space="0" w:color="auto"/>
              <w:bottom w:val="single" w:sz="4" w:space="0" w:color="auto"/>
              <w:right w:val="single" w:sz="4" w:space="0" w:color="auto"/>
            </w:tcBorders>
            <w:hideMark/>
          </w:tcPr>
          <w:p w:rsidR="00EF0EC0" w:rsidRPr="00F16FAC" w:rsidP="00026F9A" w14:paraId="3CF95C10" w14:textId="77777777">
            <w:pPr>
              <w:jc w:val="center"/>
              <w:rPr>
                <w:b/>
              </w:rPr>
            </w:pPr>
            <w:r>
              <w:rPr>
                <w:b/>
              </w:rPr>
              <w:t>Cost</w:t>
            </w:r>
          </w:p>
        </w:tc>
      </w:tr>
      <w:tr w14:paraId="49DF6FDF"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4EF8A043" w14:textId="77777777">
            <w:pPr>
              <w:jc w:val="center"/>
            </w:pPr>
            <w:r w:rsidRPr="00F16FAC">
              <w:t>0</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3329138A" w14:textId="0F9BEC50">
            <w:pPr>
              <w:jc w:val="center"/>
              <w:rPr>
                <w:rFonts w:eastAsia="Times New Roman"/>
                <w:color w:val="000000"/>
              </w:rPr>
            </w:pPr>
            <w:r w:rsidRPr="00DD5C83">
              <w:rPr>
                <w:color w:val="000000"/>
              </w:rPr>
              <w:t>$0</w:t>
            </w:r>
          </w:p>
        </w:tc>
      </w:tr>
      <w:tr w14:paraId="210BB0E6" w14:textId="77777777">
        <w:tblPrEx>
          <w:tblW w:w="5000" w:type="pct"/>
          <w:tblLook w:val="04A0"/>
        </w:tblPrEx>
        <w:trPr>
          <w:trHeight w:val="265"/>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1BD39694" w14:textId="77777777">
            <w:pPr>
              <w:jc w:val="center"/>
            </w:pPr>
            <w:r w:rsidRPr="00F16FAC">
              <w:t>1</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1F447A11" w14:textId="7F8F68E8">
            <w:pPr>
              <w:jc w:val="center"/>
              <w:rPr>
                <w:color w:val="000000"/>
              </w:rPr>
            </w:pPr>
            <w:r w:rsidRPr="00DD5C83">
              <w:rPr>
                <w:color w:val="000000"/>
              </w:rPr>
              <w:t>$1</w:t>
            </w:r>
            <w:r>
              <w:rPr>
                <w:color w:val="000000"/>
              </w:rPr>
              <w:t>.</w:t>
            </w:r>
            <w:r w:rsidR="00453A55">
              <w:rPr>
                <w:color w:val="000000"/>
              </w:rPr>
              <w:t>3</w:t>
            </w:r>
          </w:p>
        </w:tc>
      </w:tr>
      <w:tr w14:paraId="4525306A"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588E2F69" w14:textId="77777777">
            <w:pPr>
              <w:jc w:val="center"/>
            </w:pPr>
            <w:r w:rsidRPr="00F16FAC">
              <w:t>2</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61BDB066" w14:textId="3BB87F86">
            <w:pPr>
              <w:jc w:val="center"/>
              <w:rPr>
                <w:color w:val="000000"/>
              </w:rPr>
            </w:pPr>
            <w:r w:rsidRPr="00DD5C83">
              <w:rPr>
                <w:color w:val="000000"/>
              </w:rPr>
              <w:t>$1</w:t>
            </w:r>
            <w:r>
              <w:rPr>
                <w:color w:val="000000"/>
              </w:rPr>
              <w:t>.</w:t>
            </w:r>
            <w:r w:rsidR="00453A55">
              <w:rPr>
                <w:color w:val="000000"/>
              </w:rPr>
              <w:t>4</w:t>
            </w:r>
          </w:p>
        </w:tc>
      </w:tr>
      <w:tr w14:paraId="08DBF1F7"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3EBF39E9" w14:textId="77777777">
            <w:pPr>
              <w:jc w:val="center"/>
            </w:pPr>
            <w:r w:rsidRPr="00F16FAC">
              <w:t>3</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491D6C98" w14:textId="3000F93E">
            <w:pPr>
              <w:jc w:val="center"/>
              <w:rPr>
                <w:color w:val="000000"/>
              </w:rPr>
            </w:pPr>
            <w:r w:rsidRPr="00DD5C83">
              <w:rPr>
                <w:color w:val="000000"/>
              </w:rPr>
              <w:t>$4</w:t>
            </w:r>
            <w:r>
              <w:rPr>
                <w:color w:val="000000"/>
              </w:rPr>
              <w:t>.</w:t>
            </w:r>
            <w:r w:rsidR="00453A55">
              <w:rPr>
                <w:color w:val="000000"/>
              </w:rPr>
              <w:t>5</w:t>
            </w:r>
          </w:p>
        </w:tc>
      </w:tr>
      <w:tr w14:paraId="46B4AD77"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78DE5609" w14:textId="77777777">
            <w:pPr>
              <w:jc w:val="center"/>
            </w:pPr>
            <w:r w:rsidRPr="00F16FAC">
              <w:t>4</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04979826" w14:textId="306696E4">
            <w:pPr>
              <w:jc w:val="center"/>
              <w:rPr>
                <w:color w:val="000000"/>
              </w:rPr>
            </w:pPr>
            <w:r w:rsidRPr="00DD5C83">
              <w:rPr>
                <w:color w:val="000000"/>
              </w:rPr>
              <w:t>$2</w:t>
            </w:r>
            <w:r>
              <w:rPr>
                <w:color w:val="000000"/>
              </w:rPr>
              <w:t>.</w:t>
            </w:r>
            <w:r w:rsidR="00453A55">
              <w:rPr>
                <w:color w:val="000000"/>
              </w:rPr>
              <w:t>9</w:t>
            </w:r>
          </w:p>
        </w:tc>
      </w:tr>
      <w:tr w14:paraId="1D5039CE"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1C6F88E5" w14:textId="77777777">
            <w:pPr>
              <w:jc w:val="center"/>
            </w:pPr>
            <w:r w:rsidRPr="00F16FAC">
              <w:t>5</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7DE38AC9" w14:textId="6AB77AB9">
            <w:pPr>
              <w:jc w:val="center"/>
              <w:rPr>
                <w:color w:val="000000"/>
              </w:rPr>
            </w:pPr>
            <w:r w:rsidRPr="00DD5C83">
              <w:rPr>
                <w:color w:val="000000"/>
              </w:rPr>
              <w:t>$2</w:t>
            </w:r>
            <w:r>
              <w:rPr>
                <w:color w:val="000000"/>
              </w:rPr>
              <w:t>.</w:t>
            </w:r>
            <w:r w:rsidR="00453A55">
              <w:rPr>
                <w:color w:val="000000"/>
              </w:rPr>
              <w:t>9</w:t>
            </w:r>
          </w:p>
        </w:tc>
      </w:tr>
      <w:tr w14:paraId="432B05A4"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29C6662F" w14:textId="77777777">
            <w:pPr>
              <w:jc w:val="center"/>
            </w:pPr>
            <w:r w:rsidRPr="00F16FAC">
              <w:t>6</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3B4AE474" w14:textId="1BEBF981">
            <w:pPr>
              <w:jc w:val="center"/>
              <w:rPr>
                <w:color w:val="000000"/>
              </w:rPr>
            </w:pPr>
            <w:r w:rsidRPr="00DD5C83">
              <w:rPr>
                <w:color w:val="000000"/>
              </w:rPr>
              <w:t>$2</w:t>
            </w:r>
            <w:r>
              <w:rPr>
                <w:color w:val="000000"/>
              </w:rPr>
              <w:t>.</w:t>
            </w:r>
            <w:r w:rsidR="00453A55">
              <w:rPr>
                <w:color w:val="000000"/>
              </w:rPr>
              <w:t>9</w:t>
            </w:r>
          </w:p>
        </w:tc>
      </w:tr>
      <w:tr w14:paraId="733E6785" w14:textId="77777777">
        <w:tblPrEx>
          <w:tblW w:w="5000" w:type="pct"/>
          <w:tblLook w:val="04A0"/>
        </w:tblPrEx>
        <w:trPr>
          <w:trHeight w:val="265"/>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648433B3" w14:textId="77777777">
            <w:pPr>
              <w:jc w:val="center"/>
            </w:pPr>
            <w:r w:rsidRPr="00F16FAC">
              <w:t>7</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3EC05309" w14:textId="46CF8BBA">
            <w:pPr>
              <w:jc w:val="center"/>
              <w:rPr>
                <w:color w:val="000000"/>
              </w:rPr>
            </w:pPr>
            <w:r w:rsidRPr="00DD5C83">
              <w:rPr>
                <w:color w:val="000000"/>
              </w:rPr>
              <w:t>$2</w:t>
            </w:r>
            <w:r>
              <w:rPr>
                <w:color w:val="000000"/>
              </w:rPr>
              <w:t>.</w:t>
            </w:r>
            <w:r w:rsidR="00453A55">
              <w:rPr>
                <w:color w:val="000000"/>
              </w:rPr>
              <w:t>9</w:t>
            </w:r>
          </w:p>
        </w:tc>
      </w:tr>
      <w:tr w14:paraId="303DD250"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3C163EB2" w14:textId="77777777">
            <w:pPr>
              <w:jc w:val="center"/>
            </w:pPr>
            <w:r w:rsidRPr="00F16FAC">
              <w:t>8</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3C70035D" w14:textId="23302B73">
            <w:pPr>
              <w:jc w:val="center"/>
              <w:rPr>
                <w:color w:val="000000"/>
              </w:rPr>
            </w:pPr>
            <w:r w:rsidRPr="00DD5C83">
              <w:rPr>
                <w:color w:val="000000"/>
              </w:rPr>
              <w:t>$2</w:t>
            </w:r>
            <w:r>
              <w:rPr>
                <w:color w:val="000000"/>
              </w:rPr>
              <w:t>.</w:t>
            </w:r>
            <w:r w:rsidR="00453A55">
              <w:rPr>
                <w:color w:val="000000"/>
              </w:rPr>
              <w:t>9</w:t>
            </w:r>
          </w:p>
        </w:tc>
      </w:tr>
      <w:tr w14:paraId="4CCFC7FF"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hideMark/>
          </w:tcPr>
          <w:p w:rsidR="00DD5C83" w:rsidRPr="00F16FAC" w:rsidP="00026F9A" w14:paraId="4EBA247F" w14:textId="77777777">
            <w:pPr>
              <w:jc w:val="center"/>
            </w:pPr>
            <w:r w:rsidRPr="00F16FAC">
              <w:t>9</w:t>
            </w:r>
          </w:p>
        </w:tc>
        <w:tc>
          <w:tcPr>
            <w:tcW w:w="3175" w:type="pct"/>
            <w:tcBorders>
              <w:top w:val="single" w:sz="4" w:space="0" w:color="auto"/>
              <w:left w:val="single" w:sz="4" w:space="0" w:color="auto"/>
              <w:bottom w:val="single" w:sz="4" w:space="0" w:color="auto"/>
              <w:right w:val="single" w:sz="4" w:space="0" w:color="auto"/>
            </w:tcBorders>
            <w:vAlign w:val="bottom"/>
            <w:hideMark/>
          </w:tcPr>
          <w:p w:rsidR="00DD5C83" w:rsidRPr="00DD5C83" w:rsidP="00026F9A" w14:paraId="56170962" w14:textId="09FF9C32">
            <w:pPr>
              <w:jc w:val="center"/>
              <w:rPr>
                <w:color w:val="000000"/>
              </w:rPr>
            </w:pPr>
            <w:r w:rsidRPr="00DD5C83">
              <w:rPr>
                <w:color w:val="000000"/>
              </w:rPr>
              <w:t>$2</w:t>
            </w:r>
            <w:r>
              <w:rPr>
                <w:color w:val="000000"/>
              </w:rPr>
              <w:t>.</w:t>
            </w:r>
            <w:r w:rsidR="00453A55">
              <w:rPr>
                <w:color w:val="000000"/>
              </w:rPr>
              <w:t>9</w:t>
            </w:r>
          </w:p>
        </w:tc>
      </w:tr>
      <w:tr w14:paraId="07049A60"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tcPr>
          <w:p w:rsidR="00EF0EC0" w:rsidRPr="00F16FAC" w:rsidP="00026F9A" w14:paraId="5A3861D8" w14:textId="77777777">
            <w:pPr>
              <w:jc w:val="center"/>
            </w:pPr>
            <w:r>
              <w:t>Annualized, 3%</w:t>
            </w:r>
          </w:p>
        </w:tc>
        <w:tc>
          <w:tcPr>
            <w:tcW w:w="3175" w:type="pct"/>
            <w:tcBorders>
              <w:top w:val="single" w:sz="4" w:space="0" w:color="auto"/>
              <w:left w:val="single" w:sz="4" w:space="0" w:color="auto"/>
              <w:bottom w:val="single" w:sz="4" w:space="0" w:color="auto"/>
              <w:right w:val="single" w:sz="4" w:space="0" w:color="auto"/>
            </w:tcBorders>
            <w:vAlign w:val="bottom"/>
          </w:tcPr>
          <w:p w:rsidR="00EF0EC0" w:rsidRPr="008D7CBF" w:rsidP="00026F9A" w14:paraId="400E7E00" w14:textId="2E17CD3B">
            <w:pPr>
              <w:jc w:val="center"/>
              <w:rPr>
                <w:rFonts w:eastAsia="Times New Roman"/>
                <w:color w:val="000000"/>
              </w:rPr>
            </w:pPr>
            <w:r w:rsidRPr="008D7CBF">
              <w:rPr>
                <w:color w:val="000000"/>
              </w:rPr>
              <w:t>$</w:t>
            </w:r>
            <w:r w:rsidR="00DD5C83">
              <w:rPr>
                <w:color w:val="000000"/>
              </w:rPr>
              <w:t>2.</w:t>
            </w:r>
            <w:r w:rsidR="00453A55">
              <w:rPr>
                <w:color w:val="000000"/>
              </w:rPr>
              <w:t>5</w:t>
            </w:r>
          </w:p>
        </w:tc>
      </w:tr>
      <w:tr w14:paraId="779673FF" w14:textId="77777777">
        <w:tblPrEx>
          <w:tblW w:w="5000" w:type="pct"/>
          <w:tblLook w:val="04A0"/>
        </w:tblPrEx>
        <w:trPr>
          <w:trHeight w:val="277"/>
        </w:trPr>
        <w:tc>
          <w:tcPr>
            <w:tcW w:w="1825" w:type="pct"/>
            <w:tcBorders>
              <w:top w:val="single" w:sz="4" w:space="0" w:color="auto"/>
              <w:left w:val="single" w:sz="4" w:space="0" w:color="auto"/>
              <w:bottom w:val="single" w:sz="4" w:space="0" w:color="auto"/>
              <w:right w:val="single" w:sz="4" w:space="0" w:color="auto"/>
            </w:tcBorders>
          </w:tcPr>
          <w:p w:rsidR="00DD5C83" w:rsidP="00026F9A" w14:paraId="56A2F638" w14:textId="77777777">
            <w:pPr>
              <w:jc w:val="center"/>
            </w:pPr>
            <w:r>
              <w:t>Annualized, 7%</w:t>
            </w:r>
          </w:p>
        </w:tc>
        <w:tc>
          <w:tcPr>
            <w:tcW w:w="3175" w:type="pct"/>
            <w:tcBorders>
              <w:top w:val="single" w:sz="4" w:space="0" w:color="auto"/>
              <w:left w:val="single" w:sz="4" w:space="0" w:color="auto"/>
              <w:bottom w:val="single" w:sz="4" w:space="0" w:color="auto"/>
              <w:right w:val="single" w:sz="4" w:space="0" w:color="auto"/>
            </w:tcBorders>
            <w:vAlign w:val="bottom"/>
          </w:tcPr>
          <w:p w:rsidR="00DD5C83" w:rsidRPr="008D7CBF" w:rsidP="00026F9A" w14:paraId="44CC95AA" w14:textId="62292A92">
            <w:pPr>
              <w:jc w:val="center"/>
              <w:rPr>
                <w:color w:val="000000"/>
              </w:rPr>
            </w:pPr>
            <w:r w:rsidRPr="008D7CBF">
              <w:rPr>
                <w:color w:val="000000"/>
              </w:rPr>
              <w:t>$</w:t>
            </w:r>
            <w:r>
              <w:rPr>
                <w:color w:val="000000"/>
              </w:rPr>
              <w:t>2.</w:t>
            </w:r>
            <w:r w:rsidR="00453A55">
              <w:rPr>
                <w:color w:val="000000"/>
              </w:rPr>
              <w:t>5</w:t>
            </w:r>
          </w:p>
        </w:tc>
      </w:tr>
    </w:tbl>
    <w:p w:rsidR="00EF0EC0" w:rsidP="00026F9A" w14:paraId="61ECE449" w14:textId="77777777">
      <w:pPr>
        <w:spacing w:line="480" w:lineRule="auto"/>
        <w:ind w:firstLine="720"/>
      </w:pPr>
    </w:p>
    <w:p w:rsidR="00EF0EC0" w:rsidP="00026F9A" w14:paraId="57FEBF07" w14:textId="2CB40B31">
      <w:pPr>
        <w:pStyle w:val="ListParagraph"/>
        <w:numPr>
          <w:ilvl w:val="0"/>
          <w:numId w:val="13"/>
        </w:numPr>
        <w:spacing w:after="0" w:line="480" w:lineRule="auto"/>
      </w:pPr>
      <w:r>
        <w:t xml:space="preserve">Total Costs of the Pre-Harvest </w:t>
      </w:r>
      <w:r w:rsidR="00251143">
        <w:t xml:space="preserve">Agricultural Water Microbial Quality Criteria and Testing </w:t>
      </w:r>
      <w:r>
        <w:t>Requirements</w:t>
      </w:r>
      <w:r w:rsidR="00251143">
        <w:t xml:space="preserve"> in the 2015 Produce Safety Final Rule</w:t>
      </w:r>
    </w:p>
    <w:p w:rsidR="00EF0EC0" w:rsidP="00026F9A" w14:paraId="62F348B5" w14:textId="16E4FFC8">
      <w:pPr>
        <w:spacing w:line="480" w:lineRule="auto"/>
        <w:ind w:firstLine="720"/>
      </w:pPr>
      <w:r>
        <w:t xml:space="preserve">Table 14 presents our low, primary, and high estimates of the total cost of the pre-harvest agricultural water </w:t>
      </w:r>
      <w:r w:rsidR="00251143">
        <w:t xml:space="preserve">microbial quality criteria and testing </w:t>
      </w:r>
      <w:r>
        <w:t xml:space="preserve">provisions by year. </w:t>
      </w:r>
      <w:r>
        <w:rPr>
          <w:rFonts w:eastAsia="Times New Roman"/>
        </w:rPr>
        <w:t xml:space="preserve">Our primary estimate of the total cost of </w:t>
      </w:r>
      <w:r w:rsidR="00AE4A2F">
        <w:rPr>
          <w:rFonts w:eastAsia="Times New Roman"/>
        </w:rPr>
        <w:t>these</w:t>
      </w:r>
      <w:r>
        <w:rPr>
          <w:rFonts w:eastAsia="Times New Roman"/>
        </w:rPr>
        <w:t xml:space="preserve"> provisions is $1</w:t>
      </w:r>
      <w:r w:rsidR="00B41F95">
        <w:rPr>
          <w:rFonts w:eastAsia="Times New Roman"/>
        </w:rPr>
        <w:t>9.8</w:t>
      </w:r>
      <w:r>
        <w:rPr>
          <w:rFonts w:eastAsia="Times New Roman"/>
        </w:rPr>
        <w:t xml:space="preserve"> million annualized at a 3% discount rate; at a 7% discount rate, this primary estimate is $</w:t>
      </w:r>
      <w:r w:rsidR="00B41F95">
        <w:rPr>
          <w:rFonts w:eastAsia="Times New Roman"/>
        </w:rPr>
        <w:t>20.1</w:t>
      </w:r>
      <w:r>
        <w:rPr>
          <w:rFonts w:eastAsia="Times New Roman"/>
        </w:rPr>
        <w:t xml:space="preserve"> million annualized. </w:t>
      </w:r>
      <w:r>
        <w:t>We include 5th (“Low Estimate”) and 95th (“High Estimate”) percentile outcomes of the simulated burden as measures of uncertainty.</w:t>
      </w:r>
    </w:p>
    <w:p w:rsidR="00EF0EC0" w:rsidRPr="00F16FAC" w:rsidP="00026F9A" w14:paraId="2A392770" w14:textId="6A355952">
      <w:pPr>
        <w:rPr>
          <w:b/>
        </w:rPr>
      </w:pPr>
      <w:r w:rsidRPr="00F16FAC">
        <w:rPr>
          <w:b/>
        </w:rPr>
        <w:t xml:space="preserve">Table </w:t>
      </w:r>
      <w:r>
        <w:rPr>
          <w:b/>
        </w:rPr>
        <w:t>14: Total</w:t>
      </w:r>
      <w:r w:rsidRPr="00F16FAC">
        <w:rPr>
          <w:b/>
        </w:rPr>
        <w:t xml:space="preserve"> </w:t>
      </w:r>
      <w:r>
        <w:rPr>
          <w:b/>
        </w:rPr>
        <w:t xml:space="preserve">Cost of </w:t>
      </w:r>
      <w:r w:rsidR="00AE4A2F">
        <w:rPr>
          <w:b/>
        </w:rPr>
        <w:t xml:space="preserve">the </w:t>
      </w:r>
      <w:r>
        <w:rPr>
          <w:b/>
        </w:rPr>
        <w:t xml:space="preserve">Pre-harvest Agricultural Water </w:t>
      </w:r>
      <w:r w:rsidR="00AE4A2F">
        <w:rPr>
          <w:b/>
        </w:rPr>
        <w:t xml:space="preserve">Microbial Quality Criteria and Testing </w:t>
      </w:r>
      <w:r>
        <w:rPr>
          <w:b/>
        </w:rPr>
        <w:t>Provisions</w:t>
      </w:r>
      <w:r w:rsidR="00AE4A2F">
        <w:rPr>
          <w:b/>
        </w:rPr>
        <w:t xml:space="preserve"> in the 2015 Produce Safety Final Rule</w:t>
      </w:r>
      <w:r w:rsidRPr="00F16FAC">
        <w:rPr>
          <w:b/>
        </w:rPr>
        <w:t xml:space="preserve"> (</w:t>
      </w:r>
      <w:r w:rsidR="001C6208">
        <w:rPr>
          <w:b/>
        </w:rPr>
        <w:t xml:space="preserve">millions </w:t>
      </w:r>
      <w:r w:rsidRPr="00F16FAC">
        <w:rPr>
          <w:b/>
        </w:rPr>
        <w:t>20</w:t>
      </w:r>
      <w:r w:rsidR="001C6208">
        <w:rPr>
          <w:b/>
        </w:rPr>
        <w:t>2</w:t>
      </w:r>
      <w:r w:rsidR="00B41F95">
        <w:rPr>
          <w:b/>
        </w:rPr>
        <w:t>2</w:t>
      </w:r>
      <w:r w:rsidRPr="00F16FAC">
        <w:rPr>
          <w:b/>
        </w:rPr>
        <w:t>$)</w:t>
      </w:r>
    </w:p>
    <w:tbl>
      <w:tblPr>
        <w:tblStyle w:val="TableGrid"/>
        <w:tblW w:w="5000" w:type="pct"/>
        <w:tblLayout w:type="fixed"/>
        <w:tblLook w:val="04A0"/>
      </w:tblPr>
      <w:tblGrid>
        <w:gridCol w:w="2044"/>
        <w:gridCol w:w="2339"/>
        <w:gridCol w:w="2319"/>
        <w:gridCol w:w="2648"/>
      </w:tblGrid>
      <w:tr w14:paraId="53AA7B51"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EF0EC0" w:rsidRPr="00F16FAC" w:rsidP="00026F9A" w14:paraId="6DAACBCD" w14:textId="77777777">
            <w:pPr>
              <w:jc w:val="center"/>
              <w:rPr>
                <w:b/>
              </w:rPr>
            </w:pPr>
            <w:r w:rsidRPr="00F16FAC">
              <w:rPr>
                <w:b/>
              </w:rPr>
              <w:t>Years after publication</w:t>
            </w:r>
          </w:p>
        </w:tc>
        <w:tc>
          <w:tcPr>
            <w:tcW w:w="1251" w:type="pct"/>
            <w:tcBorders>
              <w:top w:val="single" w:sz="4" w:space="0" w:color="auto"/>
              <w:left w:val="single" w:sz="4" w:space="0" w:color="auto"/>
              <w:bottom w:val="single" w:sz="4" w:space="0" w:color="auto"/>
              <w:right w:val="single" w:sz="4" w:space="0" w:color="auto"/>
            </w:tcBorders>
            <w:hideMark/>
          </w:tcPr>
          <w:p w:rsidR="00EF0EC0" w:rsidRPr="00F16FAC" w:rsidP="00026F9A" w14:paraId="4C5968B0" w14:textId="77777777">
            <w:pPr>
              <w:jc w:val="center"/>
              <w:rPr>
                <w:b/>
              </w:rPr>
            </w:pPr>
            <w:r>
              <w:rPr>
                <w:b/>
              </w:rPr>
              <w:t>Low Estimate</w:t>
            </w:r>
          </w:p>
        </w:tc>
        <w:tc>
          <w:tcPr>
            <w:tcW w:w="1240" w:type="pct"/>
            <w:tcBorders>
              <w:top w:val="single" w:sz="4" w:space="0" w:color="auto"/>
              <w:left w:val="single" w:sz="4" w:space="0" w:color="auto"/>
              <w:bottom w:val="single" w:sz="4" w:space="0" w:color="auto"/>
              <w:right w:val="single" w:sz="4" w:space="0" w:color="auto"/>
            </w:tcBorders>
          </w:tcPr>
          <w:p w:rsidR="00EF0EC0" w:rsidRPr="00F16FAC" w:rsidP="00026F9A" w14:paraId="1D121376" w14:textId="77777777">
            <w:pPr>
              <w:jc w:val="center"/>
              <w:rPr>
                <w:b/>
              </w:rPr>
            </w:pPr>
            <w:r>
              <w:rPr>
                <w:b/>
              </w:rPr>
              <w:t>Primary Estimate</w:t>
            </w:r>
          </w:p>
        </w:tc>
        <w:tc>
          <w:tcPr>
            <w:tcW w:w="1416" w:type="pct"/>
            <w:tcBorders>
              <w:top w:val="single" w:sz="4" w:space="0" w:color="auto"/>
              <w:left w:val="single" w:sz="4" w:space="0" w:color="auto"/>
              <w:bottom w:val="single" w:sz="4" w:space="0" w:color="auto"/>
              <w:right w:val="single" w:sz="4" w:space="0" w:color="auto"/>
            </w:tcBorders>
          </w:tcPr>
          <w:p w:rsidR="00EF0EC0" w:rsidRPr="00F16FAC" w:rsidP="00026F9A" w14:paraId="59816271" w14:textId="77777777">
            <w:pPr>
              <w:jc w:val="center"/>
              <w:rPr>
                <w:b/>
              </w:rPr>
            </w:pPr>
            <w:r>
              <w:rPr>
                <w:b/>
              </w:rPr>
              <w:t>High Estimate</w:t>
            </w:r>
          </w:p>
        </w:tc>
      </w:tr>
      <w:tr w14:paraId="3FEFE566"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2E313F" w:rsidRPr="00F16FAC" w:rsidP="00026F9A" w14:paraId="4E49AC57" w14:textId="77777777">
            <w:pPr>
              <w:jc w:val="center"/>
            </w:pPr>
            <w:r w:rsidRPr="00F16FAC">
              <w:t>0</w:t>
            </w:r>
          </w:p>
        </w:tc>
        <w:tc>
          <w:tcPr>
            <w:tcW w:w="1251" w:type="pct"/>
            <w:tcBorders>
              <w:top w:val="single" w:sz="4" w:space="0" w:color="auto"/>
              <w:left w:val="single" w:sz="4" w:space="0" w:color="auto"/>
              <w:bottom w:val="single" w:sz="4" w:space="0" w:color="auto"/>
              <w:right w:val="single" w:sz="4" w:space="0" w:color="auto"/>
            </w:tcBorders>
            <w:vAlign w:val="bottom"/>
            <w:hideMark/>
          </w:tcPr>
          <w:p w:rsidR="002E313F" w:rsidRPr="00B41F95" w:rsidP="00026F9A" w14:paraId="7B655E3E" w14:textId="1BB08B70">
            <w:pPr>
              <w:jc w:val="center"/>
              <w:rPr>
                <w:rFonts w:eastAsia="Times New Roman"/>
                <w:color w:val="000000"/>
              </w:rPr>
            </w:pPr>
            <w:r w:rsidRPr="00491301">
              <w:rPr>
                <w:color w:val="000000"/>
              </w:rPr>
              <w:t>$0</w:t>
            </w:r>
          </w:p>
        </w:tc>
        <w:tc>
          <w:tcPr>
            <w:tcW w:w="1240"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7ADD6C27" w14:textId="5EE209B3">
            <w:pPr>
              <w:jc w:val="center"/>
              <w:rPr>
                <w:color w:val="000000"/>
              </w:rPr>
            </w:pPr>
            <w:r w:rsidRPr="00491301">
              <w:rPr>
                <w:color w:val="000000"/>
              </w:rPr>
              <w:t>$0</w:t>
            </w:r>
          </w:p>
        </w:tc>
        <w:tc>
          <w:tcPr>
            <w:tcW w:w="1416"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1B8B0949" w14:textId="209AF2D8">
            <w:pPr>
              <w:jc w:val="center"/>
              <w:rPr>
                <w:color w:val="000000"/>
              </w:rPr>
            </w:pPr>
            <w:r w:rsidRPr="00491301">
              <w:rPr>
                <w:color w:val="000000"/>
              </w:rPr>
              <w:t>$0</w:t>
            </w:r>
          </w:p>
        </w:tc>
      </w:tr>
      <w:tr w14:paraId="34FDCB76" w14:textId="77777777">
        <w:tblPrEx>
          <w:tblW w:w="5000" w:type="pct"/>
          <w:tblLayout w:type="fixed"/>
          <w:tblLook w:val="04A0"/>
        </w:tblPrEx>
        <w:trPr>
          <w:trHeight w:val="265"/>
        </w:trPr>
        <w:tc>
          <w:tcPr>
            <w:tcW w:w="1093" w:type="pct"/>
            <w:tcBorders>
              <w:top w:val="single" w:sz="4" w:space="0" w:color="auto"/>
              <w:left w:val="single" w:sz="4" w:space="0" w:color="auto"/>
              <w:bottom w:val="single" w:sz="4" w:space="0" w:color="auto"/>
              <w:right w:val="single" w:sz="4" w:space="0" w:color="auto"/>
            </w:tcBorders>
            <w:hideMark/>
          </w:tcPr>
          <w:p w:rsidR="002E313F" w:rsidRPr="00F16FAC" w:rsidP="00026F9A" w14:paraId="71405683" w14:textId="77777777">
            <w:pPr>
              <w:jc w:val="center"/>
            </w:pPr>
            <w:r w:rsidRPr="00F16FAC">
              <w:t>1</w:t>
            </w:r>
          </w:p>
        </w:tc>
        <w:tc>
          <w:tcPr>
            <w:tcW w:w="1251" w:type="pct"/>
            <w:tcBorders>
              <w:top w:val="single" w:sz="4" w:space="0" w:color="auto"/>
              <w:left w:val="single" w:sz="4" w:space="0" w:color="auto"/>
              <w:bottom w:val="single" w:sz="4" w:space="0" w:color="auto"/>
              <w:right w:val="single" w:sz="4" w:space="0" w:color="auto"/>
            </w:tcBorders>
            <w:vAlign w:val="bottom"/>
            <w:hideMark/>
          </w:tcPr>
          <w:p w:rsidR="002E313F" w:rsidRPr="00B41F95" w:rsidP="00026F9A" w14:paraId="4C43E556" w14:textId="736301A3">
            <w:pPr>
              <w:jc w:val="center"/>
              <w:rPr>
                <w:color w:val="000000"/>
              </w:rPr>
            </w:pPr>
            <w:r w:rsidRPr="00491301">
              <w:rPr>
                <w:color w:val="000000"/>
              </w:rPr>
              <w:t>$10</w:t>
            </w:r>
            <w:r w:rsidR="00B41F95">
              <w:rPr>
                <w:color w:val="000000"/>
              </w:rPr>
              <w:t>.0</w:t>
            </w:r>
          </w:p>
        </w:tc>
        <w:tc>
          <w:tcPr>
            <w:tcW w:w="1240"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63C1F6EC" w14:textId="3842BAC2">
            <w:pPr>
              <w:jc w:val="center"/>
              <w:rPr>
                <w:color w:val="000000"/>
              </w:rPr>
            </w:pPr>
            <w:r w:rsidRPr="00491301">
              <w:rPr>
                <w:color w:val="000000"/>
              </w:rPr>
              <w:t>$21</w:t>
            </w:r>
            <w:r w:rsidR="00B41F95">
              <w:rPr>
                <w:color w:val="000000"/>
              </w:rPr>
              <w:t>.4</w:t>
            </w:r>
          </w:p>
        </w:tc>
        <w:tc>
          <w:tcPr>
            <w:tcW w:w="1416"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232A9E0B" w14:textId="730377B8">
            <w:pPr>
              <w:jc w:val="center"/>
              <w:rPr>
                <w:color w:val="000000"/>
              </w:rPr>
            </w:pPr>
            <w:r w:rsidRPr="00491301">
              <w:rPr>
                <w:color w:val="000000"/>
              </w:rPr>
              <w:t>$32</w:t>
            </w:r>
            <w:r w:rsidR="00B41F95">
              <w:rPr>
                <w:color w:val="000000"/>
              </w:rPr>
              <w:t>.7</w:t>
            </w:r>
          </w:p>
        </w:tc>
      </w:tr>
      <w:tr w14:paraId="620AE50E"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2E313F" w:rsidRPr="00F16FAC" w:rsidP="00026F9A" w14:paraId="077341F1" w14:textId="77777777">
            <w:pPr>
              <w:jc w:val="center"/>
            </w:pPr>
            <w:r w:rsidRPr="00F16FAC">
              <w:t>2</w:t>
            </w:r>
          </w:p>
        </w:tc>
        <w:tc>
          <w:tcPr>
            <w:tcW w:w="1251" w:type="pct"/>
            <w:tcBorders>
              <w:top w:val="single" w:sz="4" w:space="0" w:color="auto"/>
              <w:left w:val="single" w:sz="4" w:space="0" w:color="auto"/>
              <w:bottom w:val="single" w:sz="4" w:space="0" w:color="auto"/>
              <w:right w:val="single" w:sz="4" w:space="0" w:color="auto"/>
            </w:tcBorders>
            <w:vAlign w:val="bottom"/>
            <w:hideMark/>
          </w:tcPr>
          <w:p w:rsidR="002E313F" w:rsidRPr="00B41F95" w:rsidP="00026F9A" w14:paraId="6BB56662" w14:textId="6714C67A">
            <w:pPr>
              <w:jc w:val="center"/>
              <w:rPr>
                <w:color w:val="000000"/>
              </w:rPr>
            </w:pPr>
            <w:r w:rsidRPr="00491301">
              <w:rPr>
                <w:color w:val="000000"/>
              </w:rPr>
              <w:t>$</w:t>
            </w:r>
            <w:r w:rsidR="00B41F95">
              <w:rPr>
                <w:color w:val="000000"/>
              </w:rPr>
              <w:t>10.0</w:t>
            </w:r>
          </w:p>
        </w:tc>
        <w:tc>
          <w:tcPr>
            <w:tcW w:w="1240"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2925A168" w14:textId="230F213F">
            <w:pPr>
              <w:jc w:val="center"/>
              <w:rPr>
                <w:color w:val="000000"/>
              </w:rPr>
            </w:pPr>
            <w:r w:rsidRPr="00491301">
              <w:rPr>
                <w:color w:val="000000"/>
              </w:rPr>
              <w:t>$16</w:t>
            </w:r>
            <w:r w:rsidR="00B41F95">
              <w:rPr>
                <w:color w:val="000000"/>
              </w:rPr>
              <w:t>.5</w:t>
            </w:r>
          </w:p>
        </w:tc>
        <w:tc>
          <w:tcPr>
            <w:tcW w:w="1416"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23ADEA86" w14:textId="167B2915">
            <w:pPr>
              <w:jc w:val="center"/>
              <w:rPr>
                <w:color w:val="000000"/>
              </w:rPr>
            </w:pPr>
            <w:r w:rsidRPr="00491301">
              <w:rPr>
                <w:color w:val="000000"/>
              </w:rPr>
              <w:t>$22</w:t>
            </w:r>
            <w:r w:rsidR="00B41F95">
              <w:rPr>
                <w:color w:val="000000"/>
              </w:rPr>
              <w:t>.3</w:t>
            </w:r>
          </w:p>
        </w:tc>
      </w:tr>
      <w:tr w14:paraId="24664F73"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2E313F" w:rsidRPr="00F16FAC" w:rsidP="00026F9A" w14:paraId="570223C6" w14:textId="77777777">
            <w:pPr>
              <w:jc w:val="center"/>
            </w:pPr>
            <w:r w:rsidRPr="00F16FAC">
              <w:t>3</w:t>
            </w:r>
          </w:p>
        </w:tc>
        <w:tc>
          <w:tcPr>
            <w:tcW w:w="1251" w:type="pct"/>
            <w:tcBorders>
              <w:top w:val="single" w:sz="4" w:space="0" w:color="auto"/>
              <w:left w:val="single" w:sz="4" w:space="0" w:color="auto"/>
              <w:bottom w:val="single" w:sz="4" w:space="0" w:color="auto"/>
              <w:right w:val="single" w:sz="4" w:space="0" w:color="auto"/>
            </w:tcBorders>
            <w:vAlign w:val="bottom"/>
            <w:hideMark/>
          </w:tcPr>
          <w:p w:rsidR="002E313F" w:rsidRPr="00B41F95" w:rsidP="00026F9A" w14:paraId="08234D08" w14:textId="0DE3D124">
            <w:pPr>
              <w:jc w:val="center"/>
              <w:rPr>
                <w:color w:val="000000"/>
              </w:rPr>
            </w:pPr>
            <w:r w:rsidRPr="00491301">
              <w:rPr>
                <w:color w:val="000000"/>
              </w:rPr>
              <w:t>$20</w:t>
            </w:r>
            <w:r w:rsidR="00B41F95">
              <w:rPr>
                <w:color w:val="000000"/>
              </w:rPr>
              <w:t>.1</w:t>
            </w:r>
          </w:p>
        </w:tc>
        <w:tc>
          <w:tcPr>
            <w:tcW w:w="1240"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4D4EE72D" w14:textId="77DB02A1">
            <w:pPr>
              <w:jc w:val="center"/>
              <w:rPr>
                <w:color w:val="000000"/>
              </w:rPr>
            </w:pPr>
            <w:r w:rsidRPr="00491301">
              <w:rPr>
                <w:color w:val="000000"/>
              </w:rPr>
              <w:t>$27</w:t>
            </w:r>
            <w:r w:rsidR="00B41F95">
              <w:rPr>
                <w:color w:val="000000"/>
              </w:rPr>
              <w:t>.7</w:t>
            </w:r>
          </w:p>
        </w:tc>
        <w:tc>
          <w:tcPr>
            <w:tcW w:w="1416"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670776D2" w14:textId="2800CF4E">
            <w:pPr>
              <w:jc w:val="center"/>
              <w:rPr>
                <w:color w:val="000000"/>
              </w:rPr>
            </w:pPr>
            <w:r w:rsidRPr="00491301">
              <w:rPr>
                <w:color w:val="000000"/>
              </w:rPr>
              <w:t>$33</w:t>
            </w:r>
            <w:r w:rsidR="00B41F95">
              <w:rPr>
                <w:color w:val="000000"/>
              </w:rPr>
              <w:t>.6</w:t>
            </w:r>
          </w:p>
        </w:tc>
      </w:tr>
      <w:tr w14:paraId="69BBBE43"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2E313F" w:rsidRPr="00F16FAC" w:rsidP="00026F9A" w14:paraId="0402BD9B" w14:textId="77777777">
            <w:pPr>
              <w:jc w:val="center"/>
            </w:pPr>
            <w:r w:rsidRPr="00F16FAC">
              <w:t>4</w:t>
            </w:r>
          </w:p>
        </w:tc>
        <w:tc>
          <w:tcPr>
            <w:tcW w:w="1251" w:type="pct"/>
            <w:tcBorders>
              <w:top w:val="single" w:sz="4" w:space="0" w:color="auto"/>
              <w:left w:val="single" w:sz="4" w:space="0" w:color="auto"/>
              <w:bottom w:val="single" w:sz="4" w:space="0" w:color="auto"/>
              <w:right w:val="single" w:sz="4" w:space="0" w:color="auto"/>
            </w:tcBorders>
            <w:vAlign w:val="bottom"/>
            <w:hideMark/>
          </w:tcPr>
          <w:p w:rsidR="002E313F" w:rsidRPr="00B41F95" w:rsidP="00026F9A" w14:paraId="78309A14" w14:textId="421D9DB5">
            <w:pPr>
              <w:jc w:val="center"/>
              <w:rPr>
                <w:color w:val="000000"/>
              </w:rPr>
            </w:pPr>
            <w:r w:rsidRPr="00491301">
              <w:rPr>
                <w:color w:val="000000"/>
              </w:rPr>
              <w:t>$14</w:t>
            </w:r>
            <w:r w:rsidR="00B41F95">
              <w:rPr>
                <w:color w:val="000000"/>
              </w:rPr>
              <w:t>.7</w:t>
            </w:r>
          </w:p>
        </w:tc>
        <w:tc>
          <w:tcPr>
            <w:tcW w:w="1240"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7B93E8FF" w14:textId="0537EF57">
            <w:pPr>
              <w:jc w:val="center"/>
              <w:rPr>
                <w:color w:val="000000"/>
              </w:rPr>
            </w:pPr>
            <w:r w:rsidRPr="00491301">
              <w:rPr>
                <w:color w:val="000000"/>
              </w:rPr>
              <w:t>$21</w:t>
            </w:r>
            <w:r w:rsidR="00B41F95">
              <w:rPr>
                <w:color w:val="000000"/>
              </w:rPr>
              <w:t>.6</w:t>
            </w:r>
          </w:p>
        </w:tc>
        <w:tc>
          <w:tcPr>
            <w:tcW w:w="1416" w:type="pct"/>
            <w:tcBorders>
              <w:top w:val="single" w:sz="4" w:space="0" w:color="auto"/>
              <w:left w:val="single" w:sz="4" w:space="0" w:color="auto"/>
              <w:bottom w:val="single" w:sz="4" w:space="0" w:color="auto"/>
              <w:right w:val="single" w:sz="4" w:space="0" w:color="auto"/>
            </w:tcBorders>
            <w:vAlign w:val="bottom"/>
          </w:tcPr>
          <w:p w:rsidR="002E313F" w:rsidRPr="00B41F95" w:rsidP="00026F9A" w14:paraId="745E8907" w14:textId="4DE59420">
            <w:pPr>
              <w:jc w:val="center"/>
              <w:rPr>
                <w:color w:val="000000"/>
              </w:rPr>
            </w:pPr>
            <w:r w:rsidRPr="00491301">
              <w:rPr>
                <w:color w:val="000000"/>
              </w:rPr>
              <w:t>$27</w:t>
            </w:r>
            <w:r w:rsidR="00B41F95">
              <w:rPr>
                <w:color w:val="000000"/>
              </w:rPr>
              <w:t>.3</w:t>
            </w:r>
          </w:p>
        </w:tc>
      </w:tr>
      <w:tr w14:paraId="3BDC4A86"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B41F95" w:rsidRPr="00F16FAC" w:rsidP="00026F9A" w14:paraId="627EFFC2" w14:textId="77777777">
            <w:pPr>
              <w:jc w:val="center"/>
            </w:pPr>
            <w:r w:rsidRPr="00F16FAC">
              <w:t>5</w:t>
            </w:r>
          </w:p>
        </w:tc>
        <w:tc>
          <w:tcPr>
            <w:tcW w:w="1251" w:type="pct"/>
            <w:tcBorders>
              <w:top w:val="single" w:sz="4" w:space="0" w:color="auto"/>
              <w:left w:val="single" w:sz="4" w:space="0" w:color="auto"/>
              <w:bottom w:val="single" w:sz="4" w:space="0" w:color="auto"/>
              <w:right w:val="single" w:sz="4" w:space="0" w:color="auto"/>
            </w:tcBorders>
            <w:vAlign w:val="bottom"/>
            <w:hideMark/>
          </w:tcPr>
          <w:p w:rsidR="00B41F95" w:rsidRPr="00B41F95" w:rsidP="00026F9A" w14:paraId="3D269323" w14:textId="7B708050">
            <w:pPr>
              <w:jc w:val="center"/>
              <w:rPr>
                <w:color w:val="000000"/>
              </w:rPr>
            </w:pPr>
            <w:r w:rsidRPr="005B00BD">
              <w:rPr>
                <w:color w:val="000000"/>
              </w:rPr>
              <w:t>$14</w:t>
            </w:r>
            <w:r>
              <w:rPr>
                <w:color w:val="000000"/>
              </w:rPr>
              <w:t>.7</w:t>
            </w:r>
          </w:p>
        </w:tc>
        <w:tc>
          <w:tcPr>
            <w:tcW w:w="1240"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0BE78181" w14:textId="25F78476">
            <w:pPr>
              <w:jc w:val="center"/>
              <w:rPr>
                <w:color w:val="000000"/>
              </w:rPr>
            </w:pPr>
            <w:r w:rsidRPr="005B00BD">
              <w:rPr>
                <w:color w:val="000000"/>
              </w:rPr>
              <w:t>$21</w:t>
            </w:r>
            <w:r>
              <w:rPr>
                <w:color w:val="000000"/>
              </w:rPr>
              <w:t>.6</w:t>
            </w:r>
          </w:p>
        </w:tc>
        <w:tc>
          <w:tcPr>
            <w:tcW w:w="1416"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4B5FF8E5" w14:textId="23A15F09">
            <w:pPr>
              <w:jc w:val="center"/>
              <w:rPr>
                <w:color w:val="000000"/>
              </w:rPr>
            </w:pPr>
            <w:r w:rsidRPr="00491301">
              <w:rPr>
                <w:color w:val="000000"/>
              </w:rPr>
              <w:t>$27</w:t>
            </w:r>
            <w:r>
              <w:rPr>
                <w:color w:val="000000"/>
              </w:rPr>
              <w:t>.4</w:t>
            </w:r>
          </w:p>
        </w:tc>
      </w:tr>
      <w:tr w14:paraId="68E20621"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B41F95" w:rsidRPr="00F16FAC" w:rsidP="00026F9A" w14:paraId="0D23CEA6" w14:textId="77777777">
            <w:pPr>
              <w:jc w:val="center"/>
            </w:pPr>
            <w:r w:rsidRPr="00F16FAC">
              <w:t>6</w:t>
            </w:r>
          </w:p>
        </w:tc>
        <w:tc>
          <w:tcPr>
            <w:tcW w:w="1251" w:type="pct"/>
            <w:tcBorders>
              <w:top w:val="single" w:sz="4" w:space="0" w:color="auto"/>
              <w:left w:val="single" w:sz="4" w:space="0" w:color="auto"/>
              <w:bottom w:val="single" w:sz="4" w:space="0" w:color="auto"/>
              <w:right w:val="single" w:sz="4" w:space="0" w:color="auto"/>
            </w:tcBorders>
            <w:vAlign w:val="bottom"/>
            <w:hideMark/>
          </w:tcPr>
          <w:p w:rsidR="00B41F95" w:rsidRPr="00B41F95" w:rsidP="00026F9A" w14:paraId="31BB7339" w14:textId="00C7B0A5">
            <w:pPr>
              <w:jc w:val="center"/>
              <w:rPr>
                <w:color w:val="000000"/>
              </w:rPr>
            </w:pPr>
            <w:r w:rsidRPr="005B00BD">
              <w:rPr>
                <w:color w:val="000000"/>
              </w:rPr>
              <w:t>$14</w:t>
            </w:r>
            <w:r>
              <w:rPr>
                <w:color w:val="000000"/>
              </w:rPr>
              <w:t>.7</w:t>
            </w:r>
          </w:p>
        </w:tc>
        <w:tc>
          <w:tcPr>
            <w:tcW w:w="1240"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7F401F08" w14:textId="07D04B4A">
            <w:pPr>
              <w:jc w:val="center"/>
              <w:rPr>
                <w:color w:val="000000"/>
              </w:rPr>
            </w:pPr>
            <w:r w:rsidRPr="005B00BD">
              <w:rPr>
                <w:color w:val="000000"/>
              </w:rPr>
              <w:t>$21</w:t>
            </w:r>
            <w:r>
              <w:rPr>
                <w:color w:val="000000"/>
              </w:rPr>
              <w:t>.6</w:t>
            </w:r>
          </w:p>
        </w:tc>
        <w:tc>
          <w:tcPr>
            <w:tcW w:w="1416"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59F36121" w14:textId="5CE502D7">
            <w:pPr>
              <w:jc w:val="center"/>
              <w:rPr>
                <w:color w:val="000000"/>
              </w:rPr>
            </w:pPr>
            <w:r w:rsidRPr="00491301">
              <w:rPr>
                <w:color w:val="000000"/>
              </w:rPr>
              <w:t>$27</w:t>
            </w:r>
            <w:r>
              <w:rPr>
                <w:color w:val="000000"/>
              </w:rPr>
              <w:t>.3</w:t>
            </w:r>
          </w:p>
        </w:tc>
      </w:tr>
      <w:tr w14:paraId="1AD068A4" w14:textId="77777777">
        <w:tblPrEx>
          <w:tblW w:w="5000" w:type="pct"/>
          <w:tblLayout w:type="fixed"/>
          <w:tblLook w:val="04A0"/>
        </w:tblPrEx>
        <w:trPr>
          <w:trHeight w:val="265"/>
        </w:trPr>
        <w:tc>
          <w:tcPr>
            <w:tcW w:w="1093" w:type="pct"/>
            <w:tcBorders>
              <w:top w:val="single" w:sz="4" w:space="0" w:color="auto"/>
              <w:left w:val="single" w:sz="4" w:space="0" w:color="auto"/>
              <w:bottom w:val="single" w:sz="4" w:space="0" w:color="auto"/>
              <w:right w:val="single" w:sz="4" w:space="0" w:color="auto"/>
            </w:tcBorders>
            <w:hideMark/>
          </w:tcPr>
          <w:p w:rsidR="00B41F95" w:rsidRPr="00F16FAC" w:rsidP="00026F9A" w14:paraId="42120358" w14:textId="77777777">
            <w:pPr>
              <w:jc w:val="center"/>
            </w:pPr>
            <w:r w:rsidRPr="00F16FAC">
              <w:t>7</w:t>
            </w:r>
          </w:p>
        </w:tc>
        <w:tc>
          <w:tcPr>
            <w:tcW w:w="1251" w:type="pct"/>
            <w:tcBorders>
              <w:top w:val="single" w:sz="4" w:space="0" w:color="auto"/>
              <w:left w:val="single" w:sz="4" w:space="0" w:color="auto"/>
              <w:bottom w:val="single" w:sz="4" w:space="0" w:color="auto"/>
              <w:right w:val="single" w:sz="4" w:space="0" w:color="auto"/>
            </w:tcBorders>
            <w:vAlign w:val="bottom"/>
            <w:hideMark/>
          </w:tcPr>
          <w:p w:rsidR="00B41F95" w:rsidRPr="00B41F95" w:rsidP="00026F9A" w14:paraId="48171B43" w14:textId="58AAD6D8">
            <w:pPr>
              <w:jc w:val="center"/>
              <w:rPr>
                <w:color w:val="000000"/>
              </w:rPr>
            </w:pPr>
            <w:r w:rsidRPr="005B00BD">
              <w:rPr>
                <w:color w:val="000000"/>
              </w:rPr>
              <w:t>$14</w:t>
            </w:r>
            <w:r>
              <w:rPr>
                <w:color w:val="000000"/>
              </w:rPr>
              <w:t>.7</w:t>
            </w:r>
          </w:p>
        </w:tc>
        <w:tc>
          <w:tcPr>
            <w:tcW w:w="1240"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397DC071" w14:textId="2D0111CF">
            <w:pPr>
              <w:jc w:val="center"/>
              <w:rPr>
                <w:color w:val="000000"/>
              </w:rPr>
            </w:pPr>
            <w:r w:rsidRPr="005B00BD">
              <w:rPr>
                <w:color w:val="000000"/>
              </w:rPr>
              <w:t>$21</w:t>
            </w:r>
            <w:r>
              <w:rPr>
                <w:color w:val="000000"/>
              </w:rPr>
              <w:t>.6</w:t>
            </w:r>
          </w:p>
        </w:tc>
        <w:tc>
          <w:tcPr>
            <w:tcW w:w="1416"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284C867E" w14:textId="1D14F6E9">
            <w:pPr>
              <w:jc w:val="center"/>
              <w:rPr>
                <w:color w:val="000000"/>
              </w:rPr>
            </w:pPr>
            <w:r w:rsidRPr="005B00BD">
              <w:rPr>
                <w:color w:val="000000"/>
              </w:rPr>
              <w:t>$27</w:t>
            </w:r>
            <w:r>
              <w:rPr>
                <w:color w:val="000000"/>
              </w:rPr>
              <w:t>.3</w:t>
            </w:r>
          </w:p>
        </w:tc>
      </w:tr>
      <w:tr w14:paraId="3661A1B8"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B41F95" w:rsidRPr="00F16FAC" w:rsidP="00026F9A" w14:paraId="484B1F63" w14:textId="77777777">
            <w:pPr>
              <w:jc w:val="center"/>
            </w:pPr>
            <w:r w:rsidRPr="00F16FAC">
              <w:t>8</w:t>
            </w:r>
          </w:p>
        </w:tc>
        <w:tc>
          <w:tcPr>
            <w:tcW w:w="1251" w:type="pct"/>
            <w:tcBorders>
              <w:top w:val="single" w:sz="4" w:space="0" w:color="auto"/>
              <w:left w:val="single" w:sz="4" w:space="0" w:color="auto"/>
              <w:bottom w:val="single" w:sz="4" w:space="0" w:color="auto"/>
              <w:right w:val="single" w:sz="4" w:space="0" w:color="auto"/>
            </w:tcBorders>
            <w:vAlign w:val="bottom"/>
            <w:hideMark/>
          </w:tcPr>
          <w:p w:rsidR="00B41F95" w:rsidRPr="00B41F95" w:rsidP="00026F9A" w14:paraId="05000192" w14:textId="485111C6">
            <w:pPr>
              <w:jc w:val="center"/>
              <w:rPr>
                <w:color w:val="000000"/>
              </w:rPr>
            </w:pPr>
            <w:r w:rsidRPr="005B00BD">
              <w:rPr>
                <w:color w:val="000000"/>
              </w:rPr>
              <w:t>$14</w:t>
            </w:r>
            <w:r>
              <w:rPr>
                <w:color w:val="000000"/>
              </w:rPr>
              <w:t>.7</w:t>
            </w:r>
          </w:p>
        </w:tc>
        <w:tc>
          <w:tcPr>
            <w:tcW w:w="1240"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6C48E107" w14:textId="6923BD8E">
            <w:pPr>
              <w:jc w:val="center"/>
              <w:rPr>
                <w:color w:val="000000"/>
              </w:rPr>
            </w:pPr>
            <w:r w:rsidRPr="005B00BD">
              <w:rPr>
                <w:color w:val="000000"/>
              </w:rPr>
              <w:t>$21</w:t>
            </w:r>
            <w:r>
              <w:rPr>
                <w:color w:val="000000"/>
              </w:rPr>
              <w:t>.6</w:t>
            </w:r>
          </w:p>
        </w:tc>
        <w:tc>
          <w:tcPr>
            <w:tcW w:w="1416"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42EDC314" w14:textId="1B2BEE9E">
            <w:pPr>
              <w:jc w:val="center"/>
              <w:rPr>
                <w:color w:val="000000"/>
              </w:rPr>
            </w:pPr>
            <w:r w:rsidRPr="005B00BD">
              <w:rPr>
                <w:color w:val="000000"/>
              </w:rPr>
              <w:t>$27</w:t>
            </w:r>
            <w:r>
              <w:rPr>
                <w:color w:val="000000"/>
              </w:rPr>
              <w:t>.3</w:t>
            </w:r>
          </w:p>
        </w:tc>
      </w:tr>
      <w:tr w14:paraId="33C7A3F7"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hideMark/>
          </w:tcPr>
          <w:p w:rsidR="00B41F95" w:rsidRPr="00F16FAC" w:rsidP="00026F9A" w14:paraId="5A85E64F" w14:textId="77777777">
            <w:pPr>
              <w:jc w:val="center"/>
            </w:pPr>
            <w:r w:rsidRPr="00F16FAC">
              <w:t>9</w:t>
            </w:r>
          </w:p>
        </w:tc>
        <w:tc>
          <w:tcPr>
            <w:tcW w:w="1251" w:type="pct"/>
            <w:tcBorders>
              <w:top w:val="single" w:sz="4" w:space="0" w:color="auto"/>
              <w:left w:val="single" w:sz="4" w:space="0" w:color="auto"/>
              <w:bottom w:val="single" w:sz="4" w:space="0" w:color="auto"/>
              <w:right w:val="single" w:sz="4" w:space="0" w:color="auto"/>
            </w:tcBorders>
            <w:vAlign w:val="bottom"/>
            <w:hideMark/>
          </w:tcPr>
          <w:p w:rsidR="00B41F95" w:rsidRPr="00B41F95" w:rsidP="00026F9A" w14:paraId="5DE15610" w14:textId="7F6DEACD">
            <w:pPr>
              <w:jc w:val="center"/>
              <w:rPr>
                <w:color w:val="000000"/>
              </w:rPr>
            </w:pPr>
            <w:r w:rsidRPr="005B00BD">
              <w:rPr>
                <w:color w:val="000000"/>
              </w:rPr>
              <w:t>$14</w:t>
            </w:r>
            <w:r>
              <w:rPr>
                <w:color w:val="000000"/>
              </w:rPr>
              <w:t>.7</w:t>
            </w:r>
          </w:p>
        </w:tc>
        <w:tc>
          <w:tcPr>
            <w:tcW w:w="1240"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28AF9D33" w14:textId="36D5BEA6">
            <w:pPr>
              <w:jc w:val="center"/>
              <w:rPr>
                <w:color w:val="000000"/>
              </w:rPr>
            </w:pPr>
            <w:r w:rsidRPr="005B00BD">
              <w:rPr>
                <w:color w:val="000000"/>
              </w:rPr>
              <w:t>$21</w:t>
            </w:r>
            <w:r>
              <w:rPr>
                <w:color w:val="000000"/>
              </w:rPr>
              <w:t>.6</w:t>
            </w:r>
          </w:p>
        </w:tc>
        <w:tc>
          <w:tcPr>
            <w:tcW w:w="1416"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742E6AE4" w14:textId="40FFA9AA">
            <w:pPr>
              <w:jc w:val="center"/>
              <w:rPr>
                <w:color w:val="000000"/>
              </w:rPr>
            </w:pPr>
            <w:r w:rsidRPr="005B00BD">
              <w:rPr>
                <w:color w:val="000000"/>
              </w:rPr>
              <w:t>$27</w:t>
            </w:r>
            <w:r>
              <w:rPr>
                <w:color w:val="000000"/>
              </w:rPr>
              <w:t>.3</w:t>
            </w:r>
          </w:p>
        </w:tc>
      </w:tr>
      <w:tr w14:paraId="68A51478"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tcPr>
          <w:p w:rsidR="00B41F95" w:rsidRPr="00F16FAC" w:rsidP="00026F9A" w14:paraId="0CEA0D61" w14:textId="77777777">
            <w:pPr>
              <w:jc w:val="center"/>
            </w:pPr>
            <w:r>
              <w:t>Annualized, 3%</w:t>
            </w:r>
          </w:p>
        </w:tc>
        <w:tc>
          <w:tcPr>
            <w:tcW w:w="1251"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0A100321" w14:textId="2B1CC3EA">
            <w:pPr>
              <w:jc w:val="center"/>
              <w:rPr>
                <w:rFonts w:eastAsia="Times New Roman"/>
                <w:color w:val="000000"/>
              </w:rPr>
            </w:pPr>
            <w:r w:rsidRPr="00491301">
              <w:rPr>
                <w:color w:val="000000"/>
              </w:rPr>
              <w:t>$12</w:t>
            </w:r>
            <w:r>
              <w:rPr>
                <w:color w:val="000000"/>
              </w:rPr>
              <w:t>.6</w:t>
            </w:r>
          </w:p>
        </w:tc>
        <w:tc>
          <w:tcPr>
            <w:tcW w:w="1240"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2354C801" w14:textId="0994A3BB">
            <w:pPr>
              <w:jc w:val="center"/>
              <w:rPr>
                <w:color w:val="000000"/>
              </w:rPr>
            </w:pPr>
            <w:r w:rsidRPr="00491301">
              <w:rPr>
                <w:color w:val="000000"/>
              </w:rPr>
              <w:t>$19</w:t>
            </w:r>
            <w:r>
              <w:rPr>
                <w:color w:val="000000"/>
              </w:rPr>
              <w:t>.8</w:t>
            </w:r>
          </w:p>
        </w:tc>
        <w:tc>
          <w:tcPr>
            <w:tcW w:w="1416"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06899EFD" w14:textId="2659E77F">
            <w:pPr>
              <w:jc w:val="center"/>
              <w:rPr>
                <w:color w:val="000000"/>
              </w:rPr>
            </w:pPr>
            <w:r w:rsidRPr="00491301">
              <w:rPr>
                <w:color w:val="000000"/>
              </w:rPr>
              <w:t>$25</w:t>
            </w:r>
            <w:r>
              <w:rPr>
                <w:color w:val="000000"/>
              </w:rPr>
              <w:t>.7</w:t>
            </w:r>
          </w:p>
        </w:tc>
      </w:tr>
      <w:tr w14:paraId="57FA6253" w14:textId="77777777">
        <w:tblPrEx>
          <w:tblW w:w="5000" w:type="pct"/>
          <w:tblLayout w:type="fixed"/>
          <w:tblLook w:val="04A0"/>
        </w:tblPrEx>
        <w:trPr>
          <w:trHeight w:val="277"/>
        </w:trPr>
        <w:tc>
          <w:tcPr>
            <w:tcW w:w="1093" w:type="pct"/>
            <w:tcBorders>
              <w:top w:val="single" w:sz="4" w:space="0" w:color="auto"/>
              <w:left w:val="single" w:sz="4" w:space="0" w:color="auto"/>
              <w:bottom w:val="single" w:sz="4" w:space="0" w:color="auto"/>
              <w:right w:val="single" w:sz="4" w:space="0" w:color="auto"/>
            </w:tcBorders>
          </w:tcPr>
          <w:p w:rsidR="00B41F95" w:rsidP="00026F9A" w14:paraId="200F2127" w14:textId="77777777">
            <w:pPr>
              <w:jc w:val="center"/>
            </w:pPr>
            <w:r>
              <w:t>Annualized, 7%</w:t>
            </w:r>
          </w:p>
        </w:tc>
        <w:tc>
          <w:tcPr>
            <w:tcW w:w="1251"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7F779BAC" w14:textId="6212AD34">
            <w:pPr>
              <w:jc w:val="center"/>
              <w:rPr>
                <w:color w:val="000000"/>
              </w:rPr>
            </w:pPr>
            <w:r w:rsidRPr="00491301">
              <w:rPr>
                <w:color w:val="000000"/>
              </w:rPr>
              <w:t>$12</w:t>
            </w:r>
            <w:r>
              <w:rPr>
                <w:color w:val="000000"/>
              </w:rPr>
              <w:t>.2</w:t>
            </w:r>
          </w:p>
        </w:tc>
        <w:tc>
          <w:tcPr>
            <w:tcW w:w="1240"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2A9C12C4" w14:textId="018B9B55">
            <w:pPr>
              <w:jc w:val="center"/>
              <w:rPr>
                <w:color w:val="000000"/>
              </w:rPr>
            </w:pPr>
            <w:r w:rsidRPr="00491301">
              <w:rPr>
                <w:color w:val="000000"/>
              </w:rPr>
              <w:t>$20</w:t>
            </w:r>
            <w:r>
              <w:rPr>
                <w:color w:val="000000"/>
              </w:rPr>
              <w:t>.1</w:t>
            </w:r>
          </w:p>
        </w:tc>
        <w:tc>
          <w:tcPr>
            <w:tcW w:w="1416" w:type="pct"/>
            <w:tcBorders>
              <w:top w:val="single" w:sz="4" w:space="0" w:color="auto"/>
              <w:left w:val="single" w:sz="4" w:space="0" w:color="auto"/>
              <w:bottom w:val="single" w:sz="4" w:space="0" w:color="auto"/>
              <w:right w:val="single" w:sz="4" w:space="0" w:color="auto"/>
            </w:tcBorders>
            <w:vAlign w:val="bottom"/>
          </w:tcPr>
          <w:p w:rsidR="00B41F95" w:rsidRPr="00B41F95" w:rsidP="00026F9A" w14:paraId="4088B7A7" w14:textId="63D2AD85">
            <w:pPr>
              <w:jc w:val="center"/>
              <w:rPr>
                <w:color w:val="000000"/>
              </w:rPr>
            </w:pPr>
            <w:r w:rsidRPr="00491301">
              <w:rPr>
                <w:color w:val="000000"/>
              </w:rPr>
              <w:t>$26</w:t>
            </w:r>
            <w:r>
              <w:rPr>
                <w:color w:val="000000"/>
              </w:rPr>
              <w:t>.1</w:t>
            </w:r>
          </w:p>
        </w:tc>
      </w:tr>
    </w:tbl>
    <w:p w:rsidR="004B0A8A" w:rsidRPr="004B0A8A" w:rsidP="00026F9A" w14:paraId="08743F54" w14:textId="77777777">
      <w:pPr>
        <w:rPr>
          <w:iCs/>
        </w:rPr>
      </w:pPr>
    </w:p>
    <w:p w:rsidR="00F47D86" w:rsidRPr="0073331E" w:rsidP="00026F9A" w14:paraId="46F0CC44" w14:textId="5D9019DE">
      <w:pPr>
        <w:pStyle w:val="Heading2"/>
      </w:pPr>
      <w:bookmarkStart w:id="31" w:name="_Toc102486132"/>
      <w:bookmarkStart w:id="32" w:name="_Toc139642993"/>
      <w:r w:rsidRPr="0073331E">
        <w:t>Benefits of the Rule</w:t>
      </w:r>
      <w:bookmarkEnd w:id="31"/>
      <w:bookmarkEnd w:id="32"/>
    </w:p>
    <w:p w:rsidR="0034389B" w:rsidP="00026F9A" w14:paraId="1A0BFA63" w14:textId="63AC46BE">
      <w:pPr>
        <w:spacing w:line="480" w:lineRule="auto"/>
      </w:pPr>
      <w:r w:rsidRPr="00AD6B07">
        <w:tab/>
        <w:t xml:space="preserve">In the </w:t>
      </w:r>
      <w:r>
        <w:t xml:space="preserve">baseline </w:t>
      </w:r>
      <w:r w:rsidR="00603257">
        <w:t xml:space="preserve">conditions </w:t>
      </w:r>
      <w:r>
        <w:t xml:space="preserve">section, we present our estimates of the simulated stream of benefits of the pre-harvest agricultural water </w:t>
      </w:r>
      <w:r w:rsidR="0031608C">
        <w:t xml:space="preserve">microbial </w:t>
      </w:r>
      <w:r w:rsidR="00856EC4">
        <w:t xml:space="preserve">quality criteria and </w:t>
      </w:r>
      <w:r>
        <w:t>testing provisions</w:t>
      </w:r>
      <w:r w:rsidR="00856EC4">
        <w:t xml:space="preserve"> in the 2015 </w:t>
      </w:r>
      <w:r w:rsidR="005170CE">
        <w:t>p</w:t>
      </w:r>
      <w:r w:rsidR="00856EC4">
        <w:t xml:space="preserve">roduce </w:t>
      </w:r>
      <w:r w:rsidR="005170CE">
        <w:t>s</w:t>
      </w:r>
      <w:r w:rsidR="00856EC4">
        <w:t xml:space="preserve">afety </w:t>
      </w:r>
      <w:r w:rsidR="005170CE">
        <w:t>final r</w:t>
      </w:r>
      <w:r w:rsidR="00856EC4">
        <w:t>ule</w:t>
      </w:r>
      <w:r>
        <w:t xml:space="preserve">, which we treat as the </w:t>
      </w:r>
      <w:r w:rsidR="00B60AB2">
        <w:t xml:space="preserve">primary </w:t>
      </w:r>
      <w:r>
        <w:t xml:space="preserve">baseline for the rule.  </w:t>
      </w:r>
    </w:p>
    <w:p w:rsidR="0034389B" w:rsidP="00026F9A" w14:paraId="589154C5" w14:textId="7DE2C50B">
      <w:pPr>
        <w:spacing w:line="480" w:lineRule="auto"/>
      </w:pPr>
      <w:r>
        <w:tab/>
        <w:t xml:space="preserve">The gained or forgone benefits of </w:t>
      </w:r>
      <w:r w:rsidR="00856EC4">
        <w:t xml:space="preserve">this </w:t>
      </w:r>
      <w:r>
        <w:t xml:space="preserve">rule would stem only from the pre-harvest agricultural water provisions for non-sprout covered produce. </w:t>
      </w:r>
      <w:r w:rsidRPr="00EB1149">
        <w:t xml:space="preserve">The </w:t>
      </w:r>
      <w:r>
        <w:t xml:space="preserve">provisions for agricultural water assessments in the </w:t>
      </w:r>
      <w:r w:rsidRPr="00EB1149">
        <w:t>rule</w:t>
      </w:r>
      <w:r>
        <w:t xml:space="preserve"> are designed to be flexible to</w:t>
      </w:r>
      <w:r w:rsidRPr="00CA11AC">
        <w:t xml:space="preserve"> accommodate a wide range of agricultural water sources, uses, and practices</w:t>
      </w:r>
      <w:r>
        <w:t xml:space="preserve">; stakeholders have provided feedback that they find the pre-harvest </w:t>
      </w:r>
      <w:r w:rsidR="009064FB">
        <w:t xml:space="preserve">agricultural water testing </w:t>
      </w:r>
      <w:r>
        <w:t>requirements</w:t>
      </w:r>
      <w:r w:rsidR="009064FB">
        <w:t xml:space="preserve"> in the 2015 </w:t>
      </w:r>
      <w:r w:rsidR="00026B9D">
        <w:t xml:space="preserve">produce safety final rule </w:t>
      </w:r>
      <w:r>
        <w:t>to be inflexible due to imposing a “</w:t>
      </w:r>
      <w:r w:rsidRPr="00BD1543">
        <w:t>one-size-fits-all” approach that is difficult to implement across the wide variety of sources, uses, and practices covered by the rule</w:t>
      </w:r>
      <w:r>
        <w:t xml:space="preserve">. </w:t>
      </w:r>
      <w:r w:rsidRPr="00EB1149">
        <w:t xml:space="preserve">The </w:t>
      </w:r>
      <w:r>
        <w:t>provisions</w:t>
      </w:r>
      <w:r w:rsidRPr="00EB1149">
        <w:t xml:space="preserve"> </w:t>
      </w:r>
      <w:r>
        <w:t>require</w:t>
      </w:r>
      <w:r w:rsidRPr="00EB1149">
        <w:t xml:space="preserve"> farms to holistically consider potential hazards and time-varying conditions that may not be </w:t>
      </w:r>
      <w:r>
        <w:t xml:space="preserve">reflected when testing pre-harvest water under the </w:t>
      </w:r>
      <w:r w:rsidR="00510017">
        <w:t xml:space="preserve">agricultural water </w:t>
      </w:r>
      <w:r>
        <w:t>provisions</w:t>
      </w:r>
      <w:r w:rsidR="00510017">
        <w:t xml:space="preserve"> in the 2015 </w:t>
      </w:r>
      <w:r w:rsidR="00026B9D">
        <w:t>produce safety final rule</w:t>
      </w:r>
      <w:r w:rsidRPr="00EB1149">
        <w:t>.</w:t>
      </w:r>
      <w:r w:rsidRPr="007C4245">
        <w:t xml:space="preserve"> </w:t>
      </w:r>
      <w:r>
        <w:t>Requiring</w:t>
      </w:r>
      <w:r w:rsidRPr="00EB1149">
        <w:t xml:space="preserve"> farms to conduct </w:t>
      </w:r>
      <w:r>
        <w:t>an</w:t>
      </w:r>
      <w:r w:rsidRPr="00EB1149">
        <w:t xml:space="preserve"> assessment</w:t>
      </w:r>
      <w:r>
        <w:t xml:space="preserve"> of their pre-harvest agricultural water systems for conditions that may introduce hazards</w:t>
      </w:r>
      <w:r w:rsidRPr="00EB1149">
        <w:t xml:space="preserve"> may better</w:t>
      </w:r>
      <w:r>
        <w:t xml:space="preserve"> assist them in</w:t>
      </w:r>
      <w:r w:rsidRPr="00EB1149">
        <w:t xml:space="preserve"> identify</w:t>
      </w:r>
      <w:r>
        <w:t>ing potential</w:t>
      </w:r>
      <w:r w:rsidRPr="00EB1149">
        <w:t xml:space="preserve"> sources of human pathogens in pre-harvest water that contacts produce.</w:t>
      </w:r>
      <w:r>
        <w:t xml:space="preserve"> However, the provisions may be less effective at preventing outbreaks if farms fail to identify hazards during the </w:t>
      </w:r>
      <w:r w:rsidR="00EE2250">
        <w:t xml:space="preserve">agricultural </w:t>
      </w:r>
      <w:r>
        <w:t xml:space="preserve">water assessment or fail to properly mitigate identified hazards. </w:t>
      </w:r>
    </w:p>
    <w:p w:rsidR="00EA75CC" w:rsidP="00026F9A" w14:paraId="51C03620" w14:textId="01148B71">
      <w:pPr>
        <w:spacing w:line="480" w:lineRule="auto"/>
      </w:pPr>
      <w:r>
        <w:tab/>
      </w:r>
      <w:r w:rsidRPr="00840C98" w:rsidR="00044381">
        <w:t xml:space="preserve">The rule may also </w:t>
      </w:r>
      <w:r w:rsidR="00D7039D">
        <w:t>help avoid</w:t>
      </w:r>
      <w:r w:rsidR="000E1418">
        <w:t xml:space="preserve"> </w:t>
      </w:r>
      <w:r w:rsidR="00374904">
        <w:t>overly broad</w:t>
      </w:r>
      <w:r w:rsidRPr="00840C98" w:rsidR="00044381">
        <w:t xml:space="preserve"> </w:t>
      </w:r>
      <w:r w:rsidRPr="00840C98" w:rsidR="00F257DF">
        <w:t>recalls of products for outbreaks that would have occurred absent the rule</w:t>
      </w:r>
      <w:r w:rsidRPr="00840C98" w:rsidR="00EC67CB">
        <w:t>, which would lead to cost savings for industry</w:t>
      </w:r>
      <w:r w:rsidRPr="00840C98" w:rsidR="00F257DF">
        <w:t xml:space="preserve">. </w:t>
      </w:r>
      <w:r w:rsidRPr="00FD3522" w:rsidR="00112311">
        <w:t xml:space="preserve">We are not aware of—and comments did not provide—quantitative data or information </w:t>
      </w:r>
      <w:r w:rsidRPr="00953D3C" w:rsidR="00112311">
        <w:rPr>
          <w:iCs/>
        </w:rPr>
        <w:t>related to recalls that can be directly attributed to pre-harvest agricultural water for non-sprout covered produce</w:t>
      </w:r>
      <w:r w:rsidRPr="00840C98" w:rsidR="009B3401">
        <w:t xml:space="preserve"> that would allow us to estimate these </w:t>
      </w:r>
      <w:r w:rsidRPr="00840C98" w:rsidR="00EC67CB">
        <w:t>cost savings quantitatively</w:t>
      </w:r>
      <w:r w:rsidRPr="00840C98" w:rsidR="00AE1EB3">
        <w:t xml:space="preserve"> or compare these cost savings to recalls </w:t>
      </w:r>
      <w:r w:rsidRPr="00840C98" w:rsidR="00AE1EB3">
        <w:t xml:space="preserve">potentially averted due to pre-harvest agricultural water testing provisions, but we note that the rule may provide </w:t>
      </w:r>
      <w:r w:rsidRPr="00840C98" w:rsidR="00317472">
        <w:t>cost savings to industry in the form of potential recalls averted.</w:t>
      </w:r>
      <w:r w:rsidR="00317472">
        <w:t xml:space="preserve"> </w:t>
      </w:r>
    </w:p>
    <w:p w:rsidR="0034389B" w:rsidP="00026F9A" w14:paraId="5A6DFB3B" w14:textId="0A6F2919">
      <w:pPr>
        <w:spacing w:line="480" w:lineRule="auto"/>
        <w:ind w:firstLine="720"/>
      </w:pPr>
      <w:r>
        <w:t xml:space="preserve">We acknowledge uncertainty about the effectiveness of </w:t>
      </w:r>
      <w:r w:rsidR="00D97089">
        <w:t xml:space="preserve">the </w:t>
      </w:r>
      <w:r>
        <w:t xml:space="preserve">pre-harvest agricultural water </w:t>
      </w:r>
      <w:r w:rsidR="391EECC5">
        <w:t>assessment</w:t>
      </w:r>
      <w:r>
        <w:t xml:space="preserve"> provisions at preventing illnesses</w:t>
      </w:r>
      <w:r w:rsidR="531EBEB5">
        <w:t>;</w:t>
      </w:r>
      <w:r>
        <w:t xml:space="preserve"> we use survey responses from subject matter </w:t>
      </w:r>
      <w:r w:rsidRPr="00DA0200">
        <w:t>expe</w:t>
      </w:r>
      <w:r w:rsidRPr="005F3BE7">
        <w:t xml:space="preserve">rts to </w:t>
      </w:r>
      <w:r>
        <w:t>estimate</w:t>
      </w:r>
      <w:r w:rsidRPr="005F3BE7">
        <w:t xml:space="preserve"> t</w:t>
      </w:r>
      <w:r w:rsidRPr="00DA0200">
        <w:t>he</w:t>
      </w:r>
      <w:r>
        <w:t xml:space="preserve"> expected effectiveness of th</w:t>
      </w:r>
      <w:r w:rsidR="536AA610">
        <w:t>e</w:t>
      </w:r>
      <w:r>
        <w:t xml:space="preserve">se provisions. In our survey of subject matter </w:t>
      </w:r>
      <w:r w:rsidRPr="00276D8F">
        <w:t xml:space="preserve">experts (Ref. </w:t>
      </w:r>
      <w:r w:rsidRPr="00276D8F" w:rsidR="00414F0E">
        <w:t>3</w:t>
      </w:r>
      <w:r w:rsidRPr="00276D8F">
        <w:t>), we provided</w:t>
      </w:r>
      <w:r>
        <w:t xml:space="preserve"> the pre-harvest agricultural water assessment provisions and asked them to estimate the percentage of illnesses that would occur under the pre-harvest agricultural water assessment provisions relative to no pre-harvest agricultural water provisions. The median estimates from subject matter experts of the low, most likely, and high estimates of the percentage of illnesses that would occur under the assessment approach relative to no provisions were 30%, 60%, and 80%. We use these percentages as parameters of a PERT distribution to simulate the benefits of the pre-harvest water assessment provisions; this method incorporates the uncertainty about the effectiveness of the provisions. Table 1</w:t>
      </w:r>
      <w:r w:rsidR="00387217">
        <w:t>5</w:t>
      </w:r>
      <w:r>
        <w:t xml:space="preserve"> presents our low, primary, and high estimates of the benefits (dollar burden of illnesses avoided) of the pre-harvest agricultural water assessment provisions relative to the baseline of the pre-harvest agricultural water </w:t>
      </w:r>
      <w:r w:rsidR="00E45B2E">
        <w:t xml:space="preserve">microbial quality criteria and </w:t>
      </w:r>
      <w:r>
        <w:t>testing provisions</w:t>
      </w:r>
      <w:r w:rsidR="00387217">
        <w:t>, and Table 16 presents our low, primary, and high estimates of the benefits (dollar burden of illnesses avoided) of the pre-harvest agricultural water testing provisions relative to no pre-harvest agricultural water provisions</w:t>
      </w:r>
      <w:r>
        <w:t xml:space="preserve">. In year 0, there are no estimated benefits as provisions have not taken effect; in year 1, provisions have taken effect only for large farms, which constitute 80% of covered produce acreage; in year 2, provisions have taken effect for large farms and small farms, which constitute 87% of covered acreage; in years 3 and onward, provisions have taken effect for all farm </w:t>
      </w:r>
      <w:r w:rsidRPr="00276D8F">
        <w:t xml:space="preserve">sizes (Ref. </w:t>
      </w:r>
      <w:r w:rsidRPr="00276D8F" w:rsidR="00226424">
        <w:t>8</w:t>
      </w:r>
      <w:r w:rsidRPr="00276D8F">
        <w:t>). We</w:t>
      </w:r>
      <w:r>
        <w:t xml:space="preserve"> include 5th (“Low Estimate”) and 95th (“High Estimate”) percentile outcomes of the simulated </w:t>
      </w:r>
      <w:r>
        <w:t xml:space="preserve">benefits as measures of uncertainty. We estimate that annualized benefits relative to the baseline of pre-harvest agricultural water </w:t>
      </w:r>
      <w:r w:rsidR="143A5A09">
        <w:t>microbial quality criteria and</w:t>
      </w:r>
      <w:r w:rsidR="2379E12E">
        <w:t xml:space="preserve"> </w:t>
      </w:r>
      <w:r>
        <w:t>testing provisions are approximately $</w:t>
      </w:r>
      <w:r w:rsidR="00E32C54">
        <w:t>10.3</w:t>
      </w:r>
      <w:r>
        <w:t xml:space="preserve"> million in </w:t>
      </w:r>
      <w:r w:rsidR="2379E12E">
        <w:t>20</w:t>
      </w:r>
      <w:r w:rsidR="5C7588A1">
        <w:t>2</w:t>
      </w:r>
      <w:r w:rsidR="00E32C54">
        <w:t>2</w:t>
      </w:r>
      <w:r>
        <w:t xml:space="preserve"> dollars at a 3 percent discount rate. At a 7 percent discount rate, estimated annual </w:t>
      </w:r>
      <w:r w:rsidRPr="004C18F8">
        <w:t>baseline benefits</w:t>
      </w:r>
      <w:r>
        <w:t xml:space="preserve"> are approximately $</w:t>
      </w:r>
      <w:r w:rsidR="00E32C54">
        <w:t>10.1</w:t>
      </w:r>
      <w:r>
        <w:t xml:space="preserve"> million. </w:t>
      </w:r>
    </w:p>
    <w:p w:rsidR="00387217" w:rsidRPr="00F16FAC" w:rsidP="00026F9A" w14:paraId="01FF6D92" w14:textId="1DFEBAD5">
      <w:pPr>
        <w:rPr>
          <w:b/>
        </w:rPr>
      </w:pPr>
      <w:r w:rsidRPr="00F16FAC">
        <w:rPr>
          <w:b/>
        </w:rPr>
        <w:t xml:space="preserve">Table </w:t>
      </w:r>
      <w:r>
        <w:rPr>
          <w:b/>
        </w:rPr>
        <w:t>15</w:t>
      </w:r>
      <w:r w:rsidRPr="00F16FAC">
        <w:rPr>
          <w:b/>
        </w:rPr>
        <w:t xml:space="preserve">: </w:t>
      </w:r>
      <w:r>
        <w:rPr>
          <w:b/>
        </w:rPr>
        <w:t xml:space="preserve">Estimated Benefits of Pre-harvest Agricultural Water Assessment Provisions, Relative to Primary Baseline of Pre-harvest </w:t>
      </w:r>
      <w:r w:rsidR="00BB1943">
        <w:rPr>
          <w:b/>
        </w:rPr>
        <w:t xml:space="preserve">Agricultural Water Microbial Quality Criteria and </w:t>
      </w:r>
      <w:r>
        <w:rPr>
          <w:b/>
        </w:rPr>
        <w:t>Testing Provisions</w:t>
      </w:r>
      <w:r w:rsidR="00BB1943">
        <w:rPr>
          <w:b/>
        </w:rPr>
        <w:t xml:space="preserve"> in the 2015 Produce Safety Final Rule</w:t>
      </w:r>
      <w:r w:rsidRPr="00F16FAC">
        <w:rPr>
          <w:b/>
        </w:rPr>
        <w:t xml:space="preserve"> (millions 20</w:t>
      </w:r>
      <w:r>
        <w:rPr>
          <w:b/>
        </w:rPr>
        <w:t>2</w:t>
      </w:r>
      <w:r w:rsidR="00E32C54">
        <w:rPr>
          <w:b/>
        </w:rPr>
        <w:t>2</w:t>
      </w:r>
      <w:r w:rsidRPr="00F16FAC">
        <w:rPr>
          <w:b/>
        </w:rPr>
        <w:t>$)</w:t>
      </w:r>
    </w:p>
    <w:tbl>
      <w:tblPr>
        <w:tblStyle w:val="TableGrid"/>
        <w:tblW w:w="5000" w:type="pct"/>
        <w:tblLook w:val="04A0"/>
      </w:tblPr>
      <w:tblGrid>
        <w:gridCol w:w="2411"/>
        <w:gridCol w:w="2313"/>
        <w:gridCol w:w="2313"/>
        <w:gridCol w:w="2313"/>
      </w:tblGrid>
      <w:tr w14:paraId="56F91940"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387217" w:rsidRPr="00F16FAC" w:rsidP="00026F9A" w14:paraId="3F1B1E28" w14:textId="77777777">
            <w:pPr>
              <w:jc w:val="center"/>
              <w:rPr>
                <w:b/>
              </w:rPr>
            </w:pPr>
            <w:r w:rsidRPr="00F16FAC">
              <w:rPr>
                <w:b/>
              </w:rPr>
              <w:t>Years after publication</w:t>
            </w:r>
          </w:p>
        </w:tc>
        <w:tc>
          <w:tcPr>
            <w:tcW w:w="1237" w:type="pct"/>
            <w:tcBorders>
              <w:top w:val="single" w:sz="4" w:space="0" w:color="auto"/>
              <w:left w:val="single" w:sz="4" w:space="0" w:color="auto"/>
              <w:bottom w:val="single" w:sz="4" w:space="0" w:color="auto"/>
              <w:right w:val="single" w:sz="4" w:space="0" w:color="auto"/>
            </w:tcBorders>
            <w:hideMark/>
          </w:tcPr>
          <w:p w:rsidR="00387217" w:rsidRPr="00F16FAC" w:rsidP="00026F9A" w14:paraId="0E60AD24" w14:textId="77777777">
            <w:pPr>
              <w:jc w:val="center"/>
              <w:rPr>
                <w:b/>
              </w:rPr>
            </w:pPr>
            <w:r>
              <w:rPr>
                <w:b/>
              </w:rPr>
              <w:t>Low Estimate</w:t>
            </w:r>
          </w:p>
        </w:tc>
        <w:tc>
          <w:tcPr>
            <w:tcW w:w="1237" w:type="pct"/>
            <w:tcBorders>
              <w:top w:val="single" w:sz="4" w:space="0" w:color="auto"/>
              <w:left w:val="single" w:sz="4" w:space="0" w:color="auto"/>
              <w:bottom w:val="single" w:sz="4" w:space="0" w:color="auto"/>
              <w:right w:val="single" w:sz="4" w:space="0" w:color="auto"/>
            </w:tcBorders>
          </w:tcPr>
          <w:p w:rsidR="00387217" w:rsidRPr="00F16FAC" w:rsidP="00026F9A" w14:paraId="2DDF08EF" w14:textId="77777777">
            <w:pPr>
              <w:jc w:val="center"/>
              <w:rPr>
                <w:b/>
              </w:rPr>
            </w:pPr>
            <w:r>
              <w:rPr>
                <w:b/>
              </w:rPr>
              <w:t>Primary Estimate</w:t>
            </w:r>
          </w:p>
        </w:tc>
        <w:tc>
          <w:tcPr>
            <w:tcW w:w="1237" w:type="pct"/>
            <w:tcBorders>
              <w:top w:val="single" w:sz="4" w:space="0" w:color="auto"/>
              <w:left w:val="single" w:sz="4" w:space="0" w:color="auto"/>
              <w:bottom w:val="single" w:sz="4" w:space="0" w:color="auto"/>
              <w:right w:val="single" w:sz="4" w:space="0" w:color="auto"/>
            </w:tcBorders>
          </w:tcPr>
          <w:p w:rsidR="00387217" w:rsidRPr="00F16FAC" w:rsidP="00026F9A" w14:paraId="60667DE8" w14:textId="77777777">
            <w:pPr>
              <w:jc w:val="center"/>
              <w:rPr>
                <w:b/>
              </w:rPr>
            </w:pPr>
            <w:r>
              <w:rPr>
                <w:b/>
              </w:rPr>
              <w:t>High Estimate</w:t>
            </w:r>
          </w:p>
        </w:tc>
      </w:tr>
      <w:tr w14:paraId="69DF900F"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2D4AA2A3" w14:textId="77777777">
            <w:pPr>
              <w:jc w:val="center"/>
            </w:pPr>
            <w:r w:rsidRPr="00F16FAC">
              <w:t>0</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234E20C2" w14:textId="50522DDB">
            <w:pPr>
              <w:jc w:val="center"/>
              <w:rPr>
                <w:color w:val="000000"/>
              </w:rPr>
            </w:pPr>
            <w:r w:rsidRPr="00491301">
              <w:rPr>
                <w:color w:val="000000"/>
              </w:rPr>
              <w:t>$0.0</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074B6847" w14:textId="7BB61866">
            <w:pPr>
              <w:jc w:val="center"/>
              <w:rPr>
                <w:color w:val="000000"/>
              </w:rPr>
            </w:pPr>
            <w:r w:rsidRPr="00491301">
              <w:rPr>
                <w:color w:val="000000"/>
              </w:rPr>
              <w:t>$0.0</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72EC2F4D" w14:textId="13D30C33">
            <w:pPr>
              <w:jc w:val="center"/>
              <w:rPr>
                <w:color w:val="000000"/>
              </w:rPr>
            </w:pPr>
            <w:r w:rsidRPr="00491301">
              <w:rPr>
                <w:color w:val="000000"/>
              </w:rPr>
              <w:t>$0.0</w:t>
            </w:r>
          </w:p>
        </w:tc>
      </w:tr>
      <w:tr w14:paraId="5C7BC70A"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40A68FA7" w14:textId="77777777">
            <w:pPr>
              <w:jc w:val="center"/>
            </w:pPr>
            <w:r w:rsidRPr="00F16FAC">
              <w:t>1</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50E1CB57" w14:textId="2287BFD8">
            <w:pPr>
              <w:jc w:val="center"/>
              <w:rPr>
                <w:color w:val="000000"/>
              </w:rPr>
            </w:pPr>
            <w:r w:rsidRPr="00491301">
              <w:rPr>
                <w:color w:val="000000"/>
              </w:rPr>
              <w:t>-$28.8</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0142A200" w14:textId="4CD7879A">
            <w:pPr>
              <w:jc w:val="center"/>
              <w:rPr>
                <w:color w:val="000000"/>
              </w:rPr>
            </w:pPr>
            <w:r w:rsidRPr="00491301">
              <w:rPr>
                <w:color w:val="000000"/>
              </w:rPr>
              <w:t>$9.7</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744D81DC" w14:textId="0379F963">
            <w:pPr>
              <w:jc w:val="center"/>
              <w:rPr>
                <w:color w:val="000000"/>
              </w:rPr>
            </w:pPr>
            <w:r w:rsidRPr="00491301">
              <w:rPr>
                <w:color w:val="000000"/>
              </w:rPr>
              <w:t>$48.6</w:t>
            </w:r>
          </w:p>
        </w:tc>
      </w:tr>
      <w:tr w14:paraId="408D076A"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138FA23A" w14:textId="77777777">
            <w:pPr>
              <w:jc w:val="center"/>
            </w:pPr>
            <w:r w:rsidRPr="00F16FAC">
              <w:t>2</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084F4B83" w14:textId="796107A7">
            <w:pPr>
              <w:jc w:val="center"/>
              <w:rPr>
                <w:color w:val="000000"/>
              </w:rPr>
            </w:pPr>
            <w:r w:rsidRPr="00491301">
              <w:rPr>
                <w:color w:val="000000"/>
              </w:rPr>
              <w:t>-$31.6</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65109C28" w14:textId="1A6F96D1">
            <w:pPr>
              <w:jc w:val="center"/>
              <w:rPr>
                <w:color w:val="000000"/>
              </w:rPr>
            </w:pPr>
            <w:r w:rsidRPr="00491301">
              <w:rPr>
                <w:color w:val="000000"/>
              </w:rPr>
              <w:t>$10.6</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494393E1" w14:textId="45F9A139">
            <w:pPr>
              <w:jc w:val="center"/>
              <w:rPr>
                <w:color w:val="000000"/>
              </w:rPr>
            </w:pPr>
            <w:r w:rsidRPr="00491301">
              <w:rPr>
                <w:color w:val="000000"/>
              </w:rPr>
              <w:t>$54.4</w:t>
            </w:r>
          </w:p>
        </w:tc>
      </w:tr>
      <w:tr w14:paraId="1C60EF64"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7D623DD4" w14:textId="77777777">
            <w:pPr>
              <w:jc w:val="center"/>
            </w:pPr>
            <w:r w:rsidRPr="00F16FAC">
              <w:t>3</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3CEAE36E" w14:textId="14AAE49F">
            <w:pPr>
              <w:jc w:val="center"/>
              <w:rPr>
                <w:color w:val="000000"/>
              </w:rPr>
            </w:pPr>
            <w:r w:rsidRPr="00491301">
              <w:rPr>
                <w:color w:val="000000"/>
              </w:rPr>
              <w:t>-$35.8</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1A23BEB7" w14:textId="7B11643A">
            <w:pPr>
              <w:jc w:val="center"/>
              <w:rPr>
                <w:color w:val="000000"/>
              </w:rPr>
            </w:pPr>
            <w:r w:rsidRPr="00491301">
              <w:rPr>
                <w:color w:val="000000"/>
              </w:rPr>
              <w:t>$12.1</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68583E75" w14:textId="653EF550">
            <w:pPr>
              <w:jc w:val="center"/>
              <w:rPr>
                <w:color w:val="000000"/>
              </w:rPr>
            </w:pPr>
            <w:r w:rsidRPr="00491301">
              <w:rPr>
                <w:color w:val="000000"/>
              </w:rPr>
              <w:t>$62.2</w:t>
            </w:r>
          </w:p>
        </w:tc>
      </w:tr>
      <w:tr w14:paraId="27103FC1"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4DCC7D7C" w14:textId="77777777">
            <w:pPr>
              <w:jc w:val="center"/>
            </w:pPr>
            <w:r w:rsidRPr="00F16FAC">
              <w:t>4</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38F6D3B1" w14:textId="3B55DBCC">
            <w:pPr>
              <w:jc w:val="center"/>
              <w:rPr>
                <w:color w:val="000000"/>
              </w:rPr>
            </w:pPr>
            <w:r w:rsidRPr="00491301">
              <w:rPr>
                <w:color w:val="000000"/>
              </w:rPr>
              <w:t>-$34.5</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7023F860" w14:textId="67DE03DD">
            <w:pPr>
              <w:jc w:val="center"/>
              <w:rPr>
                <w:color w:val="000000"/>
              </w:rPr>
            </w:pPr>
            <w:r w:rsidRPr="00491301">
              <w:rPr>
                <w:color w:val="000000"/>
              </w:rPr>
              <w:t>$12.1</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2EFC7B3B" w14:textId="4B471E8F">
            <w:pPr>
              <w:jc w:val="center"/>
              <w:rPr>
                <w:color w:val="000000"/>
              </w:rPr>
            </w:pPr>
            <w:r w:rsidRPr="00491301">
              <w:rPr>
                <w:color w:val="000000"/>
              </w:rPr>
              <w:t>$62.2</w:t>
            </w:r>
          </w:p>
        </w:tc>
      </w:tr>
      <w:tr w14:paraId="066F107E"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356AA73B" w14:textId="77777777">
            <w:pPr>
              <w:jc w:val="center"/>
            </w:pPr>
            <w:r w:rsidRPr="00F16FAC">
              <w:t>5</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579E4D49" w14:textId="026C35A9">
            <w:pPr>
              <w:jc w:val="center"/>
              <w:rPr>
                <w:color w:val="000000"/>
              </w:rPr>
            </w:pPr>
            <w:r w:rsidRPr="00491301">
              <w:rPr>
                <w:color w:val="000000"/>
              </w:rPr>
              <w:t>-$34.9</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6F07D4F7" w14:textId="0C53427B">
            <w:pPr>
              <w:jc w:val="center"/>
              <w:rPr>
                <w:color w:val="000000"/>
              </w:rPr>
            </w:pPr>
            <w:r w:rsidRPr="00491301">
              <w:rPr>
                <w:color w:val="000000"/>
              </w:rPr>
              <w:t>$12.1</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1A81F3B4" w14:textId="712A10FF">
            <w:pPr>
              <w:jc w:val="center"/>
              <w:rPr>
                <w:color w:val="000000"/>
              </w:rPr>
            </w:pPr>
            <w:r w:rsidRPr="00491301">
              <w:rPr>
                <w:color w:val="000000"/>
              </w:rPr>
              <w:t>$61.3</w:t>
            </w:r>
          </w:p>
        </w:tc>
      </w:tr>
      <w:tr w14:paraId="62ED01D4"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6DD86BEA" w14:textId="77777777">
            <w:pPr>
              <w:jc w:val="center"/>
            </w:pPr>
            <w:r w:rsidRPr="00F16FAC">
              <w:t>6</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22B0EE6A" w14:textId="75DAECD4">
            <w:pPr>
              <w:jc w:val="center"/>
              <w:rPr>
                <w:color w:val="000000"/>
              </w:rPr>
            </w:pPr>
            <w:r w:rsidRPr="00491301">
              <w:rPr>
                <w:color w:val="000000"/>
              </w:rPr>
              <w:t>-$35.4</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78B71C77" w14:textId="6ABC68CA">
            <w:pPr>
              <w:jc w:val="center"/>
              <w:rPr>
                <w:color w:val="000000"/>
              </w:rPr>
            </w:pPr>
            <w:r w:rsidRPr="00491301">
              <w:rPr>
                <w:color w:val="000000"/>
              </w:rPr>
              <w:t>$12.1</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23CBF7C5" w14:textId="590CFD40">
            <w:pPr>
              <w:jc w:val="center"/>
              <w:rPr>
                <w:color w:val="000000"/>
              </w:rPr>
            </w:pPr>
            <w:r w:rsidRPr="00491301">
              <w:rPr>
                <w:color w:val="000000"/>
              </w:rPr>
              <w:t>$61.9</w:t>
            </w:r>
          </w:p>
        </w:tc>
      </w:tr>
      <w:tr w14:paraId="29EC0E0D"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396C03DF" w14:textId="77777777">
            <w:pPr>
              <w:jc w:val="center"/>
            </w:pPr>
            <w:r w:rsidRPr="00F16FAC">
              <w:t>7</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7FDD6464" w14:textId="625C615B">
            <w:pPr>
              <w:jc w:val="center"/>
              <w:rPr>
                <w:color w:val="000000"/>
              </w:rPr>
            </w:pPr>
            <w:r w:rsidRPr="00491301">
              <w:rPr>
                <w:color w:val="000000"/>
              </w:rPr>
              <w:t>-$36.0</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6B613D1F" w14:textId="0D0FC97C">
            <w:pPr>
              <w:jc w:val="center"/>
              <w:rPr>
                <w:color w:val="000000"/>
              </w:rPr>
            </w:pPr>
            <w:r w:rsidRPr="00491301">
              <w:rPr>
                <w:color w:val="000000"/>
              </w:rPr>
              <w:t>$12.1</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0C72C494" w14:textId="31B16354">
            <w:pPr>
              <w:jc w:val="center"/>
              <w:rPr>
                <w:color w:val="000000"/>
              </w:rPr>
            </w:pPr>
            <w:r w:rsidRPr="00491301">
              <w:rPr>
                <w:color w:val="000000"/>
              </w:rPr>
              <w:t>$61.3</w:t>
            </w:r>
          </w:p>
        </w:tc>
      </w:tr>
      <w:tr w14:paraId="14501063"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5FE3C99C" w14:textId="77777777">
            <w:pPr>
              <w:jc w:val="center"/>
            </w:pPr>
            <w:r w:rsidRPr="00F16FAC">
              <w:t>8</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40BA4B0D" w14:textId="7D3C59B7">
            <w:pPr>
              <w:jc w:val="center"/>
              <w:rPr>
                <w:color w:val="000000"/>
              </w:rPr>
            </w:pPr>
            <w:r w:rsidRPr="00491301">
              <w:rPr>
                <w:color w:val="000000"/>
              </w:rPr>
              <w:t>-$35.8</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45DE0258" w14:textId="0F4AB745">
            <w:pPr>
              <w:jc w:val="center"/>
              <w:rPr>
                <w:color w:val="000000"/>
              </w:rPr>
            </w:pPr>
            <w:r w:rsidRPr="00491301">
              <w:rPr>
                <w:color w:val="000000"/>
              </w:rPr>
              <w:t>$12.1</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710CD4E4" w14:textId="40659A39">
            <w:pPr>
              <w:jc w:val="center"/>
              <w:rPr>
                <w:color w:val="000000"/>
              </w:rPr>
            </w:pPr>
            <w:r w:rsidRPr="00491301">
              <w:rPr>
                <w:color w:val="000000"/>
              </w:rPr>
              <w:t>$61.6</w:t>
            </w:r>
          </w:p>
        </w:tc>
      </w:tr>
      <w:tr w14:paraId="6F722969"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E32C54" w:rsidRPr="00F16FAC" w:rsidP="00026F9A" w14:paraId="5E916C9F" w14:textId="77777777">
            <w:pPr>
              <w:jc w:val="center"/>
            </w:pPr>
            <w:r w:rsidRPr="00F16FAC">
              <w:t>9</w:t>
            </w:r>
          </w:p>
        </w:tc>
        <w:tc>
          <w:tcPr>
            <w:tcW w:w="1237" w:type="pct"/>
            <w:tcBorders>
              <w:top w:val="single" w:sz="4" w:space="0" w:color="auto"/>
              <w:left w:val="single" w:sz="4" w:space="0" w:color="auto"/>
              <w:bottom w:val="single" w:sz="4" w:space="0" w:color="auto"/>
              <w:right w:val="single" w:sz="4" w:space="0" w:color="auto"/>
            </w:tcBorders>
            <w:vAlign w:val="bottom"/>
            <w:hideMark/>
          </w:tcPr>
          <w:p w:rsidR="00E32C54" w:rsidRPr="00E32C54" w:rsidP="00026F9A" w14:paraId="0C00F49E" w14:textId="14DA537A">
            <w:pPr>
              <w:jc w:val="center"/>
              <w:rPr>
                <w:color w:val="000000"/>
              </w:rPr>
            </w:pPr>
            <w:r w:rsidRPr="00491301">
              <w:rPr>
                <w:color w:val="000000"/>
              </w:rPr>
              <w:t>-$35.9</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1BB5179C" w14:textId="16C12FD6">
            <w:pPr>
              <w:jc w:val="center"/>
              <w:rPr>
                <w:color w:val="000000"/>
              </w:rPr>
            </w:pPr>
            <w:r w:rsidRPr="00491301">
              <w:rPr>
                <w:color w:val="000000"/>
              </w:rPr>
              <w:t>$12.1</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0D5776B8" w14:textId="0C54E748">
            <w:pPr>
              <w:jc w:val="center"/>
              <w:rPr>
                <w:color w:val="000000"/>
              </w:rPr>
            </w:pPr>
            <w:r w:rsidRPr="00491301">
              <w:rPr>
                <w:color w:val="000000"/>
              </w:rPr>
              <w:t>$61.4</w:t>
            </w:r>
          </w:p>
        </w:tc>
      </w:tr>
      <w:tr w14:paraId="203232F7"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E32C54" w:rsidRPr="00F16FAC" w:rsidP="00026F9A" w14:paraId="09ABA6AC" w14:textId="77777777">
            <w:pPr>
              <w:jc w:val="center"/>
            </w:pPr>
            <w:r>
              <w:t>Annualized, 3%</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1925BBF9" w14:textId="30397406">
            <w:pPr>
              <w:jc w:val="center"/>
              <w:rPr>
                <w:color w:val="000000"/>
              </w:rPr>
            </w:pPr>
            <w:r w:rsidRPr="00491301">
              <w:rPr>
                <w:color w:val="000000"/>
              </w:rPr>
              <w:t>-$30.3</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57A90EBB" w14:textId="2724CCDE">
            <w:pPr>
              <w:jc w:val="center"/>
              <w:rPr>
                <w:color w:val="000000"/>
              </w:rPr>
            </w:pPr>
            <w:r w:rsidRPr="00491301">
              <w:rPr>
                <w:color w:val="000000"/>
              </w:rPr>
              <w:t>$10.3</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0BA6FC85" w14:textId="49D42D73">
            <w:pPr>
              <w:jc w:val="center"/>
              <w:rPr>
                <w:color w:val="000000"/>
              </w:rPr>
            </w:pPr>
            <w:r w:rsidRPr="00491301">
              <w:rPr>
                <w:color w:val="000000"/>
              </w:rPr>
              <w:t>$52.4</w:t>
            </w:r>
          </w:p>
        </w:tc>
      </w:tr>
      <w:tr w14:paraId="33FB767C"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E32C54" w:rsidP="00026F9A" w14:paraId="40D9ED7F" w14:textId="77777777">
            <w:pPr>
              <w:jc w:val="center"/>
            </w:pPr>
            <w:r>
              <w:t>Annualized, 7%</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0378EAB8" w14:textId="6BE07595">
            <w:pPr>
              <w:jc w:val="center"/>
              <w:rPr>
                <w:color w:val="000000"/>
              </w:rPr>
            </w:pPr>
            <w:r w:rsidRPr="00491301">
              <w:rPr>
                <w:color w:val="000000"/>
              </w:rPr>
              <w:t>-$29.4</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50D1568E" w14:textId="1D0BC90C">
            <w:pPr>
              <w:jc w:val="center"/>
              <w:rPr>
                <w:color w:val="000000"/>
              </w:rPr>
            </w:pPr>
            <w:r w:rsidRPr="00491301">
              <w:rPr>
                <w:color w:val="000000"/>
              </w:rPr>
              <w:t>$10.1</w:t>
            </w:r>
          </w:p>
        </w:tc>
        <w:tc>
          <w:tcPr>
            <w:tcW w:w="1237" w:type="pct"/>
            <w:tcBorders>
              <w:top w:val="single" w:sz="4" w:space="0" w:color="auto"/>
              <w:left w:val="single" w:sz="4" w:space="0" w:color="auto"/>
              <w:bottom w:val="single" w:sz="4" w:space="0" w:color="auto"/>
              <w:right w:val="single" w:sz="4" w:space="0" w:color="auto"/>
            </w:tcBorders>
            <w:vAlign w:val="bottom"/>
          </w:tcPr>
          <w:p w:rsidR="00E32C54" w:rsidRPr="00E32C54" w:rsidP="00026F9A" w14:paraId="09F26AE5" w14:textId="682C84D5">
            <w:pPr>
              <w:jc w:val="center"/>
              <w:rPr>
                <w:color w:val="000000"/>
              </w:rPr>
            </w:pPr>
            <w:r w:rsidRPr="00491301">
              <w:rPr>
                <w:color w:val="000000"/>
              </w:rPr>
              <w:t>$51.0</w:t>
            </w:r>
          </w:p>
        </w:tc>
      </w:tr>
    </w:tbl>
    <w:p w:rsidR="00387217" w:rsidP="00026F9A" w14:paraId="646E9964" w14:textId="77777777">
      <w:pPr>
        <w:rPr>
          <w:b/>
        </w:rPr>
      </w:pPr>
    </w:p>
    <w:p w:rsidR="0034389B" w:rsidRPr="00F16FAC" w:rsidP="00026F9A" w14:paraId="484BF554" w14:textId="0EF0D76B">
      <w:pPr>
        <w:rPr>
          <w:b/>
        </w:rPr>
      </w:pPr>
      <w:r w:rsidRPr="00F16FAC">
        <w:rPr>
          <w:b/>
        </w:rPr>
        <w:t xml:space="preserve">Table </w:t>
      </w:r>
      <w:r>
        <w:rPr>
          <w:b/>
        </w:rPr>
        <w:t>1</w:t>
      </w:r>
      <w:r w:rsidR="00387217">
        <w:rPr>
          <w:b/>
        </w:rPr>
        <w:t>6</w:t>
      </w:r>
      <w:r w:rsidRPr="00F16FAC">
        <w:rPr>
          <w:b/>
        </w:rPr>
        <w:t xml:space="preserve">: </w:t>
      </w:r>
      <w:r>
        <w:rPr>
          <w:b/>
        </w:rPr>
        <w:t xml:space="preserve">Estimated Benefits of Pre-harvest Agricultural Water Assessment Provisions, Relative to </w:t>
      </w:r>
      <w:r w:rsidR="00387217">
        <w:rPr>
          <w:b/>
        </w:rPr>
        <w:t xml:space="preserve">Alternate Baseline of </w:t>
      </w:r>
      <w:r w:rsidRPr="005F3BE7">
        <w:rPr>
          <w:b/>
        </w:rPr>
        <w:t>No</w:t>
      </w:r>
      <w:r>
        <w:rPr>
          <w:b/>
        </w:rPr>
        <w:t xml:space="preserve"> Provisions</w:t>
      </w:r>
      <w:r w:rsidRPr="00F16FAC">
        <w:rPr>
          <w:b/>
        </w:rPr>
        <w:t xml:space="preserve"> (millions 20</w:t>
      </w:r>
      <w:r w:rsidR="00AF2E5A">
        <w:rPr>
          <w:b/>
        </w:rPr>
        <w:t>2</w:t>
      </w:r>
      <w:r w:rsidR="00E32C54">
        <w:rPr>
          <w:b/>
        </w:rPr>
        <w:t>2</w:t>
      </w:r>
      <w:r w:rsidRPr="00F16FAC">
        <w:rPr>
          <w:b/>
        </w:rPr>
        <w:t>$)</w:t>
      </w:r>
    </w:p>
    <w:tbl>
      <w:tblPr>
        <w:tblStyle w:val="TableGrid"/>
        <w:tblW w:w="5000" w:type="pct"/>
        <w:tblLook w:val="04A0"/>
      </w:tblPr>
      <w:tblGrid>
        <w:gridCol w:w="2411"/>
        <w:gridCol w:w="2313"/>
        <w:gridCol w:w="2313"/>
        <w:gridCol w:w="2313"/>
      </w:tblGrid>
      <w:tr w14:paraId="32216E85"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34389B" w:rsidRPr="00F16FAC" w:rsidP="00026F9A" w14:paraId="250F6AC3" w14:textId="77777777">
            <w:pPr>
              <w:jc w:val="center"/>
              <w:rPr>
                <w:b/>
              </w:rPr>
            </w:pPr>
            <w:r w:rsidRPr="00F16FAC">
              <w:rPr>
                <w:b/>
              </w:rPr>
              <w:t>Years after publication</w:t>
            </w:r>
          </w:p>
        </w:tc>
        <w:tc>
          <w:tcPr>
            <w:tcW w:w="1237" w:type="pct"/>
            <w:tcBorders>
              <w:top w:val="single" w:sz="4" w:space="0" w:color="auto"/>
              <w:left w:val="single" w:sz="4" w:space="0" w:color="auto"/>
              <w:bottom w:val="single" w:sz="4" w:space="0" w:color="auto"/>
              <w:right w:val="single" w:sz="4" w:space="0" w:color="auto"/>
            </w:tcBorders>
            <w:hideMark/>
          </w:tcPr>
          <w:p w:rsidR="0034389B" w:rsidRPr="00F16FAC" w:rsidP="00026F9A" w14:paraId="5B7F8D1C" w14:textId="77777777">
            <w:pPr>
              <w:jc w:val="center"/>
              <w:rPr>
                <w:b/>
              </w:rPr>
            </w:pPr>
            <w:r>
              <w:rPr>
                <w:b/>
              </w:rPr>
              <w:t>Low Estimate</w:t>
            </w:r>
          </w:p>
        </w:tc>
        <w:tc>
          <w:tcPr>
            <w:tcW w:w="1237" w:type="pct"/>
            <w:tcBorders>
              <w:top w:val="single" w:sz="4" w:space="0" w:color="auto"/>
              <w:left w:val="single" w:sz="4" w:space="0" w:color="auto"/>
              <w:bottom w:val="single" w:sz="4" w:space="0" w:color="auto"/>
              <w:right w:val="single" w:sz="4" w:space="0" w:color="auto"/>
            </w:tcBorders>
          </w:tcPr>
          <w:p w:rsidR="0034389B" w:rsidRPr="00F16FAC" w:rsidP="00026F9A" w14:paraId="475555F2" w14:textId="77777777">
            <w:pPr>
              <w:jc w:val="center"/>
              <w:rPr>
                <w:b/>
              </w:rPr>
            </w:pPr>
            <w:r>
              <w:rPr>
                <w:b/>
              </w:rPr>
              <w:t>Primary Estimate</w:t>
            </w:r>
          </w:p>
        </w:tc>
        <w:tc>
          <w:tcPr>
            <w:tcW w:w="1237" w:type="pct"/>
            <w:tcBorders>
              <w:top w:val="single" w:sz="4" w:space="0" w:color="auto"/>
              <w:left w:val="single" w:sz="4" w:space="0" w:color="auto"/>
              <w:bottom w:val="single" w:sz="4" w:space="0" w:color="auto"/>
              <w:right w:val="single" w:sz="4" w:space="0" w:color="auto"/>
            </w:tcBorders>
          </w:tcPr>
          <w:p w:rsidR="0034389B" w:rsidRPr="00F16FAC" w:rsidP="00026F9A" w14:paraId="2FCEF889" w14:textId="77777777">
            <w:pPr>
              <w:jc w:val="center"/>
              <w:rPr>
                <w:b/>
              </w:rPr>
            </w:pPr>
            <w:r>
              <w:rPr>
                <w:b/>
              </w:rPr>
              <w:t>High Estimate</w:t>
            </w:r>
          </w:p>
        </w:tc>
      </w:tr>
      <w:tr w14:paraId="44916C46"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4799BA7C" w14:textId="77777777">
            <w:pPr>
              <w:jc w:val="center"/>
            </w:pPr>
            <w:r w:rsidRPr="00F16FAC">
              <w:t>0</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6F93FC8A" w14:textId="4884D6E6">
            <w:pPr>
              <w:jc w:val="center"/>
              <w:rPr>
                <w:color w:val="000000"/>
              </w:rPr>
            </w:pPr>
            <w:r w:rsidRPr="00491301">
              <w:rPr>
                <w:color w:val="000000"/>
              </w:rPr>
              <w:t>$0.0</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1B4C1DA4" w14:textId="2B3503C8">
            <w:pPr>
              <w:jc w:val="center"/>
              <w:rPr>
                <w:color w:val="000000"/>
              </w:rPr>
            </w:pPr>
            <w:r w:rsidRPr="00491301">
              <w:rPr>
                <w:color w:val="000000"/>
              </w:rPr>
              <w:t>$0.0</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5219D872" w14:textId="2BDEDB69">
            <w:pPr>
              <w:jc w:val="center"/>
              <w:rPr>
                <w:color w:val="000000"/>
              </w:rPr>
            </w:pPr>
            <w:r w:rsidRPr="00491301">
              <w:rPr>
                <w:color w:val="000000"/>
              </w:rPr>
              <w:t>$0.0</w:t>
            </w:r>
          </w:p>
        </w:tc>
      </w:tr>
      <w:tr w14:paraId="41BDCAEA"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19F3919F" w14:textId="77777777">
            <w:pPr>
              <w:jc w:val="center"/>
            </w:pPr>
            <w:r w:rsidRPr="00F16FAC">
              <w:t>1</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30265296" w14:textId="1F941720">
            <w:pPr>
              <w:jc w:val="center"/>
              <w:rPr>
                <w:color w:val="000000"/>
              </w:rPr>
            </w:pPr>
            <w:r w:rsidRPr="00491301">
              <w:rPr>
                <w:color w:val="000000"/>
              </w:rPr>
              <w:t>$47.9</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493B0574" w14:textId="0F47E126">
            <w:pPr>
              <w:jc w:val="center"/>
              <w:rPr>
                <w:color w:val="000000"/>
              </w:rPr>
            </w:pPr>
            <w:r w:rsidRPr="00491301">
              <w:rPr>
                <w:color w:val="000000"/>
              </w:rPr>
              <w:t>$81.0</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784D1F7C" w14:textId="53951CF6">
            <w:pPr>
              <w:jc w:val="center"/>
              <w:rPr>
                <w:color w:val="000000"/>
              </w:rPr>
            </w:pPr>
            <w:r w:rsidRPr="00491301">
              <w:rPr>
                <w:color w:val="000000"/>
              </w:rPr>
              <w:t>$121.4</w:t>
            </w:r>
          </w:p>
        </w:tc>
      </w:tr>
      <w:tr w14:paraId="0FF27A48"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291E3805" w14:textId="77777777">
            <w:pPr>
              <w:jc w:val="center"/>
            </w:pPr>
            <w:r w:rsidRPr="00F16FAC">
              <w:t>2</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0757D676" w14:textId="1A84DF03">
            <w:pPr>
              <w:jc w:val="center"/>
              <w:rPr>
                <w:color w:val="000000"/>
              </w:rPr>
            </w:pPr>
            <w:r w:rsidRPr="00491301">
              <w:rPr>
                <w:color w:val="000000"/>
              </w:rPr>
              <w:t>$52.1</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4FCB1AA6" w14:textId="766C412A">
            <w:pPr>
              <w:jc w:val="center"/>
              <w:rPr>
                <w:color w:val="000000"/>
              </w:rPr>
            </w:pPr>
            <w:r w:rsidRPr="00491301">
              <w:rPr>
                <w:color w:val="000000"/>
              </w:rPr>
              <w:t>$88.5</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3DCA2B78" w14:textId="320CE89C">
            <w:pPr>
              <w:jc w:val="center"/>
              <w:rPr>
                <w:color w:val="000000"/>
              </w:rPr>
            </w:pPr>
            <w:r w:rsidRPr="00491301">
              <w:rPr>
                <w:color w:val="000000"/>
              </w:rPr>
              <w:t>$132.5</w:t>
            </w:r>
          </w:p>
        </w:tc>
      </w:tr>
      <w:tr w14:paraId="0FF36637"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6449CDE8" w14:textId="77777777">
            <w:pPr>
              <w:jc w:val="center"/>
            </w:pPr>
            <w:r w:rsidRPr="00F16FAC">
              <w:t>3</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7E6D2E7F" w14:textId="3444885B">
            <w:pPr>
              <w:jc w:val="center"/>
              <w:rPr>
                <w:color w:val="000000"/>
              </w:rPr>
            </w:pPr>
            <w:r w:rsidRPr="00491301">
              <w:rPr>
                <w:color w:val="000000"/>
              </w:rPr>
              <w:t>$59.9</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3D9DA996" w14:textId="442FE32D">
            <w:pPr>
              <w:jc w:val="center"/>
              <w:rPr>
                <w:color w:val="000000"/>
              </w:rPr>
            </w:pPr>
            <w:r w:rsidRPr="00491301">
              <w:rPr>
                <w:color w:val="000000"/>
              </w:rPr>
              <w:t>$101.2</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647FA540" w14:textId="7C2B0033">
            <w:pPr>
              <w:jc w:val="center"/>
              <w:rPr>
                <w:color w:val="000000"/>
              </w:rPr>
            </w:pPr>
            <w:r w:rsidRPr="00491301">
              <w:rPr>
                <w:color w:val="000000"/>
              </w:rPr>
              <w:t>$152.5</w:t>
            </w:r>
          </w:p>
        </w:tc>
      </w:tr>
      <w:tr w14:paraId="6E51084D"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07A4F6EB" w14:textId="77777777">
            <w:pPr>
              <w:jc w:val="center"/>
            </w:pPr>
            <w:r w:rsidRPr="00F16FAC">
              <w:t>4</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5EA14BEB" w14:textId="18B38FFA">
            <w:pPr>
              <w:jc w:val="center"/>
              <w:rPr>
                <w:color w:val="000000"/>
              </w:rPr>
            </w:pPr>
            <w:r w:rsidRPr="00491301">
              <w:rPr>
                <w:color w:val="000000"/>
              </w:rPr>
              <w:t>$59.7</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6CEA5933" w14:textId="3BA72F94">
            <w:pPr>
              <w:jc w:val="center"/>
              <w:rPr>
                <w:color w:val="000000"/>
              </w:rPr>
            </w:pPr>
            <w:r w:rsidRPr="00491301">
              <w:rPr>
                <w:color w:val="000000"/>
              </w:rPr>
              <w:t>$101.2</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756CE9C4" w14:textId="17D91EBA">
            <w:pPr>
              <w:jc w:val="center"/>
              <w:rPr>
                <w:color w:val="000000"/>
              </w:rPr>
            </w:pPr>
            <w:r w:rsidRPr="00491301">
              <w:rPr>
                <w:color w:val="000000"/>
              </w:rPr>
              <w:t>$152.5</w:t>
            </w:r>
          </w:p>
        </w:tc>
      </w:tr>
      <w:tr w14:paraId="2301E7BC"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35B854CE" w14:textId="77777777">
            <w:pPr>
              <w:jc w:val="center"/>
            </w:pPr>
            <w:r w:rsidRPr="00F16FAC">
              <w:t>5</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7B9A2CC9" w14:textId="7F7C96DD">
            <w:pPr>
              <w:jc w:val="center"/>
              <w:rPr>
                <w:color w:val="000000"/>
              </w:rPr>
            </w:pPr>
            <w:r w:rsidRPr="00491301">
              <w:rPr>
                <w:color w:val="000000"/>
              </w:rPr>
              <w:t>$59.9</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64B525EF" w14:textId="69B49F8F">
            <w:pPr>
              <w:jc w:val="center"/>
              <w:rPr>
                <w:color w:val="000000"/>
              </w:rPr>
            </w:pPr>
            <w:r w:rsidRPr="00491301">
              <w:rPr>
                <w:color w:val="000000"/>
              </w:rPr>
              <w:t>$101.2</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147D390A" w14:textId="515A13C7">
            <w:pPr>
              <w:jc w:val="center"/>
              <w:rPr>
                <w:color w:val="000000"/>
              </w:rPr>
            </w:pPr>
            <w:r w:rsidRPr="00491301">
              <w:rPr>
                <w:color w:val="000000"/>
              </w:rPr>
              <w:t>$151.6</w:t>
            </w:r>
          </w:p>
        </w:tc>
      </w:tr>
      <w:tr w14:paraId="219D1866"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1B23EC7E" w14:textId="77777777">
            <w:pPr>
              <w:jc w:val="center"/>
            </w:pPr>
            <w:r w:rsidRPr="00F16FAC">
              <w:t>6</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4C346568" w14:textId="07B5A98A">
            <w:pPr>
              <w:jc w:val="center"/>
              <w:rPr>
                <w:color w:val="000000"/>
              </w:rPr>
            </w:pPr>
            <w:r w:rsidRPr="00491301">
              <w:rPr>
                <w:color w:val="000000"/>
              </w:rPr>
              <w:t>$59.9</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11231323" w14:textId="5F35CA5A">
            <w:pPr>
              <w:jc w:val="center"/>
              <w:rPr>
                <w:color w:val="000000"/>
              </w:rPr>
            </w:pPr>
            <w:r w:rsidRPr="00491301">
              <w:rPr>
                <w:color w:val="000000"/>
              </w:rPr>
              <w:t>$101.2</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09A1DCB7" w14:textId="2DA0D9E1">
            <w:pPr>
              <w:jc w:val="center"/>
              <w:rPr>
                <w:color w:val="000000"/>
              </w:rPr>
            </w:pPr>
            <w:r w:rsidRPr="00491301">
              <w:rPr>
                <w:color w:val="000000"/>
              </w:rPr>
              <w:t>$152.7</w:t>
            </w:r>
          </w:p>
        </w:tc>
      </w:tr>
      <w:tr w14:paraId="185D554B"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22BDB236" w14:textId="77777777">
            <w:pPr>
              <w:jc w:val="center"/>
            </w:pPr>
            <w:r w:rsidRPr="00F16FAC">
              <w:t>7</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626A7B16" w14:textId="0ED357E5">
            <w:pPr>
              <w:jc w:val="center"/>
              <w:rPr>
                <w:color w:val="000000"/>
              </w:rPr>
            </w:pPr>
            <w:r w:rsidRPr="00491301">
              <w:rPr>
                <w:color w:val="000000"/>
              </w:rPr>
              <w:t>$60.1</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2A00E10C" w14:textId="5CDFA6C9">
            <w:pPr>
              <w:jc w:val="center"/>
              <w:rPr>
                <w:color w:val="000000"/>
              </w:rPr>
            </w:pPr>
            <w:r w:rsidRPr="00491301">
              <w:rPr>
                <w:color w:val="000000"/>
              </w:rPr>
              <w:t>$101.2</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7EC64BF8" w14:textId="0B0E4883">
            <w:pPr>
              <w:jc w:val="center"/>
              <w:rPr>
                <w:color w:val="000000"/>
              </w:rPr>
            </w:pPr>
            <w:r w:rsidRPr="00491301">
              <w:rPr>
                <w:color w:val="000000"/>
              </w:rPr>
              <w:t>$152.4</w:t>
            </w:r>
          </w:p>
        </w:tc>
      </w:tr>
      <w:tr w14:paraId="602D5837"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4F9DDCD0" w14:textId="77777777">
            <w:pPr>
              <w:jc w:val="center"/>
            </w:pPr>
            <w:r w:rsidRPr="00F16FAC">
              <w:t>8</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762CE4BC" w14:textId="3E0074C0">
            <w:pPr>
              <w:jc w:val="center"/>
              <w:rPr>
                <w:color w:val="000000"/>
              </w:rPr>
            </w:pPr>
            <w:r w:rsidRPr="00491301">
              <w:rPr>
                <w:color w:val="000000"/>
              </w:rPr>
              <w:t>$59.5</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335003F2" w14:textId="328BB534">
            <w:pPr>
              <w:jc w:val="center"/>
              <w:rPr>
                <w:color w:val="000000"/>
              </w:rPr>
            </w:pPr>
            <w:r w:rsidRPr="00491301">
              <w:rPr>
                <w:color w:val="000000"/>
              </w:rPr>
              <w:t>$101.2</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1FB43A4D" w14:textId="34B3625C">
            <w:pPr>
              <w:jc w:val="center"/>
              <w:rPr>
                <w:color w:val="000000"/>
              </w:rPr>
            </w:pPr>
            <w:r w:rsidRPr="00491301">
              <w:rPr>
                <w:color w:val="000000"/>
              </w:rPr>
              <w:t>$152.7</w:t>
            </w:r>
          </w:p>
        </w:tc>
      </w:tr>
      <w:tr w14:paraId="778D8A85"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204A56" w:rsidRPr="00F16FAC" w:rsidP="00026F9A" w14:paraId="469E1151" w14:textId="77777777">
            <w:pPr>
              <w:jc w:val="center"/>
            </w:pPr>
            <w:r w:rsidRPr="00F16FAC">
              <w:t>9</w:t>
            </w:r>
          </w:p>
        </w:tc>
        <w:tc>
          <w:tcPr>
            <w:tcW w:w="1237" w:type="pct"/>
            <w:tcBorders>
              <w:top w:val="single" w:sz="4" w:space="0" w:color="auto"/>
              <w:left w:val="single" w:sz="4" w:space="0" w:color="auto"/>
              <w:bottom w:val="single" w:sz="4" w:space="0" w:color="auto"/>
              <w:right w:val="single" w:sz="4" w:space="0" w:color="auto"/>
            </w:tcBorders>
            <w:vAlign w:val="bottom"/>
            <w:hideMark/>
          </w:tcPr>
          <w:p w:rsidR="00204A56" w:rsidRPr="00204A56" w:rsidP="00026F9A" w14:paraId="390B3A60" w14:textId="60D12E6C">
            <w:pPr>
              <w:jc w:val="center"/>
              <w:rPr>
                <w:color w:val="000000"/>
              </w:rPr>
            </w:pPr>
            <w:r w:rsidRPr="00491301">
              <w:rPr>
                <w:color w:val="000000"/>
              </w:rPr>
              <w:t>$59.6</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7ECB4891" w14:textId="53EEDE9E">
            <w:pPr>
              <w:jc w:val="center"/>
              <w:rPr>
                <w:color w:val="000000"/>
              </w:rPr>
            </w:pPr>
            <w:r w:rsidRPr="00491301">
              <w:rPr>
                <w:color w:val="000000"/>
              </w:rPr>
              <w:t>$101.2</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57ABDEC2" w14:textId="0DDF3722">
            <w:pPr>
              <w:jc w:val="center"/>
              <w:rPr>
                <w:color w:val="000000"/>
              </w:rPr>
            </w:pPr>
            <w:r w:rsidRPr="00491301">
              <w:rPr>
                <w:color w:val="000000"/>
              </w:rPr>
              <w:t>$151.6</w:t>
            </w:r>
          </w:p>
        </w:tc>
      </w:tr>
      <w:tr w14:paraId="23FB5821"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204A56" w:rsidRPr="00F16FAC" w:rsidP="00026F9A" w14:paraId="0C080C8D" w14:textId="77777777">
            <w:pPr>
              <w:jc w:val="center"/>
            </w:pPr>
            <w:r>
              <w:t>Annualized, 3%</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2BD636FE" w14:textId="4752BDC3">
            <w:pPr>
              <w:jc w:val="center"/>
              <w:rPr>
                <w:color w:val="000000"/>
              </w:rPr>
            </w:pPr>
            <w:r w:rsidRPr="00491301">
              <w:rPr>
                <w:color w:val="000000"/>
              </w:rPr>
              <w:t>$50.9</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540889D6" w14:textId="4C46B456">
            <w:pPr>
              <w:jc w:val="center"/>
              <w:rPr>
                <w:color w:val="000000"/>
              </w:rPr>
            </w:pPr>
            <w:r w:rsidRPr="00491301">
              <w:rPr>
                <w:color w:val="000000"/>
              </w:rPr>
              <w:t>$86.1</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669CAF3B" w14:textId="4F81208E">
            <w:pPr>
              <w:jc w:val="center"/>
              <w:rPr>
                <w:color w:val="000000"/>
              </w:rPr>
            </w:pPr>
            <w:r w:rsidRPr="00491301">
              <w:rPr>
                <w:color w:val="000000"/>
              </w:rPr>
              <w:t>$129.4</w:t>
            </w:r>
          </w:p>
        </w:tc>
      </w:tr>
      <w:tr w14:paraId="2F19A7CC"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204A56" w:rsidP="00026F9A" w14:paraId="7C70C0D4" w14:textId="77777777">
            <w:pPr>
              <w:jc w:val="center"/>
            </w:pPr>
            <w:r>
              <w:t>Annualized, 7%</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0CA272DD" w14:textId="27CAD535">
            <w:pPr>
              <w:jc w:val="center"/>
              <w:rPr>
                <w:color w:val="000000"/>
              </w:rPr>
            </w:pPr>
            <w:r w:rsidRPr="00491301">
              <w:rPr>
                <w:color w:val="000000"/>
              </w:rPr>
              <w:t>$49.5</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4F1D46DA" w14:textId="2B622221">
            <w:pPr>
              <w:jc w:val="center"/>
              <w:rPr>
                <w:color w:val="000000"/>
              </w:rPr>
            </w:pPr>
            <w:r w:rsidRPr="00491301">
              <w:rPr>
                <w:color w:val="000000"/>
              </w:rPr>
              <w:t>$83.8</w:t>
            </w:r>
          </w:p>
        </w:tc>
        <w:tc>
          <w:tcPr>
            <w:tcW w:w="1237" w:type="pct"/>
            <w:tcBorders>
              <w:top w:val="single" w:sz="4" w:space="0" w:color="auto"/>
              <w:left w:val="single" w:sz="4" w:space="0" w:color="auto"/>
              <w:bottom w:val="single" w:sz="4" w:space="0" w:color="auto"/>
              <w:right w:val="single" w:sz="4" w:space="0" w:color="auto"/>
            </w:tcBorders>
            <w:vAlign w:val="bottom"/>
          </w:tcPr>
          <w:p w:rsidR="00204A56" w:rsidRPr="00204A56" w:rsidP="00026F9A" w14:paraId="3133E65F" w14:textId="6EC41797">
            <w:pPr>
              <w:jc w:val="center"/>
              <w:rPr>
                <w:color w:val="000000"/>
              </w:rPr>
            </w:pPr>
            <w:r w:rsidRPr="00491301">
              <w:rPr>
                <w:color w:val="000000"/>
              </w:rPr>
              <w:t>$125.9</w:t>
            </w:r>
          </w:p>
        </w:tc>
      </w:tr>
    </w:tbl>
    <w:p w:rsidR="00222F7E" w:rsidRPr="00491301" w:rsidP="00026F9A" w14:paraId="5FF534A7" w14:textId="22AD2D1A">
      <w:pPr>
        <w:pStyle w:val="Heading2"/>
        <w:rPr>
          <w:i/>
        </w:rPr>
      </w:pPr>
      <w:bookmarkStart w:id="33" w:name="_Toc102486133"/>
      <w:bookmarkStart w:id="34" w:name="_Toc139642994"/>
      <w:r w:rsidRPr="0073331E">
        <w:t>Costs of the Rule</w:t>
      </w:r>
      <w:bookmarkEnd w:id="33"/>
      <w:bookmarkEnd w:id="34"/>
    </w:p>
    <w:p w:rsidR="00222F7E" w:rsidP="00026F9A" w14:paraId="5CF1D4EA" w14:textId="77777777">
      <w:pPr>
        <w:spacing w:line="480" w:lineRule="auto"/>
      </w:pPr>
      <w:r>
        <w:tab/>
        <w:t>a. One-time Costs</w:t>
      </w:r>
    </w:p>
    <w:p w:rsidR="00222F7E" w:rsidP="00026F9A" w14:paraId="4AF66700" w14:textId="6474C260">
      <w:pPr>
        <w:spacing w:line="480" w:lineRule="auto"/>
      </w:pPr>
      <w:r>
        <w:tab/>
        <w:t>In this section, we detail the one-time costs to industry associated with the rule. We estimate that one-time costs occur in the year following the publication of the final rule and do not recur.</w:t>
      </w:r>
    </w:p>
    <w:p w:rsidR="00222F7E" w:rsidP="00026F9A" w14:paraId="69DA3E8B" w14:textId="77777777">
      <w:pPr>
        <w:pStyle w:val="ListParagraph"/>
        <w:numPr>
          <w:ilvl w:val="0"/>
          <w:numId w:val="11"/>
        </w:numPr>
        <w:spacing w:after="0" w:line="480" w:lineRule="auto"/>
      </w:pPr>
      <w:r>
        <w:t>Reading and Becoming Familiar with the Rule</w:t>
      </w:r>
    </w:p>
    <w:p w:rsidR="00222F7E" w:rsidP="00026F9A" w14:paraId="775595DD" w14:textId="7FAE42BC">
      <w:pPr>
        <w:spacing w:line="480" w:lineRule="auto"/>
        <w:ind w:firstLine="720"/>
      </w:pPr>
      <w:r>
        <w:t xml:space="preserve">We assume all farms covered by the 2015 </w:t>
      </w:r>
      <w:r w:rsidR="00026B9D">
        <w:t xml:space="preserve">produce safety final rule </w:t>
      </w:r>
      <w:r>
        <w:t>will spend time reading th</w:t>
      </w:r>
      <w:r w:rsidR="00A15673">
        <w:t>is</w:t>
      </w:r>
      <w:r>
        <w:t xml:space="preserve"> rule to become familiar with the requirements regarding </w:t>
      </w:r>
      <w:r w:rsidR="00104ECD">
        <w:t xml:space="preserve">pre-harvest agricultural </w:t>
      </w:r>
      <w:r>
        <w:t xml:space="preserve">water assessments. We assume farms will incur these one-time costs in the year following the publication of the final rule. To calculate costs of reading the rule, we draw on Bureau of Labor </w:t>
      </w:r>
      <w:r w:rsidRPr="00D32D12">
        <w:t>Statistics</w:t>
      </w:r>
      <w:r>
        <w:t xml:space="preserve"> (BLS) 20</w:t>
      </w:r>
      <w:r w:rsidR="00A65AAF">
        <w:t>2</w:t>
      </w:r>
      <w:r w:rsidR="00E6356D">
        <w:t>2</w:t>
      </w:r>
      <w:r>
        <w:t xml:space="preserve"> wage data for “Farmers, Ranchers, and Other Agricultural Managers” (11-9013) from the</w:t>
      </w:r>
      <w:r w:rsidRPr="00D32D12">
        <w:t xml:space="preserve"> </w:t>
      </w:r>
      <w:r w:rsidRPr="00D32D12">
        <w:rPr>
          <w:kern w:val="36"/>
        </w:rPr>
        <w:t>National Industry-Specific Occupational Employment and Wage Estimate</w:t>
      </w:r>
      <w:r w:rsidRPr="00276D8F">
        <w:rPr>
          <w:kern w:val="36"/>
        </w:rPr>
        <w:t xml:space="preserve">s (Ref. </w:t>
      </w:r>
      <w:r w:rsidRPr="00276D8F" w:rsidR="001341F2">
        <w:rPr>
          <w:kern w:val="36"/>
        </w:rPr>
        <w:t>10</w:t>
      </w:r>
      <w:r w:rsidRPr="00276D8F">
        <w:rPr>
          <w:kern w:val="36"/>
        </w:rPr>
        <w:t>) to yield</w:t>
      </w:r>
      <w:r w:rsidRPr="00276D8F">
        <w:t xml:space="preserve"> a mean hourly wage rate of </w:t>
      </w:r>
      <w:r w:rsidRPr="00276D8F" w:rsidR="00A65AAF">
        <w:t>$</w:t>
      </w:r>
      <w:r w:rsidRPr="00276D8F" w:rsidR="00880CF9">
        <w:t>40.29</w:t>
      </w:r>
      <w:r w:rsidRPr="00276D8F">
        <w:t>. Following guidelines from the Department</w:t>
      </w:r>
      <w:r>
        <w:t xml:space="preserve"> of Health and Human Services (</w:t>
      </w:r>
      <w:r w:rsidRPr="00276D8F">
        <w:t>HHS) (</w:t>
      </w:r>
      <w:r w:rsidRPr="00276D8F" w:rsidR="00276D8F">
        <w:t xml:space="preserve">Ref. </w:t>
      </w:r>
      <w:r w:rsidRPr="00276D8F" w:rsidR="00AD3539">
        <w:t>7</w:t>
      </w:r>
      <w:r w:rsidRPr="00276D8F">
        <w:t>), we double</w:t>
      </w:r>
      <w:r>
        <w:t xml:space="preserve"> the wage rate to account for overhead and benefits, yielding a fully-loaded hourly cost of labor of $</w:t>
      </w:r>
      <w:r w:rsidR="00880CF9">
        <w:t>80.58</w:t>
      </w:r>
      <w:r>
        <w:t xml:space="preserve">. </w:t>
      </w:r>
      <w:r w:rsidRPr="00F77976">
        <w:t xml:space="preserve">Table </w:t>
      </w:r>
      <w:r>
        <w:t>17 presents estimates of the cost of reading the rule by reading speed.</w:t>
      </w:r>
    </w:p>
    <w:p w:rsidR="00222F7E" w:rsidRPr="0055511E" w:rsidP="00026F9A" w14:paraId="29633AD8" w14:textId="46CF86CA">
      <w:pPr>
        <w:rPr>
          <w:b/>
        </w:rPr>
      </w:pPr>
      <w:r w:rsidRPr="0055511E">
        <w:rPr>
          <w:b/>
        </w:rPr>
        <w:t xml:space="preserve">Table </w:t>
      </w:r>
      <w:r>
        <w:rPr>
          <w:b/>
        </w:rPr>
        <w:t>17</w:t>
      </w:r>
      <w:r w:rsidRPr="0055511E">
        <w:rPr>
          <w:b/>
        </w:rPr>
        <w:t>: Cost of Reading and Understanding the Rule (20</w:t>
      </w:r>
      <w:r w:rsidR="00A65AAF">
        <w:rPr>
          <w:b/>
        </w:rPr>
        <w:t>2</w:t>
      </w:r>
      <w:r w:rsidR="00880CF9">
        <w:rPr>
          <w:b/>
        </w:rPr>
        <w:t>2</w:t>
      </w:r>
      <w:r w:rsidRPr="0055511E">
        <w:rPr>
          <w:b/>
        </w:rPr>
        <w:t>$)</w:t>
      </w:r>
    </w:p>
    <w:tbl>
      <w:tblPr>
        <w:tblStyle w:val="TableGrid"/>
        <w:tblW w:w="5000" w:type="pct"/>
        <w:tblLook w:val="04A0"/>
      </w:tblPr>
      <w:tblGrid>
        <w:gridCol w:w="3288"/>
        <w:gridCol w:w="1883"/>
        <w:gridCol w:w="2296"/>
        <w:gridCol w:w="1883"/>
      </w:tblGrid>
      <w:tr w14:paraId="72B02AE5" w14:textId="77777777">
        <w:tblPrEx>
          <w:tblW w:w="5000" w:type="pct"/>
          <w:tblLook w:val="04A0"/>
        </w:tblPrEx>
        <w:tc>
          <w:tcPr>
            <w:tcW w:w="1758" w:type="pct"/>
          </w:tcPr>
          <w:p w:rsidR="00222F7E" w:rsidP="00026F9A" w14:paraId="5ED5382C" w14:textId="77777777"/>
        </w:tc>
        <w:tc>
          <w:tcPr>
            <w:tcW w:w="1007" w:type="pct"/>
          </w:tcPr>
          <w:p w:rsidR="00222F7E" w:rsidRPr="0055511E" w:rsidP="00026F9A" w14:paraId="34D8E9AB" w14:textId="77777777">
            <w:pPr>
              <w:jc w:val="center"/>
              <w:rPr>
                <w:b/>
              </w:rPr>
            </w:pPr>
            <w:r w:rsidRPr="0055511E">
              <w:rPr>
                <w:b/>
              </w:rPr>
              <w:t>Low</w:t>
            </w:r>
          </w:p>
        </w:tc>
        <w:tc>
          <w:tcPr>
            <w:tcW w:w="1228" w:type="pct"/>
          </w:tcPr>
          <w:p w:rsidR="00222F7E" w:rsidRPr="0055511E" w:rsidP="00026F9A" w14:paraId="00891E5D" w14:textId="77777777">
            <w:pPr>
              <w:jc w:val="center"/>
              <w:rPr>
                <w:b/>
              </w:rPr>
            </w:pPr>
            <w:r w:rsidRPr="0055511E">
              <w:rPr>
                <w:b/>
              </w:rPr>
              <w:t>Primary</w:t>
            </w:r>
          </w:p>
        </w:tc>
        <w:tc>
          <w:tcPr>
            <w:tcW w:w="1007" w:type="pct"/>
          </w:tcPr>
          <w:p w:rsidR="00222F7E" w:rsidRPr="0055511E" w:rsidP="00026F9A" w14:paraId="275E9613" w14:textId="77777777">
            <w:pPr>
              <w:jc w:val="center"/>
              <w:rPr>
                <w:b/>
              </w:rPr>
            </w:pPr>
            <w:r w:rsidRPr="0055511E">
              <w:rPr>
                <w:b/>
              </w:rPr>
              <w:t>High</w:t>
            </w:r>
          </w:p>
        </w:tc>
      </w:tr>
      <w:tr w14:paraId="67A0CF47" w14:textId="77777777">
        <w:tblPrEx>
          <w:tblW w:w="5000" w:type="pct"/>
          <w:tblLook w:val="04A0"/>
        </w:tblPrEx>
        <w:tc>
          <w:tcPr>
            <w:tcW w:w="1758" w:type="pct"/>
          </w:tcPr>
          <w:p w:rsidR="00222F7E" w:rsidP="00026F9A" w14:paraId="6B6A9048" w14:textId="77777777">
            <w:r>
              <w:t>Average reading speed (words per minute)</w:t>
            </w:r>
          </w:p>
        </w:tc>
        <w:tc>
          <w:tcPr>
            <w:tcW w:w="1007" w:type="pct"/>
          </w:tcPr>
          <w:p w:rsidR="00222F7E" w:rsidP="00026F9A" w14:paraId="722E10C4" w14:textId="77777777">
            <w:pPr>
              <w:jc w:val="center"/>
            </w:pPr>
            <w:r>
              <w:t>250</w:t>
            </w:r>
          </w:p>
        </w:tc>
        <w:tc>
          <w:tcPr>
            <w:tcW w:w="1228" w:type="pct"/>
          </w:tcPr>
          <w:p w:rsidR="00222F7E" w:rsidP="00026F9A" w14:paraId="6C461DB8" w14:textId="77777777">
            <w:pPr>
              <w:jc w:val="center"/>
            </w:pPr>
            <w:r>
              <w:t>225</w:t>
            </w:r>
          </w:p>
        </w:tc>
        <w:tc>
          <w:tcPr>
            <w:tcW w:w="1007" w:type="pct"/>
          </w:tcPr>
          <w:p w:rsidR="00222F7E" w:rsidP="00026F9A" w14:paraId="58EF190C" w14:textId="77777777">
            <w:pPr>
              <w:jc w:val="center"/>
            </w:pPr>
            <w:r>
              <w:t>200</w:t>
            </w:r>
          </w:p>
        </w:tc>
      </w:tr>
      <w:tr w14:paraId="515AC225" w14:textId="77777777">
        <w:tblPrEx>
          <w:tblW w:w="5000" w:type="pct"/>
          <w:tblLook w:val="04A0"/>
        </w:tblPrEx>
        <w:tc>
          <w:tcPr>
            <w:tcW w:w="1758" w:type="pct"/>
          </w:tcPr>
          <w:p w:rsidR="00D95E73" w:rsidP="00026F9A" w14:paraId="1F3CC28B" w14:textId="77777777">
            <w:r>
              <w:t>Total words in rule</w:t>
            </w:r>
          </w:p>
        </w:tc>
        <w:tc>
          <w:tcPr>
            <w:tcW w:w="1007" w:type="pct"/>
          </w:tcPr>
          <w:p w:rsidR="00D95E73" w:rsidRPr="0055511E" w:rsidP="00026F9A" w14:paraId="7900099D" w14:textId="79BF6639">
            <w:pPr>
              <w:jc w:val="center"/>
            </w:pPr>
            <w:r>
              <w:t>82,979</w:t>
            </w:r>
          </w:p>
        </w:tc>
        <w:tc>
          <w:tcPr>
            <w:tcW w:w="1228" w:type="pct"/>
          </w:tcPr>
          <w:p w:rsidR="00D95E73" w:rsidRPr="0055511E" w:rsidP="00026F9A" w14:paraId="117DB1F1" w14:textId="38651BCC">
            <w:pPr>
              <w:jc w:val="center"/>
            </w:pPr>
            <w:r>
              <w:t>82,979</w:t>
            </w:r>
          </w:p>
        </w:tc>
        <w:tc>
          <w:tcPr>
            <w:tcW w:w="1007" w:type="pct"/>
          </w:tcPr>
          <w:p w:rsidR="00D95E73" w:rsidRPr="0055511E" w:rsidP="00026F9A" w14:paraId="1E201F3A" w14:textId="020FB215">
            <w:pPr>
              <w:jc w:val="center"/>
            </w:pPr>
            <w:r>
              <w:t>82,979</w:t>
            </w:r>
          </w:p>
        </w:tc>
      </w:tr>
      <w:tr w14:paraId="144AA98E" w14:textId="77777777">
        <w:tblPrEx>
          <w:tblW w:w="5000" w:type="pct"/>
          <w:tblLook w:val="04A0"/>
        </w:tblPrEx>
        <w:tc>
          <w:tcPr>
            <w:tcW w:w="1758" w:type="pct"/>
          </w:tcPr>
          <w:p w:rsidR="00222F7E" w:rsidP="00026F9A" w14:paraId="21D6E99F" w14:textId="77777777">
            <w:r>
              <w:t>Hours to read rule</w:t>
            </w:r>
          </w:p>
        </w:tc>
        <w:tc>
          <w:tcPr>
            <w:tcW w:w="1007" w:type="pct"/>
          </w:tcPr>
          <w:p w:rsidR="00222F7E" w:rsidP="00026F9A" w14:paraId="4CCD4CFB" w14:textId="0B573D7E">
            <w:pPr>
              <w:jc w:val="center"/>
            </w:pPr>
            <w:r>
              <w:t>5.5</w:t>
            </w:r>
          </w:p>
        </w:tc>
        <w:tc>
          <w:tcPr>
            <w:tcW w:w="1228" w:type="pct"/>
          </w:tcPr>
          <w:p w:rsidR="00222F7E" w:rsidP="00026F9A" w14:paraId="7B0F1950" w14:textId="3955C595">
            <w:pPr>
              <w:jc w:val="center"/>
            </w:pPr>
            <w:r>
              <w:t>6.1</w:t>
            </w:r>
          </w:p>
        </w:tc>
        <w:tc>
          <w:tcPr>
            <w:tcW w:w="1007" w:type="pct"/>
          </w:tcPr>
          <w:p w:rsidR="00222F7E" w:rsidP="00026F9A" w14:paraId="0D4B13FE" w14:textId="1B425686">
            <w:pPr>
              <w:jc w:val="center"/>
            </w:pPr>
            <w:r>
              <w:t>6.9</w:t>
            </w:r>
          </w:p>
        </w:tc>
      </w:tr>
      <w:tr w14:paraId="43FCDA40" w14:textId="77777777">
        <w:tblPrEx>
          <w:tblW w:w="5000" w:type="pct"/>
          <w:tblLook w:val="04A0"/>
        </w:tblPrEx>
        <w:tc>
          <w:tcPr>
            <w:tcW w:w="1758" w:type="pct"/>
          </w:tcPr>
          <w:p w:rsidR="00BA227A" w:rsidP="00026F9A" w14:paraId="0F575B7F" w14:textId="77777777">
            <w:r>
              <w:t>Hourly cost of labor of farm managers</w:t>
            </w:r>
          </w:p>
        </w:tc>
        <w:tc>
          <w:tcPr>
            <w:tcW w:w="1007" w:type="pct"/>
          </w:tcPr>
          <w:p w:rsidR="00BA227A" w:rsidP="00026F9A" w14:paraId="255DBF60" w14:textId="2272CD26">
            <w:pPr>
              <w:jc w:val="center"/>
            </w:pPr>
            <w:r>
              <w:t>$</w:t>
            </w:r>
            <w:r w:rsidR="00880CF9">
              <w:t>80.58</w:t>
            </w:r>
          </w:p>
        </w:tc>
        <w:tc>
          <w:tcPr>
            <w:tcW w:w="1228" w:type="pct"/>
          </w:tcPr>
          <w:p w:rsidR="00BA227A" w:rsidP="00026F9A" w14:paraId="18838E1C" w14:textId="2934F583">
            <w:pPr>
              <w:jc w:val="center"/>
            </w:pPr>
            <w:r>
              <w:t>$</w:t>
            </w:r>
            <w:r w:rsidR="00880CF9">
              <w:t>80.58</w:t>
            </w:r>
          </w:p>
        </w:tc>
        <w:tc>
          <w:tcPr>
            <w:tcW w:w="1007" w:type="pct"/>
          </w:tcPr>
          <w:p w:rsidR="00BA227A" w:rsidP="00026F9A" w14:paraId="09EF7F8C" w14:textId="6FBB59BC">
            <w:pPr>
              <w:jc w:val="center"/>
            </w:pPr>
            <w:r>
              <w:t>$</w:t>
            </w:r>
            <w:r w:rsidR="00880CF9">
              <w:t>80.58</w:t>
            </w:r>
          </w:p>
        </w:tc>
      </w:tr>
      <w:tr w14:paraId="3E24E35C" w14:textId="77777777">
        <w:tblPrEx>
          <w:tblW w:w="5000" w:type="pct"/>
          <w:tblLook w:val="04A0"/>
        </w:tblPrEx>
        <w:tc>
          <w:tcPr>
            <w:tcW w:w="1758" w:type="pct"/>
          </w:tcPr>
          <w:p w:rsidR="00222F7E" w:rsidP="00026F9A" w14:paraId="564DB286" w14:textId="77777777">
            <w:r>
              <w:t>Cost per farm</w:t>
            </w:r>
          </w:p>
        </w:tc>
        <w:tc>
          <w:tcPr>
            <w:tcW w:w="1007" w:type="pct"/>
          </w:tcPr>
          <w:p w:rsidR="00222F7E" w:rsidP="00026F9A" w14:paraId="7DC6A062" w14:textId="016E7584">
            <w:pPr>
              <w:jc w:val="center"/>
            </w:pPr>
            <w:r>
              <w:t>$</w:t>
            </w:r>
            <w:r w:rsidR="007A188D">
              <w:t>4</w:t>
            </w:r>
            <w:r w:rsidR="008A4DD0">
              <w:t>46</w:t>
            </w:r>
          </w:p>
        </w:tc>
        <w:tc>
          <w:tcPr>
            <w:tcW w:w="1228" w:type="pct"/>
          </w:tcPr>
          <w:p w:rsidR="00222F7E" w:rsidP="00026F9A" w14:paraId="4803CA69" w14:textId="059EF1F1">
            <w:pPr>
              <w:jc w:val="center"/>
            </w:pPr>
            <w:r>
              <w:t>$</w:t>
            </w:r>
            <w:r w:rsidR="007A188D">
              <w:t>4</w:t>
            </w:r>
            <w:r w:rsidR="008A4DD0">
              <w:t>95</w:t>
            </w:r>
          </w:p>
        </w:tc>
        <w:tc>
          <w:tcPr>
            <w:tcW w:w="1007" w:type="pct"/>
          </w:tcPr>
          <w:p w:rsidR="00222F7E" w:rsidP="00026F9A" w14:paraId="5478ECE5" w14:textId="3DB46BBD">
            <w:pPr>
              <w:jc w:val="center"/>
            </w:pPr>
            <w:r>
              <w:t>$</w:t>
            </w:r>
            <w:r w:rsidR="007A188D">
              <w:t>5</w:t>
            </w:r>
            <w:r w:rsidR="008A4DD0">
              <w:t>57</w:t>
            </w:r>
          </w:p>
        </w:tc>
      </w:tr>
    </w:tbl>
    <w:p w:rsidR="00B93132" w14:paraId="77E24EF6" w14:textId="77777777">
      <w:r>
        <w:br w:type="page"/>
      </w:r>
    </w:p>
    <w:tbl>
      <w:tblPr>
        <w:tblStyle w:val="TableGrid"/>
        <w:tblW w:w="5000" w:type="pct"/>
        <w:tblLook w:val="04A0"/>
      </w:tblPr>
      <w:tblGrid>
        <w:gridCol w:w="3288"/>
        <w:gridCol w:w="1883"/>
        <w:gridCol w:w="2296"/>
        <w:gridCol w:w="1883"/>
      </w:tblGrid>
      <w:tr w14:paraId="330CE8FF" w14:textId="77777777">
        <w:tblPrEx>
          <w:tblW w:w="5000" w:type="pct"/>
          <w:tblLook w:val="04A0"/>
        </w:tblPrEx>
        <w:tc>
          <w:tcPr>
            <w:tcW w:w="1758" w:type="pct"/>
          </w:tcPr>
          <w:p w:rsidR="00714976" w:rsidP="00026F9A" w14:paraId="283315EB" w14:textId="766410B8">
            <w:r>
              <w:t>Number of farms that read the rule</w:t>
            </w:r>
          </w:p>
        </w:tc>
        <w:tc>
          <w:tcPr>
            <w:tcW w:w="1007" w:type="pct"/>
          </w:tcPr>
          <w:p w:rsidR="00714976" w:rsidP="00026F9A" w14:paraId="4ADC9583" w14:textId="0EE647F2">
            <w:pPr>
              <w:jc w:val="center"/>
            </w:pPr>
            <w:r>
              <w:t>43,510</w:t>
            </w:r>
          </w:p>
        </w:tc>
        <w:tc>
          <w:tcPr>
            <w:tcW w:w="1228" w:type="pct"/>
          </w:tcPr>
          <w:p w:rsidR="00714976" w:rsidP="00026F9A" w14:paraId="0B60A4D3" w14:textId="02BBCD01">
            <w:pPr>
              <w:jc w:val="center"/>
            </w:pPr>
            <w:r>
              <w:t>43,510</w:t>
            </w:r>
          </w:p>
        </w:tc>
        <w:tc>
          <w:tcPr>
            <w:tcW w:w="1007" w:type="pct"/>
          </w:tcPr>
          <w:p w:rsidR="00714976" w:rsidP="00026F9A" w14:paraId="159FEB27" w14:textId="2D28FBF4">
            <w:pPr>
              <w:jc w:val="center"/>
            </w:pPr>
            <w:r>
              <w:t>43,510</w:t>
            </w:r>
          </w:p>
        </w:tc>
      </w:tr>
      <w:tr w14:paraId="44FE9BD1" w14:textId="77777777">
        <w:tblPrEx>
          <w:tblW w:w="5000" w:type="pct"/>
          <w:tblLook w:val="04A0"/>
        </w:tblPrEx>
        <w:tc>
          <w:tcPr>
            <w:tcW w:w="1758" w:type="pct"/>
          </w:tcPr>
          <w:p w:rsidR="00222F7E" w:rsidRPr="0055511E" w:rsidP="00026F9A" w14:paraId="11535076" w14:textId="51084733">
            <w:pPr>
              <w:rPr>
                <w:b/>
              </w:rPr>
            </w:pPr>
            <w:r w:rsidRPr="0055511E">
              <w:rPr>
                <w:b/>
              </w:rPr>
              <w:t xml:space="preserve">Total cost of reading </w:t>
            </w:r>
            <w:r>
              <w:rPr>
                <w:b/>
              </w:rPr>
              <w:t xml:space="preserve">and understanding </w:t>
            </w:r>
            <w:r w:rsidRPr="0055511E">
              <w:rPr>
                <w:b/>
              </w:rPr>
              <w:t>rule</w:t>
            </w:r>
            <w:r w:rsidR="00E71DDF">
              <w:rPr>
                <w:b/>
              </w:rPr>
              <w:t xml:space="preserve"> (millions)</w:t>
            </w:r>
          </w:p>
        </w:tc>
        <w:tc>
          <w:tcPr>
            <w:tcW w:w="1007" w:type="pct"/>
          </w:tcPr>
          <w:p w:rsidR="00222F7E" w:rsidRPr="00DC24FC" w:rsidP="00026F9A" w14:paraId="44427FD5" w14:textId="4D96180B">
            <w:pPr>
              <w:jc w:val="center"/>
              <w:rPr>
                <w:b/>
                <w:color w:val="000000"/>
              </w:rPr>
            </w:pPr>
            <w:r w:rsidRPr="0055511E">
              <w:rPr>
                <w:b/>
                <w:color w:val="000000"/>
              </w:rPr>
              <w:t>$</w:t>
            </w:r>
            <w:r w:rsidR="00E71DDF">
              <w:rPr>
                <w:b/>
                <w:color w:val="000000"/>
              </w:rPr>
              <w:t>19.</w:t>
            </w:r>
            <w:r w:rsidR="005F3483">
              <w:rPr>
                <w:b/>
                <w:color w:val="000000"/>
              </w:rPr>
              <w:t>4</w:t>
            </w:r>
          </w:p>
        </w:tc>
        <w:tc>
          <w:tcPr>
            <w:tcW w:w="1228" w:type="pct"/>
          </w:tcPr>
          <w:p w:rsidR="00222F7E" w:rsidRPr="0055511E" w:rsidP="00026F9A" w14:paraId="462ED45D" w14:textId="12254B8B">
            <w:pPr>
              <w:jc w:val="center"/>
              <w:rPr>
                <w:b/>
                <w:color w:val="000000"/>
              </w:rPr>
            </w:pPr>
            <w:r w:rsidRPr="0055511E">
              <w:rPr>
                <w:b/>
                <w:color w:val="000000"/>
              </w:rPr>
              <w:t>$</w:t>
            </w:r>
            <w:r w:rsidR="00D8643C">
              <w:rPr>
                <w:b/>
                <w:color w:val="000000"/>
              </w:rPr>
              <w:t>2</w:t>
            </w:r>
            <w:r w:rsidR="005F3483">
              <w:rPr>
                <w:b/>
                <w:color w:val="000000"/>
              </w:rPr>
              <w:t>1.6</w:t>
            </w:r>
          </w:p>
        </w:tc>
        <w:tc>
          <w:tcPr>
            <w:tcW w:w="1007" w:type="pct"/>
          </w:tcPr>
          <w:p w:rsidR="00222F7E" w:rsidRPr="00DC24FC" w:rsidP="00026F9A" w14:paraId="0D95C04A" w14:textId="3BCFDC67">
            <w:pPr>
              <w:jc w:val="center"/>
              <w:rPr>
                <w:b/>
                <w:color w:val="000000"/>
              </w:rPr>
            </w:pPr>
            <w:r w:rsidRPr="0055511E">
              <w:rPr>
                <w:b/>
                <w:color w:val="000000"/>
              </w:rPr>
              <w:t>$</w:t>
            </w:r>
            <w:r w:rsidR="00D8643C">
              <w:rPr>
                <w:b/>
                <w:color w:val="000000"/>
              </w:rPr>
              <w:t>2</w:t>
            </w:r>
            <w:r w:rsidR="007B0793">
              <w:rPr>
                <w:b/>
                <w:color w:val="000000"/>
              </w:rPr>
              <w:t>4.2</w:t>
            </w:r>
          </w:p>
        </w:tc>
      </w:tr>
    </w:tbl>
    <w:p w:rsidR="00222F7E" w:rsidP="00026F9A" w14:paraId="76AC7EF5" w14:textId="77777777"/>
    <w:p w:rsidR="002C2F82" w:rsidP="00287950" w14:paraId="4BD43BDE" w14:textId="77777777">
      <w:pPr>
        <w:spacing w:after="0"/>
      </w:pPr>
      <w:r>
        <w:t>b. Recurring Costs</w:t>
      </w:r>
    </w:p>
    <w:p w:rsidR="002C2F82" w:rsidP="00287950" w14:paraId="28099AAD" w14:textId="77777777">
      <w:pPr>
        <w:spacing w:after="0"/>
      </w:pPr>
      <w:r>
        <w:tab/>
      </w:r>
      <w:r>
        <w:tab/>
      </w:r>
    </w:p>
    <w:p w:rsidR="002C2F82" w:rsidP="00026F9A" w14:paraId="137FAF53" w14:textId="0DD4BACF">
      <w:pPr>
        <w:pStyle w:val="ListParagraph"/>
        <w:numPr>
          <w:ilvl w:val="0"/>
          <w:numId w:val="14"/>
        </w:numPr>
        <w:spacing w:after="0"/>
      </w:pPr>
      <w:r>
        <w:t>Pre-Harvest Agricultural Water Assessments</w:t>
      </w:r>
    </w:p>
    <w:p w:rsidR="002C2F82" w:rsidP="00026F9A" w14:paraId="2475B9C7" w14:textId="77777777"/>
    <w:p w:rsidR="002C2F82" w:rsidP="00026F9A" w14:paraId="5364CABA" w14:textId="396F5FB9">
      <w:pPr>
        <w:spacing w:line="480" w:lineRule="auto"/>
        <w:ind w:firstLine="720"/>
        <w:rPr>
          <w:rFonts w:eastAsia="Times New Roman"/>
          <w:color w:val="000000"/>
        </w:rPr>
      </w:pPr>
      <w:r>
        <w:t>Th</w:t>
      </w:r>
      <w:r w:rsidR="00AD6123">
        <w:t>is</w:t>
      </w:r>
      <w:r>
        <w:t xml:space="preserve"> rule require</w:t>
      </w:r>
      <w:r w:rsidR="00AD6123">
        <w:t>s</w:t>
      </w:r>
      <w:r>
        <w:t xml:space="preserve"> farms that use pre-harvest agricultural water in direct application</w:t>
      </w:r>
      <w:r w:rsidR="00AD6123">
        <w:t xml:space="preserve"> for non-sprout covered produce</w:t>
      </w:r>
      <w:r>
        <w:t xml:space="preserve"> to prepare a written pre-harvest agricultural water assessment annually and “whenever a significant change occurs in your agricultural water system.” A pre-harvest agricultural water assessment must </w:t>
      </w:r>
      <w:r w:rsidR="00C536CB">
        <w:t>identify</w:t>
      </w:r>
      <w:r w:rsidRPr="00F5512A">
        <w:rPr>
          <w:rFonts w:eastAsia="Times New Roman"/>
          <w:color w:val="000000"/>
        </w:rPr>
        <w:t xml:space="preserve"> conditions that are reasonably likely to introduce known or reasonably foreseeable hazards into or onto covered</w:t>
      </w:r>
      <w:r>
        <w:rPr>
          <w:rFonts w:eastAsia="Times New Roman"/>
          <w:color w:val="000000"/>
        </w:rPr>
        <w:t xml:space="preserve"> p</w:t>
      </w:r>
      <w:r w:rsidRPr="00F5512A">
        <w:rPr>
          <w:rFonts w:eastAsia="Times New Roman"/>
          <w:color w:val="000000"/>
        </w:rPr>
        <w:t>roduce</w:t>
      </w:r>
      <w:r w:rsidR="00F835B1">
        <w:rPr>
          <w:rFonts w:eastAsia="Times New Roman"/>
          <w:color w:val="000000"/>
        </w:rPr>
        <w:t xml:space="preserve"> (other than sprouts) or food contact surfaces</w:t>
      </w:r>
      <w:r>
        <w:rPr>
          <w:rFonts w:eastAsia="Times New Roman"/>
          <w:color w:val="000000"/>
        </w:rPr>
        <w:t>, which includes an evaluation of each agricultural water system, agricultural water practices associated with application methods for those systems, crop characteristics, environmental conditions, and other relevant factors (§</w:t>
      </w:r>
      <w:r w:rsidR="009D182B">
        <w:rPr>
          <w:rFonts w:eastAsia="Times New Roman"/>
          <w:color w:val="000000"/>
        </w:rPr>
        <w:t xml:space="preserve"> </w:t>
      </w:r>
      <w:r>
        <w:rPr>
          <w:rFonts w:eastAsia="Times New Roman"/>
          <w:color w:val="000000"/>
        </w:rPr>
        <w:t xml:space="preserve">112.43). </w:t>
      </w:r>
    </w:p>
    <w:p w:rsidR="002C2F82" w:rsidP="00026F9A" w14:paraId="13EC84A4" w14:textId="0D9BFB36">
      <w:pPr>
        <w:spacing w:line="480" w:lineRule="auto"/>
        <w:ind w:firstLine="720"/>
        <w:rPr>
          <w:rFonts w:eastAsia="Times New Roman"/>
          <w:color w:val="000000"/>
        </w:rPr>
      </w:pPr>
      <w:r>
        <w:rPr>
          <w:rFonts w:eastAsia="Times New Roman"/>
          <w:color w:val="000000"/>
        </w:rPr>
        <w:t xml:space="preserve">We conducted a survey of subject matter experts in which we asked them to estimate the amount of time it would take farms of varying sizes to conduct pre-harvest agricultural water assessments as </w:t>
      </w:r>
      <w:r w:rsidRPr="00276D8F">
        <w:rPr>
          <w:rFonts w:eastAsia="Times New Roman"/>
          <w:color w:val="000000"/>
        </w:rPr>
        <w:t xml:space="preserve">specified (Ref. </w:t>
      </w:r>
      <w:r w:rsidRPr="00276D8F" w:rsidR="00414F0E">
        <w:rPr>
          <w:rFonts w:eastAsia="Times New Roman"/>
          <w:color w:val="000000"/>
        </w:rPr>
        <w:t>3</w:t>
      </w:r>
      <w:r w:rsidRPr="00276D8F">
        <w:rPr>
          <w:rFonts w:eastAsia="Times New Roman"/>
          <w:color w:val="000000"/>
        </w:rPr>
        <w:t>). Table 18</w:t>
      </w:r>
      <w:r w:rsidRPr="00097EE0">
        <w:rPr>
          <w:rFonts w:eastAsia="Times New Roman"/>
          <w:color w:val="000000"/>
        </w:rPr>
        <w:t xml:space="preserve"> </w:t>
      </w:r>
      <w:r>
        <w:rPr>
          <w:rFonts w:eastAsia="Times New Roman"/>
          <w:color w:val="000000"/>
        </w:rPr>
        <w:t xml:space="preserve">presents the median estimates from subject matter experts of the low, most likely, and high labor hours it would take farms to conduct an assessment. We use these estimates as parameters of a PERT distribution to calculate the cost of conducting assessments; this method incorporates the uncertainty about the amount of time it takes to conduct assessments. These estimates do not include the estimated recordkeeping burden, which we address in a later section. </w:t>
      </w:r>
    </w:p>
    <w:p w:rsidR="00C87571" w14:paraId="7EFDAB97" w14:textId="77777777">
      <w:pPr>
        <w:spacing w:line="276" w:lineRule="auto"/>
        <w:rPr>
          <w:rFonts w:eastAsia="Times New Roman"/>
          <w:b/>
          <w:color w:val="000000"/>
        </w:rPr>
      </w:pPr>
      <w:r>
        <w:rPr>
          <w:rFonts w:eastAsia="Times New Roman"/>
          <w:b/>
          <w:color w:val="000000"/>
        </w:rPr>
        <w:br w:type="page"/>
      </w:r>
    </w:p>
    <w:p w:rsidR="002C2F82" w:rsidP="00026F9A" w14:paraId="73A93E20" w14:textId="331D1D66">
      <w:pPr>
        <w:rPr>
          <w:rFonts w:eastAsia="Times New Roman"/>
          <w:b/>
          <w:color w:val="000000"/>
        </w:rPr>
      </w:pPr>
      <w:r>
        <w:rPr>
          <w:rFonts w:eastAsia="Times New Roman"/>
          <w:b/>
          <w:color w:val="000000"/>
        </w:rPr>
        <w:t>Table 18</w:t>
      </w:r>
      <w:r w:rsidRPr="000972AF">
        <w:rPr>
          <w:rFonts w:eastAsia="Times New Roman"/>
          <w:b/>
          <w:color w:val="000000"/>
        </w:rPr>
        <w:t>: Estimated Time to Conduct a</w:t>
      </w:r>
      <w:r>
        <w:rPr>
          <w:rFonts w:eastAsia="Times New Roman"/>
          <w:b/>
          <w:color w:val="000000"/>
        </w:rPr>
        <w:t xml:space="preserve"> Pre-harvest</w:t>
      </w:r>
      <w:r w:rsidRPr="000972AF">
        <w:rPr>
          <w:rFonts w:eastAsia="Times New Roman"/>
          <w:b/>
          <w:color w:val="000000"/>
        </w:rPr>
        <w:t xml:space="preserve"> Agricultural Water Assessment (hours)</w:t>
      </w:r>
    </w:p>
    <w:tbl>
      <w:tblPr>
        <w:tblStyle w:val="TableGrid"/>
        <w:tblW w:w="0" w:type="auto"/>
        <w:tblLook w:val="04A0"/>
      </w:tblPr>
      <w:tblGrid>
        <w:gridCol w:w="2876"/>
        <w:gridCol w:w="1979"/>
        <w:gridCol w:w="1980"/>
        <w:gridCol w:w="1795"/>
      </w:tblGrid>
      <w:tr w14:paraId="0596F056" w14:textId="77777777">
        <w:tblPrEx>
          <w:tblW w:w="0" w:type="auto"/>
          <w:tblLook w:val="04A0"/>
        </w:tblPrEx>
        <w:tc>
          <w:tcPr>
            <w:tcW w:w="2876" w:type="dxa"/>
          </w:tcPr>
          <w:p w:rsidR="002C2F82" w:rsidRPr="008B006E" w:rsidP="00026F9A" w14:paraId="3EC13475" w14:textId="77777777">
            <w:pPr>
              <w:jc w:val="center"/>
              <w:rPr>
                <w:rFonts w:eastAsia="Times New Roman"/>
                <w:b/>
                <w:color w:val="000000"/>
              </w:rPr>
            </w:pPr>
            <w:r w:rsidRPr="000972AF">
              <w:rPr>
                <w:rFonts w:eastAsia="Times New Roman"/>
                <w:b/>
                <w:color w:val="000000"/>
              </w:rPr>
              <w:t>Farm Size</w:t>
            </w:r>
          </w:p>
        </w:tc>
        <w:tc>
          <w:tcPr>
            <w:tcW w:w="1979" w:type="dxa"/>
          </w:tcPr>
          <w:p w:rsidR="002C2F82" w:rsidP="00026F9A" w14:paraId="15063676" w14:textId="77777777">
            <w:pPr>
              <w:jc w:val="center"/>
              <w:rPr>
                <w:rFonts w:eastAsia="Times New Roman"/>
                <w:b/>
                <w:color w:val="000000"/>
              </w:rPr>
            </w:pPr>
            <w:r>
              <w:rPr>
                <w:rFonts w:eastAsia="Times New Roman"/>
                <w:b/>
                <w:color w:val="000000"/>
              </w:rPr>
              <w:t>Low</w:t>
            </w:r>
          </w:p>
        </w:tc>
        <w:tc>
          <w:tcPr>
            <w:tcW w:w="1980" w:type="dxa"/>
          </w:tcPr>
          <w:p w:rsidR="002C2F82" w:rsidP="00026F9A" w14:paraId="2A640B0F" w14:textId="77777777">
            <w:pPr>
              <w:jc w:val="center"/>
              <w:rPr>
                <w:rFonts w:eastAsia="Times New Roman"/>
                <w:b/>
                <w:color w:val="000000"/>
              </w:rPr>
            </w:pPr>
            <w:r>
              <w:rPr>
                <w:rFonts w:eastAsia="Times New Roman"/>
                <w:b/>
                <w:color w:val="000000"/>
              </w:rPr>
              <w:t>Most Likely</w:t>
            </w:r>
          </w:p>
        </w:tc>
        <w:tc>
          <w:tcPr>
            <w:tcW w:w="1795" w:type="dxa"/>
          </w:tcPr>
          <w:p w:rsidR="002C2F82" w:rsidP="00026F9A" w14:paraId="5B090F25" w14:textId="77777777">
            <w:pPr>
              <w:jc w:val="center"/>
              <w:rPr>
                <w:rFonts w:eastAsia="Times New Roman"/>
                <w:b/>
                <w:color w:val="000000"/>
              </w:rPr>
            </w:pPr>
            <w:r>
              <w:rPr>
                <w:rFonts w:eastAsia="Times New Roman"/>
                <w:b/>
                <w:color w:val="000000"/>
              </w:rPr>
              <w:t>High</w:t>
            </w:r>
          </w:p>
        </w:tc>
      </w:tr>
      <w:tr w14:paraId="6200F4A0" w14:textId="77777777">
        <w:tblPrEx>
          <w:tblW w:w="0" w:type="auto"/>
          <w:tblLook w:val="04A0"/>
        </w:tblPrEx>
        <w:tc>
          <w:tcPr>
            <w:tcW w:w="2876" w:type="dxa"/>
          </w:tcPr>
          <w:p w:rsidR="002C2F82" w:rsidRPr="000972AF" w:rsidP="00026F9A" w14:paraId="0A8ECA51" w14:textId="77777777">
            <w:pPr>
              <w:jc w:val="center"/>
              <w:rPr>
                <w:rFonts w:eastAsia="Times New Roman"/>
                <w:color w:val="000000"/>
              </w:rPr>
            </w:pPr>
            <w:r>
              <w:rPr>
                <w:rFonts w:eastAsia="Times New Roman"/>
                <w:color w:val="000000"/>
              </w:rPr>
              <w:t>Very small</w:t>
            </w:r>
          </w:p>
        </w:tc>
        <w:tc>
          <w:tcPr>
            <w:tcW w:w="1979" w:type="dxa"/>
            <w:vAlign w:val="center"/>
          </w:tcPr>
          <w:p w:rsidR="002C2F82" w:rsidRPr="003C3456" w:rsidP="00026F9A" w14:paraId="22F44C4F" w14:textId="77777777">
            <w:pPr>
              <w:jc w:val="center"/>
              <w:rPr>
                <w:rFonts w:eastAsia="Times New Roman"/>
                <w:color w:val="000000"/>
              </w:rPr>
            </w:pPr>
            <w:r>
              <w:rPr>
                <w:color w:val="000000"/>
              </w:rPr>
              <w:t>6.0</w:t>
            </w:r>
          </w:p>
        </w:tc>
        <w:tc>
          <w:tcPr>
            <w:tcW w:w="1980" w:type="dxa"/>
            <w:vAlign w:val="center"/>
          </w:tcPr>
          <w:p w:rsidR="002C2F82" w:rsidRPr="003C3456" w:rsidP="00026F9A" w14:paraId="11204619" w14:textId="77777777">
            <w:pPr>
              <w:jc w:val="center"/>
              <w:rPr>
                <w:color w:val="000000"/>
              </w:rPr>
            </w:pPr>
            <w:r w:rsidRPr="003C3456">
              <w:rPr>
                <w:color w:val="000000"/>
              </w:rPr>
              <w:t>10.</w:t>
            </w:r>
            <w:r>
              <w:rPr>
                <w:color w:val="000000"/>
              </w:rPr>
              <w:t>0</w:t>
            </w:r>
          </w:p>
        </w:tc>
        <w:tc>
          <w:tcPr>
            <w:tcW w:w="1795" w:type="dxa"/>
            <w:vAlign w:val="center"/>
          </w:tcPr>
          <w:p w:rsidR="002C2F82" w:rsidRPr="003C3456" w:rsidP="00026F9A" w14:paraId="1E2DE6EE" w14:textId="77777777">
            <w:pPr>
              <w:jc w:val="center"/>
              <w:rPr>
                <w:color w:val="000000"/>
              </w:rPr>
            </w:pPr>
            <w:r>
              <w:rPr>
                <w:color w:val="000000"/>
              </w:rPr>
              <w:t>18.0</w:t>
            </w:r>
          </w:p>
        </w:tc>
      </w:tr>
      <w:tr w14:paraId="60F0F356" w14:textId="77777777">
        <w:tblPrEx>
          <w:tblW w:w="0" w:type="auto"/>
          <w:tblLook w:val="04A0"/>
        </w:tblPrEx>
        <w:tc>
          <w:tcPr>
            <w:tcW w:w="2876" w:type="dxa"/>
          </w:tcPr>
          <w:p w:rsidR="002C2F82" w:rsidRPr="000972AF" w:rsidP="00026F9A" w14:paraId="59B598DB" w14:textId="77777777">
            <w:pPr>
              <w:jc w:val="center"/>
              <w:rPr>
                <w:rFonts w:eastAsia="Times New Roman"/>
                <w:color w:val="000000"/>
              </w:rPr>
            </w:pPr>
            <w:r w:rsidRPr="000972AF">
              <w:rPr>
                <w:rFonts w:eastAsia="Times New Roman"/>
                <w:color w:val="000000"/>
              </w:rPr>
              <w:t>Small</w:t>
            </w:r>
          </w:p>
        </w:tc>
        <w:tc>
          <w:tcPr>
            <w:tcW w:w="1979" w:type="dxa"/>
            <w:vAlign w:val="center"/>
          </w:tcPr>
          <w:p w:rsidR="002C2F82" w:rsidRPr="003C3456" w:rsidP="00026F9A" w14:paraId="26B5F7A1" w14:textId="77777777">
            <w:pPr>
              <w:jc w:val="center"/>
              <w:rPr>
                <w:color w:val="000000"/>
              </w:rPr>
            </w:pPr>
            <w:r w:rsidRPr="003C3456">
              <w:rPr>
                <w:color w:val="000000"/>
              </w:rPr>
              <w:t>6.</w:t>
            </w:r>
            <w:r>
              <w:rPr>
                <w:color w:val="000000"/>
              </w:rPr>
              <w:t>0</w:t>
            </w:r>
          </w:p>
        </w:tc>
        <w:tc>
          <w:tcPr>
            <w:tcW w:w="1980" w:type="dxa"/>
            <w:vAlign w:val="center"/>
          </w:tcPr>
          <w:p w:rsidR="002C2F82" w:rsidRPr="003C3456" w:rsidP="00026F9A" w14:paraId="2DE9AECF" w14:textId="77777777">
            <w:pPr>
              <w:jc w:val="center"/>
              <w:rPr>
                <w:color w:val="000000"/>
              </w:rPr>
            </w:pPr>
            <w:r w:rsidRPr="003C3456">
              <w:rPr>
                <w:color w:val="000000"/>
              </w:rPr>
              <w:t>1</w:t>
            </w:r>
            <w:r>
              <w:rPr>
                <w:color w:val="000000"/>
              </w:rPr>
              <w:t>2.0</w:t>
            </w:r>
          </w:p>
        </w:tc>
        <w:tc>
          <w:tcPr>
            <w:tcW w:w="1795" w:type="dxa"/>
            <w:vAlign w:val="center"/>
          </w:tcPr>
          <w:p w:rsidR="002C2F82" w:rsidRPr="003C3456" w:rsidP="00026F9A" w14:paraId="78E41470" w14:textId="77777777">
            <w:pPr>
              <w:jc w:val="center"/>
              <w:rPr>
                <w:color w:val="000000"/>
              </w:rPr>
            </w:pPr>
            <w:r>
              <w:rPr>
                <w:color w:val="000000"/>
              </w:rPr>
              <w:t>18.0</w:t>
            </w:r>
          </w:p>
        </w:tc>
      </w:tr>
      <w:tr w14:paraId="65FEE3B9" w14:textId="77777777">
        <w:tblPrEx>
          <w:tblW w:w="0" w:type="auto"/>
          <w:tblLook w:val="04A0"/>
        </w:tblPrEx>
        <w:tc>
          <w:tcPr>
            <w:tcW w:w="2876" w:type="dxa"/>
          </w:tcPr>
          <w:p w:rsidR="002C2F82" w:rsidRPr="000972AF" w:rsidP="00026F9A" w14:paraId="16B424C1" w14:textId="77777777">
            <w:pPr>
              <w:jc w:val="center"/>
              <w:rPr>
                <w:rFonts w:eastAsia="Times New Roman"/>
                <w:color w:val="000000"/>
              </w:rPr>
            </w:pPr>
            <w:r w:rsidRPr="000972AF">
              <w:rPr>
                <w:rFonts w:eastAsia="Times New Roman"/>
                <w:color w:val="000000"/>
              </w:rPr>
              <w:t>Large</w:t>
            </w:r>
          </w:p>
        </w:tc>
        <w:tc>
          <w:tcPr>
            <w:tcW w:w="1979" w:type="dxa"/>
            <w:vAlign w:val="center"/>
          </w:tcPr>
          <w:p w:rsidR="002C2F82" w:rsidRPr="003C3456" w:rsidP="00026F9A" w14:paraId="17F2B2EB" w14:textId="77777777">
            <w:pPr>
              <w:jc w:val="center"/>
              <w:rPr>
                <w:color w:val="000000"/>
              </w:rPr>
            </w:pPr>
            <w:r>
              <w:rPr>
                <w:color w:val="000000"/>
              </w:rPr>
              <w:t>10.0</w:t>
            </w:r>
          </w:p>
        </w:tc>
        <w:tc>
          <w:tcPr>
            <w:tcW w:w="1980" w:type="dxa"/>
            <w:vAlign w:val="center"/>
          </w:tcPr>
          <w:p w:rsidR="002C2F82" w:rsidRPr="003C3456" w:rsidP="00026F9A" w14:paraId="54C69AB1" w14:textId="77777777">
            <w:pPr>
              <w:jc w:val="center"/>
              <w:rPr>
                <w:color w:val="000000"/>
              </w:rPr>
            </w:pPr>
            <w:r w:rsidRPr="003C3456">
              <w:rPr>
                <w:color w:val="000000"/>
              </w:rPr>
              <w:t>16.</w:t>
            </w:r>
            <w:r>
              <w:rPr>
                <w:color w:val="000000"/>
              </w:rPr>
              <w:t>0</w:t>
            </w:r>
          </w:p>
        </w:tc>
        <w:tc>
          <w:tcPr>
            <w:tcW w:w="1795" w:type="dxa"/>
            <w:vAlign w:val="center"/>
          </w:tcPr>
          <w:p w:rsidR="002C2F82" w:rsidRPr="003C3456" w:rsidP="00026F9A" w14:paraId="6229506A" w14:textId="77777777">
            <w:pPr>
              <w:jc w:val="center"/>
              <w:rPr>
                <w:color w:val="000000"/>
              </w:rPr>
            </w:pPr>
            <w:r>
              <w:rPr>
                <w:color w:val="000000"/>
              </w:rPr>
              <w:t>20.0</w:t>
            </w:r>
          </w:p>
        </w:tc>
      </w:tr>
    </w:tbl>
    <w:p w:rsidR="002C2F82" w:rsidP="00026F9A" w14:paraId="20F8C1A4" w14:textId="77777777">
      <w:pPr>
        <w:rPr>
          <w:rFonts w:eastAsia="Times New Roman"/>
          <w:color w:val="000000"/>
        </w:rPr>
      </w:pPr>
    </w:p>
    <w:p w:rsidR="002C2F82" w:rsidP="00026F9A" w14:paraId="0D3A4D5C" w14:textId="32C7ECE6">
      <w:pPr>
        <w:spacing w:line="480" w:lineRule="auto"/>
        <w:ind w:firstLine="720"/>
      </w:pPr>
      <w:r>
        <w:t>We use these estimated time burdens to calculate the estimated annual costs of conducting assessments. We assume affected farms will conduct approximately 1.1 assessments annually, in accordance with the requirement to conduct assessments</w:t>
      </w:r>
      <w:r w:rsidR="00BD19D2">
        <w:t xml:space="preserve"> at least once annually</w:t>
      </w:r>
      <w:r>
        <w:t xml:space="preserve"> and “whenever a significant change occurs in your agricultural water system.” We use wage data for “Farm Operators” for very small and small farms and wage data for “Farm Supervisors” for large farms. For very small and small farms, we use the fully-loaded BLS hourly </w:t>
      </w:r>
      <w:r w:rsidR="00DB6330">
        <w:t>mean wage rate</w:t>
      </w:r>
      <w:r>
        <w:t xml:space="preserve"> for “</w:t>
      </w:r>
      <w:r w:rsidRPr="00276D8F">
        <w:t>Farmers, Ranchers, and Other Agricultural Managers”</w:t>
      </w:r>
      <w:r w:rsidRPr="00276D8F">
        <w:rPr>
          <w:kern w:val="36"/>
        </w:rPr>
        <w:t xml:space="preserve"> </w:t>
      </w:r>
      <w:r w:rsidRPr="00276D8F" w:rsidR="00D03F6A">
        <w:rPr>
          <w:kern w:val="36"/>
        </w:rPr>
        <w:t>to yield an hourly cost of labor of $</w:t>
      </w:r>
      <w:r w:rsidRPr="00276D8F" w:rsidR="0004210B">
        <w:rPr>
          <w:kern w:val="36"/>
        </w:rPr>
        <w:t>80.58</w:t>
      </w:r>
      <w:r w:rsidRPr="00276D8F" w:rsidR="00D03F6A">
        <w:rPr>
          <w:kern w:val="36"/>
        </w:rPr>
        <w:t xml:space="preserve"> </w:t>
      </w:r>
      <w:r w:rsidRPr="00276D8F">
        <w:rPr>
          <w:kern w:val="36"/>
        </w:rPr>
        <w:t xml:space="preserve">(Ref. </w:t>
      </w:r>
      <w:r w:rsidRPr="00276D8F" w:rsidR="001341F2">
        <w:rPr>
          <w:kern w:val="36"/>
        </w:rPr>
        <w:t>10</w:t>
      </w:r>
      <w:r w:rsidRPr="00276D8F">
        <w:rPr>
          <w:kern w:val="36"/>
        </w:rPr>
        <w:t>)</w:t>
      </w:r>
      <w:r w:rsidRPr="00276D8F">
        <w:t xml:space="preserve">. For large farms, we use the </w:t>
      </w:r>
      <w:r w:rsidRPr="00276D8F" w:rsidR="008606BE">
        <w:t xml:space="preserve">fully-loaded </w:t>
      </w:r>
      <w:r w:rsidRPr="00276D8F">
        <w:t xml:space="preserve">BLS hourly mean wage rate for “First-Line Supervisors of Farming, Fishing, and Forestry Workers” to yield an hourly cost of labor of </w:t>
      </w:r>
      <w:r w:rsidRPr="00276D8F" w:rsidR="00DB6330">
        <w:t>$5</w:t>
      </w:r>
      <w:r w:rsidRPr="00276D8F" w:rsidR="0004210B">
        <w:t>6.56</w:t>
      </w:r>
      <w:r w:rsidRPr="00276D8F" w:rsidR="00DB6330">
        <w:t xml:space="preserve"> </w:t>
      </w:r>
      <w:r w:rsidRPr="00276D8F">
        <w:rPr>
          <w:kern w:val="36"/>
        </w:rPr>
        <w:t xml:space="preserve">(Ref. </w:t>
      </w:r>
      <w:r w:rsidRPr="00276D8F" w:rsidR="001341F2">
        <w:rPr>
          <w:kern w:val="36"/>
        </w:rPr>
        <w:t>11</w:t>
      </w:r>
      <w:r w:rsidRPr="00276D8F">
        <w:rPr>
          <w:kern w:val="36"/>
        </w:rPr>
        <w:t>)</w:t>
      </w:r>
      <w:r w:rsidRPr="00276D8F">
        <w:t>. Table</w:t>
      </w:r>
      <w:r>
        <w:t xml:space="preserve"> 19 presents the estimated annual cost of conducting pre-harvest agricultural water assessments for very small farms; Table 20 presents the estimated annual cost of conducting pre-harvest agricultural water assessments for small farms; and Table 21 presents the estimated annual cost of conducting pre-harvest agricultural water assessments for large farms. Table 22 presents estimated costs of conducting pre-harvest agricultural water assessments for all farms by year. We include 5th (“Low Estimate”) and 95th (“High Estimate”) percentile outcomes of the simulated burden as measures of uncertainty.</w:t>
      </w:r>
    </w:p>
    <w:p w:rsidR="00287950" w14:paraId="32F6E6C1" w14:textId="77777777">
      <w:pPr>
        <w:spacing w:line="276" w:lineRule="auto"/>
        <w:rPr>
          <w:b/>
        </w:rPr>
      </w:pPr>
      <w:r>
        <w:rPr>
          <w:b/>
        </w:rPr>
        <w:br w:type="page"/>
      </w:r>
    </w:p>
    <w:p w:rsidR="002C2F82" w:rsidP="00026F9A" w14:paraId="10B6741B" w14:textId="7AB2A87E">
      <w:pPr>
        <w:rPr>
          <w:b/>
        </w:rPr>
      </w:pPr>
      <w:r>
        <w:rPr>
          <w:b/>
        </w:rPr>
        <w:t>Table 19</w:t>
      </w:r>
      <w:r w:rsidRPr="00E806F0">
        <w:rPr>
          <w:b/>
        </w:rPr>
        <w:t xml:space="preserve">: Cost of </w:t>
      </w:r>
      <w:r>
        <w:rPr>
          <w:b/>
        </w:rPr>
        <w:t>C</w:t>
      </w:r>
      <w:r w:rsidRPr="00E806F0">
        <w:rPr>
          <w:b/>
        </w:rPr>
        <w:t xml:space="preserve">onducting </w:t>
      </w:r>
      <w:r>
        <w:rPr>
          <w:b/>
        </w:rPr>
        <w:t>Pre-Harvest Agricultural W</w:t>
      </w:r>
      <w:r w:rsidRPr="00E806F0">
        <w:rPr>
          <w:b/>
        </w:rPr>
        <w:t xml:space="preserve">ater </w:t>
      </w:r>
      <w:r>
        <w:rPr>
          <w:b/>
        </w:rPr>
        <w:t>A</w:t>
      </w:r>
      <w:r w:rsidRPr="00E806F0">
        <w:rPr>
          <w:b/>
        </w:rPr>
        <w:t xml:space="preserve">ssessments for </w:t>
      </w:r>
      <w:r>
        <w:rPr>
          <w:b/>
        </w:rPr>
        <w:t>V</w:t>
      </w:r>
      <w:r w:rsidRPr="00E806F0">
        <w:rPr>
          <w:b/>
        </w:rPr>
        <w:t xml:space="preserve">ery </w:t>
      </w:r>
      <w:r>
        <w:rPr>
          <w:b/>
        </w:rPr>
        <w:t>S</w:t>
      </w:r>
      <w:r w:rsidRPr="00E806F0">
        <w:rPr>
          <w:b/>
        </w:rPr>
        <w:t xml:space="preserve">mall </w:t>
      </w:r>
      <w:r>
        <w:rPr>
          <w:b/>
        </w:rPr>
        <w:t>F</w:t>
      </w:r>
      <w:r w:rsidRPr="00E806F0">
        <w:rPr>
          <w:b/>
        </w:rPr>
        <w:t>arms</w:t>
      </w:r>
      <w:r>
        <w:rPr>
          <w:b/>
        </w:rPr>
        <w:t xml:space="preserve"> (20</w:t>
      </w:r>
      <w:r w:rsidR="00D03F6A">
        <w:rPr>
          <w:b/>
        </w:rPr>
        <w:t>2</w:t>
      </w:r>
      <w:r w:rsidR="0004210B">
        <w:rPr>
          <w:b/>
        </w:rPr>
        <w:t>2</w:t>
      </w:r>
      <w:r>
        <w:rPr>
          <w:b/>
        </w:rPr>
        <w:t>$)</w:t>
      </w:r>
    </w:p>
    <w:tbl>
      <w:tblPr>
        <w:tblStyle w:val="TableGrid"/>
        <w:tblW w:w="0" w:type="auto"/>
        <w:tblLayout w:type="fixed"/>
        <w:tblLook w:val="04A0"/>
      </w:tblPr>
      <w:tblGrid>
        <w:gridCol w:w="3505"/>
        <w:gridCol w:w="1800"/>
        <w:gridCol w:w="1729"/>
        <w:gridCol w:w="1596"/>
      </w:tblGrid>
      <w:tr w14:paraId="3DAEB411" w14:textId="77777777">
        <w:tblPrEx>
          <w:tblW w:w="0" w:type="auto"/>
          <w:tblLayout w:type="fixed"/>
          <w:tblLook w:val="04A0"/>
        </w:tblPrEx>
        <w:trPr>
          <w:trHeight w:val="20"/>
        </w:trPr>
        <w:tc>
          <w:tcPr>
            <w:tcW w:w="3505" w:type="dxa"/>
          </w:tcPr>
          <w:p w:rsidR="002C2F82" w:rsidP="00026F9A" w14:paraId="4290E453" w14:textId="77777777">
            <w:pPr>
              <w:rPr>
                <w:b/>
              </w:rPr>
            </w:pPr>
          </w:p>
        </w:tc>
        <w:tc>
          <w:tcPr>
            <w:tcW w:w="1800" w:type="dxa"/>
          </w:tcPr>
          <w:p w:rsidR="002C2F82" w:rsidRPr="00C32C1F" w:rsidP="00026F9A" w14:paraId="4B941B68" w14:textId="77777777">
            <w:pPr>
              <w:jc w:val="center"/>
              <w:rPr>
                <w:b/>
              </w:rPr>
            </w:pPr>
            <w:r w:rsidRPr="00C32C1F">
              <w:rPr>
                <w:b/>
              </w:rPr>
              <w:t>Low</w:t>
            </w:r>
          </w:p>
          <w:p w:rsidR="002C2F82" w:rsidP="00026F9A" w14:paraId="0BEC3F73" w14:textId="77777777">
            <w:pPr>
              <w:jc w:val="center"/>
              <w:rPr>
                <w:b/>
              </w:rPr>
            </w:pPr>
          </w:p>
        </w:tc>
        <w:tc>
          <w:tcPr>
            <w:tcW w:w="1729" w:type="dxa"/>
          </w:tcPr>
          <w:p w:rsidR="002C2F82" w:rsidRPr="00C32C1F" w:rsidP="00026F9A" w14:paraId="014ACA04" w14:textId="77777777">
            <w:pPr>
              <w:jc w:val="center"/>
              <w:rPr>
                <w:b/>
              </w:rPr>
            </w:pPr>
            <w:r>
              <w:rPr>
                <w:b/>
              </w:rPr>
              <w:t>Most Likely</w:t>
            </w:r>
          </w:p>
          <w:p w:rsidR="002C2F82" w:rsidP="00026F9A" w14:paraId="2D34A783" w14:textId="77777777">
            <w:pPr>
              <w:jc w:val="center"/>
              <w:rPr>
                <w:b/>
              </w:rPr>
            </w:pPr>
          </w:p>
        </w:tc>
        <w:tc>
          <w:tcPr>
            <w:tcW w:w="1596" w:type="dxa"/>
          </w:tcPr>
          <w:p w:rsidR="002C2F82" w:rsidP="00026F9A" w14:paraId="580B1EF0" w14:textId="77777777">
            <w:pPr>
              <w:jc w:val="center"/>
              <w:rPr>
                <w:b/>
              </w:rPr>
            </w:pPr>
            <w:r w:rsidRPr="00C32C1F">
              <w:rPr>
                <w:b/>
              </w:rPr>
              <w:t>High</w:t>
            </w:r>
          </w:p>
        </w:tc>
      </w:tr>
      <w:tr w14:paraId="337815C2" w14:textId="77777777">
        <w:tblPrEx>
          <w:tblW w:w="0" w:type="auto"/>
          <w:tblLayout w:type="fixed"/>
          <w:tblLook w:val="04A0"/>
        </w:tblPrEx>
        <w:tc>
          <w:tcPr>
            <w:tcW w:w="3505" w:type="dxa"/>
          </w:tcPr>
          <w:p w:rsidR="00576E45" w:rsidP="00026F9A" w14:paraId="723ECE48" w14:textId="77777777">
            <w:pPr>
              <w:rPr>
                <w:b/>
              </w:rPr>
            </w:pPr>
            <w:r>
              <w:t>Number of farms conducting assessments</w:t>
            </w:r>
          </w:p>
        </w:tc>
        <w:tc>
          <w:tcPr>
            <w:tcW w:w="1800" w:type="dxa"/>
          </w:tcPr>
          <w:p w:rsidR="00576E45" w:rsidP="00026F9A" w14:paraId="6E7CA5C0" w14:textId="179C4099">
            <w:pPr>
              <w:jc w:val="center"/>
              <w:rPr>
                <w:b/>
              </w:rPr>
            </w:pPr>
            <w:r>
              <w:t>9,911</w:t>
            </w:r>
          </w:p>
        </w:tc>
        <w:tc>
          <w:tcPr>
            <w:tcW w:w="1729" w:type="dxa"/>
          </w:tcPr>
          <w:p w:rsidR="00576E45" w:rsidP="00026F9A" w14:paraId="3EEFB1DC" w14:textId="196F9EE4">
            <w:pPr>
              <w:jc w:val="center"/>
              <w:rPr>
                <w:b/>
              </w:rPr>
            </w:pPr>
            <w:r>
              <w:t>9,911</w:t>
            </w:r>
          </w:p>
        </w:tc>
        <w:tc>
          <w:tcPr>
            <w:tcW w:w="1596" w:type="dxa"/>
          </w:tcPr>
          <w:p w:rsidR="00576E45" w:rsidP="00026F9A" w14:paraId="0C87092F" w14:textId="0CEE269C">
            <w:pPr>
              <w:jc w:val="center"/>
              <w:rPr>
                <w:b/>
              </w:rPr>
            </w:pPr>
            <w:r>
              <w:t>9,911</w:t>
            </w:r>
          </w:p>
        </w:tc>
      </w:tr>
      <w:tr w14:paraId="15FD2CAE" w14:textId="77777777">
        <w:tblPrEx>
          <w:tblW w:w="0" w:type="auto"/>
          <w:tblLayout w:type="fixed"/>
          <w:tblLook w:val="04A0"/>
        </w:tblPrEx>
        <w:tc>
          <w:tcPr>
            <w:tcW w:w="3505" w:type="dxa"/>
          </w:tcPr>
          <w:p w:rsidR="002C2F82" w:rsidP="00026F9A" w14:paraId="20E78A78" w14:textId="77777777">
            <w:pPr>
              <w:rPr>
                <w:b/>
              </w:rPr>
            </w:pPr>
            <w:r>
              <w:t>Number of pre-harvest agricultural water assessments conducted annually</w:t>
            </w:r>
          </w:p>
        </w:tc>
        <w:tc>
          <w:tcPr>
            <w:tcW w:w="1800" w:type="dxa"/>
          </w:tcPr>
          <w:p w:rsidR="002C2F82" w:rsidRPr="00E806F0" w:rsidP="00026F9A" w14:paraId="6DB7F302" w14:textId="77777777">
            <w:pPr>
              <w:jc w:val="center"/>
            </w:pPr>
            <w:r>
              <w:t>1.1</w:t>
            </w:r>
          </w:p>
        </w:tc>
        <w:tc>
          <w:tcPr>
            <w:tcW w:w="1729" w:type="dxa"/>
          </w:tcPr>
          <w:p w:rsidR="002C2F82" w:rsidP="00026F9A" w14:paraId="44F296A0" w14:textId="77777777">
            <w:pPr>
              <w:jc w:val="center"/>
              <w:rPr>
                <w:b/>
              </w:rPr>
            </w:pPr>
            <w:r>
              <w:t>1.1</w:t>
            </w:r>
          </w:p>
        </w:tc>
        <w:tc>
          <w:tcPr>
            <w:tcW w:w="1596" w:type="dxa"/>
          </w:tcPr>
          <w:p w:rsidR="002C2F82" w:rsidP="00026F9A" w14:paraId="29895E8E" w14:textId="77777777">
            <w:pPr>
              <w:jc w:val="center"/>
              <w:rPr>
                <w:b/>
              </w:rPr>
            </w:pPr>
            <w:r>
              <w:t>1.1</w:t>
            </w:r>
          </w:p>
        </w:tc>
      </w:tr>
      <w:tr w14:paraId="7BC5D350" w14:textId="77777777">
        <w:tblPrEx>
          <w:tblW w:w="0" w:type="auto"/>
          <w:tblLayout w:type="fixed"/>
          <w:tblLook w:val="04A0"/>
        </w:tblPrEx>
        <w:tc>
          <w:tcPr>
            <w:tcW w:w="3505" w:type="dxa"/>
          </w:tcPr>
          <w:p w:rsidR="00D03F6A" w:rsidP="00026F9A" w14:paraId="2CA7C071" w14:textId="77777777">
            <w:pPr>
              <w:rPr>
                <w:b/>
              </w:rPr>
            </w:pPr>
            <w:r>
              <w:t>Hourly cost of labor of farm operators</w:t>
            </w:r>
          </w:p>
        </w:tc>
        <w:tc>
          <w:tcPr>
            <w:tcW w:w="1800" w:type="dxa"/>
          </w:tcPr>
          <w:p w:rsidR="00D03F6A" w:rsidP="00026F9A" w14:paraId="3A8E6F7D" w14:textId="2B52C4C5">
            <w:pPr>
              <w:jc w:val="center"/>
              <w:rPr>
                <w:b/>
              </w:rPr>
            </w:pPr>
            <w:r>
              <w:t>$</w:t>
            </w:r>
            <w:r w:rsidR="0004210B">
              <w:t>80.58</w:t>
            </w:r>
          </w:p>
        </w:tc>
        <w:tc>
          <w:tcPr>
            <w:tcW w:w="1729" w:type="dxa"/>
          </w:tcPr>
          <w:p w:rsidR="00D03F6A" w:rsidP="00026F9A" w14:paraId="0557F058" w14:textId="215372BD">
            <w:pPr>
              <w:jc w:val="center"/>
              <w:rPr>
                <w:b/>
              </w:rPr>
            </w:pPr>
            <w:r>
              <w:t>$</w:t>
            </w:r>
            <w:r w:rsidR="0004210B">
              <w:t>80.58</w:t>
            </w:r>
          </w:p>
        </w:tc>
        <w:tc>
          <w:tcPr>
            <w:tcW w:w="1596" w:type="dxa"/>
          </w:tcPr>
          <w:p w:rsidR="00D03F6A" w:rsidP="00026F9A" w14:paraId="19AC22F5" w14:textId="196586D8">
            <w:pPr>
              <w:jc w:val="center"/>
              <w:rPr>
                <w:b/>
              </w:rPr>
            </w:pPr>
            <w:r>
              <w:t>$</w:t>
            </w:r>
            <w:r w:rsidR="0004210B">
              <w:t>80.58</w:t>
            </w:r>
          </w:p>
        </w:tc>
      </w:tr>
      <w:tr w14:paraId="63B5583D" w14:textId="77777777">
        <w:tblPrEx>
          <w:tblW w:w="0" w:type="auto"/>
          <w:tblLayout w:type="fixed"/>
          <w:tblLook w:val="04A0"/>
        </w:tblPrEx>
        <w:tc>
          <w:tcPr>
            <w:tcW w:w="3505" w:type="dxa"/>
          </w:tcPr>
          <w:p w:rsidR="002C2F82" w:rsidP="00026F9A" w14:paraId="6F489ABF" w14:textId="608F0456">
            <w:pPr>
              <w:rPr>
                <w:b/>
              </w:rPr>
            </w:pPr>
            <w:r>
              <w:t xml:space="preserve">Time in hours to conduct each </w:t>
            </w:r>
            <w:r w:rsidR="00EE2250">
              <w:t xml:space="preserve">agricultural </w:t>
            </w:r>
            <w:r>
              <w:t>water assessment</w:t>
            </w:r>
          </w:p>
        </w:tc>
        <w:tc>
          <w:tcPr>
            <w:tcW w:w="1800" w:type="dxa"/>
            <w:vAlign w:val="center"/>
          </w:tcPr>
          <w:p w:rsidR="002C2F82" w:rsidRPr="003C3456" w:rsidP="00026F9A" w14:paraId="4F6586CC" w14:textId="77777777">
            <w:pPr>
              <w:jc w:val="center"/>
              <w:rPr>
                <w:rFonts w:eastAsia="Times New Roman"/>
                <w:color w:val="000000"/>
              </w:rPr>
            </w:pPr>
            <w:r>
              <w:rPr>
                <w:color w:val="000000"/>
              </w:rPr>
              <w:t>6.0</w:t>
            </w:r>
          </w:p>
        </w:tc>
        <w:tc>
          <w:tcPr>
            <w:tcW w:w="1729" w:type="dxa"/>
            <w:vAlign w:val="center"/>
          </w:tcPr>
          <w:p w:rsidR="002C2F82" w:rsidRPr="003C3456" w:rsidP="00026F9A" w14:paraId="04F1323B" w14:textId="77777777">
            <w:pPr>
              <w:jc w:val="center"/>
              <w:rPr>
                <w:color w:val="000000"/>
              </w:rPr>
            </w:pPr>
            <w:r w:rsidRPr="003C3456">
              <w:rPr>
                <w:color w:val="000000"/>
              </w:rPr>
              <w:t>10.</w:t>
            </w:r>
            <w:r>
              <w:rPr>
                <w:color w:val="000000"/>
              </w:rPr>
              <w:t>0</w:t>
            </w:r>
          </w:p>
        </w:tc>
        <w:tc>
          <w:tcPr>
            <w:tcW w:w="1596" w:type="dxa"/>
            <w:vAlign w:val="center"/>
          </w:tcPr>
          <w:p w:rsidR="002C2F82" w:rsidRPr="003C3456" w:rsidP="00026F9A" w14:paraId="3420A70C" w14:textId="77777777">
            <w:pPr>
              <w:jc w:val="center"/>
              <w:rPr>
                <w:color w:val="000000"/>
              </w:rPr>
            </w:pPr>
            <w:r>
              <w:rPr>
                <w:color w:val="000000"/>
              </w:rPr>
              <w:t>18.0</w:t>
            </w:r>
          </w:p>
        </w:tc>
      </w:tr>
      <w:tr w14:paraId="0D102681" w14:textId="77777777">
        <w:tblPrEx>
          <w:tblW w:w="0" w:type="auto"/>
          <w:tblLayout w:type="fixed"/>
          <w:tblLook w:val="04A0"/>
        </w:tblPrEx>
        <w:tc>
          <w:tcPr>
            <w:tcW w:w="3505" w:type="dxa"/>
          </w:tcPr>
          <w:p w:rsidR="002C2F82" w:rsidRPr="00FC6639" w:rsidP="00026F9A" w14:paraId="3F07170B" w14:textId="7C3A4950">
            <w:pPr>
              <w:rPr>
                <w:b/>
              </w:rPr>
            </w:pPr>
            <w:r w:rsidRPr="00E806F0">
              <w:rPr>
                <w:b/>
              </w:rPr>
              <w:t>Annual cost of assessment for very small farms</w:t>
            </w:r>
            <w:r w:rsidR="00D0096A">
              <w:rPr>
                <w:b/>
              </w:rPr>
              <w:t xml:space="preserve"> (millions)</w:t>
            </w:r>
          </w:p>
        </w:tc>
        <w:tc>
          <w:tcPr>
            <w:tcW w:w="1800" w:type="dxa"/>
            <w:vAlign w:val="bottom"/>
          </w:tcPr>
          <w:p w:rsidR="002C2F82" w:rsidRPr="005F3BE7" w:rsidP="00026F9A" w14:paraId="0E0BD6A4" w14:textId="08B7C43B">
            <w:pPr>
              <w:spacing w:line="480" w:lineRule="auto"/>
              <w:jc w:val="center"/>
              <w:rPr>
                <w:rFonts w:eastAsia="Times New Roman"/>
                <w:b/>
                <w:color w:val="000000"/>
              </w:rPr>
            </w:pPr>
            <w:r w:rsidRPr="005F3BE7">
              <w:rPr>
                <w:b/>
                <w:color w:val="000000"/>
              </w:rPr>
              <w:t>$</w:t>
            </w:r>
            <w:r w:rsidR="001B21DC">
              <w:rPr>
                <w:b/>
                <w:color w:val="000000"/>
              </w:rPr>
              <w:t>6.0</w:t>
            </w:r>
          </w:p>
        </w:tc>
        <w:tc>
          <w:tcPr>
            <w:tcW w:w="1729" w:type="dxa"/>
            <w:vAlign w:val="bottom"/>
          </w:tcPr>
          <w:p w:rsidR="002C2F82" w:rsidRPr="005F3BE7" w:rsidP="00026F9A" w14:paraId="77361CA7" w14:textId="6281D913">
            <w:pPr>
              <w:spacing w:line="480" w:lineRule="auto"/>
              <w:jc w:val="center"/>
              <w:rPr>
                <w:b/>
                <w:color w:val="000000"/>
              </w:rPr>
            </w:pPr>
            <w:r w:rsidRPr="005F3BE7">
              <w:rPr>
                <w:b/>
                <w:color w:val="000000"/>
              </w:rPr>
              <w:t>$</w:t>
            </w:r>
            <w:r w:rsidR="00D0096A">
              <w:rPr>
                <w:b/>
                <w:color w:val="000000"/>
              </w:rPr>
              <w:t>9.</w:t>
            </w:r>
            <w:r w:rsidR="001B21DC">
              <w:rPr>
                <w:b/>
                <w:color w:val="000000"/>
              </w:rPr>
              <w:t>7</w:t>
            </w:r>
          </w:p>
        </w:tc>
        <w:tc>
          <w:tcPr>
            <w:tcW w:w="1596" w:type="dxa"/>
            <w:vAlign w:val="bottom"/>
          </w:tcPr>
          <w:p w:rsidR="002C2F82" w:rsidRPr="005F3BE7" w:rsidP="00026F9A" w14:paraId="71F63304" w14:textId="2A71AA0F">
            <w:pPr>
              <w:spacing w:line="480" w:lineRule="auto"/>
              <w:jc w:val="center"/>
              <w:rPr>
                <w:b/>
                <w:color w:val="000000"/>
              </w:rPr>
            </w:pPr>
            <w:r w:rsidRPr="005F3BE7">
              <w:rPr>
                <w:b/>
                <w:color w:val="000000"/>
              </w:rPr>
              <w:t>$</w:t>
            </w:r>
            <w:r w:rsidR="00D0096A">
              <w:rPr>
                <w:b/>
                <w:color w:val="000000"/>
              </w:rPr>
              <w:t>1</w:t>
            </w:r>
            <w:r w:rsidR="001B21DC">
              <w:rPr>
                <w:b/>
                <w:color w:val="000000"/>
              </w:rPr>
              <w:t>4.1</w:t>
            </w:r>
          </w:p>
        </w:tc>
      </w:tr>
    </w:tbl>
    <w:p w:rsidR="002C2F82" w:rsidP="00026F9A" w14:paraId="3FA1D4B1" w14:textId="77777777">
      <w:pPr>
        <w:rPr>
          <w:b/>
        </w:rPr>
      </w:pPr>
    </w:p>
    <w:p w:rsidR="002C2F82" w:rsidP="00026F9A" w14:paraId="3E695C1F" w14:textId="6595DA76">
      <w:pPr>
        <w:rPr>
          <w:b/>
        </w:rPr>
      </w:pPr>
      <w:r w:rsidRPr="00E806F0">
        <w:rPr>
          <w:b/>
        </w:rPr>
        <w:t xml:space="preserve">Table </w:t>
      </w:r>
      <w:r>
        <w:rPr>
          <w:b/>
        </w:rPr>
        <w:t>20</w:t>
      </w:r>
      <w:r w:rsidRPr="00E806F0">
        <w:rPr>
          <w:b/>
        </w:rPr>
        <w:t xml:space="preserve">: Cost of </w:t>
      </w:r>
      <w:r>
        <w:rPr>
          <w:b/>
        </w:rPr>
        <w:t>C</w:t>
      </w:r>
      <w:r w:rsidRPr="00E806F0">
        <w:rPr>
          <w:b/>
        </w:rPr>
        <w:t xml:space="preserve">onducting </w:t>
      </w:r>
      <w:r>
        <w:rPr>
          <w:b/>
        </w:rPr>
        <w:t>Pre-Harvest Agricultural W</w:t>
      </w:r>
      <w:r w:rsidRPr="00E806F0">
        <w:rPr>
          <w:b/>
        </w:rPr>
        <w:t xml:space="preserve">ater </w:t>
      </w:r>
      <w:r>
        <w:rPr>
          <w:b/>
        </w:rPr>
        <w:t>A</w:t>
      </w:r>
      <w:r w:rsidRPr="00E806F0">
        <w:rPr>
          <w:b/>
        </w:rPr>
        <w:t xml:space="preserve">ssessments for </w:t>
      </w:r>
      <w:r>
        <w:rPr>
          <w:b/>
        </w:rPr>
        <w:t>S</w:t>
      </w:r>
      <w:r w:rsidRPr="00E806F0">
        <w:rPr>
          <w:b/>
        </w:rPr>
        <w:t xml:space="preserve">mall </w:t>
      </w:r>
      <w:r>
        <w:rPr>
          <w:b/>
        </w:rPr>
        <w:t>F</w:t>
      </w:r>
      <w:r w:rsidRPr="00E806F0">
        <w:rPr>
          <w:b/>
        </w:rPr>
        <w:t>arms</w:t>
      </w:r>
      <w:r>
        <w:rPr>
          <w:b/>
        </w:rPr>
        <w:t xml:space="preserve"> (20</w:t>
      </w:r>
      <w:r w:rsidR="00A47EEB">
        <w:rPr>
          <w:b/>
        </w:rPr>
        <w:t>2</w:t>
      </w:r>
      <w:r w:rsidR="001B21DC">
        <w:rPr>
          <w:b/>
        </w:rPr>
        <w:t>2</w:t>
      </w:r>
      <w:r>
        <w:rPr>
          <w:b/>
        </w:rPr>
        <w:t>$)</w:t>
      </w:r>
    </w:p>
    <w:tbl>
      <w:tblPr>
        <w:tblStyle w:val="TableGrid"/>
        <w:tblW w:w="8635" w:type="dxa"/>
        <w:tblLayout w:type="fixed"/>
        <w:tblLook w:val="04A0"/>
      </w:tblPr>
      <w:tblGrid>
        <w:gridCol w:w="4315"/>
        <w:gridCol w:w="1620"/>
        <w:gridCol w:w="1350"/>
        <w:gridCol w:w="1350"/>
      </w:tblGrid>
      <w:tr w14:paraId="057D3888" w14:textId="77777777" w:rsidTr="002F05CC">
        <w:tblPrEx>
          <w:tblW w:w="8635" w:type="dxa"/>
          <w:tblLayout w:type="fixed"/>
          <w:tblLook w:val="04A0"/>
        </w:tblPrEx>
        <w:trPr>
          <w:trHeight w:val="20"/>
        </w:trPr>
        <w:tc>
          <w:tcPr>
            <w:tcW w:w="4315" w:type="dxa"/>
          </w:tcPr>
          <w:p w:rsidR="002C2F82" w:rsidP="00026F9A" w14:paraId="6AFFF896" w14:textId="77777777">
            <w:pPr>
              <w:rPr>
                <w:b/>
              </w:rPr>
            </w:pPr>
          </w:p>
        </w:tc>
        <w:tc>
          <w:tcPr>
            <w:tcW w:w="1620" w:type="dxa"/>
          </w:tcPr>
          <w:p w:rsidR="002C2F82" w:rsidRPr="00C32C1F" w:rsidP="00026F9A" w14:paraId="78F07ED6" w14:textId="77777777">
            <w:pPr>
              <w:jc w:val="center"/>
              <w:rPr>
                <w:b/>
              </w:rPr>
            </w:pPr>
            <w:r w:rsidRPr="00C32C1F">
              <w:rPr>
                <w:b/>
              </w:rPr>
              <w:t>Low</w:t>
            </w:r>
          </w:p>
          <w:p w:rsidR="002C2F82" w:rsidP="00026F9A" w14:paraId="3D3ECAC2" w14:textId="77777777">
            <w:pPr>
              <w:jc w:val="center"/>
              <w:rPr>
                <w:b/>
              </w:rPr>
            </w:pPr>
          </w:p>
        </w:tc>
        <w:tc>
          <w:tcPr>
            <w:tcW w:w="1350" w:type="dxa"/>
          </w:tcPr>
          <w:p w:rsidR="002C2F82" w:rsidRPr="00C32C1F" w:rsidP="00026F9A" w14:paraId="2CF5476C" w14:textId="77777777">
            <w:pPr>
              <w:jc w:val="center"/>
              <w:rPr>
                <w:b/>
              </w:rPr>
            </w:pPr>
            <w:r>
              <w:rPr>
                <w:b/>
              </w:rPr>
              <w:t>Most Likely</w:t>
            </w:r>
          </w:p>
          <w:p w:rsidR="002C2F82" w:rsidP="00026F9A" w14:paraId="58C1D6FF" w14:textId="77777777">
            <w:pPr>
              <w:jc w:val="center"/>
              <w:rPr>
                <w:b/>
              </w:rPr>
            </w:pPr>
          </w:p>
        </w:tc>
        <w:tc>
          <w:tcPr>
            <w:tcW w:w="1350" w:type="dxa"/>
          </w:tcPr>
          <w:p w:rsidR="002C2F82" w:rsidP="00026F9A" w14:paraId="1F61C988" w14:textId="77777777">
            <w:pPr>
              <w:jc w:val="center"/>
              <w:rPr>
                <w:b/>
              </w:rPr>
            </w:pPr>
            <w:r w:rsidRPr="00C32C1F">
              <w:rPr>
                <w:b/>
              </w:rPr>
              <w:t>High</w:t>
            </w:r>
          </w:p>
        </w:tc>
      </w:tr>
      <w:tr w14:paraId="762BC7F6" w14:textId="77777777" w:rsidTr="002F05CC">
        <w:tblPrEx>
          <w:tblW w:w="8635" w:type="dxa"/>
          <w:tblLayout w:type="fixed"/>
          <w:tblLook w:val="04A0"/>
        </w:tblPrEx>
        <w:tc>
          <w:tcPr>
            <w:tcW w:w="4315" w:type="dxa"/>
          </w:tcPr>
          <w:p w:rsidR="003301D7" w:rsidP="00026F9A" w14:paraId="2FEE6FE1" w14:textId="77777777">
            <w:pPr>
              <w:rPr>
                <w:b/>
              </w:rPr>
            </w:pPr>
            <w:r>
              <w:t>Number of farms conducting assessments</w:t>
            </w:r>
          </w:p>
        </w:tc>
        <w:tc>
          <w:tcPr>
            <w:tcW w:w="1620" w:type="dxa"/>
          </w:tcPr>
          <w:p w:rsidR="003301D7" w:rsidRPr="00E806F0" w:rsidP="00026F9A" w14:paraId="6946E699" w14:textId="5E772A9A">
            <w:pPr>
              <w:jc w:val="center"/>
            </w:pPr>
            <w:r>
              <w:t>2,057</w:t>
            </w:r>
          </w:p>
        </w:tc>
        <w:tc>
          <w:tcPr>
            <w:tcW w:w="1350" w:type="dxa"/>
          </w:tcPr>
          <w:p w:rsidR="003301D7" w:rsidP="00026F9A" w14:paraId="60096FF2" w14:textId="5AC0DDDE">
            <w:pPr>
              <w:jc w:val="center"/>
              <w:rPr>
                <w:b/>
              </w:rPr>
            </w:pPr>
            <w:r>
              <w:t>2,057</w:t>
            </w:r>
          </w:p>
        </w:tc>
        <w:tc>
          <w:tcPr>
            <w:tcW w:w="1350" w:type="dxa"/>
          </w:tcPr>
          <w:p w:rsidR="003301D7" w:rsidP="00026F9A" w14:paraId="6518741F" w14:textId="1BCE9311">
            <w:pPr>
              <w:jc w:val="center"/>
              <w:rPr>
                <w:b/>
              </w:rPr>
            </w:pPr>
            <w:r>
              <w:t>2,057</w:t>
            </w:r>
          </w:p>
        </w:tc>
      </w:tr>
      <w:tr w14:paraId="705C0230" w14:textId="77777777" w:rsidTr="002F05CC">
        <w:tblPrEx>
          <w:tblW w:w="8635" w:type="dxa"/>
          <w:tblLayout w:type="fixed"/>
          <w:tblLook w:val="04A0"/>
        </w:tblPrEx>
        <w:tc>
          <w:tcPr>
            <w:tcW w:w="4315" w:type="dxa"/>
          </w:tcPr>
          <w:p w:rsidR="002C2F82" w:rsidP="00026F9A" w14:paraId="08A32E7E" w14:textId="77777777">
            <w:pPr>
              <w:rPr>
                <w:b/>
              </w:rPr>
            </w:pPr>
            <w:r>
              <w:t>Number of pre-harvest agricultural water assessments conducted annually</w:t>
            </w:r>
          </w:p>
        </w:tc>
        <w:tc>
          <w:tcPr>
            <w:tcW w:w="1620" w:type="dxa"/>
          </w:tcPr>
          <w:p w:rsidR="002C2F82" w:rsidRPr="00E806F0" w:rsidP="00026F9A" w14:paraId="773B50A4" w14:textId="77777777">
            <w:pPr>
              <w:jc w:val="center"/>
            </w:pPr>
            <w:r>
              <w:t>1.1</w:t>
            </w:r>
          </w:p>
        </w:tc>
        <w:tc>
          <w:tcPr>
            <w:tcW w:w="1350" w:type="dxa"/>
          </w:tcPr>
          <w:p w:rsidR="002C2F82" w:rsidP="00026F9A" w14:paraId="39919E9C" w14:textId="77777777">
            <w:pPr>
              <w:jc w:val="center"/>
              <w:rPr>
                <w:b/>
              </w:rPr>
            </w:pPr>
            <w:r>
              <w:t>1.1</w:t>
            </w:r>
          </w:p>
        </w:tc>
        <w:tc>
          <w:tcPr>
            <w:tcW w:w="1350" w:type="dxa"/>
          </w:tcPr>
          <w:p w:rsidR="002C2F82" w:rsidP="00026F9A" w14:paraId="227EAA67" w14:textId="77777777">
            <w:pPr>
              <w:jc w:val="center"/>
              <w:rPr>
                <w:b/>
              </w:rPr>
            </w:pPr>
            <w:r>
              <w:t>1.1</w:t>
            </w:r>
          </w:p>
        </w:tc>
      </w:tr>
      <w:tr w14:paraId="2EA989A2" w14:textId="77777777" w:rsidTr="002F05CC">
        <w:tblPrEx>
          <w:tblW w:w="8635" w:type="dxa"/>
          <w:tblLayout w:type="fixed"/>
          <w:tblLook w:val="04A0"/>
        </w:tblPrEx>
        <w:tc>
          <w:tcPr>
            <w:tcW w:w="4315" w:type="dxa"/>
          </w:tcPr>
          <w:p w:rsidR="003301D7" w:rsidP="00026F9A" w14:paraId="14CCE44D" w14:textId="77777777">
            <w:pPr>
              <w:rPr>
                <w:b/>
              </w:rPr>
            </w:pPr>
            <w:r>
              <w:t>Hourly cost of labor of farm operators</w:t>
            </w:r>
          </w:p>
        </w:tc>
        <w:tc>
          <w:tcPr>
            <w:tcW w:w="1620" w:type="dxa"/>
          </w:tcPr>
          <w:p w:rsidR="003301D7" w:rsidP="00026F9A" w14:paraId="135F1100" w14:textId="40EAD8FA">
            <w:pPr>
              <w:jc w:val="center"/>
              <w:rPr>
                <w:b/>
              </w:rPr>
            </w:pPr>
            <w:r>
              <w:t>$</w:t>
            </w:r>
            <w:r w:rsidR="001B21DC">
              <w:t>80.58</w:t>
            </w:r>
          </w:p>
        </w:tc>
        <w:tc>
          <w:tcPr>
            <w:tcW w:w="1350" w:type="dxa"/>
          </w:tcPr>
          <w:p w:rsidR="003301D7" w:rsidP="00026F9A" w14:paraId="411BFB3A" w14:textId="0C92CF2E">
            <w:pPr>
              <w:jc w:val="center"/>
              <w:rPr>
                <w:b/>
              </w:rPr>
            </w:pPr>
            <w:r>
              <w:t>$</w:t>
            </w:r>
            <w:r w:rsidR="001B21DC">
              <w:t>80.58</w:t>
            </w:r>
          </w:p>
        </w:tc>
        <w:tc>
          <w:tcPr>
            <w:tcW w:w="1350" w:type="dxa"/>
          </w:tcPr>
          <w:p w:rsidR="003301D7" w:rsidP="00026F9A" w14:paraId="6981ABD2" w14:textId="7722E1D0">
            <w:pPr>
              <w:jc w:val="center"/>
              <w:rPr>
                <w:b/>
              </w:rPr>
            </w:pPr>
            <w:r>
              <w:t>$</w:t>
            </w:r>
            <w:r w:rsidR="001B21DC">
              <w:t>80.58</w:t>
            </w:r>
          </w:p>
        </w:tc>
      </w:tr>
      <w:tr w14:paraId="3F5E42D5" w14:textId="77777777" w:rsidTr="002F05CC">
        <w:tblPrEx>
          <w:tblW w:w="8635" w:type="dxa"/>
          <w:tblLayout w:type="fixed"/>
          <w:tblLook w:val="04A0"/>
        </w:tblPrEx>
        <w:tc>
          <w:tcPr>
            <w:tcW w:w="4315" w:type="dxa"/>
          </w:tcPr>
          <w:p w:rsidR="002C2F82" w:rsidP="00026F9A" w14:paraId="3911C65F" w14:textId="64032680">
            <w:pPr>
              <w:rPr>
                <w:b/>
              </w:rPr>
            </w:pPr>
            <w:r>
              <w:t xml:space="preserve">Time in hours to conduct each </w:t>
            </w:r>
            <w:r w:rsidR="00EE2250">
              <w:t xml:space="preserve">agricultural </w:t>
            </w:r>
            <w:r>
              <w:t>water assessment</w:t>
            </w:r>
          </w:p>
        </w:tc>
        <w:tc>
          <w:tcPr>
            <w:tcW w:w="1620" w:type="dxa"/>
            <w:vAlign w:val="center"/>
          </w:tcPr>
          <w:p w:rsidR="002C2F82" w:rsidRPr="003C3456" w:rsidP="00026F9A" w14:paraId="79F3FF07" w14:textId="77777777">
            <w:pPr>
              <w:jc w:val="center"/>
              <w:rPr>
                <w:color w:val="000000"/>
              </w:rPr>
            </w:pPr>
            <w:r w:rsidRPr="003C3456">
              <w:rPr>
                <w:color w:val="000000"/>
              </w:rPr>
              <w:t>6.</w:t>
            </w:r>
            <w:r>
              <w:rPr>
                <w:color w:val="000000"/>
              </w:rPr>
              <w:t>0</w:t>
            </w:r>
          </w:p>
        </w:tc>
        <w:tc>
          <w:tcPr>
            <w:tcW w:w="1350" w:type="dxa"/>
            <w:vAlign w:val="center"/>
          </w:tcPr>
          <w:p w:rsidR="002C2F82" w:rsidRPr="003C3456" w:rsidP="00026F9A" w14:paraId="208BAB8D" w14:textId="77777777">
            <w:pPr>
              <w:jc w:val="center"/>
              <w:rPr>
                <w:color w:val="000000"/>
              </w:rPr>
            </w:pPr>
            <w:r w:rsidRPr="003C3456">
              <w:rPr>
                <w:color w:val="000000"/>
              </w:rPr>
              <w:t>1</w:t>
            </w:r>
            <w:r>
              <w:rPr>
                <w:color w:val="000000"/>
              </w:rPr>
              <w:t>2.0</w:t>
            </w:r>
          </w:p>
        </w:tc>
        <w:tc>
          <w:tcPr>
            <w:tcW w:w="1350" w:type="dxa"/>
            <w:vAlign w:val="center"/>
          </w:tcPr>
          <w:p w:rsidR="002C2F82" w:rsidRPr="003C3456" w:rsidP="00026F9A" w14:paraId="29410B61" w14:textId="77777777">
            <w:pPr>
              <w:jc w:val="center"/>
              <w:rPr>
                <w:color w:val="000000"/>
              </w:rPr>
            </w:pPr>
            <w:r>
              <w:rPr>
                <w:color w:val="000000"/>
              </w:rPr>
              <w:t>18.0</w:t>
            </w:r>
          </w:p>
        </w:tc>
      </w:tr>
      <w:tr w14:paraId="26C87589" w14:textId="77777777" w:rsidTr="002F05CC">
        <w:tblPrEx>
          <w:tblW w:w="8635" w:type="dxa"/>
          <w:tblLayout w:type="fixed"/>
          <w:tblLook w:val="04A0"/>
        </w:tblPrEx>
        <w:trPr>
          <w:trHeight w:val="287"/>
        </w:trPr>
        <w:tc>
          <w:tcPr>
            <w:tcW w:w="4315" w:type="dxa"/>
          </w:tcPr>
          <w:p w:rsidR="002F05CC" w:rsidP="00026F9A" w14:paraId="25D7F783" w14:textId="77777777">
            <w:pPr>
              <w:rPr>
                <w:b/>
              </w:rPr>
            </w:pPr>
            <w:r w:rsidRPr="00E806F0">
              <w:rPr>
                <w:b/>
              </w:rPr>
              <w:t xml:space="preserve">Annual cost of assessment for </w:t>
            </w:r>
          </w:p>
          <w:p w:rsidR="002C2F82" w:rsidRPr="00FC6639" w:rsidP="00026F9A" w14:paraId="1E36C0DE" w14:textId="7E1FD269">
            <w:pPr>
              <w:rPr>
                <w:b/>
              </w:rPr>
            </w:pPr>
            <w:r w:rsidRPr="00E806F0">
              <w:rPr>
                <w:b/>
              </w:rPr>
              <w:t>small farms</w:t>
            </w:r>
            <w:r w:rsidR="00A0306B">
              <w:rPr>
                <w:b/>
              </w:rPr>
              <w:t xml:space="preserve"> (millions)</w:t>
            </w:r>
          </w:p>
        </w:tc>
        <w:tc>
          <w:tcPr>
            <w:tcW w:w="1620" w:type="dxa"/>
            <w:vAlign w:val="bottom"/>
          </w:tcPr>
          <w:p w:rsidR="002C2F82" w:rsidRPr="005F3BE7" w:rsidP="00026F9A" w14:paraId="3591D62C" w14:textId="103DDB0E">
            <w:pPr>
              <w:spacing w:line="480" w:lineRule="auto"/>
              <w:jc w:val="center"/>
              <w:rPr>
                <w:rFonts w:eastAsia="Times New Roman"/>
                <w:b/>
                <w:color w:val="000000"/>
              </w:rPr>
            </w:pPr>
            <w:r w:rsidRPr="005F3BE7">
              <w:rPr>
                <w:b/>
                <w:color w:val="000000"/>
              </w:rPr>
              <w:t>$1</w:t>
            </w:r>
            <w:r w:rsidR="00A0306B">
              <w:rPr>
                <w:b/>
                <w:color w:val="000000"/>
              </w:rPr>
              <w:t>.</w:t>
            </w:r>
            <w:r w:rsidR="00C61A2A">
              <w:rPr>
                <w:b/>
                <w:color w:val="000000"/>
              </w:rPr>
              <w:t>4</w:t>
            </w:r>
          </w:p>
        </w:tc>
        <w:tc>
          <w:tcPr>
            <w:tcW w:w="1350" w:type="dxa"/>
            <w:vAlign w:val="center"/>
          </w:tcPr>
          <w:p w:rsidR="002C2F82" w:rsidRPr="005F3BE7" w:rsidP="00026F9A" w14:paraId="36D22170" w14:textId="3009708B">
            <w:pPr>
              <w:spacing w:line="480" w:lineRule="auto"/>
              <w:jc w:val="center"/>
              <w:rPr>
                <w:b/>
                <w:color w:val="000000"/>
              </w:rPr>
            </w:pPr>
            <w:r w:rsidRPr="005F3BE7">
              <w:rPr>
                <w:b/>
                <w:color w:val="000000"/>
              </w:rPr>
              <w:t>$</w:t>
            </w:r>
            <w:r w:rsidR="002F05CC">
              <w:rPr>
                <w:b/>
                <w:color w:val="000000"/>
              </w:rPr>
              <w:t>2.</w:t>
            </w:r>
            <w:r w:rsidR="00C61A2A">
              <w:rPr>
                <w:b/>
                <w:color w:val="000000"/>
              </w:rPr>
              <w:t>3</w:t>
            </w:r>
          </w:p>
        </w:tc>
        <w:tc>
          <w:tcPr>
            <w:tcW w:w="1350" w:type="dxa"/>
            <w:vAlign w:val="bottom"/>
          </w:tcPr>
          <w:p w:rsidR="002C2F82" w:rsidRPr="005F3BE7" w:rsidP="00026F9A" w14:paraId="36599C28" w14:textId="752F50C5">
            <w:pPr>
              <w:spacing w:line="480" w:lineRule="auto"/>
              <w:jc w:val="center"/>
              <w:rPr>
                <w:b/>
                <w:color w:val="000000"/>
              </w:rPr>
            </w:pPr>
            <w:r w:rsidRPr="005F3BE7">
              <w:rPr>
                <w:b/>
                <w:color w:val="000000"/>
              </w:rPr>
              <w:t>$</w:t>
            </w:r>
            <w:r w:rsidR="002F05CC">
              <w:rPr>
                <w:b/>
                <w:color w:val="000000"/>
              </w:rPr>
              <w:t>3.</w:t>
            </w:r>
            <w:r w:rsidR="00C61A2A">
              <w:rPr>
                <w:b/>
                <w:color w:val="000000"/>
              </w:rPr>
              <w:t>2</w:t>
            </w:r>
          </w:p>
        </w:tc>
      </w:tr>
    </w:tbl>
    <w:p w:rsidR="002C2F82" w:rsidP="00026F9A" w14:paraId="7351DBCA" w14:textId="77777777">
      <w:pPr>
        <w:rPr>
          <w:b/>
        </w:rPr>
      </w:pPr>
    </w:p>
    <w:p w:rsidR="002C2F82" w:rsidP="00026F9A" w14:paraId="2669B81D" w14:textId="333A9253">
      <w:pPr>
        <w:rPr>
          <w:b/>
        </w:rPr>
      </w:pPr>
      <w:r w:rsidRPr="00E806F0">
        <w:rPr>
          <w:b/>
        </w:rPr>
        <w:t xml:space="preserve">Table </w:t>
      </w:r>
      <w:r>
        <w:rPr>
          <w:b/>
        </w:rPr>
        <w:t>21</w:t>
      </w:r>
      <w:r w:rsidRPr="00E806F0">
        <w:rPr>
          <w:b/>
        </w:rPr>
        <w:t xml:space="preserve">: Cost of </w:t>
      </w:r>
      <w:r>
        <w:rPr>
          <w:b/>
        </w:rPr>
        <w:t>C</w:t>
      </w:r>
      <w:r w:rsidRPr="00E806F0">
        <w:rPr>
          <w:b/>
        </w:rPr>
        <w:t xml:space="preserve">onducting </w:t>
      </w:r>
      <w:r>
        <w:rPr>
          <w:b/>
        </w:rPr>
        <w:t>Pre-Harvest Agricultural W</w:t>
      </w:r>
      <w:r w:rsidRPr="00E806F0">
        <w:rPr>
          <w:b/>
        </w:rPr>
        <w:t xml:space="preserve">ater </w:t>
      </w:r>
      <w:r>
        <w:rPr>
          <w:b/>
        </w:rPr>
        <w:t>A</w:t>
      </w:r>
      <w:r w:rsidRPr="00E806F0">
        <w:rPr>
          <w:b/>
        </w:rPr>
        <w:t xml:space="preserve">ssessments for </w:t>
      </w:r>
      <w:r>
        <w:rPr>
          <w:b/>
        </w:rPr>
        <w:t>Large</w:t>
      </w:r>
      <w:r w:rsidRPr="00E806F0">
        <w:rPr>
          <w:b/>
        </w:rPr>
        <w:t xml:space="preserve"> </w:t>
      </w:r>
      <w:r>
        <w:rPr>
          <w:b/>
        </w:rPr>
        <w:t>F</w:t>
      </w:r>
      <w:r w:rsidRPr="00E806F0">
        <w:rPr>
          <w:b/>
        </w:rPr>
        <w:t>arms</w:t>
      </w:r>
      <w:r>
        <w:rPr>
          <w:b/>
        </w:rPr>
        <w:t xml:space="preserve"> (20</w:t>
      </w:r>
      <w:r w:rsidR="00A47EEB">
        <w:rPr>
          <w:b/>
        </w:rPr>
        <w:t>2</w:t>
      </w:r>
      <w:r w:rsidR="00C61A2A">
        <w:rPr>
          <w:b/>
        </w:rPr>
        <w:t>2</w:t>
      </w:r>
      <w:r>
        <w:rPr>
          <w:b/>
        </w:rPr>
        <w:t>$)</w:t>
      </w:r>
    </w:p>
    <w:tbl>
      <w:tblPr>
        <w:tblStyle w:val="TableGrid"/>
        <w:tblW w:w="0" w:type="auto"/>
        <w:tblLayout w:type="fixed"/>
        <w:tblLook w:val="04A0"/>
      </w:tblPr>
      <w:tblGrid>
        <w:gridCol w:w="3685"/>
        <w:gridCol w:w="1620"/>
        <w:gridCol w:w="1530"/>
        <w:gridCol w:w="1795"/>
      </w:tblGrid>
      <w:tr w14:paraId="0D55494B" w14:textId="77777777">
        <w:tblPrEx>
          <w:tblW w:w="0" w:type="auto"/>
          <w:tblLayout w:type="fixed"/>
          <w:tblLook w:val="04A0"/>
        </w:tblPrEx>
        <w:trPr>
          <w:trHeight w:val="20"/>
        </w:trPr>
        <w:tc>
          <w:tcPr>
            <w:tcW w:w="3685" w:type="dxa"/>
          </w:tcPr>
          <w:p w:rsidR="002C2F82" w:rsidP="00026F9A" w14:paraId="40C90162" w14:textId="77777777">
            <w:pPr>
              <w:rPr>
                <w:b/>
              </w:rPr>
            </w:pPr>
          </w:p>
        </w:tc>
        <w:tc>
          <w:tcPr>
            <w:tcW w:w="1620" w:type="dxa"/>
          </w:tcPr>
          <w:p w:rsidR="002C2F82" w:rsidRPr="00C32C1F" w:rsidP="00026F9A" w14:paraId="7A46E610" w14:textId="77777777">
            <w:pPr>
              <w:jc w:val="center"/>
              <w:rPr>
                <w:b/>
              </w:rPr>
            </w:pPr>
            <w:r w:rsidRPr="00C32C1F">
              <w:rPr>
                <w:b/>
              </w:rPr>
              <w:t>Low</w:t>
            </w:r>
          </w:p>
          <w:p w:rsidR="002C2F82" w:rsidP="00026F9A" w14:paraId="0CF4EF5F" w14:textId="77777777">
            <w:pPr>
              <w:jc w:val="center"/>
              <w:rPr>
                <w:b/>
              </w:rPr>
            </w:pPr>
          </w:p>
        </w:tc>
        <w:tc>
          <w:tcPr>
            <w:tcW w:w="1530" w:type="dxa"/>
          </w:tcPr>
          <w:p w:rsidR="002C2F82" w:rsidRPr="00C32C1F" w:rsidP="00026F9A" w14:paraId="2B8FD738" w14:textId="77777777">
            <w:pPr>
              <w:jc w:val="center"/>
              <w:rPr>
                <w:b/>
              </w:rPr>
            </w:pPr>
            <w:r>
              <w:rPr>
                <w:b/>
              </w:rPr>
              <w:t>Most Likely</w:t>
            </w:r>
          </w:p>
          <w:p w:rsidR="002C2F82" w:rsidP="00026F9A" w14:paraId="484052AA" w14:textId="77777777">
            <w:pPr>
              <w:jc w:val="center"/>
              <w:rPr>
                <w:b/>
              </w:rPr>
            </w:pPr>
          </w:p>
        </w:tc>
        <w:tc>
          <w:tcPr>
            <w:tcW w:w="1795" w:type="dxa"/>
          </w:tcPr>
          <w:p w:rsidR="002C2F82" w:rsidP="00026F9A" w14:paraId="66B01CFF" w14:textId="77777777">
            <w:pPr>
              <w:jc w:val="center"/>
              <w:rPr>
                <w:b/>
              </w:rPr>
            </w:pPr>
            <w:r w:rsidRPr="00C32C1F">
              <w:rPr>
                <w:b/>
              </w:rPr>
              <w:t>High</w:t>
            </w:r>
          </w:p>
        </w:tc>
      </w:tr>
      <w:tr w14:paraId="3EE93B1A" w14:textId="77777777">
        <w:tblPrEx>
          <w:tblW w:w="0" w:type="auto"/>
          <w:tblLayout w:type="fixed"/>
          <w:tblLook w:val="04A0"/>
        </w:tblPrEx>
        <w:tc>
          <w:tcPr>
            <w:tcW w:w="3685" w:type="dxa"/>
          </w:tcPr>
          <w:p w:rsidR="00A47EEB" w:rsidP="00026F9A" w14:paraId="1BE96FE1" w14:textId="77777777">
            <w:pPr>
              <w:rPr>
                <w:b/>
              </w:rPr>
            </w:pPr>
            <w:r>
              <w:t>Number of farms conducting assessments</w:t>
            </w:r>
          </w:p>
        </w:tc>
        <w:tc>
          <w:tcPr>
            <w:tcW w:w="1620" w:type="dxa"/>
          </w:tcPr>
          <w:p w:rsidR="00A47EEB" w:rsidRPr="00E806F0" w:rsidP="00026F9A" w14:paraId="6575D5F7" w14:textId="5EB75029">
            <w:pPr>
              <w:jc w:val="center"/>
            </w:pPr>
            <w:r>
              <w:t>5,392</w:t>
            </w:r>
          </w:p>
        </w:tc>
        <w:tc>
          <w:tcPr>
            <w:tcW w:w="1530" w:type="dxa"/>
          </w:tcPr>
          <w:p w:rsidR="00A47EEB" w:rsidP="00026F9A" w14:paraId="749E4CA7" w14:textId="7B3559FD">
            <w:pPr>
              <w:jc w:val="center"/>
              <w:rPr>
                <w:b/>
              </w:rPr>
            </w:pPr>
            <w:r>
              <w:t>5,392</w:t>
            </w:r>
          </w:p>
        </w:tc>
        <w:tc>
          <w:tcPr>
            <w:tcW w:w="1795" w:type="dxa"/>
          </w:tcPr>
          <w:p w:rsidR="00A47EEB" w:rsidP="00026F9A" w14:paraId="77EFA065" w14:textId="23F53866">
            <w:pPr>
              <w:jc w:val="center"/>
              <w:rPr>
                <w:b/>
              </w:rPr>
            </w:pPr>
            <w:r>
              <w:t>5,392</w:t>
            </w:r>
          </w:p>
        </w:tc>
      </w:tr>
      <w:tr w14:paraId="222AB81C" w14:textId="77777777">
        <w:tblPrEx>
          <w:tblW w:w="0" w:type="auto"/>
          <w:tblLayout w:type="fixed"/>
          <w:tblLook w:val="04A0"/>
        </w:tblPrEx>
        <w:tc>
          <w:tcPr>
            <w:tcW w:w="3685" w:type="dxa"/>
          </w:tcPr>
          <w:p w:rsidR="002C2F82" w:rsidP="00026F9A" w14:paraId="148D2A64" w14:textId="77777777">
            <w:pPr>
              <w:rPr>
                <w:b/>
              </w:rPr>
            </w:pPr>
            <w:r>
              <w:t>Number of pre-harvest agricultural water assessments conducted annually</w:t>
            </w:r>
          </w:p>
        </w:tc>
        <w:tc>
          <w:tcPr>
            <w:tcW w:w="1620" w:type="dxa"/>
          </w:tcPr>
          <w:p w:rsidR="002C2F82" w:rsidRPr="00E806F0" w:rsidP="00026F9A" w14:paraId="069FFEEC" w14:textId="77777777">
            <w:pPr>
              <w:jc w:val="center"/>
            </w:pPr>
            <w:r>
              <w:t>1.1</w:t>
            </w:r>
          </w:p>
        </w:tc>
        <w:tc>
          <w:tcPr>
            <w:tcW w:w="1530" w:type="dxa"/>
          </w:tcPr>
          <w:p w:rsidR="002C2F82" w:rsidP="00026F9A" w14:paraId="430346E0" w14:textId="77777777">
            <w:pPr>
              <w:jc w:val="center"/>
              <w:rPr>
                <w:b/>
              </w:rPr>
            </w:pPr>
            <w:r>
              <w:t>1.1</w:t>
            </w:r>
          </w:p>
        </w:tc>
        <w:tc>
          <w:tcPr>
            <w:tcW w:w="1795" w:type="dxa"/>
          </w:tcPr>
          <w:p w:rsidR="002C2F82" w:rsidP="00026F9A" w14:paraId="6FC2E07B" w14:textId="77777777">
            <w:pPr>
              <w:jc w:val="center"/>
              <w:rPr>
                <w:b/>
              </w:rPr>
            </w:pPr>
            <w:r>
              <w:t>1.1</w:t>
            </w:r>
          </w:p>
        </w:tc>
      </w:tr>
      <w:tr w14:paraId="3D6794F8" w14:textId="77777777">
        <w:tblPrEx>
          <w:tblW w:w="0" w:type="auto"/>
          <w:tblLayout w:type="fixed"/>
          <w:tblLook w:val="04A0"/>
        </w:tblPrEx>
        <w:tc>
          <w:tcPr>
            <w:tcW w:w="3685" w:type="dxa"/>
          </w:tcPr>
          <w:p w:rsidR="00A47EEB" w:rsidP="00026F9A" w14:paraId="5BE5D386" w14:textId="77777777">
            <w:pPr>
              <w:rPr>
                <w:b/>
              </w:rPr>
            </w:pPr>
            <w:r>
              <w:t>Hourly cost of labor of farm supervisors</w:t>
            </w:r>
          </w:p>
        </w:tc>
        <w:tc>
          <w:tcPr>
            <w:tcW w:w="1620" w:type="dxa"/>
          </w:tcPr>
          <w:p w:rsidR="00A47EEB" w:rsidP="00026F9A" w14:paraId="1AF0B537" w14:textId="690C3E43">
            <w:pPr>
              <w:jc w:val="center"/>
              <w:rPr>
                <w:b/>
              </w:rPr>
            </w:pPr>
            <w:r>
              <w:t>$</w:t>
            </w:r>
            <w:r w:rsidR="00C61A2A">
              <w:t>56.56</w:t>
            </w:r>
          </w:p>
        </w:tc>
        <w:tc>
          <w:tcPr>
            <w:tcW w:w="1530" w:type="dxa"/>
          </w:tcPr>
          <w:p w:rsidR="00A47EEB" w:rsidP="00026F9A" w14:paraId="1F64CA49" w14:textId="15BD6E74">
            <w:pPr>
              <w:jc w:val="center"/>
              <w:rPr>
                <w:b/>
              </w:rPr>
            </w:pPr>
            <w:r>
              <w:t>$5</w:t>
            </w:r>
            <w:r w:rsidR="00C61A2A">
              <w:t>6.56</w:t>
            </w:r>
          </w:p>
        </w:tc>
        <w:tc>
          <w:tcPr>
            <w:tcW w:w="1795" w:type="dxa"/>
          </w:tcPr>
          <w:p w:rsidR="00A47EEB" w:rsidP="00026F9A" w14:paraId="78B11B0C" w14:textId="1F431103">
            <w:pPr>
              <w:jc w:val="center"/>
              <w:rPr>
                <w:b/>
              </w:rPr>
            </w:pPr>
            <w:r>
              <w:t>$5</w:t>
            </w:r>
            <w:r w:rsidR="00C61A2A">
              <w:t>6.56</w:t>
            </w:r>
          </w:p>
        </w:tc>
      </w:tr>
      <w:tr w14:paraId="3BDEA7EC" w14:textId="77777777">
        <w:tblPrEx>
          <w:tblW w:w="0" w:type="auto"/>
          <w:tblLayout w:type="fixed"/>
          <w:tblLook w:val="04A0"/>
        </w:tblPrEx>
        <w:tc>
          <w:tcPr>
            <w:tcW w:w="3685" w:type="dxa"/>
          </w:tcPr>
          <w:p w:rsidR="002C2F82" w:rsidP="00026F9A" w14:paraId="49CAC071" w14:textId="49134B8F">
            <w:pPr>
              <w:rPr>
                <w:b/>
              </w:rPr>
            </w:pPr>
            <w:r>
              <w:t>Time in hours to conduct each</w:t>
            </w:r>
            <w:r w:rsidR="00EE2250">
              <w:t xml:space="preserve"> agricultural</w:t>
            </w:r>
            <w:r>
              <w:t xml:space="preserve"> water assessment</w:t>
            </w:r>
          </w:p>
        </w:tc>
        <w:tc>
          <w:tcPr>
            <w:tcW w:w="1620" w:type="dxa"/>
            <w:vAlign w:val="center"/>
          </w:tcPr>
          <w:p w:rsidR="002C2F82" w:rsidRPr="003C3456" w:rsidP="00026F9A" w14:paraId="02457A6F" w14:textId="77777777">
            <w:pPr>
              <w:jc w:val="center"/>
              <w:rPr>
                <w:color w:val="000000"/>
              </w:rPr>
            </w:pPr>
            <w:r>
              <w:rPr>
                <w:color w:val="000000"/>
              </w:rPr>
              <w:t>10.0</w:t>
            </w:r>
          </w:p>
        </w:tc>
        <w:tc>
          <w:tcPr>
            <w:tcW w:w="1530" w:type="dxa"/>
            <w:vAlign w:val="center"/>
          </w:tcPr>
          <w:p w:rsidR="002C2F82" w:rsidRPr="003C3456" w:rsidP="00026F9A" w14:paraId="3E769D76" w14:textId="77777777">
            <w:pPr>
              <w:jc w:val="center"/>
              <w:rPr>
                <w:color w:val="000000"/>
              </w:rPr>
            </w:pPr>
            <w:r w:rsidRPr="003C3456">
              <w:rPr>
                <w:color w:val="000000"/>
              </w:rPr>
              <w:t>16.</w:t>
            </w:r>
            <w:r>
              <w:rPr>
                <w:color w:val="000000"/>
              </w:rPr>
              <w:t>0</w:t>
            </w:r>
          </w:p>
        </w:tc>
        <w:tc>
          <w:tcPr>
            <w:tcW w:w="1795" w:type="dxa"/>
            <w:vAlign w:val="center"/>
          </w:tcPr>
          <w:p w:rsidR="002C2F82" w:rsidRPr="003C3456" w:rsidP="00026F9A" w14:paraId="678386FE" w14:textId="77777777">
            <w:pPr>
              <w:jc w:val="center"/>
              <w:rPr>
                <w:color w:val="000000"/>
              </w:rPr>
            </w:pPr>
            <w:r>
              <w:rPr>
                <w:color w:val="000000"/>
              </w:rPr>
              <w:t>20.0</w:t>
            </w:r>
          </w:p>
        </w:tc>
      </w:tr>
      <w:tr w14:paraId="2F23391D" w14:textId="77777777">
        <w:tblPrEx>
          <w:tblW w:w="0" w:type="auto"/>
          <w:tblLayout w:type="fixed"/>
          <w:tblLook w:val="04A0"/>
        </w:tblPrEx>
        <w:tc>
          <w:tcPr>
            <w:tcW w:w="3685" w:type="dxa"/>
          </w:tcPr>
          <w:p w:rsidR="002C2F82" w:rsidRPr="00FC6639" w:rsidP="00026F9A" w14:paraId="67DCE6EB" w14:textId="59E5914D">
            <w:pPr>
              <w:rPr>
                <w:b/>
              </w:rPr>
            </w:pPr>
            <w:r w:rsidRPr="00E806F0">
              <w:rPr>
                <w:b/>
              </w:rPr>
              <w:t xml:space="preserve">Annual cost of assessment for </w:t>
            </w:r>
            <w:r>
              <w:rPr>
                <w:b/>
              </w:rPr>
              <w:t>large</w:t>
            </w:r>
            <w:r w:rsidRPr="00E806F0">
              <w:rPr>
                <w:b/>
              </w:rPr>
              <w:t xml:space="preserve"> farms</w:t>
            </w:r>
            <w:r w:rsidR="00A47EEB">
              <w:rPr>
                <w:b/>
              </w:rPr>
              <w:t xml:space="preserve"> (millions)</w:t>
            </w:r>
          </w:p>
        </w:tc>
        <w:tc>
          <w:tcPr>
            <w:tcW w:w="1620" w:type="dxa"/>
            <w:vAlign w:val="bottom"/>
          </w:tcPr>
          <w:p w:rsidR="002C2F82" w:rsidRPr="005F3BE7" w:rsidP="00026F9A" w14:paraId="2093AB93" w14:textId="6AF074C2">
            <w:pPr>
              <w:spacing w:line="480" w:lineRule="auto"/>
              <w:jc w:val="center"/>
              <w:rPr>
                <w:rFonts w:eastAsia="Times New Roman"/>
                <w:b/>
                <w:color w:val="000000"/>
              </w:rPr>
            </w:pPr>
            <w:r w:rsidRPr="005F3BE7">
              <w:rPr>
                <w:b/>
                <w:color w:val="000000"/>
              </w:rPr>
              <w:t>$</w:t>
            </w:r>
            <w:r w:rsidR="00C91696">
              <w:rPr>
                <w:b/>
                <w:color w:val="000000"/>
              </w:rPr>
              <w:t>3.</w:t>
            </w:r>
            <w:r w:rsidR="00C665EC">
              <w:rPr>
                <w:b/>
                <w:color w:val="000000"/>
              </w:rPr>
              <w:t>9</w:t>
            </w:r>
          </w:p>
        </w:tc>
        <w:tc>
          <w:tcPr>
            <w:tcW w:w="1530" w:type="dxa"/>
            <w:vAlign w:val="bottom"/>
          </w:tcPr>
          <w:p w:rsidR="002C2F82" w:rsidRPr="005F3BE7" w:rsidP="00026F9A" w14:paraId="5C29F6F3" w14:textId="25BC1A0F">
            <w:pPr>
              <w:spacing w:line="480" w:lineRule="auto"/>
              <w:jc w:val="center"/>
              <w:rPr>
                <w:b/>
                <w:color w:val="000000"/>
              </w:rPr>
            </w:pPr>
            <w:r w:rsidRPr="005F3BE7">
              <w:rPr>
                <w:b/>
                <w:color w:val="000000"/>
              </w:rPr>
              <w:t>$</w:t>
            </w:r>
            <w:r w:rsidR="00C665EC">
              <w:rPr>
                <w:b/>
                <w:color w:val="000000"/>
              </w:rPr>
              <w:t>6.0</w:t>
            </w:r>
          </w:p>
        </w:tc>
        <w:tc>
          <w:tcPr>
            <w:tcW w:w="1795" w:type="dxa"/>
            <w:vAlign w:val="bottom"/>
          </w:tcPr>
          <w:p w:rsidR="002C2F82" w:rsidRPr="005F3BE7" w:rsidP="00026F9A" w14:paraId="50F3AC3B" w14:textId="3C40745C">
            <w:pPr>
              <w:spacing w:line="480" w:lineRule="auto"/>
              <w:jc w:val="center"/>
              <w:rPr>
                <w:b/>
                <w:color w:val="000000"/>
              </w:rPr>
            </w:pPr>
            <w:r w:rsidRPr="005F3BE7">
              <w:rPr>
                <w:b/>
                <w:color w:val="000000"/>
              </w:rPr>
              <w:t>$</w:t>
            </w:r>
            <w:r w:rsidR="00C91696">
              <w:rPr>
                <w:b/>
                <w:color w:val="000000"/>
              </w:rPr>
              <w:t>8.</w:t>
            </w:r>
            <w:r w:rsidR="00C665EC">
              <w:rPr>
                <w:b/>
                <w:color w:val="000000"/>
              </w:rPr>
              <w:t>6</w:t>
            </w:r>
          </w:p>
        </w:tc>
      </w:tr>
    </w:tbl>
    <w:p w:rsidR="002C2F82" w:rsidP="00026F9A" w14:paraId="7552D3AA" w14:textId="77777777"/>
    <w:p w:rsidR="002C2F82" w:rsidRPr="00F16FAC" w:rsidP="00026F9A" w14:paraId="058F2190" w14:textId="0FBCCF22">
      <w:pPr>
        <w:rPr>
          <w:b/>
        </w:rPr>
      </w:pPr>
      <w:r w:rsidRPr="00F16FAC">
        <w:rPr>
          <w:b/>
        </w:rPr>
        <w:t xml:space="preserve">Table </w:t>
      </w:r>
      <w:r>
        <w:rPr>
          <w:b/>
        </w:rPr>
        <w:t>22: Total Cost of Conducting Pre-Harvest Agricultural W</w:t>
      </w:r>
      <w:r w:rsidRPr="00E806F0">
        <w:rPr>
          <w:b/>
        </w:rPr>
        <w:t xml:space="preserve">ater </w:t>
      </w:r>
      <w:r>
        <w:rPr>
          <w:b/>
        </w:rPr>
        <w:t>A</w:t>
      </w:r>
      <w:r w:rsidRPr="00E806F0">
        <w:rPr>
          <w:b/>
        </w:rPr>
        <w:t>ssessments</w:t>
      </w:r>
      <w:r>
        <w:rPr>
          <w:b/>
        </w:rPr>
        <w:t>, All Farms</w:t>
      </w:r>
      <w:r w:rsidRPr="00F16FAC">
        <w:rPr>
          <w:b/>
        </w:rPr>
        <w:t xml:space="preserve"> (</w:t>
      </w:r>
      <w:r w:rsidR="005F2BF7">
        <w:rPr>
          <w:b/>
        </w:rPr>
        <w:t xml:space="preserve">millions </w:t>
      </w:r>
      <w:r w:rsidRPr="00F16FAC">
        <w:rPr>
          <w:b/>
        </w:rPr>
        <w:t>20</w:t>
      </w:r>
      <w:r w:rsidR="005F2BF7">
        <w:rPr>
          <w:b/>
        </w:rPr>
        <w:t>2</w:t>
      </w:r>
      <w:r w:rsidR="00C665EC">
        <w:rPr>
          <w:b/>
        </w:rPr>
        <w:t>2</w:t>
      </w:r>
      <w:r w:rsidRPr="00F16FAC">
        <w:rPr>
          <w:b/>
        </w:rPr>
        <w:t>$)</w:t>
      </w:r>
    </w:p>
    <w:tbl>
      <w:tblPr>
        <w:tblStyle w:val="TableGrid"/>
        <w:tblW w:w="5000" w:type="pct"/>
        <w:tblLayout w:type="fixed"/>
        <w:tblLook w:val="04A0"/>
      </w:tblPr>
      <w:tblGrid>
        <w:gridCol w:w="2042"/>
        <w:gridCol w:w="2242"/>
        <w:gridCol w:w="2633"/>
        <w:gridCol w:w="2433"/>
      </w:tblGrid>
      <w:tr w14:paraId="46190F5E"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hideMark/>
          </w:tcPr>
          <w:p w:rsidR="002C2F82" w:rsidRPr="00F16FAC" w:rsidP="00026F9A" w14:paraId="5F074E14" w14:textId="77777777">
            <w:pPr>
              <w:jc w:val="center"/>
              <w:rPr>
                <w:b/>
              </w:rPr>
            </w:pPr>
            <w:r w:rsidRPr="00F16FAC">
              <w:rPr>
                <w:b/>
              </w:rPr>
              <w:t>Years after publication</w:t>
            </w:r>
          </w:p>
        </w:tc>
        <w:tc>
          <w:tcPr>
            <w:tcW w:w="1199" w:type="pct"/>
            <w:tcBorders>
              <w:top w:val="single" w:sz="4" w:space="0" w:color="auto"/>
              <w:left w:val="single" w:sz="4" w:space="0" w:color="auto"/>
              <w:bottom w:val="single" w:sz="4" w:space="0" w:color="auto"/>
              <w:right w:val="single" w:sz="4" w:space="0" w:color="auto"/>
            </w:tcBorders>
            <w:hideMark/>
          </w:tcPr>
          <w:p w:rsidR="002C2F82" w:rsidRPr="00F16FAC" w:rsidP="00026F9A" w14:paraId="364B3B05" w14:textId="77777777">
            <w:pPr>
              <w:jc w:val="center"/>
              <w:rPr>
                <w:b/>
              </w:rPr>
            </w:pPr>
            <w:r>
              <w:rPr>
                <w:b/>
              </w:rPr>
              <w:t>Low Estimate</w:t>
            </w:r>
          </w:p>
        </w:tc>
        <w:tc>
          <w:tcPr>
            <w:tcW w:w="1408" w:type="pct"/>
            <w:tcBorders>
              <w:top w:val="single" w:sz="4" w:space="0" w:color="auto"/>
              <w:left w:val="single" w:sz="4" w:space="0" w:color="auto"/>
              <w:bottom w:val="single" w:sz="4" w:space="0" w:color="auto"/>
              <w:right w:val="single" w:sz="4" w:space="0" w:color="auto"/>
            </w:tcBorders>
          </w:tcPr>
          <w:p w:rsidR="002C2F82" w:rsidRPr="00F16FAC" w:rsidP="00026F9A" w14:paraId="7F23FBEA" w14:textId="77777777">
            <w:pPr>
              <w:jc w:val="center"/>
              <w:rPr>
                <w:b/>
              </w:rPr>
            </w:pPr>
            <w:r>
              <w:rPr>
                <w:b/>
              </w:rPr>
              <w:t>Primary Estimate</w:t>
            </w:r>
          </w:p>
        </w:tc>
        <w:tc>
          <w:tcPr>
            <w:tcW w:w="1301" w:type="pct"/>
            <w:tcBorders>
              <w:top w:val="single" w:sz="4" w:space="0" w:color="auto"/>
              <w:left w:val="single" w:sz="4" w:space="0" w:color="auto"/>
              <w:bottom w:val="single" w:sz="4" w:space="0" w:color="auto"/>
              <w:right w:val="single" w:sz="4" w:space="0" w:color="auto"/>
            </w:tcBorders>
          </w:tcPr>
          <w:p w:rsidR="002C2F82" w:rsidRPr="00F16FAC" w:rsidP="00026F9A" w14:paraId="22843CB1" w14:textId="77777777">
            <w:pPr>
              <w:jc w:val="center"/>
              <w:rPr>
                <w:b/>
              </w:rPr>
            </w:pPr>
            <w:r>
              <w:rPr>
                <w:b/>
              </w:rPr>
              <w:t>High Estimate</w:t>
            </w:r>
          </w:p>
        </w:tc>
      </w:tr>
      <w:tr w14:paraId="4A27E656"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hideMark/>
          </w:tcPr>
          <w:p w:rsidR="00C665EC" w:rsidRPr="00F16FAC" w:rsidP="00026F9A" w14:paraId="4A6F6469" w14:textId="77777777">
            <w:pPr>
              <w:jc w:val="center"/>
            </w:pPr>
            <w:r w:rsidRPr="00F16FAC">
              <w:t>0</w:t>
            </w:r>
          </w:p>
        </w:tc>
        <w:tc>
          <w:tcPr>
            <w:tcW w:w="1199" w:type="pct"/>
            <w:tcBorders>
              <w:top w:val="single" w:sz="4" w:space="0" w:color="auto"/>
              <w:left w:val="single" w:sz="4" w:space="0" w:color="auto"/>
              <w:bottom w:val="single" w:sz="4" w:space="0" w:color="auto"/>
              <w:right w:val="single" w:sz="4" w:space="0" w:color="auto"/>
            </w:tcBorders>
            <w:vAlign w:val="bottom"/>
            <w:hideMark/>
          </w:tcPr>
          <w:p w:rsidR="00C665EC" w:rsidRPr="00F504FC" w:rsidP="00026F9A" w14:paraId="2E6BF320" w14:textId="5962F96E">
            <w:pPr>
              <w:jc w:val="center"/>
              <w:rPr>
                <w:rFonts w:eastAsia="Times New Roman"/>
                <w:color w:val="000000"/>
              </w:rPr>
            </w:pPr>
            <w:r w:rsidRPr="00491301">
              <w:rPr>
                <w:color w:val="000000"/>
              </w:rPr>
              <w:t>$0</w:t>
            </w:r>
          </w:p>
        </w:tc>
        <w:tc>
          <w:tcPr>
            <w:tcW w:w="1408" w:type="pct"/>
            <w:tcBorders>
              <w:top w:val="single" w:sz="4" w:space="0" w:color="auto"/>
              <w:left w:val="single" w:sz="4" w:space="0" w:color="auto"/>
              <w:bottom w:val="single" w:sz="4" w:space="0" w:color="auto"/>
              <w:right w:val="single" w:sz="4" w:space="0" w:color="auto"/>
            </w:tcBorders>
            <w:vAlign w:val="bottom"/>
          </w:tcPr>
          <w:p w:rsidR="00C665EC" w:rsidRPr="00F504FC" w:rsidP="00026F9A" w14:paraId="7E5AEA70" w14:textId="4507E600">
            <w:pPr>
              <w:jc w:val="center"/>
              <w:rPr>
                <w:color w:val="000000"/>
              </w:rPr>
            </w:pPr>
            <w:r w:rsidRPr="00491301">
              <w:rPr>
                <w:color w:val="000000"/>
              </w:rPr>
              <w:t>$0</w:t>
            </w:r>
          </w:p>
        </w:tc>
        <w:tc>
          <w:tcPr>
            <w:tcW w:w="1301" w:type="pct"/>
            <w:tcBorders>
              <w:top w:val="single" w:sz="4" w:space="0" w:color="auto"/>
              <w:left w:val="single" w:sz="4" w:space="0" w:color="auto"/>
              <w:bottom w:val="single" w:sz="4" w:space="0" w:color="auto"/>
              <w:right w:val="single" w:sz="4" w:space="0" w:color="auto"/>
            </w:tcBorders>
            <w:vAlign w:val="bottom"/>
          </w:tcPr>
          <w:p w:rsidR="00C665EC" w:rsidRPr="00F504FC" w:rsidP="00026F9A" w14:paraId="00E0C666" w14:textId="5B0F5D33">
            <w:pPr>
              <w:jc w:val="center"/>
              <w:rPr>
                <w:color w:val="000000"/>
              </w:rPr>
            </w:pPr>
            <w:r w:rsidRPr="00491301">
              <w:rPr>
                <w:color w:val="000000"/>
              </w:rPr>
              <w:t>$0</w:t>
            </w:r>
          </w:p>
        </w:tc>
      </w:tr>
      <w:tr w14:paraId="43C6151B" w14:textId="77777777">
        <w:tblPrEx>
          <w:tblW w:w="5000" w:type="pct"/>
          <w:tblLayout w:type="fixed"/>
          <w:tblLook w:val="04A0"/>
        </w:tblPrEx>
        <w:trPr>
          <w:trHeight w:val="265"/>
        </w:trPr>
        <w:tc>
          <w:tcPr>
            <w:tcW w:w="1092" w:type="pct"/>
            <w:tcBorders>
              <w:top w:val="single" w:sz="4" w:space="0" w:color="auto"/>
              <w:left w:val="single" w:sz="4" w:space="0" w:color="auto"/>
              <w:bottom w:val="single" w:sz="4" w:space="0" w:color="auto"/>
              <w:right w:val="single" w:sz="4" w:space="0" w:color="auto"/>
            </w:tcBorders>
            <w:hideMark/>
          </w:tcPr>
          <w:p w:rsidR="00C665EC" w:rsidRPr="00F16FAC" w:rsidP="00026F9A" w14:paraId="77BC3C52" w14:textId="77777777">
            <w:pPr>
              <w:jc w:val="center"/>
            </w:pPr>
            <w:r w:rsidRPr="00F16FAC">
              <w:t>1</w:t>
            </w:r>
          </w:p>
        </w:tc>
        <w:tc>
          <w:tcPr>
            <w:tcW w:w="1199" w:type="pct"/>
            <w:tcBorders>
              <w:top w:val="single" w:sz="4" w:space="0" w:color="auto"/>
              <w:left w:val="single" w:sz="4" w:space="0" w:color="auto"/>
              <w:bottom w:val="single" w:sz="4" w:space="0" w:color="auto"/>
              <w:right w:val="single" w:sz="4" w:space="0" w:color="auto"/>
            </w:tcBorders>
            <w:vAlign w:val="bottom"/>
            <w:hideMark/>
          </w:tcPr>
          <w:p w:rsidR="00C665EC" w:rsidRPr="00F504FC" w:rsidP="00026F9A" w14:paraId="0B62FB3F" w14:textId="77774723">
            <w:pPr>
              <w:jc w:val="center"/>
              <w:rPr>
                <w:color w:val="000000"/>
              </w:rPr>
            </w:pPr>
            <w:r w:rsidRPr="00491301">
              <w:rPr>
                <w:color w:val="000000"/>
              </w:rPr>
              <w:t>$3</w:t>
            </w:r>
            <w:r w:rsidR="00F504FC">
              <w:rPr>
                <w:color w:val="000000"/>
              </w:rPr>
              <w:t>.9</w:t>
            </w:r>
            <w:r w:rsidRPr="00F504FC" w:rsidR="00F504FC">
              <w:rPr>
                <w:color w:val="000000"/>
              </w:rPr>
              <w:t xml:space="preserve"> </w:t>
            </w:r>
          </w:p>
        </w:tc>
        <w:tc>
          <w:tcPr>
            <w:tcW w:w="1408" w:type="pct"/>
            <w:tcBorders>
              <w:top w:val="single" w:sz="4" w:space="0" w:color="auto"/>
              <w:left w:val="single" w:sz="4" w:space="0" w:color="auto"/>
              <w:bottom w:val="single" w:sz="4" w:space="0" w:color="auto"/>
              <w:right w:val="single" w:sz="4" w:space="0" w:color="auto"/>
            </w:tcBorders>
            <w:vAlign w:val="bottom"/>
          </w:tcPr>
          <w:p w:rsidR="00C665EC" w:rsidRPr="00F504FC" w:rsidP="00026F9A" w14:paraId="6F4D5143" w14:textId="35F11336">
            <w:pPr>
              <w:jc w:val="center"/>
              <w:rPr>
                <w:color w:val="000000"/>
              </w:rPr>
            </w:pPr>
            <w:r w:rsidRPr="00491301">
              <w:rPr>
                <w:color w:val="000000"/>
              </w:rPr>
              <w:t>$6</w:t>
            </w:r>
            <w:r w:rsidR="00F504FC">
              <w:rPr>
                <w:color w:val="000000"/>
              </w:rPr>
              <w:t>.0</w:t>
            </w:r>
          </w:p>
        </w:tc>
        <w:tc>
          <w:tcPr>
            <w:tcW w:w="1301" w:type="pct"/>
            <w:tcBorders>
              <w:top w:val="single" w:sz="4" w:space="0" w:color="auto"/>
              <w:left w:val="single" w:sz="4" w:space="0" w:color="auto"/>
              <w:bottom w:val="single" w:sz="4" w:space="0" w:color="auto"/>
              <w:right w:val="single" w:sz="4" w:space="0" w:color="auto"/>
            </w:tcBorders>
            <w:vAlign w:val="bottom"/>
          </w:tcPr>
          <w:p w:rsidR="00C665EC" w:rsidRPr="00F504FC" w:rsidP="00026F9A" w14:paraId="04336C15" w14:textId="7C7ABE14">
            <w:pPr>
              <w:jc w:val="center"/>
              <w:rPr>
                <w:color w:val="000000"/>
              </w:rPr>
            </w:pPr>
            <w:r w:rsidRPr="00491301">
              <w:rPr>
                <w:color w:val="000000"/>
              </w:rPr>
              <w:t>$8</w:t>
            </w:r>
            <w:r w:rsidR="00F504FC">
              <w:rPr>
                <w:color w:val="000000"/>
              </w:rPr>
              <w:t>.6</w:t>
            </w:r>
            <w:r w:rsidRPr="00F504FC" w:rsidR="00F504FC">
              <w:rPr>
                <w:color w:val="000000"/>
              </w:rPr>
              <w:t xml:space="preserve"> </w:t>
            </w:r>
          </w:p>
        </w:tc>
      </w:tr>
      <w:tr w14:paraId="46975300"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hideMark/>
          </w:tcPr>
          <w:p w:rsidR="00C665EC" w:rsidRPr="00F16FAC" w:rsidP="00026F9A" w14:paraId="21247E7C" w14:textId="77777777">
            <w:pPr>
              <w:jc w:val="center"/>
            </w:pPr>
            <w:r w:rsidRPr="00F16FAC">
              <w:t>2</w:t>
            </w:r>
          </w:p>
        </w:tc>
        <w:tc>
          <w:tcPr>
            <w:tcW w:w="1199" w:type="pct"/>
            <w:tcBorders>
              <w:top w:val="single" w:sz="4" w:space="0" w:color="auto"/>
              <w:left w:val="single" w:sz="4" w:space="0" w:color="auto"/>
              <w:bottom w:val="single" w:sz="4" w:space="0" w:color="auto"/>
              <w:right w:val="single" w:sz="4" w:space="0" w:color="auto"/>
            </w:tcBorders>
            <w:vAlign w:val="bottom"/>
            <w:hideMark/>
          </w:tcPr>
          <w:p w:rsidR="00C665EC" w:rsidRPr="00F504FC" w:rsidP="00026F9A" w14:paraId="10150E14" w14:textId="0BDAFFB4">
            <w:pPr>
              <w:jc w:val="center"/>
              <w:rPr>
                <w:color w:val="000000"/>
              </w:rPr>
            </w:pPr>
            <w:r w:rsidRPr="00491301">
              <w:rPr>
                <w:color w:val="000000"/>
              </w:rPr>
              <w:t>$5</w:t>
            </w:r>
            <w:r w:rsidR="00F504FC">
              <w:rPr>
                <w:color w:val="000000"/>
              </w:rPr>
              <w:t>.9</w:t>
            </w:r>
          </w:p>
        </w:tc>
        <w:tc>
          <w:tcPr>
            <w:tcW w:w="1408" w:type="pct"/>
            <w:tcBorders>
              <w:top w:val="single" w:sz="4" w:space="0" w:color="auto"/>
              <w:left w:val="single" w:sz="4" w:space="0" w:color="auto"/>
              <w:bottom w:val="single" w:sz="4" w:space="0" w:color="auto"/>
              <w:right w:val="single" w:sz="4" w:space="0" w:color="auto"/>
            </w:tcBorders>
            <w:vAlign w:val="bottom"/>
          </w:tcPr>
          <w:p w:rsidR="00C665EC" w:rsidRPr="00F504FC" w:rsidP="00026F9A" w14:paraId="12C9BD21" w14:textId="6B90485F">
            <w:pPr>
              <w:jc w:val="center"/>
              <w:rPr>
                <w:color w:val="000000"/>
              </w:rPr>
            </w:pPr>
            <w:r w:rsidRPr="00491301">
              <w:rPr>
                <w:color w:val="000000"/>
              </w:rPr>
              <w:t>$8</w:t>
            </w:r>
            <w:r w:rsidR="00F504FC">
              <w:rPr>
                <w:color w:val="000000"/>
              </w:rPr>
              <w:t>.3</w:t>
            </w:r>
          </w:p>
        </w:tc>
        <w:tc>
          <w:tcPr>
            <w:tcW w:w="1301" w:type="pct"/>
            <w:tcBorders>
              <w:top w:val="single" w:sz="4" w:space="0" w:color="auto"/>
              <w:left w:val="single" w:sz="4" w:space="0" w:color="auto"/>
              <w:bottom w:val="single" w:sz="4" w:space="0" w:color="auto"/>
              <w:right w:val="single" w:sz="4" w:space="0" w:color="auto"/>
            </w:tcBorders>
            <w:vAlign w:val="bottom"/>
          </w:tcPr>
          <w:p w:rsidR="00C665EC" w:rsidRPr="00F504FC" w:rsidP="00026F9A" w14:paraId="606966BD" w14:textId="19355641">
            <w:pPr>
              <w:jc w:val="center"/>
              <w:rPr>
                <w:color w:val="000000"/>
              </w:rPr>
            </w:pPr>
            <w:r w:rsidRPr="00491301">
              <w:rPr>
                <w:color w:val="000000"/>
              </w:rPr>
              <w:t>$11</w:t>
            </w:r>
            <w:r w:rsidR="00F504FC">
              <w:rPr>
                <w:color w:val="000000"/>
              </w:rPr>
              <w:t>.0</w:t>
            </w:r>
          </w:p>
        </w:tc>
      </w:tr>
      <w:tr w14:paraId="03F293EA"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hideMark/>
          </w:tcPr>
          <w:p w:rsidR="00C665EC" w:rsidRPr="00F16FAC" w:rsidP="00026F9A" w14:paraId="365807E2" w14:textId="77777777">
            <w:pPr>
              <w:jc w:val="center"/>
            </w:pPr>
            <w:r w:rsidRPr="00F16FAC">
              <w:t>3</w:t>
            </w:r>
          </w:p>
        </w:tc>
        <w:tc>
          <w:tcPr>
            <w:tcW w:w="1199" w:type="pct"/>
            <w:tcBorders>
              <w:top w:val="single" w:sz="4" w:space="0" w:color="auto"/>
              <w:left w:val="single" w:sz="4" w:space="0" w:color="auto"/>
              <w:bottom w:val="single" w:sz="4" w:space="0" w:color="auto"/>
              <w:right w:val="single" w:sz="4" w:space="0" w:color="auto"/>
            </w:tcBorders>
            <w:vAlign w:val="bottom"/>
            <w:hideMark/>
          </w:tcPr>
          <w:p w:rsidR="00C665EC" w:rsidRPr="00F504FC" w:rsidP="00026F9A" w14:paraId="6A333D9E" w14:textId="2E3ACB43">
            <w:pPr>
              <w:jc w:val="center"/>
              <w:rPr>
                <w:color w:val="000000"/>
              </w:rPr>
            </w:pPr>
            <w:r w:rsidRPr="00491301">
              <w:rPr>
                <w:color w:val="000000"/>
              </w:rPr>
              <w:t>$13</w:t>
            </w:r>
            <w:r w:rsidR="00F504FC">
              <w:rPr>
                <w:color w:val="000000"/>
              </w:rPr>
              <w:t>.4</w:t>
            </w:r>
          </w:p>
        </w:tc>
        <w:tc>
          <w:tcPr>
            <w:tcW w:w="1408" w:type="pct"/>
            <w:tcBorders>
              <w:top w:val="single" w:sz="4" w:space="0" w:color="auto"/>
              <w:left w:val="single" w:sz="4" w:space="0" w:color="auto"/>
              <w:bottom w:val="single" w:sz="4" w:space="0" w:color="auto"/>
              <w:right w:val="single" w:sz="4" w:space="0" w:color="auto"/>
            </w:tcBorders>
            <w:vAlign w:val="bottom"/>
          </w:tcPr>
          <w:p w:rsidR="00C665EC" w:rsidRPr="00F504FC" w:rsidP="00026F9A" w14:paraId="4ACFD268" w14:textId="2094A667">
            <w:pPr>
              <w:jc w:val="center"/>
              <w:rPr>
                <w:color w:val="000000"/>
              </w:rPr>
            </w:pPr>
            <w:r w:rsidRPr="00491301">
              <w:rPr>
                <w:color w:val="000000"/>
              </w:rPr>
              <w:t>$1</w:t>
            </w:r>
            <w:r w:rsidR="00F504FC">
              <w:rPr>
                <w:color w:val="000000"/>
              </w:rPr>
              <w:t>8.0</w:t>
            </w:r>
          </w:p>
        </w:tc>
        <w:tc>
          <w:tcPr>
            <w:tcW w:w="1301" w:type="pct"/>
            <w:tcBorders>
              <w:top w:val="single" w:sz="4" w:space="0" w:color="auto"/>
              <w:left w:val="single" w:sz="4" w:space="0" w:color="auto"/>
              <w:bottom w:val="single" w:sz="4" w:space="0" w:color="auto"/>
              <w:right w:val="single" w:sz="4" w:space="0" w:color="auto"/>
            </w:tcBorders>
            <w:vAlign w:val="bottom"/>
          </w:tcPr>
          <w:p w:rsidR="00C665EC" w:rsidRPr="00F504FC" w:rsidP="00026F9A" w14:paraId="21C7AADD" w14:textId="01C087D3">
            <w:pPr>
              <w:jc w:val="center"/>
              <w:rPr>
                <w:color w:val="000000"/>
              </w:rPr>
            </w:pPr>
            <w:r w:rsidRPr="00491301">
              <w:rPr>
                <w:color w:val="000000"/>
              </w:rPr>
              <w:t>$23</w:t>
            </w:r>
            <w:r w:rsidR="00F504FC">
              <w:rPr>
                <w:color w:val="000000"/>
              </w:rPr>
              <w:t>.1</w:t>
            </w:r>
          </w:p>
        </w:tc>
      </w:tr>
      <w:tr w14:paraId="2BCE3A16"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hideMark/>
          </w:tcPr>
          <w:p w:rsidR="00F504FC" w:rsidRPr="00F16FAC" w:rsidP="00026F9A" w14:paraId="0C213142" w14:textId="77777777">
            <w:pPr>
              <w:jc w:val="center"/>
            </w:pPr>
            <w:r w:rsidRPr="00F16FAC">
              <w:t>4</w:t>
            </w:r>
          </w:p>
        </w:tc>
        <w:tc>
          <w:tcPr>
            <w:tcW w:w="1199" w:type="pct"/>
            <w:tcBorders>
              <w:top w:val="single" w:sz="4" w:space="0" w:color="auto"/>
              <w:left w:val="single" w:sz="4" w:space="0" w:color="auto"/>
              <w:bottom w:val="single" w:sz="4" w:space="0" w:color="auto"/>
              <w:right w:val="single" w:sz="4" w:space="0" w:color="auto"/>
            </w:tcBorders>
            <w:vAlign w:val="bottom"/>
            <w:hideMark/>
          </w:tcPr>
          <w:p w:rsidR="00F504FC" w:rsidRPr="00F504FC" w:rsidP="00026F9A" w14:paraId="706B5BC2" w14:textId="52276B4A">
            <w:pPr>
              <w:jc w:val="center"/>
              <w:rPr>
                <w:color w:val="000000"/>
              </w:rPr>
            </w:pPr>
            <w:r w:rsidRPr="00491301">
              <w:rPr>
                <w:color w:val="000000"/>
              </w:rPr>
              <w:t>$13</w:t>
            </w:r>
            <w:r>
              <w:rPr>
                <w:color w:val="000000"/>
              </w:rPr>
              <w:t>.4</w:t>
            </w:r>
          </w:p>
        </w:tc>
        <w:tc>
          <w:tcPr>
            <w:tcW w:w="1408"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61AC16D0" w14:textId="4D4BD438">
            <w:pPr>
              <w:jc w:val="center"/>
              <w:rPr>
                <w:color w:val="000000"/>
              </w:rPr>
            </w:pPr>
            <w:r w:rsidRPr="005B00BD">
              <w:rPr>
                <w:color w:val="000000"/>
              </w:rPr>
              <w:t>$1</w:t>
            </w:r>
            <w:r>
              <w:rPr>
                <w:color w:val="000000"/>
              </w:rPr>
              <w:t>8.0</w:t>
            </w:r>
          </w:p>
        </w:tc>
        <w:tc>
          <w:tcPr>
            <w:tcW w:w="1301"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21F414C9" w14:textId="71194D1F">
            <w:pPr>
              <w:jc w:val="center"/>
              <w:rPr>
                <w:color w:val="000000"/>
              </w:rPr>
            </w:pPr>
            <w:r w:rsidRPr="00491301">
              <w:rPr>
                <w:color w:val="000000"/>
              </w:rPr>
              <w:t>$23</w:t>
            </w:r>
            <w:r>
              <w:rPr>
                <w:color w:val="000000"/>
              </w:rPr>
              <w:t>.0</w:t>
            </w:r>
          </w:p>
        </w:tc>
      </w:tr>
      <w:tr w14:paraId="22BC3124"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hideMark/>
          </w:tcPr>
          <w:p w:rsidR="00F504FC" w:rsidRPr="00F16FAC" w:rsidP="00026F9A" w14:paraId="21973A62" w14:textId="77777777">
            <w:pPr>
              <w:jc w:val="center"/>
            </w:pPr>
            <w:r w:rsidRPr="00F16FAC">
              <w:t>5</w:t>
            </w:r>
          </w:p>
        </w:tc>
        <w:tc>
          <w:tcPr>
            <w:tcW w:w="1199" w:type="pct"/>
            <w:tcBorders>
              <w:top w:val="single" w:sz="4" w:space="0" w:color="auto"/>
              <w:left w:val="single" w:sz="4" w:space="0" w:color="auto"/>
              <w:bottom w:val="single" w:sz="4" w:space="0" w:color="auto"/>
              <w:right w:val="single" w:sz="4" w:space="0" w:color="auto"/>
            </w:tcBorders>
            <w:vAlign w:val="bottom"/>
            <w:hideMark/>
          </w:tcPr>
          <w:p w:rsidR="00F504FC" w:rsidRPr="00F504FC" w:rsidP="00026F9A" w14:paraId="41A773A7" w14:textId="72B083DD">
            <w:pPr>
              <w:jc w:val="center"/>
              <w:rPr>
                <w:color w:val="000000"/>
              </w:rPr>
            </w:pPr>
            <w:r w:rsidRPr="00491301">
              <w:rPr>
                <w:color w:val="000000"/>
              </w:rPr>
              <w:t>$13</w:t>
            </w:r>
            <w:r>
              <w:rPr>
                <w:color w:val="000000"/>
              </w:rPr>
              <w:t>.4</w:t>
            </w:r>
          </w:p>
        </w:tc>
        <w:tc>
          <w:tcPr>
            <w:tcW w:w="1408"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500CB465" w14:textId="78BF9ACF">
            <w:pPr>
              <w:jc w:val="center"/>
              <w:rPr>
                <w:color w:val="000000"/>
              </w:rPr>
            </w:pPr>
            <w:r w:rsidRPr="005B00BD">
              <w:rPr>
                <w:color w:val="000000"/>
              </w:rPr>
              <w:t>$1</w:t>
            </w:r>
            <w:r>
              <w:rPr>
                <w:color w:val="000000"/>
              </w:rPr>
              <w:t>8.0</w:t>
            </w:r>
          </w:p>
        </w:tc>
        <w:tc>
          <w:tcPr>
            <w:tcW w:w="1301"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127161A8" w14:textId="69A2FC32">
            <w:pPr>
              <w:jc w:val="center"/>
              <w:rPr>
                <w:color w:val="000000"/>
              </w:rPr>
            </w:pPr>
            <w:r w:rsidRPr="00491301">
              <w:rPr>
                <w:color w:val="000000"/>
              </w:rPr>
              <w:t>$23</w:t>
            </w:r>
            <w:r>
              <w:rPr>
                <w:color w:val="000000"/>
              </w:rPr>
              <w:t>.1</w:t>
            </w:r>
          </w:p>
        </w:tc>
      </w:tr>
      <w:tr w14:paraId="543337D8"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hideMark/>
          </w:tcPr>
          <w:p w:rsidR="00F504FC" w:rsidRPr="00F16FAC" w:rsidP="00026F9A" w14:paraId="28B5F404" w14:textId="77777777">
            <w:pPr>
              <w:jc w:val="center"/>
            </w:pPr>
            <w:r w:rsidRPr="00F16FAC">
              <w:t>6</w:t>
            </w:r>
          </w:p>
        </w:tc>
        <w:tc>
          <w:tcPr>
            <w:tcW w:w="1199" w:type="pct"/>
            <w:tcBorders>
              <w:top w:val="single" w:sz="4" w:space="0" w:color="auto"/>
              <w:left w:val="single" w:sz="4" w:space="0" w:color="auto"/>
              <w:bottom w:val="single" w:sz="4" w:space="0" w:color="auto"/>
              <w:right w:val="single" w:sz="4" w:space="0" w:color="auto"/>
            </w:tcBorders>
            <w:vAlign w:val="bottom"/>
            <w:hideMark/>
          </w:tcPr>
          <w:p w:rsidR="00F504FC" w:rsidRPr="00F504FC" w:rsidP="00026F9A" w14:paraId="675F114C" w14:textId="2CB1F3E4">
            <w:pPr>
              <w:jc w:val="center"/>
              <w:rPr>
                <w:color w:val="000000"/>
              </w:rPr>
            </w:pPr>
            <w:r w:rsidRPr="00491301">
              <w:rPr>
                <w:color w:val="000000"/>
              </w:rPr>
              <w:t>$13</w:t>
            </w:r>
            <w:r>
              <w:rPr>
                <w:color w:val="000000"/>
              </w:rPr>
              <w:t>.5</w:t>
            </w:r>
          </w:p>
        </w:tc>
        <w:tc>
          <w:tcPr>
            <w:tcW w:w="1408"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45277444" w14:textId="41E6309E">
            <w:pPr>
              <w:jc w:val="center"/>
              <w:rPr>
                <w:color w:val="000000"/>
              </w:rPr>
            </w:pPr>
            <w:r w:rsidRPr="005B00BD">
              <w:rPr>
                <w:color w:val="000000"/>
              </w:rPr>
              <w:t>$1</w:t>
            </w:r>
            <w:r>
              <w:rPr>
                <w:color w:val="000000"/>
              </w:rPr>
              <w:t>8.0</w:t>
            </w:r>
          </w:p>
        </w:tc>
        <w:tc>
          <w:tcPr>
            <w:tcW w:w="1301"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15A41E83" w14:textId="36E3FF7B">
            <w:pPr>
              <w:jc w:val="center"/>
              <w:rPr>
                <w:color w:val="000000"/>
              </w:rPr>
            </w:pPr>
            <w:r w:rsidRPr="00491301">
              <w:rPr>
                <w:color w:val="000000"/>
              </w:rPr>
              <w:t>$2</w:t>
            </w:r>
            <w:r>
              <w:rPr>
                <w:color w:val="000000"/>
              </w:rPr>
              <w:t>3.0</w:t>
            </w:r>
          </w:p>
        </w:tc>
      </w:tr>
      <w:tr w14:paraId="3D8AE2C4" w14:textId="77777777">
        <w:tblPrEx>
          <w:tblW w:w="5000" w:type="pct"/>
          <w:tblLayout w:type="fixed"/>
          <w:tblLook w:val="04A0"/>
        </w:tblPrEx>
        <w:trPr>
          <w:trHeight w:val="265"/>
        </w:trPr>
        <w:tc>
          <w:tcPr>
            <w:tcW w:w="1092" w:type="pct"/>
            <w:tcBorders>
              <w:top w:val="single" w:sz="4" w:space="0" w:color="auto"/>
              <w:left w:val="single" w:sz="4" w:space="0" w:color="auto"/>
              <w:bottom w:val="single" w:sz="4" w:space="0" w:color="auto"/>
              <w:right w:val="single" w:sz="4" w:space="0" w:color="auto"/>
            </w:tcBorders>
            <w:hideMark/>
          </w:tcPr>
          <w:p w:rsidR="00F504FC" w:rsidRPr="00F16FAC" w:rsidP="00026F9A" w14:paraId="4BF23269" w14:textId="77777777">
            <w:pPr>
              <w:jc w:val="center"/>
            </w:pPr>
            <w:r w:rsidRPr="00F16FAC">
              <w:t>7</w:t>
            </w:r>
          </w:p>
        </w:tc>
        <w:tc>
          <w:tcPr>
            <w:tcW w:w="1199" w:type="pct"/>
            <w:tcBorders>
              <w:top w:val="single" w:sz="4" w:space="0" w:color="auto"/>
              <w:left w:val="single" w:sz="4" w:space="0" w:color="auto"/>
              <w:bottom w:val="single" w:sz="4" w:space="0" w:color="auto"/>
              <w:right w:val="single" w:sz="4" w:space="0" w:color="auto"/>
            </w:tcBorders>
            <w:vAlign w:val="bottom"/>
            <w:hideMark/>
          </w:tcPr>
          <w:p w:rsidR="00F504FC" w:rsidRPr="00F504FC" w:rsidP="00026F9A" w14:paraId="2584B0ED" w14:textId="63CCE29B">
            <w:pPr>
              <w:jc w:val="center"/>
              <w:rPr>
                <w:color w:val="000000"/>
              </w:rPr>
            </w:pPr>
            <w:r w:rsidRPr="00491301">
              <w:rPr>
                <w:color w:val="000000"/>
              </w:rPr>
              <w:t>$13</w:t>
            </w:r>
            <w:r>
              <w:rPr>
                <w:color w:val="000000"/>
              </w:rPr>
              <w:t>.5</w:t>
            </w:r>
          </w:p>
        </w:tc>
        <w:tc>
          <w:tcPr>
            <w:tcW w:w="1408"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6E843236" w14:textId="461E34BE">
            <w:pPr>
              <w:jc w:val="center"/>
              <w:rPr>
                <w:color w:val="000000"/>
              </w:rPr>
            </w:pPr>
            <w:r w:rsidRPr="005B00BD">
              <w:rPr>
                <w:color w:val="000000"/>
              </w:rPr>
              <w:t>$1</w:t>
            </w:r>
            <w:r>
              <w:rPr>
                <w:color w:val="000000"/>
              </w:rPr>
              <w:t>8.0</w:t>
            </w:r>
          </w:p>
        </w:tc>
        <w:tc>
          <w:tcPr>
            <w:tcW w:w="1301"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608731B5" w14:textId="0FDA2E19">
            <w:pPr>
              <w:jc w:val="center"/>
              <w:rPr>
                <w:color w:val="000000"/>
              </w:rPr>
            </w:pPr>
            <w:r w:rsidRPr="00491301">
              <w:rPr>
                <w:color w:val="000000"/>
              </w:rPr>
              <w:t>$23</w:t>
            </w:r>
            <w:r>
              <w:rPr>
                <w:color w:val="000000"/>
              </w:rPr>
              <w:t>.0</w:t>
            </w:r>
          </w:p>
        </w:tc>
      </w:tr>
      <w:tr w14:paraId="2A2FB48C"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hideMark/>
          </w:tcPr>
          <w:p w:rsidR="00F504FC" w:rsidRPr="00F16FAC" w:rsidP="00026F9A" w14:paraId="142A5644" w14:textId="77777777">
            <w:pPr>
              <w:jc w:val="center"/>
            </w:pPr>
            <w:r w:rsidRPr="00F16FAC">
              <w:t>8</w:t>
            </w:r>
          </w:p>
        </w:tc>
        <w:tc>
          <w:tcPr>
            <w:tcW w:w="1199" w:type="pct"/>
            <w:tcBorders>
              <w:top w:val="single" w:sz="4" w:space="0" w:color="auto"/>
              <w:left w:val="single" w:sz="4" w:space="0" w:color="auto"/>
              <w:bottom w:val="single" w:sz="4" w:space="0" w:color="auto"/>
              <w:right w:val="single" w:sz="4" w:space="0" w:color="auto"/>
            </w:tcBorders>
            <w:vAlign w:val="bottom"/>
            <w:hideMark/>
          </w:tcPr>
          <w:p w:rsidR="00F504FC" w:rsidRPr="00F504FC" w:rsidP="00026F9A" w14:paraId="373C391C" w14:textId="40273D17">
            <w:pPr>
              <w:jc w:val="center"/>
              <w:rPr>
                <w:color w:val="000000"/>
              </w:rPr>
            </w:pPr>
            <w:r w:rsidRPr="00491301">
              <w:rPr>
                <w:color w:val="000000"/>
              </w:rPr>
              <w:t>$13</w:t>
            </w:r>
            <w:r>
              <w:rPr>
                <w:color w:val="000000"/>
              </w:rPr>
              <w:t>.4</w:t>
            </w:r>
          </w:p>
        </w:tc>
        <w:tc>
          <w:tcPr>
            <w:tcW w:w="1408"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1C67A8D0" w14:textId="3C5F6430">
            <w:pPr>
              <w:jc w:val="center"/>
              <w:rPr>
                <w:color w:val="000000"/>
              </w:rPr>
            </w:pPr>
            <w:r w:rsidRPr="005B00BD">
              <w:rPr>
                <w:color w:val="000000"/>
              </w:rPr>
              <w:t>$1</w:t>
            </w:r>
            <w:r>
              <w:rPr>
                <w:color w:val="000000"/>
              </w:rPr>
              <w:t>8.0</w:t>
            </w:r>
          </w:p>
        </w:tc>
        <w:tc>
          <w:tcPr>
            <w:tcW w:w="1301"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4FC3EB89" w14:textId="32934E32">
            <w:pPr>
              <w:jc w:val="center"/>
              <w:rPr>
                <w:color w:val="000000"/>
              </w:rPr>
            </w:pPr>
            <w:r w:rsidRPr="005B00BD">
              <w:rPr>
                <w:color w:val="000000"/>
              </w:rPr>
              <w:t>$23</w:t>
            </w:r>
            <w:r>
              <w:rPr>
                <w:color w:val="000000"/>
              </w:rPr>
              <w:t>.0</w:t>
            </w:r>
          </w:p>
        </w:tc>
      </w:tr>
      <w:tr w14:paraId="7E2E39DC"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hideMark/>
          </w:tcPr>
          <w:p w:rsidR="00F504FC" w:rsidRPr="00F16FAC" w:rsidP="00026F9A" w14:paraId="032E272B" w14:textId="77777777">
            <w:pPr>
              <w:jc w:val="center"/>
            </w:pPr>
            <w:r w:rsidRPr="00F16FAC">
              <w:t>9</w:t>
            </w:r>
          </w:p>
        </w:tc>
        <w:tc>
          <w:tcPr>
            <w:tcW w:w="1199" w:type="pct"/>
            <w:tcBorders>
              <w:top w:val="single" w:sz="4" w:space="0" w:color="auto"/>
              <w:left w:val="single" w:sz="4" w:space="0" w:color="auto"/>
              <w:bottom w:val="single" w:sz="4" w:space="0" w:color="auto"/>
              <w:right w:val="single" w:sz="4" w:space="0" w:color="auto"/>
            </w:tcBorders>
            <w:vAlign w:val="bottom"/>
            <w:hideMark/>
          </w:tcPr>
          <w:p w:rsidR="00F504FC" w:rsidRPr="00F504FC" w:rsidP="00026F9A" w14:paraId="1CA15AF7" w14:textId="582B95F3">
            <w:pPr>
              <w:jc w:val="center"/>
              <w:rPr>
                <w:color w:val="000000"/>
              </w:rPr>
            </w:pPr>
            <w:r w:rsidRPr="00491301">
              <w:rPr>
                <w:color w:val="000000"/>
              </w:rPr>
              <w:t>$13</w:t>
            </w:r>
            <w:r>
              <w:rPr>
                <w:color w:val="000000"/>
              </w:rPr>
              <w:t>.4</w:t>
            </w:r>
          </w:p>
        </w:tc>
        <w:tc>
          <w:tcPr>
            <w:tcW w:w="1408"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752B6E00" w14:textId="1B24778D">
            <w:pPr>
              <w:jc w:val="center"/>
              <w:rPr>
                <w:color w:val="000000"/>
              </w:rPr>
            </w:pPr>
            <w:r w:rsidRPr="005B00BD">
              <w:rPr>
                <w:color w:val="000000"/>
              </w:rPr>
              <w:t>$1</w:t>
            </w:r>
            <w:r>
              <w:rPr>
                <w:color w:val="000000"/>
              </w:rPr>
              <w:t>8.0</w:t>
            </w:r>
          </w:p>
        </w:tc>
        <w:tc>
          <w:tcPr>
            <w:tcW w:w="1301"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1E27F6A7" w14:textId="610B21C1">
            <w:pPr>
              <w:jc w:val="center"/>
              <w:rPr>
                <w:color w:val="000000"/>
              </w:rPr>
            </w:pPr>
            <w:r w:rsidRPr="005B00BD">
              <w:rPr>
                <w:color w:val="000000"/>
              </w:rPr>
              <w:t>$23</w:t>
            </w:r>
            <w:r>
              <w:rPr>
                <w:color w:val="000000"/>
              </w:rPr>
              <w:t>.0</w:t>
            </w:r>
          </w:p>
        </w:tc>
      </w:tr>
      <w:tr w14:paraId="19AB1729"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tcPr>
          <w:p w:rsidR="00F504FC" w:rsidRPr="00F16FAC" w:rsidP="00026F9A" w14:paraId="4E6E9AEB" w14:textId="77777777">
            <w:pPr>
              <w:jc w:val="center"/>
            </w:pPr>
            <w:r>
              <w:t>Annualized, 3%</w:t>
            </w:r>
          </w:p>
        </w:tc>
        <w:tc>
          <w:tcPr>
            <w:tcW w:w="1199"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0439F5BA" w14:textId="031AD889">
            <w:pPr>
              <w:jc w:val="center"/>
              <w:rPr>
                <w:rFonts w:eastAsia="Times New Roman"/>
                <w:color w:val="000000"/>
              </w:rPr>
            </w:pPr>
            <w:r w:rsidRPr="00491301">
              <w:rPr>
                <w:color w:val="000000"/>
              </w:rPr>
              <w:t>$10</w:t>
            </w:r>
            <w:r>
              <w:rPr>
                <w:color w:val="000000"/>
              </w:rPr>
              <w:t>.0</w:t>
            </w:r>
          </w:p>
        </w:tc>
        <w:tc>
          <w:tcPr>
            <w:tcW w:w="1408"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3E949791" w14:textId="37F1B711">
            <w:pPr>
              <w:jc w:val="center"/>
              <w:rPr>
                <w:color w:val="000000"/>
              </w:rPr>
            </w:pPr>
            <w:r w:rsidRPr="00491301">
              <w:rPr>
                <w:color w:val="000000"/>
              </w:rPr>
              <w:t>$13</w:t>
            </w:r>
            <w:r>
              <w:rPr>
                <w:color w:val="000000"/>
              </w:rPr>
              <w:t>.6</w:t>
            </w:r>
          </w:p>
        </w:tc>
        <w:tc>
          <w:tcPr>
            <w:tcW w:w="1301"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65877BF3" w14:textId="4F08E2F7">
            <w:pPr>
              <w:jc w:val="center"/>
              <w:rPr>
                <w:color w:val="000000"/>
              </w:rPr>
            </w:pPr>
            <w:r w:rsidRPr="00491301">
              <w:rPr>
                <w:color w:val="000000"/>
              </w:rPr>
              <w:t>$17</w:t>
            </w:r>
            <w:r>
              <w:rPr>
                <w:color w:val="000000"/>
              </w:rPr>
              <w:t>.5</w:t>
            </w:r>
            <w:r w:rsidRPr="00F504FC">
              <w:rPr>
                <w:color w:val="000000"/>
              </w:rPr>
              <w:t xml:space="preserve"> </w:t>
            </w:r>
          </w:p>
        </w:tc>
      </w:tr>
      <w:tr w14:paraId="0FB0C5C8" w14:textId="77777777">
        <w:tblPrEx>
          <w:tblW w:w="5000" w:type="pct"/>
          <w:tblLayout w:type="fixed"/>
          <w:tblLook w:val="04A0"/>
        </w:tblPrEx>
        <w:trPr>
          <w:trHeight w:val="277"/>
        </w:trPr>
        <w:tc>
          <w:tcPr>
            <w:tcW w:w="1092" w:type="pct"/>
            <w:tcBorders>
              <w:top w:val="single" w:sz="4" w:space="0" w:color="auto"/>
              <w:left w:val="single" w:sz="4" w:space="0" w:color="auto"/>
              <w:bottom w:val="single" w:sz="4" w:space="0" w:color="auto"/>
              <w:right w:val="single" w:sz="4" w:space="0" w:color="auto"/>
            </w:tcBorders>
          </w:tcPr>
          <w:p w:rsidR="00F504FC" w:rsidP="00026F9A" w14:paraId="53A4395D" w14:textId="77777777">
            <w:pPr>
              <w:jc w:val="center"/>
            </w:pPr>
            <w:r>
              <w:t>Annualized, 7%</w:t>
            </w:r>
          </w:p>
        </w:tc>
        <w:tc>
          <w:tcPr>
            <w:tcW w:w="1199"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5E398AD6" w14:textId="22F7FBC4">
            <w:pPr>
              <w:jc w:val="center"/>
              <w:rPr>
                <w:color w:val="000000"/>
              </w:rPr>
            </w:pPr>
            <w:r w:rsidRPr="00491301">
              <w:rPr>
                <w:color w:val="000000"/>
              </w:rPr>
              <w:t>$9</w:t>
            </w:r>
            <w:r>
              <w:rPr>
                <w:color w:val="000000"/>
              </w:rPr>
              <w:t>.6</w:t>
            </w:r>
          </w:p>
        </w:tc>
        <w:tc>
          <w:tcPr>
            <w:tcW w:w="1408"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60901CB7" w14:textId="1E826679">
            <w:pPr>
              <w:jc w:val="center"/>
              <w:rPr>
                <w:color w:val="000000"/>
              </w:rPr>
            </w:pPr>
            <w:r w:rsidRPr="00491301">
              <w:rPr>
                <w:color w:val="000000"/>
              </w:rPr>
              <w:t>$1</w:t>
            </w:r>
            <w:r>
              <w:rPr>
                <w:color w:val="000000"/>
              </w:rPr>
              <w:t>3.0</w:t>
            </w:r>
          </w:p>
        </w:tc>
        <w:tc>
          <w:tcPr>
            <w:tcW w:w="1301" w:type="pct"/>
            <w:tcBorders>
              <w:top w:val="single" w:sz="4" w:space="0" w:color="auto"/>
              <w:left w:val="single" w:sz="4" w:space="0" w:color="auto"/>
              <w:bottom w:val="single" w:sz="4" w:space="0" w:color="auto"/>
              <w:right w:val="single" w:sz="4" w:space="0" w:color="auto"/>
            </w:tcBorders>
            <w:vAlign w:val="bottom"/>
          </w:tcPr>
          <w:p w:rsidR="00F504FC" w:rsidRPr="00F504FC" w:rsidP="00026F9A" w14:paraId="13AA84AE" w14:textId="0BA1E263">
            <w:pPr>
              <w:jc w:val="center"/>
              <w:rPr>
                <w:color w:val="000000"/>
              </w:rPr>
            </w:pPr>
            <w:r w:rsidRPr="00491301">
              <w:rPr>
                <w:color w:val="000000"/>
              </w:rPr>
              <w:t>$16</w:t>
            </w:r>
            <w:r>
              <w:rPr>
                <w:color w:val="000000"/>
              </w:rPr>
              <w:t>.8</w:t>
            </w:r>
          </w:p>
        </w:tc>
      </w:tr>
    </w:tbl>
    <w:p w:rsidR="002C2F82" w:rsidP="00026F9A" w14:paraId="0BA03079" w14:textId="77777777"/>
    <w:p w:rsidR="00360ED2" w:rsidP="00026F9A" w14:paraId="335C01C5" w14:textId="64A97A7E">
      <w:pPr>
        <w:pStyle w:val="ListParagraph"/>
        <w:numPr>
          <w:ilvl w:val="0"/>
          <w:numId w:val="14"/>
        </w:numPr>
        <w:spacing w:after="0"/>
      </w:pPr>
      <w:r>
        <w:t>Mitigating Known or Reasonably Foreseeable Hazards</w:t>
      </w:r>
    </w:p>
    <w:p w:rsidR="00360ED2" w:rsidP="00026F9A" w14:paraId="6BBCBB34" w14:textId="77777777"/>
    <w:p w:rsidR="00360ED2" w:rsidP="00026F9A" w14:paraId="4266B586" w14:textId="5EB20934">
      <w:pPr>
        <w:spacing w:line="480" w:lineRule="auto"/>
        <w:ind w:firstLine="720"/>
        <w:rPr>
          <w:rFonts w:eastAsia="Times New Roman"/>
          <w:color w:val="000000"/>
        </w:rPr>
      </w:pPr>
      <w:r w:rsidRPr="00B615A2">
        <w:t>When a covered farm conducts a</w:t>
      </w:r>
      <w:r>
        <w:t xml:space="preserve"> pre-harvest</w:t>
      </w:r>
      <w:r w:rsidRPr="00B615A2">
        <w:t xml:space="preserve"> agricultural water assessment and determines that there are conditions reasonably likely to introduce known or reasonably foreseeable hazards into or onto covered produce or food contact surface</w:t>
      </w:r>
      <w:r>
        <w:t>s</w:t>
      </w:r>
      <w:r w:rsidRPr="00B615A2">
        <w:t xml:space="preserve">, the rule </w:t>
      </w:r>
      <w:r>
        <w:t>require</w:t>
      </w:r>
      <w:r w:rsidR="005356A3">
        <w:t>s</w:t>
      </w:r>
      <w:r w:rsidRPr="00B615A2">
        <w:t xml:space="preserve"> them to implement any mitigation measures that are that are </w:t>
      </w:r>
      <w:r>
        <w:t xml:space="preserve">reasonably </w:t>
      </w:r>
      <w:r w:rsidRPr="00B615A2">
        <w:t xml:space="preserve">necessary to reduce the potential for contamination with such known or reasonably foreseeable hazards. </w:t>
      </w:r>
      <w:r>
        <w:t xml:space="preserve">Mitigation measures may include making necessary changes </w:t>
      </w:r>
      <w:r w:rsidR="00B22E82">
        <w:t>(</w:t>
      </w:r>
      <w:r>
        <w:t>such as repairs</w:t>
      </w:r>
      <w:r w:rsidR="00B22E82">
        <w:t>)</w:t>
      </w:r>
      <w:r>
        <w:t xml:space="preserve">, increasing </w:t>
      </w:r>
      <w:r w:rsidR="00444FC6">
        <w:t>the time between</w:t>
      </w:r>
      <w:r w:rsidR="009157E0">
        <w:t xml:space="preserve"> last</w:t>
      </w:r>
      <w:r>
        <w:t xml:space="preserve"> water application and harvest</w:t>
      </w:r>
      <w:r w:rsidR="009157E0">
        <w:t xml:space="preserve"> to allow for microbial die-off</w:t>
      </w:r>
      <w:r>
        <w:t xml:space="preserve">, increasing the time interval between harvest and end-of storage </w:t>
      </w:r>
      <w:r w:rsidRPr="00852937">
        <w:t xml:space="preserve">and/or conducting other </w:t>
      </w:r>
      <w:r w:rsidR="00192D5D">
        <w:t xml:space="preserve">harvest or post-harvest </w:t>
      </w:r>
      <w:r w:rsidRPr="00852937">
        <w:t>activities</w:t>
      </w:r>
      <w:r w:rsidR="00192D5D">
        <w:t xml:space="preserve"> to allow for microbial die-off or removal</w:t>
      </w:r>
      <w:r>
        <w:t>, changing the method of water application, treating the water, or an alternative mitigation measure (§112.45(b)).</w:t>
      </w:r>
    </w:p>
    <w:p w:rsidR="00360ED2" w:rsidP="00026F9A" w14:paraId="794EA46D" w14:textId="641046B9">
      <w:pPr>
        <w:spacing w:line="480" w:lineRule="auto"/>
        <w:ind w:firstLine="720"/>
        <w:rPr>
          <w:rFonts w:eastAsia="Times New Roman"/>
          <w:color w:val="000000"/>
        </w:rPr>
      </w:pPr>
      <w:r>
        <w:rPr>
          <w:rFonts w:eastAsia="Times New Roman"/>
          <w:color w:val="000000"/>
        </w:rPr>
        <w:t xml:space="preserve">We are uncertain about the fraction of farms that conduct pre-harvest agricultural water assessments that would subsequently need to conduct a mitigation step each year. Table 23 presents the median estimates from subject matter experts of the low, most likely, and high percentage of farms that, having conducted a pre-harvest agricultural water assessment as specified, would subsequently conduct a </w:t>
      </w:r>
      <w:r w:rsidRPr="00276D8F">
        <w:rPr>
          <w:rFonts w:eastAsia="Times New Roman"/>
          <w:color w:val="000000"/>
        </w:rPr>
        <w:t xml:space="preserve">mitigation measure (Ref. </w:t>
      </w:r>
      <w:r w:rsidRPr="00276D8F" w:rsidR="00414F0E">
        <w:rPr>
          <w:rFonts w:eastAsia="Times New Roman"/>
          <w:color w:val="000000"/>
        </w:rPr>
        <w:t>3</w:t>
      </w:r>
      <w:r w:rsidRPr="00276D8F">
        <w:rPr>
          <w:rFonts w:eastAsia="Times New Roman"/>
          <w:color w:val="000000"/>
        </w:rPr>
        <w:t>).</w:t>
      </w:r>
      <w:r>
        <w:rPr>
          <w:rFonts w:eastAsia="Times New Roman"/>
          <w:color w:val="000000"/>
        </w:rPr>
        <w:t xml:space="preserve"> </w:t>
      </w:r>
    </w:p>
    <w:p w:rsidR="00360ED2" w:rsidP="00026F9A" w14:paraId="5906E621" w14:textId="77777777">
      <w:pPr>
        <w:rPr>
          <w:rFonts w:eastAsia="Times New Roman"/>
          <w:b/>
          <w:color w:val="000000"/>
        </w:rPr>
      </w:pPr>
      <w:r>
        <w:rPr>
          <w:rFonts w:eastAsia="Times New Roman"/>
          <w:b/>
          <w:color w:val="000000"/>
        </w:rPr>
        <w:t>Table 23</w:t>
      </w:r>
      <w:r w:rsidRPr="000972AF">
        <w:rPr>
          <w:rFonts w:eastAsia="Times New Roman"/>
          <w:b/>
          <w:color w:val="000000"/>
        </w:rPr>
        <w:t xml:space="preserve">: </w:t>
      </w:r>
      <w:r>
        <w:rPr>
          <w:rFonts w:eastAsia="Times New Roman"/>
          <w:b/>
          <w:color w:val="000000"/>
        </w:rPr>
        <w:t>Percentage of Farms That Conduct an Assessment That Mitigate</w:t>
      </w:r>
    </w:p>
    <w:tbl>
      <w:tblPr>
        <w:tblStyle w:val="TableGrid"/>
        <w:tblW w:w="0" w:type="auto"/>
        <w:tblLook w:val="04A0"/>
      </w:tblPr>
      <w:tblGrid>
        <w:gridCol w:w="2876"/>
        <w:gridCol w:w="1979"/>
        <w:gridCol w:w="1980"/>
        <w:gridCol w:w="1795"/>
      </w:tblGrid>
      <w:tr w14:paraId="6106A7E4" w14:textId="77777777">
        <w:tblPrEx>
          <w:tblW w:w="0" w:type="auto"/>
          <w:tblLook w:val="04A0"/>
        </w:tblPrEx>
        <w:tc>
          <w:tcPr>
            <w:tcW w:w="2876" w:type="dxa"/>
          </w:tcPr>
          <w:p w:rsidR="00360ED2" w:rsidRPr="008B006E" w:rsidP="00026F9A" w14:paraId="78B755A1" w14:textId="77777777">
            <w:pPr>
              <w:jc w:val="center"/>
              <w:rPr>
                <w:rFonts w:eastAsia="Times New Roman"/>
                <w:b/>
                <w:color w:val="000000"/>
              </w:rPr>
            </w:pPr>
            <w:r w:rsidRPr="000972AF">
              <w:rPr>
                <w:rFonts w:eastAsia="Times New Roman"/>
                <w:b/>
                <w:color w:val="000000"/>
              </w:rPr>
              <w:t>Farm Size</w:t>
            </w:r>
          </w:p>
        </w:tc>
        <w:tc>
          <w:tcPr>
            <w:tcW w:w="1979" w:type="dxa"/>
          </w:tcPr>
          <w:p w:rsidR="00360ED2" w:rsidP="00026F9A" w14:paraId="2C5CF2EE" w14:textId="77777777">
            <w:pPr>
              <w:jc w:val="center"/>
              <w:rPr>
                <w:rFonts w:eastAsia="Times New Roman"/>
                <w:b/>
                <w:color w:val="000000"/>
              </w:rPr>
            </w:pPr>
            <w:r>
              <w:rPr>
                <w:rFonts w:eastAsia="Times New Roman"/>
                <w:b/>
                <w:color w:val="000000"/>
              </w:rPr>
              <w:t>Low</w:t>
            </w:r>
          </w:p>
        </w:tc>
        <w:tc>
          <w:tcPr>
            <w:tcW w:w="1980" w:type="dxa"/>
          </w:tcPr>
          <w:p w:rsidR="00360ED2" w:rsidP="00026F9A" w14:paraId="04E06E9B" w14:textId="77777777">
            <w:pPr>
              <w:jc w:val="center"/>
              <w:rPr>
                <w:rFonts w:eastAsia="Times New Roman"/>
                <w:b/>
                <w:color w:val="000000"/>
              </w:rPr>
            </w:pPr>
            <w:r>
              <w:rPr>
                <w:rFonts w:eastAsia="Times New Roman"/>
                <w:b/>
                <w:color w:val="000000"/>
              </w:rPr>
              <w:t>Most Likely</w:t>
            </w:r>
          </w:p>
        </w:tc>
        <w:tc>
          <w:tcPr>
            <w:tcW w:w="1795" w:type="dxa"/>
          </w:tcPr>
          <w:p w:rsidR="00360ED2" w:rsidP="00026F9A" w14:paraId="30FFD121" w14:textId="77777777">
            <w:pPr>
              <w:jc w:val="center"/>
              <w:rPr>
                <w:rFonts w:eastAsia="Times New Roman"/>
                <w:b/>
                <w:color w:val="000000"/>
              </w:rPr>
            </w:pPr>
            <w:r>
              <w:rPr>
                <w:rFonts w:eastAsia="Times New Roman"/>
                <w:b/>
                <w:color w:val="000000"/>
              </w:rPr>
              <w:t>High</w:t>
            </w:r>
          </w:p>
        </w:tc>
      </w:tr>
      <w:tr w14:paraId="2A21B06B" w14:textId="77777777">
        <w:tblPrEx>
          <w:tblW w:w="0" w:type="auto"/>
          <w:tblLook w:val="04A0"/>
        </w:tblPrEx>
        <w:tc>
          <w:tcPr>
            <w:tcW w:w="2876" w:type="dxa"/>
          </w:tcPr>
          <w:p w:rsidR="00360ED2" w:rsidRPr="000972AF" w:rsidP="00026F9A" w14:paraId="5763CBEA" w14:textId="77777777">
            <w:pPr>
              <w:jc w:val="center"/>
              <w:rPr>
                <w:rFonts w:eastAsia="Times New Roman"/>
                <w:color w:val="000000"/>
              </w:rPr>
            </w:pPr>
            <w:r>
              <w:rPr>
                <w:rFonts w:eastAsia="Times New Roman"/>
                <w:color w:val="000000"/>
              </w:rPr>
              <w:t>Very small</w:t>
            </w:r>
          </w:p>
        </w:tc>
        <w:tc>
          <w:tcPr>
            <w:tcW w:w="1979" w:type="dxa"/>
            <w:vAlign w:val="center"/>
          </w:tcPr>
          <w:p w:rsidR="00360ED2" w:rsidRPr="003C3456" w:rsidP="00026F9A" w14:paraId="2A92B40A" w14:textId="77777777">
            <w:pPr>
              <w:jc w:val="center"/>
              <w:rPr>
                <w:rFonts w:eastAsia="Times New Roman"/>
                <w:color w:val="000000"/>
              </w:rPr>
            </w:pPr>
            <w:r>
              <w:rPr>
                <w:color w:val="000000"/>
              </w:rPr>
              <w:t>10</w:t>
            </w:r>
          </w:p>
        </w:tc>
        <w:tc>
          <w:tcPr>
            <w:tcW w:w="1980" w:type="dxa"/>
            <w:vAlign w:val="center"/>
          </w:tcPr>
          <w:p w:rsidR="00360ED2" w:rsidRPr="003C3456" w:rsidP="00026F9A" w14:paraId="5911A9EA" w14:textId="77777777">
            <w:pPr>
              <w:jc w:val="center"/>
              <w:rPr>
                <w:color w:val="000000"/>
              </w:rPr>
            </w:pPr>
            <w:r>
              <w:rPr>
                <w:color w:val="000000"/>
              </w:rPr>
              <w:t>25</w:t>
            </w:r>
          </w:p>
        </w:tc>
        <w:tc>
          <w:tcPr>
            <w:tcW w:w="1795" w:type="dxa"/>
            <w:vAlign w:val="center"/>
          </w:tcPr>
          <w:p w:rsidR="00360ED2" w:rsidRPr="003C3456" w:rsidP="00026F9A" w14:paraId="15B05E63" w14:textId="77777777">
            <w:pPr>
              <w:jc w:val="center"/>
              <w:rPr>
                <w:color w:val="000000"/>
              </w:rPr>
            </w:pPr>
            <w:r>
              <w:rPr>
                <w:color w:val="000000"/>
              </w:rPr>
              <w:t>50</w:t>
            </w:r>
          </w:p>
        </w:tc>
      </w:tr>
      <w:tr w14:paraId="3864A246" w14:textId="77777777">
        <w:tblPrEx>
          <w:tblW w:w="0" w:type="auto"/>
          <w:tblLook w:val="04A0"/>
        </w:tblPrEx>
        <w:tc>
          <w:tcPr>
            <w:tcW w:w="2876" w:type="dxa"/>
          </w:tcPr>
          <w:p w:rsidR="00360ED2" w:rsidRPr="000972AF" w:rsidP="00026F9A" w14:paraId="6979B20A" w14:textId="77777777">
            <w:pPr>
              <w:jc w:val="center"/>
              <w:rPr>
                <w:rFonts w:eastAsia="Times New Roman"/>
                <w:color w:val="000000"/>
              </w:rPr>
            </w:pPr>
            <w:r w:rsidRPr="000972AF">
              <w:rPr>
                <w:rFonts w:eastAsia="Times New Roman"/>
                <w:color w:val="000000"/>
              </w:rPr>
              <w:t>Small</w:t>
            </w:r>
          </w:p>
        </w:tc>
        <w:tc>
          <w:tcPr>
            <w:tcW w:w="1979" w:type="dxa"/>
            <w:vAlign w:val="center"/>
          </w:tcPr>
          <w:p w:rsidR="00360ED2" w:rsidRPr="003C3456" w:rsidP="00026F9A" w14:paraId="7CB01A2C" w14:textId="77777777">
            <w:pPr>
              <w:jc w:val="center"/>
              <w:rPr>
                <w:color w:val="000000"/>
              </w:rPr>
            </w:pPr>
            <w:r>
              <w:rPr>
                <w:color w:val="000000"/>
              </w:rPr>
              <w:t>10</w:t>
            </w:r>
          </w:p>
        </w:tc>
        <w:tc>
          <w:tcPr>
            <w:tcW w:w="1980" w:type="dxa"/>
            <w:vAlign w:val="center"/>
          </w:tcPr>
          <w:p w:rsidR="00360ED2" w:rsidRPr="003C3456" w:rsidP="00026F9A" w14:paraId="0AE90372" w14:textId="77777777">
            <w:pPr>
              <w:jc w:val="center"/>
              <w:rPr>
                <w:color w:val="000000"/>
              </w:rPr>
            </w:pPr>
            <w:r>
              <w:rPr>
                <w:color w:val="000000"/>
              </w:rPr>
              <w:t>20</w:t>
            </w:r>
          </w:p>
        </w:tc>
        <w:tc>
          <w:tcPr>
            <w:tcW w:w="1795" w:type="dxa"/>
            <w:vAlign w:val="center"/>
          </w:tcPr>
          <w:p w:rsidR="00360ED2" w:rsidRPr="003C3456" w:rsidP="00026F9A" w14:paraId="2835F0D3" w14:textId="77777777">
            <w:pPr>
              <w:jc w:val="center"/>
              <w:rPr>
                <w:color w:val="000000"/>
              </w:rPr>
            </w:pPr>
            <w:r>
              <w:rPr>
                <w:color w:val="000000"/>
              </w:rPr>
              <w:t>50</w:t>
            </w:r>
          </w:p>
        </w:tc>
      </w:tr>
      <w:tr w14:paraId="08C4C86C" w14:textId="77777777">
        <w:tblPrEx>
          <w:tblW w:w="0" w:type="auto"/>
          <w:tblLook w:val="04A0"/>
        </w:tblPrEx>
        <w:tc>
          <w:tcPr>
            <w:tcW w:w="2876" w:type="dxa"/>
          </w:tcPr>
          <w:p w:rsidR="00360ED2" w:rsidRPr="000972AF" w:rsidP="00026F9A" w14:paraId="07B2262F" w14:textId="77777777">
            <w:pPr>
              <w:jc w:val="center"/>
              <w:rPr>
                <w:rFonts w:eastAsia="Times New Roman"/>
                <w:color w:val="000000"/>
              </w:rPr>
            </w:pPr>
            <w:r w:rsidRPr="000972AF">
              <w:rPr>
                <w:rFonts w:eastAsia="Times New Roman"/>
                <w:color w:val="000000"/>
              </w:rPr>
              <w:t>Large</w:t>
            </w:r>
          </w:p>
        </w:tc>
        <w:tc>
          <w:tcPr>
            <w:tcW w:w="1979" w:type="dxa"/>
            <w:vAlign w:val="center"/>
          </w:tcPr>
          <w:p w:rsidR="00360ED2" w:rsidRPr="003C3456" w:rsidP="00026F9A" w14:paraId="586F88E1" w14:textId="77777777">
            <w:pPr>
              <w:jc w:val="center"/>
              <w:rPr>
                <w:color w:val="000000"/>
              </w:rPr>
            </w:pPr>
            <w:r>
              <w:rPr>
                <w:color w:val="000000"/>
              </w:rPr>
              <w:t>15</w:t>
            </w:r>
          </w:p>
        </w:tc>
        <w:tc>
          <w:tcPr>
            <w:tcW w:w="1980" w:type="dxa"/>
            <w:vAlign w:val="center"/>
          </w:tcPr>
          <w:p w:rsidR="00360ED2" w:rsidRPr="003C3456" w:rsidP="00026F9A" w14:paraId="49E2F53B" w14:textId="77777777">
            <w:pPr>
              <w:jc w:val="center"/>
              <w:rPr>
                <w:color w:val="000000"/>
              </w:rPr>
            </w:pPr>
            <w:r>
              <w:rPr>
                <w:color w:val="000000"/>
              </w:rPr>
              <w:t>30</w:t>
            </w:r>
          </w:p>
        </w:tc>
        <w:tc>
          <w:tcPr>
            <w:tcW w:w="1795" w:type="dxa"/>
            <w:vAlign w:val="center"/>
          </w:tcPr>
          <w:p w:rsidR="00360ED2" w:rsidRPr="003C3456" w:rsidP="00026F9A" w14:paraId="22E6BBF1" w14:textId="77777777">
            <w:pPr>
              <w:jc w:val="center"/>
              <w:rPr>
                <w:color w:val="000000"/>
              </w:rPr>
            </w:pPr>
            <w:r>
              <w:rPr>
                <w:color w:val="000000"/>
              </w:rPr>
              <w:t>50</w:t>
            </w:r>
          </w:p>
        </w:tc>
      </w:tr>
    </w:tbl>
    <w:p w:rsidR="00360ED2" w:rsidP="00026F9A" w14:paraId="00498FBC" w14:textId="77777777">
      <w:pPr>
        <w:spacing w:line="480" w:lineRule="auto"/>
        <w:ind w:firstLine="720"/>
        <w:rPr>
          <w:rFonts w:eastAsia="Times New Roman"/>
          <w:color w:val="000000"/>
        </w:rPr>
      </w:pPr>
    </w:p>
    <w:p w:rsidR="00360ED2" w:rsidP="00026F9A" w14:paraId="211BD120" w14:textId="37982B23">
      <w:pPr>
        <w:spacing w:line="480" w:lineRule="auto"/>
        <w:ind w:firstLine="720"/>
        <w:rPr>
          <w:rFonts w:eastAsia="Times New Roman"/>
          <w:color w:val="000000"/>
        </w:rPr>
      </w:pPr>
      <w:r>
        <w:rPr>
          <w:rFonts w:eastAsia="Times New Roman"/>
          <w:color w:val="000000"/>
        </w:rPr>
        <w:t xml:space="preserve">We are uncertain about the fraction of farms that, having determined a mitigation action is necessary, would conduct each type of mitigation action. Table 24 presents the median estimates from subject matter experts of the low, most likely, and high fraction of very small farms that, having determined they would need to conduct a mitigation action, would conduct each type of mitigation action; Table 25 presents the median estimates from subject matter experts of the low, most likely, and high fraction of small farms that, having determined they would need to conduct a mitigation action, would conduct each type of mitigation action; Table 26 presents the median estimates from subject matter experts of the low, most likely, and high fraction of large farms that, having determined they would need to conduct a mitigation action, would conduct each type of </w:t>
      </w:r>
      <w:r w:rsidRPr="00276D8F">
        <w:rPr>
          <w:rFonts w:eastAsia="Times New Roman"/>
          <w:color w:val="000000"/>
        </w:rPr>
        <w:t xml:space="preserve">mitigation action (Ref. </w:t>
      </w:r>
      <w:r w:rsidRPr="00276D8F" w:rsidR="00414F0E">
        <w:rPr>
          <w:rFonts w:eastAsia="Times New Roman"/>
          <w:color w:val="000000"/>
        </w:rPr>
        <w:t>3</w:t>
      </w:r>
      <w:r w:rsidRPr="00276D8F">
        <w:rPr>
          <w:rFonts w:eastAsia="Times New Roman"/>
          <w:color w:val="000000"/>
        </w:rPr>
        <w:t>).</w:t>
      </w:r>
      <w:r>
        <w:rPr>
          <w:rFonts w:eastAsia="Times New Roman"/>
          <w:color w:val="000000"/>
        </w:rPr>
        <w:t xml:space="preserve"> </w:t>
      </w:r>
    </w:p>
    <w:p w:rsidR="00360ED2" w:rsidP="00026F9A" w14:paraId="43328A73" w14:textId="77777777">
      <w:pPr>
        <w:rPr>
          <w:rFonts w:eastAsia="Times New Roman"/>
          <w:b/>
          <w:color w:val="000000"/>
        </w:rPr>
      </w:pPr>
      <w:r>
        <w:rPr>
          <w:rFonts w:eastAsia="Times New Roman"/>
          <w:b/>
          <w:color w:val="000000"/>
        </w:rPr>
        <w:t>Table 24</w:t>
      </w:r>
      <w:r w:rsidRPr="000972AF">
        <w:rPr>
          <w:rFonts w:eastAsia="Times New Roman"/>
          <w:b/>
          <w:color w:val="000000"/>
        </w:rPr>
        <w:t xml:space="preserve">: </w:t>
      </w:r>
      <w:r>
        <w:rPr>
          <w:rFonts w:eastAsia="Times New Roman"/>
          <w:b/>
          <w:color w:val="000000"/>
        </w:rPr>
        <w:t>Fraction of Very Small Farms That Mitigate That Conduct Each Action</w:t>
      </w:r>
    </w:p>
    <w:tbl>
      <w:tblPr>
        <w:tblStyle w:val="TableGrid"/>
        <w:tblW w:w="0" w:type="auto"/>
        <w:tblLook w:val="04A0"/>
      </w:tblPr>
      <w:tblGrid>
        <w:gridCol w:w="3055"/>
        <w:gridCol w:w="1800"/>
        <w:gridCol w:w="1980"/>
        <w:gridCol w:w="1795"/>
      </w:tblGrid>
      <w:tr w14:paraId="308560E7" w14:textId="77777777">
        <w:tblPrEx>
          <w:tblW w:w="0" w:type="auto"/>
          <w:tblLook w:val="04A0"/>
        </w:tblPrEx>
        <w:tc>
          <w:tcPr>
            <w:tcW w:w="3055" w:type="dxa"/>
          </w:tcPr>
          <w:p w:rsidR="00360ED2" w:rsidRPr="008B006E" w:rsidP="00026F9A" w14:paraId="04F62D21" w14:textId="77777777">
            <w:pPr>
              <w:rPr>
                <w:rFonts w:eastAsia="Times New Roman"/>
                <w:b/>
                <w:color w:val="000000"/>
              </w:rPr>
            </w:pPr>
            <w:r>
              <w:rPr>
                <w:rFonts w:eastAsia="Times New Roman"/>
                <w:b/>
                <w:color w:val="000000"/>
              </w:rPr>
              <w:t>Mitigation Action</w:t>
            </w:r>
          </w:p>
        </w:tc>
        <w:tc>
          <w:tcPr>
            <w:tcW w:w="1800" w:type="dxa"/>
          </w:tcPr>
          <w:p w:rsidR="00360ED2" w:rsidP="00026F9A" w14:paraId="732E0C2C" w14:textId="77777777">
            <w:pPr>
              <w:jc w:val="center"/>
              <w:rPr>
                <w:rFonts w:eastAsia="Times New Roman"/>
                <w:b/>
                <w:color w:val="000000"/>
              </w:rPr>
            </w:pPr>
            <w:r>
              <w:rPr>
                <w:rFonts w:eastAsia="Times New Roman"/>
                <w:b/>
                <w:color w:val="000000"/>
              </w:rPr>
              <w:t>Low</w:t>
            </w:r>
          </w:p>
        </w:tc>
        <w:tc>
          <w:tcPr>
            <w:tcW w:w="1980" w:type="dxa"/>
          </w:tcPr>
          <w:p w:rsidR="00360ED2" w:rsidP="00026F9A" w14:paraId="4895F53C" w14:textId="77777777">
            <w:pPr>
              <w:jc w:val="center"/>
              <w:rPr>
                <w:rFonts w:eastAsia="Times New Roman"/>
                <w:b/>
                <w:color w:val="000000"/>
              </w:rPr>
            </w:pPr>
            <w:r>
              <w:rPr>
                <w:rFonts w:eastAsia="Times New Roman"/>
                <w:b/>
                <w:color w:val="000000"/>
              </w:rPr>
              <w:t>Most Likely</w:t>
            </w:r>
          </w:p>
        </w:tc>
        <w:tc>
          <w:tcPr>
            <w:tcW w:w="1795" w:type="dxa"/>
          </w:tcPr>
          <w:p w:rsidR="00360ED2" w:rsidP="00026F9A" w14:paraId="3BEDE560" w14:textId="77777777">
            <w:pPr>
              <w:jc w:val="center"/>
              <w:rPr>
                <w:rFonts w:eastAsia="Times New Roman"/>
                <w:b/>
                <w:color w:val="000000"/>
              </w:rPr>
            </w:pPr>
            <w:r>
              <w:rPr>
                <w:rFonts w:eastAsia="Times New Roman"/>
                <w:b/>
                <w:color w:val="000000"/>
              </w:rPr>
              <w:t>High</w:t>
            </w:r>
          </w:p>
        </w:tc>
      </w:tr>
      <w:tr w14:paraId="72883A6B" w14:textId="77777777">
        <w:tblPrEx>
          <w:tblW w:w="0" w:type="auto"/>
          <w:tblLook w:val="04A0"/>
        </w:tblPrEx>
        <w:tc>
          <w:tcPr>
            <w:tcW w:w="3055" w:type="dxa"/>
          </w:tcPr>
          <w:p w:rsidR="00360ED2" w:rsidRPr="000972AF" w:rsidP="00026F9A" w14:paraId="07E34D45" w14:textId="77777777">
            <w:pPr>
              <w:rPr>
                <w:rFonts w:eastAsia="Times New Roman"/>
                <w:color w:val="000000"/>
              </w:rPr>
            </w:pPr>
            <w:r>
              <w:rPr>
                <w:rFonts w:eastAsia="Times New Roman"/>
                <w:color w:val="000000"/>
              </w:rPr>
              <w:t>Necessary Changes</w:t>
            </w:r>
          </w:p>
        </w:tc>
        <w:tc>
          <w:tcPr>
            <w:tcW w:w="1800" w:type="dxa"/>
            <w:vAlign w:val="bottom"/>
          </w:tcPr>
          <w:p w:rsidR="00360ED2" w:rsidRPr="002D3508" w:rsidP="00026F9A" w14:paraId="36181141" w14:textId="77777777">
            <w:pPr>
              <w:jc w:val="center"/>
              <w:rPr>
                <w:rFonts w:eastAsia="Times New Roman"/>
                <w:color w:val="000000"/>
              </w:rPr>
            </w:pPr>
            <w:r w:rsidRPr="002D3508">
              <w:rPr>
                <w:color w:val="000000"/>
              </w:rPr>
              <w:t>0.25</w:t>
            </w:r>
          </w:p>
        </w:tc>
        <w:tc>
          <w:tcPr>
            <w:tcW w:w="1980" w:type="dxa"/>
            <w:vAlign w:val="bottom"/>
          </w:tcPr>
          <w:p w:rsidR="00360ED2" w:rsidRPr="002D3508" w:rsidP="00026F9A" w14:paraId="545AC580" w14:textId="77777777">
            <w:pPr>
              <w:jc w:val="center"/>
              <w:rPr>
                <w:color w:val="000000"/>
              </w:rPr>
            </w:pPr>
            <w:r w:rsidRPr="002D3508">
              <w:rPr>
                <w:color w:val="000000"/>
              </w:rPr>
              <w:t>0.40</w:t>
            </w:r>
          </w:p>
        </w:tc>
        <w:tc>
          <w:tcPr>
            <w:tcW w:w="1795" w:type="dxa"/>
            <w:vAlign w:val="bottom"/>
          </w:tcPr>
          <w:p w:rsidR="00360ED2" w:rsidRPr="002D3508" w:rsidP="00026F9A" w14:paraId="3957A601" w14:textId="77777777">
            <w:pPr>
              <w:jc w:val="center"/>
              <w:rPr>
                <w:color w:val="000000"/>
              </w:rPr>
            </w:pPr>
            <w:r w:rsidRPr="002D3508">
              <w:rPr>
                <w:color w:val="000000"/>
              </w:rPr>
              <w:t>0.60</w:t>
            </w:r>
          </w:p>
        </w:tc>
      </w:tr>
      <w:tr w14:paraId="25BC9625" w14:textId="77777777">
        <w:tblPrEx>
          <w:tblW w:w="0" w:type="auto"/>
          <w:tblLook w:val="04A0"/>
        </w:tblPrEx>
        <w:tc>
          <w:tcPr>
            <w:tcW w:w="3055" w:type="dxa"/>
          </w:tcPr>
          <w:p w:rsidR="00360ED2" w:rsidRPr="000972AF" w:rsidP="00026F9A" w14:paraId="6F3614B4" w14:textId="77777777">
            <w:pPr>
              <w:rPr>
                <w:rFonts w:eastAsia="Times New Roman"/>
                <w:color w:val="000000"/>
              </w:rPr>
            </w:pPr>
            <w:r>
              <w:rPr>
                <w:rFonts w:eastAsia="Times New Roman"/>
                <w:color w:val="000000"/>
              </w:rPr>
              <w:t>Pre-harvest Die-off</w:t>
            </w:r>
          </w:p>
        </w:tc>
        <w:tc>
          <w:tcPr>
            <w:tcW w:w="1800" w:type="dxa"/>
            <w:vAlign w:val="bottom"/>
          </w:tcPr>
          <w:p w:rsidR="00360ED2" w:rsidRPr="002D3508" w:rsidP="00026F9A" w14:paraId="08C524B8" w14:textId="77777777">
            <w:pPr>
              <w:jc w:val="center"/>
              <w:rPr>
                <w:color w:val="000000"/>
              </w:rPr>
            </w:pPr>
            <w:r w:rsidRPr="002D3508">
              <w:rPr>
                <w:color w:val="000000"/>
              </w:rPr>
              <w:t>0.23</w:t>
            </w:r>
          </w:p>
        </w:tc>
        <w:tc>
          <w:tcPr>
            <w:tcW w:w="1980" w:type="dxa"/>
            <w:vAlign w:val="bottom"/>
          </w:tcPr>
          <w:p w:rsidR="00360ED2" w:rsidRPr="002D3508" w:rsidP="00026F9A" w14:paraId="0E1E6CE8" w14:textId="77777777">
            <w:pPr>
              <w:jc w:val="center"/>
              <w:rPr>
                <w:color w:val="000000"/>
              </w:rPr>
            </w:pPr>
            <w:r w:rsidRPr="002D3508">
              <w:rPr>
                <w:color w:val="000000"/>
              </w:rPr>
              <w:t>0.30</w:t>
            </w:r>
          </w:p>
        </w:tc>
        <w:tc>
          <w:tcPr>
            <w:tcW w:w="1795" w:type="dxa"/>
            <w:vAlign w:val="bottom"/>
          </w:tcPr>
          <w:p w:rsidR="00360ED2" w:rsidRPr="002D3508" w:rsidP="00026F9A" w14:paraId="4044AD63" w14:textId="77777777">
            <w:pPr>
              <w:jc w:val="center"/>
              <w:rPr>
                <w:color w:val="000000"/>
              </w:rPr>
            </w:pPr>
            <w:r w:rsidRPr="002D3508">
              <w:rPr>
                <w:color w:val="000000"/>
              </w:rPr>
              <w:t>0.50</w:t>
            </w:r>
          </w:p>
        </w:tc>
      </w:tr>
      <w:tr w14:paraId="628228CD" w14:textId="77777777">
        <w:tblPrEx>
          <w:tblW w:w="0" w:type="auto"/>
          <w:tblLook w:val="04A0"/>
        </w:tblPrEx>
        <w:tc>
          <w:tcPr>
            <w:tcW w:w="3055" w:type="dxa"/>
          </w:tcPr>
          <w:p w:rsidR="00360ED2" w:rsidRPr="000972AF" w:rsidP="00026F9A" w14:paraId="4ED8C17D" w14:textId="77777777">
            <w:pPr>
              <w:rPr>
                <w:rFonts w:eastAsia="Times New Roman"/>
                <w:color w:val="000000"/>
              </w:rPr>
            </w:pPr>
            <w:r>
              <w:rPr>
                <w:rFonts w:eastAsia="Times New Roman"/>
                <w:color w:val="000000"/>
              </w:rPr>
              <w:t>Postharvest Die-off</w:t>
            </w:r>
          </w:p>
        </w:tc>
        <w:tc>
          <w:tcPr>
            <w:tcW w:w="1800" w:type="dxa"/>
            <w:vAlign w:val="bottom"/>
          </w:tcPr>
          <w:p w:rsidR="00360ED2" w:rsidRPr="002D3508" w:rsidP="00026F9A" w14:paraId="6C83AD27" w14:textId="77777777">
            <w:pPr>
              <w:jc w:val="center"/>
              <w:rPr>
                <w:color w:val="000000"/>
              </w:rPr>
            </w:pPr>
            <w:r w:rsidRPr="002D3508">
              <w:rPr>
                <w:color w:val="000000"/>
              </w:rPr>
              <w:t>0.15</w:t>
            </w:r>
          </w:p>
        </w:tc>
        <w:tc>
          <w:tcPr>
            <w:tcW w:w="1980" w:type="dxa"/>
            <w:vAlign w:val="bottom"/>
          </w:tcPr>
          <w:p w:rsidR="00360ED2" w:rsidRPr="002D3508" w:rsidP="00026F9A" w14:paraId="12969BB8" w14:textId="77777777">
            <w:pPr>
              <w:jc w:val="center"/>
              <w:rPr>
                <w:color w:val="000000"/>
              </w:rPr>
            </w:pPr>
            <w:r w:rsidRPr="002D3508">
              <w:rPr>
                <w:color w:val="000000"/>
              </w:rPr>
              <w:t>0.30</w:t>
            </w:r>
          </w:p>
        </w:tc>
        <w:tc>
          <w:tcPr>
            <w:tcW w:w="1795" w:type="dxa"/>
            <w:vAlign w:val="bottom"/>
          </w:tcPr>
          <w:p w:rsidR="00360ED2" w:rsidRPr="002D3508" w:rsidP="00026F9A" w14:paraId="36E0A0B6" w14:textId="77777777">
            <w:pPr>
              <w:jc w:val="center"/>
              <w:rPr>
                <w:color w:val="000000"/>
              </w:rPr>
            </w:pPr>
            <w:r w:rsidRPr="002D3508">
              <w:rPr>
                <w:color w:val="000000"/>
              </w:rPr>
              <w:t>0.50</w:t>
            </w:r>
          </w:p>
        </w:tc>
      </w:tr>
      <w:tr w14:paraId="010054BC" w14:textId="77777777">
        <w:tblPrEx>
          <w:tblW w:w="0" w:type="auto"/>
          <w:tblLook w:val="04A0"/>
        </w:tblPrEx>
        <w:tc>
          <w:tcPr>
            <w:tcW w:w="3055" w:type="dxa"/>
          </w:tcPr>
          <w:p w:rsidR="00360ED2" w:rsidP="00026F9A" w14:paraId="366433A3" w14:textId="77777777">
            <w:pPr>
              <w:rPr>
                <w:rFonts w:eastAsia="Times New Roman"/>
                <w:color w:val="000000"/>
              </w:rPr>
            </w:pPr>
            <w:r>
              <w:rPr>
                <w:rFonts w:eastAsia="Times New Roman"/>
                <w:color w:val="000000"/>
              </w:rPr>
              <w:t>Changing Water Application</w:t>
            </w:r>
          </w:p>
        </w:tc>
        <w:tc>
          <w:tcPr>
            <w:tcW w:w="1800" w:type="dxa"/>
            <w:vAlign w:val="bottom"/>
          </w:tcPr>
          <w:p w:rsidR="00360ED2" w:rsidRPr="002D3508" w:rsidP="00026F9A" w14:paraId="3D1DD506" w14:textId="77777777">
            <w:pPr>
              <w:jc w:val="center"/>
              <w:rPr>
                <w:color w:val="000000"/>
              </w:rPr>
            </w:pPr>
            <w:r w:rsidRPr="002D3508">
              <w:rPr>
                <w:color w:val="000000"/>
              </w:rPr>
              <w:t>0.05</w:t>
            </w:r>
          </w:p>
        </w:tc>
        <w:tc>
          <w:tcPr>
            <w:tcW w:w="1980" w:type="dxa"/>
            <w:vAlign w:val="bottom"/>
          </w:tcPr>
          <w:p w:rsidR="00360ED2" w:rsidRPr="002D3508" w:rsidP="00026F9A" w14:paraId="3C8214BB" w14:textId="77777777">
            <w:pPr>
              <w:jc w:val="center"/>
              <w:rPr>
                <w:color w:val="000000"/>
              </w:rPr>
            </w:pPr>
            <w:r w:rsidRPr="002D3508">
              <w:rPr>
                <w:color w:val="000000"/>
              </w:rPr>
              <w:t>0.10</w:t>
            </w:r>
          </w:p>
        </w:tc>
        <w:tc>
          <w:tcPr>
            <w:tcW w:w="1795" w:type="dxa"/>
            <w:vAlign w:val="bottom"/>
          </w:tcPr>
          <w:p w:rsidR="00360ED2" w:rsidRPr="002D3508" w:rsidP="00026F9A" w14:paraId="656223B2" w14:textId="77777777">
            <w:pPr>
              <w:jc w:val="center"/>
              <w:rPr>
                <w:color w:val="000000"/>
              </w:rPr>
            </w:pPr>
            <w:r w:rsidRPr="002D3508">
              <w:rPr>
                <w:color w:val="000000"/>
              </w:rPr>
              <w:t>0.10</w:t>
            </w:r>
          </w:p>
        </w:tc>
      </w:tr>
      <w:tr w14:paraId="4A97A3FC" w14:textId="77777777">
        <w:tblPrEx>
          <w:tblW w:w="0" w:type="auto"/>
          <w:tblLook w:val="04A0"/>
        </w:tblPrEx>
        <w:tc>
          <w:tcPr>
            <w:tcW w:w="3055" w:type="dxa"/>
          </w:tcPr>
          <w:p w:rsidR="00360ED2" w:rsidP="00026F9A" w14:paraId="04BF6773" w14:textId="77777777">
            <w:pPr>
              <w:rPr>
                <w:rFonts w:eastAsia="Times New Roman"/>
                <w:color w:val="000000"/>
              </w:rPr>
            </w:pPr>
            <w:r>
              <w:rPr>
                <w:rFonts w:eastAsia="Times New Roman"/>
                <w:color w:val="000000"/>
              </w:rPr>
              <w:t>Water Treatment</w:t>
            </w:r>
          </w:p>
        </w:tc>
        <w:tc>
          <w:tcPr>
            <w:tcW w:w="1800" w:type="dxa"/>
            <w:vAlign w:val="bottom"/>
          </w:tcPr>
          <w:p w:rsidR="00360ED2" w:rsidRPr="002D3508" w:rsidP="00026F9A" w14:paraId="3DF04E44" w14:textId="77777777">
            <w:pPr>
              <w:jc w:val="center"/>
              <w:rPr>
                <w:color w:val="000000"/>
              </w:rPr>
            </w:pPr>
            <w:r w:rsidRPr="002D3508">
              <w:rPr>
                <w:color w:val="000000"/>
              </w:rPr>
              <w:t>0.10</w:t>
            </w:r>
          </w:p>
        </w:tc>
        <w:tc>
          <w:tcPr>
            <w:tcW w:w="1980" w:type="dxa"/>
            <w:vAlign w:val="bottom"/>
          </w:tcPr>
          <w:p w:rsidR="00360ED2" w:rsidRPr="002D3508" w:rsidP="00026F9A" w14:paraId="46F76179" w14:textId="77777777">
            <w:pPr>
              <w:jc w:val="center"/>
              <w:rPr>
                <w:color w:val="000000"/>
              </w:rPr>
            </w:pPr>
            <w:r w:rsidRPr="002D3508">
              <w:rPr>
                <w:color w:val="000000"/>
              </w:rPr>
              <w:t>0.15</w:t>
            </w:r>
          </w:p>
        </w:tc>
        <w:tc>
          <w:tcPr>
            <w:tcW w:w="1795" w:type="dxa"/>
            <w:vAlign w:val="bottom"/>
          </w:tcPr>
          <w:p w:rsidR="00360ED2" w:rsidRPr="002D3508" w:rsidP="00026F9A" w14:paraId="1B634696" w14:textId="77777777">
            <w:pPr>
              <w:jc w:val="center"/>
              <w:rPr>
                <w:color w:val="000000"/>
              </w:rPr>
            </w:pPr>
            <w:r w:rsidRPr="002D3508">
              <w:rPr>
                <w:color w:val="000000"/>
              </w:rPr>
              <w:t>0.20</w:t>
            </w:r>
          </w:p>
        </w:tc>
      </w:tr>
      <w:tr w14:paraId="7F8F7096" w14:textId="77777777">
        <w:tblPrEx>
          <w:tblW w:w="0" w:type="auto"/>
          <w:tblLook w:val="04A0"/>
        </w:tblPrEx>
        <w:tc>
          <w:tcPr>
            <w:tcW w:w="3055" w:type="dxa"/>
          </w:tcPr>
          <w:p w:rsidR="00360ED2" w:rsidP="00026F9A" w14:paraId="367ADCEE" w14:textId="77777777">
            <w:pPr>
              <w:rPr>
                <w:rFonts w:eastAsia="Times New Roman"/>
                <w:color w:val="000000"/>
              </w:rPr>
            </w:pPr>
            <w:r>
              <w:rPr>
                <w:rFonts w:eastAsia="Times New Roman"/>
                <w:color w:val="000000"/>
              </w:rPr>
              <w:t>Alternative Options</w:t>
            </w:r>
          </w:p>
        </w:tc>
        <w:tc>
          <w:tcPr>
            <w:tcW w:w="1800" w:type="dxa"/>
            <w:vAlign w:val="bottom"/>
          </w:tcPr>
          <w:p w:rsidR="00360ED2" w:rsidRPr="002D3508" w:rsidP="00026F9A" w14:paraId="227A5CE5" w14:textId="77777777">
            <w:pPr>
              <w:jc w:val="center"/>
              <w:rPr>
                <w:color w:val="000000"/>
              </w:rPr>
            </w:pPr>
            <w:r w:rsidRPr="002D3508">
              <w:rPr>
                <w:color w:val="000000"/>
              </w:rPr>
              <w:t>0.10</w:t>
            </w:r>
          </w:p>
        </w:tc>
        <w:tc>
          <w:tcPr>
            <w:tcW w:w="1980" w:type="dxa"/>
            <w:vAlign w:val="bottom"/>
          </w:tcPr>
          <w:p w:rsidR="00360ED2" w:rsidRPr="002D3508" w:rsidP="00026F9A" w14:paraId="4B4A8D24" w14:textId="77777777">
            <w:pPr>
              <w:jc w:val="center"/>
              <w:rPr>
                <w:color w:val="000000"/>
              </w:rPr>
            </w:pPr>
            <w:r w:rsidRPr="002D3508">
              <w:rPr>
                <w:color w:val="000000"/>
              </w:rPr>
              <w:t>0.20</w:t>
            </w:r>
          </w:p>
        </w:tc>
        <w:tc>
          <w:tcPr>
            <w:tcW w:w="1795" w:type="dxa"/>
            <w:vAlign w:val="bottom"/>
          </w:tcPr>
          <w:p w:rsidR="00360ED2" w:rsidRPr="002D3508" w:rsidP="00026F9A" w14:paraId="061570A7" w14:textId="77777777">
            <w:pPr>
              <w:jc w:val="center"/>
              <w:rPr>
                <w:color w:val="000000"/>
              </w:rPr>
            </w:pPr>
            <w:r w:rsidRPr="002D3508">
              <w:rPr>
                <w:color w:val="000000"/>
              </w:rPr>
              <w:t>0.35</w:t>
            </w:r>
          </w:p>
        </w:tc>
      </w:tr>
    </w:tbl>
    <w:p w:rsidR="00360ED2" w:rsidP="00026F9A" w14:paraId="3CDF13FE" w14:textId="77777777">
      <w:pPr>
        <w:spacing w:line="480" w:lineRule="auto"/>
        <w:ind w:firstLine="720"/>
        <w:rPr>
          <w:rFonts w:eastAsia="Times New Roman"/>
          <w:color w:val="000000"/>
        </w:rPr>
      </w:pPr>
    </w:p>
    <w:p w:rsidR="00360ED2" w:rsidP="00026F9A" w14:paraId="550EC785" w14:textId="77777777">
      <w:pPr>
        <w:rPr>
          <w:rFonts w:eastAsia="Times New Roman"/>
          <w:b/>
          <w:color w:val="000000"/>
        </w:rPr>
      </w:pPr>
      <w:r>
        <w:rPr>
          <w:rFonts w:eastAsia="Times New Roman"/>
          <w:b/>
          <w:color w:val="000000"/>
        </w:rPr>
        <w:t>Table 25</w:t>
      </w:r>
      <w:r w:rsidRPr="000972AF">
        <w:rPr>
          <w:rFonts w:eastAsia="Times New Roman"/>
          <w:b/>
          <w:color w:val="000000"/>
        </w:rPr>
        <w:t xml:space="preserve">: </w:t>
      </w:r>
      <w:r>
        <w:rPr>
          <w:rFonts w:eastAsia="Times New Roman"/>
          <w:b/>
          <w:color w:val="000000"/>
        </w:rPr>
        <w:t>Fraction of Small Farms That Mitigate That Conduct Each Action</w:t>
      </w:r>
    </w:p>
    <w:tbl>
      <w:tblPr>
        <w:tblStyle w:val="TableGrid"/>
        <w:tblW w:w="0" w:type="auto"/>
        <w:tblLook w:val="04A0"/>
      </w:tblPr>
      <w:tblGrid>
        <w:gridCol w:w="3055"/>
        <w:gridCol w:w="1800"/>
        <w:gridCol w:w="1980"/>
        <w:gridCol w:w="1795"/>
      </w:tblGrid>
      <w:tr w14:paraId="49397054" w14:textId="77777777">
        <w:tblPrEx>
          <w:tblW w:w="0" w:type="auto"/>
          <w:tblLook w:val="04A0"/>
        </w:tblPrEx>
        <w:tc>
          <w:tcPr>
            <w:tcW w:w="3055" w:type="dxa"/>
          </w:tcPr>
          <w:p w:rsidR="00360ED2" w:rsidRPr="008B006E" w:rsidP="00026F9A" w14:paraId="330927C3" w14:textId="77777777">
            <w:pPr>
              <w:rPr>
                <w:rFonts w:eastAsia="Times New Roman"/>
                <w:b/>
                <w:color w:val="000000"/>
              </w:rPr>
            </w:pPr>
            <w:r>
              <w:rPr>
                <w:rFonts w:eastAsia="Times New Roman"/>
                <w:b/>
                <w:color w:val="000000"/>
              </w:rPr>
              <w:t>Mitigation Action</w:t>
            </w:r>
          </w:p>
        </w:tc>
        <w:tc>
          <w:tcPr>
            <w:tcW w:w="1800" w:type="dxa"/>
          </w:tcPr>
          <w:p w:rsidR="00360ED2" w:rsidP="00026F9A" w14:paraId="014733A5" w14:textId="77777777">
            <w:pPr>
              <w:jc w:val="center"/>
              <w:rPr>
                <w:rFonts w:eastAsia="Times New Roman"/>
                <w:b/>
                <w:color w:val="000000"/>
              </w:rPr>
            </w:pPr>
            <w:r>
              <w:rPr>
                <w:rFonts w:eastAsia="Times New Roman"/>
                <w:b/>
                <w:color w:val="000000"/>
              </w:rPr>
              <w:t>Low</w:t>
            </w:r>
          </w:p>
        </w:tc>
        <w:tc>
          <w:tcPr>
            <w:tcW w:w="1980" w:type="dxa"/>
          </w:tcPr>
          <w:p w:rsidR="00360ED2" w:rsidP="00026F9A" w14:paraId="2394DF37" w14:textId="77777777">
            <w:pPr>
              <w:jc w:val="center"/>
              <w:rPr>
                <w:rFonts w:eastAsia="Times New Roman"/>
                <w:b/>
                <w:color w:val="000000"/>
              </w:rPr>
            </w:pPr>
            <w:r>
              <w:rPr>
                <w:rFonts w:eastAsia="Times New Roman"/>
                <w:b/>
                <w:color w:val="000000"/>
              </w:rPr>
              <w:t>Most Likely</w:t>
            </w:r>
          </w:p>
        </w:tc>
        <w:tc>
          <w:tcPr>
            <w:tcW w:w="1795" w:type="dxa"/>
          </w:tcPr>
          <w:p w:rsidR="00360ED2" w:rsidP="00026F9A" w14:paraId="21440325" w14:textId="77777777">
            <w:pPr>
              <w:jc w:val="center"/>
              <w:rPr>
                <w:rFonts w:eastAsia="Times New Roman"/>
                <w:b/>
                <w:color w:val="000000"/>
              </w:rPr>
            </w:pPr>
            <w:r>
              <w:rPr>
                <w:rFonts w:eastAsia="Times New Roman"/>
                <w:b/>
                <w:color w:val="000000"/>
              </w:rPr>
              <w:t>High</w:t>
            </w:r>
          </w:p>
        </w:tc>
      </w:tr>
      <w:tr w14:paraId="45B85C2F" w14:textId="77777777">
        <w:tblPrEx>
          <w:tblW w:w="0" w:type="auto"/>
          <w:tblLook w:val="04A0"/>
        </w:tblPrEx>
        <w:tc>
          <w:tcPr>
            <w:tcW w:w="3055" w:type="dxa"/>
          </w:tcPr>
          <w:p w:rsidR="00360ED2" w:rsidRPr="000972AF" w:rsidP="00026F9A" w14:paraId="3B972C75" w14:textId="77777777">
            <w:pPr>
              <w:rPr>
                <w:rFonts w:eastAsia="Times New Roman"/>
                <w:color w:val="000000"/>
              </w:rPr>
            </w:pPr>
            <w:r>
              <w:rPr>
                <w:rFonts w:eastAsia="Times New Roman"/>
                <w:color w:val="000000"/>
              </w:rPr>
              <w:t>Necessary Changes</w:t>
            </w:r>
          </w:p>
        </w:tc>
        <w:tc>
          <w:tcPr>
            <w:tcW w:w="1800" w:type="dxa"/>
            <w:vAlign w:val="bottom"/>
          </w:tcPr>
          <w:p w:rsidR="00360ED2" w:rsidRPr="002D3508" w:rsidP="00026F9A" w14:paraId="31914FE2" w14:textId="77777777">
            <w:pPr>
              <w:jc w:val="center"/>
              <w:rPr>
                <w:rFonts w:eastAsia="Times New Roman"/>
                <w:color w:val="000000"/>
              </w:rPr>
            </w:pPr>
            <w:r w:rsidRPr="002D3508">
              <w:rPr>
                <w:color w:val="000000"/>
              </w:rPr>
              <w:t>0.25</w:t>
            </w:r>
          </w:p>
        </w:tc>
        <w:tc>
          <w:tcPr>
            <w:tcW w:w="1980" w:type="dxa"/>
            <w:vAlign w:val="bottom"/>
          </w:tcPr>
          <w:p w:rsidR="00360ED2" w:rsidRPr="002D3508" w:rsidP="00026F9A" w14:paraId="2EB2609A" w14:textId="77777777">
            <w:pPr>
              <w:jc w:val="center"/>
              <w:rPr>
                <w:color w:val="000000"/>
              </w:rPr>
            </w:pPr>
            <w:r w:rsidRPr="002D3508">
              <w:rPr>
                <w:color w:val="000000"/>
              </w:rPr>
              <w:t>0.30</w:t>
            </w:r>
          </w:p>
        </w:tc>
        <w:tc>
          <w:tcPr>
            <w:tcW w:w="1795" w:type="dxa"/>
            <w:vAlign w:val="bottom"/>
          </w:tcPr>
          <w:p w:rsidR="00360ED2" w:rsidRPr="002D3508" w:rsidP="00026F9A" w14:paraId="0C30C313" w14:textId="77777777">
            <w:pPr>
              <w:jc w:val="center"/>
              <w:rPr>
                <w:color w:val="000000"/>
              </w:rPr>
            </w:pPr>
            <w:r w:rsidRPr="002D3508">
              <w:rPr>
                <w:color w:val="000000"/>
              </w:rPr>
              <w:t>0.70</w:t>
            </w:r>
          </w:p>
        </w:tc>
      </w:tr>
      <w:tr w14:paraId="58A01ADC" w14:textId="77777777">
        <w:tblPrEx>
          <w:tblW w:w="0" w:type="auto"/>
          <w:tblLook w:val="04A0"/>
        </w:tblPrEx>
        <w:tc>
          <w:tcPr>
            <w:tcW w:w="3055" w:type="dxa"/>
          </w:tcPr>
          <w:p w:rsidR="00360ED2" w:rsidRPr="000972AF" w:rsidP="00026F9A" w14:paraId="4CB55E53" w14:textId="77777777">
            <w:pPr>
              <w:rPr>
                <w:rFonts w:eastAsia="Times New Roman"/>
                <w:color w:val="000000"/>
              </w:rPr>
            </w:pPr>
            <w:r>
              <w:rPr>
                <w:rFonts w:eastAsia="Times New Roman"/>
                <w:color w:val="000000"/>
              </w:rPr>
              <w:t>Pre-harvest Die-off</w:t>
            </w:r>
          </w:p>
        </w:tc>
        <w:tc>
          <w:tcPr>
            <w:tcW w:w="1800" w:type="dxa"/>
            <w:vAlign w:val="bottom"/>
          </w:tcPr>
          <w:p w:rsidR="00360ED2" w:rsidRPr="002D3508" w:rsidP="00026F9A" w14:paraId="64F07B87" w14:textId="77777777">
            <w:pPr>
              <w:jc w:val="center"/>
              <w:rPr>
                <w:color w:val="000000"/>
              </w:rPr>
            </w:pPr>
            <w:r w:rsidRPr="002D3508">
              <w:rPr>
                <w:color w:val="000000"/>
              </w:rPr>
              <w:t>0.20</w:t>
            </w:r>
          </w:p>
        </w:tc>
        <w:tc>
          <w:tcPr>
            <w:tcW w:w="1980" w:type="dxa"/>
            <w:vAlign w:val="bottom"/>
          </w:tcPr>
          <w:p w:rsidR="00360ED2" w:rsidRPr="002D3508" w:rsidP="00026F9A" w14:paraId="78BFE107" w14:textId="77777777">
            <w:pPr>
              <w:jc w:val="center"/>
              <w:rPr>
                <w:color w:val="000000"/>
              </w:rPr>
            </w:pPr>
            <w:r w:rsidRPr="002D3508">
              <w:rPr>
                <w:color w:val="000000"/>
              </w:rPr>
              <w:t>0.30</w:t>
            </w:r>
          </w:p>
        </w:tc>
        <w:tc>
          <w:tcPr>
            <w:tcW w:w="1795" w:type="dxa"/>
            <w:vAlign w:val="bottom"/>
          </w:tcPr>
          <w:p w:rsidR="00360ED2" w:rsidRPr="002D3508" w:rsidP="00026F9A" w14:paraId="7428B476" w14:textId="77777777">
            <w:pPr>
              <w:jc w:val="center"/>
              <w:rPr>
                <w:color w:val="000000"/>
              </w:rPr>
            </w:pPr>
            <w:r w:rsidRPr="002D3508">
              <w:rPr>
                <w:color w:val="000000"/>
              </w:rPr>
              <w:t>0.50</w:t>
            </w:r>
          </w:p>
        </w:tc>
      </w:tr>
      <w:tr w14:paraId="6FF9BA40" w14:textId="77777777">
        <w:tblPrEx>
          <w:tblW w:w="0" w:type="auto"/>
          <w:tblLook w:val="04A0"/>
        </w:tblPrEx>
        <w:tc>
          <w:tcPr>
            <w:tcW w:w="3055" w:type="dxa"/>
          </w:tcPr>
          <w:p w:rsidR="00360ED2" w:rsidRPr="000972AF" w:rsidP="00026F9A" w14:paraId="11335DD7" w14:textId="77777777">
            <w:pPr>
              <w:rPr>
                <w:rFonts w:eastAsia="Times New Roman"/>
                <w:color w:val="000000"/>
              </w:rPr>
            </w:pPr>
            <w:r>
              <w:rPr>
                <w:rFonts w:eastAsia="Times New Roman"/>
                <w:color w:val="000000"/>
              </w:rPr>
              <w:t>Postharvest Die-off</w:t>
            </w:r>
          </w:p>
        </w:tc>
        <w:tc>
          <w:tcPr>
            <w:tcW w:w="1800" w:type="dxa"/>
            <w:vAlign w:val="bottom"/>
          </w:tcPr>
          <w:p w:rsidR="00360ED2" w:rsidRPr="002D3508" w:rsidP="00026F9A" w14:paraId="7AA3B481" w14:textId="77777777">
            <w:pPr>
              <w:jc w:val="center"/>
              <w:rPr>
                <w:color w:val="000000"/>
              </w:rPr>
            </w:pPr>
            <w:r w:rsidRPr="002D3508">
              <w:rPr>
                <w:color w:val="000000"/>
              </w:rPr>
              <w:t>0.15</w:t>
            </w:r>
          </w:p>
        </w:tc>
        <w:tc>
          <w:tcPr>
            <w:tcW w:w="1980" w:type="dxa"/>
            <w:vAlign w:val="bottom"/>
          </w:tcPr>
          <w:p w:rsidR="00360ED2" w:rsidRPr="002D3508" w:rsidP="00026F9A" w14:paraId="7550A9ED" w14:textId="77777777">
            <w:pPr>
              <w:jc w:val="center"/>
              <w:rPr>
                <w:color w:val="000000"/>
              </w:rPr>
            </w:pPr>
            <w:r w:rsidRPr="002D3508">
              <w:rPr>
                <w:color w:val="000000"/>
              </w:rPr>
              <w:t>0.30</w:t>
            </w:r>
          </w:p>
        </w:tc>
        <w:tc>
          <w:tcPr>
            <w:tcW w:w="1795" w:type="dxa"/>
            <w:vAlign w:val="bottom"/>
          </w:tcPr>
          <w:p w:rsidR="00360ED2" w:rsidRPr="002D3508" w:rsidP="00026F9A" w14:paraId="3293ED0C" w14:textId="77777777">
            <w:pPr>
              <w:jc w:val="center"/>
              <w:rPr>
                <w:color w:val="000000"/>
              </w:rPr>
            </w:pPr>
            <w:r w:rsidRPr="002D3508">
              <w:rPr>
                <w:color w:val="000000"/>
              </w:rPr>
              <w:t>0.50</w:t>
            </w:r>
          </w:p>
        </w:tc>
      </w:tr>
      <w:tr w14:paraId="2D482B65" w14:textId="77777777">
        <w:tblPrEx>
          <w:tblW w:w="0" w:type="auto"/>
          <w:tblLook w:val="04A0"/>
        </w:tblPrEx>
        <w:tc>
          <w:tcPr>
            <w:tcW w:w="3055" w:type="dxa"/>
          </w:tcPr>
          <w:p w:rsidR="00360ED2" w:rsidP="00026F9A" w14:paraId="5A6B21BC" w14:textId="77777777">
            <w:pPr>
              <w:rPr>
                <w:rFonts w:eastAsia="Times New Roman"/>
                <w:color w:val="000000"/>
              </w:rPr>
            </w:pPr>
            <w:r>
              <w:rPr>
                <w:rFonts w:eastAsia="Times New Roman"/>
                <w:color w:val="000000"/>
              </w:rPr>
              <w:t>Changing Water Application</w:t>
            </w:r>
          </w:p>
        </w:tc>
        <w:tc>
          <w:tcPr>
            <w:tcW w:w="1800" w:type="dxa"/>
            <w:vAlign w:val="bottom"/>
          </w:tcPr>
          <w:p w:rsidR="00360ED2" w:rsidRPr="002D3508" w:rsidP="00026F9A" w14:paraId="5AFA0622" w14:textId="77777777">
            <w:pPr>
              <w:jc w:val="center"/>
              <w:rPr>
                <w:color w:val="000000"/>
              </w:rPr>
            </w:pPr>
            <w:r w:rsidRPr="002D3508">
              <w:rPr>
                <w:color w:val="000000"/>
              </w:rPr>
              <w:t>0.10</w:t>
            </w:r>
          </w:p>
        </w:tc>
        <w:tc>
          <w:tcPr>
            <w:tcW w:w="1980" w:type="dxa"/>
            <w:vAlign w:val="bottom"/>
          </w:tcPr>
          <w:p w:rsidR="00360ED2" w:rsidRPr="002D3508" w:rsidP="00026F9A" w14:paraId="44CA2237" w14:textId="77777777">
            <w:pPr>
              <w:jc w:val="center"/>
              <w:rPr>
                <w:color w:val="000000"/>
              </w:rPr>
            </w:pPr>
            <w:r w:rsidRPr="002D3508">
              <w:rPr>
                <w:color w:val="000000"/>
              </w:rPr>
              <w:t>0.20</w:t>
            </w:r>
          </w:p>
        </w:tc>
        <w:tc>
          <w:tcPr>
            <w:tcW w:w="1795" w:type="dxa"/>
            <w:vAlign w:val="bottom"/>
          </w:tcPr>
          <w:p w:rsidR="00360ED2" w:rsidRPr="002D3508" w:rsidP="00026F9A" w14:paraId="198F65FC" w14:textId="77777777">
            <w:pPr>
              <w:jc w:val="center"/>
              <w:rPr>
                <w:color w:val="000000"/>
              </w:rPr>
            </w:pPr>
            <w:r w:rsidRPr="002D3508">
              <w:rPr>
                <w:color w:val="000000"/>
              </w:rPr>
              <w:t>0.25</w:t>
            </w:r>
          </w:p>
        </w:tc>
      </w:tr>
      <w:tr w14:paraId="3A9B2D5A" w14:textId="77777777">
        <w:tblPrEx>
          <w:tblW w:w="0" w:type="auto"/>
          <w:tblLook w:val="04A0"/>
        </w:tblPrEx>
        <w:tc>
          <w:tcPr>
            <w:tcW w:w="3055" w:type="dxa"/>
          </w:tcPr>
          <w:p w:rsidR="00360ED2" w:rsidP="00026F9A" w14:paraId="44B59A08" w14:textId="77777777">
            <w:pPr>
              <w:rPr>
                <w:rFonts w:eastAsia="Times New Roman"/>
                <w:color w:val="000000"/>
              </w:rPr>
            </w:pPr>
            <w:r>
              <w:rPr>
                <w:rFonts w:eastAsia="Times New Roman"/>
                <w:color w:val="000000"/>
              </w:rPr>
              <w:t>Water Treatment</w:t>
            </w:r>
          </w:p>
        </w:tc>
        <w:tc>
          <w:tcPr>
            <w:tcW w:w="1800" w:type="dxa"/>
            <w:vAlign w:val="bottom"/>
          </w:tcPr>
          <w:p w:rsidR="00360ED2" w:rsidRPr="002D3508" w:rsidP="00026F9A" w14:paraId="05E304AB" w14:textId="77777777">
            <w:pPr>
              <w:jc w:val="center"/>
              <w:rPr>
                <w:color w:val="000000"/>
              </w:rPr>
            </w:pPr>
            <w:r w:rsidRPr="002D3508">
              <w:rPr>
                <w:color w:val="000000"/>
              </w:rPr>
              <w:t>0.10</w:t>
            </w:r>
          </w:p>
        </w:tc>
        <w:tc>
          <w:tcPr>
            <w:tcW w:w="1980" w:type="dxa"/>
            <w:vAlign w:val="bottom"/>
          </w:tcPr>
          <w:p w:rsidR="00360ED2" w:rsidRPr="002D3508" w:rsidP="00026F9A" w14:paraId="7136CCD7" w14:textId="77777777">
            <w:pPr>
              <w:jc w:val="center"/>
              <w:rPr>
                <w:color w:val="000000"/>
              </w:rPr>
            </w:pPr>
            <w:r w:rsidRPr="002D3508">
              <w:rPr>
                <w:color w:val="000000"/>
              </w:rPr>
              <w:t>0.20</w:t>
            </w:r>
          </w:p>
        </w:tc>
        <w:tc>
          <w:tcPr>
            <w:tcW w:w="1795" w:type="dxa"/>
            <w:vAlign w:val="bottom"/>
          </w:tcPr>
          <w:p w:rsidR="00360ED2" w:rsidRPr="002D3508" w:rsidP="00026F9A" w14:paraId="5E5D4133" w14:textId="77777777">
            <w:pPr>
              <w:jc w:val="center"/>
              <w:rPr>
                <w:color w:val="000000"/>
              </w:rPr>
            </w:pPr>
            <w:r w:rsidRPr="002D3508">
              <w:rPr>
                <w:color w:val="000000"/>
              </w:rPr>
              <w:t>0.35</w:t>
            </w:r>
          </w:p>
        </w:tc>
      </w:tr>
      <w:tr w14:paraId="4D195656" w14:textId="77777777">
        <w:tblPrEx>
          <w:tblW w:w="0" w:type="auto"/>
          <w:tblLook w:val="04A0"/>
        </w:tblPrEx>
        <w:tc>
          <w:tcPr>
            <w:tcW w:w="3055" w:type="dxa"/>
          </w:tcPr>
          <w:p w:rsidR="00360ED2" w:rsidP="00026F9A" w14:paraId="6E2797C8" w14:textId="77777777">
            <w:pPr>
              <w:rPr>
                <w:rFonts w:eastAsia="Times New Roman"/>
                <w:color w:val="000000"/>
              </w:rPr>
            </w:pPr>
            <w:r>
              <w:rPr>
                <w:rFonts w:eastAsia="Times New Roman"/>
                <w:color w:val="000000"/>
              </w:rPr>
              <w:t>Alternative Options</w:t>
            </w:r>
          </w:p>
        </w:tc>
        <w:tc>
          <w:tcPr>
            <w:tcW w:w="1800" w:type="dxa"/>
            <w:vAlign w:val="bottom"/>
          </w:tcPr>
          <w:p w:rsidR="00360ED2" w:rsidRPr="002D3508" w:rsidP="00026F9A" w14:paraId="7FF6B56F" w14:textId="77777777">
            <w:pPr>
              <w:jc w:val="center"/>
              <w:rPr>
                <w:color w:val="000000"/>
              </w:rPr>
            </w:pPr>
            <w:r w:rsidRPr="002D3508">
              <w:rPr>
                <w:color w:val="000000"/>
              </w:rPr>
              <w:t>0.10</w:t>
            </w:r>
          </w:p>
        </w:tc>
        <w:tc>
          <w:tcPr>
            <w:tcW w:w="1980" w:type="dxa"/>
            <w:vAlign w:val="bottom"/>
          </w:tcPr>
          <w:p w:rsidR="00360ED2" w:rsidRPr="002D3508" w:rsidP="00026F9A" w14:paraId="369B652D" w14:textId="77777777">
            <w:pPr>
              <w:jc w:val="center"/>
              <w:rPr>
                <w:color w:val="000000"/>
              </w:rPr>
            </w:pPr>
            <w:r w:rsidRPr="002D3508">
              <w:rPr>
                <w:color w:val="000000"/>
              </w:rPr>
              <w:t>0.25</w:t>
            </w:r>
          </w:p>
        </w:tc>
        <w:tc>
          <w:tcPr>
            <w:tcW w:w="1795" w:type="dxa"/>
            <w:vAlign w:val="bottom"/>
          </w:tcPr>
          <w:p w:rsidR="00360ED2" w:rsidRPr="002D3508" w:rsidP="00026F9A" w14:paraId="028540F3" w14:textId="77777777">
            <w:pPr>
              <w:jc w:val="center"/>
              <w:rPr>
                <w:color w:val="000000"/>
              </w:rPr>
            </w:pPr>
            <w:r w:rsidRPr="002D3508">
              <w:rPr>
                <w:color w:val="000000"/>
              </w:rPr>
              <w:t>0.45</w:t>
            </w:r>
          </w:p>
        </w:tc>
      </w:tr>
    </w:tbl>
    <w:p w:rsidR="00360ED2" w:rsidP="00026F9A" w14:paraId="6011F397" w14:textId="77777777">
      <w:pPr>
        <w:spacing w:line="480" w:lineRule="auto"/>
        <w:ind w:firstLine="720"/>
        <w:rPr>
          <w:rFonts w:eastAsia="Times New Roman"/>
          <w:color w:val="000000"/>
        </w:rPr>
      </w:pPr>
    </w:p>
    <w:p w:rsidR="00360ED2" w:rsidP="00026F9A" w14:paraId="2BBACA3D" w14:textId="77777777">
      <w:pPr>
        <w:rPr>
          <w:rFonts w:eastAsia="Times New Roman"/>
          <w:b/>
          <w:color w:val="000000"/>
        </w:rPr>
      </w:pPr>
      <w:r>
        <w:rPr>
          <w:rFonts w:eastAsia="Times New Roman"/>
          <w:b/>
          <w:color w:val="000000"/>
        </w:rPr>
        <w:t>Table 26</w:t>
      </w:r>
      <w:r w:rsidRPr="000972AF">
        <w:rPr>
          <w:rFonts w:eastAsia="Times New Roman"/>
          <w:b/>
          <w:color w:val="000000"/>
        </w:rPr>
        <w:t xml:space="preserve">: </w:t>
      </w:r>
      <w:r>
        <w:rPr>
          <w:rFonts w:eastAsia="Times New Roman"/>
          <w:b/>
          <w:color w:val="000000"/>
        </w:rPr>
        <w:t>Fraction of Large Farms That Mitigate That Conduct Each Action</w:t>
      </w:r>
    </w:p>
    <w:tbl>
      <w:tblPr>
        <w:tblStyle w:val="TableGrid"/>
        <w:tblW w:w="0" w:type="auto"/>
        <w:tblLook w:val="04A0"/>
      </w:tblPr>
      <w:tblGrid>
        <w:gridCol w:w="3055"/>
        <w:gridCol w:w="1800"/>
        <w:gridCol w:w="1980"/>
        <w:gridCol w:w="1795"/>
      </w:tblGrid>
      <w:tr w14:paraId="1605CA21" w14:textId="77777777">
        <w:tblPrEx>
          <w:tblW w:w="0" w:type="auto"/>
          <w:tblLook w:val="04A0"/>
        </w:tblPrEx>
        <w:tc>
          <w:tcPr>
            <w:tcW w:w="3055" w:type="dxa"/>
          </w:tcPr>
          <w:p w:rsidR="00360ED2" w:rsidRPr="008B006E" w:rsidP="00026F9A" w14:paraId="37ED4C98" w14:textId="77777777">
            <w:pPr>
              <w:rPr>
                <w:rFonts w:eastAsia="Times New Roman"/>
                <w:b/>
                <w:color w:val="000000"/>
              </w:rPr>
            </w:pPr>
            <w:r>
              <w:rPr>
                <w:rFonts w:eastAsia="Times New Roman"/>
                <w:b/>
                <w:color w:val="000000"/>
              </w:rPr>
              <w:t>Mitigation Action</w:t>
            </w:r>
          </w:p>
        </w:tc>
        <w:tc>
          <w:tcPr>
            <w:tcW w:w="1800" w:type="dxa"/>
          </w:tcPr>
          <w:p w:rsidR="00360ED2" w:rsidP="00026F9A" w14:paraId="25A0332B" w14:textId="77777777">
            <w:pPr>
              <w:jc w:val="center"/>
              <w:rPr>
                <w:rFonts w:eastAsia="Times New Roman"/>
                <w:b/>
                <w:color w:val="000000"/>
              </w:rPr>
            </w:pPr>
            <w:r>
              <w:rPr>
                <w:rFonts w:eastAsia="Times New Roman"/>
                <w:b/>
                <w:color w:val="000000"/>
              </w:rPr>
              <w:t>Low</w:t>
            </w:r>
          </w:p>
        </w:tc>
        <w:tc>
          <w:tcPr>
            <w:tcW w:w="1980" w:type="dxa"/>
          </w:tcPr>
          <w:p w:rsidR="00360ED2" w:rsidP="00026F9A" w14:paraId="0DD7CB32" w14:textId="77777777">
            <w:pPr>
              <w:jc w:val="center"/>
              <w:rPr>
                <w:rFonts w:eastAsia="Times New Roman"/>
                <w:b/>
                <w:color w:val="000000"/>
              </w:rPr>
            </w:pPr>
            <w:r>
              <w:rPr>
                <w:rFonts w:eastAsia="Times New Roman"/>
                <w:b/>
                <w:color w:val="000000"/>
              </w:rPr>
              <w:t>Most Likely</w:t>
            </w:r>
          </w:p>
        </w:tc>
        <w:tc>
          <w:tcPr>
            <w:tcW w:w="1795" w:type="dxa"/>
          </w:tcPr>
          <w:p w:rsidR="00360ED2" w:rsidP="00026F9A" w14:paraId="2A9AF716" w14:textId="77777777">
            <w:pPr>
              <w:jc w:val="center"/>
              <w:rPr>
                <w:rFonts w:eastAsia="Times New Roman"/>
                <w:b/>
                <w:color w:val="000000"/>
              </w:rPr>
            </w:pPr>
            <w:r>
              <w:rPr>
                <w:rFonts w:eastAsia="Times New Roman"/>
                <w:b/>
                <w:color w:val="000000"/>
              </w:rPr>
              <w:t>High</w:t>
            </w:r>
          </w:p>
        </w:tc>
      </w:tr>
      <w:tr w14:paraId="23332954" w14:textId="77777777">
        <w:tblPrEx>
          <w:tblW w:w="0" w:type="auto"/>
          <w:tblLook w:val="04A0"/>
        </w:tblPrEx>
        <w:tc>
          <w:tcPr>
            <w:tcW w:w="3055" w:type="dxa"/>
          </w:tcPr>
          <w:p w:rsidR="00360ED2" w:rsidRPr="000972AF" w:rsidP="00026F9A" w14:paraId="7728243C" w14:textId="77777777">
            <w:pPr>
              <w:rPr>
                <w:rFonts w:eastAsia="Times New Roman"/>
                <w:color w:val="000000"/>
              </w:rPr>
            </w:pPr>
            <w:r>
              <w:rPr>
                <w:rFonts w:eastAsia="Times New Roman"/>
                <w:color w:val="000000"/>
              </w:rPr>
              <w:t>Necessary Changes</w:t>
            </w:r>
          </w:p>
        </w:tc>
        <w:tc>
          <w:tcPr>
            <w:tcW w:w="1800" w:type="dxa"/>
            <w:vAlign w:val="bottom"/>
          </w:tcPr>
          <w:p w:rsidR="00360ED2" w:rsidRPr="002D3508" w:rsidP="00026F9A" w14:paraId="5A03003D" w14:textId="77777777">
            <w:pPr>
              <w:jc w:val="center"/>
              <w:rPr>
                <w:rFonts w:eastAsia="Times New Roman"/>
                <w:color w:val="000000"/>
              </w:rPr>
            </w:pPr>
            <w:r w:rsidRPr="002D3508">
              <w:rPr>
                <w:color w:val="000000"/>
              </w:rPr>
              <w:t>0.23</w:t>
            </w:r>
          </w:p>
        </w:tc>
        <w:tc>
          <w:tcPr>
            <w:tcW w:w="1980" w:type="dxa"/>
            <w:vAlign w:val="bottom"/>
          </w:tcPr>
          <w:p w:rsidR="00360ED2" w:rsidRPr="002D3508" w:rsidP="00026F9A" w14:paraId="402D1A79" w14:textId="77777777">
            <w:pPr>
              <w:jc w:val="center"/>
              <w:rPr>
                <w:color w:val="000000"/>
              </w:rPr>
            </w:pPr>
            <w:r w:rsidRPr="002D3508">
              <w:rPr>
                <w:color w:val="000000"/>
              </w:rPr>
              <w:t>0.40</w:t>
            </w:r>
          </w:p>
        </w:tc>
        <w:tc>
          <w:tcPr>
            <w:tcW w:w="1795" w:type="dxa"/>
            <w:vAlign w:val="bottom"/>
          </w:tcPr>
          <w:p w:rsidR="00360ED2" w:rsidRPr="002D3508" w:rsidP="00026F9A" w14:paraId="1D5D6688" w14:textId="77777777">
            <w:pPr>
              <w:jc w:val="center"/>
              <w:rPr>
                <w:color w:val="000000"/>
              </w:rPr>
            </w:pPr>
            <w:r w:rsidRPr="002D3508">
              <w:rPr>
                <w:color w:val="000000"/>
              </w:rPr>
              <w:t>0.80</w:t>
            </w:r>
          </w:p>
        </w:tc>
      </w:tr>
      <w:tr w14:paraId="598E1C39" w14:textId="77777777">
        <w:tblPrEx>
          <w:tblW w:w="0" w:type="auto"/>
          <w:tblLook w:val="04A0"/>
        </w:tblPrEx>
        <w:tc>
          <w:tcPr>
            <w:tcW w:w="3055" w:type="dxa"/>
          </w:tcPr>
          <w:p w:rsidR="00360ED2" w:rsidRPr="000972AF" w:rsidP="00026F9A" w14:paraId="7CC53EA6" w14:textId="77777777">
            <w:pPr>
              <w:rPr>
                <w:rFonts w:eastAsia="Times New Roman"/>
                <w:color w:val="000000"/>
              </w:rPr>
            </w:pPr>
            <w:r>
              <w:rPr>
                <w:rFonts w:eastAsia="Times New Roman"/>
                <w:color w:val="000000"/>
              </w:rPr>
              <w:t>Pre-harvest Die-off</w:t>
            </w:r>
          </w:p>
        </w:tc>
        <w:tc>
          <w:tcPr>
            <w:tcW w:w="1800" w:type="dxa"/>
            <w:vAlign w:val="bottom"/>
          </w:tcPr>
          <w:p w:rsidR="00360ED2" w:rsidRPr="002D3508" w:rsidP="00026F9A" w14:paraId="36015CEB" w14:textId="77777777">
            <w:pPr>
              <w:jc w:val="center"/>
              <w:rPr>
                <w:color w:val="000000"/>
              </w:rPr>
            </w:pPr>
            <w:r w:rsidRPr="002D3508">
              <w:rPr>
                <w:color w:val="000000"/>
              </w:rPr>
              <w:t>0.23</w:t>
            </w:r>
          </w:p>
        </w:tc>
        <w:tc>
          <w:tcPr>
            <w:tcW w:w="1980" w:type="dxa"/>
            <w:vAlign w:val="bottom"/>
          </w:tcPr>
          <w:p w:rsidR="00360ED2" w:rsidRPr="002D3508" w:rsidP="00026F9A" w14:paraId="6D566B86" w14:textId="77777777">
            <w:pPr>
              <w:jc w:val="center"/>
              <w:rPr>
                <w:color w:val="000000"/>
              </w:rPr>
            </w:pPr>
            <w:r w:rsidRPr="002D3508">
              <w:rPr>
                <w:color w:val="000000"/>
              </w:rPr>
              <w:t>0.30</w:t>
            </w:r>
          </w:p>
        </w:tc>
        <w:tc>
          <w:tcPr>
            <w:tcW w:w="1795" w:type="dxa"/>
            <w:vAlign w:val="bottom"/>
          </w:tcPr>
          <w:p w:rsidR="00360ED2" w:rsidRPr="002D3508" w:rsidP="00026F9A" w14:paraId="2767F0D0" w14:textId="77777777">
            <w:pPr>
              <w:jc w:val="center"/>
              <w:rPr>
                <w:color w:val="000000"/>
              </w:rPr>
            </w:pPr>
            <w:r w:rsidRPr="002D3508">
              <w:rPr>
                <w:color w:val="000000"/>
              </w:rPr>
              <w:t>0.50</w:t>
            </w:r>
          </w:p>
        </w:tc>
      </w:tr>
      <w:tr w14:paraId="220538CC" w14:textId="77777777">
        <w:tblPrEx>
          <w:tblW w:w="0" w:type="auto"/>
          <w:tblLook w:val="04A0"/>
        </w:tblPrEx>
        <w:tc>
          <w:tcPr>
            <w:tcW w:w="3055" w:type="dxa"/>
          </w:tcPr>
          <w:p w:rsidR="00360ED2" w:rsidRPr="000972AF" w:rsidP="00026F9A" w14:paraId="3BDDAD8B" w14:textId="77777777">
            <w:pPr>
              <w:rPr>
                <w:rFonts w:eastAsia="Times New Roman"/>
                <w:color w:val="000000"/>
              </w:rPr>
            </w:pPr>
            <w:r>
              <w:rPr>
                <w:rFonts w:eastAsia="Times New Roman"/>
                <w:color w:val="000000"/>
              </w:rPr>
              <w:t>Postharvest Die-off</w:t>
            </w:r>
          </w:p>
        </w:tc>
        <w:tc>
          <w:tcPr>
            <w:tcW w:w="1800" w:type="dxa"/>
            <w:vAlign w:val="bottom"/>
          </w:tcPr>
          <w:p w:rsidR="00360ED2" w:rsidRPr="002D3508" w:rsidP="00026F9A" w14:paraId="42578A7B" w14:textId="77777777">
            <w:pPr>
              <w:jc w:val="center"/>
              <w:rPr>
                <w:color w:val="000000"/>
              </w:rPr>
            </w:pPr>
            <w:r w:rsidRPr="002D3508">
              <w:rPr>
                <w:color w:val="000000"/>
              </w:rPr>
              <w:t>0.15</w:t>
            </w:r>
          </w:p>
        </w:tc>
        <w:tc>
          <w:tcPr>
            <w:tcW w:w="1980" w:type="dxa"/>
            <w:vAlign w:val="bottom"/>
          </w:tcPr>
          <w:p w:rsidR="00360ED2" w:rsidRPr="002D3508" w:rsidP="00026F9A" w14:paraId="33687A7C" w14:textId="77777777">
            <w:pPr>
              <w:jc w:val="center"/>
              <w:rPr>
                <w:color w:val="000000"/>
              </w:rPr>
            </w:pPr>
            <w:r w:rsidRPr="002D3508">
              <w:rPr>
                <w:color w:val="000000"/>
              </w:rPr>
              <w:t>0.35</w:t>
            </w:r>
          </w:p>
        </w:tc>
        <w:tc>
          <w:tcPr>
            <w:tcW w:w="1795" w:type="dxa"/>
            <w:vAlign w:val="bottom"/>
          </w:tcPr>
          <w:p w:rsidR="00360ED2" w:rsidRPr="002D3508" w:rsidP="00026F9A" w14:paraId="4A2FACCE" w14:textId="77777777">
            <w:pPr>
              <w:jc w:val="center"/>
              <w:rPr>
                <w:color w:val="000000"/>
              </w:rPr>
            </w:pPr>
            <w:r w:rsidRPr="002D3508">
              <w:rPr>
                <w:color w:val="000000"/>
              </w:rPr>
              <w:t>0.50</w:t>
            </w:r>
          </w:p>
        </w:tc>
      </w:tr>
      <w:tr w14:paraId="776B2504" w14:textId="77777777">
        <w:tblPrEx>
          <w:tblW w:w="0" w:type="auto"/>
          <w:tblLook w:val="04A0"/>
        </w:tblPrEx>
        <w:tc>
          <w:tcPr>
            <w:tcW w:w="3055" w:type="dxa"/>
          </w:tcPr>
          <w:p w:rsidR="00360ED2" w:rsidP="00026F9A" w14:paraId="3D60BB68" w14:textId="77777777">
            <w:pPr>
              <w:rPr>
                <w:rFonts w:eastAsia="Times New Roman"/>
                <w:color w:val="000000"/>
              </w:rPr>
            </w:pPr>
            <w:r>
              <w:rPr>
                <w:rFonts w:eastAsia="Times New Roman"/>
                <w:color w:val="000000"/>
              </w:rPr>
              <w:t>Changing Water Application</w:t>
            </w:r>
          </w:p>
        </w:tc>
        <w:tc>
          <w:tcPr>
            <w:tcW w:w="1800" w:type="dxa"/>
            <w:vAlign w:val="bottom"/>
          </w:tcPr>
          <w:p w:rsidR="00360ED2" w:rsidRPr="002D3508" w:rsidP="00026F9A" w14:paraId="430261B1" w14:textId="77777777">
            <w:pPr>
              <w:jc w:val="center"/>
              <w:rPr>
                <w:color w:val="000000"/>
              </w:rPr>
            </w:pPr>
            <w:r w:rsidRPr="002D3508">
              <w:rPr>
                <w:color w:val="000000"/>
              </w:rPr>
              <w:t>0.10</w:t>
            </w:r>
          </w:p>
        </w:tc>
        <w:tc>
          <w:tcPr>
            <w:tcW w:w="1980" w:type="dxa"/>
            <w:vAlign w:val="bottom"/>
          </w:tcPr>
          <w:p w:rsidR="00360ED2" w:rsidRPr="002D3508" w:rsidP="00026F9A" w14:paraId="4D6AA621" w14:textId="77777777">
            <w:pPr>
              <w:jc w:val="center"/>
              <w:rPr>
                <w:color w:val="000000"/>
              </w:rPr>
            </w:pPr>
            <w:r w:rsidRPr="002D3508">
              <w:rPr>
                <w:color w:val="000000"/>
              </w:rPr>
              <w:t>0.15</w:t>
            </w:r>
          </w:p>
        </w:tc>
        <w:tc>
          <w:tcPr>
            <w:tcW w:w="1795" w:type="dxa"/>
            <w:vAlign w:val="bottom"/>
          </w:tcPr>
          <w:p w:rsidR="00360ED2" w:rsidRPr="002D3508" w:rsidP="00026F9A" w14:paraId="0F74303C" w14:textId="77777777">
            <w:pPr>
              <w:jc w:val="center"/>
              <w:rPr>
                <w:color w:val="000000"/>
              </w:rPr>
            </w:pPr>
            <w:r w:rsidRPr="002D3508">
              <w:rPr>
                <w:color w:val="000000"/>
              </w:rPr>
              <w:t>0.23</w:t>
            </w:r>
          </w:p>
        </w:tc>
      </w:tr>
      <w:tr w14:paraId="1F8BFBE0" w14:textId="77777777">
        <w:tblPrEx>
          <w:tblW w:w="0" w:type="auto"/>
          <w:tblLook w:val="04A0"/>
        </w:tblPrEx>
        <w:tc>
          <w:tcPr>
            <w:tcW w:w="3055" w:type="dxa"/>
          </w:tcPr>
          <w:p w:rsidR="00360ED2" w:rsidP="00026F9A" w14:paraId="647805A2" w14:textId="77777777">
            <w:pPr>
              <w:rPr>
                <w:rFonts w:eastAsia="Times New Roman"/>
                <w:color w:val="000000"/>
              </w:rPr>
            </w:pPr>
            <w:r>
              <w:rPr>
                <w:rFonts w:eastAsia="Times New Roman"/>
                <w:color w:val="000000"/>
              </w:rPr>
              <w:t>Water Treatment</w:t>
            </w:r>
          </w:p>
        </w:tc>
        <w:tc>
          <w:tcPr>
            <w:tcW w:w="1800" w:type="dxa"/>
            <w:vAlign w:val="bottom"/>
          </w:tcPr>
          <w:p w:rsidR="00360ED2" w:rsidRPr="002D3508" w:rsidP="00026F9A" w14:paraId="6B7D095E" w14:textId="77777777">
            <w:pPr>
              <w:jc w:val="center"/>
              <w:rPr>
                <w:color w:val="000000"/>
              </w:rPr>
            </w:pPr>
            <w:r w:rsidRPr="002D3508">
              <w:rPr>
                <w:color w:val="000000"/>
              </w:rPr>
              <w:t>0.15</w:t>
            </w:r>
          </w:p>
        </w:tc>
        <w:tc>
          <w:tcPr>
            <w:tcW w:w="1980" w:type="dxa"/>
            <w:vAlign w:val="bottom"/>
          </w:tcPr>
          <w:p w:rsidR="00360ED2" w:rsidRPr="002D3508" w:rsidP="00026F9A" w14:paraId="36DD3C1B" w14:textId="77777777">
            <w:pPr>
              <w:jc w:val="center"/>
              <w:rPr>
                <w:color w:val="000000"/>
              </w:rPr>
            </w:pPr>
            <w:r w:rsidRPr="002D3508">
              <w:rPr>
                <w:color w:val="000000"/>
              </w:rPr>
              <w:t>0.30</w:t>
            </w:r>
          </w:p>
        </w:tc>
        <w:tc>
          <w:tcPr>
            <w:tcW w:w="1795" w:type="dxa"/>
            <w:vAlign w:val="bottom"/>
          </w:tcPr>
          <w:p w:rsidR="00360ED2" w:rsidRPr="002D3508" w:rsidP="00026F9A" w14:paraId="6057B372" w14:textId="77777777">
            <w:pPr>
              <w:jc w:val="center"/>
              <w:rPr>
                <w:color w:val="000000"/>
              </w:rPr>
            </w:pPr>
            <w:r w:rsidRPr="002D3508">
              <w:rPr>
                <w:color w:val="000000"/>
              </w:rPr>
              <w:t>0.40</w:t>
            </w:r>
          </w:p>
        </w:tc>
      </w:tr>
      <w:tr w14:paraId="71EA4529" w14:textId="77777777">
        <w:tblPrEx>
          <w:tblW w:w="0" w:type="auto"/>
          <w:tblLook w:val="04A0"/>
        </w:tblPrEx>
        <w:tc>
          <w:tcPr>
            <w:tcW w:w="3055" w:type="dxa"/>
          </w:tcPr>
          <w:p w:rsidR="00360ED2" w:rsidP="00026F9A" w14:paraId="584A8396" w14:textId="77777777">
            <w:pPr>
              <w:rPr>
                <w:rFonts w:eastAsia="Times New Roman"/>
                <w:color w:val="000000"/>
              </w:rPr>
            </w:pPr>
            <w:r>
              <w:rPr>
                <w:rFonts w:eastAsia="Times New Roman"/>
                <w:color w:val="000000"/>
              </w:rPr>
              <w:t>Alternative Options</w:t>
            </w:r>
          </w:p>
        </w:tc>
        <w:tc>
          <w:tcPr>
            <w:tcW w:w="1800" w:type="dxa"/>
            <w:vAlign w:val="bottom"/>
          </w:tcPr>
          <w:p w:rsidR="00360ED2" w:rsidRPr="002D3508" w:rsidP="00026F9A" w14:paraId="3DA6E8B6" w14:textId="77777777">
            <w:pPr>
              <w:jc w:val="center"/>
              <w:rPr>
                <w:color w:val="000000"/>
              </w:rPr>
            </w:pPr>
            <w:r w:rsidRPr="002D3508">
              <w:rPr>
                <w:color w:val="000000"/>
              </w:rPr>
              <w:t>0.10</w:t>
            </w:r>
          </w:p>
        </w:tc>
        <w:tc>
          <w:tcPr>
            <w:tcW w:w="1980" w:type="dxa"/>
            <w:vAlign w:val="bottom"/>
          </w:tcPr>
          <w:p w:rsidR="00360ED2" w:rsidRPr="002D3508" w:rsidP="00026F9A" w14:paraId="473A5214" w14:textId="77777777">
            <w:pPr>
              <w:jc w:val="center"/>
              <w:rPr>
                <w:color w:val="000000"/>
              </w:rPr>
            </w:pPr>
            <w:r w:rsidRPr="002D3508">
              <w:rPr>
                <w:color w:val="000000"/>
              </w:rPr>
              <w:t>0.25</w:t>
            </w:r>
          </w:p>
        </w:tc>
        <w:tc>
          <w:tcPr>
            <w:tcW w:w="1795" w:type="dxa"/>
            <w:vAlign w:val="bottom"/>
          </w:tcPr>
          <w:p w:rsidR="00360ED2" w:rsidRPr="002D3508" w:rsidP="00026F9A" w14:paraId="236B9971" w14:textId="77777777">
            <w:pPr>
              <w:jc w:val="center"/>
              <w:rPr>
                <w:color w:val="000000"/>
              </w:rPr>
            </w:pPr>
            <w:r w:rsidRPr="002D3508">
              <w:rPr>
                <w:color w:val="000000"/>
              </w:rPr>
              <w:t>0.40</w:t>
            </w:r>
          </w:p>
        </w:tc>
      </w:tr>
    </w:tbl>
    <w:p w:rsidR="00360ED2" w:rsidP="00026F9A" w14:paraId="436C302D" w14:textId="77777777">
      <w:pPr>
        <w:spacing w:line="480" w:lineRule="auto"/>
        <w:ind w:firstLine="720"/>
        <w:rPr>
          <w:rFonts w:eastAsia="Times New Roman"/>
          <w:color w:val="000000"/>
        </w:rPr>
      </w:pPr>
    </w:p>
    <w:p w:rsidR="002B6304" w:rsidP="00026F9A" w14:paraId="3AEE535E" w14:textId="04F02D72">
      <w:pPr>
        <w:spacing w:line="480" w:lineRule="auto"/>
        <w:ind w:firstLine="720"/>
      </w:pPr>
      <w:r>
        <w:rPr>
          <w:rFonts w:eastAsia="Times New Roman"/>
          <w:color w:val="000000"/>
        </w:rPr>
        <w:t xml:space="preserve">We are uncertain about the cost of each type of mitigation action. </w:t>
      </w:r>
      <w:r w:rsidRPr="005734CF" w:rsidR="005432A6">
        <w:t xml:space="preserve">USDA estimates that “small” covered farms ($25,000-$500,000 revenue) that conducted water treatment spent $1,189 </w:t>
      </w:r>
      <w:r w:rsidRPr="00276D8F" w:rsidR="005432A6">
        <w:t xml:space="preserve">annually (Ref. </w:t>
      </w:r>
      <w:r w:rsidRPr="00276D8F" w:rsidR="0029223A">
        <w:t>2</w:t>
      </w:r>
      <w:r w:rsidRPr="00276D8F" w:rsidR="005432A6">
        <w:t>). We update</w:t>
      </w:r>
      <w:r w:rsidR="005432A6">
        <w:t xml:space="preserve"> this number to $1,445 in 2022 dollars. </w:t>
      </w:r>
      <w:r w:rsidRPr="005734CF" w:rsidR="005432A6">
        <w:t>These farms encompass farms in the “very small” and “small” categories for the purposes of this analysis. The “large” category of this analysis is composed of farms in USDA’s “midsize” (annual treatment cost of $1,568</w:t>
      </w:r>
      <w:r w:rsidR="005432A6">
        <w:t>, updated to $1,906 in 2022 dollars</w:t>
      </w:r>
      <w:r w:rsidRPr="005734CF" w:rsidR="005432A6">
        <w:t>), “large” (annual treatment cost of $1,596</w:t>
      </w:r>
      <w:r w:rsidR="005432A6">
        <w:t>, updated to $1,940 in 2022 dollars</w:t>
      </w:r>
      <w:r w:rsidRPr="005734CF" w:rsidR="005432A6">
        <w:t>), and “very large” (annual treatment cost of $22,864</w:t>
      </w:r>
      <w:r w:rsidR="005432A6">
        <w:t>, updated to $27,793 in 2022 dollars</w:t>
      </w:r>
      <w:r w:rsidRPr="005734CF" w:rsidR="005432A6">
        <w:t xml:space="preserve">) categories. We construct a weighted average of these treatment costs by number of farms surveyed to estimate that the annual treatment cost for a “large” farm in our analysis is </w:t>
      </w:r>
      <w:r w:rsidRPr="005734CF" w:rsidR="005432A6">
        <w:t>$</w:t>
      </w:r>
      <w:r w:rsidR="005432A6">
        <w:t>7,046 in 2022 dollars</w:t>
      </w:r>
      <w:r w:rsidRPr="005734CF" w:rsidR="005432A6">
        <w:t>.</w:t>
      </w:r>
      <w:r w:rsidR="005432A6">
        <w:t xml:space="preserve"> </w:t>
      </w:r>
      <w:r w:rsidR="00F6798A">
        <w:t xml:space="preserve">Several public comments suggested that we underestimated water treatment cost </w:t>
      </w:r>
      <w:r w:rsidRPr="000D384A" w:rsidR="00F6798A">
        <w:t>but did not provide specific</w:t>
      </w:r>
      <w:r w:rsidR="00213499">
        <w:t xml:space="preserve"> data or</w:t>
      </w:r>
      <w:r w:rsidRPr="000D384A" w:rsidR="00F6798A">
        <w:t xml:space="preserve"> information</w:t>
      </w:r>
      <w:r w:rsidR="00213499">
        <w:t xml:space="preserve"> as to estimates that would be more appropriate </w:t>
      </w:r>
      <w:r w:rsidR="00191B3C">
        <w:t>across</w:t>
      </w:r>
      <w:r w:rsidR="00213499">
        <w:t xml:space="preserve"> the diversity of operations, agricultural water </w:t>
      </w:r>
      <w:r w:rsidR="00191B3C">
        <w:t>systems</w:t>
      </w:r>
      <w:r w:rsidR="00213499">
        <w:t>, and agricultural water uses</w:t>
      </w:r>
      <w:r w:rsidR="00F6798A">
        <w:t xml:space="preserve">. To incorporate uncertainty about water treatment cost, we replace the use of a single estimate with a PERT distribution with parameters corresponding to 50% of the above calculated treatment cost, 100% of the above calculated treatment cost, and 200% of the above calculated treatment cost for each farm size category. </w:t>
      </w:r>
      <w:r>
        <w:t xml:space="preserve">We use these estimates of water treatment cost to remain consistent across the </w:t>
      </w:r>
      <w:r w:rsidR="00700A9E">
        <w:t xml:space="preserve">pre-harvest microbial quality criteria and testing provisions in the 2015 </w:t>
      </w:r>
      <w:r w:rsidR="00026B9D">
        <w:t>produce safety final rule</w:t>
      </w:r>
      <w:r w:rsidR="00700A9E">
        <w:t xml:space="preserve"> and the requirements for pre-harvest agricultural water assessments and measures that we are finalizing with this rule</w:t>
      </w:r>
      <w:r>
        <w:t xml:space="preserve">. </w:t>
      </w:r>
    </w:p>
    <w:p w:rsidR="00360ED2" w:rsidP="00026F9A" w14:paraId="288118F9" w14:textId="17E4C495">
      <w:pPr>
        <w:spacing w:line="480" w:lineRule="auto"/>
        <w:ind w:firstLine="720"/>
        <w:rPr>
          <w:rFonts w:eastAsia="Times New Roman"/>
          <w:color w:val="000000"/>
        </w:rPr>
      </w:pPr>
      <w:r>
        <w:rPr>
          <w:rFonts w:eastAsia="Times New Roman"/>
          <w:color w:val="000000"/>
        </w:rPr>
        <w:t>Table 27 presents the median estimates from subject matter experts of the low, most likely, and high cost to very small farms of each type of non-treatment mitigation action</w:t>
      </w:r>
      <w:r w:rsidR="00CE2E51">
        <w:rPr>
          <w:rFonts w:eastAsia="Times New Roman"/>
          <w:color w:val="000000"/>
        </w:rPr>
        <w:t>, updated to 2022 dollars</w:t>
      </w:r>
      <w:r>
        <w:rPr>
          <w:rFonts w:eastAsia="Times New Roman"/>
          <w:color w:val="000000"/>
        </w:rPr>
        <w:t>; Table 28 presents the median estimates from subject matter experts of the low, most likely, and high cost to small farms of each type of non-treatment mitigation action</w:t>
      </w:r>
      <w:r w:rsidR="00CE2E51">
        <w:rPr>
          <w:rFonts w:eastAsia="Times New Roman"/>
          <w:color w:val="000000"/>
        </w:rPr>
        <w:t>, updated to 2022 dollars</w:t>
      </w:r>
      <w:r>
        <w:rPr>
          <w:rFonts w:eastAsia="Times New Roman"/>
          <w:color w:val="000000"/>
        </w:rPr>
        <w:t>; Table 29 presents the median estimates from subject matter experts of the low, most likely, and high cost to large farms of each type of non-treatment mitigation action</w:t>
      </w:r>
      <w:r w:rsidR="00CE2E51">
        <w:rPr>
          <w:rFonts w:eastAsia="Times New Roman"/>
          <w:color w:val="000000"/>
        </w:rPr>
        <w:t>, updated to 2022 dolla</w:t>
      </w:r>
      <w:r w:rsidRPr="00276D8F" w:rsidR="00CE2E51">
        <w:rPr>
          <w:rFonts w:eastAsia="Times New Roman"/>
          <w:color w:val="000000"/>
        </w:rPr>
        <w:t>rs</w:t>
      </w:r>
      <w:r w:rsidRPr="00276D8F">
        <w:rPr>
          <w:rFonts w:eastAsia="Times New Roman"/>
          <w:color w:val="000000"/>
        </w:rPr>
        <w:t xml:space="preserve"> (Ref. </w:t>
      </w:r>
      <w:r w:rsidRPr="00276D8F" w:rsidR="00414F0E">
        <w:rPr>
          <w:rFonts w:eastAsia="Times New Roman"/>
          <w:color w:val="000000"/>
        </w:rPr>
        <w:t>3</w:t>
      </w:r>
      <w:r w:rsidRPr="00276D8F">
        <w:rPr>
          <w:rFonts w:eastAsia="Times New Roman"/>
          <w:color w:val="000000"/>
        </w:rPr>
        <w:t>).</w:t>
      </w:r>
      <w:r>
        <w:rPr>
          <w:rFonts w:eastAsia="Times New Roman"/>
          <w:color w:val="000000"/>
        </w:rPr>
        <w:t xml:space="preserve"> </w:t>
      </w:r>
    </w:p>
    <w:p w:rsidR="00360ED2" w:rsidP="00026F9A" w14:paraId="7BA7CE23" w14:textId="4C2B3770">
      <w:pPr>
        <w:rPr>
          <w:rFonts w:eastAsia="Times New Roman"/>
          <w:b/>
          <w:color w:val="000000"/>
        </w:rPr>
      </w:pPr>
      <w:r>
        <w:rPr>
          <w:rFonts w:eastAsia="Times New Roman"/>
          <w:b/>
          <w:color w:val="000000"/>
        </w:rPr>
        <w:t>Table 27</w:t>
      </w:r>
      <w:r w:rsidRPr="000972AF">
        <w:rPr>
          <w:rFonts w:eastAsia="Times New Roman"/>
          <w:b/>
          <w:color w:val="000000"/>
        </w:rPr>
        <w:t xml:space="preserve">: </w:t>
      </w:r>
      <w:r>
        <w:rPr>
          <w:rFonts w:eastAsia="Times New Roman"/>
          <w:b/>
          <w:color w:val="000000"/>
        </w:rPr>
        <w:t>Cost of Each Type of Mitigation, Very Small Farms (20</w:t>
      </w:r>
      <w:r w:rsidR="00EE077D">
        <w:rPr>
          <w:rFonts w:eastAsia="Times New Roman"/>
          <w:b/>
          <w:color w:val="000000"/>
        </w:rPr>
        <w:t>2</w:t>
      </w:r>
      <w:r w:rsidR="00CE2E51">
        <w:rPr>
          <w:rFonts w:eastAsia="Times New Roman"/>
          <w:b/>
          <w:color w:val="000000"/>
        </w:rPr>
        <w:t>2</w:t>
      </w:r>
      <w:r>
        <w:rPr>
          <w:rFonts w:eastAsia="Times New Roman"/>
          <w:b/>
          <w:color w:val="000000"/>
        </w:rPr>
        <w:t>$)</w:t>
      </w:r>
    </w:p>
    <w:tbl>
      <w:tblPr>
        <w:tblStyle w:val="TableGrid"/>
        <w:tblW w:w="0" w:type="auto"/>
        <w:tblLook w:val="04A0"/>
      </w:tblPr>
      <w:tblGrid>
        <w:gridCol w:w="3055"/>
        <w:gridCol w:w="1800"/>
        <w:gridCol w:w="1980"/>
        <w:gridCol w:w="1795"/>
      </w:tblGrid>
      <w:tr w14:paraId="1BBEB1A1" w14:textId="77777777">
        <w:tblPrEx>
          <w:tblW w:w="0" w:type="auto"/>
          <w:tblLook w:val="04A0"/>
        </w:tblPrEx>
        <w:tc>
          <w:tcPr>
            <w:tcW w:w="3055" w:type="dxa"/>
          </w:tcPr>
          <w:p w:rsidR="00360ED2" w:rsidRPr="008B006E" w:rsidP="00026F9A" w14:paraId="6F9C1211" w14:textId="77777777">
            <w:pPr>
              <w:rPr>
                <w:rFonts w:eastAsia="Times New Roman"/>
                <w:b/>
                <w:color w:val="000000"/>
              </w:rPr>
            </w:pPr>
            <w:r>
              <w:rPr>
                <w:rFonts w:eastAsia="Times New Roman"/>
                <w:b/>
                <w:color w:val="000000"/>
              </w:rPr>
              <w:t>Mitigation Action</w:t>
            </w:r>
          </w:p>
        </w:tc>
        <w:tc>
          <w:tcPr>
            <w:tcW w:w="1800" w:type="dxa"/>
          </w:tcPr>
          <w:p w:rsidR="00360ED2" w:rsidP="00026F9A" w14:paraId="516E1208" w14:textId="77777777">
            <w:pPr>
              <w:jc w:val="center"/>
              <w:rPr>
                <w:rFonts w:eastAsia="Times New Roman"/>
                <w:b/>
                <w:color w:val="000000"/>
              </w:rPr>
            </w:pPr>
            <w:r>
              <w:rPr>
                <w:rFonts w:eastAsia="Times New Roman"/>
                <w:b/>
                <w:color w:val="000000"/>
              </w:rPr>
              <w:t>Low</w:t>
            </w:r>
          </w:p>
        </w:tc>
        <w:tc>
          <w:tcPr>
            <w:tcW w:w="1980" w:type="dxa"/>
          </w:tcPr>
          <w:p w:rsidR="00360ED2" w:rsidP="00026F9A" w14:paraId="06B6A07D" w14:textId="77777777">
            <w:pPr>
              <w:jc w:val="center"/>
              <w:rPr>
                <w:rFonts w:eastAsia="Times New Roman"/>
                <w:b/>
                <w:color w:val="000000"/>
              </w:rPr>
            </w:pPr>
            <w:r>
              <w:rPr>
                <w:rFonts w:eastAsia="Times New Roman"/>
                <w:b/>
                <w:color w:val="000000"/>
              </w:rPr>
              <w:t>Primary</w:t>
            </w:r>
          </w:p>
        </w:tc>
        <w:tc>
          <w:tcPr>
            <w:tcW w:w="1795" w:type="dxa"/>
          </w:tcPr>
          <w:p w:rsidR="00360ED2" w:rsidP="00026F9A" w14:paraId="27379E3F" w14:textId="77777777">
            <w:pPr>
              <w:jc w:val="center"/>
              <w:rPr>
                <w:rFonts w:eastAsia="Times New Roman"/>
                <w:b/>
                <w:color w:val="000000"/>
              </w:rPr>
            </w:pPr>
            <w:r>
              <w:rPr>
                <w:rFonts w:eastAsia="Times New Roman"/>
                <w:b/>
                <w:color w:val="000000"/>
              </w:rPr>
              <w:t>High</w:t>
            </w:r>
          </w:p>
        </w:tc>
      </w:tr>
      <w:tr w14:paraId="422BB5F8" w14:textId="77777777">
        <w:tblPrEx>
          <w:tblW w:w="0" w:type="auto"/>
          <w:tblLook w:val="04A0"/>
        </w:tblPrEx>
        <w:tc>
          <w:tcPr>
            <w:tcW w:w="3055" w:type="dxa"/>
          </w:tcPr>
          <w:p w:rsidR="00FC4974" w:rsidRPr="000972AF" w:rsidP="00026F9A" w14:paraId="7DB11FB0" w14:textId="77777777">
            <w:pPr>
              <w:rPr>
                <w:rFonts w:eastAsia="Times New Roman"/>
                <w:color w:val="000000"/>
              </w:rPr>
            </w:pPr>
            <w:r>
              <w:rPr>
                <w:rFonts w:eastAsia="Times New Roman"/>
                <w:color w:val="000000"/>
              </w:rPr>
              <w:t>Necessary Changes</w:t>
            </w:r>
          </w:p>
        </w:tc>
        <w:tc>
          <w:tcPr>
            <w:tcW w:w="1800" w:type="dxa"/>
            <w:vAlign w:val="bottom"/>
          </w:tcPr>
          <w:p w:rsidR="00FC4974" w:rsidRPr="00FC4974" w:rsidP="00026F9A" w14:paraId="0F19979B" w14:textId="30FAA1E0">
            <w:pPr>
              <w:jc w:val="center"/>
              <w:rPr>
                <w:rFonts w:eastAsia="Times New Roman"/>
                <w:color w:val="000000"/>
              </w:rPr>
            </w:pPr>
            <w:r w:rsidRPr="00491301">
              <w:rPr>
                <w:color w:val="000000"/>
              </w:rPr>
              <w:t>$112</w:t>
            </w:r>
          </w:p>
        </w:tc>
        <w:tc>
          <w:tcPr>
            <w:tcW w:w="1980" w:type="dxa"/>
            <w:vAlign w:val="bottom"/>
          </w:tcPr>
          <w:p w:rsidR="00FC4974" w:rsidRPr="00FC4974" w:rsidP="00026F9A" w14:paraId="63D9C1BD" w14:textId="1A20CE37">
            <w:pPr>
              <w:jc w:val="center"/>
              <w:rPr>
                <w:color w:val="000000"/>
              </w:rPr>
            </w:pPr>
            <w:r w:rsidRPr="00491301">
              <w:rPr>
                <w:color w:val="000000"/>
              </w:rPr>
              <w:t>$559</w:t>
            </w:r>
          </w:p>
        </w:tc>
        <w:tc>
          <w:tcPr>
            <w:tcW w:w="1795" w:type="dxa"/>
            <w:vAlign w:val="bottom"/>
          </w:tcPr>
          <w:p w:rsidR="00FC4974" w:rsidRPr="00FC4974" w:rsidP="00026F9A" w14:paraId="33EA64D9" w14:textId="7793E486">
            <w:pPr>
              <w:jc w:val="center"/>
              <w:rPr>
                <w:color w:val="000000"/>
              </w:rPr>
            </w:pPr>
            <w:r w:rsidRPr="00491301">
              <w:rPr>
                <w:color w:val="000000"/>
              </w:rPr>
              <w:t>$1,118</w:t>
            </w:r>
          </w:p>
        </w:tc>
      </w:tr>
      <w:tr w14:paraId="45822E1F" w14:textId="77777777">
        <w:tblPrEx>
          <w:tblW w:w="0" w:type="auto"/>
          <w:tblLook w:val="04A0"/>
        </w:tblPrEx>
        <w:tc>
          <w:tcPr>
            <w:tcW w:w="3055" w:type="dxa"/>
          </w:tcPr>
          <w:p w:rsidR="00FC4974" w:rsidRPr="000972AF" w:rsidP="00026F9A" w14:paraId="21F0BC78" w14:textId="77777777">
            <w:pPr>
              <w:rPr>
                <w:rFonts w:eastAsia="Times New Roman"/>
                <w:color w:val="000000"/>
              </w:rPr>
            </w:pPr>
            <w:r>
              <w:rPr>
                <w:rFonts w:eastAsia="Times New Roman"/>
                <w:color w:val="000000"/>
              </w:rPr>
              <w:t>Pre-harvest Die-off</w:t>
            </w:r>
          </w:p>
        </w:tc>
        <w:tc>
          <w:tcPr>
            <w:tcW w:w="1800" w:type="dxa"/>
            <w:vAlign w:val="bottom"/>
          </w:tcPr>
          <w:p w:rsidR="00FC4974" w:rsidRPr="00FC4974" w:rsidP="00026F9A" w14:paraId="2B7B051D" w14:textId="7FB2F2FE">
            <w:pPr>
              <w:jc w:val="center"/>
              <w:rPr>
                <w:color w:val="000000"/>
              </w:rPr>
            </w:pPr>
            <w:r w:rsidRPr="00491301">
              <w:rPr>
                <w:color w:val="000000"/>
              </w:rPr>
              <w:t>$0</w:t>
            </w:r>
          </w:p>
        </w:tc>
        <w:tc>
          <w:tcPr>
            <w:tcW w:w="1980" w:type="dxa"/>
            <w:vAlign w:val="bottom"/>
          </w:tcPr>
          <w:p w:rsidR="00FC4974" w:rsidRPr="00FC4974" w:rsidP="00026F9A" w14:paraId="297FE1E2" w14:textId="0F210678">
            <w:pPr>
              <w:jc w:val="center"/>
              <w:rPr>
                <w:color w:val="000000"/>
              </w:rPr>
            </w:pPr>
            <w:r w:rsidRPr="00491301">
              <w:rPr>
                <w:color w:val="000000"/>
              </w:rPr>
              <w:t>$0</w:t>
            </w:r>
          </w:p>
        </w:tc>
        <w:tc>
          <w:tcPr>
            <w:tcW w:w="1795" w:type="dxa"/>
            <w:vAlign w:val="bottom"/>
          </w:tcPr>
          <w:p w:rsidR="00FC4974" w:rsidRPr="00FC4974" w:rsidP="00026F9A" w14:paraId="2A09655B" w14:textId="0101D761">
            <w:pPr>
              <w:jc w:val="center"/>
              <w:rPr>
                <w:color w:val="000000"/>
              </w:rPr>
            </w:pPr>
            <w:r w:rsidRPr="00491301">
              <w:rPr>
                <w:color w:val="000000"/>
              </w:rPr>
              <w:t>$0</w:t>
            </w:r>
          </w:p>
        </w:tc>
      </w:tr>
      <w:tr w14:paraId="421C23A7" w14:textId="77777777">
        <w:tblPrEx>
          <w:tblW w:w="0" w:type="auto"/>
          <w:tblLook w:val="04A0"/>
        </w:tblPrEx>
        <w:tc>
          <w:tcPr>
            <w:tcW w:w="3055" w:type="dxa"/>
          </w:tcPr>
          <w:p w:rsidR="00FC4974" w:rsidRPr="000972AF" w:rsidP="00026F9A" w14:paraId="2E3041D7" w14:textId="77777777">
            <w:pPr>
              <w:rPr>
                <w:rFonts w:eastAsia="Times New Roman"/>
                <w:color w:val="000000"/>
              </w:rPr>
            </w:pPr>
            <w:r>
              <w:rPr>
                <w:rFonts w:eastAsia="Times New Roman"/>
                <w:color w:val="000000"/>
              </w:rPr>
              <w:t>Postharvest Die-off</w:t>
            </w:r>
          </w:p>
        </w:tc>
        <w:tc>
          <w:tcPr>
            <w:tcW w:w="1800" w:type="dxa"/>
            <w:vAlign w:val="bottom"/>
          </w:tcPr>
          <w:p w:rsidR="00FC4974" w:rsidRPr="00FC4974" w:rsidP="00026F9A" w14:paraId="0C5AA223" w14:textId="3EB0570A">
            <w:pPr>
              <w:jc w:val="center"/>
              <w:rPr>
                <w:color w:val="000000"/>
              </w:rPr>
            </w:pPr>
            <w:r w:rsidRPr="00491301">
              <w:rPr>
                <w:color w:val="000000"/>
              </w:rPr>
              <w:t>$615</w:t>
            </w:r>
          </w:p>
        </w:tc>
        <w:tc>
          <w:tcPr>
            <w:tcW w:w="1980" w:type="dxa"/>
            <w:vAlign w:val="bottom"/>
          </w:tcPr>
          <w:p w:rsidR="00FC4974" w:rsidRPr="00FC4974" w:rsidP="00026F9A" w14:paraId="0C0AC1B4" w14:textId="0E07FA52">
            <w:pPr>
              <w:jc w:val="center"/>
              <w:rPr>
                <w:color w:val="000000"/>
              </w:rPr>
            </w:pPr>
            <w:r w:rsidRPr="00491301">
              <w:rPr>
                <w:color w:val="000000"/>
              </w:rPr>
              <w:t>$1,202</w:t>
            </w:r>
          </w:p>
        </w:tc>
        <w:tc>
          <w:tcPr>
            <w:tcW w:w="1795" w:type="dxa"/>
            <w:vAlign w:val="bottom"/>
          </w:tcPr>
          <w:p w:rsidR="00FC4974" w:rsidRPr="00FC4974" w:rsidP="00026F9A" w14:paraId="13B5D795" w14:textId="631AD901">
            <w:pPr>
              <w:jc w:val="center"/>
              <w:rPr>
                <w:color w:val="000000"/>
              </w:rPr>
            </w:pPr>
            <w:r w:rsidRPr="00491301">
              <w:rPr>
                <w:color w:val="000000"/>
              </w:rPr>
              <w:t>$1,509</w:t>
            </w:r>
          </w:p>
        </w:tc>
      </w:tr>
      <w:tr w14:paraId="10C37B32" w14:textId="77777777">
        <w:tblPrEx>
          <w:tblW w:w="0" w:type="auto"/>
          <w:tblLook w:val="04A0"/>
        </w:tblPrEx>
        <w:tc>
          <w:tcPr>
            <w:tcW w:w="3055" w:type="dxa"/>
          </w:tcPr>
          <w:p w:rsidR="00FC4974" w:rsidP="00026F9A" w14:paraId="4C90A42B" w14:textId="77777777">
            <w:pPr>
              <w:rPr>
                <w:rFonts w:eastAsia="Times New Roman"/>
                <w:color w:val="000000"/>
              </w:rPr>
            </w:pPr>
            <w:r>
              <w:rPr>
                <w:rFonts w:eastAsia="Times New Roman"/>
                <w:color w:val="000000"/>
              </w:rPr>
              <w:t>Changing Water Application</w:t>
            </w:r>
          </w:p>
        </w:tc>
        <w:tc>
          <w:tcPr>
            <w:tcW w:w="1800" w:type="dxa"/>
            <w:vAlign w:val="bottom"/>
          </w:tcPr>
          <w:p w:rsidR="00FC4974" w:rsidRPr="00FC4974" w:rsidP="00026F9A" w14:paraId="63F6F20A" w14:textId="1803E491">
            <w:pPr>
              <w:jc w:val="center"/>
              <w:rPr>
                <w:color w:val="000000"/>
              </w:rPr>
            </w:pPr>
            <w:r w:rsidRPr="00491301">
              <w:rPr>
                <w:color w:val="000000"/>
              </w:rPr>
              <w:t>$1,453</w:t>
            </w:r>
          </w:p>
        </w:tc>
        <w:tc>
          <w:tcPr>
            <w:tcW w:w="1980" w:type="dxa"/>
            <w:vAlign w:val="bottom"/>
          </w:tcPr>
          <w:p w:rsidR="00FC4974" w:rsidRPr="00FC4974" w:rsidP="00026F9A" w14:paraId="13B06378" w14:textId="6864430C">
            <w:pPr>
              <w:jc w:val="center"/>
              <w:rPr>
                <w:color w:val="000000"/>
              </w:rPr>
            </w:pPr>
            <w:r w:rsidRPr="00491301">
              <w:rPr>
                <w:color w:val="000000"/>
              </w:rPr>
              <w:t>$2,878</w:t>
            </w:r>
          </w:p>
        </w:tc>
        <w:tc>
          <w:tcPr>
            <w:tcW w:w="1795" w:type="dxa"/>
            <w:vAlign w:val="bottom"/>
          </w:tcPr>
          <w:p w:rsidR="00FC4974" w:rsidRPr="00FC4974" w:rsidP="00026F9A" w14:paraId="70E4B367" w14:textId="696D2249">
            <w:pPr>
              <w:jc w:val="center"/>
              <w:rPr>
                <w:color w:val="000000"/>
              </w:rPr>
            </w:pPr>
            <w:r w:rsidRPr="00491301">
              <w:rPr>
                <w:color w:val="000000"/>
              </w:rPr>
              <w:t>$4,304</w:t>
            </w:r>
          </w:p>
        </w:tc>
      </w:tr>
      <w:tr w14:paraId="2CDD7B80" w14:textId="77777777">
        <w:tblPrEx>
          <w:tblW w:w="0" w:type="auto"/>
          <w:tblLook w:val="04A0"/>
        </w:tblPrEx>
        <w:tc>
          <w:tcPr>
            <w:tcW w:w="3055" w:type="dxa"/>
          </w:tcPr>
          <w:p w:rsidR="00FC4974" w:rsidP="00026F9A" w14:paraId="3659DB8C" w14:textId="77777777">
            <w:pPr>
              <w:rPr>
                <w:rFonts w:eastAsia="Times New Roman"/>
                <w:color w:val="000000"/>
              </w:rPr>
            </w:pPr>
            <w:r>
              <w:rPr>
                <w:rFonts w:eastAsia="Times New Roman"/>
                <w:color w:val="000000"/>
              </w:rPr>
              <w:t>Alternative Options</w:t>
            </w:r>
          </w:p>
        </w:tc>
        <w:tc>
          <w:tcPr>
            <w:tcW w:w="1800" w:type="dxa"/>
            <w:vAlign w:val="bottom"/>
          </w:tcPr>
          <w:p w:rsidR="00FC4974" w:rsidRPr="00FC4974" w:rsidP="00026F9A" w14:paraId="30484E0C" w14:textId="1AC93F2F">
            <w:pPr>
              <w:jc w:val="center"/>
              <w:rPr>
                <w:color w:val="000000"/>
              </w:rPr>
            </w:pPr>
            <w:r w:rsidRPr="00491301">
              <w:rPr>
                <w:color w:val="000000"/>
              </w:rPr>
              <w:t>$56</w:t>
            </w:r>
          </w:p>
        </w:tc>
        <w:tc>
          <w:tcPr>
            <w:tcW w:w="1980" w:type="dxa"/>
            <w:vAlign w:val="bottom"/>
          </w:tcPr>
          <w:p w:rsidR="00FC4974" w:rsidRPr="00FC4974" w:rsidP="00026F9A" w14:paraId="60E6E113" w14:textId="3589C0CC">
            <w:pPr>
              <w:jc w:val="center"/>
              <w:rPr>
                <w:color w:val="000000"/>
              </w:rPr>
            </w:pPr>
            <w:r w:rsidRPr="00491301">
              <w:rPr>
                <w:color w:val="000000"/>
              </w:rPr>
              <w:t>$671</w:t>
            </w:r>
          </w:p>
        </w:tc>
        <w:tc>
          <w:tcPr>
            <w:tcW w:w="1795" w:type="dxa"/>
            <w:vAlign w:val="bottom"/>
          </w:tcPr>
          <w:p w:rsidR="00FC4974" w:rsidRPr="00FC4974" w:rsidP="00026F9A" w14:paraId="14557105" w14:textId="00B619F8">
            <w:pPr>
              <w:jc w:val="center"/>
              <w:rPr>
                <w:color w:val="000000"/>
              </w:rPr>
            </w:pPr>
            <w:r w:rsidRPr="00491301">
              <w:rPr>
                <w:color w:val="000000"/>
              </w:rPr>
              <w:t>$838</w:t>
            </w:r>
          </w:p>
        </w:tc>
      </w:tr>
    </w:tbl>
    <w:p w:rsidR="00360ED2" w:rsidP="00026F9A" w14:paraId="47D79732" w14:textId="77777777">
      <w:pPr>
        <w:spacing w:line="480" w:lineRule="auto"/>
        <w:ind w:firstLine="720"/>
        <w:rPr>
          <w:rFonts w:eastAsia="Times New Roman"/>
          <w:color w:val="000000"/>
        </w:rPr>
      </w:pPr>
    </w:p>
    <w:p w:rsidR="00360ED2" w:rsidP="00026F9A" w14:paraId="34D02DC2" w14:textId="650EF9FC">
      <w:pPr>
        <w:rPr>
          <w:rFonts w:eastAsia="Times New Roman"/>
          <w:b/>
          <w:color w:val="000000"/>
        </w:rPr>
      </w:pPr>
      <w:r>
        <w:rPr>
          <w:rFonts w:eastAsia="Times New Roman"/>
          <w:b/>
          <w:color w:val="000000"/>
        </w:rPr>
        <w:t>Table 28</w:t>
      </w:r>
      <w:r w:rsidRPr="000972AF">
        <w:rPr>
          <w:rFonts w:eastAsia="Times New Roman"/>
          <w:b/>
          <w:color w:val="000000"/>
        </w:rPr>
        <w:t xml:space="preserve">: </w:t>
      </w:r>
      <w:r>
        <w:rPr>
          <w:rFonts w:eastAsia="Times New Roman"/>
          <w:b/>
          <w:color w:val="000000"/>
        </w:rPr>
        <w:t>Cost of Each Type of Mitigation, Small Farms (20</w:t>
      </w:r>
      <w:r w:rsidR="00EE077D">
        <w:rPr>
          <w:rFonts w:eastAsia="Times New Roman"/>
          <w:b/>
          <w:color w:val="000000"/>
        </w:rPr>
        <w:t>2</w:t>
      </w:r>
      <w:r w:rsidR="00CE2E51">
        <w:rPr>
          <w:rFonts w:eastAsia="Times New Roman"/>
          <w:b/>
          <w:color w:val="000000"/>
        </w:rPr>
        <w:t>2</w:t>
      </w:r>
      <w:r>
        <w:rPr>
          <w:rFonts w:eastAsia="Times New Roman"/>
          <w:b/>
          <w:color w:val="000000"/>
        </w:rPr>
        <w:t>$)</w:t>
      </w:r>
    </w:p>
    <w:tbl>
      <w:tblPr>
        <w:tblStyle w:val="TableGrid"/>
        <w:tblW w:w="0" w:type="auto"/>
        <w:tblLook w:val="04A0"/>
      </w:tblPr>
      <w:tblGrid>
        <w:gridCol w:w="3055"/>
        <w:gridCol w:w="1800"/>
        <w:gridCol w:w="1980"/>
        <w:gridCol w:w="1795"/>
      </w:tblGrid>
      <w:tr w14:paraId="474D5D39" w14:textId="77777777">
        <w:tblPrEx>
          <w:tblW w:w="0" w:type="auto"/>
          <w:tblLook w:val="04A0"/>
        </w:tblPrEx>
        <w:tc>
          <w:tcPr>
            <w:tcW w:w="3055" w:type="dxa"/>
          </w:tcPr>
          <w:p w:rsidR="00360ED2" w:rsidRPr="008B006E" w:rsidP="00026F9A" w14:paraId="31784817" w14:textId="77777777">
            <w:pPr>
              <w:rPr>
                <w:rFonts w:eastAsia="Times New Roman"/>
                <w:b/>
                <w:color w:val="000000"/>
              </w:rPr>
            </w:pPr>
            <w:r>
              <w:rPr>
                <w:rFonts w:eastAsia="Times New Roman"/>
                <w:b/>
                <w:color w:val="000000"/>
              </w:rPr>
              <w:t>Mitigation Action</w:t>
            </w:r>
          </w:p>
        </w:tc>
        <w:tc>
          <w:tcPr>
            <w:tcW w:w="1800" w:type="dxa"/>
          </w:tcPr>
          <w:p w:rsidR="00360ED2" w:rsidP="00026F9A" w14:paraId="6E72614F" w14:textId="77777777">
            <w:pPr>
              <w:jc w:val="center"/>
              <w:rPr>
                <w:rFonts w:eastAsia="Times New Roman"/>
                <w:b/>
                <w:color w:val="000000"/>
              </w:rPr>
            </w:pPr>
            <w:r>
              <w:rPr>
                <w:rFonts w:eastAsia="Times New Roman"/>
                <w:b/>
                <w:color w:val="000000"/>
              </w:rPr>
              <w:t>Low</w:t>
            </w:r>
          </w:p>
        </w:tc>
        <w:tc>
          <w:tcPr>
            <w:tcW w:w="1980" w:type="dxa"/>
          </w:tcPr>
          <w:p w:rsidR="00360ED2" w:rsidP="00026F9A" w14:paraId="350C146D" w14:textId="77777777">
            <w:pPr>
              <w:jc w:val="center"/>
              <w:rPr>
                <w:rFonts w:eastAsia="Times New Roman"/>
                <w:b/>
                <w:color w:val="000000"/>
              </w:rPr>
            </w:pPr>
            <w:r>
              <w:rPr>
                <w:rFonts w:eastAsia="Times New Roman"/>
                <w:b/>
                <w:color w:val="000000"/>
              </w:rPr>
              <w:t>Primary</w:t>
            </w:r>
          </w:p>
        </w:tc>
        <w:tc>
          <w:tcPr>
            <w:tcW w:w="1795" w:type="dxa"/>
          </w:tcPr>
          <w:p w:rsidR="00360ED2" w:rsidP="00026F9A" w14:paraId="2B7875D6" w14:textId="77777777">
            <w:pPr>
              <w:jc w:val="center"/>
              <w:rPr>
                <w:rFonts w:eastAsia="Times New Roman"/>
                <w:b/>
                <w:color w:val="000000"/>
              </w:rPr>
            </w:pPr>
            <w:r>
              <w:rPr>
                <w:rFonts w:eastAsia="Times New Roman"/>
                <w:b/>
                <w:color w:val="000000"/>
              </w:rPr>
              <w:t>High</w:t>
            </w:r>
          </w:p>
        </w:tc>
      </w:tr>
      <w:tr w14:paraId="64295320" w14:textId="77777777">
        <w:tblPrEx>
          <w:tblW w:w="0" w:type="auto"/>
          <w:tblLook w:val="04A0"/>
        </w:tblPrEx>
        <w:tc>
          <w:tcPr>
            <w:tcW w:w="3055" w:type="dxa"/>
          </w:tcPr>
          <w:p w:rsidR="00421AE5" w:rsidRPr="000972AF" w:rsidP="00026F9A" w14:paraId="7DFE1C4F" w14:textId="77777777">
            <w:pPr>
              <w:rPr>
                <w:rFonts w:eastAsia="Times New Roman"/>
                <w:color w:val="000000"/>
              </w:rPr>
            </w:pPr>
            <w:r>
              <w:rPr>
                <w:rFonts w:eastAsia="Times New Roman"/>
                <w:color w:val="000000"/>
              </w:rPr>
              <w:t>Necessary Changes</w:t>
            </w:r>
          </w:p>
        </w:tc>
        <w:tc>
          <w:tcPr>
            <w:tcW w:w="1800" w:type="dxa"/>
            <w:vAlign w:val="bottom"/>
          </w:tcPr>
          <w:p w:rsidR="00421AE5" w:rsidRPr="00421AE5" w:rsidP="00026F9A" w14:paraId="18910347" w14:textId="0A992FEA">
            <w:pPr>
              <w:jc w:val="center"/>
              <w:rPr>
                <w:rFonts w:eastAsia="Times New Roman"/>
                <w:color w:val="000000"/>
              </w:rPr>
            </w:pPr>
            <w:r w:rsidRPr="00491301">
              <w:rPr>
                <w:color w:val="000000"/>
              </w:rPr>
              <w:t>$559</w:t>
            </w:r>
          </w:p>
        </w:tc>
        <w:tc>
          <w:tcPr>
            <w:tcW w:w="1980" w:type="dxa"/>
            <w:vAlign w:val="bottom"/>
          </w:tcPr>
          <w:p w:rsidR="00421AE5" w:rsidRPr="00421AE5" w:rsidP="00026F9A" w14:paraId="0E3788F2" w14:textId="31CFCA26">
            <w:pPr>
              <w:jc w:val="center"/>
              <w:rPr>
                <w:color w:val="000000"/>
              </w:rPr>
            </w:pPr>
            <w:r w:rsidRPr="00491301">
              <w:rPr>
                <w:color w:val="000000"/>
              </w:rPr>
              <w:t>$1,118</w:t>
            </w:r>
          </w:p>
        </w:tc>
        <w:tc>
          <w:tcPr>
            <w:tcW w:w="1795" w:type="dxa"/>
            <w:vAlign w:val="bottom"/>
          </w:tcPr>
          <w:p w:rsidR="00421AE5" w:rsidRPr="00421AE5" w:rsidP="00026F9A" w14:paraId="038D70B4" w14:textId="0B8AD8BE">
            <w:pPr>
              <w:jc w:val="center"/>
              <w:rPr>
                <w:color w:val="000000"/>
              </w:rPr>
            </w:pPr>
            <w:r w:rsidRPr="00491301">
              <w:rPr>
                <w:color w:val="000000"/>
              </w:rPr>
              <w:t>$2,236</w:t>
            </w:r>
          </w:p>
        </w:tc>
      </w:tr>
      <w:tr w14:paraId="30CFFCB1" w14:textId="77777777">
        <w:tblPrEx>
          <w:tblW w:w="0" w:type="auto"/>
          <w:tblLook w:val="04A0"/>
        </w:tblPrEx>
        <w:tc>
          <w:tcPr>
            <w:tcW w:w="3055" w:type="dxa"/>
          </w:tcPr>
          <w:p w:rsidR="00421AE5" w:rsidRPr="000972AF" w:rsidP="00026F9A" w14:paraId="2066D323" w14:textId="77777777">
            <w:pPr>
              <w:rPr>
                <w:rFonts w:eastAsia="Times New Roman"/>
                <w:color w:val="000000"/>
              </w:rPr>
            </w:pPr>
            <w:r>
              <w:rPr>
                <w:rFonts w:eastAsia="Times New Roman"/>
                <w:color w:val="000000"/>
              </w:rPr>
              <w:t>Pre-harvest Die-off</w:t>
            </w:r>
          </w:p>
        </w:tc>
        <w:tc>
          <w:tcPr>
            <w:tcW w:w="1800" w:type="dxa"/>
            <w:vAlign w:val="bottom"/>
          </w:tcPr>
          <w:p w:rsidR="00421AE5" w:rsidRPr="00421AE5" w:rsidP="00026F9A" w14:paraId="23BE9765" w14:textId="68A9A8B1">
            <w:pPr>
              <w:jc w:val="center"/>
              <w:rPr>
                <w:color w:val="000000"/>
              </w:rPr>
            </w:pPr>
            <w:r w:rsidRPr="00491301">
              <w:rPr>
                <w:color w:val="000000"/>
              </w:rPr>
              <w:t>$0</w:t>
            </w:r>
          </w:p>
        </w:tc>
        <w:tc>
          <w:tcPr>
            <w:tcW w:w="1980" w:type="dxa"/>
            <w:vAlign w:val="bottom"/>
          </w:tcPr>
          <w:p w:rsidR="00421AE5" w:rsidRPr="00421AE5" w:rsidP="00026F9A" w14:paraId="61C2C193" w14:textId="4FB98CEE">
            <w:pPr>
              <w:jc w:val="center"/>
              <w:rPr>
                <w:color w:val="000000"/>
              </w:rPr>
            </w:pPr>
            <w:r w:rsidRPr="00491301">
              <w:rPr>
                <w:color w:val="000000"/>
              </w:rPr>
              <w:t>$0</w:t>
            </w:r>
          </w:p>
        </w:tc>
        <w:tc>
          <w:tcPr>
            <w:tcW w:w="1795" w:type="dxa"/>
            <w:vAlign w:val="bottom"/>
          </w:tcPr>
          <w:p w:rsidR="00421AE5" w:rsidRPr="00421AE5" w:rsidP="00026F9A" w14:paraId="078913F9" w14:textId="1C605F41">
            <w:pPr>
              <w:jc w:val="center"/>
              <w:rPr>
                <w:color w:val="000000"/>
              </w:rPr>
            </w:pPr>
            <w:r w:rsidRPr="00491301">
              <w:rPr>
                <w:color w:val="000000"/>
              </w:rPr>
              <w:t>$0</w:t>
            </w:r>
          </w:p>
        </w:tc>
      </w:tr>
      <w:tr w14:paraId="227DE918" w14:textId="77777777">
        <w:tblPrEx>
          <w:tblW w:w="0" w:type="auto"/>
          <w:tblLook w:val="04A0"/>
        </w:tblPrEx>
        <w:tc>
          <w:tcPr>
            <w:tcW w:w="3055" w:type="dxa"/>
          </w:tcPr>
          <w:p w:rsidR="00421AE5" w:rsidRPr="000972AF" w:rsidP="00026F9A" w14:paraId="361DE5D9" w14:textId="77777777">
            <w:pPr>
              <w:rPr>
                <w:rFonts w:eastAsia="Times New Roman"/>
                <w:color w:val="000000"/>
              </w:rPr>
            </w:pPr>
            <w:r>
              <w:rPr>
                <w:rFonts w:eastAsia="Times New Roman"/>
                <w:color w:val="000000"/>
              </w:rPr>
              <w:t>Postharvest Die-off</w:t>
            </w:r>
          </w:p>
        </w:tc>
        <w:tc>
          <w:tcPr>
            <w:tcW w:w="1800" w:type="dxa"/>
            <w:vAlign w:val="bottom"/>
          </w:tcPr>
          <w:p w:rsidR="00421AE5" w:rsidRPr="00421AE5" w:rsidP="00026F9A" w14:paraId="34077D9D" w14:textId="3832FD75">
            <w:pPr>
              <w:jc w:val="center"/>
              <w:rPr>
                <w:color w:val="000000"/>
              </w:rPr>
            </w:pPr>
            <w:r w:rsidRPr="00491301">
              <w:rPr>
                <w:color w:val="000000"/>
              </w:rPr>
              <w:t>$2,906</w:t>
            </w:r>
          </w:p>
        </w:tc>
        <w:tc>
          <w:tcPr>
            <w:tcW w:w="1980" w:type="dxa"/>
            <w:vAlign w:val="bottom"/>
          </w:tcPr>
          <w:p w:rsidR="00421AE5" w:rsidRPr="00421AE5" w:rsidP="00026F9A" w14:paraId="1E6ACA53" w14:textId="173237DD">
            <w:pPr>
              <w:jc w:val="center"/>
              <w:rPr>
                <w:color w:val="000000"/>
              </w:rPr>
            </w:pPr>
            <w:r w:rsidRPr="00491301">
              <w:rPr>
                <w:color w:val="000000"/>
              </w:rPr>
              <w:t>$4,639</w:t>
            </w:r>
          </w:p>
        </w:tc>
        <w:tc>
          <w:tcPr>
            <w:tcW w:w="1795" w:type="dxa"/>
            <w:vAlign w:val="bottom"/>
          </w:tcPr>
          <w:p w:rsidR="00421AE5" w:rsidRPr="00421AE5" w:rsidP="00026F9A" w14:paraId="01E0A746" w14:textId="7C95E243">
            <w:pPr>
              <w:jc w:val="center"/>
              <w:rPr>
                <w:color w:val="000000"/>
              </w:rPr>
            </w:pPr>
            <w:r w:rsidRPr="00491301">
              <w:rPr>
                <w:color w:val="000000"/>
              </w:rPr>
              <w:t>$5,869</w:t>
            </w:r>
          </w:p>
        </w:tc>
      </w:tr>
      <w:tr w14:paraId="53E11891" w14:textId="77777777">
        <w:tblPrEx>
          <w:tblW w:w="0" w:type="auto"/>
          <w:tblLook w:val="04A0"/>
        </w:tblPrEx>
        <w:tc>
          <w:tcPr>
            <w:tcW w:w="3055" w:type="dxa"/>
          </w:tcPr>
          <w:p w:rsidR="00421AE5" w:rsidP="00026F9A" w14:paraId="53640E31" w14:textId="77777777">
            <w:pPr>
              <w:rPr>
                <w:rFonts w:eastAsia="Times New Roman"/>
                <w:color w:val="000000"/>
              </w:rPr>
            </w:pPr>
            <w:r>
              <w:rPr>
                <w:rFonts w:eastAsia="Times New Roman"/>
                <w:color w:val="000000"/>
              </w:rPr>
              <w:t>Changing Water Application</w:t>
            </w:r>
          </w:p>
        </w:tc>
        <w:tc>
          <w:tcPr>
            <w:tcW w:w="1800" w:type="dxa"/>
            <w:vAlign w:val="bottom"/>
          </w:tcPr>
          <w:p w:rsidR="00421AE5" w:rsidRPr="00421AE5" w:rsidP="00026F9A" w14:paraId="408161CA" w14:textId="1D162166">
            <w:pPr>
              <w:jc w:val="center"/>
              <w:rPr>
                <w:color w:val="000000"/>
              </w:rPr>
            </w:pPr>
            <w:r w:rsidRPr="00491301">
              <w:rPr>
                <w:color w:val="000000"/>
              </w:rPr>
              <w:t>$224</w:t>
            </w:r>
          </w:p>
        </w:tc>
        <w:tc>
          <w:tcPr>
            <w:tcW w:w="1980" w:type="dxa"/>
            <w:vAlign w:val="bottom"/>
          </w:tcPr>
          <w:p w:rsidR="00421AE5" w:rsidRPr="00421AE5" w:rsidP="00026F9A" w14:paraId="3E91631E" w14:textId="750BFFAC">
            <w:pPr>
              <w:jc w:val="center"/>
              <w:rPr>
                <w:color w:val="000000"/>
              </w:rPr>
            </w:pPr>
            <w:r w:rsidRPr="00491301">
              <w:rPr>
                <w:color w:val="000000"/>
              </w:rPr>
              <w:t>$2,236</w:t>
            </w:r>
          </w:p>
        </w:tc>
        <w:tc>
          <w:tcPr>
            <w:tcW w:w="1795" w:type="dxa"/>
            <w:vAlign w:val="bottom"/>
          </w:tcPr>
          <w:p w:rsidR="00421AE5" w:rsidRPr="00421AE5" w:rsidP="00026F9A" w14:paraId="6A943C7B" w14:textId="685C5D79">
            <w:pPr>
              <w:jc w:val="center"/>
              <w:rPr>
                <w:color w:val="000000"/>
              </w:rPr>
            </w:pPr>
            <w:r w:rsidRPr="00491301">
              <w:rPr>
                <w:color w:val="000000"/>
              </w:rPr>
              <w:t>$2,236</w:t>
            </w:r>
          </w:p>
        </w:tc>
      </w:tr>
      <w:tr w14:paraId="7CBAE3E5" w14:textId="77777777">
        <w:tblPrEx>
          <w:tblW w:w="0" w:type="auto"/>
          <w:tblLook w:val="04A0"/>
        </w:tblPrEx>
        <w:tc>
          <w:tcPr>
            <w:tcW w:w="3055" w:type="dxa"/>
          </w:tcPr>
          <w:p w:rsidR="00421AE5" w:rsidP="00026F9A" w14:paraId="7D78635D" w14:textId="77777777">
            <w:pPr>
              <w:rPr>
                <w:rFonts w:eastAsia="Times New Roman"/>
                <w:color w:val="000000"/>
              </w:rPr>
            </w:pPr>
            <w:r>
              <w:rPr>
                <w:rFonts w:eastAsia="Times New Roman"/>
                <w:color w:val="000000"/>
              </w:rPr>
              <w:t>Alternative Options</w:t>
            </w:r>
          </w:p>
        </w:tc>
        <w:tc>
          <w:tcPr>
            <w:tcW w:w="1800" w:type="dxa"/>
            <w:vAlign w:val="bottom"/>
          </w:tcPr>
          <w:p w:rsidR="00421AE5" w:rsidRPr="00421AE5" w:rsidP="00026F9A" w14:paraId="0E88EE2F" w14:textId="3A7ACBB1">
            <w:pPr>
              <w:jc w:val="center"/>
              <w:rPr>
                <w:color w:val="000000"/>
              </w:rPr>
            </w:pPr>
            <w:r w:rsidRPr="00491301">
              <w:rPr>
                <w:color w:val="000000"/>
              </w:rPr>
              <w:t>$279</w:t>
            </w:r>
          </w:p>
        </w:tc>
        <w:tc>
          <w:tcPr>
            <w:tcW w:w="1980" w:type="dxa"/>
            <w:vAlign w:val="bottom"/>
          </w:tcPr>
          <w:p w:rsidR="00421AE5" w:rsidRPr="00421AE5" w:rsidP="00026F9A" w14:paraId="36263D3E" w14:textId="13E50BE3">
            <w:pPr>
              <w:jc w:val="center"/>
              <w:rPr>
                <w:color w:val="000000"/>
              </w:rPr>
            </w:pPr>
            <w:r w:rsidRPr="00491301">
              <w:rPr>
                <w:color w:val="000000"/>
              </w:rPr>
              <w:t>$1,397</w:t>
            </w:r>
          </w:p>
        </w:tc>
        <w:tc>
          <w:tcPr>
            <w:tcW w:w="1795" w:type="dxa"/>
            <w:vAlign w:val="bottom"/>
          </w:tcPr>
          <w:p w:rsidR="00421AE5" w:rsidRPr="00421AE5" w:rsidP="00026F9A" w14:paraId="740847E4" w14:textId="5505BAFC">
            <w:pPr>
              <w:jc w:val="center"/>
              <w:rPr>
                <w:color w:val="000000"/>
              </w:rPr>
            </w:pPr>
            <w:r w:rsidRPr="00491301">
              <w:rPr>
                <w:color w:val="000000"/>
              </w:rPr>
              <w:t>$2,515</w:t>
            </w:r>
          </w:p>
        </w:tc>
      </w:tr>
    </w:tbl>
    <w:p w:rsidR="00360ED2" w:rsidP="00026F9A" w14:paraId="28C5C1F4" w14:textId="77777777">
      <w:pPr>
        <w:spacing w:line="480" w:lineRule="auto"/>
        <w:ind w:firstLine="720"/>
        <w:rPr>
          <w:rFonts w:eastAsia="Times New Roman"/>
          <w:color w:val="000000"/>
        </w:rPr>
      </w:pPr>
    </w:p>
    <w:p w:rsidR="00360ED2" w:rsidP="00026F9A" w14:paraId="45AE678F" w14:textId="57E3463D">
      <w:pPr>
        <w:rPr>
          <w:rFonts w:eastAsia="Times New Roman"/>
          <w:b/>
          <w:color w:val="000000"/>
        </w:rPr>
      </w:pPr>
      <w:r>
        <w:rPr>
          <w:rFonts w:eastAsia="Times New Roman"/>
          <w:b/>
          <w:color w:val="000000"/>
        </w:rPr>
        <w:t>Table 29</w:t>
      </w:r>
      <w:r w:rsidRPr="000972AF">
        <w:rPr>
          <w:rFonts w:eastAsia="Times New Roman"/>
          <w:b/>
          <w:color w:val="000000"/>
        </w:rPr>
        <w:t xml:space="preserve">: </w:t>
      </w:r>
      <w:r>
        <w:rPr>
          <w:rFonts w:eastAsia="Times New Roman"/>
          <w:b/>
          <w:color w:val="000000"/>
        </w:rPr>
        <w:t>Cost of Each Type of Mitigation, Large Farms (20</w:t>
      </w:r>
      <w:r w:rsidR="00EE077D">
        <w:rPr>
          <w:rFonts w:eastAsia="Times New Roman"/>
          <w:b/>
          <w:color w:val="000000"/>
        </w:rPr>
        <w:t>2</w:t>
      </w:r>
      <w:r w:rsidR="00CE2E51">
        <w:rPr>
          <w:rFonts w:eastAsia="Times New Roman"/>
          <w:b/>
          <w:color w:val="000000"/>
        </w:rPr>
        <w:t>2</w:t>
      </w:r>
      <w:r>
        <w:rPr>
          <w:rFonts w:eastAsia="Times New Roman"/>
          <w:b/>
          <w:color w:val="000000"/>
        </w:rPr>
        <w:t>$)</w:t>
      </w:r>
    </w:p>
    <w:tbl>
      <w:tblPr>
        <w:tblStyle w:val="TableGrid"/>
        <w:tblW w:w="0" w:type="auto"/>
        <w:tblLook w:val="04A0"/>
      </w:tblPr>
      <w:tblGrid>
        <w:gridCol w:w="3055"/>
        <w:gridCol w:w="1800"/>
        <w:gridCol w:w="1980"/>
        <w:gridCol w:w="1795"/>
      </w:tblGrid>
      <w:tr w14:paraId="61DC5FCE" w14:textId="77777777">
        <w:tblPrEx>
          <w:tblW w:w="0" w:type="auto"/>
          <w:tblLook w:val="04A0"/>
        </w:tblPrEx>
        <w:tc>
          <w:tcPr>
            <w:tcW w:w="3055" w:type="dxa"/>
          </w:tcPr>
          <w:p w:rsidR="00360ED2" w:rsidRPr="008B006E" w:rsidP="00026F9A" w14:paraId="4EC7C273" w14:textId="77777777">
            <w:pPr>
              <w:rPr>
                <w:rFonts w:eastAsia="Times New Roman"/>
                <w:b/>
                <w:color w:val="000000"/>
              </w:rPr>
            </w:pPr>
            <w:r>
              <w:rPr>
                <w:rFonts w:eastAsia="Times New Roman"/>
                <w:b/>
                <w:color w:val="000000"/>
              </w:rPr>
              <w:t>Mitigation Action</w:t>
            </w:r>
          </w:p>
        </w:tc>
        <w:tc>
          <w:tcPr>
            <w:tcW w:w="1800" w:type="dxa"/>
          </w:tcPr>
          <w:p w:rsidR="00360ED2" w:rsidP="00026F9A" w14:paraId="607B8606" w14:textId="77777777">
            <w:pPr>
              <w:jc w:val="center"/>
              <w:rPr>
                <w:rFonts w:eastAsia="Times New Roman"/>
                <w:b/>
                <w:color w:val="000000"/>
              </w:rPr>
            </w:pPr>
            <w:r>
              <w:rPr>
                <w:rFonts w:eastAsia="Times New Roman"/>
                <w:b/>
                <w:color w:val="000000"/>
              </w:rPr>
              <w:t>Low</w:t>
            </w:r>
          </w:p>
        </w:tc>
        <w:tc>
          <w:tcPr>
            <w:tcW w:w="1980" w:type="dxa"/>
          </w:tcPr>
          <w:p w:rsidR="00360ED2" w:rsidP="00026F9A" w14:paraId="7DD1829F" w14:textId="77777777">
            <w:pPr>
              <w:jc w:val="center"/>
              <w:rPr>
                <w:rFonts w:eastAsia="Times New Roman"/>
                <w:b/>
                <w:color w:val="000000"/>
              </w:rPr>
            </w:pPr>
            <w:r>
              <w:rPr>
                <w:rFonts w:eastAsia="Times New Roman"/>
                <w:b/>
                <w:color w:val="000000"/>
              </w:rPr>
              <w:t>Primary</w:t>
            </w:r>
          </w:p>
        </w:tc>
        <w:tc>
          <w:tcPr>
            <w:tcW w:w="1795" w:type="dxa"/>
          </w:tcPr>
          <w:p w:rsidR="00360ED2" w:rsidP="00026F9A" w14:paraId="698D03EC" w14:textId="77777777">
            <w:pPr>
              <w:jc w:val="center"/>
              <w:rPr>
                <w:rFonts w:eastAsia="Times New Roman"/>
                <w:b/>
                <w:color w:val="000000"/>
              </w:rPr>
            </w:pPr>
            <w:r>
              <w:rPr>
                <w:rFonts w:eastAsia="Times New Roman"/>
                <w:b/>
                <w:color w:val="000000"/>
              </w:rPr>
              <w:t>High</w:t>
            </w:r>
          </w:p>
        </w:tc>
      </w:tr>
      <w:tr w14:paraId="06CEC3A8" w14:textId="77777777">
        <w:tblPrEx>
          <w:tblW w:w="0" w:type="auto"/>
          <w:tblLook w:val="04A0"/>
        </w:tblPrEx>
        <w:tc>
          <w:tcPr>
            <w:tcW w:w="3055" w:type="dxa"/>
          </w:tcPr>
          <w:p w:rsidR="00A676FE" w:rsidRPr="000972AF" w:rsidP="00026F9A" w14:paraId="5E545154" w14:textId="77777777">
            <w:pPr>
              <w:rPr>
                <w:rFonts w:eastAsia="Times New Roman"/>
                <w:color w:val="000000"/>
              </w:rPr>
            </w:pPr>
            <w:r>
              <w:rPr>
                <w:rFonts w:eastAsia="Times New Roman"/>
                <w:color w:val="000000"/>
              </w:rPr>
              <w:t>Necessary Changes</w:t>
            </w:r>
          </w:p>
        </w:tc>
        <w:tc>
          <w:tcPr>
            <w:tcW w:w="1800" w:type="dxa"/>
            <w:vAlign w:val="bottom"/>
          </w:tcPr>
          <w:p w:rsidR="00A676FE" w:rsidRPr="00A676FE" w:rsidP="00026F9A" w14:paraId="63C0E824" w14:textId="450A7331">
            <w:pPr>
              <w:jc w:val="center"/>
              <w:rPr>
                <w:rFonts w:eastAsia="Times New Roman"/>
                <w:color w:val="000000"/>
              </w:rPr>
            </w:pPr>
            <w:r w:rsidRPr="00491301">
              <w:rPr>
                <w:color w:val="000000"/>
              </w:rPr>
              <w:t>$112</w:t>
            </w:r>
          </w:p>
        </w:tc>
        <w:tc>
          <w:tcPr>
            <w:tcW w:w="1980" w:type="dxa"/>
            <w:vAlign w:val="bottom"/>
          </w:tcPr>
          <w:p w:rsidR="00A676FE" w:rsidRPr="00A676FE" w:rsidP="00026F9A" w14:paraId="7A96AB1B" w14:textId="3CF20142">
            <w:pPr>
              <w:jc w:val="center"/>
              <w:rPr>
                <w:color w:val="000000"/>
              </w:rPr>
            </w:pPr>
            <w:r w:rsidRPr="00491301">
              <w:rPr>
                <w:color w:val="000000"/>
              </w:rPr>
              <w:t>$2,236</w:t>
            </w:r>
          </w:p>
        </w:tc>
        <w:tc>
          <w:tcPr>
            <w:tcW w:w="1795" w:type="dxa"/>
            <w:vAlign w:val="bottom"/>
          </w:tcPr>
          <w:p w:rsidR="00A676FE" w:rsidRPr="00A676FE" w:rsidP="00026F9A" w14:paraId="012F1895" w14:textId="2B270E61">
            <w:pPr>
              <w:jc w:val="center"/>
              <w:rPr>
                <w:color w:val="000000"/>
              </w:rPr>
            </w:pPr>
            <w:r w:rsidRPr="00491301">
              <w:rPr>
                <w:color w:val="000000"/>
              </w:rPr>
              <w:t>$3,353</w:t>
            </w:r>
          </w:p>
        </w:tc>
      </w:tr>
      <w:tr w14:paraId="4CCA9485" w14:textId="77777777">
        <w:tblPrEx>
          <w:tblW w:w="0" w:type="auto"/>
          <w:tblLook w:val="04A0"/>
        </w:tblPrEx>
        <w:tc>
          <w:tcPr>
            <w:tcW w:w="3055" w:type="dxa"/>
          </w:tcPr>
          <w:p w:rsidR="00A676FE" w:rsidRPr="000972AF" w:rsidP="00026F9A" w14:paraId="4534A7FF" w14:textId="77777777">
            <w:pPr>
              <w:rPr>
                <w:rFonts w:eastAsia="Times New Roman"/>
                <w:color w:val="000000"/>
              </w:rPr>
            </w:pPr>
            <w:r>
              <w:rPr>
                <w:rFonts w:eastAsia="Times New Roman"/>
                <w:color w:val="000000"/>
              </w:rPr>
              <w:t>Pre-harvest Die-off</w:t>
            </w:r>
          </w:p>
        </w:tc>
        <w:tc>
          <w:tcPr>
            <w:tcW w:w="1800" w:type="dxa"/>
            <w:vAlign w:val="bottom"/>
          </w:tcPr>
          <w:p w:rsidR="00A676FE" w:rsidRPr="00A676FE" w:rsidP="00026F9A" w14:paraId="101DCE2C" w14:textId="145F6B12">
            <w:pPr>
              <w:jc w:val="center"/>
              <w:rPr>
                <w:color w:val="000000"/>
              </w:rPr>
            </w:pPr>
            <w:r w:rsidRPr="00491301">
              <w:rPr>
                <w:color w:val="000000"/>
              </w:rPr>
              <w:t>$0</w:t>
            </w:r>
          </w:p>
        </w:tc>
        <w:tc>
          <w:tcPr>
            <w:tcW w:w="1980" w:type="dxa"/>
            <w:vAlign w:val="bottom"/>
          </w:tcPr>
          <w:p w:rsidR="00A676FE" w:rsidRPr="00A676FE" w:rsidP="00026F9A" w14:paraId="627B38C3" w14:textId="2B9B3E1F">
            <w:pPr>
              <w:jc w:val="center"/>
              <w:rPr>
                <w:color w:val="000000"/>
              </w:rPr>
            </w:pPr>
            <w:r w:rsidRPr="00491301">
              <w:rPr>
                <w:color w:val="000000"/>
              </w:rPr>
              <w:t>$0</w:t>
            </w:r>
          </w:p>
        </w:tc>
        <w:tc>
          <w:tcPr>
            <w:tcW w:w="1795" w:type="dxa"/>
            <w:vAlign w:val="bottom"/>
          </w:tcPr>
          <w:p w:rsidR="00A676FE" w:rsidRPr="00A676FE" w:rsidP="00026F9A" w14:paraId="2C3D7552" w14:textId="7DAB0805">
            <w:pPr>
              <w:jc w:val="center"/>
              <w:rPr>
                <w:color w:val="000000"/>
              </w:rPr>
            </w:pPr>
            <w:r w:rsidRPr="00491301">
              <w:rPr>
                <w:color w:val="000000"/>
              </w:rPr>
              <w:t>$0</w:t>
            </w:r>
          </w:p>
        </w:tc>
      </w:tr>
      <w:tr w14:paraId="3E68692C" w14:textId="77777777">
        <w:tblPrEx>
          <w:tblW w:w="0" w:type="auto"/>
          <w:tblLook w:val="04A0"/>
        </w:tblPrEx>
        <w:tc>
          <w:tcPr>
            <w:tcW w:w="3055" w:type="dxa"/>
          </w:tcPr>
          <w:p w:rsidR="00A676FE" w:rsidRPr="000972AF" w:rsidP="00026F9A" w14:paraId="12B081F8" w14:textId="77777777">
            <w:pPr>
              <w:rPr>
                <w:rFonts w:eastAsia="Times New Roman"/>
                <w:color w:val="000000"/>
              </w:rPr>
            </w:pPr>
            <w:r>
              <w:rPr>
                <w:rFonts w:eastAsia="Times New Roman"/>
                <w:color w:val="000000"/>
              </w:rPr>
              <w:t>Postharvest Die-off</w:t>
            </w:r>
          </w:p>
        </w:tc>
        <w:tc>
          <w:tcPr>
            <w:tcW w:w="1800" w:type="dxa"/>
            <w:vAlign w:val="bottom"/>
          </w:tcPr>
          <w:p w:rsidR="00A676FE" w:rsidRPr="00A676FE" w:rsidP="00026F9A" w14:paraId="1876BDCB" w14:textId="255FA313">
            <w:pPr>
              <w:jc w:val="center"/>
              <w:rPr>
                <w:color w:val="000000"/>
              </w:rPr>
            </w:pPr>
            <w:r w:rsidRPr="00491301">
              <w:rPr>
                <w:color w:val="000000"/>
              </w:rPr>
              <w:t>$3,968</w:t>
            </w:r>
          </w:p>
        </w:tc>
        <w:tc>
          <w:tcPr>
            <w:tcW w:w="1980" w:type="dxa"/>
            <w:vAlign w:val="bottom"/>
          </w:tcPr>
          <w:p w:rsidR="00A676FE" w:rsidRPr="00A676FE" w:rsidP="00026F9A" w14:paraId="1E5BDF27" w14:textId="60FFE219">
            <w:pPr>
              <w:jc w:val="center"/>
              <w:rPr>
                <w:color w:val="000000"/>
              </w:rPr>
            </w:pPr>
            <w:r w:rsidRPr="00491301">
              <w:rPr>
                <w:color w:val="000000"/>
              </w:rPr>
              <w:t>$5,673</w:t>
            </w:r>
          </w:p>
        </w:tc>
        <w:tc>
          <w:tcPr>
            <w:tcW w:w="1795" w:type="dxa"/>
            <w:vAlign w:val="bottom"/>
          </w:tcPr>
          <w:p w:rsidR="00A676FE" w:rsidRPr="00A676FE" w:rsidP="00026F9A" w14:paraId="458C9CCE" w14:textId="5391BCE3">
            <w:pPr>
              <w:jc w:val="center"/>
              <w:rPr>
                <w:color w:val="000000"/>
              </w:rPr>
            </w:pPr>
            <w:r w:rsidRPr="00491301">
              <w:rPr>
                <w:color w:val="000000"/>
              </w:rPr>
              <w:t>$7,378</w:t>
            </w:r>
          </w:p>
        </w:tc>
      </w:tr>
      <w:tr w14:paraId="207DE3A1" w14:textId="77777777">
        <w:tblPrEx>
          <w:tblW w:w="0" w:type="auto"/>
          <w:tblLook w:val="04A0"/>
        </w:tblPrEx>
        <w:tc>
          <w:tcPr>
            <w:tcW w:w="3055" w:type="dxa"/>
          </w:tcPr>
          <w:p w:rsidR="00A676FE" w:rsidP="00026F9A" w14:paraId="46978AC3" w14:textId="77777777">
            <w:pPr>
              <w:rPr>
                <w:rFonts w:eastAsia="Times New Roman"/>
                <w:color w:val="000000"/>
              </w:rPr>
            </w:pPr>
            <w:r>
              <w:rPr>
                <w:rFonts w:eastAsia="Times New Roman"/>
                <w:color w:val="000000"/>
              </w:rPr>
              <w:t>Changing Water Application</w:t>
            </w:r>
          </w:p>
        </w:tc>
        <w:tc>
          <w:tcPr>
            <w:tcW w:w="1800" w:type="dxa"/>
            <w:vAlign w:val="bottom"/>
          </w:tcPr>
          <w:p w:rsidR="00A676FE" w:rsidRPr="00A676FE" w:rsidP="00026F9A" w14:paraId="3EB32325" w14:textId="19082835">
            <w:pPr>
              <w:jc w:val="center"/>
              <w:rPr>
                <w:color w:val="000000"/>
              </w:rPr>
            </w:pPr>
            <w:r w:rsidRPr="00491301">
              <w:rPr>
                <w:color w:val="000000"/>
              </w:rPr>
              <w:t>$3,353</w:t>
            </w:r>
          </w:p>
        </w:tc>
        <w:tc>
          <w:tcPr>
            <w:tcW w:w="1980" w:type="dxa"/>
            <w:vAlign w:val="bottom"/>
          </w:tcPr>
          <w:p w:rsidR="00A676FE" w:rsidRPr="00A676FE" w:rsidP="00026F9A" w14:paraId="79582724" w14:textId="68FB47A0">
            <w:pPr>
              <w:jc w:val="center"/>
              <w:rPr>
                <w:color w:val="000000"/>
              </w:rPr>
            </w:pPr>
            <w:r w:rsidRPr="00491301">
              <w:rPr>
                <w:color w:val="000000"/>
              </w:rPr>
              <w:t>$4,471</w:t>
            </w:r>
          </w:p>
        </w:tc>
        <w:tc>
          <w:tcPr>
            <w:tcW w:w="1795" w:type="dxa"/>
            <w:vAlign w:val="bottom"/>
          </w:tcPr>
          <w:p w:rsidR="00A676FE" w:rsidRPr="00A676FE" w:rsidP="00026F9A" w14:paraId="45E29513" w14:textId="0AF7C52E">
            <w:pPr>
              <w:jc w:val="center"/>
              <w:rPr>
                <w:color w:val="000000"/>
              </w:rPr>
            </w:pPr>
            <w:r w:rsidRPr="00491301">
              <w:rPr>
                <w:color w:val="000000"/>
              </w:rPr>
              <w:t>$5,589</w:t>
            </w:r>
          </w:p>
        </w:tc>
      </w:tr>
      <w:tr w14:paraId="772BEC24" w14:textId="77777777">
        <w:tblPrEx>
          <w:tblW w:w="0" w:type="auto"/>
          <w:tblLook w:val="04A0"/>
        </w:tblPrEx>
        <w:tc>
          <w:tcPr>
            <w:tcW w:w="3055" w:type="dxa"/>
          </w:tcPr>
          <w:p w:rsidR="00A676FE" w:rsidP="00026F9A" w14:paraId="18925648" w14:textId="77777777">
            <w:pPr>
              <w:rPr>
                <w:rFonts w:eastAsia="Times New Roman"/>
                <w:color w:val="000000"/>
              </w:rPr>
            </w:pPr>
            <w:r>
              <w:rPr>
                <w:rFonts w:eastAsia="Times New Roman"/>
                <w:color w:val="000000"/>
              </w:rPr>
              <w:t>Alternative Options</w:t>
            </w:r>
          </w:p>
        </w:tc>
        <w:tc>
          <w:tcPr>
            <w:tcW w:w="1800" w:type="dxa"/>
            <w:vAlign w:val="bottom"/>
          </w:tcPr>
          <w:p w:rsidR="00A676FE" w:rsidRPr="00A676FE" w:rsidP="00026F9A" w14:paraId="4104C3E0" w14:textId="5E543972">
            <w:pPr>
              <w:jc w:val="center"/>
              <w:rPr>
                <w:color w:val="000000"/>
              </w:rPr>
            </w:pPr>
            <w:r w:rsidRPr="00491301">
              <w:rPr>
                <w:color w:val="000000"/>
              </w:rPr>
              <w:t>$1,733</w:t>
            </w:r>
          </w:p>
        </w:tc>
        <w:tc>
          <w:tcPr>
            <w:tcW w:w="1980" w:type="dxa"/>
            <w:vAlign w:val="bottom"/>
          </w:tcPr>
          <w:p w:rsidR="00A676FE" w:rsidRPr="00A676FE" w:rsidP="00026F9A" w14:paraId="6EDB394C" w14:textId="602CAC0B">
            <w:pPr>
              <w:jc w:val="center"/>
              <w:rPr>
                <w:color w:val="000000"/>
              </w:rPr>
            </w:pPr>
            <w:r w:rsidRPr="00491301">
              <w:rPr>
                <w:color w:val="000000"/>
              </w:rPr>
              <w:t>$2,627</w:t>
            </w:r>
          </w:p>
        </w:tc>
        <w:tc>
          <w:tcPr>
            <w:tcW w:w="1795" w:type="dxa"/>
            <w:vAlign w:val="bottom"/>
          </w:tcPr>
          <w:p w:rsidR="00A676FE" w:rsidRPr="00A676FE" w:rsidP="00026F9A" w14:paraId="6B31F90A" w14:textId="2CD115D6">
            <w:pPr>
              <w:jc w:val="center"/>
              <w:rPr>
                <w:color w:val="000000"/>
              </w:rPr>
            </w:pPr>
            <w:r w:rsidRPr="00491301">
              <w:rPr>
                <w:color w:val="000000"/>
              </w:rPr>
              <w:t>$3,633</w:t>
            </w:r>
          </w:p>
        </w:tc>
      </w:tr>
    </w:tbl>
    <w:p w:rsidR="00CE2E51" w:rsidP="00026F9A" w14:paraId="179AF270" w14:textId="77777777">
      <w:pPr>
        <w:spacing w:line="480" w:lineRule="auto"/>
        <w:ind w:firstLine="720"/>
      </w:pPr>
    </w:p>
    <w:p w:rsidR="00360ED2" w:rsidP="00026F9A" w14:paraId="3CDEAB87" w14:textId="4FD77471">
      <w:pPr>
        <w:spacing w:line="480" w:lineRule="auto"/>
        <w:ind w:firstLine="720"/>
      </w:pPr>
      <w:r>
        <w:t xml:space="preserve">We estimate mitigation costs using the low, most likely, and high estimates presented in the tables above as parameters of PERT distributions to account for the uncertainty in the estimates of the fraction of farms that, having conducted an assessment, would conduct a mitigation action; the uncertainty in the estimates of the fraction of farms that would conduct each mitigation action; and the uncertainty in the estimates of the costs of each type of mitigation action. Table 30 presents estimated costs of conducting </w:t>
      </w:r>
      <w:r w:rsidR="009A55AF">
        <w:t>mitigation</w:t>
      </w:r>
      <w:r>
        <w:t xml:space="preserve"> for all farms by year. We include 5th (“Low Estimate”) and 95th (“High Estimate”) percentile outcomes of the simulated burden as measures of uncertainty.</w:t>
      </w:r>
    </w:p>
    <w:p w:rsidR="00360ED2" w:rsidRPr="00F16FAC" w:rsidP="00026F9A" w14:paraId="45672618" w14:textId="6C3F8589">
      <w:pPr>
        <w:rPr>
          <w:b/>
        </w:rPr>
      </w:pPr>
      <w:r w:rsidRPr="00F16FAC">
        <w:rPr>
          <w:b/>
        </w:rPr>
        <w:t xml:space="preserve">Table </w:t>
      </w:r>
      <w:r>
        <w:rPr>
          <w:b/>
        </w:rPr>
        <w:t>30:</w:t>
      </w:r>
      <w:r w:rsidRPr="00F16FAC">
        <w:rPr>
          <w:b/>
        </w:rPr>
        <w:t xml:space="preserve"> </w:t>
      </w:r>
      <w:r>
        <w:rPr>
          <w:b/>
        </w:rPr>
        <w:t>Total Cost of Mitigation, All Farms</w:t>
      </w:r>
      <w:r w:rsidRPr="00F16FAC">
        <w:rPr>
          <w:b/>
        </w:rPr>
        <w:t xml:space="preserve"> (</w:t>
      </w:r>
      <w:r w:rsidR="000F0615">
        <w:rPr>
          <w:b/>
        </w:rPr>
        <w:t xml:space="preserve">millions </w:t>
      </w:r>
      <w:r w:rsidRPr="00F16FAC">
        <w:rPr>
          <w:b/>
        </w:rPr>
        <w:t>20</w:t>
      </w:r>
      <w:r w:rsidR="000F0615">
        <w:rPr>
          <w:b/>
        </w:rPr>
        <w:t>2</w:t>
      </w:r>
      <w:r w:rsidR="00A676FE">
        <w:rPr>
          <w:b/>
        </w:rPr>
        <w:t>2</w:t>
      </w:r>
      <w:r w:rsidRPr="00F16FAC">
        <w:rPr>
          <w:b/>
        </w:rPr>
        <w:t>$)</w:t>
      </w:r>
    </w:p>
    <w:tbl>
      <w:tblPr>
        <w:tblStyle w:val="TableGrid"/>
        <w:tblW w:w="5000" w:type="pct"/>
        <w:tblLook w:val="04A0"/>
      </w:tblPr>
      <w:tblGrid>
        <w:gridCol w:w="2112"/>
        <w:gridCol w:w="2298"/>
        <w:gridCol w:w="2410"/>
        <w:gridCol w:w="2530"/>
      </w:tblGrid>
      <w:tr w14:paraId="041CDE73"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hideMark/>
          </w:tcPr>
          <w:p w:rsidR="00360ED2" w:rsidRPr="00F16FAC" w:rsidP="00026F9A" w14:paraId="212D4E92" w14:textId="77777777">
            <w:pPr>
              <w:jc w:val="center"/>
              <w:rPr>
                <w:b/>
              </w:rPr>
            </w:pPr>
            <w:r w:rsidRPr="00F16FAC">
              <w:rPr>
                <w:b/>
              </w:rPr>
              <w:t>Years after publication</w:t>
            </w:r>
          </w:p>
        </w:tc>
        <w:tc>
          <w:tcPr>
            <w:tcW w:w="1229" w:type="pct"/>
            <w:tcBorders>
              <w:top w:val="single" w:sz="4" w:space="0" w:color="auto"/>
              <w:left w:val="single" w:sz="4" w:space="0" w:color="auto"/>
              <w:bottom w:val="single" w:sz="4" w:space="0" w:color="auto"/>
              <w:right w:val="single" w:sz="4" w:space="0" w:color="auto"/>
            </w:tcBorders>
            <w:hideMark/>
          </w:tcPr>
          <w:p w:rsidR="00360ED2" w:rsidRPr="00F16FAC" w:rsidP="00026F9A" w14:paraId="622C076F" w14:textId="77777777">
            <w:pPr>
              <w:jc w:val="center"/>
              <w:rPr>
                <w:b/>
              </w:rPr>
            </w:pPr>
            <w:r>
              <w:rPr>
                <w:b/>
              </w:rPr>
              <w:t>Low Estimate</w:t>
            </w:r>
          </w:p>
        </w:tc>
        <w:tc>
          <w:tcPr>
            <w:tcW w:w="1289" w:type="pct"/>
            <w:tcBorders>
              <w:top w:val="single" w:sz="4" w:space="0" w:color="auto"/>
              <w:left w:val="single" w:sz="4" w:space="0" w:color="auto"/>
              <w:bottom w:val="single" w:sz="4" w:space="0" w:color="auto"/>
              <w:right w:val="single" w:sz="4" w:space="0" w:color="auto"/>
            </w:tcBorders>
          </w:tcPr>
          <w:p w:rsidR="00360ED2" w:rsidRPr="00F16FAC" w:rsidP="00026F9A" w14:paraId="4E2629B4" w14:textId="77777777">
            <w:pPr>
              <w:jc w:val="center"/>
              <w:rPr>
                <w:b/>
              </w:rPr>
            </w:pPr>
            <w:r>
              <w:rPr>
                <w:b/>
              </w:rPr>
              <w:t>Primary Estimate</w:t>
            </w:r>
          </w:p>
        </w:tc>
        <w:tc>
          <w:tcPr>
            <w:tcW w:w="1353" w:type="pct"/>
            <w:tcBorders>
              <w:top w:val="single" w:sz="4" w:space="0" w:color="auto"/>
              <w:left w:val="single" w:sz="4" w:space="0" w:color="auto"/>
              <w:bottom w:val="single" w:sz="4" w:space="0" w:color="auto"/>
              <w:right w:val="single" w:sz="4" w:space="0" w:color="auto"/>
            </w:tcBorders>
          </w:tcPr>
          <w:p w:rsidR="00360ED2" w:rsidRPr="00F16FAC" w:rsidP="00026F9A" w14:paraId="291ACC50" w14:textId="77777777">
            <w:pPr>
              <w:jc w:val="center"/>
              <w:rPr>
                <w:b/>
              </w:rPr>
            </w:pPr>
            <w:r>
              <w:rPr>
                <w:b/>
              </w:rPr>
              <w:t>High Estimate</w:t>
            </w:r>
          </w:p>
        </w:tc>
      </w:tr>
      <w:tr w14:paraId="797F1F66"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hideMark/>
          </w:tcPr>
          <w:p w:rsidR="00975ACB" w:rsidRPr="00F16FAC" w:rsidP="00026F9A" w14:paraId="628E9CE5" w14:textId="77777777">
            <w:pPr>
              <w:jc w:val="center"/>
            </w:pPr>
            <w:r w:rsidRPr="00F16FAC">
              <w:t>0</w:t>
            </w:r>
          </w:p>
        </w:tc>
        <w:tc>
          <w:tcPr>
            <w:tcW w:w="1229" w:type="pct"/>
            <w:tcBorders>
              <w:top w:val="single" w:sz="4" w:space="0" w:color="auto"/>
              <w:left w:val="single" w:sz="4" w:space="0" w:color="auto"/>
              <w:bottom w:val="single" w:sz="4" w:space="0" w:color="auto"/>
              <w:right w:val="single" w:sz="4" w:space="0" w:color="auto"/>
            </w:tcBorders>
            <w:vAlign w:val="bottom"/>
            <w:hideMark/>
          </w:tcPr>
          <w:p w:rsidR="00975ACB" w:rsidRPr="00975ACB" w:rsidP="00026F9A" w14:paraId="1425E319" w14:textId="5BF2CDF5">
            <w:pPr>
              <w:jc w:val="center"/>
              <w:rPr>
                <w:rFonts w:eastAsia="Times New Roman"/>
                <w:color w:val="000000"/>
              </w:rPr>
            </w:pPr>
            <w:r w:rsidRPr="00491301">
              <w:rPr>
                <w:color w:val="000000"/>
              </w:rPr>
              <w:t>$0</w:t>
            </w:r>
            <w:r>
              <w:rPr>
                <w:color w:val="000000"/>
              </w:rPr>
              <w:t>.0</w:t>
            </w:r>
          </w:p>
        </w:tc>
        <w:tc>
          <w:tcPr>
            <w:tcW w:w="1289"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0C85EAC3" w14:textId="0CD40D25">
            <w:pPr>
              <w:jc w:val="center"/>
              <w:rPr>
                <w:color w:val="000000"/>
              </w:rPr>
            </w:pPr>
            <w:r w:rsidRPr="00491301">
              <w:rPr>
                <w:color w:val="000000"/>
              </w:rPr>
              <w:t>$0</w:t>
            </w:r>
            <w:r>
              <w:rPr>
                <w:color w:val="000000"/>
              </w:rPr>
              <w:t>.0</w:t>
            </w:r>
          </w:p>
        </w:tc>
        <w:tc>
          <w:tcPr>
            <w:tcW w:w="1353"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088BE28E" w14:textId="3E08EF73">
            <w:pPr>
              <w:jc w:val="center"/>
              <w:rPr>
                <w:color w:val="000000"/>
              </w:rPr>
            </w:pPr>
            <w:r w:rsidRPr="00491301">
              <w:rPr>
                <w:color w:val="000000"/>
              </w:rPr>
              <w:t>$0</w:t>
            </w:r>
            <w:r>
              <w:rPr>
                <w:color w:val="000000"/>
              </w:rPr>
              <w:t>.0</w:t>
            </w:r>
          </w:p>
        </w:tc>
      </w:tr>
      <w:tr w14:paraId="137A45E9" w14:textId="77777777">
        <w:tblPrEx>
          <w:tblW w:w="5000" w:type="pct"/>
          <w:tblLook w:val="04A0"/>
        </w:tblPrEx>
        <w:trPr>
          <w:trHeight w:val="265"/>
        </w:trPr>
        <w:tc>
          <w:tcPr>
            <w:tcW w:w="1129" w:type="pct"/>
            <w:tcBorders>
              <w:top w:val="single" w:sz="4" w:space="0" w:color="auto"/>
              <w:left w:val="single" w:sz="4" w:space="0" w:color="auto"/>
              <w:bottom w:val="single" w:sz="4" w:space="0" w:color="auto"/>
              <w:right w:val="single" w:sz="4" w:space="0" w:color="auto"/>
            </w:tcBorders>
            <w:hideMark/>
          </w:tcPr>
          <w:p w:rsidR="00975ACB" w:rsidRPr="00F16FAC" w:rsidP="00026F9A" w14:paraId="1CE486A4" w14:textId="77777777">
            <w:pPr>
              <w:jc w:val="center"/>
            </w:pPr>
            <w:r w:rsidRPr="00F16FAC">
              <w:t>1</w:t>
            </w:r>
          </w:p>
        </w:tc>
        <w:tc>
          <w:tcPr>
            <w:tcW w:w="1229" w:type="pct"/>
            <w:tcBorders>
              <w:top w:val="single" w:sz="4" w:space="0" w:color="auto"/>
              <w:left w:val="single" w:sz="4" w:space="0" w:color="auto"/>
              <w:bottom w:val="single" w:sz="4" w:space="0" w:color="auto"/>
              <w:right w:val="single" w:sz="4" w:space="0" w:color="auto"/>
            </w:tcBorders>
            <w:vAlign w:val="bottom"/>
            <w:hideMark/>
          </w:tcPr>
          <w:p w:rsidR="00975ACB" w:rsidRPr="00975ACB" w:rsidP="00026F9A" w14:paraId="060DFB5A" w14:textId="77D6F2A7">
            <w:pPr>
              <w:jc w:val="center"/>
              <w:rPr>
                <w:color w:val="000000"/>
              </w:rPr>
            </w:pPr>
            <w:r w:rsidRPr="00491301">
              <w:rPr>
                <w:color w:val="000000"/>
              </w:rPr>
              <w:t>$6</w:t>
            </w:r>
            <w:r>
              <w:rPr>
                <w:color w:val="000000"/>
              </w:rPr>
              <w:t>.8</w:t>
            </w:r>
          </w:p>
        </w:tc>
        <w:tc>
          <w:tcPr>
            <w:tcW w:w="1289"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617060E5" w14:textId="0C27F5BE">
            <w:pPr>
              <w:jc w:val="center"/>
              <w:rPr>
                <w:color w:val="000000"/>
              </w:rPr>
            </w:pPr>
            <w:r w:rsidRPr="00491301">
              <w:rPr>
                <w:color w:val="000000"/>
              </w:rPr>
              <w:t>$11</w:t>
            </w:r>
            <w:r w:rsidR="00C00882">
              <w:rPr>
                <w:color w:val="000000"/>
              </w:rPr>
              <w:t>.7</w:t>
            </w:r>
          </w:p>
        </w:tc>
        <w:tc>
          <w:tcPr>
            <w:tcW w:w="1353"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2F4209AF" w14:textId="740B4446">
            <w:pPr>
              <w:jc w:val="center"/>
              <w:rPr>
                <w:color w:val="000000"/>
              </w:rPr>
            </w:pPr>
            <w:r w:rsidRPr="00491301">
              <w:rPr>
                <w:color w:val="000000"/>
              </w:rPr>
              <w:t>$</w:t>
            </w:r>
            <w:r w:rsidR="00C00882">
              <w:rPr>
                <w:color w:val="000000"/>
              </w:rPr>
              <w:t>16.0</w:t>
            </w:r>
          </w:p>
        </w:tc>
      </w:tr>
      <w:tr w14:paraId="65EF193F"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hideMark/>
          </w:tcPr>
          <w:p w:rsidR="00975ACB" w:rsidRPr="00F16FAC" w:rsidP="00026F9A" w14:paraId="54D8AC1F" w14:textId="77777777">
            <w:pPr>
              <w:jc w:val="center"/>
            </w:pPr>
            <w:r w:rsidRPr="00F16FAC">
              <w:t>2</w:t>
            </w:r>
          </w:p>
        </w:tc>
        <w:tc>
          <w:tcPr>
            <w:tcW w:w="1229" w:type="pct"/>
            <w:tcBorders>
              <w:top w:val="single" w:sz="4" w:space="0" w:color="auto"/>
              <w:left w:val="single" w:sz="4" w:space="0" w:color="auto"/>
              <w:bottom w:val="single" w:sz="4" w:space="0" w:color="auto"/>
              <w:right w:val="single" w:sz="4" w:space="0" w:color="auto"/>
            </w:tcBorders>
            <w:vAlign w:val="bottom"/>
            <w:hideMark/>
          </w:tcPr>
          <w:p w:rsidR="00975ACB" w:rsidRPr="00975ACB" w:rsidP="00026F9A" w14:paraId="17500F1C" w14:textId="6F4731DB">
            <w:pPr>
              <w:jc w:val="center"/>
              <w:rPr>
                <w:color w:val="000000"/>
              </w:rPr>
            </w:pPr>
            <w:r w:rsidRPr="00491301">
              <w:rPr>
                <w:color w:val="000000"/>
              </w:rPr>
              <w:t>$8</w:t>
            </w:r>
            <w:r>
              <w:rPr>
                <w:color w:val="000000"/>
              </w:rPr>
              <w:t>.0</w:t>
            </w:r>
          </w:p>
        </w:tc>
        <w:tc>
          <w:tcPr>
            <w:tcW w:w="1289"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75606396" w14:textId="1950854A">
            <w:pPr>
              <w:jc w:val="center"/>
              <w:rPr>
                <w:color w:val="000000"/>
              </w:rPr>
            </w:pPr>
            <w:r w:rsidRPr="00491301">
              <w:rPr>
                <w:color w:val="000000"/>
              </w:rPr>
              <w:t>$13</w:t>
            </w:r>
            <w:r w:rsidR="00C00882">
              <w:rPr>
                <w:color w:val="000000"/>
              </w:rPr>
              <w:t>.3</w:t>
            </w:r>
          </w:p>
        </w:tc>
        <w:tc>
          <w:tcPr>
            <w:tcW w:w="1353"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0DD95719" w14:textId="41161C8F">
            <w:pPr>
              <w:jc w:val="center"/>
              <w:rPr>
                <w:color w:val="000000"/>
              </w:rPr>
            </w:pPr>
            <w:r w:rsidRPr="00491301">
              <w:rPr>
                <w:color w:val="000000"/>
              </w:rPr>
              <w:t>$17</w:t>
            </w:r>
            <w:r w:rsidR="00C00882">
              <w:rPr>
                <w:color w:val="000000"/>
              </w:rPr>
              <w:t>.4</w:t>
            </w:r>
          </w:p>
        </w:tc>
      </w:tr>
      <w:tr w14:paraId="6E234BDE"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hideMark/>
          </w:tcPr>
          <w:p w:rsidR="00975ACB" w:rsidRPr="00F16FAC" w:rsidP="00026F9A" w14:paraId="20A86473" w14:textId="77777777">
            <w:pPr>
              <w:jc w:val="center"/>
            </w:pPr>
            <w:r w:rsidRPr="00F16FAC">
              <w:t>3</w:t>
            </w:r>
          </w:p>
        </w:tc>
        <w:tc>
          <w:tcPr>
            <w:tcW w:w="1229" w:type="pct"/>
            <w:tcBorders>
              <w:top w:val="single" w:sz="4" w:space="0" w:color="auto"/>
              <w:left w:val="single" w:sz="4" w:space="0" w:color="auto"/>
              <w:bottom w:val="single" w:sz="4" w:space="0" w:color="auto"/>
              <w:right w:val="single" w:sz="4" w:space="0" w:color="auto"/>
            </w:tcBorders>
            <w:vAlign w:val="bottom"/>
            <w:hideMark/>
          </w:tcPr>
          <w:p w:rsidR="00975ACB" w:rsidRPr="00975ACB" w:rsidP="00026F9A" w14:paraId="77224C17" w14:textId="08526807">
            <w:pPr>
              <w:jc w:val="center"/>
              <w:rPr>
                <w:color w:val="000000"/>
              </w:rPr>
            </w:pPr>
            <w:r w:rsidRPr="00491301">
              <w:rPr>
                <w:color w:val="000000"/>
              </w:rPr>
              <w:t>$10</w:t>
            </w:r>
            <w:r>
              <w:rPr>
                <w:color w:val="000000"/>
              </w:rPr>
              <w:t>.9</w:t>
            </w:r>
          </w:p>
        </w:tc>
        <w:tc>
          <w:tcPr>
            <w:tcW w:w="1289"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79CE1705" w14:textId="5C6D925B">
            <w:pPr>
              <w:jc w:val="center"/>
              <w:rPr>
                <w:color w:val="000000"/>
              </w:rPr>
            </w:pPr>
            <w:r w:rsidRPr="00491301">
              <w:rPr>
                <w:color w:val="000000"/>
              </w:rPr>
              <w:t>$16</w:t>
            </w:r>
            <w:r w:rsidR="00C00882">
              <w:rPr>
                <w:color w:val="000000"/>
              </w:rPr>
              <w:t>.8</w:t>
            </w:r>
          </w:p>
        </w:tc>
        <w:tc>
          <w:tcPr>
            <w:tcW w:w="1353"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72562701" w14:textId="7294A7A3">
            <w:pPr>
              <w:jc w:val="center"/>
              <w:rPr>
                <w:color w:val="000000"/>
              </w:rPr>
            </w:pPr>
            <w:r w:rsidRPr="00491301">
              <w:rPr>
                <w:color w:val="000000"/>
              </w:rPr>
              <w:t>$20</w:t>
            </w:r>
            <w:r w:rsidR="00C00882">
              <w:rPr>
                <w:color w:val="000000"/>
              </w:rPr>
              <w:t>.9</w:t>
            </w:r>
          </w:p>
        </w:tc>
      </w:tr>
      <w:tr w14:paraId="11143EEE"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hideMark/>
          </w:tcPr>
          <w:p w:rsidR="00C00882" w:rsidRPr="00F16FAC" w:rsidP="00026F9A" w14:paraId="5B228340" w14:textId="77777777">
            <w:pPr>
              <w:jc w:val="center"/>
            </w:pPr>
            <w:r w:rsidRPr="00F16FAC">
              <w:t>4</w:t>
            </w:r>
          </w:p>
        </w:tc>
        <w:tc>
          <w:tcPr>
            <w:tcW w:w="1229" w:type="pct"/>
            <w:tcBorders>
              <w:top w:val="single" w:sz="4" w:space="0" w:color="auto"/>
              <w:left w:val="single" w:sz="4" w:space="0" w:color="auto"/>
              <w:bottom w:val="single" w:sz="4" w:space="0" w:color="auto"/>
              <w:right w:val="single" w:sz="4" w:space="0" w:color="auto"/>
            </w:tcBorders>
            <w:vAlign w:val="bottom"/>
            <w:hideMark/>
          </w:tcPr>
          <w:p w:rsidR="00C00882" w:rsidRPr="00975ACB" w:rsidP="00026F9A" w14:paraId="561214FA" w14:textId="4BF01EB6">
            <w:pPr>
              <w:jc w:val="center"/>
              <w:rPr>
                <w:color w:val="000000"/>
              </w:rPr>
            </w:pPr>
            <w:r w:rsidRPr="00491301">
              <w:rPr>
                <w:color w:val="000000"/>
              </w:rPr>
              <w:t>$10</w:t>
            </w:r>
            <w:r>
              <w:rPr>
                <w:color w:val="000000"/>
              </w:rPr>
              <w:t>.9</w:t>
            </w:r>
          </w:p>
        </w:tc>
        <w:tc>
          <w:tcPr>
            <w:tcW w:w="1289"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0EBB95C9" w14:textId="55D707C1">
            <w:pPr>
              <w:jc w:val="center"/>
              <w:rPr>
                <w:color w:val="000000"/>
              </w:rPr>
            </w:pPr>
            <w:r w:rsidRPr="005B00BD">
              <w:rPr>
                <w:color w:val="000000"/>
              </w:rPr>
              <w:t>$16</w:t>
            </w:r>
            <w:r>
              <w:rPr>
                <w:color w:val="000000"/>
              </w:rPr>
              <w:t>.8</w:t>
            </w:r>
          </w:p>
        </w:tc>
        <w:tc>
          <w:tcPr>
            <w:tcW w:w="1353"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4D6E0720" w14:textId="35515693">
            <w:pPr>
              <w:jc w:val="center"/>
              <w:rPr>
                <w:color w:val="000000"/>
              </w:rPr>
            </w:pPr>
            <w:r w:rsidRPr="005B00BD">
              <w:rPr>
                <w:color w:val="000000"/>
              </w:rPr>
              <w:t>$20</w:t>
            </w:r>
            <w:r>
              <w:rPr>
                <w:color w:val="000000"/>
              </w:rPr>
              <w:t>.9</w:t>
            </w:r>
          </w:p>
        </w:tc>
      </w:tr>
      <w:tr w14:paraId="3D9EA81E"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hideMark/>
          </w:tcPr>
          <w:p w:rsidR="00C00882" w:rsidRPr="00F16FAC" w:rsidP="00026F9A" w14:paraId="50BEDDF1" w14:textId="77777777">
            <w:pPr>
              <w:jc w:val="center"/>
            </w:pPr>
            <w:r w:rsidRPr="00F16FAC">
              <w:t>5</w:t>
            </w:r>
          </w:p>
        </w:tc>
        <w:tc>
          <w:tcPr>
            <w:tcW w:w="1229" w:type="pct"/>
            <w:tcBorders>
              <w:top w:val="single" w:sz="4" w:space="0" w:color="auto"/>
              <w:left w:val="single" w:sz="4" w:space="0" w:color="auto"/>
              <w:bottom w:val="single" w:sz="4" w:space="0" w:color="auto"/>
              <w:right w:val="single" w:sz="4" w:space="0" w:color="auto"/>
            </w:tcBorders>
            <w:vAlign w:val="bottom"/>
            <w:hideMark/>
          </w:tcPr>
          <w:p w:rsidR="00C00882" w:rsidRPr="00975ACB" w:rsidP="00026F9A" w14:paraId="45554A35" w14:textId="0C73089E">
            <w:pPr>
              <w:jc w:val="center"/>
              <w:rPr>
                <w:color w:val="000000"/>
              </w:rPr>
            </w:pPr>
            <w:r w:rsidRPr="00491301">
              <w:rPr>
                <w:color w:val="000000"/>
              </w:rPr>
              <w:t>$1</w:t>
            </w:r>
            <w:r>
              <w:rPr>
                <w:color w:val="000000"/>
              </w:rPr>
              <w:t>1.0</w:t>
            </w:r>
          </w:p>
        </w:tc>
        <w:tc>
          <w:tcPr>
            <w:tcW w:w="1289"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740C9D0E" w14:textId="341E4641">
            <w:pPr>
              <w:jc w:val="center"/>
              <w:rPr>
                <w:color w:val="000000"/>
              </w:rPr>
            </w:pPr>
            <w:r w:rsidRPr="005B00BD">
              <w:rPr>
                <w:color w:val="000000"/>
              </w:rPr>
              <w:t>$16</w:t>
            </w:r>
            <w:r>
              <w:rPr>
                <w:color w:val="000000"/>
              </w:rPr>
              <w:t>.8</w:t>
            </w:r>
          </w:p>
        </w:tc>
        <w:tc>
          <w:tcPr>
            <w:tcW w:w="1353"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22F21F12" w14:textId="0879EF94">
            <w:pPr>
              <w:jc w:val="center"/>
              <w:rPr>
                <w:color w:val="000000"/>
              </w:rPr>
            </w:pPr>
            <w:r w:rsidRPr="005B00BD">
              <w:rPr>
                <w:color w:val="000000"/>
              </w:rPr>
              <w:t>$20</w:t>
            </w:r>
            <w:r>
              <w:rPr>
                <w:color w:val="000000"/>
              </w:rPr>
              <w:t>.9</w:t>
            </w:r>
          </w:p>
        </w:tc>
      </w:tr>
      <w:tr w14:paraId="6D4A3AD4"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hideMark/>
          </w:tcPr>
          <w:p w:rsidR="00C00882" w:rsidRPr="00F16FAC" w:rsidP="00026F9A" w14:paraId="0AA451AE" w14:textId="77777777">
            <w:pPr>
              <w:jc w:val="center"/>
            </w:pPr>
            <w:r w:rsidRPr="00F16FAC">
              <w:t>6</w:t>
            </w:r>
          </w:p>
        </w:tc>
        <w:tc>
          <w:tcPr>
            <w:tcW w:w="1229" w:type="pct"/>
            <w:tcBorders>
              <w:top w:val="single" w:sz="4" w:space="0" w:color="auto"/>
              <w:left w:val="single" w:sz="4" w:space="0" w:color="auto"/>
              <w:bottom w:val="single" w:sz="4" w:space="0" w:color="auto"/>
              <w:right w:val="single" w:sz="4" w:space="0" w:color="auto"/>
            </w:tcBorders>
            <w:vAlign w:val="bottom"/>
            <w:hideMark/>
          </w:tcPr>
          <w:p w:rsidR="00C00882" w:rsidRPr="00975ACB" w:rsidP="00026F9A" w14:paraId="5CDE3E53" w14:textId="48E8AA93">
            <w:pPr>
              <w:jc w:val="center"/>
              <w:rPr>
                <w:color w:val="000000"/>
              </w:rPr>
            </w:pPr>
            <w:r w:rsidRPr="00491301">
              <w:rPr>
                <w:color w:val="000000"/>
              </w:rPr>
              <w:t>$10</w:t>
            </w:r>
            <w:r>
              <w:rPr>
                <w:color w:val="000000"/>
              </w:rPr>
              <w:t>.9</w:t>
            </w:r>
          </w:p>
        </w:tc>
        <w:tc>
          <w:tcPr>
            <w:tcW w:w="1289"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5509E63E" w14:textId="20E4B0E1">
            <w:pPr>
              <w:jc w:val="center"/>
              <w:rPr>
                <w:color w:val="000000"/>
              </w:rPr>
            </w:pPr>
            <w:r w:rsidRPr="005B00BD">
              <w:rPr>
                <w:color w:val="000000"/>
              </w:rPr>
              <w:t>$16</w:t>
            </w:r>
            <w:r>
              <w:rPr>
                <w:color w:val="000000"/>
              </w:rPr>
              <w:t>.8</w:t>
            </w:r>
          </w:p>
        </w:tc>
        <w:tc>
          <w:tcPr>
            <w:tcW w:w="1353"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77D2CE88" w14:textId="00627BAA">
            <w:pPr>
              <w:jc w:val="center"/>
              <w:rPr>
                <w:color w:val="000000"/>
              </w:rPr>
            </w:pPr>
            <w:r w:rsidRPr="005B00BD">
              <w:rPr>
                <w:color w:val="000000"/>
              </w:rPr>
              <w:t>$20</w:t>
            </w:r>
            <w:r>
              <w:rPr>
                <w:color w:val="000000"/>
              </w:rPr>
              <w:t>.9</w:t>
            </w:r>
          </w:p>
        </w:tc>
      </w:tr>
      <w:tr w14:paraId="2DB0FC16" w14:textId="77777777">
        <w:tblPrEx>
          <w:tblW w:w="5000" w:type="pct"/>
          <w:tblLook w:val="04A0"/>
        </w:tblPrEx>
        <w:trPr>
          <w:trHeight w:val="265"/>
        </w:trPr>
        <w:tc>
          <w:tcPr>
            <w:tcW w:w="1129" w:type="pct"/>
            <w:tcBorders>
              <w:top w:val="single" w:sz="4" w:space="0" w:color="auto"/>
              <w:left w:val="single" w:sz="4" w:space="0" w:color="auto"/>
              <w:bottom w:val="single" w:sz="4" w:space="0" w:color="auto"/>
              <w:right w:val="single" w:sz="4" w:space="0" w:color="auto"/>
            </w:tcBorders>
            <w:hideMark/>
          </w:tcPr>
          <w:p w:rsidR="00C00882" w:rsidRPr="00F16FAC" w:rsidP="00026F9A" w14:paraId="53BFC7EF" w14:textId="77777777">
            <w:pPr>
              <w:jc w:val="center"/>
            </w:pPr>
            <w:r w:rsidRPr="00F16FAC">
              <w:t>7</w:t>
            </w:r>
          </w:p>
        </w:tc>
        <w:tc>
          <w:tcPr>
            <w:tcW w:w="1229" w:type="pct"/>
            <w:tcBorders>
              <w:top w:val="single" w:sz="4" w:space="0" w:color="auto"/>
              <w:left w:val="single" w:sz="4" w:space="0" w:color="auto"/>
              <w:bottom w:val="single" w:sz="4" w:space="0" w:color="auto"/>
              <w:right w:val="single" w:sz="4" w:space="0" w:color="auto"/>
            </w:tcBorders>
            <w:vAlign w:val="bottom"/>
            <w:hideMark/>
          </w:tcPr>
          <w:p w:rsidR="00C00882" w:rsidRPr="00975ACB" w:rsidP="00026F9A" w14:paraId="7F65EB78" w14:textId="5D2EC6A7">
            <w:pPr>
              <w:jc w:val="center"/>
              <w:rPr>
                <w:color w:val="000000"/>
              </w:rPr>
            </w:pPr>
            <w:r w:rsidRPr="00491301">
              <w:rPr>
                <w:color w:val="000000"/>
              </w:rPr>
              <w:t>$10</w:t>
            </w:r>
            <w:r>
              <w:rPr>
                <w:color w:val="000000"/>
              </w:rPr>
              <w:t>.9</w:t>
            </w:r>
          </w:p>
        </w:tc>
        <w:tc>
          <w:tcPr>
            <w:tcW w:w="1289"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04075E06" w14:textId="6687E0B7">
            <w:pPr>
              <w:jc w:val="center"/>
              <w:rPr>
                <w:color w:val="000000"/>
              </w:rPr>
            </w:pPr>
            <w:r w:rsidRPr="005B00BD">
              <w:rPr>
                <w:color w:val="000000"/>
              </w:rPr>
              <w:t>$16</w:t>
            </w:r>
            <w:r>
              <w:rPr>
                <w:color w:val="000000"/>
              </w:rPr>
              <w:t>.8</w:t>
            </w:r>
          </w:p>
        </w:tc>
        <w:tc>
          <w:tcPr>
            <w:tcW w:w="1353"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29AEB05F" w14:textId="05C4B1DD">
            <w:pPr>
              <w:jc w:val="center"/>
              <w:rPr>
                <w:color w:val="000000"/>
              </w:rPr>
            </w:pPr>
            <w:r w:rsidRPr="00491301">
              <w:rPr>
                <w:color w:val="000000"/>
              </w:rPr>
              <w:t>$2</w:t>
            </w:r>
            <w:r>
              <w:rPr>
                <w:color w:val="000000"/>
              </w:rPr>
              <w:t>1.0</w:t>
            </w:r>
          </w:p>
        </w:tc>
      </w:tr>
      <w:tr w14:paraId="175B2025"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hideMark/>
          </w:tcPr>
          <w:p w:rsidR="00C00882" w:rsidRPr="00F16FAC" w:rsidP="00026F9A" w14:paraId="79C3AE15" w14:textId="77777777">
            <w:pPr>
              <w:jc w:val="center"/>
            </w:pPr>
            <w:r w:rsidRPr="00F16FAC">
              <w:t>8</w:t>
            </w:r>
          </w:p>
        </w:tc>
        <w:tc>
          <w:tcPr>
            <w:tcW w:w="1229" w:type="pct"/>
            <w:tcBorders>
              <w:top w:val="single" w:sz="4" w:space="0" w:color="auto"/>
              <w:left w:val="single" w:sz="4" w:space="0" w:color="auto"/>
              <w:bottom w:val="single" w:sz="4" w:space="0" w:color="auto"/>
              <w:right w:val="single" w:sz="4" w:space="0" w:color="auto"/>
            </w:tcBorders>
            <w:vAlign w:val="bottom"/>
            <w:hideMark/>
          </w:tcPr>
          <w:p w:rsidR="00C00882" w:rsidRPr="00975ACB" w:rsidP="00026F9A" w14:paraId="62FA5084" w14:textId="65E8158B">
            <w:pPr>
              <w:jc w:val="center"/>
              <w:rPr>
                <w:color w:val="000000"/>
              </w:rPr>
            </w:pPr>
            <w:r w:rsidRPr="00491301">
              <w:rPr>
                <w:color w:val="000000"/>
              </w:rPr>
              <w:t>$10</w:t>
            </w:r>
            <w:r>
              <w:rPr>
                <w:color w:val="000000"/>
              </w:rPr>
              <w:t>.9</w:t>
            </w:r>
          </w:p>
        </w:tc>
        <w:tc>
          <w:tcPr>
            <w:tcW w:w="1289"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37EFBF94" w14:textId="138F606C">
            <w:pPr>
              <w:jc w:val="center"/>
              <w:rPr>
                <w:color w:val="000000"/>
              </w:rPr>
            </w:pPr>
            <w:r w:rsidRPr="005B00BD">
              <w:rPr>
                <w:color w:val="000000"/>
              </w:rPr>
              <w:t>$16</w:t>
            </w:r>
            <w:r>
              <w:rPr>
                <w:color w:val="000000"/>
              </w:rPr>
              <w:t>.8</w:t>
            </w:r>
          </w:p>
        </w:tc>
        <w:tc>
          <w:tcPr>
            <w:tcW w:w="1353"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039572A0" w14:textId="7E72CA6D">
            <w:pPr>
              <w:jc w:val="center"/>
              <w:rPr>
                <w:color w:val="000000"/>
              </w:rPr>
            </w:pPr>
            <w:r w:rsidRPr="005B00BD">
              <w:rPr>
                <w:color w:val="000000"/>
              </w:rPr>
              <w:t>$20</w:t>
            </w:r>
            <w:r>
              <w:rPr>
                <w:color w:val="000000"/>
              </w:rPr>
              <w:t>.9</w:t>
            </w:r>
          </w:p>
        </w:tc>
      </w:tr>
      <w:tr w14:paraId="443BB1E9"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hideMark/>
          </w:tcPr>
          <w:p w:rsidR="00C00882" w:rsidRPr="00F16FAC" w:rsidP="00026F9A" w14:paraId="1DECF1E0" w14:textId="77777777">
            <w:pPr>
              <w:jc w:val="center"/>
            </w:pPr>
            <w:r w:rsidRPr="00F16FAC">
              <w:t>9</w:t>
            </w:r>
          </w:p>
        </w:tc>
        <w:tc>
          <w:tcPr>
            <w:tcW w:w="1229" w:type="pct"/>
            <w:tcBorders>
              <w:top w:val="single" w:sz="4" w:space="0" w:color="auto"/>
              <w:left w:val="single" w:sz="4" w:space="0" w:color="auto"/>
              <w:bottom w:val="single" w:sz="4" w:space="0" w:color="auto"/>
              <w:right w:val="single" w:sz="4" w:space="0" w:color="auto"/>
            </w:tcBorders>
            <w:vAlign w:val="bottom"/>
            <w:hideMark/>
          </w:tcPr>
          <w:p w:rsidR="00C00882" w:rsidRPr="00975ACB" w:rsidP="00026F9A" w14:paraId="2607EE53" w14:textId="14CCA479">
            <w:pPr>
              <w:jc w:val="center"/>
              <w:rPr>
                <w:color w:val="000000"/>
              </w:rPr>
            </w:pPr>
            <w:r w:rsidRPr="00491301">
              <w:rPr>
                <w:color w:val="000000"/>
              </w:rPr>
              <w:t>$1</w:t>
            </w:r>
            <w:r>
              <w:rPr>
                <w:color w:val="000000"/>
              </w:rPr>
              <w:t>1.0</w:t>
            </w:r>
          </w:p>
        </w:tc>
        <w:tc>
          <w:tcPr>
            <w:tcW w:w="1289"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194EB8BA" w14:textId="09CE6697">
            <w:pPr>
              <w:jc w:val="center"/>
              <w:rPr>
                <w:color w:val="000000"/>
              </w:rPr>
            </w:pPr>
            <w:r w:rsidRPr="005B00BD">
              <w:rPr>
                <w:color w:val="000000"/>
              </w:rPr>
              <w:t>$16</w:t>
            </w:r>
            <w:r>
              <w:rPr>
                <w:color w:val="000000"/>
              </w:rPr>
              <w:t>.8</w:t>
            </w:r>
          </w:p>
        </w:tc>
        <w:tc>
          <w:tcPr>
            <w:tcW w:w="1353" w:type="pct"/>
            <w:tcBorders>
              <w:top w:val="single" w:sz="4" w:space="0" w:color="auto"/>
              <w:left w:val="single" w:sz="4" w:space="0" w:color="auto"/>
              <w:bottom w:val="single" w:sz="4" w:space="0" w:color="auto"/>
              <w:right w:val="single" w:sz="4" w:space="0" w:color="auto"/>
            </w:tcBorders>
            <w:vAlign w:val="bottom"/>
          </w:tcPr>
          <w:p w:rsidR="00C00882" w:rsidRPr="00975ACB" w:rsidP="00026F9A" w14:paraId="7C11717D" w14:textId="4E425DE9">
            <w:pPr>
              <w:jc w:val="center"/>
              <w:rPr>
                <w:color w:val="000000"/>
              </w:rPr>
            </w:pPr>
            <w:r w:rsidRPr="005B00BD">
              <w:rPr>
                <w:color w:val="000000"/>
              </w:rPr>
              <w:t>$20</w:t>
            </w:r>
            <w:r>
              <w:rPr>
                <w:color w:val="000000"/>
              </w:rPr>
              <w:t>.9</w:t>
            </w:r>
          </w:p>
        </w:tc>
      </w:tr>
      <w:tr w14:paraId="76B4C9B3"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tcPr>
          <w:p w:rsidR="00975ACB" w:rsidRPr="00F16FAC" w:rsidP="00026F9A" w14:paraId="412507E5" w14:textId="77777777">
            <w:pPr>
              <w:jc w:val="center"/>
            </w:pPr>
            <w:r>
              <w:t>Annualized, 3%</w:t>
            </w:r>
          </w:p>
        </w:tc>
        <w:tc>
          <w:tcPr>
            <w:tcW w:w="1229"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44ACA446" w14:textId="6319902E">
            <w:pPr>
              <w:jc w:val="center"/>
              <w:rPr>
                <w:rFonts w:eastAsia="Times New Roman"/>
                <w:color w:val="000000"/>
              </w:rPr>
            </w:pPr>
            <w:r w:rsidRPr="00491301">
              <w:rPr>
                <w:color w:val="000000"/>
              </w:rPr>
              <w:t>$8</w:t>
            </w:r>
            <w:r w:rsidR="00C00882">
              <w:rPr>
                <w:color w:val="000000"/>
              </w:rPr>
              <w:t>.9</w:t>
            </w:r>
          </w:p>
        </w:tc>
        <w:tc>
          <w:tcPr>
            <w:tcW w:w="1289"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2E26E13B" w14:textId="66BD1B10">
            <w:pPr>
              <w:jc w:val="center"/>
              <w:rPr>
                <w:color w:val="000000"/>
              </w:rPr>
            </w:pPr>
            <w:r w:rsidRPr="00491301">
              <w:rPr>
                <w:color w:val="000000"/>
              </w:rPr>
              <w:t>$1</w:t>
            </w:r>
            <w:r w:rsidR="00C00882">
              <w:rPr>
                <w:color w:val="000000"/>
              </w:rPr>
              <w:t>4.0</w:t>
            </w:r>
          </w:p>
        </w:tc>
        <w:tc>
          <w:tcPr>
            <w:tcW w:w="1353"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249B5912" w14:textId="7FC4134B">
            <w:pPr>
              <w:jc w:val="center"/>
              <w:rPr>
                <w:color w:val="000000"/>
              </w:rPr>
            </w:pPr>
            <w:r w:rsidRPr="00491301">
              <w:rPr>
                <w:color w:val="000000"/>
              </w:rPr>
              <w:t>$17</w:t>
            </w:r>
            <w:r w:rsidR="00C00882">
              <w:rPr>
                <w:color w:val="000000"/>
              </w:rPr>
              <w:t>.6</w:t>
            </w:r>
          </w:p>
        </w:tc>
      </w:tr>
      <w:tr w14:paraId="119FF8C8" w14:textId="77777777">
        <w:tblPrEx>
          <w:tblW w:w="5000" w:type="pct"/>
          <w:tblLook w:val="04A0"/>
        </w:tblPrEx>
        <w:trPr>
          <w:trHeight w:val="277"/>
        </w:trPr>
        <w:tc>
          <w:tcPr>
            <w:tcW w:w="1129" w:type="pct"/>
            <w:tcBorders>
              <w:top w:val="single" w:sz="4" w:space="0" w:color="auto"/>
              <w:left w:val="single" w:sz="4" w:space="0" w:color="auto"/>
              <w:bottom w:val="single" w:sz="4" w:space="0" w:color="auto"/>
              <w:right w:val="single" w:sz="4" w:space="0" w:color="auto"/>
            </w:tcBorders>
          </w:tcPr>
          <w:p w:rsidR="00975ACB" w:rsidP="00026F9A" w14:paraId="10AAC0C8" w14:textId="77777777">
            <w:pPr>
              <w:jc w:val="center"/>
            </w:pPr>
            <w:r>
              <w:t>Annualized, 7%</w:t>
            </w:r>
          </w:p>
        </w:tc>
        <w:tc>
          <w:tcPr>
            <w:tcW w:w="1229"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01B269BD" w14:textId="20252653">
            <w:pPr>
              <w:jc w:val="center"/>
              <w:rPr>
                <w:color w:val="000000"/>
              </w:rPr>
            </w:pPr>
            <w:r w:rsidRPr="00491301">
              <w:rPr>
                <w:color w:val="000000"/>
              </w:rPr>
              <w:t>$8</w:t>
            </w:r>
            <w:r w:rsidR="00C00882">
              <w:rPr>
                <w:color w:val="000000"/>
              </w:rPr>
              <w:t>.6</w:t>
            </w:r>
          </w:p>
        </w:tc>
        <w:tc>
          <w:tcPr>
            <w:tcW w:w="1289"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348F2A2A" w14:textId="4C3BFE37">
            <w:pPr>
              <w:jc w:val="center"/>
              <w:rPr>
                <w:color w:val="000000"/>
              </w:rPr>
            </w:pPr>
            <w:r w:rsidRPr="00491301">
              <w:rPr>
                <w:color w:val="000000"/>
              </w:rPr>
              <w:t>$13</w:t>
            </w:r>
            <w:r w:rsidR="00C00882">
              <w:rPr>
                <w:color w:val="000000"/>
              </w:rPr>
              <w:t>.5</w:t>
            </w:r>
          </w:p>
        </w:tc>
        <w:tc>
          <w:tcPr>
            <w:tcW w:w="1353" w:type="pct"/>
            <w:tcBorders>
              <w:top w:val="single" w:sz="4" w:space="0" w:color="auto"/>
              <w:left w:val="single" w:sz="4" w:space="0" w:color="auto"/>
              <w:bottom w:val="single" w:sz="4" w:space="0" w:color="auto"/>
              <w:right w:val="single" w:sz="4" w:space="0" w:color="auto"/>
            </w:tcBorders>
            <w:vAlign w:val="bottom"/>
          </w:tcPr>
          <w:p w:rsidR="00975ACB" w:rsidRPr="00975ACB" w:rsidP="00026F9A" w14:paraId="73515111" w14:textId="3494696F">
            <w:pPr>
              <w:jc w:val="center"/>
              <w:rPr>
                <w:color w:val="000000"/>
              </w:rPr>
            </w:pPr>
            <w:r w:rsidRPr="00491301">
              <w:rPr>
                <w:color w:val="000000"/>
              </w:rPr>
              <w:t>$17</w:t>
            </w:r>
            <w:r w:rsidR="00C00882">
              <w:rPr>
                <w:color w:val="000000"/>
              </w:rPr>
              <w:t>.1</w:t>
            </w:r>
          </w:p>
        </w:tc>
      </w:tr>
    </w:tbl>
    <w:p w:rsidR="00360ED2" w:rsidP="00026F9A" w14:paraId="4117D105" w14:textId="77777777">
      <w:pPr>
        <w:ind w:firstLine="720"/>
      </w:pPr>
    </w:p>
    <w:p w:rsidR="00360ED2" w:rsidP="00026F9A" w14:paraId="13F7CAC4" w14:textId="0ADE89BE">
      <w:pPr>
        <w:pStyle w:val="ListParagraph"/>
        <w:numPr>
          <w:ilvl w:val="0"/>
          <w:numId w:val="14"/>
        </w:numPr>
        <w:spacing w:after="0"/>
      </w:pPr>
      <w:r>
        <w:t>Recordkeeping</w:t>
      </w:r>
    </w:p>
    <w:p w:rsidR="00360ED2" w:rsidP="00026F9A" w14:paraId="242A8324" w14:textId="77777777"/>
    <w:p w:rsidR="00360ED2" w:rsidP="00026F9A" w14:paraId="0DF5CFED" w14:textId="3DCA6D77">
      <w:pPr>
        <w:spacing w:line="480" w:lineRule="auto"/>
        <w:ind w:firstLine="720"/>
      </w:pPr>
      <w:r>
        <w:t>The final rule require</w:t>
      </w:r>
      <w:r w:rsidR="00BC2DCB">
        <w:t>s</w:t>
      </w:r>
      <w:r>
        <w:t xml:space="preserve"> farms to establish and maintain written records of the pre-harvest agricultural water assessments conducted, including descriptions of factors evaluated and written determinations (§</w:t>
      </w:r>
      <w:r w:rsidR="007B7537">
        <w:t xml:space="preserve"> </w:t>
      </w:r>
      <w:r>
        <w:t xml:space="preserve">112.50(b)). We use median subject matter expert estimates of the low, most likely, and high time burden of recordkeeping as parameters of a PERT distribution to model the cost to farms of various sizes to establish and maintain the required records once the assessment has been completed; this method incorporates the uncertainty about the time it takes to conduct recordkeeping. </w:t>
      </w:r>
    </w:p>
    <w:p w:rsidR="00360ED2" w:rsidP="00026F9A" w14:paraId="2A367464" w14:textId="6388F56A">
      <w:pPr>
        <w:spacing w:line="480" w:lineRule="auto"/>
        <w:ind w:firstLine="720"/>
      </w:pPr>
      <w:r>
        <w:t>We use the previously described fully-loaded hourly cost of labor “Farm Operators” ($</w:t>
      </w:r>
      <w:r w:rsidR="00C00882">
        <w:t>80.58</w:t>
      </w:r>
      <w:r>
        <w:t>) for very small and small farms and cost of labor for “Farm Supervisors” for large farms ($5</w:t>
      </w:r>
      <w:r w:rsidR="00C00882">
        <w:t>6.56</w:t>
      </w:r>
      <w:r>
        <w:t>). Table 31 presents the estimated annual cost of recordkeeping for very small farms; Table 32 presents the estimated annual cost of recordkeeping for small farms; and Table 33 presents the estimated annual cost of recordkeeping for large farms. Table 34 presents estimated costs of recordkeeping for all farms by year. We include 5th (“Low Estimate”) and 95th (“High Estimate”) percentile outcomes of the simulated burden as measures of uncertainty.</w:t>
      </w:r>
      <w:r w:rsidR="00823DEC">
        <w:t xml:space="preserve"> We provide summary tables of the total estimated costs of th</w:t>
      </w:r>
      <w:r w:rsidR="00657821">
        <w:t>is</w:t>
      </w:r>
      <w:r w:rsidR="00823DEC">
        <w:t xml:space="preserve"> rule relative to </w:t>
      </w:r>
      <w:r w:rsidR="00150BFD">
        <w:t xml:space="preserve">the pre-harvest agricultural </w:t>
      </w:r>
      <w:r w:rsidR="00823DEC">
        <w:t>water</w:t>
      </w:r>
      <w:r w:rsidR="00150BFD">
        <w:t xml:space="preserve"> microbial quality criteria and</w:t>
      </w:r>
      <w:r w:rsidR="00823DEC">
        <w:t xml:space="preserve"> testing</w:t>
      </w:r>
      <w:r w:rsidR="00150BFD">
        <w:t xml:space="preserve"> requirements in the 2015 </w:t>
      </w:r>
      <w:r w:rsidR="00026B9D">
        <w:t xml:space="preserve">produce safety final rule </w:t>
      </w:r>
      <w:r w:rsidR="00823DEC">
        <w:t xml:space="preserve">and relative to no </w:t>
      </w:r>
      <w:r w:rsidR="00774127">
        <w:t xml:space="preserve">pre-harvest agricultural water </w:t>
      </w:r>
      <w:r w:rsidR="00823DEC">
        <w:t xml:space="preserve">provisions in section H. </w:t>
      </w:r>
    </w:p>
    <w:p w:rsidR="00360ED2" w:rsidP="00026F9A" w14:paraId="061BEA23" w14:textId="15D6CB57">
      <w:pPr>
        <w:rPr>
          <w:b/>
        </w:rPr>
      </w:pPr>
      <w:r w:rsidRPr="00E806F0">
        <w:rPr>
          <w:b/>
        </w:rPr>
        <w:t xml:space="preserve">Table </w:t>
      </w:r>
      <w:r>
        <w:rPr>
          <w:b/>
        </w:rPr>
        <w:t>31</w:t>
      </w:r>
      <w:r w:rsidRPr="00E806F0">
        <w:rPr>
          <w:b/>
        </w:rPr>
        <w:t xml:space="preserve">: Cost of </w:t>
      </w:r>
      <w:r>
        <w:rPr>
          <w:b/>
        </w:rPr>
        <w:t>Recordkeeping,</w:t>
      </w:r>
      <w:r w:rsidRPr="00E806F0">
        <w:rPr>
          <w:b/>
        </w:rPr>
        <w:t xml:space="preserve"> </w:t>
      </w:r>
      <w:r>
        <w:rPr>
          <w:b/>
        </w:rPr>
        <w:t>V</w:t>
      </w:r>
      <w:r w:rsidRPr="00E806F0">
        <w:rPr>
          <w:b/>
        </w:rPr>
        <w:t xml:space="preserve">ery </w:t>
      </w:r>
      <w:r>
        <w:rPr>
          <w:b/>
        </w:rPr>
        <w:t>S</w:t>
      </w:r>
      <w:r w:rsidRPr="00E806F0">
        <w:rPr>
          <w:b/>
        </w:rPr>
        <w:t xml:space="preserve">mall </w:t>
      </w:r>
      <w:r>
        <w:rPr>
          <w:b/>
        </w:rPr>
        <w:t>F</w:t>
      </w:r>
      <w:r w:rsidRPr="00E806F0">
        <w:rPr>
          <w:b/>
        </w:rPr>
        <w:t>arms</w:t>
      </w:r>
      <w:r>
        <w:rPr>
          <w:b/>
        </w:rPr>
        <w:t xml:space="preserve"> (20</w:t>
      </w:r>
      <w:r w:rsidR="00DF5496">
        <w:rPr>
          <w:b/>
        </w:rPr>
        <w:t>2</w:t>
      </w:r>
      <w:r w:rsidR="00C00882">
        <w:rPr>
          <w:b/>
        </w:rPr>
        <w:t>2</w:t>
      </w:r>
      <w:r>
        <w:rPr>
          <w:b/>
        </w:rPr>
        <w:t>$)</w:t>
      </w:r>
    </w:p>
    <w:tbl>
      <w:tblPr>
        <w:tblStyle w:val="TableGrid"/>
        <w:tblW w:w="0" w:type="auto"/>
        <w:tblLayout w:type="fixed"/>
        <w:tblLook w:val="04A0"/>
      </w:tblPr>
      <w:tblGrid>
        <w:gridCol w:w="4225"/>
        <w:gridCol w:w="1440"/>
        <w:gridCol w:w="1644"/>
        <w:gridCol w:w="1321"/>
      </w:tblGrid>
      <w:tr w14:paraId="5C1C1598" w14:textId="77777777">
        <w:tblPrEx>
          <w:tblW w:w="0" w:type="auto"/>
          <w:tblLayout w:type="fixed"/>
          <w:tblLook w:val="04A0"/>
        </w:tblPrEx>
        <w:trPr>
          <w:trHeight w:val="20"/>
        </w:trPr>
        <w:tc>
          <w:tcPr>
            <w:tcW w:w="4225" w:type="dxa"/>
          </w:tcPr>
          <w:p w:rsidR="00360ED2" w:rsidP="00026F9A" w14:paraId="77F1F0F7" w14:textId="77777777">
            <w:pPr>
              <w:rPr>
                <w:b/>
              </w:rPr>
            </w:pPr>
          </w:p>
        </w:tc>
        <w:tc>
          <w:tcPr>
            <w:tcW w:w="1440" w:type="dxa"/>
          </w:tcPr>
          <w:p w:rsidR="00360ED2" w:rsidP="00026F9A" w14:paraId="17B63309" w14:textId="77777777">
            <w:pPr>
              <w:jc w:val="center"/>
              <w:rPr>
                <w:b/>
              </w:rPr>
            </w:pPr>
            <w:r w:rsidRPr="00C32C1F">
              <w:rPr>
                <w:b/>
              </w:rPr>
              <w:t>Low</w:t>
            </w:r>
          </w:p>
        </w:tc>
        <w:tc>
          <w:tcPr>
            <w:tcW w:w="1644" w:type="dxa"/>
          </w:tcPr>
          <w:p w:rsidR="00360ED2" w:rsidRPr="00C32C1F" w:rsidP="00026F9A" w14:paraId="43D0AB1F" w14:textId="77777777">
            <w:pPr>
              <w:jc w:val="center"/>
              <w:rPr>
                <w:b/>
              </w:rPr>
            </w:pPr>
            <w:r>
              <w:rPr>
                <w:b/>
              </w:rPr>
              <w:t>Most Likely</w:t>
            </w:r>
          </w:p>
          <w:p w:rsidR="00360ED2" w:rsidP="00026F9A" w14:paraId="3741AFB6" w14:textId="77777777">
            <w:pPr>
              <w:jc w:val="center"/>
              <w:rPr>
                <w:b/>
              </w:rPr>
            </w:pPr>
          </w:p>
        </w:tc>
        <w:tc>
          <w:tcPr>
            <w:tcW w:w="1321" w:type="dxa"/>
          </w:tcPr>
          <w:p w:rsidR="00360ED2" w:rsidP="00026F9A" w14:paraId="6DFE9EB9" w14:textId="77777777">
            <w:pPr>
              <w:jc w:val="center"/>
              <w:rPr>
                <w:b/>
              </w:rPr>
            </w:pPr>
            <w:r w:rsidRPr="00C32C1F">
              <w:rPr>
                <w:b/>
              </w:rPr>
              <w:t>High</w:t>
            </w:r>
          </w:p>
        </w:tc>
      </w:tr>
      <w:tr w14:paraId="4082C857" w14:textId="77777777">
        <w:tblPrEx>
          <w:tblW w:w="0" w:type="auto"/>
          <w:tblLayout w:type="fixed"/>
          <w:tblLook w:val="04A0"/>
        </w:tblPrEx>
        <w:tc>
          <w:tcPr>
            <w:tcW w:w="4225" w:type="dxa"/>
          </w:tcPr>
          <w:p w:rsidR="00DF5496" w:rsidP="00026F9A" w14:paraId="3C7541C2" w14:textId="77777777">
            <w:pPr>
              <w:rPr>
                <w:b/>
              </w:rPr>
            </w:pPr>
            <w:r>
              <w:t>Number of farms conducting assessments</w:t>
            </w:r>
          </w:p>
        </w:tc>
        <w:tc>
          <w:tcPr>
            <w:tcW w:w="1440" w:type="dxa"/>
          </w:tcPr>
          <w:p w:rsidR="00DF5496" w:rsidP="00026F9A" w14:paraId="79688BA3" w14:textId="6CF41400">
            <w:pPr>
              <w:jc w:val="center"/>
              <w:rPr>
                <w:b/>
              </w:rPr>
            </w:pPr>
            <w:r>
              <w:t>9,911</w:t>
            </w:r>
          </w:p>
        </w:tc>
        <w:tc>
          <w:tcPr>
            <w:tcW w:w="1644" w:type="dxa"/>
          </w:tcPr>
          <w:p w:rsidR="00DF5496" w:rsidP="00026F9A" w14:paraId="3AC1D617" w14:textId="1B2A553E">
            <w:pPr>
              <w:jc w:val="center"/>
              <w:rPr>
                <w:b/>
              </w:rPr>
            </w:pPr>
            <w:r>
              <w:t>9,911</w:t>
            </w:r>
          </w:p>
        </w:tc>
        <w:tc>
          <w:tcPr>
            <w:tcW w:w="1321" w:type="dxa"/>
          </w:tcPr>
          <w:p w:rsidR="00DF5496" w:rsidP="00026F9A" w14:paraId="393EFD28" w14:textId="3C0C0BCC">
            <w:pPr>
              <w:jc w:val="center"/>
              <w:rPr>
                <w:b/>
              </w:rPr>
            </w:pPr>
            <w:r>
              <w:t>9,911</w:t>
            </w:r>
          </w:p>
        </w:tc>
      </w:tr>
      <w:tr w14:paraId="53AFE009" w14:textId="77777777">
        <w:tblPrEx>
          <w:tblW w:w="0" w:type="auto"/>
          <w:tblLayout w:type="fixed"/>
          <w:tblLook w:val="04A0"/>
        </w:tblPrEx>
        <w:tc>
          <w:tcPr>
            <w:tcW w:w="4225" w:type="dxa"/>
          </w:tcPr>
          <w:p w:rsidR="00360ED2" w:rsidP="00026F9A" w14:paraId="744C7F27" w14:textId="0A5E3E8B">
            <w:pPr>
              <w:rPr>
                <w:b/>
              </w:rPr>
            </w:pPr>
            <w:r>
              <w:t>Number of assessments conducted annually</w:t>
            </w:r>
          </w:p>
        </w:tc>
        <w:tc>
          <w:tcPr>
            <w:tcW w:w="1440" w:type="dxa"/>
          </w:tcPr>
          <w:p w:rsidR="00360ED2" w:rsidRPr="00E806F0" w:rsidP="00026F9A" w14:paraId="35B6FB4C" w14:textId="77777777">
            <w:pPr>
              <w:jc w:val="center"/>
            </w:pPr>
            <w:r>
              <w:t>1.1</w:t>
            </w:r>
          </w:p>
        </w:tc>
        <w:tc>
          <w:tcPr>
            <w:tcW w:w="1644" w:type="dxa"/>
          </w:tcPr>
          <w:p w:rsidR="00360ED2" w:rsidP="00026F9A" w14:paraId="47D35D76" w14:textId="77777777">
            <w:pPr>
              <w:jc w:val="center"/>
              <w:rPr>
                <w:b/>
              </w:rPr>
            </w:pPr>
            <w:r>
              <w:t>1.1</w:t>
            </w:r>
          </w:p>
        </w:tc>
        <w:tc>
          <w:tcPr>
            <w:tcW w:w="1321" w:type="dxa"/>
          </w:tcPr>
          <w:p w:rsidR="00360ED2" w:rsidP="00026F9A" w14:paraId="12B56351" w14:textId="77777777">
            <w:pPr>
              <w:jc w:val="center"/>
              <w:rPr>
                <w:b/>
              </w:rPr>
            </w:pPr>
            <w:r>
              <w:t>1.1</w:t>
            </w:r>
          </w:p>
        </w:tc>
      </w:tr>
      <w:tr w14:paraId="7D00774A" w14:textId="77777777">
        <w:tblPrEx>
          <w:tblW w:w="0" w:type="auto"/>
          <w:tblLayout w:type="fixed"/>
          <w:tblLook w:val="04A0"/>
        </w:tblPrEx>
        <w:tc>
          <w:tcPr>
            <w:tcW w:w="4225" w:type="dxa"/>
          </w:tcPr>
          <w:p w:rsidR="00C00882" w:rsidP="00026F9A" w14:paraId="1D32894C" w14:textId="77777777">
            <w:pPr>
              <w:rPr>
                <w:b/>
              </w:rPr>
            </w:pPr>
            <w:r>
              <w:t>Hourly cost of labor of farm operators</w:t>
            </w:r>
          </w:p>
        </w:tc>
        <w:tc>
          <w:tcPr>
            <w:tcW w:w="1440" w:type="dxa"/>
          </w:tcPr>
          <w:p w:rsidR="00C00882" w:rsidP="00026F9A" w14:paraId="36C9DBC9" w14:textId="6C438B11">
            <w:pPr>
              <w:jc w:val="center"/>
              <w:rPr>
                <w:b/>
              </w:rPr>
            </w:pPr>
            <w:r>
              <w:t>$80.58</w:t>
            </w:r>
          </w:p>
        </w:tc>
        <w:tc>
          <w:tcPr>
            <w:tcW w:w="1644" w:type="dxa"/>
          </w:tcPr>
          <w:p w:rsidR="00C00882" w:rsidP="00026F9A" w14:paraId="79018A2E" w14:textId="763AE96F">
            <w:pPr>
              <w:jc w:val="center"/>
              <w:rPr>
                <w:b/>
              </w:rPr>
            </w:pPr>
            <w:r>
              <w:t>$80.58</w:t>
            </w:r>
          </w:p>
        </w:tc>
        <w:tc>
          <w:tcPr>
            <w:tcW w:w="1321" w:type="dxa"/>
          </w:tcPr>
          <w:p w:rsidR="00C00882" w:rsidP="00026F9A" w14:paraId="4B1EF096" w14:textId="4D1A34A5">
            <w:pPr>
              <w:jc w:val="center"/>
              <w:rPr>
                <w:b/>
              </w:rPr>
            </w:pPr>
            <w:r>
              <w:t>$80.58</w:t>
            </w:r>
          </w:p>
        </w:tc>
      </w:tr>
      <w:tr w14:paraId="49496A0D" w14:textId="77777777">
        <w:tblPrEx>
          <w:tblW w:w="0" w:type="auto"/>
          <w:tblLayout w:type="fixed"/>
          <w:tblLook w:val="04A0"/>
        </w:tblPrEx>
        <w:tc>
          <w:tcPr>
            <w:tcW w:w="4225" w:type="dxa"/>
          </w:tcPr>
          <w:p w:rsidR="00360ED2" w:rsidP="00026F9A" w14:paraId="15ED590E" w14:textId="77777777">
            <w:pPr>
              <w:rPr>
                <w:b/>
              </w:rPr>
            </w:pPr>
            <w:r>
              <w:t>Time in hours to conduct recordkeeping</w:t>
            </w:r>
          </w:p>
        </w:tc>
        <w:tc>
          <w:tcPr>
            <w:tcW w:w="1440" w:type="dxa"/>
            <w:vAlign w:val="center"/>
          </w:tcPr>
          <w:p w:rsidR="00360ED2" w:rsidRPr="0082472C" w:rsidP="00026F9A" w14:paraId="4D7E3BA3" w14:textId="77777777">
            <w:pPr>
              <w:jc w:val="center"/>
              <w:rPr>
                <w:rFonts w:eastAsia="Times New Roman"/>
                <w:color w:val="000000"/>
              </w:rPr>
            </w:pPr>
            <w:r w:rsidRPr="0082472C">
              <w:rPr>
                <w:color w:val="000000"/>
              </w:rPr>
              <w:t>2.</w:t>
            </w:r>
            <w:r>
              <w:rPr>
                <w:color w:val="000000"/>
              </w:rPr>
              <w:t>0</w:t>
            </w:r>
          </w:p>
        </w:tc>
        <w:tc>
          <w:tcPr>
            <w:tcW w:w="1644" w:type="dxa"/>
            <w:vAlign w:val="center"/>
          </w:tcPr>
          <w:p w:rsidR="00360ED2" w:rsidRPr="0082472C" w:rsidP="00026F9A" w14:paraId="7EC2B5FA" w14:textId="77777777">
            <w:pPr>
              <w:jc w:val="center"/>
              <w:rPr>
                <w:color w:val="000000"/>
              </w:rPr>
            </w:pPr>
            <w:r w:rsidRPr="0082472C">
              <w:rPr>
                <w:color w:val="000000"/>
              </w:rPr>
              <w:t>4.</w:t>
            </w:r>
            <w:r>
              <w:rPr>
                <w:color w:val="000000"/>
              </w:rPr>
              <w:t>0</w:t>
            </w:r>
          </w:p>
        </w:tc>
        <w:tc>
          <w:tcPr>
            <w:tcW w:w="1321" w:type="dxa"/>
            <w:vAlign w:val="center"/>
          </w:tcPr>
          <w:p w:rsidR="00360ED2" w:rsidRPr="0082472C" w:rsidP="00026F9A" w14:paraId="0ECC28E4" w14:textId="77777777">
            <w:pPr>
              <w:jc w:val="center"/>
              <w:rPr>
                <w:color w:val="000000"/>
              </w:rPr>
            </w:pPr>
            <w:r>
              <w:rPr>
                <w:color w:val="000000"/>
              </w:rPr>
              <w:t>9.0</w:t>
            </w:r>
          </w:p>
        </w:tc>
      </w:tr>
      <w:tr w14:paraId="1873C448" w14:textId="77777777">
        <w:tblPrEx>
          <w:tblW w:w="0" w:type="auto"/>
          <w:tblLayout w:type="fixed"/>
          <w:tblLook w:val="04A0"/>
        </w:tblPrEx>
        <w:tc>
          <w:tcPr>
            <w:tcW w:w="4225" w:type="dxa"/>
          </w:tcPr>
          <w:p w:rsidR="00360ED2" w:rsidRPr="00FC6639" w:rsidP="00026F9A" w14:paraId="2076498B" w14:textId="113675B0">
            <w:pPr>
              <w:rPr>
                <w:b/>
              </w:rPr>
            </w:pPr>
            <w:r w:rsidRPr="00E806F0">
              <w:rPr>
                <w:b/>
              </w:rPr>
              <w:t xml:space="preserve">Annual cost of </w:t>
            </w:r>
            <w:r>
              <w:rPr>
                <w:b/>
              </w:rPr>
              <w:t>recordkeeping</w:t>
            </w:r>
            <w:r w:rsidRPr="00E806F0">
              <w:rPr>
                <w:b/>
              </w:rPr>
              <w:t xml:space="preserve"> for very small farms</w:t>
            </w:r>
            <w:r w:rsidR="006E06D8">
              <w:rPr>
                <w:b/>
              </w:rPr>
              <w:t xml:space="preserve"> (millions)</w:t>
            </w:r>
          </w:p>
        </w:tc>
        <w:tc>
          <w:tcPr>
            <w:tcW w:w="1440" w:type="dxa"/>
            <w:vAlign w:val="bottom"/>
          </w:tcPr>
          <w:p w:rsidR="00360ED2" w:rsidRPr="00992F88" w:rsidP="00026F9A" w14:paraId="74F024A5" w14:textId="01627862">
            <w:pPr>
              <w:jc w:val="center"/>
              <w:rPr>
                <w:rFonts w:eastAsia="Times New Roman"/>
                <w:b/>
                <w:color w:val="000000"/>
              </w:rPr>
            </w:pPr>
            <w:r w:rsidRPr="00992F88">
              <w:rPr>
                <w:b/>
                <w:color w:val="000000"/>
              </w:rPr>
              <w:t>$</w:t>
            </w:r>
            <w:r w:rsidR="006E06D8">
              <w:rPr>
                <w:b/>
                <w:color w:val="000000"/>
              </w:rPr>
              <w:t>2.</w:t>
            </w:r>
            <w:r w:rsidR="00C65F37">
              <w:rPr>
                <w:b/>
                <w:color w:val="000000"/>
              </w:rPr>
              <w:t>3</w:t>
            </w:r>
          </w:p>
        </w:tc>
        <w:tc>
          <w:tcPr>
            <w:tcW w:w="1644" w:type="dxa"/>
            <w:vAlign w:val="bottom"/>
          </w:tcPr>
          <w:p w:rsidR="00360ED2" w:rsidRPr="00992F88" w:rsidP="00026F9A" w14:paraId="3BBAD543" w14:textId="56FE9008">
            <w:pPr>
              <w:jc w:val="center"/>
              <w:rPr>
                <w:b/>
                <w:color w:val="000000"/>
              </w:rPr>
            </w:pPr>
            <w:r w:rsidRPr="00992F88">
              <w:rPr>
                <w:b/>
                <w:color w:val="000000"/>
              </w:rPr>
              <w:t>$</w:t>
            </w:r>
            <w:r w:rsidR="00C65F37">
              <w:rPr>
                <w:b/>
                <w:color w:val="000000"/>
              </w:rPr>
              <w:t>4.0</w:t>
            </w:r>
          </w:p>
        </w:tc>
        <w:tc>
          <w:tcPr>
            <w:tcW w:w="1321" w:type="dxa"/>
            <w:vAlign w:val="bottom"/>
          </w:tcPr>
          <w:p w:rsidR="00360ED2" w:rsidRPr="00992F88" w:rsidP="00026F9A" w14:paraId="099446FB" w14:textId="7EE85F97">
            <w:pPr>
              <w:jc w:val="center"/>
              <w:rPr>
                <w:b/>
                <w:color w:val="000000"/>
              </w:rPr>
            </w:pPr>
            <w:r w:rsidRPr="00992F88">
              <w:rPr>
                <w:b/>
                <w:color w:val="000000"/>
              </w:rPr>
              <w:t>$</w:t>
            </w:r>
            <w:r w:rsidR="00C65F37">
              <w:rPr>
                <w:b/>
                <w:color w:val="000000"/>
              </w:rPr>
              <w:t>6.0</w:t>
            </w:r>
          </w:p>
        </w:tc>
      </w:tr>
    </w:tbl>
    <w:p w:rsidR="00360ED2" w:rsidP="00026F9A" w14:paraId="2C3DC15E" w14:textId="77777777">
      <w:pPr>
        <w:spacing w:line="480" w:lineRule="auto"/>
        <w:ind w:firstLine="720"/>
      </w:pPr>
    </w:p>
    <w:p w:rsidR="00360ED2" w:rsidP="00026F9A" w14:paraId="58300A5D" w14:textId="33A81825">
      <w:pPr>
        <w:rPr>
          <w:b/>
        </w:rPr>
      </w:pPr>
      <w:r w:rsidRPr="00E806F0">
        <w:rPr>
          <w:b/>
        </w:rPr>
        <w:t xml:space="preserve">Table </w:t>
      </w:r>
      <w:r>
        <w:rPr>
          <w:b/>
        </w:rPr>
        <w:t>32</w:t>
      </w:r>
      <w:r w:rsidRPr="00E806F0">
        <w:rPr>
          <w:b/>
        </w:rPr>
        <w:t xml:space="preserve">: Cost of </w:t>
      </w:r>
      <w:r>
        <w:rPr>
          <w:b/>
        </w:rPr>
        <w:t>Recordkeeping,</w:t>
      </w:r>
      <w:r w:rsidRPr="00E806F0">
        <w:rPr>
          <w:b/>
        </w:rPr>
        <w:t xml:space="preserve"> </w:t>
      </w:r>
      <w:r>
        <w:rPr>
          <w:b/>
        </w:rPr>
        <w:t>S</w:t>
      </w:r>
      <w:r w:rsidRPr="00E806F0">
        <w:rPr>
          <w:b/>
        </w:rPr>
        <w:t xml:space="preserve">mall </w:t>
      </w:r>
      <w:r>
        <w:rPr>
          <w:b/>
        </w:rPr>
        <w:t>F</w:t>
      </w:r>
      <w:r w:rsidRPr="00E806F0">
        <w:rPr>
          <w:b/>
        </w:rPr>
        <w:t>arms</w:t>
      </w:r>
      <w:r>
        <w:rPr>
          <w:b/>
        </w:rPr>
        <w:t xml:space="preserve"> (20</w:t>
      </w:r>
      <w:r w:rsidR="00DF5496">
        <w:rPr>
          <w:b/>
        </w:rPr>
        <w:t>2</w:t>
      </w:r>
      <w:r w:rsidR="00C65F37">
        <w:rPr>
          <w:b/>
        </w:rPr>
        <w:t>2</w:t>
      </w:r>
      <w:r>
        <w:rPr>
          <w:b/>
        </w:rPr>
        <w:t>$)</w:t>
      </w:r>
    </w:p>
    <w:tbl>
      <w:tblPr>
        <w:tblStyle w:val="TableGrid"/>
        <w:tblW w:w="0" w:type="auto"/>
        <w:tblLayout w:type="fixed"/>
        <w:tblLook w:val="04A0"/>
      </w:tblPr>
      <w:tblGrid>
        <w:gridCol w:w="4315"/>
        <w:gridCol w:w="1508"/>
        <w:gridCol w:w="1469"/>
        <w:gridCol w:w="1338"/>
      </w:tblGrid>
      <w:tr w14:paraId="2A3EAD01" w14:textId="77777777">
        <w:tblPrEx>
          <w:tblW w:w="0" w:type="auto"/>
          <w:tblLayout w:type="fixed"/>
          <w:tblLook w:val="04A0"/>
        </w:tblPrEx>
        <w:trPr>
          <w:trHeight w:val="20"/>
        </w:trPr>
        <w:tc>
          <w:tcPr>
            <w:tcW w:w="4315" w:type="dxa"/>
          </w:tcPr>
          <w:p w:rsidR="00360ED2" w:rsidP="00026F9A" w14:paraId="460A7C1C" w14:textId="77777777">
            <w:pPr>
              <w:rPr>
                <w:b/>
              </w:rPr>
            </w:pPr>
          </w:p>
        </w:tc>
        <w:tc>
          <w:tcPr>
            <w:tcW w:w="1508" w:type="dxa"/>
          </w:tcPr>
          <w:p w:rsidR="00360ED2" w:rsidRPr="00C32C1F" w:rsidP="00026F9A" w14:paraId="1B480E59" w14:textId="77777777">
            <w:pPr>
              <w:jc w:val="center"/>
              <w:rPr>
                <w:b/>
              </w:rPr>
            </w:pPr>
            <w:r w:rsidRPr="00C32C1F">
              <w:rPr>
                <w:b/>
              </w:rPr>
              <w:t>Low</w:t>
            </w:r>
          </w:p>
          <w:p w:rsidR="00360ED2" w:rsidP="00026F9A" w14:paraId="365B2D72" w14:textId="77777777">
            <w:pPr>
              <w:jc w:val="center"/>
              <w:rPr>
                <w:b/>
              </w:rPr>
            </w:pPr>
          </w:p>
        </w:tc>
        <w:tc>
          <w:tcPr>
            <w:tcW w:w="1469" w:type="dxa"/>
          </w:tcPr>
          <w:p w:rsidR="00360ED2" w:rsidRPr="00C32C1F" w:rsidP="00026F9A" w14:paraId="62EB4255" w14:textId="77777777">
            <w:pPr>
              <w:jc w:val="center"/>
              <w:rPr>
                <w:b/>
              </w:rPr>
            </w:pPr>
            <w:r>
              <w:rPr>
                <w:b/>
              </w:rPr>
              <w:t>Most Likely</w:t>
            </w:r>
          </w:p>
          <w:p w:rsidR="00360ED2" w:rsidP="00026F9A" w14:paraId="765CA180" w14:textId="77777777">
            <w:pPr>
              <w:jc w:val="center"/>
              <w:rPr>
                <w:b/>
              </w:rPr>
            </w:pPr>
          </w:p>
        </w:tc>
        <w:tc>
          <w:tcPr>
            <w:tcW w:w="1338" w:type="dxa"/>
          </w:tcPr>
          <w:p w:rsidR="00360ED2" w:rsidP="00026F9A" w14:paraId="5AAC978C" w14:textId="77777777">
            <w:pPr>
              <w:jc w:val="center"/>
              <w:rPr>
                <w:b/>
              </w:rPr>
            </w:pPr>
            <w:r w:rsidRPr="00C32C1F">
              <w:rPr>
                <w:b/>
              </w:rPr>
              <w:t>High</w:t>
            </w:r>
          </w:p>
        </w:tc>
      </w:tr>
      <w:tr w14:paraId="32B4A917" w14:textId="77777777">
        <w:tblPrEx>
          <w:tblW w:w="0" w:type="auto"/>
          <w:tblLayout w:type="fixed"/>
          <w:tblLook w:val="04A0"/>
        </w:tblPrEx>
        <w:tc>
          <w:tcPr>
            <w:tcW w:w="4315" w:type="dxa"/>
          </w:tcPr>
          <w:p w:rsidR="006E06D8" w:rsidP="00026F9A" w14:paraId="417FBC5B" w14:textId="77777777">
            <w:pPr>
              <w:rPr>
                <w:b/>
              </w:rPr>
            </w:pPr>
            <w:r>
              <w:t>Number of farms conducting assessments</w:t>
            </w:r>
          </w:p>
        </w:tc>
        <w:tc>
          <w:tcPr>
            <w:tcW w:w="1508" w:type="dxa"/>
          </w:tcPr>
          <w:p w:rsidR="006E06D8" w:rsidRPr="00CD7A5E" w:rsidP="00026F9A" w14:paraId="5C69C35A" w14:textId="24ACF294">
            <w:pPr>
              <w:jc w:val="center"/>
            </w:pPr>
            <w:r>
              <w:t>2,057</w:t>
            </w:r>
          </w:p>
        </w:tc>
        <w:tc>
          <w:tcPr>
            <w:tcW w:w="1469" w:type="dxa"/>
          </w:tcPr>
          <w:p w:rsidR="006E06D8" w:rsidRPr="00CD7A5E" w:rsidP="00026F9A" w14:paraId="60783ACC" w14:textId="0DC245C6">
            <w:pPr>
              <w:jc w:val="center"/>
            </w:pPr>
            <w:r>
              <w:t>2,057</w:t>
            </w:r>
          </w:p>
        </w:tc>
        <w:tc>
          <w:tcPr>
            <w:tcW w:w="1338" w:type="dxa"/>
          </w:tcPr>
          <w:p w:rsidR="006E06D8" w:rsidRPr="00CD7A5E" w:rsidP="00026F9A" w14:paraId="7F747B8C" w14:textId="3C558C21">
            <w:pPr>
              <w:jc w:val="center"/>
            </w:pPr>
            <w:r>
              <w:t>2,057</w:t>
            </w:r>
          </w:p>
        </w:tc>
      </w:tr>
      <w:tr w14:paraId="02716EC7" w14:textId="77777777">
        <w:tblPrEx>
          <w:tblW w:w="0" w:type="auto"/>
          <w:tblLayout w:type="fixed"/>
          <w:tblLook w:val="04A0"/>
        </w:tblPrEx>
        <w:tc>
          <w:tcPr>
            <w:tcW w:w="4315" w:type="dxa"/>
          </w:tcPr>
          <w:p w:rsidR="00360ED2" w:rsidP="00026F9A" w14:paraId="57C79B50" w14:textId="245504E2">
            <w:pPr>
              <w:rPr>
                <w:b/>
              </w:rPr>
            </w:pPr>
            <w:r>
              <w:t>Number of assessments conducted annually</w:t>
            </w:r>
          </w:p>
        </w:tc>
        <w:tc>
          <w:tcPr>
            <w:tcW w:w="1508" w:type="dxa"/>
          </w:tcPr>
          <w:p w:rsidR="00360ED2" w:rsidRPr="00E806F0" w:rsidP="00026F9A" w14:paraId="1F9E429A" w14:textId="77777777">
            <w:pPr>
              <w:jc w:val="center"/>
            </w:pPr>
            <w:r>
              <w:t>1.1</w:t>
            </w:r>
          </w:p>
        </w:tc>
        <w:tc>
          <w:tcPr>
            <w:tcW w:w="1469" w:type="dxa"/>
          </w:tcPr>
          <w:p w:rsidR="00360ED2" w:rsidP="00026F9A" w14:paraId="156DCF10" w14:textId="77777777">
            <w:pPr>
              <w:jc w:val="center"/>
              <w:rPr>
                <w:b/>
              </w:rPr>
            </w:pPr>
            <w:r>
              <w:t>1.1</w:t>
            </w:r>
          </w:p>
        </w:tc>
        <w:tc>
          <w:tcPr>
            <w:tcW w:w="1338" w:type="dxa"/>
          </w:tcPr>
          <w:p w:rsidR="00360ED2" w:rsidP="00026F9A" w14:paraId="30AD465F" w14:textId="77777777">
            <w:pPr>
              <w:jc w:val="center"/>
              <w:rPr>
                <w:b/>
              </w:rPr>
            </w:pPr>
            <w:r>
              <w:t>1.1</w:t>
            </w:r>
          </w:p>
        </w:tc>
      </w:tr>
      <w:tr w14:paraId="18375735" w14:textId="77777777">
        <w:tblPrEx>
          <w:tblW w:w="0" w:type="auto"/>
          <w:tblLayout w:type="fixed"/>
          <w:tblLook w:val="04A0"/>
        </w:tblPrEx>
        <w:tc>
          <w:tcPr>
            <w:tcW w:w="4315" w:type="dxa"/>
          </w:tcPr>
          <w:p w:rsidR="006E06D8" w:rsidP="00026F9A" w14:paraId="54B3679D" w14:textId="77777777">
            <w:pPr>
              <w:rPr>
                <w:b/>
              </w:rPr>
            </w:pPr>
            <w:r>
              <w:t>Hourly cost of labor of farm operators</w:t>
            </w:r>
          </w:p>
        </w:tc>
        <w:tc>
          <w:tcPr>
            <w:tcW w:w="1508" w:type="dxa"/>
          </w:tcPr>
          <w:p w:rsidR="006E06D8" w:rsidP="00026F9A" w14:paraId="019AC909" w14:textId="52B319AF">
            <w:pPr>
              <w:jc w:val="center"/>
              <w:rPr>
                <w:b/>
              </w:rPr>
            </w:pPr>
            <w:r>
              <w:t>$</w:t>
            </w:r>
            <w:r w:rsidR="00C65F37">
              <w:t>80.58</w:t>
            </w:r>
          </w:p>
        </w:tc>
        <w:tc>
          <w:tcPr>
            <w:tcW w:w="1469" w:type="dxa"/>
          </w:tcPr>
          <w:p w:rsidR="006E06D8" w:rsidP="00026F9A" w14:paraId="2A1EFDF7" w14:textId="3BED2B09">
            <w:pPr>
              <w:jc w:val="center"/>
              <w:rPr>
                <w:b/>
              </w:rPr>
            </w:pPr>
            <w:r>
              <w:t>$</w:t>
            </w:r>
            <w:r w:rsidR="00C65F37">
              <w:t>80.58</w:t>
            </w:r>
          </w:p>
        </w:tc>
        <w:tc>
          <w:tcPr>
            <w:tcW w:w="1338" w:type="dxa"/>
          </w:tcPr>
          <w:p w:rsidR="006E06D8" w:rsidP="00026F9A" w14:paraId="0201C035" w14:textId="1498D7A8">
            <w:pPr>
              <w:jc w:val="center"/>
              <w:rPr>
                <w:b/>
              </w:rPr>
            </w:pPr>
            <w:r>
              <w:t>$</w:t>
            </w:r>
            <w:r w:rsidR="00C65F37">
              <w:t>80.58</w:t>
            </w:r>
          </w:p>
        </w:tc>
      </w:tr>
      <w:tr w14:paraId="5122FBB2" w14:textId="77777777">
        <w:tblPrEx>
          <w:tblW w:w="0" w:type="auto"/>
          <w:tblLayout w:type="fixed"/>
          <w:tblLook w:val="04A0"/>
        </w:tblPrEx>
        <w:tc>
          <w:tcPr>
            <w:tcW w:w="4315" w:type="dxa"/>
          </w:tcPr>
          <w:p w:rsidR="00360ED2" w:rsidP="00026F9A" w14:paraId="1E1952F4" w14:textId="77777777">
            <w:pPr>
              <w:rPr>
                <w:b/>
              </w:rPr>
            </w:pPr>
            <w:r>
              <w:t>Time in hours to conduct recordkeeping</w:t>
            </w:r>
          </w:p>
        </w:tc>
        <w:tc>
          <w:tcPr>
            <w:tcW w:w="1508" w:type="dxa"/>
            <w:vAlign w:val="center"/>
          </w:tcPr>
          <w:p w:rsidR="00360ED2" w:rsidRPr="0082472C" w:rsidP="00026F9A" w14:paraId="4C902070" w14:textId="77777777">
            <w:pPr>
              <w:jc w:val="center"/>
              <w:rPr>
                <w:rFonts w:eastAsia="Times New Roman"/>
                <w:color w:val="000000"/>
              </w:rPr>
            </w:pPr>
            <w:r>
              <w:rPr>
                <w:color w:val="000000"/>
              </w:rPr>
              <w:t>2.0</w:t>
            </w:r>
          </w:p>
        </w:tc>
        <w:tc>
          <w:tcPr>
            <w:tcW w:w="1469" w:type="dxa"/>
            <w:vAlign w:val="center"/>
          </w:tcPr>
          <w:p w:rsidR="00360ED2" w:rsidRPr="0082472C" w:rsidP="00026F9A" w14:paraId="503936F3" w14:textId="77777777">
            <w:pPr>
              <w:jc w:val="center"/>
              <w:rPr>
                <w:color w:val="000000"/>
              </w:rPr>
            </w:pPr>
            <w:r>
              <w:rPr>
                <w:color w:val="000000"/>
              </w:rPr>
              <w:t>8.0</w:t>
            </w:r>
          </w:p>
        </w:tc>
        <w:tc>
          <w:tcPr>
            <w:tcW w:w="1338" w:type="dxa"/>
            <w:vAlign w:val="center"/>
          </w:tcPr>
          <w:p w:rsidR="00360ED2" w:rsidRPr="0082472C" w:rsidP="00026F9A" w14:paraId="3DFDEABC" w14:textId="77777777">
            <w:pPr>
              <w:jc w:val="center"/>
              <w:rPr>
                <w:color w:val="000000"/>
              </w:rPr>
            </w:pPr>
            <w:r w:rsidRPr="0082472C">
              <w:rPr>
                <w:color w:val="000000"/>
              </w:rPr>
              <w:t>1</w:t>
            </w:r>
            <w:r>
              <w:rPr>
                <w:color w:val="000000"/>
              </w:rPr>
              <w:t>0.0</w:t>
            </w:r>
          </w:p>
        </w:tc>
      </w:tr>
      <w:tr w14:paraId="2D3ECF04" w14:textId="77777777">
        <w:tblPrEx>
          <w:tblW w:w="0" w:type="auto"/>
          <w:tblLayout w:type="fixed"/>
          <w:tblLook w:val="04A0"/>
        </w:tblPrEx>
        <w:tc>
          <w:tcPr>
            <w:tcW w:w="4315" w:type="dxa"/>
          </w:tcPr>
          <w:p w:rsidR="00360ED2" w:rsidRPr="00FC6639" w:rsidP="00026F9A" w14:paraId="461ECDDB" w14:textId="6765B7CA">
            <w:pPr>
              <w:rPr>
                <w:b/>
              </w:rPr>
            </w:pPr>
            <w:r w:rsidRPr="00E806F0">
              <w:rPr>
                <w:b/>
              </w:rPr>
              <w:t xml:space="preserve">Annual cost of </w:t>
            </w:r>
            <w:r>
              <w:rPr>
                <w:b/>
              </w:rPr>
              <w:t>recordkeeping</w:t>
            </w:r>
            <w:r w:rsidRPr="00E806F0">
              <w:rPr>
                <w:b/>
              </w:rPr>
              <w:t xml:space="preserve"> for small farms</w:t>
            </w:r>
            <w:r w:rsidR="000975A1">
              <w:rPr>
                <w:b/>
              </w:rPr>
              <w:t xml:space="preserve"> (millions)</w:t>
            </w:r>
          </w:p>
        </w:tc>
        <w:tc>
          <w:tcPr>
            <w:tcW w:w="1508" w:type="dxa"/>
            <w:vAlign w:val="bottom"/>
          </w:tcPr>
          <w:p w:rsidR="00360ED2" w:rsidRPr="00992F88" w:rsidP="00026F9A" w14:paraId="26CC1D82" w14:textId="46960446">
            <w:pPr>
              <w:jc w:val="center"/>
              <w:rPr>
                <w:rFonts w:eastAsia="Times New Roman"/>
                <w:b/>
                <w:color w:val="000000"/>
              </w:rPr>
            </w:pPr>
            <w:r w:rsidRPr="00992F88">
              <w:rPr>
                <w:b/>
                <w:color w:val="000000"/>
              </w:rPr>
              <w:t>$</w:t>
            </w:r>
            <w:r w:rsidR="000975A1">
              <w:rPr>
                <w:b/>
                <w:color w:val="000000"/>
              </w:rPr>
              <w:t>0.</w:t>
            </w:r>
            <w:r w:rsidR="0042226C">
              <w:rPr>
                <w:b/>
                <w:color w:val="000000"/>
              </w:rPr>
              <w:t>9</w:t>
            </w:r>
          </w:p>
        </w:tc>
        <w:tc>
          <w:tcPr>
            <w:tcW w:w="1469" w:type="dxa"/>
            <w:vAlign w:val="bottom"/>
          </w:tcPr>
          <w:p w:rsidR="00360ED2" w:rsidRPr="00992F88" w:rsidP="00026F9A" w14:paraId="7F94BA9F" w14:textId="23C21DC0">
            <w:pPr>
              <w:jc w:val="center"/>
              <w:rPr>
                <w:b/>
                <w:color w:val="000000"/>
              </w:rPr>
            </w:pPr>
            <w:r w:rsidRPr="00992F88">
              <w:rPr>
                <w:b/>
                <w:color w:val="000000"/>
              </w:rPr>
              <w:t>$</w:t>
            </w:r>
            <w:r>
              <w:rPr>
                <w:b/>
                <w:color w:val="000000"/>
              </w:rPr>
              <w:t>1</w:t>
            </w:r>
            <w:r w:rsidR="000975A1">
              <w:rPr>
                <w:b/>
                <w:color w:val="000000"/>
              </w:rPr>
              <w:t>.3</w:t>
            </w:r>
          </w:p>
        </w:tc>
        <w:tc>
          <w:tcPr>
            <w:tcW w:w="1338" w:type="dxa"/>
            <w:vAlign w:val="bottom"/>
          </w:tcPr>
          <w:p w:rsidR="00360ED2" w:rsidRPr="00992F88" w:rsidP="00026F9A" w14:paraId="07C86106" w14:textId="042ECCC5">
            <w:pPr>
              <w:jc w:val="center"/>
              <w:rPr>
                <w:b/>
                <w:color w:val="000000"/>
              </w:rPr>
            </w:pPr>
            <w:r w:rsidRPr="00992F88">
              <w:rPr>
                <w:b/>
                <w:color w:val="000000"/>
              </w:rPr>
              <w:t>$1</w:t>
            </w:r>
            <w:r w:rsidR="000975A1">
              <w:rPr>
                <w:b/>
                <w:color w:val="000000"/>
              </w:rPr>
              <w:t>.</w:t>
            </w:r>
            <w:r w:rsidR="0042226C">
              <w:rPr>
                <w:b/>
                <w:color w:val="000000"/>
              </w:rPr>
              <w:t>7</w:t>
            </w:r>
          </w:p>
        </w:tc>
      </w:tr>
    </w:tbl>
    <w:p w:rsidR="00360ED2" w:rsidP="00026F9A" w14:paraId="5D9889E5" w14:textId="77777777">
      <w:pPr>
        <w:ind w:firstLine="720"/>
      </w:pPr>
    </w:p>
    <w:p w:rsidR="00360ED2" w:rsidP="00026F9A" w14:paraId="3FEEEDEF" w14:textId="12726528">
      <w:pPr>
        <w:rPr>
          <w:b/>
        </w:rPr>
      </w:pPr>
      <w:r w:rsidRPr="00E806F0">
        <w:rPr>
          <w:b/>
        </w:rPr>
        <w:t xml:space="preserve">Table </w:t>
      </w:r>
      <w:r>
        <w:rPr>
          <w:b/>
        </w:rPr>
        <w:t>33</w:t>
      </w:r>
      <w:r w:rsidRPr="00E806F0">
        <w:rPr>
          <w:b/>
        </w:rPr>
        <w:t xml:space="preserve">: Cost of </w:t>
      </w:r>
      <w:r>
        <w:rPr>
          <w:b/>
        </w:rPr>
        <w:t>Recordkeeping,</w:t>
      </w:r>
      <w:r w:rsidRPr="00E806F0">
        <w:rPr>
          <w:b/>
        </w:rPr>
        <w:t xml:space="preserve"> </w:t>
      </w:r>
      <w:r>
        <w:rPr>
          <w:b/>
        </w:rPr>
        <w:t>Large</w:t>
      </w:r>
      <w:r w:rsidRPr="00E806F0">
        <w:rPr>
          <w:b/>
        </w:rPr>
        <w:t xml:space="preserve"> </w:t>
      </w:r>
      <w:r>
        <w:rPr>
          <w:b/>
        </w:rPr>
        <w:t>F</w:t>
      </w:r>
      <w:r w:rsidRPr="00E806F0">
        <w:rPr>
          <w:b/>
        </w:rPr>
        <w:t>arms</w:t>
      </w:r>
      <w:r>
        <w:rPr>
          <w:b/>
        </w:rPr>
        <w:t xml:space="preserve"> (20</w:t>
      </w:r>
      <w:r w:rsidR="00DF5496">
        <w:rPr>
          <w:b/>
        </w:rPr>
        <w:t>2</w:t>
      </w:r>
      <w:r w:rsidR="0042226C">
        <w:rPr>
          <w:b/>
        </w:rPr>
        <w:t>2</w:t>
      </w:r>
      <w:r>
        <w:rPr>
          <w:b/>
        </w:rPr>
        <w:t>$)</w:t>
      </w:r>
    </w:p>
    <w:tbl>
      <w:tblPr>
        <w:tblStyle w:val="TableGrid"/>
        <w:tblW w:w="0" w:type="auto"/>
        <w:tblLayout w:type="fixed"/>
        <w:tblLook w:val="04A0"/>
      </w:tblPr>
      <w:tblGrid>
        <w:gridCol w:w="4315"/>
        <w:gridCol w:w="1581"/>
        <w:gridCol w:w="1414"/>
        <w:gridCol w:w="1320"/>
      </w:tblGrid>
      <w:tr w14:paraId="6AE57A99" w14:textId="77777777">
        <w:tblPrEx>
          <w:tblW w:w="0" w:type="auto"/>
          <w:tblLayout w:type="fixed"/>
          <w:tblLook w:val="04A0"/>
        </w:tblPrEx>
        <w:trPr>
          <w:trHeight w:val="20"/>
        </w:trPr>
        <w:tc>
          <w:tcPr>
            <w:tcW w:w="4315" w:type="dxa"/>
          </w:tcPr>
          <w:p w:rsidR="00360ED2" w:rsidP="00026F9A" w14:paraId="4C2AB833" w14:textId="77777777">
            <w:pPr>
              <w:rPr>
                <w:b/>
              </w:rPr>
            </w:pPr>
          </w:p>
        </w:tc>
        <w:tc>
          <w:tcPr>
            <w:tcW w:w="1581" w:type="dxa"/>
          </w:tcPr>
          <w:p w:rsidR="00360ED2" w:rsidRPr="00C32C1F" w:rsidP="00026F9A" w14:paraId="1DE95638" w14:textId="77777777">
            <w:pPr>
              <w:jc w:val="center"/>
              <w:rPr>
                <w:b/>
              </w:rPr>
            </w:pPr>
            <w:r w:rsidRPr="00C32C1F">
              <w:rPr>
                <w:b/>
              </w:rPr>
              <w:t>Low</w:t>
            </w:r>
          </w:p>
          <w:p w:rsidR="00360ED2" w:rsidP="00026F9A" w14:paraId="1B9D6615" w14:textId="77777777">
            <w:pPr>
              <w:jc w:val="center"/>
              <w:rPr>
                <w:b/>
              </w:rPr>
            </w:pPr>
          </w:p>
        </w:tc>
        <w:tc>
          <w:tcPr>
            <w:tcW w:w="1414" w:type="dxa"/>
          </w:tcPr>
          <w:p w:rsidR="00360ED2" w:rsidRPr="00C32C1F" w:rsidP="00026F9A" w14:paraId="0061EEE7" w14:textId="77777777">
            <w:pPr>
              <w:jc w:val="center"/>
              <w:rPr>
                <w:b/>
              </w:rPr>
            </w:pPr>
            <w:r>
              <w:rPr>
                <w:b/>
              </w:rPr>
              <w:t>Most Likely</w:t>
            </w:r>
          </w:p>
          <w:p w:rsidR="00360ED2" w:rsidP="00026F9A" w14:paraId="4816BB08" w14:textId="77777777">
            <w:pPr>
              <w:jc w:val="center"/>
              <w:rPr>
                <w:b/>
              </w:rPr>
            </w:pPr>
          </w:p>
        </w:tc>
        <w:tc>
          <w:tcPr>
            <w:tcW w:w="1320" w:type="dxa"/>
          </w:tcPr>
          <w:p w:rsidR="00360ED2" w:rsidP="00026F9A" w14:paraId="2B11F4B5" w14:textId="77777777">
            <w:pPr>
              <w:jc w:val="center"/>
              <w:rPr>
                <w:b/>
              </w:rPr>
            </w:pPr>
            <w:r w:rsidRPr="00C32C1F">
              <w:rPr>
                <w:b/>
              </w:rPr>
              <w:t>High</w:t>
            </w:r>
          </w:p>
        </w:tc>
      </w:tr>
      <w:tr w14:paraId="1B73F9CF" w14:textId="77777777">
        <w:tblPrEx>
          <w:tblW w:w="0" w:type="auto"/>
          <w:tblLayout w:type="fixed"/>
          <w:tblLook w:val="04A0"/>
        </w:tblPrEx>
        <w:tc>
          <w:tcPr>
            <w:tcW w:w="4315" w:type="dxa"/>
          </w:tcPr>
          <w:p w:rsidR="007F3152" w:rsidP="00026F9A" w14:paraId="009D3E4A" w14:textId="77777777">
            <w:pPr>
              <w:rPr>
                <w:b/>
              </w:rPr>
            </w:pPr>
            <w:r>
              <w:t>Number of farms conducting assessments</w:t>
            </w:r>
          </w:p>
        </w:tc>
        <w:tc>
          <w:tcPr>
            <w:tcW w:w="1581" w:type="dxa"/>
          </w:tcPr>
          <w:p w:rsidR="007F3152" w:rsidRPr="00CD7A5E" w:rsidP="00026F9A" w14:paraId="2B6B565B" w14:textId="764B2A8C">
            <w:pPr>
              <w:jc w:val="center"/>
            </w:pPr>
            <w:r>
              <w:t>5,392</w:t>
            </w:r>
          </w:p>
        </w:tc>
        <w:tc>
          <w:tcPr>
            <w:tcW w:w="1414" w:type="dxa"/>
          </w:tcPr>
          <w:p w:rsidR="007F3152" w:rsidRPr="00CD7A5E" w:rsidP="00026F9A" w14:paraId="4FDCA0C0" w14:textId="3CB60EAC">
            <w:pPr>
              <w:jc w:val="center"/>
            </w:pPr>
            <w:r>
              <w:t>5,392</w:t>
            </w:r>
          </w:p>
        </w:tc>
        <w:tc>
          <w:tcPr>
            <w:tcW w:w="1320" w:type="dxa"/>
          </w:tcPr>
          <w:p w:rsidR="007F3152" w:rsidRPr="00CD7A5E" w:rsidP="00026F9A" w14:paraId="5E0FB3DC" w14:textId="77CA699F">
            <w:pPr>
              <w:jc w:val="center"/>
            </w:pPr>
            <w:r>
              <w:t>5,392</w:t>
            </w:r>
          </w:p>
        </w:tc>
      </w:tr>
      <w:tr w14:paraId="6A7E1745" w14:textId="77777777">
        <w:tblPrEx>
          <w:tblW w:w="0" w:type="auto"/>
          <w:tblLayout w:type="fixed"/>
          <w:tblLook w:val="04A0"/>
        </w:tblPrEx>
        <w:tc>
          <w:tcPr>
            <w:tcW w:w="4315" w:type="dxa"/>
          </w:tcPr>
          <w:p w:rsidR="00360ED2" w:rsidP="00026F9A" w14:paraId="4B43297B" w14:textId="5A4A8075">
            <w:pPr>
              <w:rPr>
                <w:b/>
              </w:rPr>
            </w:pPr>
            <w:r>
              <w:t>Number of assessments conducted annually</w:t>
            </w:r>
          </w:p>
        </w:tc>
        <w:tc>
          <w:tcPr>
            <w:tcW w:w="1581" w:type="dxa"/>
          </w:tcPr>
          <w:p w:rsidR="00360ED2" w:rsidRPr="00E806F0" w:rsidP="00026F9A" w14:paraId="6A9B1EC2" w14:textId="77777777">
            <w:pPr>
              <w:jc w:val="center"/>
            </w:pPr>
            <w:r>
              <w:t>1.1</w:t>
            </w:r>
          </w:p>
        </w:tc>
        <w:tc>
          <w:tcPr>
            <w:tcW w:w="1414" w:type="dxa"/>
          </w:tcPr>
          <w:p w:rsidR="00360ED2" w:rsidP="00026F9A" w14:paraId="5BF7F8D4" w14:textId="77777777">
            <w:pPr>
              <w:jc w:val="center"/>
              <w:rPr>
                <w:b/>
              </w:rPr>
            </w:pPr>
            <w:r>
              <w:t>1.1</w:t>
            </w:r>
          </w:p>
        </w:tc>
        <w:tc>
          <w:tcPr>
            <w:tcW w:w="1320" w:type="dxa"/>
          </w:tcPr>
          <w:p w:rsidR="00360ED2" w:rsidP="00026F9A" w14:paraId="5311BCA0" w14:textId="77777777">
            <w:pPr>
              <w:jc w:val="center"/>
              <w:rPr>
                <w:b/>
              </w:rPr>
            </w:pPr>
            <w:r>
              <w:t>1.1</w:t>
            </w:r>
          </w:p>
        </w:tc>
      </w:tr>
      <w:tr w14:paraId="399717D3" w14:textId="77777777">
        <w:tblPrEx>
          <w:tblW w:w="0" w:type="auto"/>
          <w:tblLayout w:type="fixed"/>
          <w:tblLook w:val="04A0"/>
        </w:tblPrEx>
        <w:tc>
          <w:tcPr>
            <w:tcW w:w="4315" w:type="dxa"/>
          </w:tcPr>
          <w:p w:rsidR="007F3152" w:rsidP="00026F9A" w14:paraId="024FA768" w14:textId="77777777">
            <w:pPr>
              <w:rPr>
                <w:b/>
              </w:rPr>
            </w:pPr>
            <w:r>
              <w:t>Hourly cost of labor of farm supervisors</w:t>
            </w:r>
          </w:p>
        </w:tc>
        <w:tc>
          <w:tcPr>
            <w:tcW w:w="1581" w:type="dxa"/>
          </w:tcPr>
          <w:p w:rsidR="007F3152" w:rsidP="00026F9A" w14:paraId="44D6057E" w14:textId="499F5CDD">
            <w:pPr>
              <w:jc w:val="center"/>
              <w:rPr>
                <w:b/>
              </w:rPr>
            </w:pPr>
            <w:r>
              <w:t>$5</w:t>
            </w:r>
            <w:r w:rsidR="0042226C">
              <w:t>6.56</w:t>
            </w:r>
          </w:p>
        </w:tc>
        <w:tc>
          <w:tcPr>
            <w:tcW w:w="1414" w:type="dxa"/>
          </w:tcPr>
          <w:p w:rsidR="007F3152" w:rsidP="00026F9A" w14:paraId="619D7BE7" w14:textId="01BA6002">
            <w:pPr>
              <w:jc w:val="center"/>
              <w:rPr>
                <w:b/>
              </w:rPr>
            </w:pPr>
            <w:r>
              <w:t>$5</w:t>
            </w:r>
            <w:r w:rsidR="0042226C">
              <w:t>6.56</w:t>
            </w:r>
          </w:p>
        </w:tc>
        <w:tc>
          <w:tcPr>
            <w:tcW w:w="1320" w:type="dxa"/>
          </w:tcPr>
          <w:p w:rsidR="007F3152" w:rsidP="00026F9A" w14:paraId="71A7488C" w14:textId="6601D868">
            <w:pPr>
              <w:jc w:val="center"/>
              <w:rPr>
                <w:b/>
              </w:rPr>
            </w:pPr>
            <w:r>
              <w:t>$5</w:t>
            </w:r>
            <w:r w:rsidR="0042226C">
              <w:t>6.56</w:t>
            </w:r>
          </w:p>
        </w:tc>
      </w:tr>
      <w:tr w14:paraId="2B9FAE18" w14:textId="77777777">
        <w:tblPrEx>
          <w:tblW w:w="0" w:type="auto"/>
          <w:tblLayout w:type="fixed"/>
          <w:tblLook w:val="04A0"/>
        </w:tblPrEx>
        <w:tc>
          <w:tcPr>
            <w:tcW w:w="4315" w:type="dxa"/>
          </w:tcPr>
          <w:p w:rsidR="00360ED2" w:rsidP="00026F9A" w14:paraId="7479C1F5" w14:textId="77777777">
            <w:pPr>
              <w:rPr>
                <w:b/>
              </w:rPr>
            </w:pPr>
            <w:r>
              <w:t>Time in hours to conduct recordkeeping</w:t>
            </w:r>
          </w:p>
        </w:tc>
        <w:tc>
          <w:tcPr>
            <w:tcW w:w="1581" w:type="dxa"/>
            <w:vAlign w:val="center"/>
          </w:tcPr>
          <w:p w:rsidR="00360ED2" w:rsidRPr="0082472C" w:rsidP="00026F9A" w14:paraId="7E12B8B4" w14:textId="77777777">
            <w:pPr>
              <w:jc w:val="center"/>
              <w:rPr>
                <w:rFonts w:eastAsia="Times New Roman"/>
                <w:color w:val="000000"/>
              </w:rPr>
            </w:pPr>
            <w:r w:rsidRPr="0082472C">
              <w:rPr>
                <w:color w:val="000000"/>
              </w:rPr>
              <w:t>3.</w:t>
            </w:r>
            <w:r>
              <w:rPr>
                <w:color w:val="000000"/>
              </w:rPr>
              <w:t>0</w:t>
            </w:r>
          </w:p>
        </w:tc>
        <w:tc>
          <w:tcPr>
            <w:tcW w:w="1414" w:type="dxa"/>
            <w:vAlign w:val="center"/>
          </w:tcPr>
          <w:p w:rsidR="00360ED2" w:rsidRPr="0082472C" w:rsidP="00026F9A" w14:paraId="2F44D664" w14:textId="77777777">
            <w:pPr>
              <w:jc w:val="center"/>
              <w:rPr>
                <w:color w:val="000000"/>
              </w:rPr>
            </w:pPr>
            <w:r>
              <w:rPr>
                <w:color w:val="000000"/>
              </w:rPr>
              <w:t>9.0</w:t>
            </w:r>
          </w:p>
        </w:tc>
        <w:tc>
          <w:tcPr>
            <w:tcW w:w="1320" w:type="dxa"/>
            <w:vAlign w:val="center"/>
          </w:tcPr>
          <w:p w:rsidR="00360ED2" w:rsidRPr="0082472C" w:rsidP="00026F9A" w14:paraId="7EE17DAF" w14:textId="77777777">
            <w:pPr>
              <w:jc w:val="center"/>
              <w:rPr>
                <w:color w:val="000000"/>
              </w:rPr>
            </w:pPr>
            <w:r w:rsidRPr="0082472C">
              <w:rPr>
                <w:color w:val="000000"/>
              </w:rPr>
              <w:t>1</w:t>
            </w:r>
            <w:r>
              <w:rPr>
                <w:color w:val="000000"/>
              </w:rPr>
              <w:t>1.0</w:t>
            </w:r>
          </w:p>
        </w:tc>
      </w:tr>
      <w:tr w14:paraId="6784F0D8" w14:textId="77777777">
        <w:tblPrEx>
          <w:tblW w:w="0" w:type="auto"/>
          <w:tblLayout w:type="fixed"/>
          <w:tblLook w:val="04A0"/>
        </w:tblPrEx>
        <w:tc>
          <w:tcPr>
            <w:tcW w:w="4315" w:type="dxa"/>
          </w:tcPr>
          <w:p w:rsidR="00360ED2" w:rsidRPr="00FC6639" w:rsidP="00026F9A" w14:paraId="27E68A97" w14:textId="3F6E278C">
            <w:pPr>
              <w:rPr>
                <w:b/>
              </w:rPr>
            </w:pPr>
            <w:r w:rsidRPr="00E806F0">
              <w:rPr>
                <w:b/>
              </w:rPr>
              <w:t xml:space="preserve">Annual cost of </w:t>
            </w:r>
            <w:r>
              <w:rPr>
                <w:b/>
              </w:rPr>
              <w:t>recordkeeping</w:t>
            </w:r>
            <w:r w:rsidRPr="00E806F0">
              <w:rPr>
                <w:b/>
              </w:rPr>
              <w:t xml:space="preserve"> for </w:t>
            </w:r>
            <w:r>
              <w:rPr>
                <w:b/>
              </w:rPr>
              <w:t>large</w:t>
            </w:r>
            <w:r w:rsidRPr="00E806F0">
              <w:rPr>
                <w:b/>
              </w:rPr>
              <w:t xml:space="preserve"> farms</w:t>
            </w:r>
            <w:r w:rsidR="000975A1">
              <w:rPr>
                <w:b/>
              </w:rPr>
              <w:t xml:space="preserve"> (millions)</w:t>
            </w:r>
          </w:p>
        </w:tc>
        <w:tc>
          <w:tcPr>
            <w:tcW w:w="1581" w:type="dxa"/>
            <w:vAlign w:val="bottom"/>
          </w:tcPr>
          <w:p w:rsidR="00360ED2" w:rsidRPr="00992F88" w:rsidP="00026F9A" w14:paraId="525F7B5A" w14:textId="6FD80A03">
            <w:pPr>
              <w:jc w:val="center"/>
              <w:rPr>
                <w:rFonts w:eastAsia="Times New Roman"/>
                <w:b/>
                <w:color w:val="000000"/>
              </w:rPr>
            </w:pPr>
            <w:r w:rsidRPr="00992F88">
              <w:rPr>
                <w:b/>
                <w:color w:val="000000"/>
              </w:rPr>
              <w:t>$1</w:t>
            </w:r>
            <w:r w:rsidR="007F3152">
              <w:rPr>
                <w:b/>
                <w:color w:val="000000"/>
              </w:rPr>
              <w:t>.</w:t>
            </w:r>
            <w:r w:rsidR="00FB416C">
              <w:rPr>
                <w:b/>
                <w:color w:val="000000"/>
              </w:rPr>
              <w:t>9</w:t>
            </w:r>
          </w:p>
        </w:tc>
        <w:tc>
          <w:tcPr>
            <w:tcW w:w="1414" w:type="dxa"/>
            <w:vAlign w:val="bottom"/>
          </w:tcPr>
          <w:p w:rsidR="00360ED2" w:rsidRPr="00992F88" w:rsidP="00026F9A" w14:paraId="340C03E3" w14:textId="4E050C13">
            <w:pPr>
              <w:jc w:val="center"/>
              <w:rPr>
                <w:b/>
                <w:color w:val="000000"/>
              </w:rPr>
            </w:pPr>
            <w:r w:rsidRPr="00992F88">
              <w:rPr>
                <w:b/>
                <w:color w:val="000000"/>
              </w:rPr>
              <w:t>$</w:t>
            </w:r>
            <w:r w:rsidR="007F3152">
              <w:rPr>
                <w:b/>
                <w:color w:val="000000"/>
              </w:rPr>
              <w:t>2.</w:t>
            </w:r>
            <w:r w:rsidR="00FB416C">
              <w:rPr>
                <w:b/>
                <w:color w:val="000000"/>
              </w:rPr>
              <w:t>8</w:t>
            </w:r>
          </w:p>
        </w:tc>
        <w:tc>
          <w:tcPr>
            <w:tcW w:w="1320" w:type="dxa"/>
            <w:vAlign w:val="bottom"/>
          </w:tcPr>
          <w:p w:rsidR="00360ED2" w:rsidRPr="00992F88" w:rsidP="00026F9A" w14:paraId="4BFDED49" w14:textId="32AD1FD3">
            <w:pPr>
              <w:jc w:val="center"/>
              <w:rPr>
                <w:b/>
                <w:color w:val="000000"/>
              </w:rPr>
            </w:pPr>
            <w:r w:rsidRPr="00992F88">
              <w:rPr>
                <w:b/>
                <w:color w:val="000000"/>
              </w:rPr>
              <w:t>$</w:t>
            </w:r>
            <w:r w:rsidR="007F3152">
              <w:rPr>
                <w:b/>
                <w:color w:val="000000"/>
              </w:rPr>
              <w:t>3.</w:t>
            </w:r>
            <w:r w:rsidR="00FB416C">
              <w:rPr>
                <w:b/>
                <w:color w:val="000000"/>
              </w:rPr>
              <w:t>5</w:t>
            </w:r>
          </w:p>
        </w:tc>
      </w:tr>
    </w:tbl>
    <w:p w:rsidR="00360ED2" w:rsidP="00026F9A" w14:paraId="72187AD0" w14:textId="77777777">
      <w:pPr>
        <w:ind w:firstLine="720"/>
      </w:pPr>
    </w:p>
    <w:p w:rsidR="008C7FAD" w14:paraId="217CDC32" w14:textId="77777777">
      <w:pPr>
        <w:spacing w:line="276" w:lineRule="auto"/>
        <w:rPr>
          <w:b/>
        </w:rPr>
      </w:pPr>
      <w:r>
        <w:rPr>
          <w:b/>
        </w:rPr>
        <w:br w:type="page"/>
      </w:r>
    </w:p>
    <w:p w:rsidR="00360ED2" w:rsidRPr="00F16FAC" w:rsidP="00026F9A" w14:paraId="33E1F0F9" w14:textId="7C7EA495">
      <w:pPr>
        <w:rPr>
          <w:b/>
        </w:rPr>
      </w:pPr>
      <w:r w:rsidRPr="00F16FAC">
        <w:rPr>
          <w:b/>
        </w:rPr>
        <w:t xml:space="preserve">Table </w:t>
      </w:r>
      <w:r>
        <w:rPr>
          <w:b/>
        </w:rPr>
        <w:t>34:</w:t>
      </w:r>
      <w:r w:rsidRPr="00F16FAC">
        <w:rPr>
          <w:b/>
        </w:rPr>
        <w:t xml:space="preserve"> </w:t>
      </w:r>
      <w:r>
        <w:rPr>
          <w:b/>
        </w:rPr>
        <w:t>Total Cost of Recordkeeping, All Farms</w:t>
      </w:r>
      <w:r w:rsidRPr="00F16FAC">
        <w:rPr>
          <w:b/>
        </w:rPr>
        <w:t xml:space="preserve"> (</w:t>
      </w:r>
      <w:r w:rsidR="007F3152">
        <w:rPr>
          <w:b/>
        </w:rPr>
        <w:t xml:space="preserve">millions </w:t>
      </w:r>
      <w:r w:rsidRPr="00F16FAC">
        <w:rPr>
          <w:b/>
        </w:rPr>
        <w:t>20</w:t>
      </w:r>
      <w:r w:rsidR="007F3152">
        <w:rPr>
          <w:b/>
        </w:rPr>
        <w:t>2</w:t>
      </w:r>
      <w:r w:rsidR="00FB416C">
        <w:rPr>
          <w:b/>
        </w:rPr>
        <w:t>2</w:t>
      </w:r>
      <w:r w:rsidRPr="00F16FAC">
        <w:rPr>
          <w:b/>
        </w:rPr>
        <w:t>$)</w:t>
      </w:r>
    </w:p>
    <w:tbl>
      <w:tblPr>
        <w:tblStyle w:val="TableGrid"/>
        <w:tblW w:w="5000" w:type="pct"/>
        <w:tblLayout w:type="fixed"/>
        <w:tblLook w:val="04A0"/>
      </w:tblPr>
      <w:tblGrid>
        <w:gridCol w:w="2335"/>
        <w:gridCol w:w="2147"/>
        <w:gridCol w:w="2536"/>
        <w:gridCol w:w="2332"/>
      </w:tblGrid>
      <w:tr w14:paraId="2F6DA1B1"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hideMark/>
          </w:tcPr>
          <w:p w:rsidR="00360ED2" w:rsidRPr="00F16FAC" w:rsidP="00026F9A" w14:paraId="7DE63F18" w14:textId="77777777">
            <w:pPr>
              <w:jc w:val="center"/>
              <w:rPr>
                <w:b/>
              </w:rPr>
            </w:pPr>
            <w:r w:rsidRPr="00F16FAC">
              <w:rPr>
                <w:b/>
              </w:rPr>
              <w:t>Years after publication</w:t>
            </w:r>
          </w:p>
        </w:tc>
        <w:tc>
          <w:tcPr>
            <w:tcW w:w="1148" w:type="pct"/>
            <w:tcBorders>
              <w:top w:val="single" w:sz="4" w:space="0" w:color="auto"/>
              <w:left w:val="single" w:sz="4" w:space="0" w:color="auto"/>
              <w:bottom w:val="single" w:sz="4" w:space="0" w:color="auto"/>
              <w:right w:val="single" w:sz="4" w:space="0" w:color="auto"/>
            </w:tcBorders>
            <w:hideMark/>
          </w:tcPr>
          <w:p w:rsidR="00360ED2" w:rsidRPr="00F16FAC" w:rsidP="00026F9A" w14:paraId="050F763B" w14:textId="77777777">
            <w:pPr>
              <w:jc w:val="center"/>
              <w:rPr>
                <w:b/>
              </w:rPr>
            </w:pPr>
            <w:r>
              <w:rPr>
                <w:b/>
              </w:rPr>
              <w:t>Low Estimate</w:t>
            </w:r>
          </w:p>
        </w:tc>
        <w:tc>
          <w:tcPr>
            <w:tcW w:w="1356" w:type="pct"/>
            <w:tcBorders>
              <w:top w:val="single" w:sz="4" w:space="0" w:color="auto"/>
              <w:left w:val="single" w:sz="4" w:space="0" w:color="auto"/>
              <w:bottom w:val="single" w:sz="4" w:space="0" w:color="auto"/>
              <w:right w:val="single" w:sz="4" w:space="0" w:color="auto"/>
            </w:tcBorders>
          </w:tcPr>
          <w:p w:rsidR="00360ED2" w:rsidRPr="00F16FAC" w:rsidP="00026F9A" w14:paraId="3D37684F" w14:textId="77777777">
            <w:pPr>
              <w:jc w:val="center"/>
              <w:rPr>
                <w:b/>
              </w:rPr>
            </w:pPr>
            <w:r>
              <w:rPr>
                <w:b/>
              </w:rPr>
              <w:t>Primary Estimate</w:t>
            </w:r>
          </w:p>
        </w:tc>
        <w:tc>
          <w:tcPr>
            <w:tcW w:w="1247" w:type="pct"/>
            <w:tcBorders>
              <w:top w:val="single" w:sz="4" w:space="0" w:color="auto"/>
              <w:left w:val="single" w:sz="4" w:space="0" w:color="auto"/>
              <w:bottom w:val="single" w:sz="4" w:space="0" w:color="auto"/>
              <w:right w:val="single" w:sz="4" w:space="0" w:color="auto"/>
            </w:tcBorders>
          </w:tcPr>
          <w:p w:rsidR="00360ED2" w:rsidRPr="00F16FAC" w:rsidP="00026F9A" w14:paraId="11A9855B" w14:textId="77777777">
            <w:pPr>
              <w:jc w:val="center"/>
              <w:rPr>
                <w:b/>
              </w:rPr>
            </w:pPr>
            <w:r>
              <w:rPr>
                <w:b/>
              </w:rPr>
              <w:t>High Estimate</w:t>
            </w:r>
          </w:p>
        </w:tc>
      </w:tr>
      <w:tr w14:paraId="65DE4835"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1BE0CE88" w14:textId="77777777">
            <w:pPr>
              <w:jc w:val="center"/>
            </w:pPr>
            <w:r w:rsidRPr="00F16FAC">
              <w:t>0</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1A5FF8F9" w14:textId="500FB520">
            <w:pPr>
              <w:jc w:val="center"/>
              <w:rPr>
                <w:rFonts w:eastAsia="Times New Roman"/>
                <w:color w:val="000000"/>
              </w:rPr>
            </w:pPr>
            <w:r w:rsidRPr="00491301">
              <w:rPr>
                <w:color w:val="000000"/>
              </w:rPr>
              <w:t>$0</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6EDF1975" w14:textId="05A4638C">
            <w:pPr>
              <w:jc w:val="center"/>
              <w:rPr>
                <w:color w:val="000000"/>
              </w:rPr>
            </w:pPr>
            <w:r w:rsidRPr="00491301">
              <w:rPr>
                <w:color w:val="000000"/>
              </w:rPr>
              <w:t>$0</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7FE095C3" w14:textId="0E8B99F3">
            <w:pPr>
              <w:jc w:val="center"/>
              <w:rPr>
                <w:color w:val="000000"/>
              </w:rPr>
            </w:pPr>
            <w:r w:rsidRPr="00491301">
              <w:rPr>
                <w:color w:val="000000"/>
              </w:rPr>
              <w:t>$0</w:t>
            </w:r>
          </w:p>
        </w:tc>
      </w:tr>
      <w:tr w14:paraId="2C5E08D3" w14:textId="77777777" w:rsidTr="00A414E0">
        <w:tblPrEx>
          <w:tblW w:w="5000" w:type="pct"/>
          <w:tblLayout w:type="fixed"/>
          <w:tblLook w:val="04A0"/>
        </w:tblPrEx>
        <w:trPr>
          <w:trHeight w:val="265"/>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1B850886" w14:textId="77777777">
            <w:pPr>
              <w:jc w:val="center"/>
            </w:pPr>
            <w:r w:rsidRPr="00F16FAC">
              <w:t>1</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59A4CC67" w14:textId="1C9DB993">
            <w:pPr>
              <w:jc w:val="center"/>
              <w:rPr>
                <w:color w:val="000000"/>
              </w:rPr>
            </w:pPr>
            <w:r w:rsidRPr="00491301">
              <w:rPr>
                <w:color w:val="000000"/>
              </w:rPr>
              <w:t>$1</w:t>
            </w:r>
            <w:r>
              <w:rPr>
                <w:color w:val="000000"/>
              </w:rPr>
              <w:t>.9</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22426F73" w14:textId="69E4FC04">
            <w:pPr>
              <w:jc w:val="center"/>
              <w:rPr>
                <w:color w:val="000000"/>
              </w:rPr>
            </w:pPr>
            <w:r w:rsidRPr="00491301">
              <w:rPr>
                <w:color w:val="000000"/>
              </w:rPr>
              <w:t>$2</w:t>
            </w:r>
            <w:r>
              <w:rPr>
                <w:color w:val="000000"/>
              </w:rPr>
              <w:t>.8</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69BA550F" w14:textId="10A50776">
            <w:pPr>
              <w:jc w:val="center"/>
              <w:rPr>
                <w:color w:val="000000"/>
              </w:rPr>
            </w:pPr>
            <w:r w:rsidRPr="00491301">
              <w:rPr>
                <w:color w:val="000000"/>
              </w:rPr>
              <w:t>$3</w:t>
            </w:r>
            <w:r>
              <w:rPr>
                <w:color w:val="000000"/>
              </w:rPr>
              <w:t>.5</w:t>
            </w:r>
          </w:p>
        </w:tc>
      </w:tr>
      <w:tr w14:paraId="39F5B75D"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2E856178" w14:textId="77777777">
            <w:pPr>
              <w:jc w:val="center"/>
            </w:pPr>
            <w:r w:rsidRPr="00F16FAC">
              <w:t>2</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4DF8F1C3" w14:textId="261C03D3">
            <w:pPr>
              <w:jc w:val="center"/>
              <w:rPr>
                <w:color w:val="000000"/>
              </w:rPr>
            </w:pPr>
            <w:r w:rsidRPr="00491301">
              <w:rPr>
                <w:color w:val="000000"/>
              </w:rPr>
              <w:t>$3</w:t>
            </w:r>
            <w:r>
              <w:rPr>
                <w:color w:val="000000"/>
              </w:rPr>
              <w:t>.2</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625FB661" w14:textId="1BCB73D8">
            <w:pPr>
              <w:jc w:val="center"/>
              <w:rPr>
                <w:color w:val="000000"/>
              </w:rPr>
            </w:pPr>
            <w:r w:rsidRPr="00491301">
              <w:rPr>
                <w:color w:val="000000"/>
              </w:rPr>
              <w:t>$4</w:t>
            </w:r>
            <w:r>
              <w:rPr>
                <w:color w:val="000000"/>
              </w:rPr>
              <w:t>.1</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0CE4A0B3" w14:textId="6727F62A">
            <w:pPr>
              <w:jc w:val="center"/>
              <w:rPr>
                <w:color w:val="000000"/>
              </w:rPr>
            </w:pPr>
            <w:r w:rsidRPr="00491301">
              <w:rPr>
                <w:color w:val="000000"/>
              </w:rPr>
              <w:t>$</w:t>
            </w:r>
            <w:r>
              <w:rPr>
                <w:color w:val="000000"/>
              </w:rPr>
              <w:t>5.0</w:t>
            </w:r>
          </w:p>
        </w:tc>
      </w:tr>
      <w:tr w14:paraId="7A9CA460"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22883770" w14:textId="77777777">
            <w:pPr>
              <w:jc w:val="center"/>
            </w:pPr>
            <w:r w:rsidRPr="00F16FAC">
              <w:t>3</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5EC3968E" w14:textId="031B9B27">
            <w:pPr>
              <w:jc w:val="center"/>
              <w:rPr>
                <w:color w:val="000000"/>
              </w:rPr>
            </w:pPr>
            <w:r w:rsidRPr="00491301">
              <w:rPr>
                <w:color w:val="000000"/>
              </w:rPr>
              <w:t>$6</w:t>
            </w:r>
            <w:r>
              <w:rPr>
                <w:color w:val="000000"/>
              </w:rPr>
              <w:t>.2</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1073C1BF" w14:textId="551BDE3D">
            <w:pPr>
              <w:jc w:val="center"/>
              <w:rPr>
                <w:color w:val="000000"/>
              </w:rPr>
            </w:pPr>
            <w:r w:rsidRPr="00491301">
              <w:rPr>
                <w:color w:val="000000"/>
              </w:rPr>
              <w:t>$</w:t>
            </w:r>
            <w:r>
              <w:rPr>
                <w:color w:val="000000"/>
              </w:rPr>
              <w:t>8.1</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43DC6F0A" w14:textId="2929B769">
            <w:pPr>
              <w:jc w:val="center"/>
              <w:rPr>
                <w:color w:val="000000"/>
              </w:rPr>
            </w:pPr>
            <w:r w:rsidRPr="00491301">
              <w:rPr>
                <w:color w:val="000000"/>
              </w:rPr>
              <w:t>$10</w:t>
            </w:r>
            <w:r>
              <w:rPr>
                <w:color w:val="000000"/>
              </w:rPr>
              <w:t>.2</w:t>
            </w:r>
          </w:p>
        </w:tc>
      </w:tr>
      <w:tr w14:paraId="5DC2E388"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665AFD98" w14:textId="77777777">
            <w:pPr>
              <w:jc w:val="center"/>
            </w:pPr>
            <w:r w:rsidRPr="00F16FAC">
              <w:t>4</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4BBFA0D6" w14:textId="406DFB2E">
            <w:pPr>
              <w:jc w:val="center"/>
              <w:rPr>
                <w:color w:val="000000"/>
              </w:rPr>
            </w:pPr>
            <w:r w:rsidRPr="005B00BD">
              <w:rPr>
                <w:color w:val="000000"/>
              </w:rPr>
              <w:t>$6</w:t>
            </w:r>
            <w:r>
              <w:rPr>
                <w:color w:val="000000"/>
              </w:rPr>
              <w:t>.2</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118A0BCF" w14:textId="5649EADA">
            <w:pPr>
              <w:jc w:val="center"/>
              <w:rPr>
                <w:color w:val="000000"/>
              </w:rPr>
            </w:pPr>
            <w:r w:rsidRPr="005B00BD">
              <w:rPr>
                <w:color w:val="000000"/>
              </w:rPr>
              <w:t>$</w:t>
            </w:r>
            <w:r>
              <w:rPr>
                <w:color w:val="000000"/>
              </w:rPr>
              <w:t>8.1</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77F3C469" w14:textId="6CC3908C">
            <w:pPr>
              <w:jc w:val="center"/>
              <w:rPr>
                <w:color w:val="000000"/>
              </w:rPr>
            </w:pPr>
            <w:r w:rsidRPr="00491301">
              <w:rPr>
                <w:color w:val="000000"/>
              </w:rPr>
              <w:t>$10</w:t>
            </w:r>
            <w:r>
              <w:rPr>
                <w:color w:val="000000"/>
              </w:rPr>
              <w:t>.3</w:t>
            </w:r>
          </w:p>
        </w:tc>
      </w:tr>
      <w:tr w14:paraId="6C852265"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189FCE1F" w14:textId="77777777">
            <w:pPr>
              <w:jc w:val="center"/>
            </w:pPr>
            <w:r w:rsidRPr="00F16FAC">
              <w:t>5</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45B33C73" w14:textId="258D4585">
            <w:pPr>
              <w:jc w:val="center"/>
              <w:rPr>
                <w:color w:val="000000"/>
              </w:rPr>
            </w:pPr>
            <w:r w:rsidRPr="005B00BD">
              <w:rPr>
                <w:color w:val="000000"/>
              </w:rPr>
              <w:t>$6</w:t>
            </w:r>
            <w:r>
              <w:rPr>
                <w:color w:val="000000"/>
              </w:rPr>
              <w:t>.2</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0822E2AB" w14:textId="37B0C021">
            <w:pPr>
              <w:jc w:val="center"/>
              <w:rPr>
                <w:color w:val="000000"/>
              </w:rPr>
            </w:pPr>
            <w:r w:rsidRPr="005B00BD">
              <w:rPr>
                <w:color w:val="000000"/>
              </w:rPr>
              <w:t>$</w:t>
            </w:r>
            <w:r>
              <w:rPr>
                <w:color w:val="000000"/>
              </w:rPr>
              <w:t>8.1</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3D5E7A43" w14:textId="12C79067">
            <w:pPr>
              <w:jc w:val="center"/>
              <w:rPr>
                <w:color w:val="000000"/>
              </w:rPr>
            </w:pPr>
            <w:r w:rsidRPr="005B00BD">
              <w:rPr>
                <w:color w:val="000000"/>
              </w:rPr>
              <w:t>$10</w:t>
            </w:r>
            <w:r>
              <w:rPr>
                <w:color w:val="000000"/>
              </w:rPr>
              <w:t>.2</w:t>
            </w:r>
          </w:p>
        </w:tc>
      </w:tr>
      <w:tr w14:paraId="06E64684"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4A857686" w14:textId="77777777">
            <w:pPr>
              <w:jc w:val="center"/>
            </w:pPr>
            <w:r w:rsidRPr="00F16FAC">
              <w:t>6</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7D20DA01" w14:textId="0CFB6DCD">
            <w:pPr>
              <w:jc w:val="center"/>
              <w:rPr>
                <w:color w:val="000000"/>
              </w:rPr>
            </w:pPr>
            <w:r w:rsidRPr="005B00BD">
              <w:rPr>
                <w:color w:val="000000"/>
              </w:rPr>
              <w:t>$6</w:t>
            </w:r>
            <w:r>
              <w:rPr>
                <w:color w:val="000000"/>
              </w:rPr>
              <w:t>.2</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705844B5" w14:textId="24B015A9">
            <w:pPr>
              <w:jc w:val="center"/>
              <w:rPr>
                <w:color w:val="000000"/>
              </w:rPr>
            </w:pPr>
            <w:r w:rsidRPr="005B00BD">
              <w:rPr>
                <w:color w:val="000000"/>
              </w:rPr>
              <w:t>$</w:t>
            </w:r>
            <w:r>
              <w:rPr>
                <w:color w:val="000000"/>
              </w:rPr>
              <w:t>8.1</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0550C6C6" w14:textId="123BB31D">
            <w:pPr>
              <w:jc w:val="center"/>
              <w:rPr>
                <w:color w:val="000000"/>
              </w:rPr>
            </w:pPr>
            <w:r w:rsidRPr="005B00BD">
              <w:rPr>
                <w:color w:val="000000"/>
              </w:rPr>
              <w:t>$10</w:t>
            </w:r>
            <w:r>
              <w:rPr>
                <w:color w:val="000000"/>
              </w:rPr>
              <w:t>.3</w:t>
            </w:r>
          </w:p>
        </w:tc>
      </w:tr>
      <w:tr w14:paraId="6159F2E4" w14:textId="77777777" w:rsidTr="00A414E0">
        <w:tblPrEx>
          <w:tblW w:w="5000" w:type="pct"/>
          <w:tblLayout w:type="fixed"/>
          <w:tblLook w:val="04A0"/>
        </w:tblPrEx>
        <w:trPr>
          <w:trHeight w:val="265"/>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4B2BEC5A" w14:textId="77777777">
            <w:pPr>
              <w:jc w:val="center"/>
            </w:pPr>
            <w:r w:rsidRPr="00F16FAC">
              <w:t>7</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6F170D96" w14:textId="1753144A">
            <w:pPr>
              <w:jc w:val="center"/>
              <w:rPr>
                <w:color w:val="000000"/>
              </w:rPr>
            </w:pPr>
            <w:r w:rsidRPr="005B00BD">
              <w:rPr>
                <w:color w:val="000000"/>
              </w:rPr>
              <w:t>$6</w:t>
            </w:r>
            <w:r>
              <w:rPr>
                <w:color w:val="000000"/>
              </w:rPr>
              <w:t>.2</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62712BFA" w14:textId="693E0990">
            <w:pPr>
              <w:jc w:val="center"/>
              <w:rPr>
                <w:color w:val="000000"/>
              </w:rPr>
            </w:pPr>
            <w:r w:rsidRPr="005B00BD">
              <w:rPr>
                <w:color w:val="000000"/>
              </w:rPr>
              <w:t>$</w:t>
            </w:r>
            <w:r>
              <w:rPr>
                <w:color w:val="000000"/>
              </w:rPr>
              <w:t>8.1</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2AB0F2A8" w14:textId="0C01B960">
            <w:pPr>
              <w:jc w:val="center"/>
              <w:rPr>
                <w:color w:val="000000"/>
              </w:rPr>
            </w:pPr>
            <w:r w:rsidRPr="005B00BD">
              <w:rPr>
                <w:color w:val="000000"/>
              </w:rPr>
              <w:t>$10</w:t>
            </w:r>
            <w:r>
              <w:rPr>
                <w:color w:val="000000"/>
              </w:rPr>
              <w:t>.3</w:t>
            </w:r>
          </w:p>
        </w:tc>
      </w:tr>
      <w:tr w14:paraId="03DEC5EF"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52C80931" w14:textId="77777777">
            <w:pPr>
              <w:jc w:val="center"/>
            </w:pPr>
            <w:r w:rsidRPr="00F16FAC">
              <w:t>8</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5F157A03" w14:textId="3931461B">
            <w:pPr>
              <w:jc w:val="center"/>
              <w:rPr>
                <w:color w:val="000000"/>
              </w:rPr>
            </w:pPr>
            <w:r w:rsidRPr="005B00BD">
              <w:rPr>
                <w:color w:val="000000"/>
              </w:rPr>
              <w:t>$6</w:t>
            </w:r>
            <w:r>
              <w:rPr>
                <w:color w:val="000000"/>
              </w:rPr>
              <w:t>.2</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55F69D6E" w14:textId="325B566C">
            <w:pPr>
              <w:jc w:val="center"/>
              <w:rPr>
                <w:color w:val="000000"/>
              </w:rPr>
            </w:pPr>
            <w:r w:rsidRPr="005B00BD">
              <w:rPr>
                <w:color w:val="000000"/>
              </w:rPr>
              <w:t>$</w:t>
            </w:r>
            <w:r>
              <w:rPr>
                <w:color w:val="000000"/>
              </w:rPr>
              <w:t>8.1</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710264B7" w14:textId="750F3430">
            <w:pPr>
              <w:jc w:val="center"/>
              <w:rPr>
                <w:color w:val="000000"/>
              </w:rPr>
            </w:pPr>
            <w:r w:rsidRPr="005B00BD">
              <w:rPr>
                <w:color w:val="000000"/>
              </w:rPr>
              <w:t>$10</w:t>
            </w:r>
            <w:r>
              <w:rPr>
                <w:color w:val="000000"/>
              </w:rPr>
              <w:t>.2</w:t>
            </w:r>
          </w:p>
        </w:tc>
      </w:tr>
      <w:tr w14:paraId="409DFDD6"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hideMark/>
          </w:tcPr>
          <w:p w:rsidR="00FB416C" w:rsidRPr="00F16FAC" w:rsidP="00026F9A" w14:paraId="145C0245" w14:textId="77777777">
            <w:pPr>
              <w:jc w:val="center"/>
            </w:pPr>
            <w:r w:rsidRPr="00F16FAC">
              <w:t>9</w:t>
            </w:r>
          </w:p>
        </w:tc>
        <w:tc>
          <w:tcPr>
            <w:tcW w:w="1148" w:type="pct"/>
            <w:tcBorders>
              <w:top w:val="single" w:sz="4" w:space="0" w:color="auto"/>
              <w:left w:val="single" w:sz="4" w:space="0" w:color="auto"/>
              <w:bottom w:val="single" w:sz="4" w:space="0" w:color="auto"/>
              <w:right w:val="single" w:sz="4" w:space="0" w:color="auto"/>
            </w:tcBorders>
            <w:vAlign w:val="bottom"/>
            <w:hideMark/>
          </w:tcPr>
          <w:p w:rsidR="00FB416C" w:rsidRPr="00FB416C" w:rsidP="00026F9A" w14:paraId="28CFDD7F" w14:textId="6352162A">
            <w:pPr>
              <w:jc w:val="center"/>
              <w:rPr>
                <w:color w:val="000000"/>
              </w:rPr>
            </w:pPr>
            <w:r w:rsidRPr="005B00BD">
              <w:rPr>
                <w:color w:val="000000"/>
              </w:rPr>
              <w:t>$6</w:t>
            </w:r>
            <w:r>
              <w:rPr>
                <w:color w:val="000000"/>
              </w:rPr>
              <w:t>.2</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49710F1A" w14:textId="5F29257E">
            <w:pPr>
              <w:jc w:val="center"/>
              <w:rPr>
                <w:color w:val="000000"/>
              </w:rPr>
            </w:pPr>
            <w:r w:rsidRPr="005B00BD">
              <w:rPr>
                <w:color w:val="000000"/>
              </w:rPr>
              <w:t>$</w:t>
            </w:r>
            <w:r>
              <w:rPr>
                <w:color w:val="000000"/>
              </w:rPr>
              <w:t>8.1</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115D3A9B" w14:textId="4890439E">
            <w:pPr>
              <w:jc w:val="center"/>
              <w:rPr>
                <w:color w:val="000000"/>
              </w:rPr>
            </w:pPr>
            <w:r w:rsidRPr="005B00BD">
              <w:rPr>
                <w:color w:val="000000"/>
              </w:rPr>
              <w:t>$10</w:t>
            </w:r>
            <w:r>
              <w:rPr>
                <w:color w:val="000000"/>
              </w:rPr>
              <w:t>.2</w:t>
            </w:r>
          </w:p>
        </w:tc>
      </w:tr>
      <w:tr w14:paraId="40B49298"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tcPr>
          <w:p w:rsidR="00FB416C" w:rsidRPr="00F16FAC" w:rsidP="00026F9A" w14:paraId="081FD70F" w14:textId="77777777">
            <w:pPr>
              <w:jc w:val="center"/>
            </w:pPr>
            <w:r>
              <w:t>Annualized, 3%</w:t>
            </w:r>
          </w:p>
        </w:tc>
        <w:tc>
          <w:tcPr>
            <w:tcW w:w="1148"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488A0588" w14:textId="617ECD01">
            <w:pPr>
              <w:jc w:val="center"/>
              <w:rPr>
                <w:rFonts w:eastAsia="Times New Roman"/>
                <w:color w:val="000000"/>
              </w:rPr>
            </w:pPr>
            <w:r w:rsidRPr="00491301">
              <w:rPr>
                <w:color w:val="000000"/>
              </w:rPr>
              <w:t>$</w:t>
            </w:r>
            <w:r>
              <w:rPr>
                <w:color w:val="000000"/>
              </w:rPr>
              <w:t>4.7</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72031D40" w14:textId="588B7993">
            <w:pPr>
              <w:jc w:val="center"/>
              <w:rPr>
                <w:color w:val="000000"/>
              </w:rPr>
            </w:pPr>
            <w:r w:rsidRPr="00491301">
              <w:rPr>
                <w:color w:val="000000"/>
              </w:rPr>
              <w:t>$6</w:t>
            </w:r>
            <w:r>
              <w:rPr>
                <w:color w:val="000000"/>
              </w:rPr>
              <w:t>.2</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7C862133" w14:textId="79C3F0EA">
            <w:pPr>
              <w:jc w:val="center"/>
              <w:rPr>
                <w:color w:val="000000"/>
              </w:rPr>
            </w:pPr>
            <w:r w:rsidRPr="00491301">
              <w:rPr>
                <w:color w:val="000000"/>
              </w:rPr>
              <w:t>$7</w:t>
            </w:r>
            <w:r>
              <w:rPr>
                <w:color w:val="000000"/>
              </w:rPr>
              <w:t>.8</w:t>
            </w:r>
          </w:p>
        </w:tc>
      </w:tr>
      <w:tr w14:paraId="39650F65" w14:textId="77777777" w:rsidTr="00A414E0">
        <w:tblPrEx>
          <w:tblW w:w="5000" w:type="pct"/>
          <w:tblLayout w:type="fixed"/>
          <w:tblLook w:val="04A0"/>
        </w:tblPrEx>
        <w:trPr>
          <w:trHeight w:val="277"/>
        </w:trPr>
        <w:tc>
          <w:tcPr>
            <w:tcW w:w="1249" w:type="pct"/>
            <w:tcBorders>
              <w:top w:val="single" w:sz="4" w:space="0" w:color="auto"/>
              <w:left w:val="single" w:sz="4" w:space="0" w:color="auto"/>
              <w:bottom w:val="single" w:sz="4" w:space="0" w:color="auto"/>
              <w:right w:val="single" w:sz="4" w:space="0" w:color="auto"/>
            </w:tcBorders>
          </w:tcPr>
          <w:p w:rsidR="00FB416C" w:rsidP="00026F9A" w14:paraId="6A68AECD" w14:textId="77777777">
            <w:pPr>
              <w:jc w:val="center"/>
            </w:pPr>
            <w:r>
              <w:t>Annualized, 7%</w:t>
            </w:r>
          </w:p>
        </w:tc>
        <w:tc>
          <w:tcPr>
            <w:tcW w:w="1148"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4D06E9A7" w14:textId="6CFE2C27">
            <w:pPr>
              <w:jc w:val="center"/>
              <w:rPr>
                <w:color w:val="000000"/>
              </w:rPr>
            </w:pPr>
            <w:r w:rsidRPr="00491301">
              <w:rPr>
                <w:color w:val="000000"/>
              </w:rPr>
              <w:t>$4</w:t>
            </w:r>
            <w:r>
              <w:rPr>
                <w:color w:val="000000"/>
              </w:rPr>
              <w:t>.5</w:t>
            </w:r>
          </w:p>
        </w:tc>
        <w:tc>
          <w:tcPr>
            <w:tcW w:w="1356"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1D3E9D30" w14:textId="6DF0CAC7">
            <w:pPr>
              <w:jc w:val="center"/>
              <w:rPr>
                <w:color w:val="000000"/>
              </w:rPr>
            </w:pPr>
            <w:r w:rsidRPr="00491301">
              <w:rPr>
                <w:color w:val="000000"/>
              </w:rPr>
              <w:t>$5</w:t>
            </w:r>
            <w:r>
              <w:rPr>
                <w:color w:val="000000"/>
              </w:rPr>
              <w:t>.9</w:t>
            </w:r>
          </w:p>
        </w:tc>
        <w:tc>
          <w:tcPr>
            <w:tcW w:w="1247" w:type="pct"/>
            <w:tcBorders>
              <w:top w:val="single" w:sz="4" w:space="0" w:color="auto"/>
              <w:left w:val="single" w:sz="4" w:space="0" w:color="auto"/>
              <w:bottom w:val="single" w:sz="4" w:space="0" w:color="auto"/>
              <w:right w:val="single" w:sz="4" w:space="0" w:color="auto"/>
            </w:tcBorders>
            <w:vAlign w:val="bottom"/>
          </w:tcPr>
          <w:p w:rsidR="00FB416C" w:rsidRPr="00FB416C" w:rsidP="00026F9A" w14:paraId="0620F509" w14:textId="49A022D0">
            <w:pPr>
              <w:jc w:val="center"/>
              <w:rPr>
                <w:color w:val="000000"/>
              </w:rPr>
            </w:pPr>
            <w:r w:rsidRPr="00491301">
              <w:rPr>
                <w:color w:val="000000"/>
              </w:rPr>
              <w:t>$7</w:t>
            </w:r>
            <w:r>
              <w:rPr>
                <w:color w:val="000000"/>
              </w:rPr>
              <w:t>.4</w:t>
            </w:r>
          </w:p>
        </w:tc>
      </w:tr>
    </w:tbl>
    <w:p w:rsidR="00360ED2" w:rsidP="00026F9A" w14:paraId="0CFF12EB" w14:textId="77777777"/>
    <w:p w:rsidR="00501ACB" w:rsidRPr="00C9753B" w:rsidP="00026F9A" w14:paraId="0F934393" w14:textId="5610E6E4">
      <w:pPr>
        <w:pStyle w:val="Heading2"/>
      </w:pPr>
      <w:bookmarkStart w:id="35" w:name="_Toc139642995"/>
      <w:r>
        <w:t>Transfers Caused by the Rule</w:t>
      </w:r>
      <w:bookmarkEnd w:id="35"/>
    </w:p>
    <w:p w:rsidR="00F74D85" w:rsidRPr="00F74D85" w:rsidP="00026F9A" w14:paraId="5A9E7217" w14:textId="540FAA17">
      <w:pPr>
        <w:spacing w:line="480" w:lineRule="auto"/>
        <w:ind w:left="720"/>
      </w:pPr>
      <w:r>
        <w:t>We do not anticipate that this rule will cause any transfers.</w:t>
      </w:r>
    </w:p>
    <w:p w:rsidR="003F5DCF" w:rsidRPr="003F5DCF" w:rsidP="00026F9A" w14:paraId="58F518CB" w14:textId="25825356">
      <w:pPr>
        <w:pStyle w:val="Heading2"/>
      </w:pPr>
      <w:bookmarkStart w:id="36" w:name="_Toc139642996"/>
      <w:r>
        <w:t>Summary of Benefits, Costs, and Transfers</w:t>
      </w:r>
      <w:bookmarkEnd w:id="36"/>
    </w:p>
    <w:p w:rsidR="003F5DCF" w:rsidP="00026F9A" w14:paraId="05B75AB4" w14:textId="13EFE556">
      <w:pPr>
        <w:spacing w:line="480" w:lineRule="auto"/>
        <w:ind w:firstLine="720"/>
      </w:pPr>
      <w:r>
        <w:t xml:space="preserve">Table 35 presents the estimated costs of </w:t>
      </w:r>
      <w:r w:rsidR="394454C8">
        <w:t>both</w:t>
      </w:r>
      <w:r>
        <w:t xml:space="preserve"> th</w:t>
      </w:r>
      <w:r w:rsidR="6BCEB11B">
        <w:t>is</w:t>
      </w:r>
      <w:r>
        <w:t xml:space="preserve"> rule</w:t>
      </w:r>
      <w:r w:rsidR="216FB822">
        <w:t xml:space="preserve"> </w:t>
      </w:r>
      <w:r w:rsidR="02F0A9D8">
        <w:t>and the pre-harvest agricultural water</w:t>
      </w:r>
      <w:r w:rsidR="00682BC0">
        <w:t xml:space="preserve"> microbial quality criteria and testing</w:t>
      </w:r>
      <w:r w:rsidR="02F0A9D8">
        <w:t xml:space="preserve"> provisions </w:t>
      </w:r>
      <w:r w:rsidR="29C0F263">
        <w:t xml:space="preserve">in the 2015 </w:t>
      </w:r>
      <w:r w:rsidR="00026B9D">
        <w:t xml:space="preserve">produce safety final rule </w:t>
      </w:r>
      <w:r>
        <w:t>by year, relative to a state of the world with no pre-harvest agricultural water provisions. This includes the estimated costs of reading th</w:t>
      </w:r>
      <w:r w:rsidR="00666A9C">
        <w:t>is</w:t>
      </w:r>
      <w:r>
        <w:t xml:space="preserve"> rule, </w:t>
      </w:r>
      <w:r w:rsidR="00576EE4">
        <w:t xml:space="preserve">conducting </w:t>
      </w:r>
      <w:r>
        <w:t xml:space="preserve">pre-harvest agricultural water assessments, </w:t>
      </w:r>
      <w:r w:rsidR="00576EE4">
        <w:t xml:space="preserve">implementing </w:t>
      </w:r>
      <w:r>
        <w:t xml:space="preserve">mitigation measures that may result from pre-harvest agricultural water assessments, and recordkeeping of the pre-harvest agricultural water assessments. </w:t>
      </w:r>
      <w:r>
        <w:rPr>
          <w:rFonts w:eastAsia="Times New Roman"/>
        </w:rPr>
        <w:t>Our primary estimate of the total cost of th</w:t>
      </w:r>
      <w:r w:rsidR="009F598D">
        <w:rPr>
          <w:rFonts w:eastAsia="Times New Roman"/>
        </w:rPr>
        <w:t>is</w:t>
      </w:r>
      <w:r>
        <w:rPr>
          <w:rFonts w:eastAsia="Times New Roman"/>
        </w:rPr>
        <w:t xml:space="preserve"> rule, relative to no pre-harvest agricultural water provisions, is $</w:t>
      </w:r>
      <w:r w:rsidR="001D6E40">
        <w:rPr>
          <w:rFonts w:eastAsia="Times New Roman"/>
        </w:rPr>
        <w:t>36.1</w:t>
      </w:r>
      <w:r>
        <w:rPr>
          <w:rFonts w:eastAsia="Times New Roman"/>
        </w:rPr>
        <w:t xml:space="preserve"> million annualized at a 3% discount rate; at a 7% discount rate, this primary estimate is $3</w:t>
      </w:r>
      <w:r w:rsidR="001D6E40">
        <w:rPr>
          <w:rFonts w:eastAsia="Times New Roman"/>
        </w:rPr>
        <w:t>5.3</w:t>
      </w:r>
      <w:r>
        <w:rPr>
          <w:rFonts w:eastAsia="Times New Roman"/>
        </w:rPr>
        <w:t xml:space="preserve"> million annualized. </w:t>
      </w:r>
      <w:r>
        <w:t>We include 5th (“Low Estimate”) and 95th (“High Estimate”) percentile outcomes of the simulated burden as measures of uncertainty.</w:t>
      </w:r>
    </w:p>
    <w:p w:rsidR="00287950" w14:paraId="570E4158" w14:textId="77777777">
      <w:pPr>
        <w:spacing w:line="276" w:lineRule="auto"/>
        <w:rPr>
          <w:b/>
        </w:rPr>
      </w:pPr>
      <w:r>
        <w:rPr>
          <w:b/>
        </w:rPr>
        <w:br w:type="page"/>
      </w:r>
    </w:p>
    <w:p w:rsidR="003F5DCF" w:rsidRPr="00B90451" w:rsidP="00026F9A" w14:paraId="661F6B9A" w14:textId="25C37939">
      <w:pPr>
        <w:rPr>
          <w:b/>
        </w:rPr>
      </w:pPr>
      <w:r w:rsidRPr="006F3EEB">
        <w:rPr>
          <w:b/>
        </w:rPr>
        <w:t xml:space="preserve">Table </w:t>
      </w:r>
      <w:r>
        <w:rPr>
          <w:b/>
        </w:rPr>
        <w:t>35</w:t>
      </w:r>
      <w:r w:rsidRPr="00B90451">
        <w:rPr>
          <w:b/>
        </w:rPr>
        <w:t xml:space="preserve">: </w:t>
      </w:r>
      <w:r>
        <w:rPr>
          <w:b/>
        </w:rPr>
        <w:t>Total</w:t>
      </w:r>
      <w:r w:rsidRPr="00B90451">
        <w:rPr>
          <w:b/>
        </w:rPr>
        <w:t xml:space="preserve"> </w:t>
      </w:r>
      <w:r>
        <w:rPr>
          <w:b/>
        </w:rPr>
        <w:t>C</w:t>
      </w:r>
      <w:r w:rsidRPr="00B90451">
        <w:rPr>
          <w:b/>
        </w:rPr>
        <w:t>ost of th</w:t>
      </w:r>
      <w:r w:rsidR="001036A5">
        <w:rPr>
          <w:b/>
        </w:rPr>
        <w:t>is Final</w:t>
      </w:r>
      <w:r w:rsidRPr="00B90451">
        <w:rPr>
          <w:b/>
        </w:rPr>
        <w:t xml:space="preserve"> </w:t>
      </w:r>
      <w:r>
        <w:rPr>
          <w:b/>
        </w:rPr>
        <w:t>R</w:t>
      </w:r>
      <w:r w:rsidRPr="00B90451">
        <w:rPr>
          <w:b/>
        </w:rPr>
        <w:t xml:space="preserve">ule </w:t>
      </w:r>
      <w:r>
        <w:rPr>
          <w:b/>
        </w:rPr>
        <w:t xml:space="preserve">Versus </w:t>
      </w:r>
      <w:r w:rsidR="00011EE1">
        <w:rPr>
          <w:b/>
        </w:rPr>
        <w:t xml:space="preserve">the </w:t>
      </w:r>
      <w:r w:rsidR="008648B4">
        <w:rPr>
          <w:b/>
        </w:rPr>
        <w:t xml:space="preserve">Pre-harvest Agricultural Water </w:t>
      </w:r>
      <w:r>
        <w:rPr>
          <w:b/>
        </w:rPr>
        <w:t>Provisions</w:t>
      </w:r>
      <w:r w:rsidR="008648B4">
        <w:rPr>
          <w:b/>
        </w:rPr>
        <w:t xml:space="preserve"> in the 2015 Produce Safety Final Rule</w:t>
      </w:r>
      <w:r>
        <w:rPr>
          <w:b/>
        </w:rPr>
        <w:t xml:space="preserve"> </w:t>
      </w:r>
      <w:r w:rsidRPr="00B90451">
        <w:rPr>
          <w:b/>
        </w:rPr>
        <w:t xml:space="preserve">by </w:t>
      </w:r>
      <w:r>
        <w:rPr>
          <w:b/>
        </w:rPr>
        <w:t>Y</w:t>
      </w:r>
      <w:r w:rsidRPr="00B90451">
        <w:rPr>
          <w:b/>
        </w:rPr>
        <w:t>ear</w:t>
      </w:r>
      <w:r>
        <w:rPr>
          <w:b/>
        </w:rPr>
        <w:t xml:space="preserve"> Relative to no Pre-harvest Agricultural Water Provisions</w:t>
      </w:r>
      <w:r w:rsidRPr="00B90451">
        <w:rPr>
          <w:b/>
        </w:rPr>
        <w:t xml:space="preserve">, </w:t>
      </w:r>
      <w:r>
        <w:rPr>
          <w:b/>
        </w:rPr>
        <w:t>A</w:t>
      </w:r>
      <w:r w:rsidRPr="00B90451">
        <w:rPr>
          <w:b/>
        </w:rPr>
        <w:t xml:space="preserve">ll </w:t>
      </w:r>
      <w:r>
        <w:rPr>
          <w:b/>
        </w:rPr>
        <w:t>F</w:t>
      </w:r>
      <w:r w:rsidRPr="00B90451">
        <w:rPr>
          <w:b/>
        </w:rPr>
        <w:t>arms</w:t>
      </w:r>
      <w:r>
        <w:rPr>
          <w:b/>
        </w:rPr>
        <w:t xml:space="preserve"> (millions 202</w:t>
      </w:r>
      <w:r w:rsidR="001D6E40">
        <w:rPr>
          <w:b/>
        </w:rPr>
        <w:t>2</w:t>
      </w:r>
      <w:r>
        <w:rPr>
          <w:b/>
        </w:rPr>
        <w:t>$)</w:t>
      </w:r>
    </w:p>
    <w:tbl>
      <w:tblPr>
        <w:tblStyle w:val="TableGrid"/>
        <w:tblW w:w="8815" w:type="dxa"/>
        <w:tblLayout w:type="fixed"/>
        <w:tblLook w:val="04A0"/>
      </w:tblPr>
      <w:tblGrid>
        <w:gridCol w:w="2065"/>
        <w:gridCol w:w="3510"/>
        <w:gridCol w:w="3240"/>
      </w:tblGrid>
      <w:tr w14:paraId="20AB18AC" w14:textId="77777777">
        <w:tblPrEx>
          <w:tblW w:w="8815" w:type="dxa"/>
          <w:tblLayout w:type="fixed"/>
          <w:tblLook w:val="04A0"/>
        </w:tblPrEx>
        <w:tc>
          <w:tcPr>
            <w:tcW w:w="2065" w:type="dxa"/>
          </w:tcPr>
          <w:p w:rsidR="003F5DCF" w:rsidRPr="00B90451" w:rsidP="00026F9A" w14:paraId="5E6FE655" w14:textId="77777777">
            <w:pPr>
              <w:jc w:val="center"/>
              <w:rPr>
                <w:b/>
              </w:rPr>
            </w:pPr>
            <w:r w:rsidRPr="00B90451">
              <w:rPr>
                <w:b/>
              </w:rPr>
              <w:t>Years after publication</w:t>
            </w:r>
          </w:p>
        </w:tc>
        <w:tc>
          <w:tcPr>
            <w:tcW w:w="3510" w:type="dxa"/>
          </w:tcPr>
          <w:p w:rsidR="003F5DCF" w:rsidRPr="00B90451" w:rsidP="00026F9A" w14:paraId="05E44098" w14:textId="395BABCC">
            <w:pPr>
              <w:jc w:val="center"/>
              <w:rPr>
                <w:b/>
              </w:rPr>
            </w:pPr>
            <w:r>
              <w:rPr>
                <w:b/>
              </w:rPr>
              <w:t xml:space="preserve">Primary Estimate of Total Costs of </w:t>
            </w:r>
            <w:r w:rsidR="001809CB">
              <w:rPr>
                <w:b/>
              </w:rPr>
              <w:t xml:space="preserve">Pre-harvest Agricultural Water </w:t>
            </w:r>
            <w:r>
              <w:rPr>
                <w:b/>
              </w:rPr>
              <w:t>Provisions</w:t>
            </w:r>
            <w:r w:rsidR="001809CB">
              <w:rPr>
                <w:b/>
              </w:rPr>
              <w:t xml:space="preserve"> </w:t>
            </w:r>
            <w:r w:rsidR="005A658E">
              <w:rPr>
                <w:b/>
              </w:rPr>
              <w:t>in the 2015 Produce Safety Final Rule</w:t>
            </w:r>
          </w:p>
        </w:tc>
        <w:tc>
          <w:tcPr>
            <w:tcW w:w="3240" w:type="dxa"/>
          </w:tcPr>
          <w:p w:rsidR="003F5DCF" w:rsidRPr="00B90451" w:rsidP="00026F9A" w14:paraId="208EC869" w14:textId="6D1119A5">
            <w:pPr>
              <w:jc w:val="center"/>
              <w:rPr>
                <w:b/>
              </w:rPr>
            </w:pPr>
            <w:r w:rsidRPr="00B90451">
              <w:rPr>
                <w:b/>
              </w:rPr>
              <w:t>Primary</w:t>
            </w:r>
            <w:r>
              <w:rPr>
                <w:b/>
              </w:rPr>
              <w:t xml:space="preserve"> Estimate of Total Costs of </w:t>
            </w:r>
            <w:r w:rsidR="001036A5">
              <w:rPr>
                <w:b/>
              </w:rPr>
              <w:t xml:space="preserve">this Final </w:t>
            </w:r>
            <w:r>
              <w:rPr>
                <w:b/>
              </w:rPr>
              <w:t>Rule</w:t>
            </w:r>
          </w:p>
        </w:tc>
      </w:tr>
      <w:tr w14:paraId="2AAF57AD" w14:textId="77777777">
        <w:tblPrEx>
          <w:tblW w:w="8815" w:type="dxa"/>
          <w:tblLayout w:type="fixed"/>
          <w:tblLook w:val="04A0"/>
        </w:tblPrEx>
        <w:tc>
          <w:tcPr>
            <w:tcW w:w="2065" w:type="dxa"/>
          </w:tcPr>
          <w:p w:rsidR="001D0991" w:rsidP="00026F9A" w14:paraId="5EDE3E9F" w14:textId="77777777">
            <w:pPr>
              <w:jc w:val="center"/>
            </w:pPr>
            <w:r>
              <w:t>0</w:t>
            </w:r>
          </w:p>
        </w:tc>
        <w:tc>
          <w:tcPr>
            <w:tcW w:w="3510" w:type="dxa"/>
            <w:vAlign w:val="bottom"/>
          </w:tcPr>
          <w:p w:rsidR="001D0991" w:rsidRPr="00D20B72" w:rsidP="00026F9A" w14:paraId="0F154630" w14:textId="4FA40880">
            <w:pPr>
              <w:jc w:val="center"/>
              <w:rPr>
                <w:rFonts w:eastAsia="Times New Roman"/>
                <w:color w:val="000000"/>
              </w:rPr>
            </w:pPr>
            <w:r w:rsidRPr="005B00BD">
              <w:rPr>
                <w:color w:val="000000"/>
              </w:rPr>
              <w:t>$0</w:t>
            </w:r>
          </w:p>
        </w:tc>
        <w:tc>
          <w:tcPr>
            <w:tcW w:w="3240" w:type="dxa"/>
            <w:vAlign w:val="bottom"/>
          </w:tcPr>
          <w:p w:rsidR="001D0991" w:rsidRPr="00BF484A" w:rsidP="00026F9A" w14:paraId="3E324C8B" w14:textId="525F771A">
            <w:pPr>
              <w:jc w:val="center"/>
              <w:rPr>
                <w:color w:val="000000"/>
              </w:rPr>
            </w:pPr>
            <w:r w:rsidRPr="00BF484A">
              <w:rPr>
                <w:color w:val="000000"/>
              </w:rPr>
              <w:t>$2</w:t>
            </w:r>
            <w:r w:rsidR="007F36A1">
              <w:rPr>
                <w:color w:val="000000"/>
              </w:rPr>
              <w:t>1.6</w:t>
            </w:r>
          </w:p>
        </w:tc>
      </w:tr>
      <w:tr w14:paraId="21EE5898" w14:textId="77777777">
        <w:tblPrEx>
          <w:tblW w:w="8815" w:type="dxa"/>
          <w:tblLayout w:type="fixed"/>
          <w:tblLook w:val="04A0"/>
        </w:tblPrEx>
        <w:tc>
          <w:tcPr>
            <w:tcW w:w="2065" w:type="dxa"/>
          </w:tcPr>
          <w:p w:rsidR="001D0991" w:rsidP="00026F9A" w14:paraId="23C33FE5" w14:textId="77777777">
            <w:pPr>
              <w:jc w:val="center"/>
            </w:pPr>
            <w:r>
              <w:t>1</w:t>
            </w:r>
          </w:p>
        </w:tc>
        <w:tc>
          <w:tcPr>
            <w:tcW w:w="3510" w:type="dxa"/>
            <w:vAlign w:val="bottom"/>
          </w:tcPr>
          <w:p w:rsidR="001D0991" w:rsidRPr="00D20B72" w:rsidP="00026F9A" w14:paraId="147708F0" w14:textId="5EA9C4EE">
            <w:pPr>
              <w:jc w:val="center"/>
              <w:rPr>
                <w:color w:val="000000"/>
              </w:rPr>
            </w:pPr>
            <w:r w:rsidRPr="005B00BD">
              <w:rPr>
                <w:color w:val="000000"/>
              </w:rPr>
              <w:t>$21</w:t>
            </w:r>
            <w:r>
              <w:rPr>
                <w:color w:val="000000"/>
              </w:rPr>
              <w:t>.4</w:t>
            </w:r>
          </w:p>
        </w:tc>
        <w:tc>
          <w:tcPr>
            <w:tcW w:w="3240" w:type="dxa"/>
            <w:vAlign w:val="bottom"/>
          </w:tcPr>
          <w:p w:rsidR="001D0991" w:rsidRPr="00BF484A" w:rsidP="00026F9A" w14:paraId="359EA360" w14:textId="161B1EF5">
            <w:pPr>
              <w:jc w:val="center"/>
              <w:rPr>
                <w:color w:val="000000"/>
              </w:rPr>
            </w:pPr>
            <w:r w:rsidRPr="00BF484A">
              <w:rPr>
                <w:color w:val="000000"/>
              </w:rPr>
              <w:t>$</w:t>
            </w:r>
            <w:r w:rsidR="007F36A1">
              <w:rPr>
                <w:color w:val="000000"/>
              </w:rPr>
              <w:t>20.6</w:t>
            </w:r>
          </w:p>
        </w:tc>
      </w:tr>
      <w:tr w14:paraId="5F7EDCAC" w14:textId="77777777">
        <w:tblPrEx>
          <w:tblW w:w="8815" w:type="dxa"/>
          <w:tblLayout w:type="fixed"/>
          <w:tblLook w:val="04A0"/>
        </w:tblPrEx>
        <w:tc>
          <w:tcPr>
            <w:tcW w:w="2065" w:type="dxa"/>
          </w:tcPr>
          <w:p w:rsidR="001D0991" w:rsidP="00026F9A" w14:paraId="4FC973F8" w14:textId="77777777">
            <w:pPr>
              <w:jc w:val="center"/>
            </w:pPr>
            <w:r>
              <w:t>2</w:t>
            </w:r>
          </w:p>
        </w:tc>
        <w:tc>
          <w:tcPr>
            <w:tcW w:w="3510" w:type="dxa"/>
            <w:vAlign w:val="bottom"/>
          </w:tcPr>
          <w:p w:rsidR="001D0991" w:rsidRPr="00D20B72" w:rsidP="00026F9A" w14:paraId="7E72C622" w14:textId="131A1D8D">
            <w:pPr>
              <w:jc w:val="center"/>
              <w:rPr>
                <w:color w:val="000000"/>
              </w:rPr>
            </w:pPr>
            <w:r w:rsidRPr="005B00BD">
              <w:rPr>
                <w:color w:val="000000"/>
              </w:rPr>
              <w:t>$16</w:t>
            </w:r>
            <w:r>
              <w:rPr>
                <w:color w:val="000000"/>
              </w:rPr>
              <w:t>.5</w:t>
            </w:r>
          </w:p>
        </w:tc>
        <w:tc>
          <w:tcPr>
            <w:tcW w:w="3240" w:type="dxa"/>
            <w:vAlign w:val="bottom"/>
          </w:tcPr>
          <w:p w:rsidR="001D0991" w:rsidRPr="00BF484A" w:rsidP="00026F9A" w14:paraId="14280CC7" w14:textId="6582F151">
            <w:pPr>
              <w:jc w:val="center"/>
              <w:rPr>
                <w:color w:val="000000"/>
              </w:rPr>
            </w:pPr>
            <w:r w:rsidRPr="00BF484A">
              <w:rPr>
                <w:color w:val="000000"/>
              </w:rPr>
              <w:t>$2</w:t>
            </w:r>
            <w:r w:rsidR="007F36A1">
              <w:rPr>
                <w:color w:val="000000"/>
              </w:rPr>
              <w:t>5.7</w:t>
            </w:r>
          </w:p>
        </w:tc>
      </w:tr>
      <w:tr w14:paraId="7427AE6F" w14:textId="77777777">
        <w:tblPrEx>
          <w:tblW w:w="8815" w:type="dxa"/>
          <w:tblLayout w:type="fixed"/>
          <w:tblLook w:val="04A0"/>
        </w:tblPrEx>
        <w:tc>
          <w:tcPr>
            <w:tcW w:w="2065" w:type="dxa"/>
          </w:tcPr>
          <w:p w:rsidR="001D0991" w:rsidP="00026F9A" w14:paraId="20E49D09" w14:textId="77777777">
            <w:pPr>
              <w:jc w:val="center"/>
            </w:pPr>
            <w:r>
              <w:t>3</w:t>
            </w:r>
          </w:p>
        </w:tc>
        <w:tc>
          <w:tcPr>
            <w:tcW w:w="3510" w:type="dxa"/>
            <w:vAlign w:val="bottom"/>
          </w:tcPr>
          <w:p w:rsidR="001D0991" w:rsidRPr="00D20B72" w:rsidP="00026F9A" w14:paraId="7D6920FB" w14:textId="5D34E229">
            <w:pPr>
              <w:jc w:val="center"/>
              <w:rPr>
                <w:color w:val="000000"/>
              </w:rPr>
            </w:pPr>
            <w:r w:rsidRPr="005B00BD">
              <w:rPr>
                <w:color w:val="000000"/>
              </w:rPr>
              <w:t>$27</w:t>
            </w:r>
            <w:r>
              <w:rPr>
                <w:color w:val="000000"/>
              </w:rPr>
              <w:t>.7</w:t>
            </w:r>
          </w:p>
        </w:tc>
        <w:tc>
          <w:tcPr>
            <w:tcW w:w="3240" w:type="dxa"/>
            <w:vAlign w:val="bottom"/>
          </w:tcPr>
          <w:p w:rsidR="001D0991" w:rsidRPr="00BF484A" w:rsidP="00026F9A" w14:paraId="45233EA9" w14:textId="1A17367D">
            <w:pPr>
              <w:jc w:val="center"/>
              <w:rPr>
                <w:color w:val="000000"/>
              </w:rPr>
            </w:pPr>
            <w:r w:rsidRPr="00BF484A">
              <w:rPr>
                <w:color w:val="000000"/>
              </w:rPr>
              <w:t>$</w:t>
            </w:r>
            <w:r w:rsidR="007F36A1">
              <w:rPr>
                <w:color w:val="000000"/>
              </w:rPr>
              <w:t>42.9</w:t>
            </w:r>
          </w:p>
        </w:tc>
      </w:tr>
      <w:tr w14:paraId="47B1C2D9" w14:textId="77777777">
        <w:tblPrEx>
          <w:tblW w:w="8815" w:type="dxa"/>
          <w:tblLayout w:type="fixed"/>
          <w:tblLook w:val="04A0"/>
        </w:tblPrEx>
        <w:tc>
          <w:tcPr>
            <w:tcW w:w="2065" w:type="dxa"/>
          </w:tcPr>
          <w:p w:rsidR="007F36A1" w:rsidP="00026F9A" w14:paraId="315BDEBF" w14:textId="77777777">
            <w:pPr>
              <w:jc w:val="center"/>
            </w:pPr>
            <w:r>
              <w:t>4</w:t>
            </w:r>
          </w:p>
        </w:tc>
        <w:tc>
          <w:tcPr>
            <w:tcW w:w="3510" w:type="dxa"/>
            <w:vAlign w:val="bottom"/>
          </w:tcPr>
          <w:p w:rsidR="007F36A1" w:rsidRPr="00D20B72" w:rsidP="00026F9A" w14:paraId="2C7D1A22" w14:textId="0B6C5677">
            <w:pPr>
              <w:jc w:val="center"/>
              <w:rPr>
                <w:color w:val="000000"/>
              </w:rPr>
            </w:pPr>
            <w:r w:rsidRPr="005B00BD">
              <w:rPr>
                <w:color w:val="000000"/>
              </w:rPr>
              <w:t>$21</w:t>
            </w:r>
            <w:r>
              <w:rPr>
                <w:color w:val="000000"/>
              </w:rPr>
              <w:t>.6</w:t>
            </w:r>
          </w:p>
        </w:tc>
        <w:tc>
          <w:tcPr>
            <w:tcW w:w="3240" w:type="dxa"/>
            <w:vAlign w:val="bottom"/>
          </w:tcPr>
          <w:p w:rsidR="007F36A1" w:rsidRPr="00BF484A" w:rsidP="00026F9A" w14:paraId="56604E89" w14:textId="1AFCDF6E">
            <w:pPr>
              <w:jc w:val="center"/>
              <w:rPr>
                <w:color w:val="000000"/>
              </w:rPr>
            </w:pPr>
            <w:r w:rsidRPr="00BF484A">
              <w:rPr>
                <w:color w:val="000000"/>
              </w:rPr>
              <w:t>$</w:t>
            </w:r>
            <w:r>
              <w:rPr>
                <w:color w:val="000000"/>
              </w:rPr>
              <w:t>42.9</w:t>
            </w:r>
          </w:p>
        </w:tc>
      </w:tr>
      <w:tr w14:paraId="6D092A8E" w14:textId="77777777">
        <w:tblPrEx>
          <w:tblW w:w="8815" w:type="dxa"/>
          <w:tblLayout w:type="fixed"/>
          <w:tblLook w:val="04A0"/>
        </w:tblPrEx>
        <w:tc>
          <w:tcPr>
            <w:tcW w:w="2065" w:type="dxa"/>
          </w:tcPr>
          <w:p w:rsidR="007F36A1" w:rsidP="00026F9A" w14:paraId="098CD9F3" w14:textId="77777777">
            <w:pPr>
              <w:jc w:val="center"/>
            </w:pPr>
            <w:r>
              <w:t>5</w:t>
            </w:r>
          </w:p>
        </w:tc>
        <w:tc>
          <w:tcPr>
            <w:tcW w:w="3510" w:type="dxa"/>
            <w:vAlign w:val="bottom"/>
          </w:tcPr>
          <w:p w:rsidR="007F36A1" w:rsidRPr="00D20B72" w:rsidP="00026F9A" w14:paraId="7B91EDF4" w14:textId="0BCE8524">
            <w:pPr>
              <w:jc w:val="center"/>
              <w:rPr>
                <w:color w:val="000000"/>
              </w:rPr>
            </w:pPr>
            <w:r w:rsidRPr="005B00BD">
              <w:rPr>
                <w:color w:val="000000"/>
              </w:rPr>
              <w:t>$21</w:t>
            </w:r>
            <w:r>
              <w:rPr>
                <w:color w:val="000000"/>
              </w:rPr>
              <w:t>.6</w:t>
            </w:r>
          </w:p>
        </w:tc>
        <w:tc>
          <w:tcPr>
            <w:tcW w:w="3240" w:type="dxa"/>
            <w:vAlign w:val="bottom"/>
          </w:tcPr>
          <w:p w:rsidR="007F36A1" w:rsidRPr="00BF484A" w:rsidP="00026F9A" w14:paraId="2862B010" w14:textId="167FD693">
            <w:pPr>
              <w:jc w:val="center"/>
              <w:rPr>
                <w:color w:val="000000"/>
              </w:rPr>
            </w:pPr>
            <w:r w:rsidRPr="00BF484A">
              <w:rPr>
                <w:color w:val="000000"/>
              </w:rPr>
              <w:t>$</w:t>
            </w:r>
            <w:r>
              <w:rPr>
                <w:color w:val="000000"/>
              </w:rPr>
              <w:t>42.9</w:t>
            </w:r>
          </w:p>
        </w:tc>
      </w:tr>
      <w:tr w14:paraId="613405BA" w14:textId="77777777">
        <w:tblPrEx>
          <w:tblW w:w="8815" w:type="dxa"/>
          <w:tblLayout w:type="fixed"/>
          <w:tblLook w:val="04A0"/>
        </w:tblPrEx>
        <w:tc>
          <w:tcPr>
            <w:tcW w:w="2065" w:type="dxa"/>
          </w:tcPr>
          <w:p w:rsidR="007F36A1" w:rsidP="00026F9A" w14:paraId="13B27423" w14:textId="77777777">
            <w:pPr>
              <w:jc w:val="center"/>
            </w:pPr>
            <w:r>
              <w:t>6</w:t>
            </w:r>
          </w:p>
        </w:tc>
        <w:tc>
          <w:tcPr>
            <w:tcW w:w="3510" w:type="dxa"/>
            <w:vAlign w:val="bottom"/>
          </w:tcPr>
          <w:p w:rsidR="007F36A1" w:rsidRPr="00D20B72" w:rsidP="00026F9A" w14:paraId="401E2194" w14:textId="54D35541">
            <w:pPr>
              <w:jc w:val="center"/>
              <w:rPr>
                <w:color w:val="000000"/>
              </w:rPr>
            </w:pPr>
            <w:r w:rsidRPr="005B00BD">
              <w:rPr>
                <w:color w:val="000000"/>
              </w:rPr>
              <w:t>$21</w:t>
            </w:r>
            <w:r>
              <w:rPr>
                <w:color w:val="000000"/>
              </w:rPr>
              <w:t>.6</w:t>
            </w:r>
          </w:p>
        </w:tc>
        <w:tc>
          <w:tcPr>
            <w:tcW w:w="3240" w:type="dxa"/>
            <w:vAlign w:val="bottom"/>
          </w:tcPr>
          <w:p w:rsidR="007F36A1" w:rsidRPr="00BF484A" w:rsidP="00026F9A" w14:paraId="5EFB13D0" w14:textId="56CAD30E">
            <w:pPr>
              <w:jc w:val="center"/>
              <w:rPr>
                <w:color w:val="000000"/>
              </w:rPr>
            </w:pPr>
            <w:r w:rsidRPr="00BF484A">
              <w:rPr>
                <w:color w:val="000000"/>
              </w:rPr>
              <w:t>$</w:t>
            </w:r>
            <w:r>
              <w:rPr>
                <w:color w:val="000000"/>
              </w:rPr>
              <w:t>42.9</w:t>
            </w:r>
          </w:p>
        </w:tc>
      </w:tr>
      <w:tr w14:paraId="08921AA9" w14:textId="77777777">
        <w:tblPrEx>
          <w:tblW w:w="8815" w:type="dxa"/>
          <w:tblLayout w:type="fixed"/>
          <w:tblLook w:val="04A0"/>
        </w:tblPrEx>
        <w:tc>
          <w:tcPr>
            <w:tcW w:w="2065" w:type="dxa"/>
          </w:tcPr>
          <w:p w:rsidR="007F36A1" w:rsidP="00026F9A" w14:paraId="23CC9161" w14:textId="77777777">
            <w:pPr>
              <w:jc w:val="center"/>
            </w:pPr>
            <w:r>
              <w:t>7</w:t>
            </w:r>
          </w:p>
        </w:tc>
        <w:tc>
          <w:tcPr>
            <w:tcW w:w="3510" w:type="dxa"/>
            <w:vAlign w:val="bottom"/>
          </w:tcPr>
          <w:p w:rsidR="007F36A1" w:rsidRPr="00D20B72" w:rsidP="00026F9A" w14:paraId="79F203C9" w14:textId="7796AA82">
            <w:pPr>
              <w:jc w:val="center"/>
              <w:rPr>
                <w:color w:val="000000"/>
              </w:rPr>
            </w:pPr>
            <w:r w:rsidRPr="005B00BD">
              <w:rPr>
                <w:color w:val="000000"/>
              </w:rPr>
              <w:t>$21</w:t>
            </w:r>
            <w:r>
              <w:rPr>
                <w:color w:val="000000"/>
              </w:rPr>
              <w:t>.6</w:t>
            </w:r>
          </w:p>
        </w:tc>
        <w:tc>
          <w:tcPr>
            <w:tcW w:w="3240" w:type="dxa"/>
            <w:vAlign w:val="bottom"/>
          </w:tcPr>
          <w:p w:rsidR="007F36A1" w:rsidRPr="00BF484A" w:rsidP="00026F9A" w14:paraId="54883625" w14:textId="3DAC05B6">
            <w:pPr>
              <w:jc w:val="center"/>
              <w:rPr>
                <w:color w:val="000000"/>
              </w:rPr>
            </w:pPr>
            <w:r w:rsidRPr="00BF484A">
              <w:rPr>
                <w:color w:val="000000"/>
              </w:rPr>
              <w:t>$</w:t>
            </w:r>
            <w:r>
              <w:rPr>
                <w:color w:val="000000"/>
              </w:rPr>
              <w:t>42.9</w:t>
            </w:r>
          </w:p>
        </w:tc>
      </w:tr>
      <w:tr w14:paraId="3FE16F9B" w14:textId="77777777">
        <w:tblPrEx>
          <w:tblW w:w="8815" w:type="dxa"/>
          <w:tblLayout w:type="fixed"/>
          <w:tblLook w:val="04A0"/>
        </w:tblPrEx>
        <w:tc>
          <w:tcPr>
            <w:tcW w:w="2065" w:type="dxa"/>
          </w:tcPr>
          <w:p w:rsidR="007F36A1" w:rsidP="00026F9A" w14:paraId="68158A7A" w14:textId="77777777">
            <w:pPr>
              <w:jc w:val="center"/>
            </w:pPr>
            <w:r>
              <w:t>8</w:t>
            </w:r>
          </w:p>
        </w:tc>
        <w:tc>
          <w:tcPr>
            <w:tcW w:w="3510" w:type="dxa"/>
            <w:vAlign w:val="bottom"/>
          </w:tcPr>
          <w:p w:rsidR="007F36A1" w:rsidRPr="00D20B72" w:rsidP="00026F9A" w14:paraId="1D6E564B" w14:textId="1200711F">
            <w:pPr>
              <w:jc w:val="center"/>
              <w:rPr>
                <w:color w:val="000000"/>
              </w:rPr>
            </w:pPr>
            <w:r w:rsidRPr="005B00BD">
              <w:rPr>
                <w:color w:val="000000"/>
              </w:rPr>
              <w:t>$21</w:t>
            </w:r>
            <w:r>
              <w:rPr>
                <w:color w:val="000000"/>
              </w:rPr>
              <w:t>.6</w:t>
            </w:r>
          </w:p>
        </w:tc>
        <w:tc>
          <w:tcPr>
            <w:tcW w:w="3240" w:type="dxa"/>
            <w:vAlign w:val="bottom"/>
          </w:tcPr>
          <w:p w:rsidR="007F36A1" w:rsidRPr="00BF484A" w:rsidP="00026F9A" w14:paraId="2CF14B45" w14:textId="49F82210">
            <w:pPr>
              <w:jc w:val="center"/>
              <w:rPr>
                <w:color w:val="000000"/>
              </w:rPr>
            </w:pPr>
            <w:r w:rsidRPr="00BF484A">
              <w:rPr>
                <w:color w:val="000000"/>
              </w:rPr>
              <w:t>$</w:t>
            </w:r>
            <w:r>
              <w:rPr>
                <w:color w:val="000000"/>
              </w:rPr>
              <w:t>42.9</w:t>
            </w:r>
          </w:p>
        </w:tc>
      </w:tr>
      <w:tr w14:paraId="11E3A5A2" w14:textId="77777777">
        <w:tblPrEx>
          <w:tblW w:w="8815" w:type="dxa"/>
          <w:tblLayout w:type="fixed"/>
          <w:tblLook w:val="04A0"/>
        </w:tblPrEx>
        <w:tc>
          <w:tcPr>
            <w:tcW w:w="2065" w:type="dxa"/>
          </w:tcPr>
          <w:p w:rsidR="007F36A1" w:rsidP="00026F9A" w14:paraId="46836978" w14:textId="77777777">
            <w:pPr>
              <w:jc w:val="center"/>
            </w:pPr>
            <w:r>
              <w:t>9</w:t>
            </w:r>
          </w:p>
        </w:tc>
        <w:tc>
          <w:tcPr>
            <w:tcW w:w="3510" w:type="dxa"/>
            <w:vAlign w:val="bottom"/>
          </w:tcPr>
          <w:p w:rsidR="007F36A1" w:rsidRPr="00D20B72" w:rsidP="00026F9A" w14:paraId="3A720A78" w14:textId="55DC8E81">
            <w:pPr>
              <w:jc w:val="center"/>
              <w:rPr>
                <w:color w:val="000000"/>
              </w:rPr>
            </w:pPr>
            <w:r w:rsidRPr="005B00BD">
              <w:rPr>
                <w:color w:val="000000"/>
              </w:rPr>
              <w:t>$21</w:t>
            </w:r>
            <w:r>
              <w:rPr>
                <w:color w:val="000000"/>
              </w:rPr>
              <w:t>.6</w:t>
            </w:r>
          </w:p>
        </w:tc>
        <w:tc>
          <w:tcPr>
            <w:tcW w:w="3240" w:type="dxa"/>
            <w:vAlign w:val="bottom"/>
          </w:tcPr>
          <w:p w:rsidR="007F36A1" w:rsidRPr="00BF484A" w:rsidP="00026F9A" w14:paraId="44086A52" w14:textId="6D6BE209">
            <w:pPr>
              <w:jc w:val="center"/>
              <w:rPr>
                <w:color w:val="000000"/>
              </w:rPr>
            </w:pPr>
            <w:r w:rsidRPr="00BF484A">
              <w:rPr>
                <w:color w:val="000000"/>
              </w:rPr>
              <w:t>$</w:t>
            </w:r>
            <w:r>
              <w:rPr>
                <w:color w:val="000000"/>
              </w:rPr>
              <w:t>42.9</w:t>
            </w:r>
          </w:p>
        </w:tc>
      </w:tr>
      <w:tr w14:paraId="6F724E23" w14:textId="77777777">
        <w:tblPrEx>
          <w:tblW w:w="8815" w:type="dxa"/>
          <w:tblLayout w:type="fixed"/>
          <w:tblLook w:val="04A0"/>
        </w:tblPrEx>
        <w:trPr>
          <w:trHeight w:val="277"/>
        </w:trPr>
        <w:tc>
          <w:tcPr>
            <w:tcW w:w="2065" w:type="dxa"/>
          </w:tcPr>
          <w:p w:rsidR="003F5DCF" w:rsidRPr="00F16FAC" w:rsidP="00026F9A" w14:paraId="6555E328" w14:textId="77777777">
            <w:pPr>
              <w:jc w:val="center"/>
            </w:pPr>
            <w:r>
              <w:t>Annualized, 3%</w:t>
            </w:r>
          </w:p>
        </w:tc>
        <w:tc>
          <w:tcPr>
            <w:tcW w:w="3510" w:type="dxa"/>
            <w:vAlign w:val="bottom"/>
          </w:tcPr>
          <w:p w:rsidR="003F5DCF" w:rsidRPr="00165123" w:rsidP="00026F9A" w14:paraId="2AF87549" w14:textId="5ECB5EB7">
            <w:pPr>
              <w:jc w:val="center"/>
              <w:rPr>
                <w:rFonts w:eastAsia="Times New Roman"/>
                <w:color w:val="000000"/>
              </w:rPr>
            </w:pPr>
            <w:r w:rsidRPr="00583451">
              <w:rPr>
                <w:color w:val="000000"/>
              </w:rPr>
              <w:t>$</w:t>
            </w:r>
            <w:r>
              <w:rPr>
                <w:color w:val="000000"/>
              </w:rPr>
              <w:t>1</w:t>
            </w:r>
            <w:r w:rsidR="001D0991">
              <w:rPr>
                <w:color w:val="000000"/>
              </w:rPr>
              <w:t>9.8</w:t>
            </w:r>
          </w:p>
        </w:tc>
        <w:tc>
          <w:tcPr>
            <w:tcW w:w="3240" w:type="dxa"/>
            <w:vAlign w:val="bottom"/>
          </w:tcPr>
          <w:p w:rsidR="003F5DCF" w:rsidRPr="00D771D8" w:rsidP="00026F9A" w14:paraId="18B83FBF" w14:textId="3AFD7E9A">
            <w:pPr>
              <w:jc w:val="center"/>
              <w:rPr>
                <w:color w:val="000000"/>
              </w:rPr>
            </w:pPr>
            <w:r w:rsidRPr="00F41467">
              <w:rPr>
                <w:color w:val="000000"/>
              </w:rPr>
              <w:t>$</w:t>
            </w:r>
            <w:r>
              <w:rPr>
                <w:color w:val="000000"/>
              </w:rPr>
              <w:t>3</w:t>
            </w:r>
            <w:r w:rsidR="00523E88">
              <w:rPr>
                <w:color w:val="000000"/>
              </w:rPr>
              <w:t>6.1</w:t>
            </w:r>
          </w:p>
        </w:tc>
      </w:tr>
      <w:tr w14:paraId="327B9A76" w14:textId="77777777">
        <w:tblPrEx>
          <w:tblW w:w="8815" w:type="dxa"/>
          <w:tblLayout w:type="fixed"/>
          <w:tblLook w:val="04A0"/>
        </w:tblPrEx>
        <w:trPr>
          <w:trHeight w:val="277"/>
        </w:trPr>
        <w:tc>
          <w:tcPr>
            <w:tcW w:w="2065" w:type="dxa"/>
          </w:tcPr>
          <w:p w:rsidR="003F5DCF" w:rsidP="00026F9A" w14:paraId="0F2C870F" w14:textId="77777777">
            <w:pPr>
              <w:jc w:val="center"/>
            </w:pPr>
            <w:r>
              <w:t>Annualized, 7%</w:t>
            </w:r>
          </w:p>
        </w:tc>
        <w:tc>
          <w:tcPr>
            <w:tcW w:w="3510" w:type="dxa"/>
            <w:vAlign w:val="bottom"/>
          </w:tcPr>
          <w:p w:rsidR="003F5DCF" w:rsidRPr="00165123" w:rsidP="00026F9A" w14:paraId="3A46051E" w14:textId="46121094">
            <w:pPr>
              <w:jc w:val="center"/>
              <w:rPr>
                <w:color w:val="000000"/>
              </w:rPr>
            </w:pPr>
            <w:r w:rsidRPr="00583451">
              <w:rPr>
                <w:color w:val="000000"/>
              </w:rPr>
              <w:t>$</w:t>
            </w:r>
            <w:r w:rsidR="001D0991">
              <w:rPr>
                <w:color w:val="000000"/>
              </w:rPr>
              <w:t>20.1</w:t>
            </w:r>
          </w:p>
        </w:tc>
        <w:tc>
          <w:tcPr>
            <w:tcW w:w="3240" w:type="dxa"/>
            <w:vAlign w:val="bottom"/>
          </w:tcPr>
          <w:p w:rsidR="003F5DCF" w:rsidRPr="00D771D8" w:rsidP="00026F9A" w14:paraId="2B3F325B" w14:textId="3E12DAAD">
            <w:pPr>
              <w:jc w:val="center"/>
              <w:rPr>
                <w:color w:val="000000"/>
              </w:rPr>
            </w:pPr>
            <w:r w:rsidRPr="00F41467">
              <w:rPr>
                <w:color w:val="000000"/>
              </w:rPr>
              <w:t>$</w:t>
            </w:r>
            <w:r>
              <w:rPr>
                <w:color w:val="000000"/>
              </w:rPr>
              <w:t>3</w:t>
            </w:r>
            <w:r w:rsidR="00523E88">
              <w:rPr>
                <w:color w:val="000000"/>
              </w:rPr>
              <w:t>5.3</w:t>
            </w:r>
          </w:p>
        </w:tc>
      </w:tr>
    </w:tbl>
    <w:p w:rsidR="003F5DCF" w:rsidP="00026F9A" w14:paraId="4AE16CB2" w14:textId="77777777"/>
    <w:p w:rsidR="00066B1A" w:rsidP="00066B1A" w14:paraId="2E69E660" w14:textId="60EEEC7E">
      <w:pPr>
        <w:spacing w:line="480" w:lineRule="auto"/>
        <w:ind w:firstLine="720"/>
      </w:pPr>
      <w:r>
        <w:t xml:space="preserve">Table 36 presents a comparison of the primary estimates of costs by category in this analysis for this rule and the 2015 </w:t>
      </w:r>
      <w:r w:rsidR="00026B9D">
        <w:t xml:space="preserve">produce safety final rule </w:t>
      </w:r>
      <w:r>
        <w:t>pre-harvest water quality and testing requirements. The</w:t>
      </w:r>
      <w:r w:rsidRPr="00084D69">
        <w:t xml:space="preserve"> increase in costs associated with this rule compared to the</w:t>
      </w:r>
      <w:r w:rsidR="001D7AF7">
        <w:t xml:space="preserve"> </w:t>
      </w:r>
      <w:r w:rsidR="00460EC7">
        <w:t>uniform</w:t>
      </w:r>
      <w:r w:rsidRPr="00084D69">
        <w:t xml:space="preserve"> 2015 pre-harvest agricultural water testing requirements is largely a result of more mitigation occurring in response to findings from pre-harvest agricultural water assessments than as a result of the previous testing requirements.</w:t>
      </w:r>
      <w:r>
        <w:t xml:space="preserve"> </w:t>
      </w:r>
    </w:p>
    <w:p w:rsidR="00287950" w14:paraId="30D19D1D" w14:textId="77777777">
      <w:pPr>
        <w:spacing w:line="276" w:lineRule="auto"/>
        <w:rPr>
          <w:b/>
        </w:rPr>
      </w:pPr>
      <w:r>
        <w:rPr>
          <w:b/>
        </w:rPr>
        <w:br w:type="page"/>
      </w:r>
    </w:p>
    <w:p w:rsidR="00066B1A" w:rsidRPr="00B90451" w:rsidP="00066B1A" w14:paraId="2FB7BB21" w14:textId="58EDAB4D">
      <w:pPr>
        <w:rPr>
          <w:b/>
        </w:rPr>
      </w:pPr>
      <w:r w:rsidRPr="006F3EEB">
        <w:rPr>
          <w:b/>
        </w:rPr>
        <w:t xml:space="preserve">Table </w:t>
      </w:r>
      <w:r>
        <w:rPr>
          <w:b/>
        </w:rPr>
        <w:t>36</w:t>
      </w:r>
      <w:r w:rsidRPr="00B90451">
        <w:rPr>
          <w:b/>
        </w:rPr>
        <w:t xml:space="preserve">: </w:t>
      </w:r>
      <w:r>
        <w:rPr>
          <w:b/>
        </w:rPr>
        <w:t>Breakdown by Category of the Primary Estimate of</w:t>
      </w:r>
      <w:r w:rsidRPr="00B90451">
        <w:rPr>
          <w:b/>
        </w:rPr>
        <w:t xml:space="preserve"> </w:t>
      </w:r>
      <w:r>
        <w:rPr>
          <w:b/>
        </w:rPr>
        <w:t>Annualized C</w:t>
      </w:r>
      <w:r w:rsidRPr="00B90451">
        <w:rPr>
          <w:b/>
        </w:rPr>
        <w:t>ost of th</w:t>
      </w:r>
      <w:r>
        <w:rPr>
          <w:b/>
        </w:rPr>
        <w:t>is Final</w:t>
      </w:r>
      <w:r w:rsidRPr="00B90451">
        <w:rPr>
          <w:b/>
        </w:rPr>
        <w:t xml:space="preserve"> </w:t>
      </w:r>
      <w:r>
        <w:rPr>
          <w:b/>
        </w:rPr>
        <w:t>R</w:t>
      </w:r>
      <w:r w:rsidRPr="00B90451">
        <w:rPr>
          <w:b/>
        </w:rPr>
        <w:t xml:space="preserve">ule </w:t>
      </w:r>
      <w:r>
        <w:rPr>
          <w:b/>
        </w:rPr>
        <w:t>Versus the Pre-harvest Agricultural Water Provisions in the 2015 Produce Safety Final Rule, Relative to no Pre-harvest Agricultural Water Provisions</w:t>
      </w:r>
      <w:r w:rsidRPr="00B90451">
        <w:rPr>
          <w:b/>
        </w:rPr>
        <w:t xml:space="preserve">, </w:t>
      </w:r>
      <w:r>
        <w:rPr>
          <w:b/>
        </w:rPr>
        <w:t>A</w:t>
      </w:r>
      <w:r w:rsidRPr="00B90451">
        <w:rPr>
          <w:b/>
        </w:rPr>
        <w:t xml:space="preserve">ll </w:t>
      </w:r>
      <w:r>
        <w:rPr>
          <w:b/>
        </w:rPr>
        <w:t>F</w:t>
      </w:r>
      <w:r w:rsidRPr="00B90451">
        <w:rPr>
          <w:b/>
        </w:rPr>
        <w:t>arms</w:t>
      </w:r>
      <w:r>
        <w:rPr>
          <w:b/>
        </w:rPr>
        <w:t xml:space="preserve"> (millions 2022$)</w:t>
      </w:r>
    </w:p>
    <w:tbl>
      <w:tblPr>
        <w:tblStyle w:val="TableGrid"/>
        <w:tblW w:w="8815" w:type="dxa"/>
        <w:tblLayout w:type="fixed"/>
        <w:tblLook w:val="04A0"/>
      </w:tblPr>
      <w:tblGrid>
        <w:gridCol w:w="2875"/>
        <w:gridCol w:w="3060"/>
        <w:gridCol w:w="2880"/>
      </w:tblGrid>
      <w:tr w14:paraId="7FA17258" w14:textId="77777777">
        <w:tblPrEx>
          <w:tblW w:w="8815" w:type="dxa"/>
          <w:tblLayout w:type="fixed"/>
          <w:tblLook w:val="04A0"/>
        </w:tblPrEx>
        <w:tc>
          <w:tcPr>
            <w:tcW w:w="2875" w:type="dxa"/>
          </w:tcPr>
          <w:p w:rsidR="00066B1A" w:rsidRPr="00B90451" w14:paraId="3692BB0E" w14:textId="77777777">
            <w:pPr>
              <w:jc w:val="center"/>
              <w:rPr>
                <w:b/>
              </w:rPr>
            </w:pPr>
          </w:p>
        </w:tc>
        <w:tc>
          <w:tcPr>
            <w:tcW w:w="3060" w:type="dxa"/>
          </w:tcPr>
          <w:p w:rsidR="00066B1A" w:rsidRPr="00B90451" w14:paraId="361EC84D" w14:textId="77777777">
            <w:pPr>
              <w:jc w:val="center"/>
              <w:rPr>
                <w:b/>
              </w:rPr>
            </w:pPr>
            <w:r>
              <w:rPr>
                <w:b/>
              </w:rPr>
              <w:t>Estimated Cost by Category of the Pre-Harvest Agricultural Water Provisions in the 2015 Produce Safety Final Rule</w:t>
            </w:r>
          </w:p>
        </w:tc>
        <w:tc>
          <w:tcPr>
            <w:tcW w:w="2880" w:type="dxa"/>
          </w:tcPr>
          <w:p w:rsidR="00066B1A" w:rsidRPr="00B90451" w14:paraId="55F6FEFF" w14:textId="77777777">
            <w:pPr>
              <w:jc w:val="center"/>
              <w:rPr>
                <w:b/>
              </w:rPr>
            </w:pPr>
            <w:r>
              <w:rPr>
                <w:b/>
              </w:rPr>
              <w:t>Estimated Cost by Category of this Final Rule</w:t>
            </w:r>
          </w:p>
        </w:tc>
      </w:tr>
      <w:tr w14:paraId="375FA738" w14:textId="77777777">
        <w:tblPrEx>
          <w:tblW w:w="8815" w:type="dxa"/>
          <w:tblLayout w:type="fixed"/>
          <w:tblLook w:val="04A0"/>
        </w:tblPrEx>
        <w:tc>
          <w:tcPr>
            <w:tcW w:w="2875" w:type="dxa"/>
          </w:tcPr>
          <w:p w:rsidR="00066B1A" w14:paraId="6FACA7E1" w14:textId="77777777">
            <w:pPr>
              <w:jc w:val="center"/>
            </w:pPr>
            <w:r>
              <w:t>Reading the Rule</w:t>
            </w:r>
          </w:p>
        </w:tc>
        <w:tc>
          <w:tcPr>
            <w:tcW w:w="3060" w:type="dxa"/>
            <w:vAlign w:val="bottom"/>
          </w:tcPr>
          <w:p w:rsidR="00066B1A" w:rsidRPr="00D20B72" w14:paraId="4DB16424" w14:textId="77777777">
            <w:pPr>
              <w:jc w:val="center"/>
              <w:rPr>
                <w:rFonts w:eastAsia="Times New Roman"/>
                <w:color w:val="000000"/>
              </w:rPr>
            </w:pPr>
            <w:r w:rsidRPr="005B00BD">
              <w:rPr>
                <w:color w:val="000000"/>
              </w:rPr>
              <w:t>$0</w:t>
            </w:r>
          </w:p>
        </w:tc>
        <w:tc>
          <w:tcPr>
            <w:tcW w:w="2880" w:type="dxa"/>
            <w:vAlign w:val="bottom"/>
          </w:tcPr>
          <w:p w:rsidR="00066B1A" w:rsidRPr="00BF484A" w14:paraId="295B873B" w14:textId="77777777">
            <w:pPr>
              <w:jc w:val="center"/>
              <w:rPr>
                <w:color w:val="000000"/>
              </w:rPr>
            </w:pPr>
            <w:r w:rsidRPr="00BF484A">
              <w:rPr>
                <w:color w:val="000000"/>
              </w:rPr>
              <w:t>$2</w:t>
            </w:r>
            <w:r>
              <w:rPr>
                <w:color w:val="000000"/>
              </w:rPr>
              <w:t>.5</w:t>
            </w:r>
          </w:p>
        </w:tc>
      </w:tr>
      <w:tr w14:paraId="4F70C728" w14:textId="77777777">
        <w:tblPrEx>
          <w:tblW w:w="8815" w:type="dxa"/>
          <w:tblLayout w:type="fixed"/>
          <w:tblLook w:val="04A0"/>
        </w:tblPrEx>
        <w:tc>
          <w:tcPr>
            <w:tcW w:w="2875" w:type="dxa"/>
          </w:tcPr>
          <w:p w:rsidR="00066B1A" w14:paraId="6B9EDF71" w14:textId="77777777">
            <w:pPr>
              <w:jc w:val="center"/>
            </w:pPr>
            <w:r>
              <w:t>Conducting Testing or Assessment</w:t>
            </w:r>
          </w:p>
        </w:tc>
        <w:tc>
          <w:tcPr>
            <w:tcW w:w="3060" w:type="dxa"/>
            <w:vAlign w:val="bottom"/>
          </w:tcPr>
          <w:p w:rsidR="00066B1A" w:rsidRPr="00D20B72" w14:paraId="48EED28F" w14:textId="77777777">
            <w:pPr>
              <w:jc w:val="center"/>
              <w:rPr>
                <w:color w:val="000000"/>
              </w:rPr>
            </w:pPr>
            <w:r w:rsidRPr="005B00BD">
              <w:rPr>
                <w:color w:val="000000"/>
              </w:rPr>
              <w:t>$</w:t>
            </w:r>
            <w:r>
              <w:rPr>
                <w:color w:val="000000"/>
              </w:rPr>
              <w:t>15.0</w:t>
            </w:r>
          </w:p>
        </w:tc>
        <w:tc>
          <w:tcPr>
            <w:tcW w:w="2880" w:type="dxa"/>
            <w:vAlign w:val="bottom"/>
          </w:tcPr>
          <w:p w:rsidR="00066B1A" w:rsidRPr="00BF484A" w14:paraId="0D108FFE" w14:textId="77777777">
            <w:pPr>
              <w:jc w:val="center"/>
              <w:rPr>
                <w:color w:val="000000"/>
              </w:rPr>
            </w:pPr>
            <w:r w:rsidRPr="00BF484A">
              <w:rPr>
                <w:color w:val="000000"/>
              </w:rPr>
              <w:t>$</w:t>
            </w:r>
            <w:r>
              <w:rPr>
                <w:color w:val="000000"/>
              </w:rPr>
              <w:t>13.6</w:t>
            </w:r>
          </w:p>
        </w:tc>
      </w:tr>
      <w:tr w14:paraId="3878FF42" w14:textId="77777777">
        <w:tblPrEx>
          <w:tblW w:w="8815" w:type="dxa"/>
          <w:tblLayout w:type="fixed"/>
          <w:tblLook w:val="04A0"/>
        </w:tblPrEx>
        <w:tc>
          <w:tcPr>
            <w:tcW w:w="2875" w:type="dxa"/>
          </w:tcPr>
          <w:p w:rsidR="00066B1A" w14:paraId="3495391A" w14:textId="77777777">
            <w:pPr>
              <w:jc w:val="center"/>
            </w:pPr>
            <w:r>
              <w:t>Conducting Mitigation or Corrective Measures</w:t>
            </w:r>
          </w:p>
        </w:tc>
        <w:tc>
          <w:tcPr>
            <w:tcW w:w="3060" w:type="dxa"/>
            <w:vAlign w:val="bottom"/>
          </w:tcPr>
          <w:p w:rsidR="00066B1A" w:rsidRPr="00D20B72" w14:paraId="5BBC5FAD" w14:textId="77777777">
            <w:pPr>
              <w:jc w:val="center"/>
              <w:rPr>
                <w:color w:val="000000"/>
              </w:rPr>
            </w:pPr>
            <w:r w:rsidRPr="005B00BD">
              <w:rPr>
                <w:color w:val="000000"/>
              </w:rPr>
              <w:t>$1</w:t>
            </w:r>
            <w:r>
              <w:rPr>
                <w:color w:val="000000"/>
              </w:rPr>
              <w:t>.6</w:t>
            </w:r>
          </w:p>
        </w:tc>
        <w:tc>
          <w:tcPr>
            <w:tcW w:w="2880" w:type="dxa"/>
            <w:vAlign w:val="bottom"/>
          </w:tcPr>
          <w:p w:rsidR="00066B1A" w:rsidRPr="00BF484A" w14:paraId="64AF69C1" w14:textId="77777777">
            <w:pPr>
              <w:jc w:val="center"/>
              <w:rPr>
                <w:color w:val="000000"/>
              </w:rPr>
            </w:pPr>
            <w:r w:rsidRPr="00BF484A">
              <w:rPr>
                <w:color w:val="000000"/>
              </w:rPr>
              <w:t>$</w:t>
            </w:r>
            <w:r>
              <w:rPr>
                <w:color w:val="000000"/>
              </w:rPr>
              <w:t>14.0</w:t>
            </w:r>
          </w:p>
        </w:tc>
      </w:tr>
      <w:tr w14:paraId="1E5848E7" w14:textId="77777777">
        <w:tblPrEx>
          <w:tblW w:w="8815" w:type="dxa"/>
          <w:tblLayout w:type="fixed"/>
          <w:tblLook w:val="04A0"/>
        </w:tblPrEx>
        <w:tc>
          <w:tcPr>
            <w:tcW w:w="2875" w:type="dxa"/>
          </w:tcPr>
          <w:p w:rsidR="00066B1A" w14:paraId="14E56145" w14:textId="77777777">
            <w:pPr>
              <w:jc w:val="center"/>
            </w:pPr>
            <w:r>
              <w:t>Recordkeeping</w:t>
            </w:r>
          </w:p>
        </w:tc>
        <w:tc>
          <w:tcPr>
            <w:tcW w:w="3060" w:type="dxa"/>
            <w:vAlign w:val="bottom"/>
          </w:tcPr>
          <w:p w:rsidR="00066B1A" w:rsidRPr="00D20B72" w14:paraId="3ED142D2" w14:textId="77777777">
            <w:pPr>
              <w:jc w:val="center"/>
              <w:rPr>
                <w:color w:val="000000"/>
              </w:rPr>
            </w:pPr>
            <w:r w:rsidRPr="005B00BD">
              <w:rPr>
                <w:color w:val="000000"/>
              </w:rPr>
              <w:t>$2</w:t>
            </w:r>
            <w:r>
              <w:rPr>
                <w:color w:val="000000"/>
              </w:rPr>
              <w:t>.5</w:t>
            </w:r>
          </w:p>
        </w:tc>
        <w:tc>
          <w:tcPr>
            <w:tcW w:w="2880" w:type="dxa"/>
            <w:vAlign w:val="bottom"/>
          </w:tcPr>
          <w:p w:rsidR="00066B1A" w:rsidRPr="00BF484A" w14:paraId="7CFD5950" w14:textId="77777777">
            <w:pPr>
              <w:jc w:val="center"/>
              <w:rPr>
                <w:color w:val="000000"/>
              </w:rPr>
            </w:pPr>
            <w:r w:rsidRPr="00BF484A">
              <w:rPr>
                <w:color w:val="000000"/>
              </w:rPr>
              <w:t>$</w:t>
            </w:r>
            <w:r>
              <w:rPr>
                <w:color w:val="000000"/>
              </w:rPr>
              <w:t>6.2</w:t>
            </w:r>
          </w:p>
        </w:tc>
      </w:tr>
    </w:tbl>
    <w:p w:rsidR="00066B1A" w:rsidP="00026F9A" w14:paraId="2A323BF8" w14:textId="3BF17CB1">
      <w:pPr>
        <w:spacing w:line="480" w:lineRule="auto"/>
        <w:ind w:firstLine="720"/>
      </w:pPr>
      <w:r>
        <w:t>*</w:t>
      </w:r>
      <w:r>
        <w:rPr>
          <w:sz w:val="20"/>
          <w:szCs w:val="20"/>
        </w:rPr>
        <w:t>Numbers may not sum exactly to total costs presented in other tables due to rounding</w:t>
      </w:r>
    </w:p>
    <w:p w:rsidR="006E3AC9" w:rsidP="006E3AC9" w14:paraId="14F42341" w14:textId="06092AD5">
      <w:pPr>
        <w:spacing w:line="480" w:lineRule="auto"/>
        <w:ind w:firstLine="720"/>
      </w:pPr>
      <w:r>
        <w:t xml:space="preserve">Table 37 presents the estimated costs of this rule by year, relative to a state of the world in which the pre-harvest agricultural water microbial quality criteria and testing provisions in the 2015 </w:t>
      </w:r>
      <w:r w:rsidR="00026B9D">
        <w:t xml:space="preserve">produce safety final rule </w:t>
      </w:r>
      <w:r>
        <w:t xml:space="preserve">take effect. </w:t>
      </w:r>
      <w:r>
        <w:rPr>
          <w:rFonts w:eastAsia="Times New Roman"/>
        </w:rPr>
        <w:t>Our primary estimate of the total cost of the rule, relative to the 2015 pre-harvest agricultural water testing provisions, is $</w:t>
      </w:r>
      <w:r w:rsidRPr="3E4B3C0A">
        <w:rPr>
          <w:rFonts w:eastAsia="Times New Roman"/>
        </w:rPr>
        <w:t>1</w:t>
      </w:r>
      <w:r>
        <w:rPr>
          <w:rFonts w:eastAsia="Times New Roman"/>
        </w:rPr>
        <w:t>7.5 million annualized at a 3% discount rate; at a 7% discount rate, this primary estimate is $</w:t>
      </w:r>
      <w:r w:rsidRPr="3E4B3C0A">
        <w:rPr>
          <w:rFonts w:eastAsia="Times New Roman"/>
        </w:rPr>
        <w:t>1</w:t>
      </w:r>
      <w:r>
        <w:rPr>
          <w:rFonts w:eastAsia="Times New Roman"/>
        </w:rPr>
        <w:t xml:space="preserve">7.7 million annualized. </w:t>
      </w:r>
      <w:r>
        <w:t>We include 5th (“Low Estimate”) and 95th (“High Estimate”) percentile outcomes of the simulated burden as measures of uncertainty.</w:t>
      </w:r>
    </w:p>
    <w:p w:rsidR="009C7E00" w:rsidP="009C7E00" w14:paraId="0D6322A0" w14:textId="2986017F">
      <w:pPr>
        <w:spacing w:line="480" w:lineRule="auto"/>
        <w:ind w:firstLine="720"/>
      </w:pPr>
      <w:r>
        <w:t>Table 3</w:t>
      </w:r>
      <w:r w:rsidR="006E3AC9">
        <w:t>8</w:t>
      </w:r>
      <w:r>
        <w:t xml:space="preserve"> presents the estimated costs of this rule by year, relative to a state of the world in which there are no pre-harvest agricultural water provisions. </w:t>
      </w:r>
      <w:r>
        <w:rPr>
          <w:rFonts w:eastAsia="Times New Roman"/>
        </w:rPr>
        <w:t xml:space="preserve">Our primary estimate of the total cost of the rule is $36.1 million annualized at a 3% discount rate; at a 7% discount rate, this primary estimate is $35.3 million annualized. </w:t>
      </w:r>
      <w:r>
        <w:t>We include 5</w:t>
      </w:r>
      <w:r w:rsidRPr="0085215E">
        <w:rPr>
          <w:vertAlign w:val="superscript"/>
        </w:rPr>
        <w:t>th</w:t>
      </w:r>
      <w:r>
        <w:t xml:space="preserve"> (“Low Estimate”) and 95</w:t>
      </w:r>
      <w:r w:rsidRPr="0085215E">
        <w:rPr>
          <w:vertAlign w:val="superscript"/>
        </w:rPr>
        <w:t>th</w:t>
      </w:r>
      <w:r>
        <w:t xml:space="preserve"> (“High Estimate”) percentile outcomes of the simulated burden as measures of uncertainty.</w:t>
      </w:r>
    </w:p>
    <w:p w:rsidR="006E3AC9" w:rsidP="0097389B" w14:paraId="70F1DD7A" w14:textId="1A207BD4"/>
    <w:p w:rsidR="00E27649" w:rsidRPr="00B90451" w:rsidP="00E27649" w14:paraId="41C21857" w14:textId="433A6C83">
      <w:pPr>
        <w:rPr>
          <w:b/>
        </w:rPr>
      </w:pPr>
      <w:r w:rsidRPr="006F3EEB">
        <w:rPr>
          <w:b/>
        </w:rPr>
        <w:t xml:space="preserve">Table </w:t>
      </w:r>
      <w:r>
        <w:rPr>
          <w:b/>
        </w:rPr>
        <w:t>37</w:t>
      </w:r>
      <w:r w:rsidRPr="00B90451">
        <w:rPr>
          <w:b/>
        </w:rPr>
        <w:t xml:space="preserve">: </w:t>
      </w:r>
      <w:r>
        <w:rPr>
          <w:b/>
        </w:rPr>
        <w:t>Total</w:t>
      </w:r>
      <w:r w:rsidRPr="00B90451">
        <w:rPr>
          <w:b/>
        </w:rPr>
        <w:t xml:space="preserve"> </w:t>
      </w:r>
      <w:r>
        <w:rPr>
          <w:b/>
        </w:rPr>
        <w:t>C</w:t>
      </w:r>
      <w:r w:rsidRPr="00B90451">
        <w:rPr>
          <w:b/>
        </w:rPr>
        <w:t xml:space="preserve">ost of the </w:t>
      </w:r>
      <w:r>
        <w:rPr>
          <w:b/>
        </w:rPr>
        <w:t>R</w:t>
      </w:r>
      <w:r w:rsidRPr="00B90451">
        <w:rPr>
          <w:b/>
        </w:rPr>
        <w:t xml:space="preserve">ule by </w:t>
      </w:r>
      <w:r>
        <w:rPr>
          <w:b/>
        </w:rPr>
        <w:t>Y</w:t>
      </w:r>
      <w:r w:rsidRPr="00B90451">
        <w:rPr>
          <w:b/>
        </w:rPr>
        <w:t>ear</w:t>
      </w:r>
      <w:r>
        <w:rPr>
          <w:b/>
        </w:rPr>
        <w:t xml:space="preserve"> Relative to Pre-harvest Agricultural Water Testing Provisions in the 2015 Produce Safety Final Rule</w:t>
      </w:r>
      <w:r w:rsidRPr="00B90451">
        <w:rPr>
          <w:b/>
        </w:rPr>
        <w:t xml:space="preserve">, </w:t>
      </w:r>
      <w:r>
        <w:rPr>
          <w:b/>
        </w:rPr>
        <w:t>A</w:t>
      </w:r>
      <w:r w:rsidRPr="00B90451">
        <w:rPr>
          <w:b/>
        </w:rPr>
        <w:t xml:space="preserve">ll </w:t>
      </w:r>
      <w:r>
        <w:rPr>
          <w:b/>
        </w:rPr>
        <w:t>F</w:t>
      </w:r>
      <w:r w:rsidRPr="00B90451">
        <w:rPr>
          <w:b/>
        </w:rPr>
        <w:t>arms</w:t>
      </w:r>
      <w:r>
        <w:rPr>
          <w:b/>
        </w:rPr>
        <w:t xml:space="preserve"> (millions 2022$)</w:t>
      </w:r>
    </w:p>
    <w:tbl>
      <w:tblPr>
        <w:tblStyle w:val="TableGrid"/>
        <w:tblW w:w="0" w:type="auto"/>
        <w:tblLayout w:type="fixed"/>
        <w:tblLook w:val="04A0"/>
      </w:tblPr>
      <w:tblGrid>
        <w:gridCol w:w="2245"/>
        <w:gridCol w:w="1980"/>
        <w:gridCol w:w="2340"/>
        <w:gridCol w:w="2065"/>
      </w:tblGrid>
      <w:tr w14:paraId="0F769365" w14:textId="77777777">
        <w:tblPrEx>
          <w:tblW w:w="0" w:type="auto"/>
          <w:tblLayout w:type="fixed"/>
          <w:tblLook w:val="04A0"/>
        </w:tblPrEx>
        <w:tc>
          <w:tcPr>
            <w:tcW w:w="2245" w:type="dxa"/>
          </w:tcPr>
          <w:p w:rsidR="00E27649" w:rsidRPr="00B90451" w14:paraId="4E2CA7F5" w14:textId="77777777">
            <w:pPr>
              <w:jc w:val="center"/>
              <w:rPr>
                <w:b/>
              </w:rPr>
            </w:pPr>
            <w:r w:rsidRPr="00B90451">
              <w:rPr>
                <w:b/>
              </w:rPr>
              <w:t>Years after publication</w:t>
            </w:r>
          </w:p>
        </w:tc>
        <w:tc>
          <w:tcPr>
            <w:tcW w:w="1980" w:type="dxa"/>
          </w:tcPr>
          <w:p w:rsidR="00E27649" w:rsidRPr="00B90451" w14:paraId="2234407E" w14:textId="77777777">
            <w:pPr>
              <w:jc w:val="center"/>
              <w:rPr>
                <w:b/>
              </w:rPr>
            </w:pPr>
            <w:r w:rsidRPr="00B90451">
              <w:rPr>
                <w:b/>
              </w:rPr>
              <w:t>Low</w:t>
            </w:r>
          </w:p>
        </w:tc>
        <w:tc>
          <w:tcPr>
            <w:tcW w:w="2340" w:type="dxa"/>
          </w:tcPr>
          <w:p w:rsidR="00E27649" w:rsidRPr="00B90451" w14:paraId="499AD71F" w14:textId="77777777">
            <w:pPr>
              <w:jc w:val="center"/>
              <w:rPr>
                <w:b/>
              </w:rPr>
            </w:pPr>
            <w:r w:rsidRPr="00B90451">
              <w:rPr>
                <w:b/>
              </w:rPr>
              <w:t>Primary</w:t>
            </w:r>
          </w:p>
        </w:tc>
        <w:tc>
          <w:tcPr>
            <w:tcW w:w="2065" w:type="dxa"/>
          </w:tcPr>
          <w:p w:rsidR="00E27649" w:rsidRPr="00B90451" w14:paraId="543BA6B0" w14:textId="77777777">
            <w:pPr>
              <w:jc w:val="center"/>
              <w:rPr>
                <w:b/>
              </w:rPr>
            </w:pPr>
            <w:r w:rsidRPr="00B90451">
              <w:rPr>
                <w:b/>
              </w:rPr>
              <w:t>High</w:t>
            </w:r>
          </w:p>
        </w:tc>
      </w:tr>
      <w:tr w14:paraId="5FFD2EAD" w14:textId="77777777">
        <w:tblPrEx>
          <w:tblW w:w="0" w:type="auto"/>
          <w:tblLayout w:type="fixed"/>
          <w:tblLook w:val="04A0"/>
        </w:tblPrEx>
        <w:tc>
          <w:tcPr>
            <w:tcW w:w="2245" w:type="dxa"/>
          </w:tcPr>
          <w:p w:rsidR="00E27649" w14:paraId="53013AEB" w14:textId="77777777">
            <w:pPr>
              <w:jc w:val="center"/>
            </w:pPr>
            <w:r>
              <w:t>0</w:t>
            </w:r>
          </w:p>
        </w:tc>
        <w:tc>
          <w:tcPr>
            <w:tcW w:w="1980" w:type="dxa"/>
            <w:vAlign w:val="bottom"/>
          </w:tcPr>
          <w:p w:rsidR="00E27649" w:rsidRPr="003D136D" w14:paraId="713E302C" w14:textId="77777777">
            <w:pPr>
              <w:jc w:val="center"/>
              <w:rPr>
                <w:rFonts w:eastAsia="Times New Roman"/>
                <w:color w:val="000000"/>
              </w:rPr>
            </w:pPr>
            <w:r w:rsidRPr="00491301">
              <w:rPr>
                <w:color w:val="000000"/>
              </w:rPr>
              <w:t>$20</w:t>
            </w:r>
            <w:r>
              <w:rPr>
                <w:color w:val="000000"/>
              </w:rPr>
              <w:t>.6</w:t>
            </w:r>
          </w:p>
        </w:tc>
        <w:tc>
          <w:tcPr>
            <w:tcW w:w="2340" w:type="dxa"/>
            <w:vAlign w:val="bottom"/>
          </w:tcPr>
          <w:p w:rsidR="00E27649" w:rsidRPr="003D136D" w14:paraId="79CAE9EA" w14:textId="77777777">
            <w:pPr>
              <w:jc w:val="center"/>
              <w:rPr>
                <w:color w:val="000000"/>
              </w:rPr>
            </w:pPr>
            <w:r w:rsidRPr="00491301">
              <w:rPr>
                <w:color w:val="000000"/>
              </w:rPr>
              <w:t>$21</w:t>
            </w:r>
            <w:r>
              <w:rPr>
                <w:color w:val="000000"/>
              </w:rPr>
              <w:t>.6</w:t>
            </w:r>
          </w:p>
        </w:tc>
        <w:tc>
          <w:tcPr>
            <w:tcW w:w="2065" w:type="dxa"/>
            <w:vAlign w:val="bottom"/>
          </w:tcPr>
          <w:p w:rsidR="00E27649" w:rsidRPr="003D136D" w14:paraId="787C9F6E" w14:textId="77777777">
            <w:pPr>
              <w:jc w:val="center"/>
              <w:rPr>
                <w:color w:val="000000"/>
              </w:rPr>
            </w:pPr>
            <w:r w:rsidRPr="00491301">
              <w:rPr>
                <w:color w:val="000000"/>
              </w:rPr>
              <w:t>$22</w:t>
            </w:r>
            <w:r>
              <w:rPr>
                <w:color w:val="000000"/>
              </w:rPr>
              <w:t>.7</w:t>
            </w:r>
          </w:p>
        </w:tc>
      </w:tr>
      <w:tr w14:paraId="1C7D9ED8" w14:textId="77777777">
        <w:tblPrEx>
          <w:tblW w:w="0" w:type="auto"/>
          <w:tblLayout w:type="fixed"/>
          <w:tblLook w:val="04A0"/>
        </w:tblPrEx>
        <w:tc>
          <w:tcPr>
            <w:tcW w:w="2245" w:type="dxa"/>
          </w:tcPr>
          <w:p w:rsidR="00E27649" w14:paraId="0EF49C76" w14:textId="77777777">
            <w:pPr>
              <w:jc w:val="center"/>
            </w:pPr>
            <w:r>
              <w:t>1</w:t>
            </w:r>
          </w:p>
        </w:tc>
        <w:tc>
          <w:tcPr>
            <w:tcW w:w="1980" w:type="dxa"/>
            <w:vAlign w:val="bottom"/>
          </w:tcPr>
          <w:p w:rsidR="00E27649" w:rsidRPr="003D136D" w14:paraId="592306C6" w14:textId="77777777">
            <w:pPr>
              <w:jc w:val="center"/>
              <w:rPr>
                <w:color w:val="000000"/>
              </w:rPr>
            </w:pPr>
            <w:r w:rsidRPr="00491301">
              <w:rPr>
                <w:color w:val="000000"/>
              </w:rPr>
              <w:t>-$16</w:t>
            </w:r>
            <w:r>
              <w:rPr>
                <w:color w:val="000000"/>
              </w:rPr>
              <w:t>.0</w:t>
            </w:r>
          </w:p>
        </w:tc>
        <w:tc>
          <w:tcPr>
            <w:tcW w:w="2340" w:type="dxa"/>
            <w:vAlign w:val="bottom"/>
          </w:tcPr>
          <w:p w:rsidR="00E27649" w:rsidRPr="003D136D" w14:paraId="2FC7C4B4" w14:textId="77777777">
            <w:pPr>
              <w:jc w:val="center"/>
              <w:rPr>
                <w:color w:val="000000"/>
              </w:rPr>
            </w:pPr>
            <w:r w:rsidRPr="00491301">
              <w:rPr>
                <w:color w:val="000000"/>
              </w:rPr>
              <w:t>-$</w:t>
            </w:r>
            <w:r>
              <w:rPr>
                <w:color w:val="000000"/>
              </w:rPr>
              <w:t>0.9</w:t>
            </w:r>
          </w:p>
        </w:tc>
        <w:tc>
          <w:tcPr>
            <w:tcW w:w="2065" w:type="dxa"/>
            <w:vAlign w:val="bottom"/>
          </w:tcPr>
          <w:p w:rsidR="00E27649" w:rsidRPr="003D136D" w14:paraId="1DD20103" w14:textId="77777777">
            <w:pPr>
              <w:jc w:val="center"/>
              <w:rPr>
                <w:color w:val="000000"/>
              </w:rPr>
            </w:pPr>
            <w:r w:rsidRPr="00491301">
              <w:rPr>
                <w:color w:val="000000"/>
              </w:rPr>
              <w:t>$10</w:t>
            </w:r>
            <w:r>
              <w:rPr>
                <w:color w:val="000000"/>
              </w:rPr>
              <w:t>.3</w:t>
            </w:r>
          </w:p>
        </w:tc>
      </w:tr>
      <w:tr w14:paraId="19226031" w14:textId="77777777">
        <w:tblPrEx>
          <w:tblW w:w="0" w:type="auto"/>
          <w:tblLayout w:type="fixed"/>
          <w:tblLook w:val="04A0"/>
        </w:tblPrEx>
        <w:tc>
          <w:tcPr>
            <w:tcW w:w="2245" w:type="dxa"/>
          </w:tcPr>
          <w:p w:rsidR="00E27649" w14:paraId="1A437447" w14:textId="77777777">
            <w:pPr>
              <w:jc w:val="center"/>
            </w:pPr>
            <w:r>
              <w:t>2</w:t>
            </w:r>
          </w:p>
        </w:tc>
        <w:tc>
          <w:tcPr>
            <w:tcW w:w="1980" w:type="dxa"/>
            <w:vAlign w:val="bottom"/>
          </w:tcPr>
          <w:p w:rsidR="00E27649" w:rsidRPr="003D136D" w14:paraId="28D076ED" w14:textId="77777777">
            <w:pPr>
              <w:jc w:val="center"/>
              <w:rPr>
                <w:color w:val="000000"/>
              </w:rPr>
            </w:pPr>
            <w:r w:rsidRPr="00491301">
              <w:rPr>
                <w:color w:val="000000"/>
              </w:rPr>
              <w:t>-$</w:t>
            </w:r>
            <w:r>
              <w:rPr>
                <w:color w:val="000000"/>
              </w:rPr>
              <w:t>0.6</w:t>
            </w:r>
          </w:p>
        </w:tc>
        <w:tc>
          <w:tcPr>
            <w:tcW w:w="2340" w:type="dxa"/>
            <w:vAlign w:val="bottom"/>
          </w:tcPr>
          <w:p w:rsidR="00E27649" w:rsidRPr="003D136D" w14:paraId="606F1F3D" w14:textId="77777777">
            <w:pPr>
              <w:jc w:val="center"/>
              <w:rPr>
                <w:color w:val="000000"/>
              </w:rPr>
            </w:pPr>
            <w:r w:rsidRPr="00491301">
              <w:rPr>
                <w:color w:val="000000"/>
              </w:rPr>
              <w:t>$</w:t>
            </w:r>
            <w:r>
              <w:rPr>
                <w:color w:val="000000"/>
              </w:rPr>
              <w:t>9.2</w:t>
            </w:r>
          </w:p>
        </w:tc>
        <w:tc>
          <w:tcPr>
            <w:tcW w:w="2065" w:type="dxa"/>
            <w:vAlign w:val="bottom"/>
          </w:tcPr>
          <w:p w:rsidR="00E27649" w:rsidRPr="003D136D" w14:paraId="220E4965" w14:textId="77777777">
            <w:pPr>
              <w:jc w:val="center"/>
              <w:rPr>
                <w:color w:val="000000"/>
              </w:rPr>
            </w:pPr>
            <w:r w:rsidRPr="00491301">
              <w:rPr>
                <w:color w:val="000000"/>
              </w:rPr>
              <w:t>$16</w:t>
            </w:r>
            <w:r>
              <w:rPr>
                <w:color w:val="000000"/>
              </w:rPr>
              <w:t>.7</w:t>
            </w:r>
          </w:p>
        </w:tc>
      </w:tr>
      <w:tr w14:paraId="321B728C" w14:textId="77777777">
        <w:tblPrEx>
          <w:tblW w:w="0" w:type="auto"/>
          <w:tblLayout w:type="fixed"/>
          <w:tblLook w:val="04A0"/>
        </w:tblPrEx>
        <w:tc>
          <w:tcPr>
            <w:tcW w:w="2245" w:type="dxa"/>
          </w:tcPr>
          <w:p w:rsidR="00E27649" w14:paraId="56D0E9A1" w14:textId="77777777">
            <w:pPr>
              <w:jc w:val="center"/>
            </w:pPr>
            <w:r>
              <w:t>3</w:t>
            </w:r>
          </w:p>
        </w:tc>
        <w:tc>
          <w:tcPr>
            <w:tcW w:w="1980" w:type="dxa"/>
            <w:vAlign w:val="bottom"/>
          </w:tcPr>
          <w:p w:rsidR="00E27649" w:rsidRPr="003D136D" w14:paraId="279F9750" w14:textId="77777777">
            <w:pPr>
              <w:jc w:val="center"/>
              <w:rPr>
                <w:color w:val="000000"/>
              </w:rPr>
            </w:pPr>
            <w:r w:rsidRPr="00491301">
              <w:rPr>
                <w:color w:val="000000"/>
              </w:rPr>
              <w:t>$</w:t>
            </w:r>
            <w:r>
              <w:rPr>
                <w:color w:val="000000"/>
              </w:rPr>
              <w:t>3.6</w:t>
            </w:r>
          </w:p>
        </w:tc>
        <w:tc>
          <w:tcPr>
            <w:tcW w:w="2340" w:type="dxa"/>
            <w:vAlign w:val="bottom"/>
          </w:tcPr>
          <w:p w:rsidR="00E27649" w:rsidRPr="003D136D" w14:paraId="307C9907" w14:textId="77777777">
            <w:pPr>
              <w:jc w:val="center"/>
              <w:rPr>
                <w:color w:val="000000"/>
              </w:rPr>
            </w:pPr>
            <w:r w:rsidRPr="00491301">
              <w:rPr>
                <w:color w:val="000000"/>
              </w:rPr>
              <w:t>$15</w:t>
            </w:r>
            <w:r>
              <w:rPr>
                <w:color w:val="000000"/>
              </w:rPr>
              <w:t>.1</w:t>
            </w:r>
          </w:p>
        </w:tc>
        <w:tc>
          <w:tcPr>
            <w:tcW w:w="2065" w:type="dxa"/>
            <w:vAlign w:val="bottom"/>
          </w:tcPr>
          <w:p w:rsidR="00E27649" w:rsidRPr="003D136D" w14:paraId="37076787" w14:textId="77777777">
            <w:pPr>
              <w:jc w:val="center"/>
              <w:rPr>
                <w:color w:val="000000"/>
              </w:rPr>
            </w:pPr>
            <w:r w:rsidRPr="00491301">
              <w:rPr>
                <w:color w:val="000000"/>
              </w:rPr>
              <w:t>$23</w:t>
            </w:r>
            <w:r>
              <w:rPr>
                <w:color w:val="000000"/>
              </w:rPr>
              <w:t>.9</w:t>
            </w:r>
          </w:p>
        </w:tc>
      </w:tr>
      <w:tr w14:paraId="693CCBE2" w14:textId="77777777">
        <w:tblPrEx>
          <w:tblW w:w="0" w:type="auto"/>
          <w:tblLayout w:type="fixed"/>
          <w:tblLook w:val="04A0"/>
        </w:tblPrEx>
        <w:tc>
          <w:tcPr>
            <w:tcW w:w="2245" w:type="dxa"/>
          </w:tcPr>
          <w:p w:rsidR="00E27649" w14:paraId="620629CB" w14:textId="77777777">
            <w:pPr>
              <w:jc w:val="center"/>
            </w:pPr>
            <w:r>
              <w:t>4</w:t>
            </w:r>
          </w:p>
        </w:tc>
        <w:tc>
          <w:tcPr>
            <w:tcW w:w="1980" w:type="dxa"/>
            <w:vAlign w:val="bottom"/>
          </w:tcPr>
          <w:p w:rsidR="00E27649" w:rsidRPr="003D136D" w14:paraId="217E2EC9" w14:textId="77777777">
            <w:pPr>
              <w:jc w:val="center"/>
              <w:rPr>
                <w:color w:val="000000"/>
              </w:rPr>
            </w:pPr>
            <w:r w:rsidRPr="00491301">
              <w:rPr>
                <w:color w:val="000000"/>
              </w:rPr>
              <w:t>$10</w:t>
            </w:r>
            <w:r>
              <w:rPr>
                <w:color w:val="000000"/>
              </w:rPr>
              <w:t>.0</w:t>
            </w:r>
          </w:p>
        </w:tc>
        <w:tc>
          <w:tcPr>
            <w:tcW w:w="2340" w:type="dxa"/>
            <w:vAlign w:val="bottom"/>
          </w:tcPr>
          <w:p w:rsidR="00E27649" w:rsidRPr="003D136D" w14:paraId="00D586ED" w14:textId="77777777">
            <w:pPr>
              <w:jc w:val="center"/>
              <w:rPr>
                <w:color w:val="000000"/>
              </w:rPr>
            </w:pPr>
            <w:r w:rsidRPr="00491301">
              <w:rPr>
                <w:color w:val="000000"/>
              </w:rPr>
              <w:t>$21</w:t>
            </w:r>
            <w:r>
              <w:rPr>
                <w:color w:val="000000"/>
              </w:rPr>
              <w:t>.3</w:t>
            </w:r>
          </w:p>
        </w:tc>
        <w:tc>
          <w:tcPr>
            <w:tcW w:w="2065" w:type="dxa"/>
            <w:vAlign w:val="bottom"/>
          </w:tcPr>
          <w:p w:rsidR="00E27649" w:rsidRPr="003D136D" w14:paraId="1AA5E487" w14:textId="77777777">
            <w:pPr>
              <w:jc w:val="center"/>
              <w:rPr>
                <w:color w:val="000000"/>
              </w:rPr>
            </w:pPr>
            <w:r w:rsidRPr="00491301">
              <w:rPr>
                <w:color w:val="000000"/>
              </w:rPr>
              <w:t>$29</w:t>
            </w:r>
            <w:r>
              <w:rPr>
                <w:color w:val="000000"/>
              </w:rPr>
              <w:t>.9</w:t>
            </w:r>
          </w:p>
        </w:tc>
      </w:tr>
      <w:tr w14:paraId="79E1ACAD" w14:textId="77777777">
        <w:tblPrEx>
          <w:tblW w:w="0" w:type="auto"/>
          <w:tblLayout w:type="fixed"/>
          <w:tblLook w:val="04A0"/>
        </w:tblPrEx>
        <w:tc>
          <w:tcPr>
            <w:tcW w:w="2245" w:type="dxa"/>
          </w:tcPr>
          <w:p w:rsidR="00E27649" w14:paraId="5C669553" w14:textId="77777777">
            <w:pPr>
              <w:jc w:val="center"/>
            </w:pPr>
            <w:r>
              <w:t>5</w:t>
            </w:r>
          </w:p>
        </w:tc>
        <w:tc>
          <w:tcPr>
            <w:tcW w:w="1980" w:type="dxa"/>
            <w:vAlign w:val="bottom"/>
          </w:tcPr>
          <w:p w:rsidR="00E27649" w:rsidRPr="003D136D" w14:paraId="667B68D1" w14:textId="77777777">
            <w:pPr>
              <w:jc w:val="center"/>
              <w:rPr>
                <w:color w:val="000000"/>
              </w:rPr>
            </w:pPr>
            <w:r w:rsidRPr="00491301">
              <w:rPr>
                <w:color w:val="000000"/>
              </w:rPr>
              <w:t>$10</w:t>
            </w:r>
            <w:r>
              <w:rPr>
                <w:color w:val="000000"/>
              </w:rPr>
              <w:t>.0</w:t>
            </w:r>
          </w:p>
        </w:tc>
        <w:tc>
          <w:tcPr>
            <w:tcW w:w="2340" w:type="dxa"/>
            <w:vAlign w:val="bottom"/>
          </w:tcPr>
          <w:p w:rsidR="00E27649" w:rsidRPr="003D136D" w14:paraId="277107B3" w14:textId="77777777">
            <w:pPr>
              <w:jc w:val="center"/>
              <w:rPr>
                <w:color w:val="000000"/>
              </w:rPr>
            </w:pPr>
            <w:r w:rsidRPr="005B00BD">
              <w:rPr>
                <w:color w:val="000000"/>
              </w:rPr>
              <w:t>$21</w:t>
            </w:r>
            <w:r>
              <w:rPr>
                <w:color w:val="000000"/>
              </w:rPr>
              <w:t>.3</w:t>
            </w:r>
          </w:p>
        </w:tc>
        <w:tc>
          <w:tcPr>
            <w:tcW w:w="2065" w:type="dxa"/>
            <w:vAlign w:val="bottom"/>
          </w:tcPr>
          <w:p w:rsidR="00E27649" w:rsidRPr="003D136D" w14:paraId="3641157A" w14:textId="77777777">
            <w:pPr>
              <w:jc w:val="center"/>
              <w:rPr>
                <w:color w:val="000000"/>
              </w:rPr>
            </w:pPr>
            <w:r w:rsidRPr="00491301">
              <w:rPr>
                <w:color w:val="000000"/>
              </w:rPr>
              <w:t>$29</w:t>
            </w:r>
            <w:r>
              <w:rPr>
                <w:color w:val="000000"/>
              </w:rPr>
              <w:t>.9</w:t>
            </w:r>
          </w:p>
        </w:tc>
      </w:tr>
      <w:tr w14:paraId="3C4FF670" w14:textId="77777777">
        <w:tblPrEx>
          <w:tblW w:w="0" w:type="auto"/>
          <w:tblLayout w:type="fixed"/>
          <w:tblLook w:val="04A0"/>
        </w:tblPrEx>
        <w:tc>
          <w:tcPr>
            <w:tcW w:w="2245" w:type="dxa"/>
          </w:tcPr>
          <w:p w:rsidR="00E27649" w14:paraId="61AA745D" w14:textId="77777777">
            <w:pPr>
              <w:jc w:val="center"/>
            </w:pPr>
            <w:r>
              <w:t>6</w:t>
            </w:r>
          </w:p>
        </w:tc>
        <w:tc>
          <w:tcPr>
            <w:tcW w:w="1980" w:type="dxa"/>
            <w:vAlign w:val="bottom"/>
          </w:tcPr>
          <w:p w:rsidR="00E27649" w:rsidRPr="003D136D" w14:paraId="633EF604" w14:textId="77777777">
            <w:pPr>
              <w:jc w:val="center"/>
              <w:rPr>
                <w:color w:val="000000"/>
              </w:rPr>
            </w:pPr>
            <w:r w:rsidRPr="00491301">
              <w:rPr>
                <w:color w:val="000000"/>
              </w:rPr>
              <w:t>$10</w:t>
            </w:r>
            <w:r>
              <w:rPr>
                <w:color w:val="000000"/>
              </w:rPr>
              <w:t>.1</w:t>
            </w:r>
          </w:p>
        </w:tc>
        <w:tc>
          <w:tcPr>
            <w:tcW w:w="2340" w:type="dxa"/>
            <w:vAlign w:val="bottom"/>
          </w:tcPr>
          <w:p w:rsidR="00E27649" w:rsidRPr="003D136D" w14:paraId="0170D651" w14:textId="77777777">
            <w:pPr>
              <w:jc w:val="center"/>
              <w:rPr>
                <w:color w:val="000000"/>
              </w:rPr>
            </w:pPr>
            <w:r w:rsidRPr="005B00BD">
              <w:rPr>
                <w:color w:val="000000"/>
              </w:rPr>
              <w:t>$21</w:t>
            </w:r>
            <w:r>
              <w:rPr>
                <w:color w:val="000000"/>
              </w:rPr>
              <w:t>.3</w:t>
            </w:r>
          </w:p>
        </w:tc>
        <w:tc>
          <w:tcPr>
            <w:tcW w:w="2065" w:type="dxa"/>
            <w:vAlign w:val="bottom"/>
          </w:tcPr>
          <w:p w:rsidR="00E27649" w:rsidRPr="003D136D" w14:paraId="60DA9340" w14:textId="77777777">
            <w:pPr>
              <w:jc w:val="center"/>
              <w:rPr>
                <w:color w:val="000000"/>
              </w:rPr>
            </w:pPr>
            <w:r w:rsidRPr="00491301">
              <w:rPr>
                <w:color w:val="000000"/>
              </w:rPr>
              <w:t>$29</w:t>
            </w:r>
            <w:r>
              <w:rPr>
                <w:color w:val="000000"/>
              </w:rPr>
              <w:t>.8</w:t>
            </w:r>
          </w:p>
        </w:tc>
      </w:tr>
      <w:tr w14:paraId="0C8276DE" w14:textId="77777777">
        <w:tblPrEx>
          <w:tblW w:w="0" w:type="auto"/>
          <w:tblLayout w:type="fixed"/>
          <w:tblLook w:val="04A0"/>
        </w:tblPrEx>
        <w:tc>
          <w:tcPr>
            <w:tcW w:w="2245" w:type="dxa"/>
          </w:tcPr>
          <w:p w:rsidR="00E27649" w14:paraId="62ADF31D" w14:textId="77777777">
            <w:pPr>
              <w:jc w:val="center"/>
            </w:pPr>
            <w:r>
              <w:t>7</w:t>
            </w:r>
          </w:p>
        </w:tc>
        <w:tc>
          <w:tcPr>
            <w:tcW w:w="1980" w:type="dxa"/>
            <w:vAlign w:val="bottom"/>
          </w:tcPr>
          <w:p w:rsidR="00E27649" w:rsidRPr="003D136D" w14:paraId="465483DD" w14:textId="77777777">
            <w:pPr>
              <w:jc w:val="center"/>
              <w:rPr>
                <w:color w:val="000000"/>
              </w:rPr>
            </w:pPr>
            <w:r w:rsidRPr="00491301">
              <w:rPr>
                <w:color w:val="000000"/>
              </w:rPr>
              <w:t>$10</w:t>
            </w:r>
            <w:r>
              <w:rPr>
                <w:color w:val="000000"/>
              </w:rPr>
              <w:t>.1</w:t>
            </w:r>
          </w:p>
        </w:tc>
        <w:tc>
          <w:tcPr>
            <w:tcW w:w="2340" w:type="dxa"/>
            <w:vAlign w:val="bottom"/>
          </w:tcPr>
          <w:p w:rsidR="00E27649" w:rsidRPr="003D136D" w14:paraId="33539771" w14:textId="77777777">
            <w:pPr>
              <w:jc w:val="center"/>
              <w:rPr>
                <w:color w:val="000000"/>
              </w:rPr>
            </w:pPr>
            <w:r w:rsidRPr="005B00BD">
              <w:rPr>
                <w:color w:val="000000"/>
              </w:rPr>
              <w:t>$21</w:t>
            </w:r>
            <w:r>
              <w:rPr>
                <w:color w:val="000000"/>
              </w:rPr>
              <w:t>.3</w:t>
            </w:r>
          </w:p>
        </w:tc>
        <w:tc>
          <w:tcPr>
            <w:tcW w:w="2065" w:type="dxa"/>
            <w:vAlign w:val="bottom"/>
          </w:tcPr>
          <w:p w:rsidR="00E27649" w:rsidRPr="003D136D" w14:paraId="28E5A1F2" w14:textId="77777777">
            <w:pPr>
              <w:jc w:val="center"/>
              <w:rPr>
                <w:color w:val="000000"/>
              </w:rPr>
            </w:pPr>
            <w:r w:rsidRPr="00491301">
              <w:rPr>
                <w:color w:val="000000"/>
              </w:rPr>
              <w:t>$</w:t>
            </w:r>
            <w:r>
              <w:rPr>
                <w:color w:val="000000"/>
              </w:rPr>
              <w:t>30.0</w:t>
            </w:r>
          </w:p>
        </w:tc>
      </w:tr>
      <w:tr w14:paraId="14C4A55E" w14:textId="77777777">
        <w:tblPrEx>
          <w:tblW w:w="0" w:type="auto"/>
          <w:tblLayout w:type="fixed"/>
          <w:tblLook w:val="04A0"/>
        </w:tblPrEx>
        <w:tc>
          <w:tcPr>
            <w:tcW w:w="2245" w:type="dxa"/>
          </w:tcPr>
          <w:p w:rsidR="00E27649" w14:paraId="0416CDBC" w14:textId="77777777">
            <w:pPr>
              <w:jc w:val="center"/>
            </w:pPr>
            <w:r>
              <w:t>8</w:t>
            </w:r>
          </w:p>
        </w:tc>
        <w:tc>
          <w:tcPr>
            <w:tcW w:w="1980" w:type="dxa"/>
            <w:vAlign w:val="bottom"/>
          </w:tcPr>
          <w:p w:rsidR="00E27649" w:rsidRPr="003D136D" w14:paraId="79DF69C7" w14:textId="77777777">
            <w:pPr>
              <w:jc w:val="center"/>
              <w:rPr>
                <w:color w:val="000000"/>
              </w:rPr>
            </w:pPr>
            <w:r w:rsidRPr="00491301">
              <w:rPr>
                <w:color w:val="000000"/>
              </w:rPr>
              <w:t>$10</w:t>
            </w:r>
            <w:r>
              <w:rPr>
                <w:color w:val="000000"/>
              </w:rPr>
              <w:t>.1</w:t>
            </w:r>
          </w:p>
        </w:tc>
        <w:tc>
          <w:tcPr>
            <w:tcW w:w="2340" w:type="dxa"/>
            <w:vAlign w:val="bottom"/>
          </w:tcPr>
          <w:p w:rsidR="00E27649" w:rsidRPr="003D136D" w14:paraId="0AE9F840" w14:textId="77777777">
            <w:pPr>
              <w:jc w:val="center"/>
              <w:rPr>
                <w:color w:val="000000"/>
              </w:rPr>
            </w:pPr>
            <w:r w:rsidRPr="005B00BD">
              <w:rPr>
                <w:color w:val="000000"/>
              </w:rPr>
              <w:t>$21</w:t>
            </w:r>
            <w:r>
              <w:rPr>
                <w:color w:val="000000"/>
              </w:rPr>
              <w:t>.3</w:t>
            </w:r>
          </w:p>
        </w:tc>
        <w:tc>
          <w:tcPr>
            <w:tcW w:w="2065" w:type="dxa"/>
            <w:vAlign w:val="bottom"/>
          </w:tcPr>
          <w:p w:rsidR="00E27649" w:rsidRPr="003D136D" w14:paraId="4CE55397" w14:textId="77777777">
            <w:pPr>
              <w:jc w:val="center"/>
              <w:rPr>
                <w:color w:val="000000"/>
              </w:rPr>
            </w:pPr>
            <w:r w:rsidRPr="00491301">
              <w:rPr>
                <w:color w:val="000000"/>
              </w:rPr>
              <w:t>$29</w:t>
            </w:r>
            <w:r>
              <w:rPr>
                <w:color w:val="000000"/>
              </w:rPr>
              <w:t>.6</w:t>
            </w:r>
          </w:p>
        </w:tc>
      </w:tr>
      <w:tr w14:paraId="72B32D35" w14:textId="77777777">
        <w:tblPrEx>
          <w:tblW w:w="0" w:type="auto"/>
          <w:tblLayout w:type="fixed"/>
          <w:tblLook w:val="04A0"/>
        </w:tblPrEx>
        <w:tc>
          <w:tcPr>
            <w:tcW w:w="2245" w:type="dxa"/>
          </w:tcPr>
          <w:p w:rsidR="00E27649" w14:paraId="5708D4FF" w14:textId="77777777">
            <w:pPr>
              <w:jc w:val="center"/>
            </w:pPr>
            <w:r>
              <w:t>9</w:t>
            </w:r>
          </w:p>
        </w:tc>
        <w:tc>
          <w:tcPr>
            <w:tcW w:w="1980" w:type="dxa"/>
            <w:vAlign w:val="bottom"/>
          </w:tcPr>
          <w:p w:rsidR="00E27649" w:rsidRPr="003D136D" w14:paraId="08E03047" w14:textId="77777777">
            <w:pPr>
              <w:jc w:val="center"/>
              <w:rPr>
                <w:color w:val="000000"/>
              </w:rPr>
            </w:pPr>
            <w:r w:rsidRPr="00491301">
              <w:rPr>
                <w:color w:val="000000"/>
              </w:rPr>
              <w:t>$10</w:t>
            </w:r>
            <w:r>
              <w:rPr>
                <w:color w:val="000000"/>
              </w:rPr>
              <w:t>.1</w:t>
            </w:r>
          </w:p>
        </w:tc>
        <w:tc>
          <w:tcPr>
            <w:tcW w:w="2340" w:type="dxa"/>
            <w:vAlign w:val="bottom"/>
          </w:tcPr>
          <w:p w:rsidR="00E27649" w:rsidRPr="003D136D" w14:paraId="1BA8CE04" w14:textId="77777777">
            <w:pPr>
              <w:jc w:val="center"/>
              <w:rPr>
                <w:color w:val="000000"/>
              </w:rPr>
            </w:pPr>
            <w:r w:rsidRPr="005B00BD">
              <w:rPr>
                <w:color w:val="000000"/>
              </w:rPr>
              <w:t>$21</w:t>
            </w:r>
            <w:r>
              <w:rPr>
                <w:color w:val="000000"/>
              </w:rPr>
              <w:t>.3</w:t>
            </w:r>
          </w:p>
        </w:tc>
        <w:tc>
          <w:tcPr>
            <w:tcW w:w="2065" w:type="dxa"/>
            <w:vAlign w:val="bottom"/>
          </w:tcPr>
          <w:p w:rsidR="00E27649" w:rsidRPr="003D136D" w14:paraId="35F4281A" w14:textId="77777777">
            <w:pPr>
              <w:jc w:val="center"/>
              <w:rPr>
                <w:color w:val="000000"/>
              </w:rPr>
            </w:pPr>
            <w:r w:rsidRPr="00491301">
              <w:rPr>
                <w:color w:val="000000"/>
              </w:rPr>
              <w:t>$29</w:t>
            </w:r>
            <w:r>
              <w:rPr>
                <w:color w:val="000000"/>
              </w:rPr>
              <w:t>.8</w:t>
            </w:r>
          </w:p>
        </w:tc>
      </w:tr>
      <w:tr w14:paraId="4DE7FC4B" w14:textId="77777777">
        <w:tblPrEx>
          <w:tblW w:w="0" w:type="auto"/>
          <w:tblLayout w:type="fixed"/>
          <w:tblLook w:val="04A0"/>
        </w:tblPrEx>
        <w:trPr>
          <w:trHeight w:val="277"/>
        </w:trPr>
        <w:tc>
          <w:tcPr>
            <w:tcW w:w="2245" w:type="dxa"/>
          </w:tcPr>
          <w:p w:rsidR="00E27649" w:rsidRPr="00F16FAC" w14:paraId="5EDA3A32" w14:textId="77777777">
            <w:pPr>
              <w:jc w:val="center"/>
            </w:pPr>
            <w:r>
              <w:t>Annualized, 3%</w:t>
            </w:r>
          </w:p>
        </w:tc>
        <w:tc>
          <w:tcPr>
            <w:tcW w:w="1980" w:type="dxa"/>
            <w:vAlign w:val="bottom"/>
          </w:tcPr>
          <w:p w:rsidR="00E27649" w:rsidRPr="003D136D" w14:paraId="74F77863" w14:textId="77777777">
            <w:pPr>
              <w:jc w:val="center"/>
              <w:rPr>
                <w:rFonts w:eastAsia="Times New Roman"/>
                <w:color w:val="000000"/>
              </w:rPr>
            </w:pPr>
            <w:r w:rsidRPr="00491301">
              <w:rPr>
                <w:color w:val="000000"/>
              </w:rPr>
              <w:t>$6</w:t>
            </w:r>
            <w:r>
              <w:rPr>
                <w:color w:val="000000"/>
              </w:rPr>
              <w:t>.8</w:t>
            </w:r>
          </w:p>
        </w:tc>
        <w:tc>
          <w:tcPr>
            <w:tcW w:w="2340" w:type="dxa"/>
            <w:vAlign w:val="bottom"/>
          </w:tcPr>
          <w:p w:rsidR="00E27649" w:rsidRPr="003D136D" w14:paraId="54D26134" w14:textId="77777777">
            <w:pPr>
              <w:jc w:val="center"/>
              <w:rPr>
                <w:color w:val="000000"/>
              </w:rPr>
            </w:pPr>
            <w:r w:rsidRPr="00491301">
              <w:rPr>
                <w:color w:val="000000"/>
              </w:rPr>
              <w:t>$17</w:t>
            </w:r>
            <w:r>
              <w:rPr>
                <w:color w:val="000000"/>
              </w:rPr>
              <w:t>.5</w:t>
            </w:r>
          </w:p>
        </w:tc>
        <w:tc>
          <w:tcPr>
            <w:tcW w:w="2065" w:type="dxa"/>
            <w:vAlign w:val="bottom"/>
          </w:tcPr>
          <w:p w:rsidR="00E27649" w:rsidRPr="003D136D" w14:paraId="25E7EFD1" w14:textId="77777777">
            <w:pPr>
              <w:jc w:val="center"/>
              <w:rPr>
                <w:color w:val="000000"/>
              </w:rPr>
            </w:pPr>
            <w:r w:rsidRPr="00491301">
              <w:rPr>
                <w:color w:val="000000"/>
              </w:rPr>
              <w:t>$25</w:t>
            </w:r>
            <w:r>
              <w:rPr>
                <w:color w:val="000000"/>
              </w:rPr>
              <w:t>.6</w:t>
            </w:r>
          </w:p>
        </w:tc>
      </w:tr>
      <w:tr w14:paraId="7447006A" w14:textId="77777777">
        <w:tblPrEx>
          <w:tblW w:w="0" w:type="auto"/>
          <w:tblLayout w:type="fixed"/>
          <w:tblLook w:val="04A0"/>
        </w:tblPrEx>
        <w:trPr>
          <w:trHeight w:val="277"/>
        </w:trPr>
        <w:tc>
          <w:tcPr>
            <w:tcW w:w="2245" w:type="dxa"/>
          </w:tcPr>
          <w:p w:rsidR="00E27649" w14:paraId="57C69B24" w14:textId="77777777">
            <w:pPr>
              <w:jc w:val="center"/>
            </w:pPr>
            <w:r>
              <w:t>Annualized, 7%</w:t>
            </w:r>
          </w:p>
        </w:tc>
        <w:tc>
          <w:tcPr>
            <w:tcW w:w="1980" w:type="dxa"/>
            <w:vAlign w:val="bottom"/>
          </w:tcPr>
          <w:p w:rsidR="00E27649" w:rsidRPr="003D136D" w14:paraId="793AA25F" w14:textId="77777777">
            <w:pPr>
              <w:jc w:val="center"/>
              <w:rPr>
                <w:color w:val="000000"/>
              </w:rPr>
            </w:pPr>
            <w:r w:rsidRPr="00491301">
              <w:rPr>
                <w:color w:val="000000"/>
              </w:rPr>
              <w:t>$6</w:t>
            </w:r>
            <w:r>
              <w:rPr>
                <w:color w:val="000000"/>
              </w:rPr>
              <w:t>.7</w:t>
            </w:r>
          </w:p>
        </w:tc>
        <w:tc>
          <w:tcPr>
            <w:tcW w:w="2340" w:type="dxa"/>
            <w:vAlign w:val="bottom"/>
          </w:tcPr>
          <w:p w:rsidR="00E27649" w:rsidRPr="003D136D" w14:paraId="5973FEBC" w14:textId="77777777">
            <w:pPr>
              <w:jc w:val="center"/>
              <w:rPr>
                <w:color w:val="000000"/>
              </w:rPr>
            </w:pPr>
            <w:r w:rsidRPr="00491301">
              <w:rPr>
                <w:color w:val="000000"/>
              </w:rPr>
              <w:t>$17</w:t>
            </w:r>
            <w:r>
              <w:rPr>
                <w:color w:val="000000"/>
              </w:rPr>
              <w:t>.7</w:t>
            </w:r>
          </w:p>
        </w:tc>
        <w:tc>
          <w:tcPr>
            <w:tcW w:w="2065" w:type="dxa"/>
            <w:vAlign w:val="bottom"/>
          </w:tcPr>
          <w:p w:rsidR="00E27649" w:rsidRPr="003D136D" w14:paraId="5200659C" w14:textId="77777777">
            <w:pPr>
              <w:jc w:val="center"/>
              <w:rPr>
                <w:color w:val="000000"/>
              </w:rPr>
            </w:pPr>
            <w:r w:rsidRPr="00491301">
              <w:rPr>
                <w:color w:val="000000"/>
              </w:rPr>
              <w:t>$2</w:t>
            </w:r>
            <w:r>
              <w:rPr>
                <w:color w:val="000000"/>
              </w:rPr>
              <w:t>6.0</w:t>
            </w:r>
          </w:p>
        </w:tc>
      </w:tr>
    </w:tbl>
    <w:p w:rsidR="00E27649" w:rsidP="0097389B" w14:paraId="6D6772E7" w14:textId="77777777">
      <w:pPr>
        <w:rPr>
          <w:b/>
        </w:rPr>
      </w:pPr>
    </w:p>
    <w:p w:rsidR="0097389B" w:rsidRPr="00B90451" w:rsidP="0097389B" w14:paraId="2812EBD8" w14:textId="109CE0C4">
      <w:pPr>
        <w:rPr>
          <w:b/>
        </w:rPr>
      </w:pPr>
      <w:r w:rsidRPr="006F3EEB">
        <w:rPr>
          <w:b/>
        </w:rPr>
        <w:t xml:space="preserve">Table </w:t>
      </w:r>
      <w:r>
        <w:rPr>
          <w:b/>
        </w:rPr>
        <w:t>3</w:t>
      </w:r>
      <w:r w:rsidR="00E27649">
        <w:rPr>
          <w:b/>
        </w:rPr>
        <w:t>8</w:t>
      </w:r>
      <w:r w:rsidRPr="00B90451">
        <w:rPr>
          <w:b/>
        </w:rPr>
        <w:t xml:space="preserve">: </w:t>
      </w:r>
      <w:r>
        <w:rPr>
          <w:b/>
        </w:rPr>
        <w:t>Total</w:t>
      </w:r>
      <w:r w:rsidRPr="00B90451">
        <w:rPr>
          <w:b/>
        </w:rPr>
        <w:t xml:space="preserve"> </w:t>
      </w:r>
      <w:r>
        <w:rPr>
          <w:b/>
        </w:rPr>
        <w:t>C</w:t>
      </w:r>
      <w:r w:rsidRPr="00B90451">
        <w:rPr>
          <w:b/>
        </w:rPr>
        <w:t xml:space="preserve">ost of the </w:t>
      </w:r>
      <w:r>
        <w:rPr>
          <w:b/>
        </w:rPr>
        <w:t>R</w:t>
      </w:r>
      <w:r w:rsidRPr="00B90451">
        <w:rPr>
          <w:b/>
        </w:rPr>
        <w:t xml:space="preserve">ule by </w:t>
      </w:r>
      <w:r>
        <w:rPr>
          <w:b/>
        </w:rPr>
        <w:t>Y</w:t>
      </w:r>
      <w:r w:rsidRPr="00B90451">
        <w:rPr>
          <w:b/>
        </w:rPr>
        <w:t>ear</w:t>
      </w:r>
      <w:r>
        <w:rPr>
          <w:b/>
        </w:rPr>
        <w:t xml:space="preserve"> Relative to No Pre-harvest Agricultural Water Testing Provisions</w:t>
      </w:r>
      <w:r w:rsidRPr="00B90451">
        <w:rPr>
          <w:b/>
        </w:rPr>
        <w:t xml:space="preserve">, </w:t>
      </w:r>
      <w:r>
        <w:rPr>
          <w:b/>
        </w:rPr>
        <w:t>A</w:t>
      </w:r>
      <w:r w:rsidRPr="00B90451">
        <w:rPr>
          <w:b/>
        </w:rPr>
        <w:t xml:space="preserve">ll </w:t>
      </w:r>
      <w:r>
        <w:rPr>
          <w:b/>
        </w:rPr>
        <w:t>F</w:t>
      </w:r>
      <w:r w:rsidRPr="00B90451">
        <w:rPr>
          <w:b/>
        </w:rPr>
        <w:t>arms</w:t>
      </w:r>
      <w:r>
        <w:rPr>
          <w:b/>
        </w:rPr>
        <w:t xml:space="preserve"> (millions 2022$)</w:t>
      </w:r>
    </w:p>
    <w:tbl>
      <w:tblPr>
        <w:tblStyle w:val="TableGrid"/>
        <w:tblW w:w="0" w:type="auto"/>
        <w:tblLayout w:type="fixed"/>
        <w:tblLook w:val="04A0"/>
      </w:tblPr>
      <w:tblGrid>
        <w:gridCol w:w="2245"/>
        <w:gridCol w:w="1980"/>
        <w:gridCol w:w="2340"/>
        <w:gridCol w:w="2065"/>
      </w:tblGrid>
      <w:tr w14:paraId="070ACECE" w14:textId="77777777">
        <w:tblPrEx>
          <w:tblW w:w="0" w:type="auto"/>
          <w:tblLayout w:type="fixed"/>
          <w:tblLook w:val="04A0"/>
        </w:tblPrEx>
        <w:tc>
          <w:tcPr>
            <w:tcW w:w="2245" w:type="dxa"/>
          </w:tcPr>
          <w:p w:rsidR="0097389B" w:rsidRPr="00B90451" w14:paraId="78EE755D" w14:textId="77777777">
            <w:pPr>
              <w:jc w:val="center"/>
              <w:rPr>
                <w:b/>
              </w:rPr>
            </w:pPr>
            <w:r w:rsidRPr="00B90451">
              <w:rPr>
                <w:b/>
              </w:rPr>
              <w:t>Years after publication</w:t>
            </w:r>
          </w:p>
        </w:tc>
        <w:tc>
          <w:tcPr>
            <w:tcW w:w="1980" w:type="dxa"/>
          </w:tcPr>
          <w:p w:rsidR="0097389B" w:rsidRPr="00B90451" w14:paraId="6F195DF4" w14:textId="77777777">
            <w:pPr>
              <w:jc w:val="center"/>
              <w:rPr>
                <w:b/>
              </w:rPr>
            </w:pPr>
            <w:r w:rsidRPr="00B90451">
              <w:rPr>
                <w:b/>
              </w:rPr>
              <w:t>Low</w:t>
            </w:r>
          </w:p>
        </w:tc>
        <w:tc>
          <w:tcPr>
            <w:tcW w:w="2340" w:type="dxa"/>
          </w:tcPr>
          <w:p w:rsidR="0097389B" w:rsidRPr="00B90451" w14:paraId="3B364C82" w14:textId="77777777">
            <w:pPr>
              <w:jc w:val="center"/>
              <w:rPr>
                <w:b/>
              </w:rPr>
            </w:pPr>
            <w:r w:rsidRPr="00B90451">
              <w:rPr>
                <w:b/>
              </w:rPr>
              <w:t>Primary</w:t>
            </w:r>
          </w:p>
        </w:tc>
        <w:tc>
          <w:tcPr>
            <w:tcW w:w="2065" w:type="dxa"/>
          </w:tcPr>
          <w:p w:rsidR="0097389B" w:rsidRPr="00B90451" w14:paraId="2D21DC3D" w14:textId="77777777">
            <w:pPr>
              <w:jc w:val="center"/>
              <w:rPr>
                <w:b/>
              </w:rPr>
            </w:pPr>
            <w:r w:rsidRPr="00B90451">
              <w:rPr>
                <w:b/>
              </w:rPr>
              <w:t>High</w:t>
            </w:r>
          </w:p>
        </w:tc>
      </w:tr>
      <w:tr w14:paraId="494DB7F7" w14:textId="77777777">
        <w:tblPrEx>
          <w:tblW w:w="0" w:type="auto"/>
          <w:tblLayout w:type="fixed"/>
          <w:tblLook w:val="04A0"/>
        </w:tblPrEx>
        <w:tc>
          <w:tcPr>
            <w:tcW w:w="2245" w:type="dxa"/>
          </w:tcPr>
          <w:p w:rsidR="0097389B" w14:paraId="44AC629E" w14:textId="77777777">
            <w:pPr>
              <w:jc w:val="center"/>
            </w:pPr>
            <w:r>
              <w:t>0</w:t>
            </w:r>
          </w:p>
        </w:tc>
        <w:tc>
          <w:tcPr>
            <w:tcW w:w="1980" w:type="dxa"/>
            <w:vAlign w:val="bottom"/>
          </w:tcPr>
          <w:p w:rsidR="0097389B" w:rsidRPr="00443652" w14:paraId="24502091" w14:textId="77777777">
            <w:pPr>
              <w:jc w:val="center"/>
              <w:rPr>
                <w:rFonts w:eastAsia="Times New Roman"/>
                <w:color w:val="000000"/>
              </w:rPr>
            </w:pPr>
            <w:r w:rsidRPr="00AF46FF">
              <w:rPr>
                <w:color w:val="000000"/>
              </w:rPr>
              <w:t>$20</w:t>
            </w:r>
            <w:r>
              <w:rPr>
                <w:color w:val="000000"/>
              </w:rPr>
              <w:t>.6</w:t>
            </w:r>
          </w:p>
        </w:tc>
        <w:tc>
          <w:tcPr>
            <w:tcW w:w="2340" w:type="dxa"/>
            <w:vAlign w:val="bottom"/>
          </w:tcPr>
          <w:p w:rsidR="0097389B" w:rsidRPr="00443652" w14:paraId="30FE13FF" w14:textId="77777777">
            <w:pPr>
              <w:jc w:val="center"/>
              <w:rPr>
                <w:color w:val="000000"/>
              </w:rPr>
            </w:pPr>
            <w:r w:rsidRPr="00AF46FF">
              <w:rPr>
                <w:color w:val="000000"/>
              </w:rPr>
              <w:t>$21</w:t>
            </w:r>
            <w:r>
              <w:rPr>
                <w:color w:val="000000"/>
              </w:rPr>
              <w:t>.6</w:t>
            </w:r>
          </w:p>
        </w:tc>
        <w:tc>
          <w:tcPr>
            <w:tcW w:w="2065" w:type="dxa"/>
            <w:vAlign w:val="bottom"/>
          </w:tcPr>
          <w:p w:rsidR="0097389B" w:rsidRPr="00443652" w14:paraId="1E51F5C1" w14:textId="77777777">
            <w:pPr>
              <w:jc w:val="center"/>
              <w:rPr>
                <w:color w:val="000000"/>
              </w:rPr>
            </w:pPr>
            <w:r w:rsidRPr="00AF46FF">
              <w:rPr>
                <w:color w:val="000000"/>
              </w:rPr>
              <w:t>$22</w:t>
            </w:r>
            <w:r>
              <w:rPr>
                <w:color w:val="000000"/>
              </w:rPr>
              <w:t>.6</w:t>
            </w:r>
          </w:p>
        </w:tc>
      </w:tr>
      <w:tr w14:paraId="766C0F9B" w14:textId="77777777">
        <w:tblPrEx>
          <w:tblW w:w="0" w:type="auto"/>
          <w:tblLayout w:type="fixed"/>
          <w:tblLook w:val="04A0"/>
        </w:tblPrEx>
        <w:tc>
          <w:tcPr>
            <w:tcW w:w="2245" w:type="dxa"/>
          </w:tcPr>
          <w:p w:rsidR="0097389B" w14:paraId="45976A2D" w14:textId="77777777">
            <w:pPr>
              <w:jc w:val="center"/>
            </w:pPr>
            <w:r>
              <w:t>1</w:t>
            </w:r>
          </w:p>
        </w:tc>
        <w:tc>
          <w:tcPr>
            <w:tcW w:w="1980" w:type="dxa"/>
            <w:vAlign w:val="bottom"/>
          </w:tcPr>
          <w:p w:rsidR="0097389B" w:rsidRPr="00443652" w14:paraId="5CD12C51" w14:textId="77777777">
            <w:pPr>
              <w:jc w:val="center"/>
              <w:rPr>
                <w:color w:val="000000"/>
              </w:rPr>
            </w:pPr>
            <w:r w:rsidRPr="00AF46FF">
              <w:rPr>
                <w:color w:val="000000"/>
              </w:rPr>
              <w:t>$1</w:t>
            </w:r>
            <w:r>
              <w:rPr>
                <w:color w:val="000000"/>
              </w:rPr>
              <w:t>5.3</w:t>
            </w:r>
          </w:p>
        </w:tc>
        <w:tc>
          <w:tcPr>
            <w:tcW w:w="2340" w:type="dxa"/>
            <w:vAlign w:val="bottom"/>
          </w:tcPr>
          <w:p w:rsidR="0097389B" w:rsidRPr="00443652" w14:paraId="5F9E15D0" w14:textId="77777777">
            <w:pPr>
              <w:jc w:val="center"/>
              <w:rPr>
                <w:color w:val="000000"/>
              </w:rPr>
            </w:pPr>
            <w:r w:rsidRPr="00AF46FF">
              <w:rPr>
                <w:color w:val="000000"/>
              </w:rPr>
              <w:t>$20</w:t>
            </w:r>
            <w:r>
              <w:rPr>
                <w:color w:val="000000"/>
              </w:rPr>
              <w:t>.6</w:t>
            </w:r>
          </w:p>
        </w:tc>
        <w:tc>
          <w:tcPr>
            <w:tcW w:w="2065" w:type="dxa"/>
            <w:vAlign w:val="bottom"/>
          </w:tcPr>
          <w:p w:rsidR="0097389B" w:rsidRPr="00443652" w14:paraId="4EB7A61A" w14:textId="77777777">
            <w:pPr>
              <w:jc w:val="center"/>
              <w:rPr>
                <w:color w:val="000000"/>
              </w:rPr>
            </w:pPr>
            <w:r w:rsidRPr="00AF46FF">
              <w:rPr>
                <w:color w:val="000000"/>
              </w:rPr>
              <w:t>$26</w:t>
            </w:r>
            <w:r>
              <w:rPr>
                <w:color w:val="000000"/>
              </w:rPr>
              <w:t>.3</w:t>
            </w:r>
          </w:p>
        </w:tc>
      </w:tr>
      <w:tr w14:paraId="317247E4" w14:textId="77777777">
        <w:tblPrEx>
          <w:tblW w:w="0" w:type="auto"/>
          <w:tblLayout w:type="fixed"/>
          <w:tblLook w:val="04A0"/>
        </w:tblPrEx>
        <w:tc>
          <w:tcPr>
            <w:tcW w:w="2245" w:type="dxa"/>
          </w:tcPr>
          <w:p w:rsidR="0097389B" w14:paraId="2A9F972F" w14:textId="77777777">
            <w:pPr>
              <w:jc w:val="center"/>
            </w:pPr>
            <w:r>
              <w:t>2</w:t>
            </w:r>
          </w:p>
        </w:tc>
        <w:tc>
          <w:tcPr>
            <w:tcW w:w="1980" w:type="dxa"/>
            <w:vAlign w:val="bottom"/>
          </w:tcPr>
          <w:p w:rsidR="0097389B" w:rsidRPr="00443652" w14:paraId="4777B2E0" w14:textId="77777777">
            <w:pPr>
              <w:jc w:val="center"/>
              <w:rPr>
                <w:color w:val="000000"/>
              </w:rPr>
            </w:pPr>
            <w:r w:rsidRPr="00AF46FF">
              <w:rPr>
                <w:color w:val="000000"/>
              </w:rPr>
              <w:t>$2</w:t>
            </w:r>
            <w:r>
              <w:rPr>
                <w:color w:val="000000"/>
              </w:rPr>
              <w:t>0.6</w:t>
            </w:r>
          </w:p>
        </w:tc>
        <w:tc>
          <w:tcPr>
            <w:tcW w:w="2340" w:type="dxa"/>
            <w:vAlign w:val="bottom"/>
          </w:tcPr>
          <w:p w:rsidR="0097389B" w:rsidRPr="00443652" w14:paraId="56161C2E" w14:textId="77777777">
            <w:pPr>
              <w:jc w:val="center"/>
              <w:rPr>
                <w:color w:val="000000"/>
              </w:rPr>
            </w:pPr>
            <w:r w:rsidRPr="00AF46FF">
              <w:rPr>
                <w:color w:val="000000"/>
              </w:rPr>
              <w:t>$25</w:t>
            </w:r>
            <w:r>
              <w:rPr>
                <w:color w:val="000000"/>
              </w:rPr>
              <w:t>.7</w:t>
            </w:r>
          </w:p>
        </w:tc>
        <w:tc>
          <w:tcPr>
            <w:tcW w:w="2065" w:type="dxa"/>
            <w:vAlign w:val="bottom"/>
          </w:tcPr>
          <w:p w:rsidR="0097389B" w:rsidRPr="00443652" w14:paraId="294404A0" w14:textId="77777777">
            <w:pPr>
              <w:jc w:val="center"/>
              <w:rPr>
                <w:color w:val="000000"/>
              </w:rPr>
            </w:pPr>
            <w:r w:rsidRPr="00AF46FF">
              <w:rPr>
                <w:color w:val="000000"/>
              </w:rPr>
              <w:t>$31</w:t>
            </w:r>
            <w:r>
              <w:rPr>
                <w:color w:val="000000"/>
              </w:rPr>
              <w:t>.6</w:t>
            </w:r>
          </w:p>
        </w:tc>
      </w:tr>
      <w:tr w14:paraId="697DB5EA" w14:textId="77777777">
        <w:tblPrEx>
          <w:tblW w:w="0" w:type="auto"/>
          <w:tblLayout w:type="fixed"/>
          <w:tblLook w:val="04A0"/>
        </w:tblPrEx>
        <w:tc>
          <w:tcPr>
            <w:tcW w:w="2245" w:type="dxa"/>
          </w:tcPr>
          <w:p w:rsidR="0097389B" w14:paraId="083CC089" w14:textId="77777777">
            <w:pPr>
              <w:jc w:val="center"/>
            </w:pPr>
            <w:r>
              <w:t>3</w:t>
            </w:r>
          </w:p>
        </w:tc>
        <w:tc>
          <w:tcPr>
            <w:tcW w:w="1980" w:type="dxa"/>
            <w:vAlign w:val="bottom"/>
          </w:tcPr>
          <w:p w:rsidR="0097389B" w:rsidRPr="00443652" w14:paraId="1DB2FEEB" w14:textId="77777777">
            <w:pPr>
              <w:jc w:val="center"/>
              <w:rPr>
                <w:color w:val="000000"/>
              </w:rPr>
            </w:pPr>
            <w:r w:rsidRPr="00AF46FF">
              <w:rPr>
                <w:color w:val="000000"/>
              </w:rPr>
              <w:t>$36</w:t>
            </w:r>
            <w:r>
              <w:rPr>
                <w:color w:val="000000"/>
              </w:rPr>
              <w:t>.0</w:t>
            </w:r>
          </w:p>
        </w:tc>
        <w:tc>
          <w:tcPr>
            <w:tcW w:w="2340" w:type="dxa"/>
            <w:vAlign w:val="bottom"/>
          </w:tcPr>
          <w:p w:rsidR="0097389B" w:rsidRPr="00443652" w14:paraId="76EA4B38" w14:textId="77777777">
            <w:pPr>
              <w:jc w:val="center"/>
              <w:rPr>
                <w:color w:val="000000"/>
              </w:rPr>
            </w:pPr>
            <w:r w:rsidRPr="00AF46FF">
              <w:rPr>
                <w:color w:val="000000"/>
              </w:rPr>
              <w:t>$42</w:t>
            </w:r>
            <w:r>
              <w:rPr>
                <w:color w:val="000000"/>
              </w:rPr>
              <w:t>.9</w:t>
            </w:r>
          </w:p>
        </w:tc>
        <w:tc>
          <w:tcPr>
            <w:tcW w:w="2065" w:type="dxa"/>
            <w:vAlign w:val="bottom"/>
          </w:tcPr>
          <w:p w:rsidR="0097389B" w:rsidRPr="00443652" w14:paraId="155498FC" w14:textId="77777777">
            <w:pPr>
              <w:jc w:val="center"/>
              <w:rPr>
                <w:color w:val="000000"/>
              </w:rPr>
            </w:pPr>
            <w:r w:rsidRPr="00AF46FF">
              <w:rPr>
                <w:color w:val="000000"/>
              </w:rPr>
              <w:t>$50</w:t>
            </w:r>
            <w:r>
              <w:rPr>
                <w:color w:val="000000"/>
              </w:rPr>
              <w:t>.7</w:t>
            </w:r>
          </w:p>
        </w:tc>
      </w:tr>
      <w:tr w14:paraId="541370F3" w14:textId="77777777">
        <w:tblPrEx>
          <w:tblW w:w="0" w:type="auto"/>
          <w:tblLayout w:type="fixed"/>
          <w:tblLook w:val="04A0"/>
        </w:tblPrEx>
        <w:tc>
          <w:tcPr>
            <w:tcW w:w="2245" w:type="dxa"/>
          </w:tcPr>
          <w:p w:rsidR="0097389B" w14:paraId="16B8BEF5" w14:textId="77777777">
            <w:pPr>
              <w:jc w:val="center"/>
            </w:pPr>
            <w:r>
              <w:t>4</w:t>
            </w:r>
          </w:p>
        </w:tc>
        <w:tc>
          <w:tcPr>
            <w:tcW w:w="1980" w:type="dxa"/>
            <w:vAlign w:val="bottom"/>
          </w:tcPr>
          <w:p w:rsidR="0097389B" w:rsidRPr="00443652" w14:paraId="48827487" w14:textId="77777777">
            <w:pPr>
              <w:jc w:val="center"/>
              <w:rPr>
                <w:color w:val="000000"/>
              </w:rPr>
            </w:pPr>
            <w:r w:rsidRPr="00AF46FF">
              <w:rPr>
                <w:color w:val="000000"/>
              </w:rPr>
              <w:t>$3</w:t>
            </w:r>
            <w:r>
              <w:rPr>
                <w:color w:val="000000"/>
              </w:rPr>
              <w:t>5.7</w:t>
            </w:r>
          </w:p>
        </w:tc>
        <w:tc>
          <w:tcPr>
            <w:tcW w:w="2340" w:type="dxa"/>
            <w:vAlign w:val="bottom"/>
          </w:tcPr>
          <w:p w:rsidR="0097389B" w:rsidRPr="00443652" w14:paraId="4FBD295F" w14:textId="77777777">
            <w:pPr>
              <w:jc w:val="center"/>
              <w:rPr>
                <w:color w:val="000000"/>
              </w:rPr>
            </w:pPr>
            <w:r w:rsidRPr="00B808DF">
              <w:rPr>
                <w:color w:val="000000"/>
              </w:rPr>
              <w:t>$42</w:t>
            </w:r>
            <w:r>
              <w:rPr>
                <w:color w:val="000000"/>
              </w:rPr>
              <w:t>.9</w:t>
            </w:r>
          </w:p>
        </w:tc>
        <w:tc>
          <w:tcPr>
            <w:tcW w:w="2065" w:type="dxa"/>
            <w:vAlign w:val="bottom"/>
          </w:tcPr>
          <w:p w:rsidR="0097389B" w:rsidRPr="00443652" w14:paraId="26E9028C" w14:textId="77777777">
            <w:pPr>
              <w:jc w:val="center"/>
              <w:rPr>
                <w:color w:val="000000"/>
              </w:rPr>
            </w:pPr>
            <w:r w:rsidRPr="00AF46FF">
              <w:rPr>
                <w:color w:val="000000"/>
              </w:rPr>
              <w:t>$50</w:t>
            </w:r>
            <w:r>
              <w:rPr>
                <w:color w:val="000000"/>
              </w:rPr>
              <w:t>.7</w:t>
            </w:r>
          </w:p>
        </w:tc>
      </w:tr>
      <w:tr w14:paraId="3A56C2DD" w14:textId="77777777">
        <w:tblPrEx>
          <w:tblW w:w="0" w:type="auto"/>
          <w:tblLayout w:type="fixed"/>
          <w:tblLook w:val="04A0"/>
        </w:tblPrEx>
        <w:tc>
          <w:tcPr>
            <w:tcW w:w="2245" w:type="dxa"/>
          </w:tcPr>
          <w:p w:rsidR="0097389B" w14:paraId="08E10E0C" w14:textId="77777777">
            <w:pPr>
              <w:jc w:val="center"/>
            </w:pPr>
            <w:r>
              <w:t>5</w:t>
            </w:r>
          </w:p>
        </w:tc>
        <w:tc>
          <w:tcPr>
            <w:tcW w:w="1980" w:type="dxa"/>
            <w:vAlign w:val="bottom"/>
          </w:tcPr>
          <w:p w:rsidR="0097389B" w:rsidRPr="00443652" w14:paraId="3CE487D3" w14:textId="77777777">
            <w:pPr>
              <w:jc w:val="center"/>
              <w:rPr>
                <w:color w:val="000000"/>
              </w:rPr>
            </w:pPr>
            <w:r w:rsidRPr="00AF46FF">
              <w:rPr>
                <w:color w:val="000000"/>
              </w:rPr>
              <w:t>$3</w:t>
            </w:r>
            <w:r>
              <w:rPr>
                <w:color w:val="000000"/>
              </w:rPr>
              <w:t>5.9</w:t>
            </w:r>
          </w:p>
        </w:tc>
        <w:tc>
          <w:tcPr>
            <w:tcW w:w="2340" w:type="dxa"/>
            <w:vAlign w:val="bottom"/>
          </w:tcPr>
          <w:p w:rsidR="0097389B" w:rsidRPr="00443652" w14:paraId="263B7C9A" w14:textId="77777777">
            <w:pPr>
              <w:jc w:val="center"/>
              <w:rPr>
                <w:color w:val="000000"/>
              </w:rPr>
            </w:pPr>
            <w:r w:rsidRPr="00B808DF">
              <w:rPr>
                <w:color w:val="000000"/>
              </w:rPr>
              <w:t>$42</w:t>
            </w:r>
            <w:r>
              <w:rPr>
                <w:color w:val="000000"/>
              </w:rPr>
              <w:t>.9</w:t>
            </w:r>
          </w:p>
        </w:tc>
        <w:tc>
          <w:tcPr>
            <w:tcW w:w="2065" w:type="dxa"/>
            <w:vAlign w:val="bottom"/>
          </w:tcPr>
          <w:p w:rsidR="0097389B" w:rsidRPr="00443652" w14:paraId="5327D658" w14:textId="77777777">
            <w:pPr>
              <w:jc w:val="center"/>
              <w:rPr>
                <w:color w:val="000000"/>
              </w:rPr>
            </w:pPr>
            <w:r w:rsidRPr="00AF46FF">
              <w:rPr>
                <w:color w:val="000000"/>
              </w:rPr>
              <w:t>$50</w:t>
            </w:r>
            <w:r>
              <w:rPr>
                <w:color w:val="000000"/>
              </w:rPr>
              <w:t>.9</w:t>
            </w:r>
          </w:p>
        </w:tc>
      </w:tr>
      <w:tr w14:paraId="4DC3B3D1" w14:textId="77777777">
        <w:tblPrEx>
          <w:tblW w:w="0" w:type="auto"/>
          <w:tblLayout w:type="fixed"/>
          <w:tblLook w:val="04A0"/>
        </w:tblPrEx>
        <w:tc>
          <w:tcPr>
            <w:tcW w:w="2245" w:type="dxa"/>
          </w:tcPr>
          <w:p w:rsidR="0097389B" w14:paraId="2D7E6A68" w14:textId="77777777">
            <w:pPr>
              <w:jc w:val="center"/>
            </w:pPr>
            <w:r>
              <w:t>6</w:t>
            </w:r>
          </w:p>
        </w:tc>
        <w:tc>
          <w:tcPr>
            <w:tcW w:w="1980" w:type="dxa"/>
            <w:vAlign w:val="bottom"/>
          </w:tcPr>
          <w:p w:rsidR="0097389B" w:rsidRPr="00443652" w14:paraId="65C4F49E" w14:textId="77777777">
            <w:pPr>
              <w:jc w:val="center"/>
              <w:rPr>
                <w:color w:val="000000"/>
              </w:rPr>
            </w:pPr>
            <w:r w:rsidRPr="00AF46FF">
              <w:rPr>
                <w:color w:val="000000"/>
              </w:rPr>
              <w:t>$35</w:t>
            </w:r>
            <w:r>
              <w:rPr>
                <w:color w:val="000000"/>
              </w:rPr>
              <w:t>.7</w:t>
            </w:r>
          </w:p>
        </w:tc>
        <w:tc>
          <w:tcPr>
            <w:tcW w:w="2340" w:type="dxa"/>
            <w:vAlign w:val="bottom"/>
          </w:tcPr>
          <w:p w:rsidR="0097389B" w:rsidRPr="00443652" w14:paraId="4FE92D43" w14:textId="77777777">
            <w:pPr>
              <w:jc w:val="center"/>
              <w:rPr>
                <w:color w:val="000000"/>
              </w:rPr>
            </w:pPr>
            <w:r w:rsidRPr="00B808DF">
              <w:rPr>
                <w:color w:val="000000"/>
              </w:rPr>
              <w:t>$42</w:t>
            </w:r>
            <w:r>
              <w:rPr>
                <w:color w:val="000000"/>
              </w:rPr>
              <w:t>.9</w:t>
            </w:r>
          </w:p>
        </w:tc>
        <w:tc>
          <w:tcPr>
            <w:tcW w:w="2065" w:type="dxa"/>
            <w:vAlign w:val="bottom"/>
          </w:tcPr>
          <w:p w:rsidR="0097389B" w:rsidRPr="00443652" w14:paraId="3F7A3157" w14:textId="77777777">
            <w:pPr>
              <w:jc w:val="center"/>
              <w:rPr>
                <w:color w:val="000000"/>
              </w:rPr>
            </w:pPr>
            <w:r w:rsidRPr="00AF46FF">
              <w:rPr>
                <w:color w:val="000000"/>
              </w:rPr>
              <w:t>$50</w:t>
            </w:r>
            <w:r>
              <w:rPr>
                <w:color w:val="000000"/>
              </w:rPr>
              <w:t>.7</w:t>
            </w:r>
          </w:p>
        </w:tc>
      </w:tr>
      <w:tr w14:paraId="2A8FC956" w14:textId="77777777">
        <w:tblPrEx>
          <w:tblW w:w="0" w:type="auto"/>
          <w:tblLayout w:type="fixed"/>
          <w:tblLook w:val="04A0"/>
        </w:tblPrEx>
        <w:tc>
          <w:tcPr>
            <w:tcW w:w="2245" w:type="dxa"/>
          </w:tcPr>
          <w:p w:rsidR="0097389B" w14:paraId="67D63144" w14:textId="77777777">
            <w:pPr>
              <w:jc w:val="center"/>
            </w:pPr>
            <w:r>
              <w:t>7</w:t>
            </w:r>
          </w:p>
        </w:tc>
        <w:tc>
          <w:tcPr>
            <w:tcW w:w="1980" w:type="dxa"/>
            <w:vAlign w:val="bottom"/>
          </w:tcPr>
          <w:p w:rsidR="0097389B" w:rsidRPr="00443652" w14:paraId="1F2CDD77" w14:textId="77777777">
            <w:pPr>
              <w:jc w:val="center"/>
              <w:rPr>
                <w:color w:val="000000"/>
              </w:rPr>
            </w:pPr>
            <w:r w:rsidRPr="00AF46FF">
              <w:rPr>
                <w:color w:val="000000"/>
              </w:rPr>
              <w:t>$36</w:t>
            </w:r>
            <w:r>
              <w:rPr>
                <w:color w:val="000000"/>
              </w:rPr>
              <w:t>.1</w:t>
            </w:r>
          </w:p>
        </w:tc>
        <w:tc>
          <w:tcPr>
            <w:tcW w:w="2340" w:type="dxa"/>
            <w:vAlign w:val="bottom"/>
          </w:tcPr>
          <w:p w:rsidR="0097389B" w:rsidRPr="00443652" w14:paraId="1738D6F4" w14:textId="77777777">
            <w:pPr>
              <w:jc w:val="center"/>
              <w:rPr>
                <w:color w:val="000000"/>
              </w:rPr>
            </w:pPr>
            <w:r w:rsidRPr="00B808DF">
              <w:rPr>
                <w:color w:val="000000"/>
              </w:rPr>
              <w:t>$42</w:t>
            </w:r>
            <w:r>
              <w:rPr>
                <w:color w:val="000000"/>
              </w:rPr>
              <w:t>.9</w:t>
            </w:r>
          </w:p>
        </w:tc>
        <w:tc>
          <w:tcPr>
            <w:tcW w:w="2065" w:type="dxa"/>
            <w:vAlign w:val="bottom"/>
          </w:tcPr>
          <w:p w:rsidR="0097389B" w:rsidRPr="00443652" w14:paraId="7A9B155F" w14:textId="77777777">
            <w:pPr>
              <w:jc w:val="center"/>
              <w:rPr>
                <w:color w:val="000000"/>
              </w:rPr>
            </w:pPr>
            <w:r w:rsidRPr="00AF46FF">
              <w:rPr>
                <w:color w:val="000000"/>
              </w:rPr>
              <w:t>$50</w:t>
            </w:r>
            <w:r>
              <w:rPr>
                <w:color w:val="000000"/>
              </w:rPr>
              <w:t>.3</w:t>
            </w:r>
          </w:p>
        </w:tc>
      </w:tr>
      <w:tr w14:paraId="2EBA5C3E" w14:textId="77777777">
        <w:tblPrEx>
          <w:tblW w:w="0" w:type="auto"/>
          <w:tblLayout w:type="fixed"/>
          <w:tblLook w:val="04A0"/>
        </w:tblPrEx>
        <w:tc>
          <w:tcPr>
            <w:tcW w:w="2245" w:type="dxa"/>
          </w:tcPr>
          <w:p w:rsidR="0097389B" w14:paraId="692BAA67" w14:textId="77777777">
            <w:pPr>
              <w:jc w:val="center"/>
            </w:pPr>
            <w:r>
              <w:t>8</w:t>
            </w:r>
          </w:p>
        </w:tc>
        <w:tc>
          <w:tcPr>
            <w:tcW w:w="1980" w:type="dxa"/>
            <w:vAlign w:val="bottom"/>
          </w:tcPr>
          <w:p w:rsidR="0097389B" w:rsidRPr="00443652" w14:paraId="4B351A2B" w14:textId="77777777">
            <w:pPr>
              <w:jc w:val="center"/>
              <w:rPr>
                <w:color w:val="000000"/>
              </w:rPr>
            </w:pPr>
            <w:r w:rsidRPr="00AF46FF">
              <w:rPr>
                <w:color w:val="000000"/>
              </w:rPr>
              <w:t>$35</w:t>
            </w:r>
            <w:r>
              <w:rPr>
                <w:color w:val="000000"/>
              </w:rPr>
              <w:t>.8</w:t>
            </w:r>
          </w:p>
        </w:tc>
        <w:tc>
          <w:tcPr>
            <w:tcW w:w="2340" w:type="dxa"/>
            <w:vAlign w:val="bottom"/>
          </w:tcPr>
          <w:p w:rsidR="0097389B" w:rsidRPr="00443652" w14:paraId="4F39BAE9" w14:textId="77777777">
            <w:pPr>
              <w:jc w:val="center"/>
              <w:rPr>
                <w:color w:val="000000"/>
              </w:rPr>
            </w:pPr>
            <w:r w:rsidRPr="00B808DF">
              <w:rPr>
                <w:color w:val="000000"/>
              </w:rPr>
              <w:t>$42</w:t>
            </w:r>
            <w:r>
              <w:rPr>
                <w:color w:val="000000"/>
              </w:rPr>
              <w:t>.9</w:t>
            </w:r>
          </w:p>
        </w:tc>
        <w:tc>
          <w:tcPr>
            <w:tcW w:w="2065" w:type="dxa"/>
            <w:vAlign w:val="bottom"/>
          </w:tcPr>
          <w:p w:rsidR="0097389B" w:rsidRPr="00443652" w14:paraId="74C46DEF" w14:textId="77777777">
            <w:pPr>
              <w:jc w:val="center"/>
              <w:rPr>
                <w:color w:val="000000"/>
              </w:rPr>
            </w:pPr>
            <w:r w:rsidRPr="00AF46FF">
              <w:rPr>
                <w:color w:val="000000"/>
              </w:rPr>
              <w:t>$50</w:t>
            </w:r>
            <w:r>
              <w:rPr>
                <w:color w:val="000000"/>
              </w:rPr>
              <w:t>.9</w:t>
            </w:r>
          </w:p>
        </w:tc>
      </w:tr>
      <w:tr w14:paraId="5AB00211" w14:textId="77777777">
        <w:tblPrEx>
          <w:tblW w:w="0" w:type="auto"/>
          <w:tblLayout w:type="fixed"/>
          <w:tblLook w:val="04A0"/>
        </w:tblPrEx>
        <w:tc>
          <w:tcPr>
            <w:tcW w:w="2245" w:type="dxa"/>
          </w:tcPr>
          <w:p w:rsidR="0097389B" w14:paraId="3E717816" w14:textId="77777777">
            <w:pPr>
              <w:jc w:val="center"/>
            </w:pPr>
            <w:r>
              <w:t>9</w:t>
            </w:r>
          </w:p>
        </w:tc>
        <w:tc>
          <w:tcPr>
            <w:tcW w:w="1980" w:type="dxa"/>
            <w:vAlign w:val="bottom"/>
          </w:tcPr>
          <w:p w:rsidR="0097389B" w:rsidRPr="00443652" w14:paraId="2218BB5C" w14:textId="77777777">
            <w:pPr>
              <w:jc w:val="center"/>
              <w:rPr>
                <w:color w:val="000000"/>
              </w:rPr>
            </w:pPr>
            <w:r w:rsidRPr="00AF46FF">
              <w:rPr>
                <w:color w:val="000000"/>
              </w:rPr>
              <w:t>$35</w:t>
            </w:r>
            <w:r>
              <w:rPr>
                <w:color w:val="000000"/>
              </w:rPr>
              <w:t>.8</w:t>
            </w:r>
          </w:p>
        </w:tc>
        <w:tc>
          <w:tcPr>
            <w:tcW w:w="2340" w:type="dxa"/>
            <w:vAlign w:val="bottom"/>
          </w:tcPr>
          <w:p w:rsidR="0097389B" w:rsidRPr="00443652" w14:paraId="29D88A52" w14:textId="77777777">
            <w:pPr>
              <w:jc w:val="center"/>
              <w:rPr>
                <w:color w:val="000000"/>
              </w:rPr>
            </w:pPr>
            <w:r w:rsidRPr="00B808DF">
              <w:rPr>
                <w:color w:val="000000"/>
              </w:rPr>
              <w:t>$42</w:t>
            </w:r>
            <w:r>
              <w:rPr>
                <w:color w:val="000000"/>
              </w:rPr>
              <w:t>.9</w:t>
            </w:r>
          </w:p>
        </w:tc>
        <w:tc>
          <w:tcPr>
            <w:tcW w:w="2065" w:type="dxa"/>
            <w:vAlign w:val="bottom"/>
          </w:tcPr>
          <w:p w:rsidR="0097389B" w:rsidRPr="00443652" w14:paraId="733F33B8" w14:textId="77777777">
            <w:pPr>
              <w:jc w:val="center"/>
              <w:rPr>
                <w:color w:val="000000"/>
              </w:rPr>
            </w:pPr>
            <w:r w:rsidRPr="00AF46FF">
              <w:rPr>
                <w:color w:val="000000"/>
              </w:rPr>
              <w:t>$50</w:t>
            </w:r>
            <w:r>
              <w:rPr>
                <w:color w:val="000000"/>
              </w:rPr>
              <w:t>.0</w:t>
            </w:r>
          </w:p>
        </w:tc>
      </w:tr>
      <w:tr w14:paraId="6C7A176B" w14:textId="77777777">
        <w:tblPrEx>
          <w:tblW w:w="0" w:type="auto"/>
          <w:tblLayout w:type="fixed"/>
          <w:tblLook w:val="04A0"/>
        </w:tblPrEx>
        <w:trPr>
          <w:trHeight w:val="277"/>
        </w:trPr>
        <w:tc>
          <w:tcPr>
            <w:tcW w:w="2245" w:type="dxa"/>
          </w:tcPr>
          <w:p w:rsidR="0097389B" w:rsidRPr="00F16FAC" w14:paraId="2D4C397E" w14:textId="77777777">
            <w:pPr>
              <w:jc w:val="center"/>
            </w:pPr>
            <w:r>
              <w:t>Annualized, 3%</w:t>
            </w:r>
          </w:p>
        </w:tc>
        <w:tc>
          <w:tcPr>
            <w:tcW w:w="1980" w:type="dxa"/>
            <w:vAlign w:val="bottom"/>
          </w:tcPr>
          <w:p w:rsidR="0097389B" w:rsidRPr="00443652" w14:paraId="60465F27" w14:textId="77777777">
            <w:pPr>
              <w:jc w:val="center"/>
              <w:rPr>
                <w:rFonts w:eastAsia="Times New Roman"/>
                <w:color w:val="000000"/>
              </w:rPr>
            </w:pPr>
            <w:r w:rsidRPr="00AF46FF">
              <w:rPr>
                <w:color w:val="000000"/>
              </w:rPr>
              <w:t>$30</w:t>
            </w:r>
            <w:r>
              <w:rPr>
                <w:color w:val="000000"/>
              </w:rPr>
              <w:t>.2</w:t>
            </w:r>
          </w:p>
        </w:tc>
        <w:tc>
          <w:tcPr>
            <w:tcW w:w="2340" w:type="dxa"/>
            <w:vAlign w:val="bottom"/>
          </w:tcPr>
          <w:p w:rsidR="0097389B" w:rsidRPr="00443652" w14:paraId="06BD46D8" w14:textId="77777777">
            <w:pPr>
              <w:jc w:val="center"/>
              <w:rPr>
                <w:color w:val="000000"/>
              </w:rPr>
            </w:pPr>
            <w:r w:rsidRPr="00AF46FF">
              <w:rPr>
                <w:color w:val="000000"/>
              </w:rPr>
              <w:t>$36</w:t>
            </w:r>
            <w:r>
              <w:rPr>
                <w:color w:val="000000"/>
              </w:rPr>
              <w:t>.1</w:t>
            </w:r>
          </w:p>
        </w:tc>
        <w:tc>
          <w:tcPr>
            <w:tcW w:w="2065" w:type="dxa"/>
            <w:vAlign w:val="bottom"/>
          </w:tcPr>
          <w:p w:rsidR="0097389B" w:rsidRPr="00443652" w14:paraId="2653809F" w14:textId="77777777">
            <w:pPr>
              <w:jc w:val="center"/>
              <w:rPr>
                <w:color w:val="000000"/>
              </w:rPr>
            </w:pPr>
            <w:r w:rsidRPr="00AF46FF">
              <w:rPr>
                <w:color w:val="000000"/>
              </w:rPr>
              <w:t>$42</w:t>
            </w:r>
            <w:r>
              <w:rPr>
                <w:color w:val="000000"/>
              </w:rPr>
              <w:t>.7</w:t>
            </w:r>
          </w:p>
        </w:tc>
      </w:tr>
      <w:tr w14:paraId="6CFC88AC" w14:textId="77777777">
        <w:tblPrEx>
          <w:tblW w:w="0" w:type="auto"/>
          <w:tblLayout w:type="fixed"/>
          <w:tblLook w:val="04A0"/>
        </w:tblPrEx>
        <w:trPr>
          <w:trHeight w:val="277"/>
        </w:trPr>
        <w:tc>
          <w:tcPr>
            <w:tcW w:w="2245" w:type="dxa"/>
          </w:tcPr>
          <w:p w:rsidR="0097389B" w14:paraId="22E164E6" w14:textId="77777777">
            <w:pPr>
              <w:jc w:val="center"/>
            </w:pPr>
            <w:r>
              <w:t>Annualized, 7%</w:t>
            </w:r>
          </w:p>
        </w:tc>
        <w:tc>
          <w:tcPr>
            <w:tcW w:w="1980" w:type="dxa"/>
            <w:vAlign w:val="bottom"/>
          </w:tcPr>
          <w:p w:rsidR="0097389B" w:rsidRPr="00443652" w14:paraId="3BE89D4D" w14:textId="77777777">
            <w:pPr>
              <w:jc w:val="center"/>
              <w:rPr>
                <w:color w:val="000000"/>
              </w:rPr>
            </w:pPr>
            <w:r w:rsidRPr="00AF46FF">
              <w:rPr>
                <w:color w:val="000000"/>
              </w:rPr>
              <w:t>$29</w:t>
            </w:r>
            <w:r>
              <w:rPr>
                <w:color w:val="000000"/>
              </w:rPr>
              <w:t>.5</w:t>
            </w:r>
          </w:p>
        </w:tc>
        <w:tc>
          <w:tcPr>
            <w:tcW w:w="2340" w:type="dxa"/>
            <w:vAlign w:val="bottom"/>
          </w:tcPr>
          <w:p w:rsidR="0097389B" w:rsidRPr="00443652" w14:paraId="65E77354" w14:textId="77777777">
            <w:pPr>
              <w:jc w:val="center"/>
              <w:rPr>
                <w:color w:val="000000"/>
              </w:rPr>
            </w:pPr>
            <w:r w:rsidRPr="00AF46FF">
              <w:rPr>
                <w:color w:val="000000"/>
              </w:rPr>
              <w:t>$35</w:t>
            </w:r>
            <w:r>
              <w:rPr>
                <w:color w:val="000000"/>
              </w:rPr>
              <w:t>.3</w:t>
            </w:r>
          </w:p>
        </w:tc>
        <w:tc>
          <w:tcPr>
            <w:tcW w:w="2065" w:type="dxa"/>
            <w:vAlign w:val="bottom"/>
          </w:tcPr>
          <w:p w:rsidR="0097389B" w:rsidRPr="00443652" w14:paraId="7B404DFB" w14:textId="77777777">
            <w:pPr>
              <w:jc w:val="center"/>
              <w:rPr>
                <w:color w:val="000000"/>
              </w:rPr>
            </w:pPr>
            <w:r w:rsidRPr="00AF46FF">
              <w:rPr>
                <w:color w:val="000000"/>
              </w:rPr>
              <w:t>$41</w:t>
            </w:r>
            <w:r>
              <w:rPr>
                <w:color w:val="000000"/>
              </w:rPr>
              <w:t>.7</w:t>
            </w:r>
          </w:p>
        </w:tc>
      </w:tr>
    </w:tbl>
    <w:p w:rsidR="0097389B" w:rsidP="00026F9A" w14:paraId="418E4288" w14:textId="77777777">
      <w:pPr>
        <w:spacing w:line="480" w:lineRule="auto"/>
        <w:ind w:firstLine="720"/>
      </w:pPr>
    </w:p>
    <w:p w:rsidR="00B30F33" w14:paraId="0384F919" w14:textId="77777777">
      <w:pPr>
        <w:spacing w:line="276" w:lineRule="auto"/>
        <w:rPr>
          <w:b/>
        </w:rPr>
      </w:pPr>
      <w:r>
        <w:rPr>
          <w:b/>
        </w:rPr>
        <w:br w:type="page"/>
      </w:r>
    </w:p>
    <w:p w:rsidR="00E33B65" w:rsidRPr="00E33B65" w:rsidP="00026F9A" w14:paraId="6FCD980A" w14:textId="4841130F">
      <w:pPr>
        <w:rPr>
          <w:b/>
        </w:rPr>
      </w:pPr>
      <w:r w:rsidRPr="006F3EEB">
        <w:rPr>
          <w:b/>
        </w:rPr>
        <w:t xml:space="preserve">Table </w:t>
      </w:r>
      <w:r>
        <w:rPr>
          <w:b/>
        </w:rPr>
        <w:t>3</w:t>
      </w:r>
      <w:r w:rsidR="00976CA5">
        <w:rPr>
          <w:b/>
        </w:rPr>
        <w:t>9</w:t>
      </w:r>
      <w:r w:rsidRPr="00B90451">
        <w:rPr>
          <w:b/>
        </w:rPr>
        <w:t xml:space="preserve">: </w:t>
      </w:r>
      <w:r w:rsidR="0095521F">
        <w:rPr>
          <w:b/>
        </w:rPr>
        <w:t xml:space="preserve">Primary Estimate of </w:t>
      </w:r>
      <w:r>
        <w:rPr>
          <w:b/>
        </w:rPr>
        <w:t>Benefits and Costs of th</w:t>
      </w:r>
      <w:r w:rsidR="00234E15">
        <w:rPr>
          <w:b/>
        </w:rPr>
        <w:t>e Rule by Baseline</w:t>
      </w:r>
      <w:r w:rsidRPr="00B90451">
        <w:rPr>
          <w:b/>
        </w:rPr>
        <w:t xml:space="preserve">, </w:t>
      </w:r>
      <w:r>
        <w:rPr>
          <w:b/>
        </w:rPr>
        <w:t>A</w:t>
      </w:r>
      <w:r w:rsidRPr="00B90451">
        <w:rPr>
          <w:b/>
        </w:rPr>
        <w:t xml:space="preserve">ll </w:t>
      </w:r>
      <w:r>
        <w:rPr>
          <w:b/>
        </w:rPr>
        <w:t>F</w:t>
      </w:r>
      <w:r w:rsidRPr="00B90451">
        <w:rPr>
          <w:b/>
        </w:rPr>
        <w:t>arms</w:t>
      </w:r>
      <w:r>
        <w:rPr>
          <w:b/>
        </w:rPr>
        <w:t xml:space="preserve"> (millions 202</w:t>
      </w:r>
      <w:r w:rsidR="00401746">
        <w:rPr>
          <w:b/>
        </w:rPr>
        <w:t>2</w:t>
      </w:r>
      <w:r>
        <w:rPr>
          <w:b/>
        </w:rPr>
        <w:t>$)</w:t>
      </w:r>
    </w:p>
    <w:tbl>
      <w:tblPr>
        <w:tblStyle w:val="TableGrid"/>
        <w:tblW w:w="0" w:type="auto"/>
        <w:tblLook w:val="04A0"/>
      </w:tblPr>
      <w:tblGrid>
        <w:gridCol w:w="3116"/>
        <w:gridCol w:w="3117"/>
        <w:gridCol w:w="3117"/>
      </w:tblGrid>
      <w:tr w14:paraId="69A0AFFF" w14:textId="77777777" w:rsidTr="00E33B65">
        <w:tblPrEx>
          <w:tblW w:w="0" w:type="auto"/>
          <w:tblLook w:val="04A0"/>
        </w:tblPrEx>
        <w:tc>
          <w:tcPr>
            <w:tcW w:w="3116" w:type="dxa"/>
          </w:tcPr>
          <w:p w:rsidR="00E33B65" w:rsidRPr="00E33B65" w:rsidP="00026F9A" w14:paraId="3D9D79D3" w14:textId="77777777"/>
        </w:tc>
        <w:tc>
          <w:tcPr>
            <w:tcW w:w="3117" w:type="dxa"/>
          </w:tcPr>
          <w:p w:rsidR="00E33B65" w:rsidRPr="00234E15" w:rsidP="0085215E" w14:paraId="5D577A61" w14:textId="4DD8F9BF">
            <w:pPr>
              <w:jc w:val="center"/>
              <w:rPr>
                <w:b/>
                <w:bCs/>
              </w:rPr>
            </w:pPr>
            <w:r>
              <w:rPr>
                <w:b/>
                <w:bCs/>
              </w:rPr>
              <w:t xml:space="preserve">Relative to </w:t>
            </w:r>
            <w:r w:rsidR="00194A57">
              <w:rPr>
                <w:b/>
                <w:bCs/>
              </w:rPr>
              <w:t>P</w:t>
            </w:r>
            <w:r>
              <w:rPr>
                <w:b/>
                <w:bCs/>
              </w:rPr>
              <w:t xml:space="preserve">rimary </w:t>
            </w:r>
            <w:r w:rsidR="00194A57">
              <w:rPr>
                <w:b/>
                <w:bCs/>
              </w:rPr>
              <w:t>B</w:t>
            </w:r>
            <w:r>
              <w:rPr>
                <w:b/>
                <w:bCs/>
              </w:rPr>
              <w:t xml:space="preserve">aseline of </w:t>
            </w:r>
            <w:r w:rsidR="00C45D69">
              <w:rPr>
                <w:b/>
                <w:bCs/>
              </w:rPr>
              <w:t>P</w:t>
            </w:r>
            <w:r w:rsidR="00D82ADC">
              <w:rPr>
                <w:b/>
                <w:bCs/>
              </w:rPr>
              <w:t xml:space="preserve">re-harvest </w:t>
            </w:r>
            <w:r w:rsidR="00C45D69">
              <w:rPr>
                <w:b/>
                <w:bCs/>
              </w:rPr>
              <w:t>A</w:t>
            </w:r>
            <w:r w:rsidR="00D82ADC">
              <w:rPr>
                <w:b/>
                <w:bCs/>
              </w:rPr>
              <w:t xml:space="preserve">gricultural </w:t>
            </w:r>
            <w:r w:rsidR="00C45D69">
              <w:rPr>
                <w:b/>
                <w:bCs/>
              </w:rPr>
              <w:t>W</w:t>
            </w:r>
            <w:r w:rsidR="00D82ADC">
              <w:rPr>
                <w:b/>
                <w:bCs/>
              </w:rPr>
              <w:t xml:space="preserve">ater </w:t>
            </w:r>
            <w:r w:rsidR="00C45D69">
              <w:rPr>
                <w:b/>
                <w:bCs/>
              </w:rPr>
              <w:t>T</w:t>
            </w:r>
            <w:r w:rsidR="00D82ADC">
              <w:rPr>
                <w:b/>
                <w:bCs/>
              </w:rPr>
              <w:t xml:space="preserve">esting </w:t>
            </w:r>
            <w:r w:rsidR="00C45D69">
              <w:rPr>
                <w:b/>
                <w:bCs/>
              </w:rPr>
              <w:t>P</w:t>
            </w:r>
            <w:r w:rsidR="00D82ADC">
              <w:rPr>
                <w:b/>
                <w:bCs/>
              </w:rPr>
              <w:t>rovisions</w:t>
            </w:r>
            <w:r w:rsidR="007745F8">
              <w:rPr>
                <w:b/>
                <w:bCs/>
              </w:rPr>
              <w:t xml:space="preserve"> in the 2015 Produce Safety Final </w:t>
            </w:r>
            <w:r w:rsidRPr="61A1317A" w:rsidR="3939E540">
              <w:rPr>
                <w:b/>
                <w:bCs/>
              </w:rPr>
              <w:t>R</w:t>
            </w:r>
            <w:r w:rsidRPr="61A1317A" w:rsidR="563AB61E">
              <w:rPr>
                <w:b/>
                <w:bCs/>
              </w:rPr>
              <w:t>u</w:t>
            </w:r>
            <w:r w:rsidRPr="61A1317A" w:rsidR="3939E540">
              <w:rPr>
                <w:b/>
                <w:bCs/>
              </w:rPr>
              <w:t>le</w:t>
            </w:r>
          </w:p>
        </w:tc>
        <w:tc>
          <w:tcPr>
            <w:tcW w:w="3117" w:type="dxa"/>
          </w:tcPr>
          <w:p w:rsidR="00E33B65" w:rsidRPr="00D82ADC" w:rsidP="0085215E" w14:paraId="7FFEB633" w14:textId="0CB2455F">
            <w:pPr>
              <w:jc w:val="center"/>
              <w:rPr>
                <w:b/>
                <w:bCs/>
              </w:rPr>
            </w:pPr>
            <w:r>
              <w:rPr>
                <w:b/>
                <w:bCs/>
              </w:rPr>
              <w:t xml:space="preserve">Relative to no </w:t>
            </w:r>
            <w:r w:rsidR="00C45D69">
              <w:rPr>
                <w:b/>
                <w:bCs/>
              </w:rPr>
              <w:t>P</w:t>
            </w:r>
            <w:r>
              <w:rPr>
                <w:b/>
                <w:bCs/>
              </w:rPr>
              <w:t xml:space="preserve">re-harvest </w:t>
            </w:r>
            <w:r w:rsidR="00C45D69">
              <w:rPr>
                <w:b/>
                <w:bCs/>
              </w:rPr>
              <w:t>A</w:t>
            </w:r>
            <w:r>
              <w:rPr>
                <w:b/>
                <w:bCs/>
              </w:rPr>
              <w:t xml:space="preserve">gricultural </w:t>
            </w:r>
            <w:r w:rsidR="00C45D69">
              <w:rPr>
                <w:b/>
                <w:bCs/>
              </w:rPr>
              <w:t>W</w:t>
            </w:r>
            <w:r>
              <w:rPr>
                <w:b/>
                <w:bCs/>
              </w:rPr>
              <w:t xml:space="preserve">ater </w:t>
            </w:r>
            <w:r w:rsidR="00C45D69">
              <w:rPr>
                <w:b/>
                <w:bCs/>
              </w:rPr>
              <w:t>P</w:t>
            </w:r>
            <w:r>
              <w:rPr>
                <w:b/>
                <w:bCs/>
              </w:rPr>
              <w:t>rovisions</w:t>
            </w:r>
          </w:p>
        </w:tc>
      </w:tr>
      <w:tr w14:paraId="52068452" w14:textId="77777777" w:rsidTr="00E33B65">
        <w:tblPrEx>
          <w:tblW w:w="0" w:type="auto"/>
          <w:tblLook w:val="04A0"/>
        </w:tblPrEx>
        <w:tc>
          <w:tcPr>
            <w:tcW w:w="3116" w:type="dxa"/>
          </w:tcPr>
          <w:p w:rsidR="00E33B65" w:rsidRPr="00234E15" w:rsidP="00026F9A" w14:paraId="548CB203" w14:textId="33143246">
            <w:pPr>
              <w:rPr>
                <w:b/>
                <w:bCs/>
              </w:rPr>
            </w:pPr>
            <w:r>
              <w:rPr>
                <w:b/>
                <w:bCs/>
              </w:rPr>
              <w:t xml:space="preserve">Primary </w:t>
            </w:r>
            <w:r w:rsidR="00194A57">
              <w:rPr>
                <w:b/>
                <w:bCs/>
              </w:rPr>
              <w:t>E</w:t>
            </w:r>
            <w:r>
              <w:rPr>
                <w:b/>
                <w:bCs/>
              </w:rPr>
              <w:t xml:space="preserve">stimate of </w:t>
            </w:r>
            <w:r w:rsidR="00194A57">
              <w:rPr>
                <w:b/>
                <w:bCs/>
              </w:rPr>
              <w:t>T</w:t>
            </w:r>
            <w:r w:rsidR="00234E15">
              <w:rPr>
                <w:b/>
                <w:bCs/>
              </w:rPr>
              <w:t xml:space="preserve">otal </w:t>
            </w:r>
            <w:r w:rsidR="00194A57">
              <w:rPr>
                <w:b/>
                <w:bCs/>
              </w:rPr>
              <w:t>B</w:t>
            </w:r>
            <w:r w:rsidR="00234E15">
              <w:rPr>
                <w:b/>
                <w:bCs/>
              </w:rPr>
              <w:t xml:space="preserve">enefit of the </w:t>
            </w:r>
            <w:r w:rsidR="00194A57">
              <w:rPr>
                <w:b/>
                <w:bCs/>
              </w:rPr>
              <w:t>R</w:t>
            </w:r>
            <w:r w:rsidR="00234E15">
              <w:rPr>
                <w:b/>
                <w:bCs/>
              </w:rPr>
              <w:t xml:space="preserve">ule, </w:t>
            </w:r>
            <w:r w:rsidR="00194A57">
              <w:rPr>
                <w:b/>
                <w:bCs/>
              </w:rPr>
              <w:t>A</w:t>
            </w:r>
            <w:r w:rsidR="00234E15">
              <w:rPr>
                <w:b/>
                <w:bCs/>
              </w:rPr>
              <w:t>nnualized, 3%</w:t>
            </w:r>
          </w:p>
        </w:tc>
        <w:tc>
          <w:tcPr>
            <w:tcW w:w="3117" w:type="dxa"/>
          </w:tcPr>
          <w:p w:rsidR="0095521F" w:rsidP="00026F9A" w14:paraId="4F993D1D" w14:textId="77777777">
            <w:pPr>
              <w:jc w:val="center"/>
            </w:pPr>
          </w:p>
          <w:p w:rsidR="00E33B65" w:rsidRPr="00E255AD" w:rsidP="00026F9A" w14:paraId="3495F7E7" w14:textId="6C40852D">
            <w:pPr>
              <w:jc w:val="center"/>
            </w:pPr>
            <w:r>
              <w:t>$</w:t>
            </w:r>
            <w:r w:rsidR="00401746">
              <w:t>10.3</w:t>
            </w:r>
          </w:p>
        </w:tc>
        <w:tc>
          <w:tcPr>
            <w:tcW w:w="3117" w:type="dxa"/>
          </w:tcPr>
          <w:p w:rsidR="0095521F" w:rsidP="00026F9A" w14:paraId="22795F8A" w14:textId="77777777">
            <w:pPr>
              <w:jc w:val="center"/>
            </w:pPr>
          </w:p>
          <w:p w:rsidR="00E33B65" w:rsidRPr="00E255AD" w:rsidP="00026F9A" w14:paraId="78543873" w14:textId="0241FDF2">
            <w:pPr>
              <w:jc w:val="center"/>
            </w:pPr>
            <w:r>
              <w:t>$8</w:t>
            </w:r>
            <w:r w:rsidR="00401746">
              <w:t>6.1</w:t>
            </w:r>
          </w:p>
        </w:tc>
      </w:tr>
      <w:tr w14:paraId="5F65E7E6" w14:textId="77777777" w:rsidTr="00E33B65">
        <w:tblPrEx>
          <w:tblW w:w="0" w:type="auto"/>
          <w:tblLook w:val="04A0"/>
        </w:tblPrEx>
        <w:tc>
          <w:tcPr>
            <w:tcW w:w="3116" w:type="dxa"/>
          </w:tcPr>
          <w:p w:rsidR="00E33B65" w:rsidRPr="00234E15" w:rsidP="00026F9A" w14:paraId="5F0F1108" w14:textId="742EBF2D">
            <w:pPr>
              <w:rPr>
                <w:b/>
                <w:bCs/>
              </w:rPr>
            </w:pPr>
            <w:r>
              <w:rPr>
                <w:b/>
                <w:bCs/>
              </w:rPr>
              <w:t xml:space="preserve">Primary </w:t>
            </w:r>
            <w:r w:rsidR="00194A57">
              <w:rPr>
                <w:b/>
                <w:bCs/>
              </w:rPr>
              <w:t>E</w:t>
            </w:r>
            <w:r>
              <w:rPr>
                <w:b/>
                <w:bCs/>
              </w:rPr>
              <w:t xml:space="preserve">stimate of </w:t>
            </w:r>
            <w:r w:rsidR="00194A57">
              <w:rPr>
                <w:b/>
                <w:bCs/>
              </w:rPr>
              <w:t>T</w:t>
            </w:r>
            <w:r w:rsidR="00234E15">
              <w:rPr>
                <w:b/>
                <w:bCs/>
              </w:rPr>
              <w:t xml:space="preserve">otal </w:t>
            </w:r>
            <w:r w:rsidR="00194A57">
              <w:rPr>
                <w:b/>
                <w:bCs/>
              </w:rPr>
              <w:t>C</w:t>
            </w:r>
            <w:r w:rsidR="00234E15">
              <w:rPr>
                <w:b/>
                <w:bCs/>
              </w:rPr>
              <w:t xml:space="preserve">ost of the </w:t>
            </w:r>
            <w:r w:rsidR="00194A57">
              <w:rPr>
                <w:b/>
                <w:bCs/>
              </w:rPr>
              <w:t>R</w:t>
            </w:r>
            <w:r w:rsidR="00234E15">
              <w:rPr>
                <w:b/>
                <w:bCs/>
              </w:rPr>
              <w:t xml:space="preserve">ule, </w:t>
            </w:r>
            <w:r w:rsidR="00194A57">
              <w:rPr>
                <w:b/>
                <w:bCs/>
              </w:rPr>
              <w:t>A</w:t>
            </w:r>
            <w:r w:rsidR="00234E15">
              <w:rPr>
                <w:b/>
                <w:bCs/>
              </w:rPr>
              <w:t>nnualized, 3%</w:t>
            </w:r>
          </w:p>
        </w:tc>
        <w:tc>
          <w:tcPr>
            <w:tcW w:w="3117" w:type="dxa"/>
          </w:tcPr>
          <w:p w:rsidR="0095521F" w:rsidP="00026F9A" w14:paraId="676F2721" w14:textId="77777777">
            <w:pPr>
              <w:jc w:val="center"/>
            </w:pPr>
          </w:p>
          <w:p w:rsidR="00E33B65" w:rsidRPr="00E255AD" w:rsidP="00026F9A" w14:paraId="600D588A" w14:textId="38B7E449">
            <w:pPr>
              <w:jc w:val="center"/>
            </w:pPr>
            <w:r w:rsidRPr="00E255AD">
              <w:t>$1</w:t>
            </w:r>
            <w:r w:rsidR="00401746">
              <w:t>7.5</w:t>
            </w:r>
          </w:p>
        </w:tc>
        <w:tc>
          <w:tcPr>
            <w:tcW w:w="3117" w:type="dxa"/>
          </w:tcPr>
          <w:p w:rsidR="0095521F" w:rsidP="00026F9A" w14:paraId="7BE1BAC2" w14:textId="77777777">
            <w:pPr>
              <w:jc w:val="center"/>
            </w:pPr>
          </w:p>
          <w:p w:rsidR="00E33B65" w:rsidRPr="00E255AD" w:rsidP="00026F9A" w14:paraId="7B0A90E7" w14:textId="01BDA748">
            <w:pPr>
              <w:jc w:val="center"/>
            </w:pPr>
            <w:r w:rsidRPr="00E255AD">
              <w:t>$3</w:t>
            </w:r>
            <w:r w:rsidR="00401746">
              <w:t>6.1</w:t>
            </w:r>
          </w:p>
        </w:tc>
      </w:tr>
    </w:tbl>
    <w:p w:rsidR="00E33B65" w:rsidP="00026F9A" w14:paraId="6DAD0732" w14:textId="77777777">
      <w:pPr>
        <w:rPr>
          <w:i/>
          <w:iCs/>
        </w:rPr>
      </w:pPr>
    </w:p>
    <w:p w:rsidR="00322996" w:rsidP="00026F9A" w14:paraId="52222FE5" w14:textId="6A727A9D">
      <w:pPr>
        <w:pStyle w:val="Heading2"/>
      </w:pPr>
      <w:bookmarkStart w:id="37" w:name="_Toc139642997"/>
      <w:bookmarkStart w:id="38" w:name="_Hlk163035297"/>
      <w:r>
        <w:t>Analysis of Regulatory Alternatives to the Rule</w:t>
      </w:r>
      <w:bookmarkEnd w:id="37"/>
      <w:bookmarkEnd w:id="38"/>
    </w:p>
    <w:p w:rsidR="006748C8" w:rsidP="00026F9A" w14:paraId="0563E253" w14:textId="1A338740">
      <w:pPr>
        <w:spacing w:line="480" w:lineRule="auto"/>
        <w:ind w:firstLine="720"/>
        <w:rPr>
          <w:b/>
        </w:rPr>
      </w:pPr>
      <w:r>
        <w:rPr>
          <w:b/>
        </w:rPr>
        <w:t xml:space="preserve">Option 1: Remove </w:t>
      </w:r>
      <w:r w:rsidR="005E40B4">
        <w:rPr>
          <w:b/>
        </w:rPr>
        <w:t>Pre-</w:t>
      </w:r>
      <w:r w:rsidR="00B13972">
        <w:rPr>
          <w:b/>
        </w:rPr>
        <w:t>h</w:t>
      </w:r>
      <w:r w:rsidR="005E40B4">
        <w:rPr>
          <w:b/>
        </w:rPr>
        <w:t>arvest Agricultural Water Microbial Quality Criteria and Water Testing Provisions in the 2015 Produce Safety Final Rule</w:t>
      </w:r>
    </w:p>
    <w:p w:rsidR="006748C8" w:rsidP="00026F9A" w14:paraId="63EE4BDD" w14:textId="60E2E0A8">
      <w:pPr>
        <w:spacing w:line="480" w:lineRule="auto"/>
        <w:ind w:firstLine="720"/>
      </w:pPr>
      <w:r>
        <w:t xml:space="preserve">Instead of replacing the </w:t>
      </w:r>
      <w:r w:rsidR="00460EC7">
        <w:t>uniform</w:t>
      </w:r>
      <w:r w:rsidR="00BA606E">
        <w:t xml:space="preserve"> </w:t>
      </w:r>
      <w:r>
        <w:t xml:space="preserve">pre-harvest agricultural water </w:t>
      </w:r>
      <w:r w:rsidR="00562BDF">
        <w:t xml:space="preserve">microbial quality criteria and </w:t>
      </w:r>
      <w:r>
        <w:t xml:space="preserve">testing provisions with the pre-harvest agricultural water assessment provisions, one regulatory alternative would be to remove the </w:t>
      </w:r>
      <w:r w:rsidR="00A912B2">
        <w:t xml:space="preserve">pre-harvest agricultural water microbial quality criteria and testing </w:t>
      </w:r>
      <w:r>
        <w:t xml:space="preserve">provisions for pre-harvest agricultural water for non-sprout covered produce. In this alternative, farms would experience cost savings resulting from the removal of the </w:t>
      </w:r>
      <w:r w:rsidR="00520956">
        <w:t>pre-harvest agricultu</w:t>
      </w:r>
      <w:r w:rsidR="003360CA">
        <w:t>r</w:t>
      </w:r>
      <w:r w:rsidR="00520956">
        <w:t>a</w:t>
      </w:r>
      <w:r w:rsidR="003360CA">
        <w:t>l water microbial quality criteria and testing</w:t>
      </w:r>
      <w:r w:rsidR="00520956">
        <w:t xml:space="preserve"> </w:t>
      </w:r>
      <w:r>
        <w:t>provisions</w:t>
      </w:r>
      <w:r w:rsidR="003360CA">
        <w:t xml:space="preserve"> in the 2015 </w:t>
      </w:r>
      <w:r w:rsidR="00026B9D">
        <w:t>produce safety final rule</w:t>
      </w:r>
      <w:r>
        <w:t xml:space="preserve">. The only cost borne by farms would be reading a rule that repeals </w:t>
      </w:r>
      <w:r w:rsidR="003360CA">
        <w:t>those</w:t>
      </w:r>
      <w:r>
        <w:t xml:space="preserve"> provisions. For the purposes of this analysis, we assume a rule repealing </w:t>
      </w:r>
      <w:r w:rsidR="003360CA">
        <w:t>those</w:t>
      </w:r>
      <w:r>
        <w:t xml:space="preserve"> provisions would be the same length as this rule. Table </w:t>
      </w:r>
      <w:r w:rsidR="007A7EA1">
        <w:t>40</w:t>
      </w:r>
      <w:r>
        <w:t xml:space="preserve"> presents costs by year (where negative costs represent cost savings) associated with this regulatory alternative. </w:t>
      </w:r>
      <w:r w:rsidR="00EB2AFE">
        <w:t>Our primary estimate of a</w:t>
      </w:r>
      <w:r>
        <w:t xml:space="preserve">nnualized net costs of removing </w:t>
      </w:r>
      <w:r w:rsidR="00AE3067">
        <w:t xml:space="preserve">the </w:t>
      </w:r>
      <w:r>
        <w:t>pre-harvest agricultural water</w:t>
      </w:r>
      <w:r w:rsidR="00AE3067">
        <w:t xml:space="preserve"> microbial quality criteria and testing</w:t>
      </w:r>
      <w:r>
        <w:t xml:space="preserve"> </w:t>
      </w:r>
      <w:r>
        <w:t>provisions are approximately -$1</w:t>
      </w:r>
      <w:r w:rsidR="002E4B3E">
        <w:t>6</w:t>
      </w:r>
      <w:r w:rsidR="00EB2AFE">
        <w:t>.7</w:t>
      </w:r>
      <w:r>
        <w:t xml:space="preserve"> million annualized at a 3 percent discount rate and approximately -$1</w:t>
      </w:r>
      <w:r w:rsidR="002E4B3E">
        <w:t>5</w:t>
      </w:r>
      <w:r w:rsidR="00EB2AFE">
        <w:t>.9</w:t>
      </w:r>
      <w:r>
        <w:t xml:space="preserve"> million annualized at a 7 percent discount rate.</w:t>
      </w:r>
    </w:p>
    <w:p w:rsidR="006748C8" w:rsidP="00026F9A" w14:paraId="47E14297" w14:textId="0CFD4F99">
      <w:pPr>
        <w:spacing w:line="480" w:lineRule="auto"/>
        <w:ind w:firstLine="720"/>
      </w:pPr>
      <w:r>
        <w:t xml:space="preserve">This regulatory alternative would also result in forgone benefits in the form of lost public health protections from potential contaminants. </w:t>
      </w:r>
      <w:r w:rsidRPr="00161766">
        <w:t xml:space="preserve">Table </w:t>
      </w:r>
      <w:r w:rsidR="0037142D">
        <w:t>41</w:t>
      </w:r>
      <w:r w:rsidRPr="00161766">
        <w:t xml:space="preserve"> presents the estimated forgone benefits of the alternative in which </w:t>
      </w:r>
      <w:r w:rsidR="00B636F0">
        <w:t>the</w:t>
      </w:r>
      <w:r w:rsidRPr="00161766" w:rsidR="00B636F0">
        <w:t xml:space="preserve"> </w:t>
      </w:r>
      <w:r w:rsidRPr="00161766">
        <w:t xml:space="preserve">pre-harvest agricultural water </w:t>
      </w:r>
      <w:r w:rsidR="00B636F0">
        <w:t xml:space="preserve">microbial quality criteria and testing </w:t>
      </w:r>
      <w:r w:rsidRPr="00161766">
        <w:t xml:space="preserve">provisions are repealed. Annualized forgone benefits of removing </w:t>
      </w:r>
      <w:r w:rsidR="00185867">
        <w:t>those</w:t>
      </w:r>
      <w:r w:rsidRPr="00161766">
        <w:t xml:space="preserve"> provisions are approximately $</w:t>
      </w:r>
      <w:r w:rsidR="009D3E63">
        <w:t>75.8</w:t>
      </w:r>
      <w:r w:rsidRPr="00161766">
        <w:t xml:space="preserve"> million annualized at a 3 percent discount rate and approximately $7</w:t>
      </w:r>
      <w:r w:rsidR="009D3E63">
        <w:t>3.7</w:t>
      </w:r>
      <w:r w:rsidRPr="00161766">
        <w:t xml:space="preserve"> million annualized at a 7 percent discount rate.</w:t>
      </w:r>
    </w:p>
    <w:p w:rsidR="006748C8" w:rsidRPr="00F16FAC" w:rsidP="00026F9A" w14:paraId="27C46483" w14:textId="696A061E">
      <w:pPr>
        <w:rPr>
          <w:b/>
        </w:rPr>
      </w:pPr>
      <w:r w:rsidRPr="00F16FAC">
        <w:rPr>
          <w:b/>
        </w:rPr>
        <w:t xml:space="preserve">Table </w:t>
      </w:r>
      <w:r w:rsidR="00B13972">
        <w:rPr>
          <w:b/>
        </w:rPr>
        <w:t>40</w:t>
      </w:r>
      <w:r>
        <w:rPr>
          <w:b/>
        </w:rPr>
        <w:t>: Costs of Removing Pre-harvest Agricultural Water</w:t>
      </w:r>
      <w:r w:rsidR="00185867">
        <w:rPr>
          <w:b/>
        </w:rPr>
        <w:t xml:space="preserve"> Microbial Quality Criteria and Testing</w:t>
      </w:r>
      <w:r>
        <w:rPr>
          <w:b/>
        </w:rPr>
        <w:t xml:space="preserve"> Provisions</w:t>
      </w:r>
      <w:r w:rsidR="00225661">
        <w:rPr>
          <w:b/>
        </w:rPr>
        <w:t xml:space="preserve"> in the 2015 Produce Safety Final Rule</w:t>
      </w:r>
      <w:r w:rsidRPr="00F16FAC">
        <w:rPr>
          <w:b/>
        </w:rPr>
        <w:t xml:space="preserve"> (</w:t>
      </w:r>
      <w:r>
        <w:rPr>
          <w:b/>
        </w:rPr>
        <w:t xml:space="preserve">millions </w:t>
      </w:r>
      <w:r w:rsidRPr="00F16FAC">
        <w:rPr>
          <w:b/>
        </w:rPr>
        <w:t>20</w:t>
      </w:r>
      <w:r w:rsidR="00845D57">
        <w:rPr>
          <w:b/>
        </w:rPr>
        <w:t>2</w:t>
      </w:r>
      <w:r w:rsidR="00D00F85">
        <w:rPr>
          <w:b/>
        </w:rPr>
        <w:t>2</w:t>
      </w:r>
      <w:r w:rsidRPr="00F16FAC">
        <w:rPr>
          <w:b/>
        </w:rPr>
        <w:t>$)</w:t>
      </w:r>
    </w:p>
    <w:tbl>
      <w:tblPr>
        <w:tblStyle w:val="TableGrid"/>
        <w:tblW w:w="5000" w:type="pct"/>
        <w:tblLook w:val="04A0"/>
      </w:tblPr>
      <w:tblGrid>
        <w:gridCol w:w="2411"/>
        <w:gridCol w:w="2313"/>
        <w:gridCol w:w="2313"/>
        <w:gridCol w:w="2313"/>
      </w:tblGrid>
      <w:tr w14:paraId="60A24200"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748C8" w:rsidRPr="00F16FAC" w:rsidP="00026F9A" w14:paraId="3450BE45" w14:textId="77777777">
            <w:pPr>
              <w:jc w:val="center"/>
              <w:rPr>
                <w:b/>
              </w:rPr>
            </w:pPr>
            <w:r w:rsidRPr="00F16FAC">
              <w:rPr>
                <w:b/>
              </w:rPr>
              <w:t>Years after publication</w:t>
            </w:r>
          </w:p>
        </w:tc>
        <w:tc>
          <w:tcPr>
            <w:tcW w:w="1237" w:type="pct"/>
            <w:tcBorders>
              <w:top w:val="single" w:sz="4" w:space="0" w:color="auto"/>
              <w:left w:val="single" w:sz="4" w:space="0" w:color="auto"/>
              <w:bottom w:val="single" w:sz="4" w:space="0" w:color="auto"/>
              <w:right w:val="single" w:sz="4" w:space="0" w:color="auto"/>
            </w:tcBorders>
            <w:hideMark/>
          </w:tcPr>
          <w:p w:rsidR="006748C8" w:rsidRPr="00F16FAC" w:rsidP="00026F9A" w14:paraId="18A03E40" w14:textId="77777777">
            <w:pPr>
              <w:jc w:val="center"/>
              <w:rPr>
                <w:b/>
              </w:rPr>
            </w:pPr>
            <w:r>
              <w:rPr>
                <w:b/>
              </w:rPr>
              <w:t>Low Estimate</w:t>
            </w:r>
          </w:p>
        </w:tc>
        <w:tc>
          <w:tcPr>
            <w:tcW w:w="1237" w:type="pct"/>
            <w:tcBorders>
              <w:top w:val="single" w:sz="4" w:space="0" w:color="auto"/>
              <w:left w:val="single" w:sz="4" w:space="0" w:color="auto"/>
              <w:bottom w:val="single" w:sz="4" w:space="0" w:color="auto"/>
              <w:right w:val="single" w:sz="4" w:space="0" w:color="auto"/>
            </w:tcBorders>
          </w:tcPr>
          <w:p w:rsidR="006748C8" w:rsidRPr="00F16FAC" w:rsidP="00026F9A" w14:paraId="5680E747" w14:textId="77777777">
            <w:pPr>
              <w:jc w:val="center"/>
              <w:rPr>
                <w:b/>
              </w:rPr>
            </w:pPr>
            <w:r>
              <w:rPr>
                <w:b/>
              </w:rPr>
              <w:t>Primary Estimate</w:t>
            </w:r>
          </w:p>
        </w:tc>
        <w:tc>
          <w:tcPr>
            <w:tcW w:w="1237" w:type="pct"/>
            <w:tcBorders>
              <w:top w:val="single" w:sz="4" w:space="0" w:color="auto"/>
              <w:left w:val="single" w:sz="4" w:space="0" w:color="auto"/>
              <w:bottom w:val="single" w:sz="4" w:space="0" w:color="auto"/>
              <w:right w:val="single" w:sz="4" w:space="0" w:color="auto"/>
            </w:tcBorders>
          </w:tcPr>
          <w:p w:rsidR="006748C8" w:rsidRPr="00F16FAC" w:rsidP="00026F9A" w14:paraId="2A357A51" w14:textId="77777777">
            <w:pPr>
              <w:jc w:val="center"/>
              <w:rPr>
                <w:b/>
              </w:rPr>
            </w:pPr>
            <w:r>
              <w:rPr>
                <w:b/>
              </w:rPr>
              <w:t>High Estimate</w:t>
            </w:r>
          </w:p>
        </w:tc>
      </w:tr>
      <w:tr w14:paraId="1B590485"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8D3D8D" w:rsidRPr="00F16FAC" w:rsidP="00026F9A" w14:paraId="4BCAEC44" w14:textId="77777777">
            <w:pPr>
              <w:jc w:val="center"/>
            </w:pPr>
            <w:r w:rsidRPr="00F16FAC">
              <w:t>0</w:t>
            </w:r>
          </w:p>
        </w:tc>
        <w:tc>
          <w:tcPr>
            <w:tcW w:w="1237" w:type="pct"/>
            <w:tcBorders>
              <w:top w:val="single" w:sz="4" w:space="0" w:color="auto"/>
              <w:left w:val="single" w:sz="4" w:space="0" w:color="auto"/>
              <w:bottom w:val="single" w:sz="4" w:space="0" w:color="auto"/>
              <w:right w:val="single" w:sz="4" w:space="0" w:color="auto"/>
            </w:tcBorders>
            <w:vAlign w:val="bottom"/>
            <w:hideMark/>
          </w:tcPr>
          <w:p w:rsidR="008D3D8D" w:rsidRPr="00D00F85" w:rsidP="00026F9A" w14:paraId="42D6C69E" w14:textId="7B99FC35">
            <w:pPr>
              <w:jc w:val="center"/>
              <w:rPr>
                <w:rFonts w:eastAsia="Times New Roman"/>
                <w:color w:val="000000"/>
              </w:rPr>
            </w:pPr>
            <w:r w:rsidRPr="00491301">
              <w:rPr>
                <w:color w:val="000000"/>
              </w:rPr>
              <w:t>$20</w:t>
            </w:r>
            <w:r w:rsidR="00D00F85">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448E740A" w14:textId="5D6D865F">
            <w:pPr>
              <w:jc w:val="center"/>
              <w:rPr>
                <w:rFonts w:eastAsia="Times New Roman"/>
                <w:color w:val="000000"/>
              </w:rPr>
            </w:pPr>
            <w:r w:rsidRPr="00491301">
              <w:rPr>
                <w:color w:val="000000"/>
              </w:rPr>
              <w:t>$21</w:t>
            </w:r>
            <w:r w:rsidR="00D00F85">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280678E7" w14:textId="4DC8D3EF">
            <w:pPr>
              <w:jc w:val="center"/>
              <w:rPr>
                <w:rFonts w:eastAsia="Times New Roman"/>
                <w:color w:val="000000"/>
              </w:rPr>
            </w:pPr>
            <w:r w:rsidRPr="00491301">
              <w:rPr>
                <w:color w:val="000000"/>
              </w:rPr>
              <w:t>$22</w:t>
            </w:r>
            <w:r w:rsidR="00D00F85">
              <w:rPr>
                <w:color w:val="000000"/>
              </w:rPr>
              <w:t>.7</w:t>
            </w:r>
          </w:p>
        </w:tc>
      </w:tr>
      <w:tr w14:paraId="22588F62"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8D3D8D" w:rsidRPr="00F16FAC" w:rsidP="00026F9A" w14:paraId="410F2A8C" w14:textId="77777777">
            <w:pPr>
              <w:jc w:val="center"/>
            </w:pPr>
            <w:r w:rsidRPr="00F16FAC">
              <w:t>1</w:t>
            </w:r>
          </w:p>
        </w:tc>
        <w:tc>
          <w:tcPr>
            <w:tcW w:w="1237" w:type="pct"/>
            <w:tcBorders>
              <w:top w:val="single" w:sz="4" w:space="0" w:color="auto"/>
              <w:left w:val="single" w:sz="4" w:space="0" w:color="auto"/>
              <w:bottom w:val="single" w:sz="4" w:space="0" w:color="auto"/>
              <w:right w:val="single" w:sz="4" w:space="0" w:color="auto"/>
            </w:tcBorders>
            <w:vAlign w:val="bottom"/>
            <w:hideMark/>
          </w:tcPr>
          <w:p w:rsidR="008D3D8D" w:rsidRPr="00D00F85" w:rsidP="00026F9A" w14:paraId="7DE01A97" w14:textId="2C776778">
            <w:pPr>
              <w:jc w:val="center"/>
              <w:rPr>
                <w:color w:val="000000"/>
              </w:rPr>
            </w:pPr>
            <w:r w:rsidRPr="00491301">
              <w:rPr>
                <w:color w:val="000000"/>
              </w:rPr>
              <w:t>-$3</w:t>
            </w:r>
            <w:r w:rsidR="00D00F85">
              <w:rPr>
                <w:color w:val="000000"/>
              </w:rPr>
              <w:t>4.9</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19691BFA" w14:textId="7BC932CB">
            <w:pPr>
              <w:jc w:val="center"/>
              <w:rPr>
                <w:color w:val="000000"/>
              </w:rPr>
            </w:pPr>
            <w:r w:rsidRPr="00491301">
              <w:rPr>
                <w:color w:val="000000"/>
              </w:rPr>
              <w:t>-$21</w:t>
            </w:r>
            <w:r w:rsidR="00D00F85">
              <w:rPr>
                <w:color w:val="000000"/>
              </w:rPr>
              <w:t>.4</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706308E1" w14:textId="70AE8B88">
            <w:pPr>
              <w:jc w:val="center"/>
              <w:rPr>
                <w:color w:val="000000"/>
              </w:rPr>
            </w:pPr>
            <w:r w:rsidRPr="00491301">
              <w:rPr>
                <w:color w:val="000000"/>
              </w:rPr>
              <w:t>-$10</w:t>
            </w:r>
            <w:r w:rsidR="00D00F85">
              <w:rPr>
                <w:color w:val="000000"/>
              </w:rPr>
              <w:t>.7</w:t>
            </w:r>
          </w:p>
        </w:tc>
      </w:tr>
      <w:tr w14:paraId="32A4EF89"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8D3D8D" w:rsidRPr="00F16FAC" w:rsidP="00026F9A" w14:paraId="3A816EF4" w14:textId="77777777">
            <w:pPr>
              <w:jc w:val="center"/>
            </w:pPr>
            <w:r w:rsidRPr="00F16FAC">
              <w:t>2</w:t>
            </w:r>
          </w:p>
        </w:tc>
        <w:tc>
          <w:tcPr>
            <w:tcW w:w="1237" w:type="pct"/>
            <w:tcBorders>
              <w:top w:val="single" w:sz="4" w:space="0" w:color="auto"/>
              <w:left w:val="single" w:sz="4" w:space="0" w:color="auto"/>
              <w:bottom w:val="single" w:sz="4" w:space="0" w:color="auto"/>
              <w:right w:val="single" w:sz="4" w:space="0" w:color="auto"/>
            </w:tcBorders>
            <w:vAlign w:val="bottom"/>
            <w:hideMark/>
          </w:tcPr>
          <w:p w:rsidR="008D3D8D" w:rsidRPr="00D00F85" w:rsidP="00026F9A" w14:paraId="128A6401" w14:textId="732BCEEC">
            <w:pPr>
              <w:jc w:val="center"/>
              <w:rPr>
                <w:color w:val="000000"/>
              </w:rPr>
            </w:pPr>
            <w:r w:rsidRPr="00491301">
              <w:rPr>
                <w:color w:val="000000"/>
              </w:rPr>
              <w:t>-$23</w:t>
            </w:r>
            <w:r w:rsidR="00D00F85">
              <w:rPr>
                <w:color w:val="000000"/>
              </w:rPr>
              <w:t>.8</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622B3A46" w14:textId="72AE30F0">
            <w:pPr>
              <w:jc w:val="center"/>
              <w:rPr>
                <w:color w:val="000000"/>
              </w:rPr>
            </w:pPr>
            <w:r w:rsidRPr="00491301">
              <w:rPr>
                <w:color w:val="000000"/>
              </w:rPr>
              <w:t>-$16</w:t>
            </w:r>
            <w:r w:rsidR="00D00F85">
              <w:rPr>
                <w:color w:val="000000"/>
              </w:rPr>
              <w:t>.5</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2F678D50" w14:textId="1F98551C">
            <w:pPr>
              <w:jc w:val="center"/>
              <w:rPr>
                <w:color w:val="000000"/>
              </w:rPr>
            </w:pPr>
            <w:r w:rsidRPr="00491301">
              <w:rPr>
                <w:color w:val="000000"/>
              </w:rPr>
              <w:t>-$10</w:t>
            </w:r>
            <w:r w:rsidR="00D00F85">
              <w:rPr>
                <w:color w:val="000000"/>
              </w:rPr>
              <w:t>.5</w:t>
            </w:r>
          </w:p>
        </w:tc>
      </w:tr>
      <w:tr w14:paraId="2F90D42B"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8D3D8D" w:rsidRPr="00F16FAC" w:rsidP="00026F9A" w14:paraId="7C861A75" w14:textId="77777777">
            <w:pPr>
              <w:jc w:val="center"/>
            </w:pPr>
            <w:r w:rsidRPr="00F16FAC">
              <w:t>3</w:t>
            </w:r>
          </w:p>
        </w:tc>
        <w:tc>
          <w:tcPr>
            <w:tcW w:w="1237" w:type="pct"/>
            <w:tcBorders>
              <w:top w:val="single" w:sz="4" w:space="0" w:color="auto"/>
              <w:left w:val="single" w:sz="4" w:space="0" w:color="auto"/>
              <w:bottom w:val="single" w:sz="4" w:space="0" w:color="auto"/>
              <w:right w:val="single" w:sz="4" w:space="0" w:color="auto"/>
            </w:tcBorders>
            <w:vAlign w:val="bottom"/>
            <w:hideMark/>
          </w:tcPr>
          <w:p w:rsidR="008D3D8D" w:rsidRPr="00D00F85" w:rsidP="00026F9A" w14:paraId="3FB1E37B" w14:textId="3205D8A2">
            <w:pPr>
              <w:jc w:val="center"/>
              <w:rPr>
                <w:color w:val="000000"/>
              </w:rPr>
            </w:pPr>
            <w:r w:rsidRPr="00491301">
              <w:rPr>
                <w:color w:val="000000"/>
              </w:rPr>
              <w:t>-$35</w:t>
            </w:r>
            <w:r w:rsidR="00D00F85">
              <w:rPr>
                <w:color w:val="000000"/>
              </w:rPr>
              <w:t>.4</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2670AB98" w14:textId="255480F1">
            <w:pPr>
              <w:jc w:val="center"/>
              <w:rPr>
                <w:color w:val="000000"/>
              </w:rPr>
            </w:pPr>
            <w:r w:rsidRPr="00491301">
              <w:rPr>
                <w:color w:val="000000"/>
              </w:rPr>
              <w:t>-$27</w:t>
            </w:r>
            <w:r w:rsidR="00D00F85">
              <w:rPr>
                <w:color w:val="000000"/>
              </w:rPr>
              <w:t>.7</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4B73ABC0" w14:textId="35E358F8">
            <w:pPr>
              <w:jc w:val="center"/>
              <w:rPr>
                <w:color w:val="000000"/>
              </w:rPr>
            </w:pPr>
            <w:r w:rsidRPr="00491301">
              <w:rPr>
                <w:color w:val="000000"/>
              </w:rPr>
              <w:t>-$21</w:t>
            </w:r>
            <w:r w:rsidR="00D00F85">
              <w:rPr>
                <w:color w:val="000000"/>
              </w:rPr>
              <w:t>.1</w:t>
            </w:r>
          </w:p>
        </w:tc>
      </w:tr>
      <w:tr w14:paraId="07008FDB"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8D3D8D" w:rsidRPr="00F16FAC" w:rsidP="00026F9A" w14:paraId="62285348" w14:textId="77777777">
            <w:pPr>
              <w:jc w:val="center"/>
            </w:pPr>
            <w:r w:rsidRPr="00F16FAC">
              <w:t>4</w:t>
            </w:r>
          </w:p>
        </w:tc>
        <w:tc>
          <w:tcPr>
            <w:tcW w:w="1237" w:type="pct"/>
            <w:tcBorders>
              <w:top w:val="single" w:sz="4" w:space="0" w:color="auto"/>
              <w:left w:val="single" w:sz="4" w:space="0" w:color="auto"/>
              <w:bottom w:val="single" w:sz="4" w:space="0" w:color="auto"/>
              <w:right w:val="single" w:sz="4" w:space="0" w:color="auto"/>
            </w:tcBorders>
            <w:vAlign w:val="bottom"/>
            <w:hideMark/>
          </w:tcPr>
          <w:p w:rsidR="008D3D8D" w:rsidRPr="00D00F85" w:rsidP="00026F9A" w14:paraId="400FCCF2" w14:textId="6DD8FD81">
            <w:pPr>
              <w:jc w:val="center"/>
              <w:rPr>
                <w:color w:val="000000"/>
              </w:rPr>
            </w:pPr>
            <w:r w:rsidRPr="00491301">
              <w:rPr>
                <w:color w:val="000000"/>
              </w:rPr>
              <w:t>-$28</w:t>
            </w:r>
            <w:r w:rsidR="00D00F85">
              <w:rPr>
                <w:color w:val="000000"/>
              </w:rPr>
              <w:t>.9</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393626F2" w14:textId="38822EC8">
            <w:pPr>
              <w:jc w:val="center"/>
              <w:rPr>
                <w:color w:val="000000"/>
              </w:rPr>
            </w:pPr>
            <w:r w:rsidRPr="00491301">
              <w:rPr>
                <w:color w:val="000000"/>
              </w:rPr>
              <w:t>-$21</w:t>
            </w:r>
            <w:r w:rsidR="00D00F85">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8D3D8D" w:rsidRPr="00D00F85" w:rsidP="00026F9A" w14:paraId="6D80F33E" w14:textId="75497E4D">
            <w:pPr>
              <w:jc w:val="center"/>
              <w:rPr>
                <w:color w:val="000000"/>
              </w:rPr>
            </w:pPr>
            <w:r w:rsidRPr="00491301">
              <w:rPr>
                <w:color w:val="000000"/>
              </w:rPr>
              <w:t>-$15</w:t>
            </w:r>
            <w:r w:rsidR="00D00F85">
              <w:rPr>
                <w:color w:val="000000"/>
              </w:rPr>
              <w:t>.5</w:t>
            </w:r>
          </w:p>
        </w:tc>
      </w:tr>
      <w:tr w14:paraId="05989C48"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D00F85" w:rsidRPr="00F16FAC" w:rsidP="00026F9A" w14:paraId="3B9B81A0" w14:textId="77777777">
            <w:pPr>
              <w:jc w:val="center"/>
            </w:pPr>
            <w:r w:rsidRPr="00F16FAC">
              <w:t>5</w:t>
            </w:r>
          </w:p>
        </w:tc>
        <w:tc>
          <w:tcPr>
            <w:tcW w:w="1237" w:type="pct"/>
            <w:tcBorders>
              <w:top w:val="single" w:sz="4" w:space="0" w:color="auto"/>
              <w:left w:val="single" w:sz="4" w:space="0" w:color="auto"/>
              <w:bottom w:val="single" w:sz="4" w:space="0" w:color="auto"/>
              <w:right w:val="single" w:sz="4" w:space="0" w:color="auto"/>
            </w:tcBorders>
            <w:vAlign w:val="bottom"/>
            <w:hideMark/>
          </w:tcPr>
          <w:p w:rsidR="00D00F85" w:rsidRPr="00D00F85" w:rsidP="00026F9A" w14:paraId="57C8B263" w14:textId="1F7F5366">
            <w:pPr>
              <w:jc w:val="center"/>
              <w:rPr>
                <w:color w:val="000000"/>
              </w:rPr>
            </w:pPr>
            <w:r w:rsidRPr="00491301">
              <w:rPr>
                <w:color w:val="000000"/>
              </w:rPr>
              <w:t>-$29</w:t>
            </w:r>
            <w:r>
              <w:rPr>
                <w:color w:val="000000"/>
              </w:rPr>
              <w:t>.0</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497062F2" w14:textId="72AF3A9B">
            <w:pPr>
              <w:jc w:val="center"/>
            </w:pPr>
            <w:r w:rsidRPr="005B00BD">
              <w:rPr>
                <w:color w:val="000000"/>
              </w:rPr>
              <w:t>-$21</w:t>
            </w:r>
            <w:r>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7790B5BA" w14:textId="4768423F">
            <w:pPr>
              <w:jc w:val="center"/>
            </w:pPr>
            <w:r w:rsidRPr="00491301">
              <w:rPr>
                <w:color w:val="000000"/>
              </w:rPr>
              <w:t>-$15</w:t>
            </w:r>
            <w:r>
              <w:rPr>
                <w:color w:val="000000"/>
              </w:rPr>
              <w:t>.5</w:t>
            </w:r>
          </w:p>
        </w:tc>
      </w:tr>
      <w:tr w14:paraId="3CF75D4B"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D00F85" w:rsidRPr="00F16FAC" w:rsidP="00026F9A" w14:paraId="4AB02570" w14:textId="77777777">
            <w:pPr>
              <w:jc w:val="center"/>
            </w:pPr>
            <w:r w:rsidRPr="00F16FAC">
              <w:t>6</w:t>
            </w:r>
          </w:p>
        </w:tc>
        <w:tc>
          <w:tcPr>
            <w:tcW w:w="1237" w:type="pct"/>
            <w:tcBorders>
              <w:top w:val="single" w:sz="4" w:space="0" w:color="auto"/>
              <w:left w:val="single" w:sz="4" w:space="0" w:color="auto"/>
              <w:bottom w:val="single" w:sz="4" w:space="0" w:color="auto"/>
              <w:right w:val="single" w:sz="4" w:space="0" w:color="auto"/>
            </w:tcBorders>
            <w:vAlign w:val="bottom"/>
            <w:hideMark/>
          </w:tcPr>
          <w:p w:rsidR="00D00F85" w:rsidRPr="00D00F85" w:rsidP="00026F9A" w14:paraId="629904C4" w14:textId="05C24122">
            <w:pPr>
              <w:jc w:val="center"/>
              <w:rPr>
                <w:color w:val="000000"/>
              </w:rPr>
            </w:pPr>
            <w:r w:rsidRPr="00491301">
              <w:rPr>
                <w:color w:val="000000"/>
              </w:rPr>
              <w:t>-$28</w:t>
            </w:r>
            <w:r>
              <w:rPr>
                <w:color w:val="000000"/>
              </w:rPr>
              <w:t>.9</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2358AD32" w14:textId="08496B74">
            <w:pPr>
              <w:jc w:val="center"/>
            </w:pPr>
            <w:r w:rsidRPr="005B00BD">
              <w:rPr>
                <w:color w:val="000000"/>
              </w:rPr>
              <w:t>-$21</w:t>
            </w:r>
            <w:r>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1BF91069" w14:textId="03ABFA2A">
            <w:pPr>
              <w:jc w:val="center"/>
            </w:pPr>
            <w:r w:rsidRPr="00491301">
              <w:rPr>
                <w:color w:val="000000"/>
              </w:rPr>
              <w:t>-$15</w:t>
            </w:r>
            <w:r>
              <w:rPr>
                <w:color w:val="000000"/>
              </w:rPr>
              <w:t>.5</w:t>
            </w:r>
          </w:p>
        </w:tc>
      </w:tr>
      <w:tr w14:paraId="6A82880B"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D00F85" w:rsidRPr="00F16FAC" w:rsidP="00026F9A" w14:paraId="78C2D538" w14:textId="77777777">
            <w:pPr>
              <w:jc w:val="center"/>
            </w:pPr>
            <w:r w:rsidRPr="00F16FAC">
              <w:t>7</w:t>
            </w:r>
          </w:p>
        </w:tc>
        <w:tc>
          <w:tcPr>
            <w:tcW w:w="1237" w:type="pct"/>
            <w:tcBorders>
              <w:top w:val="single" w:sz="4" w:space="0" w:color="auto"/>
              <w:left w:val="single" w:sz="4" w:space="0" w:color="auto"/>
              <w:bottom w:val="single" w:sz="4" w:space="0" w:color="auto"/>
              <w:right w:val="single" w:sz="4" w:space="0" w:color="auto"/>
            </w:tcBorders>
            <w:vAlign w:val="bottom"/>
            <w:hideMark/>
          </w:tcPr>
          <w:p w:rsidR="00D00F85" w:rsidRPr="00D00F85" w:rsidP="00026F9A" w14:paraId="657AB06A" w14:textId="77A8D97F">
            <w:pPr>
              <w:jc w:val="center"/>
              <w:rPr>
                <w:color w:val="000000"/>
              </w:rPr>
            </w:pPr>
            <w:r w:rsidRPr="00491301">
              <w:rPr>
                <w:color w:val="000000"/>
              </w:rPr>
              <w:t>-$2</w:t>
            </w:r>
            <w:r>
              <w:rPr>
                <w:color w:val="000000"/>
              </w:rPr>
              <w:t>9.0</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2ECEC214" w14:textId="23ACDED7">
            <w:pPr>
              <w:jc w:val="center"/>
            </w:pPr>
            <w:r w:rsidRPr="005B00BD">
              <w:rPr>
                <w:color w:val="000000"/>
              </w:rPr>
              <w:t>-$21</w:t>
            </w:r>
            <w:r>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4CF83E80" w14:textId="39EDA1C4">
            <w:pPr>
              <w:jc w:val="center"/>
            </w:pPr>
            <w:r w:rsidRPr="00491301">
              <w:rPr>
                <w:color w:val="000000"/>
              </w:rPr>
              <w:t>-$15</w:t>
            </w:r>
            <w:r>
              <w:rPr>
                <w:color w:val="000000"/>
              </w:rPr>
              <w:t>.4</w:t>
            </w:r>
          </w:p>
        </w:tc>
      </w:tr>
      <w:tr w14:paraId="6D55AB67"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D00F85" w:rsidRPr="00F16FAC" w:rsidP="00026F9A" w14:paraId="2CA9FC24" w14:textId="77777777">
            <w:pPr>
              <w:jc w:val="center"/>
            </w:pPr>
            <w:r w:rsidRPr="00F16FAC">
              <w:t>8</w:t>
            </w:r>
          </w:p>
        </w:tc>
        <w:tc>
          <w:tcPr>
            <w:tcW w:w="1237" w:type="pct"/>
            <w:tcBorders>
              <w:top w:val="single" w:sz="4" w:space="0" w:color="auto"/>
              <w:left w:val="single" w:sz="4" w:space="0" w:color="auto"/>
              <w:bottom w:val="single" w:sz="4" w:space="0" w:color="auto"/>
              <w:right w:val="single" w:sz="4" w:space="0" w:color="auto"/>
            </w:tcBorders>
            <w:vAlign w:val="bottom"/>
            <w:hideMark/>
          </w:tcPr>
          <w:p w:rsidR="00D00F85" w:rsidRPr="00D00F85" w:rsidP="00026F9A" w14:paraId="103ACB5F" w14:textId="6C63B6DD">
            <w:pPr>
              <w:jc w:val="center"/>
              <w:rPr>
                <w:color w:val="000000"/>
              </w:rPr>
            </w:pPr>
            <w:r w:rsidRPr="00491301">
              <w:rPr>
                <w:color w:val="000000"/>
              </w:rPr>
              <w:t>-$2</w:t>
            </w:r>
            <w:r>
              <w:rPr>
                <w:color w:val="000000"/>
              </w:rPr>
              <w:t>9.0</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3A98AA45" w14:textId="486B343F">
            <w:pPr>
              <w:jc w:val="center"/>
            </w:pPr>
            <w:r w:rsidRPr="005B00BD">
              <w:rPr>
                <w:color w:val="000000"/>
              </w:rPr>
              <w:t>-$21</w:t>
            </w:r>
            <w:r>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0DC8D9BC" w14:textId="53C02762">
            <w:pPr>
              <w:jc w:val="center"/>
            </w:pPr>
            <w:r w:rsidRPr="00491301">
              <w:rPr>
                <w:color w:val="000000"/>
              </w:rPr>
              <w:t>-$15</w:t>
            </w:r>
            <w:r>
              <w:rPr>
                <w:color w:val="000000"/>
              </w:rPr>
              <w:t>.5</w:t>
            </w:r>
          </w:p>
        </w:tc>
      </w:tr>
      <w:tr w14:paraId="54675D35"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D00F85" w:rsidRPr="00F16FAC" w:rsidP="00026F9A" w14:paraId="0A9D91C5" w14:textId="77777777">
            <w:pPr>
              <w:jc w:val="center"/>
            </w:pPr>
            <w:r w:rsidRPr="00F16FAC">
              <w:t>9</w:t>
            </w:r>
          </w:p>
        </w:tc>
        <w:tc>
          <w:tcPr>
            <w:tcW w:w="1237" w:type="pct"/>
            <w:tcBorders>
              <w:top w:val="single" w:sz="4" w:space="0" w:color="auto"/>
              <w:left w:val="single" w:sz="4" w:space="0" w:color="auto"/>
              <w:bottom w:val="single" w:sz="4" w:space="0" w:color="auto"/>
              <w:right w:val="single" w:sz="4" w:space="0" w:color="auto"/>
            </w:tcBorders>
            <w:vAlign w:val="bottom"/>
            <w:hideMark/>
          </w:tcPr>
          <w:p w:rsidR="00D00F85" w:rsidRPr="00D00F85" w:rsidP="00026F9A" w14:paraId="59EDF613" w14:textId="0DB3B3EB">
            <w:pPr>
              <w:jc w:val="center"/>
              <w:rPr>
                <w:color w:val="000000"/>
              </w:rPr>
            </w:pPr>
            <w:r w:rsidRPr="00491301">
              <w:rPr>
                <w:color w:val="000000"/>
              </w:rPr>
              <w:t>-$2</w:t>
            </w:r>
            <w:r>
              <w:rPr>
                <w:color w:val="000000"/>
              </w:rPr>
              <w:t>9.0</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190629FF" w14:textId="420A05A1">
            <w:pPr>
              <w:jc w:val="center"/>
            </w:pPr>
            <w:r w:rsidRPr="005B00BD">
              <w:rPr>
                <w:color w:val="000000"/>
              </w:rPr>
              <w:t>-$21</w:t>
            </w:r>
            <w:r>
              <w:rPr>
                <w:color w:val="000000"/>
              </w:rPr>
              <w:t>.6</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1C85CF1D" w14:textId="1586C15D">
            <w:pPr>
              <w:jc w:val="center"/>
            </w:pPr>
            <w:r w:rsidRPr="00491301">
              <w:rPr>
                <w:color w:val="000000"/>
              </w:rPr>
              <w:t>-$15</w:t>
            </w:r>
            <w:r>
              <w:rPr>
                <w:color w:val="000000"/>
              </w:rPr>
              <w:t>.6</w:t>
            </w:r>
          </w:p>
        </w:tc>
      </w:tr>
      <w:tr w14:paraId="633FB1F2"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D00F85" w:rsidRPr="00F16FAC" w:rsidP="00026F9A" w14:paraId="1C6F93A5" w14:textId="77777777">
            <w:pPr>
              <w:jc w:val="center"/>
            </w:pPr>
            <w:r>
              <w:t>Annualized, 3%</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7F7FEF2A" w14:textId="6DB4D863">
            <w:pPr>
              <w:jc w:val="center"/>
              <w:rPr>
                <w:rFonts w:eastAsia="Times New Roman"/>
                <w:color w:val="000000"/>
              </w:rPr>
            </w:pPr>
            <w:r w:rsidRPr="00491301">
              <w:rPr>
                <w:color w:val="000000"/>
              </w:rPr>
              <w:t>-$24</w:t>
            </w:r>
            <w:r>
              <w:rPr>
                <w:color w:val="000000"/>
              </w:rPr>
              <w:t>.1</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6A07105F" w14:textId="4DDE325E">
            <w:pPr>
              <w:jc w:val="center"/>
              <w:rPr>
                <w:color w:val="000000"/>
              </w:rPr>
            </w:pPr>
            <w:r w:rsidRPr="00491301">
              <w:rPr>
                <w:color w:val="000000"/>
              </w:rPr>
              <w:t>-$16</w:t>
            </w:r>
            <w:r>
              <w:rPr>
                <w:color w:val="000000"/>
              </w:rPr>
              <w:t>.7</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2C0BFEEE" w14:textId="603F2945">
            <w:pPr>
              <w:jc w:val="center"/>
              <w:rPr>
                <w:color w:val="000000"/>
              </w:rPr>
            </w:pPr>
            <w:r w:rsidRPr="00491301">
              <w:rPr>
                <w:color w:val="000000"/>
              </w:rPr>
              <w:t>-$10</w:t>
            </w:r>
            <w:r>
              <w:rPr>
                <w:color w:val="000000"/>
              </w:rPr>
              <w:t>.7</w:t>
            </w:r>
          </w:p>
        </w:tc>
      </w:tr>
      <w:tr w14:paraId="3B7DD9B2"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D00F85" w:rsidP="00026F9A" w14:paraId="1D9A87AE" w14:textId="77777777">
            <w:pPr>
              <w:jc w:val="center"/>
            </w:pPr>
            <w:r>
              <w:t>Annualized, 7%</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4C53CDDD" w14:textId="721F3632">
            <w:pPr>
              <w:jc w:val="center"/>
              <w:rPr>
                <w:color w:val="000000"/>
              </w:rPr>
            </w:pPr>
            <w:r w:rsidRPr="00491301">
              <w:rPr>
                <w:color w:val="000000"/>
              </w:rPr>
              <w:t>-$23</w:t>
            </w:r>
            <w:r>
              <w:rPr>
                <w:color w:val="000000"/>
              </w:rPr>
              <w:t>.2</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460D8534" w14:textId="326F1F37">
            <w:pPr>
              <w:jc w:val="center"/>
              <w:rPr>
                <w:color w:val="000000"/>
              </w:rPr>
            </w:pPr>
            <w:r w:rsidRPr="00491301">
              <w:rPr>
                <w:color w:val="000000"/>
              </w:rPr>
              <w:t>-$15</w:t>
            </w:r>
            <w:r>
              <w:rPr>
                <w:color w:val="000000"/>
              </w:rPr>
              <w:t>.9</w:t>
            </w:r>
          </w:p>
        </w:tc>
        <w:tc>
          <w:tcPr>
            <w:tcW w:w="1237" w:type="pct"/>
            <w:tcBorders>
              <w:top w:val="single" w:sz="4" w:space="0" w:color="auto"/>
              <w:left w:val="single" w:sz="4" w:space="0" w:color="auto"/>
              <w:bottom w:val="single" w:sz="4" w:space="0" w:color="auto"/>
              <w:right w:val="single" w:sz="4" w:space="0" w:color="auto"/>
            </w:tcBorders>
            <w:vAlign w:val="bottom"/>
          </w:tcPr>
          <w:p w:rsidR="00D00F85" w:rsidRPr="00D00F85" w:rsidP="00026F9A" w14:paraId="0FBC07A4" w14:textId="6C0D4EFA">
            <w:pPr>
              <w:jc w:val="center"/>
              <w:rPr>
                <w:color w:val="000000"/>
              </w:rPr>
            </w:pPr>
            <w:r w:rsidRPr="00491301">
              <w:rPr>
                <w:color w:val="000000"/>
              </w:rPr>
              <w:t>-$9</w:t>
            </w:r>
            <w:r>
              <w:rPr>
                <w:color w:val="000000"/>
              </w:rPr>
              <w:t>.8</w:t>
            </w:r>
          </w:p>
        </w:tc>
      </w:tr>
    </w:tbl>
    <w:p w:rsidR="006748C8" w:rsidP="00026F9A" w14:paraId="66156791" w14:textId="77777777">
      <w:pPr>
        <w:spacing w:line="480" w:lineRule="auto"/>
      </w:pPr>
      <w:r>
        <w:t>*Negative costs in the table represent cost savings</w:t>
      </w:r>
    </w:p>
    <w:p w:rsidR="006748C8" w:rsidRPr="009D0CAA" w:rsidP="00026F9A" w14:paraId="5E3300B6" w14:textId="0B40AF29">
      <w:pPr>
        <w:rPr>
          <w:b/>
        </w:rPr>
      </w:pPr>
      <w:r w:rsidRPr="009D0CAA">
        <w:rPr>
          <w:b/>
        </w:rPr>
        <w:t xml:space="preserve">Table </w:t>
      </w:r>
      <w:r w:rsidR="0037142D">
        <w:rPr>
          <w:b/>
        </w:rPr>
        <w:t>41</w:t>
      </w:r>
      <w:r w:rsidRPr="009D0CAA">
        <w:rPr>
          <w:b/>
        </w:rPr>
        <w:t xml:space="preserve">: Forgone Benefits of Removing Pre-harvest Agricultural Water </w:t>
      </w:r>
      <w:r w:rsidR="00225661">
        <w:rPr>
          <w:b/>
        </w:rPr>
        <w:t>Microbial Quality Criteria and Testing Provisions in the 2015 Produce Safety Final Rule</w:t>
      </w:r>
      <w:r w:rsidRPr="00F16FAC" w:rsidR="00225661">
        <w:rPr>
          <w:b/>
        </w:rPr>
        <w:t xml:space="preserve"> </w:t>
      </w:r>
      <w:r w:rsidRPr="009D0CAA">
        <w:rPr>
          <w:b/>
        </w:rPr>
        <w:t>(millions 20</w:t>
      </w:r>
      <w:r w:rsidRPr="009D0CAA" w:rsidR="007448E3">
        <w:rPr>
          <w:b/>
        </w:rPr>
        <w:t>2</w:t>
      </w:r>
      <w:r w:rsidR="006A387F">
        <w:rPr>
          <w:b/>
        </w:rPr>
        <w:t>2</w:t>
      </w:r>
      <w:r w:rsidRPr="009D0CAA">
        <w:rPr>
          <w:b/>
        </w:rPr>
        <w:t>$)</w:t>
      </w:r>
    </w:p>
    <w:tbl>
      <w:tblPr>
        <w:tblStyle w:val="TableGrid"/>
        <w:tblW w:w="5000" w:type="pct"/>
        <w:tblLook w:val="04A0"/>
      </w:tblPr>
      <w:tblGrid>
        <w:gridCol w:w="2411"/>
        <w:gridCol w:w="2313"/>
        <w:gridCol w:w="2313"/>
        <w:gridCol w:w="2313"/>
      </w:tblGrid>
      <w:tr w14:paraId="3C53A0B6"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748C8" w:rsidRPr="009D0CAA" w:rsidP="00026F9A" w14:paraId="65AF3A8E" w14:textId="77777777">
            <w:pPr>
              <w:jc w:val="center"/>
              <w:rPr>
                <w:b/>
              </w:rPr>
            </w:pPr>
            <w:r w:rsidRPr="009D0CAA">
              <w:rPr>
                <w:b/>
              </w:rPr>
              <w:t>Years after publication</w:t>
            </w:r>
          </w:p>
        </w:tc>
        <w:tc>
          <w:tcPr>
            <w:tcW w:w="1237" w:type="pct"/>
            <w:tcBorders>
              <w:top w:val="single" w:sz="4" w:space="0" w:color="auto"/>
              <w:left w:val="single" w:sz="4" w:space="0" w:color="auto"/>
              <w:bottom w:val="single" w:sz="4" w:space="0" w:color="auto"/>
              <w:right w:val="single" w:sz="4" w:space="0" w:color="auto"/>
            </w:tcBorders>
            <w:hideMark/>
          </w:tcPr>
          <w:p w:rsidR="006748C8" w:rsidRPr="009D0CAA" w:rsidP="00026F9A" w14:paraId="0E663DC5" w14:textId="77777777">
            <w:pPr>
              <w:jc w:val="center"/>
              <w:rPr>
                <w:b/>
              </w:rPr>
            </w:pPr>
            <w:r w:rsidRPr="009D0CAA">
              <w:rPr>
                <w:b/>
              </w:rPr>
              <w:t>Low Estimate</w:t>
            </w:r>
          </w:p>
        </w:tc>
        <w:tc>
          <w:tcPr>
            <w:tcW w:w="1237" w:type="pct"/>
            <w:tcBorders>
              <w:top w:val="single" w:sz="4" w:space="0" w:color="auto"/>
              <w:left w:val="single" w:sz="4" w:space="0" w:color="auto"/>
              <w:bottom w:val="single" w:sz="4" w:space="0" w:color="auto"/>
              <w:right w:val="single" w:sz="4" w:space="0" w:color="auto"/>
            </w:tcBorders>
          </w:tcPr>
          <w:p w:rsidR="006748C8" w:rsidRPr="009D0CAA" w:rsidP="00026F9A" w14:paraId="035C5C6D" w14:textId="77777777">
            <w:pPr>
              <w:jc w:val="center"/>
              <w:rPr>
                <w:b/>
              </w:rPr>
            </w:pPr>
            <w:r w:rsidRPr="009D0CAA">
              <w:rPr>
                <w:b/>
              </w:rPr>
              <w:t>Primary Estimate</w:t>
            </w:r>
          </w:p>
        </w:tc>
        <w:tc>
          <w:tcPr>
            <w:tcW w:w="1237" w:type="pct"/>
            <w:tcBorders>
              <w:top w:val="single" w:sz="4" w:space="0" w:color="auto"/>
              <w:left w:val="single" w:sz="4" w:space="0" w:color="auto"/>
              <w:bottom w:val="single" w:sz="4" w:space="0" w:color="auto"/>
              <w:right w:val="single" w:sz="4" w:space="0" w:color="auto"/>
            </w:tcBorders>
          </w:tcPr>
          <w:p w:rsidR="006748C8" w:rsidRPr="009D0CAA" w:rsidP="00026F9A" w14:paraId="09527B5F" w14:textId="77777777">
            <w:pPr>
              <w:jc w:val="center"/>
              <w:rPr>
                <w:b/>
              </w:rPr>
            </w:pPr>
            <w:r w:rsidRPr="009D0CAA">
              <w:rPr>
                <w:b/>
              </w:rPr>
              <w:t>High Estimate</w:t>
            </w:r>
          </w:p>
        </w:tc>
      </w:tr>
      <w:tr w14:paraId="6DADF413"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6F493E9B" w14:textId="77777777">
            <w:pPr>
              <w:jc w:val="center"/>
            </w:pPr>
            <w:r w:rsidRPr="009D0CAA">
              <w:t>0</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67F3AE00" w14:textId="55968B08">
            <w:pPr>
              <w:jc w:val="center"/>
              <w:rPr>
                <w:color w:val="000000"/>
              </w:rPr>
            </w:pPr>
            <w:r w:rsidRPr="00491301">
              <w:rPr>
                <w:color w:val="000000"/>
              </w:rPr>
              <w:t>$0.0</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0A673335" w14:textId="0B6091AB">
            <w:pPr>
              <w:jc w:val="center"/>
              <w:rPr>
                <w:color w:val="000000"/>
              </w:rPr>
            </w:pPr>
            <w:r w:rsidRPr="00491301">
              <w:rPr>
                <w:color w:val="000000"/>
              </w:rPr>
              <w:t>$0.0</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34243FBD" w14:textId="12C105D8">
            <w:pPr>
              <w:jc w:val="center"/>
              <w:rPr>
                <w:color w:val="000000"/>
              </w:rPr>
            </w:pPr>
            <w:r w:rsidRPr="00491301">
              <w:rPr>
                <w:color w:val="000000"/>
              </w:rPr>
              <w:t>$0.0</w:t>
            </w:r>
          </w:p>
        </w:tc>
      </w:tr>
      <w:tr w14:paraId="41AEA6BF"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45796281" w14:textId="77777777">
            <w:pPr>
              <w:jc w:val="center"/>
            </w:pPr>
            <w:r w:rsidRPr="009D0CAA">
              <w:t>1</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5CC4D464" w14:textId="1209F634">
            <w:pPr>
              <w:jc w:val="center"/>
              <w:rPr>
                <w:color w:val="000000"/>
              </w:rPr>
            </w:pPr>
            <w:r w:rsidRPr="00491301">
              <w:rPr>
                <w:color w:val="000000"/>
              </w:rPr>
              <w:t>$44.2</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0614DEE4" w14:textId="2336EE5A">
            <w:pPr>
              <w:jc w:val="center"/>
              <w:rPr>
                <w:color w:val="000000"/>
              </w:rPr>
            </w:pPr>
            <w:r w:rsidRPr="00491301">
              <w:rPr>
                <w:color w:val="000000"/>
              </w:rPr>
              <w:t>$71.3</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69B78D25" w14:textId="0D62B4C9">
            <w:pPr>
              <w:jc w:val="center"/>
              <w:rPr>
                <w:color w:val="000000"/>
              </w:rPr>
            </w:pPr>
            <w:r w:rsidRPr="00491301">
              <w:rPr>
                <w:color w:val="000000"/>
              </w:rPr>
              <w:t>$105.1</w:t>
            </w:r>
          </w:p>
        </w:tc>
      </w:tr>
      <w:tr w14:paraId="3A57C5F6"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643FD336" w14:textId="77777777">
            <w:pPr>
              <w:jc w:val="center"/>
            </w:pPr>
            <w:r w:rsidRPr="009D0CAA">
              <w:t>2</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7F96B90C" w14:textId="1EBE3E71">
            <w:pPr>
              <w:jc w:val="center"/>
              <w:rPr>
                <w:color w:val="000000"/>
              </w:rPr>
            </w:pPr>
            <w:r w:rsidRPr="00491301">
              <w:rPr>
                <w:color w:val="000000"/>
              </w:rPr>
              <w:t>$48.3</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5445F9EB" w14:textId="036E2A1B">
            <w:pPr>
              <w:jc w:val="center"/>
              <w:rPr>
                <w:color w:val="000000"/>
              </w:rPr>
            </w:pPr>
            <w:r w:rsidRPr="00491301">
              <w:rPr>
                <w:color w:val="000000"/>
              </w:rPr>
              <w:t>$77.8</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1B919041" w14:textId="3451F200">
            <w:pPr>
              <w:jc w:val="center"/>
              <w:rPr>
                <w:color w:val="000000"/>
              </w:rPr>
            </w:pPr>
            <w:r w:rsidRPr="00491301">
              <w:rPr>
                <w:color w:val="000000"/>
              </w:rPr>
              <w:t>$115.0</w:t>
            </w:r>
          </w:p>
        </w:tc>
      </w:tr>
      <w:tr w14:paraId="49027816"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5452389F" w14:textId="77777777">
            <w:pPr>
              <w:jc w:val="center"/>
            </w:pPr>
            <w:r w:rsidRPr="009D0CAA">
              <w:t>3</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715305D3" w14:textId="46BDB993">
            <w:pPr>
              <w:jc w:val="center"/>
              <w:rPr>
                <w:color w:val="000000"/>
              </w:rPr>
            </w:pPr>
            <w:r w:rsidRPr="00491301">
              <w:rPr>
                <w:color w:val="000000"/>
              </w:rPr>
              <w:t>$54.9</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1913563B" w14:textId="7785127E">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15DFE28A" w14:textId="472360A9">
            <w:pPr>
              <w:jc w:val="center"/>
              <w:rPr>
                <w:color w:val="000000"/>
              </w:rPr>
            </w:pPr>
            <w:r w:rsidRPr="00491301">
              <w:rPr>
                <w:color w:val="000000"/>
              </w:rPr>
              <w:t>$131.0</w:t>
            </w:r>
          </w:p>
        </w:tc>
      </w:tr>
      <w:tr w14:paraId="793D7F9A"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7EC5C76B" w14:textId="77777777">
            <w:pPr>
              <w:jc w:val="center"/>
            </w:pPr>
            <w:r w:rsidRPr="009D0CAA">
              <w:t>4</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04805580" w14:textId="33401B05">
            <w:pPr>
              <w:jc w:val="center"/>
              <w:rPr>
                <w:color w:val="000000"/>
              </w:rPr>
            </w:pPr>
            <w:r w:rsidRPr="00491301">
              <w:rPr>
                <w:color w:val="000000"/>
              </w:rPr>
              <w:t>$55.4</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4A5CCC44" w14:textId="3D5970AC">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65153274" w14:textId="2B4458DE">
            <w:pPr>
              <w:jc w:val="center"/>
              <w:rPr>
                <w:color w:val="000000"/>
              </w:rPr>
            </w:pPr>
            <w:r w:rsidRPr="00491301">
              <w:rPr>
                <w:color w:val="000000"/>
              </w:rPr>
              <w:t>$130.1</w:t>
            </w:r>
          </w:p>
        </w:tc>
      </w:tr>
      <w:tr w14:paraId="764F1460"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475533A0" w14:textId="77777777">
            <w:pPr>
              <w:jc w:val="center"/>
            </w:pPr>
            <w:r w:rsidRPr="009D0CAA">
              <w:t>5</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2AAA648E" w14:textId="78120314">
            <w:pPr>
              <w:jc w:val="center"/>
              <w:rPr>
                <w:color w:val="000000"/>
              </w:rPr>
            </w:pPr>
            <w:r w:rsidRPr="00491301">
              <w:rPr>
                <w:color w:val="000000"/>
              </w:rPr>
              <w:t>$55.2</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65E076D9" w14:textId="660D0C93">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6F3C45CF" w14:textId="1DA85C6A">
            <w:pPr>
              <w:jc w:val="center"/>
              <w:rPr>
                <w:color w:val="000000"/>
              </w:rPr>
            </w:pPr>
            <w:r w:rsidRPr="00491301">
              <w:rPr>
                <w:color w:val="000000"/>
              </w:rPr>
              <w:t>$131.0</w:t>
            </w:r>
          </w:p>
        </w:tc>
      </w:tr>
      <w:tr w14:paraId="3A8C9817"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52CDA295" w14:textId="77777777">
            <w:pPr>
              <w:jc w:val="center"/>
            </w:pPr>
            <w:r w:rsidRPr="009D0CAA">
              <w:t>6</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35E303C6" w14:textId="5EEE0F65">
            <w:pPr>
              <w:jc w:val="center"/>
              <w:rPr>
                <w:color w:val="000000"/>
              </w:rPr>
            </w:pPr>
            <w:r w:rsidRPr="00491301">
              <w:rPr>
                <w:color w:val="000000"/>
              </w:rPr>
              <w:t>$55.1</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61148E02" w14:textId="6DD17B11">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6C98BCB7" w14:textId="186B322A">
            <w:pPr>
              <w:jc w:val="center"/>
              <w:rPr>
                <w:color w:val="000000"/>
              </w:rPr>
            </w:pPr>
            <w:r w:rsidRPr="00491301">
              <w:rPr>
                <w:color w:val="000000"/>
              </w:rPr>
              <w:t>$132.5</w:t>
            </w:r>
          </w:p>
        </w:tc>
      </w:tr>
      <w:tr w14:paraId="5971C2B7" w14:textId="77777777">
        <w:tblPrEx>
          <w:tblW w:w="5000" w:type="pct"/>
          <w:tblLook w:val="04A0"/>
        </w:tblPrEx>
        <w:trPr>
          <w:trHeight w:val="265"/>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3EB37B81" w14:textId="77777777">
            <w:pPr>
              <w:jc w:val="center"/>
            </w:pPr>
            <w:r w:rsidRPr="009D0CAA">
              <w:t>7</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0695D2D7" w14:textId="637039D1">
            <w:pPr>
              <w:jc w:val="center"/>
              <w:rPr>
                <w:color w:val="000000"/>
              </w:rPr>
            </w:pPr>
            <w:r w:rsidRPr="00491301">
              <w:rPr>
                <w:color w:val="000000"/>
              </w:rPr>
              <w:t>$55.0</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3CC646D1" w14:textId="6366E87B">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1D97890F" w14:textId="7DF1A38D">
            <w:pPr>
              <w:jc w:val="center"/>
              <w:rPr>
                <w:color w:val="000000"/>
              </w:rPr>
            </w:pPr>
            <w:r w:rsidRPr="00491301">
              <w:rPr>
                <w:color w:val="000000"/>
              </w:rPr>
              <w:t>$130.9</w:t>
            </w:r>
          </w:p>
        </w:tc>
      </w:tr>
      <w:tr w14:paraId="069753D6"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7C47BE25" w14:textId="77777777">
            <w:pPr>
              <w:jc w:val="center"/>
            </w:pPr>
            <w:r w:rsidRPr="009D0CAA">
              <w:t>8</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67567F36" w14:textId="3A1C5581">
            <w:pPr>
              <w:jc w:val="center"/>
              <w:rPr>
                <w:color w:val="000000"/>
              </w:rPr>
            </w:pPr>
            <w:r w:rsidRPr="00491301">
              <w:rPr>
                <w:color w:val="000000"/>
              </w:rPr>
              <w:t>$54.8</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7C5B1880" w14:textId="6C090450">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4DC7D731" w14:textId="30F751B9">
            <w:pPr>
              <w:jc w:val="center"/>
              <w:rPr>
                <w:color w:val="000000"/>
              </w:rPr>
            </w:pPr>
            <w:r w:rsidRPr="00491301">
              <w:rPr>
                <w:color w:val="000000"/>
              </w:rPr>
              <w:t>$130.5</w:t>
            </w:r>
          </w:p>
        </w:tc>
      </w:tr>
      <w:tr w14:paraId="63D0B99C"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hideMark/>
          </w:tcPr>
          <w:p w:rsidR="006A387F" w:rsidRPr="009D0CAA" w:rsidP="00026F9A" w14:paraId="7677F4D5" w14:textId="77777777">
            <w:pPr>
              <w:jc w:val="center"/>
            </w:pPr>
            <w:r w:rsidRPr="009D0CAA">
              <w:t>9</w:t>
            </w:r>
          </w:p>
        </w:tc>
        <w:tc>
          <w:tcPr>
            <w:tcW w:w="1237" w:type="pct"/>
            <w:tcBorders>
              <w:top w:val="single" w:sz="4" w:space="0" w:color="auto"/>
              <w:left w:val="single" w:sz="4" w:space="0" w:color="auto"/>
              <w:bottom w:val="single" w:sz="4" w:space="0" w:color="auto"/>
              <w:right w:val="single" w:sz="4" w:space="0" w:color="auto"/>
            </w:tcBorders>
            <w:vAlign w:val="bottom"/>
            <w:hideMark/>
          </w:tcPr>
          <w:p w:rsidR="006A387F" w:rsidRPr="006A387F" w:rsidP="00026F9A" w14:paraId="72F88324" w14:textId="1B06E5F9">
            <w:pPr>
              <w:jc w:val="center"/>
              <w:rPr>
                <w:color w:val="000000"/>
              </w:rPr>
            </w:pPr>
            <w:r w:rsidRPr="00491301">
              <w:rPr>
                <w:color w:val="000000"/>
              </w:rPr>
              <w:t>$55.2</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42CBEE58" w14:textId="72B14B09">
            <w:pPr>
              <w:jc w:val="center"/>
              <w:rPr>
                <w:color w:val="000000"/>
              </w:rPr>
            </w:pPr>
            <w:r w:rsidRPr="00491301">
              <w:rPr>
                <w:color w:val="000000"/>
              </w:rPr>
              <w:t>$89.1</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24837FF6" w14:textId="16988059">
            <w:pPr>
              <w:jc w:val="center"/>
              <w:rPr>
                <w:color w:val="000000"/>
              </w:rPr>
            </w:pPr>
            <w:r w:rsidRPr="00491301">
              <w:rPr>
                <w:color w:val="000000"/>
              </w:rPr>
              <w:t>$132.4</w:t>
            </w:r>
          </w:p>
        </w:tc>
      </w:tr>
      <w:tr w14:paraId="653733C4"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6A387F" w:rsidRPr="009D0CAA" w:rsidP="00026F9A" w14:paraId="596D8D2E" w14:textId="77777777">
            <w:pPr>
              <w:jc w:val="center"/>
            </w:pPr>
            <w:r w:rsidRPr="009D0CAA">
              <w:t>Annualized, 3%</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5ACE130C" w14:textId="73809558">
            <w:pPr>
              <w:jc w:val="center"/>
              <w:rPr>
                <w:color w:val="000000"/>
              </w:rPr>
            </w:pPr>
            <w:r w:rsidRPr="00491301">
              <w:rPr>
                <w:color w:val="000000"/>
              </w:rPr>
              <w:t>$46.9</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2EBD9E6F" w14:textId="26EE47F5">
            <w:pPr>
              <w:jc w:val="center"/>
              <w:rPr>
                <w:color w:val="000000"/>
              </w:rPr>
            </w:pPr>
            <w:r w:rsidRPr="00491301">
              <w:rPr>
                <w:color w:val="000000"/>
              </w:rPr>
              <w:t>$75.8</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3B73D174" w14:textId="1E4B4691">
            <w:pPr>
              <w:jc w:val="center"/>
              <w:rPr>
                <w:color w:val="000000"/>
              </w:rPr>
            </w:pPr>
            <w:r w:rsidRPr="00491301">
              <w:rPr>
                <w:color w:val="000000"/>
              </w:rPr>
              <w:t>$111.6</w:t>
            </w:r>
          </w:p>
        </w:tc>
      </w:tr>
      <w:tr w14:paraId="62A4DBE7" w14:textId="77777777">
        <w:tblPrEx>
          <w:tblW w:w="5000" w:type="pct"/>
          <w:tblLook w:val="04A0"/>
        </w:tblPrEx>
        <w:trPr>
          <w:trHeight w:val="277"/>
        </w:trPr>
        <w:tc>
          <w:tcPr>
            <w:tcW w:w="1289" w:type="pct"/>
            <w:tcBorders>
              <w:top w:val="single" w:sz="4" w:space="0" w:color="auto"/>
              <w:left w:val="single" w:sz="4" w:space="0" w:color="auto"/>
              <w:bottom w:val="single" w:sz="4" w:space="0" w:color="auto"/>
              <w:right w:val="single" w:sz="4" w:space="0" w:color="auto"/>
            </w:tcBorders>
          </w:tcPr>
          <w:p w:rsidR="006A387F" w:rsidRPr="009D0CAA" w:rsidP="00026F9A" w14:paraId="11C9E43C" w14:textId="77777777">
            <w:pPr>
              <w:jc w:val="center"/>
            </w:pPr>
            <w:r w:rsidRPr="009D0CAA">
              <w:t>Annualized, 7%</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09459935" w14:textId="48DEE3DE">
            <w:pPr>
              <w:jc w:val="center"/>
              <w:rPr>
                <w:color w:val="000000"/>
              </w:rPr>
            </w:pPr>
            <w:r w:rsidRPr="00491301">
              <w:rPr>
                <w:color w:val="000000"/>
              </w:rPr>
              <w:t>$45.6</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4E133DB3" w14:textId="29D8A885">
            <w:pPr>
              <w:jc w:val="center"/>
              <w:rPr>
                <w:color w:val="000000"/>
              </w:rPr>
            </w:pPr>
            <w:r w:rsidRPr="00491301">
              <w:rPr>
                <w:color w:val="000000"/>
              </w:rPr>
              <w:t>$73.7</w:t>
            </w:r>
          </w:p>
        </w:tc>
        <w:tc>
          <w:tcPr>
            <w:tcW w:w="1237" w:type="pct"/>
            <w:tcBorders>
              <w:top w:val="single" w:sz="4" w:space="0" w:color="auto"/>
              <w:left w:val="single" w:sz="4" w:space="0" w:color="auto"/>
              <w:bottom w:val="single" w:sz="4" w:space="0" w:color="auto"/>
              <w:right w:val="single" w:sz="4" w:space="0" w:color="auto"/>
            </w:tcBorders>
            <w:vAlign w:val="bottom"/>
          </w:tcPr>
          <w:p w:rsidR="006A387F" w:rsidRPr="006A387F" w:rsidP="00026F9A" w14:paraId="5332E5C0" w14:textId="77C5CD3B">
            <w:pPr>
              <w:jc w:val="center"/>
              <w:rPr>
                <w:color w:val="000000"/>
              </w:rPr>
            </w:pPr>
            <w:r w:rsidRPr="00491301">
              <w:rPr>
                <w:color w:val="000000"/>
              </w:rPr>
              <w:t>$108.6</w:t>
            </w:r>
          </w:p>
        </w:tc>
      </w:tr>
    </w:tbl>
    <w:p w:rsidR="006748C8" w:rsidP="00026F9A" w14:paraId="69950EFF" w14:textId="77777777">
      <w:pPr>
        <w:spacing w:line="480" w:lineRule="auto"/>
      </w:pPr>
      <w:r w:rsidRPr="009D0CAA">
        <w:t>*Positive benefits values in the table represent forgone benefits (not realized).</w:t>
      </w:r>
    </w:p>
    <w:p w:rsidR="006748C8" w:rsidP="00026F9A" w14:paraId="166D43ED" w14:textId="27AA08D0">
      <w:pPr>
        <w:spacing w:line="480" w:lineRule="auto"/>
        <w:rPr>
          <w:b/>
        </w:rPr>
      </w:pPr>
      <w:r>
        <w:rPr>
          <w:b/>
        </w:rPr>
        <w:tab/>
        <w:t xml:space="preserve">Option 2: Require </w:t>
      </w:r>
      <w:r w:rsidR="001937F3">
        <w:rPr>
          <w:b/>
        </w:rPr>
        <w:t>P</w:t>
      </w:r>
      <w:r w:rsidR="00377797">
        <w:rPr>
          <w:b/>
        </w:rPr>
        <w:t xml:space="preserve">re-harvest </w:t>
      </w:r>
      <w:r w:rsidR="001937F3">
        <w:rPr>
          <w:b/>
        </w:rPr>
        <w:t>A</w:t>
      </w:r>
      <w:r w:rsidR="00377797">
        <w:rPr>
          <w:b/>
        </w:rPr>
        <w:t xml:space="preserve">gricultural </w:t>
      </w:r>
      <w:r w:rsidR="001937F3">
        <w:rPr>
          <w:b/>
        </w:rPr>
        <w:t>W</w:t>
      </w:r>
      <w:r>
        <w:rPr>
          <w:b/>
        </w:rPr>
        <w:t xml:space="preserve">ater </w:t>
      </w:r>
      <w:r w:rsidR="001937F3">
        <w:rPr>
          <w:b/>
        </w:rPr>
        <w:t>A</w:t>
      </w:r>
      <w:r>
        <w:rPr>
          <w:b/>
        </w:rPr>
        <w:t xml:space="preserve">ssessments </w:t>
      </w:r>
      <w:r w:rsidR="001937F3">
        <w:rPr>
          <w:b/>
        </w:rPr>
        <w:t>T</w:t>
      </w:r>
      <w:r>
        <w:rPr>
          <w:b/>
        </w:rPr>
        <w:t xml:space="preserve">wice </w:t>
      </w:r>
      <w:r w:rsidR="001937F3">
        <w:rPr>
          <w:b/>
        </w:rPr>
        <w:t>A</w:t>
      </w:r>
      <w:r>
        <w:rPr>
          <w:b/>
        </w:rPr>
        <w:t>nnually</w:t>
      </w:r>
    </w:p>
    <w:p w:rsidR="006748C8" w:rsidP="00026F9A" w14:paraId="78D3952A" w14:textId="7AD166CB">
      <w:pPr>
        <w:spacing w:line="480" w:lineRule="auto"/>
      </w:pPr>
      <w:r>
        <w:tab/>
        <w:t>The rule require</w:t>
      </w:r>
      <w:r w:rsidR="00D34430">
        <w:t>s</w:t>
      </w:r>
      <w:r>
        <w:t xml:space="preserve"> affected farms to conduct one pre-harvest agricultural water assessment annually and as necessary due to changes that could affect the quality of their pre-harvest agricultural water. A more stringent alternative would be to require farms to conduct pre-harvest agricultural water assessments twice annually and as necessary due to changes. Additional assessments may lead to additional mitigation measures if farms identify additional hazards in their additional assessments. </w:t>
      </w:r>
      <w:r w:rsidR="00863F59">
        <w:t xml:space="preserve">We are uncertain </w:t>
      </w:r>
      <w:r w:rsidR="002F5DCF">
        <w:t>about whether additional mitigation measures would occur under an alternative in which farms conduct assessments twice annually</w:t>
      </w:r>
      <w:r w:rsidR="00784DE5">
        <w:t xml:space="preserve">, </w:t>
      </w:r>
      <w:r w:rsidR="00650317">
        <w:t>because</w:t>
      </w:r>
      <w:r w:rsidR="00652EAE">
        <w:t xml:space="preserve"> under the approach we are finalizing with this rule</w:t>
      </w:r>
      <w:r w:rsidR="002F5EDA">
        <w:t>,</w:t>
      </w:r>
      <w:r w:rsidR="00652EAE">
        <w:t xml:space="preserve"> </w:t>
      </w:r>
      <w:r w:rsidR="00650317">
        <w:t xml:space="preserve">farms are required to conduct reassessments </w:t>
      </w:r>
      <w:r w:rsidR="00C04887">
        <w:t>and implement necessary measures in response to significant changes</w:t>
      </w:r>
      <w:r w:rsidR="002F5DCF">
        <w:t>. As a result, w</w:t>
      </w:r>
      <w:r>
        <w:t xml:space="preserve">e present estimated costs for no increase in mitigation measures, a 50-percent increase in mitigation measures, and a 100-percent increase in mitigation measures. Table </w:t>
      </w:r>
      <w:r w:rsidR="006A387F">
        <w:t>4</w:t>
      </w:r>
      <w:r w:rsidR="00F04A72">
        <w:t>2</w:t>
      </w:r>
      <w:r>
        <w:t xml:space="preserve"> presents estimated costs by year of this regulatory alternative relative to pre-harvest agricultural water </w:t>
      </w:r>
      <w:r w:rsidR="00E46249">
        <w:t xml:space="preserve">microbial quality criteria and </w:t>
      </w:r>
      <w:r>
        <w:t>testing provisions</w:t>
      </w:r>
      <w:r w:rsidR="00E46249">
        <w:t xml:space="preserve"> in the 2015 </w:t>
      </w:r>
      <w:r w:rsidR="00026B9D">
        <w:t>produce safety final rule</w:t>
      </w:r>
      <w:r>
        <w:t xml:space="preserve">, assuming the same costs of reading the rule as in the current rule. This regulatory alternative would be more costly for farms than the rule requiring one assessment annually. This alternative may have larger public health benefits than those estimated in the main analysis if additional pre-harvest agricultural water assessments result in farms identifying and mitigating more potential hazards associated with </w:t>
      </w:r>
      <w:r>
        <w:t xml:space="preserve">their pre-harvest agricultural water and if those additional hazards, without mitigation, would have caused illnesses not prevented by initial mitigation. </w:t>
      </w:r>
      <w:r w:rsidR="00EB3C17">
        <w:t>We are not aware of, and comments did not provide, quantitative data or information that would allow us to estimate potential benefits of conducting an additional assessment each year.</w:t>
      </w:r>
      <w:r w:rsidR="00CE6F2F">
        <w:t xml:space="preserve"> </w:t>
      </w:r>
      <w:r>
        <w:t>Annualized costs under no additional mitigation measures are approximately $</w:t>
      </w:r>
      <w:r w:rsidR="00554CC1">
        <w:t>3</w:t>
      </w:r>
      <w:r w:rsidR="00104C6A">
        <w:t>6.7</w:t>
      </w:r>
      <w:r>
        <w:t xml:space="preserve"> million at a 3 percent discount rate and approximately $</w:t>
      </w:r>
      <w:r w:rsidR="00554CC1">
        <w:t>3</w:t>
      </w:r>
      <w:r w:rsidR="00104C6A">
        <w:t>5.4</w:t>
      </w:r>
      <w:r>
        <w:t xml:space="preserve"> million at a 7 percent discount rate; annualized costs under 50 percent additional mitigation measures are approximately $</w:t>
      </w:r>
      <w:r w:rsidR="00554CC1">
        <w:t>4</w:t>
      </w:r>
      <w:r w:rsidR="00104C6A">
        <w:t>3.7</w:t>
      </w:r>
      <w:r>
        <w:t xml:space="preserve"> million at a 3 percent discount rate and approximately $</w:t>
      </w:r>
      <w:r w:rsidR="00104C6A">
        <w:t>42.1</w:t>
      </w:r>
      <w:r>
        <w:t xml:space="preserve"> million at a 7 percent discount rate; annualized costs under 100 percent additional mitigation measures are approximately $</w:t>
      </w:r>
      <w:r w:rsidR="00104C6A">
        <w:t>50.6</w:t>
      </w:r>
      <w:r>
        <w:t xml:space="preserve"> million at a 3 percent discount rate and approximately $</w:t>
      </w:r>
      <w:r w:rsidR="0040754F">
        <w:t>4</w:t>
      </w:r>
      <w:r w:rsidR="00104C6A">
        <w:t>8.9</w:t>
      </w:r>
      <w:r>
        <w:t xml:space="preserve"> million at a 7 percent discount rate.</w:t>
      </w:r>
    </w:p>
    <w:p w:rsidR="006748C8" w:rsidRPr="00D3667C" w:rsidP="00026F9A" w14:paraId="680E63B1" w14:textId="16B585F8">
      <w:pPr>
        <w:rPr>
          <w:b/>
        </w:rPr>
      </w:pPr>
      <w:r>
        <w:rPr>
          <w:b/>
        </w:rPr>
        <w:t xml:space="preserve">Table </w:t>
      </w:r>
      <w:r w:rsidR="007448E3">
        <w:rPr>
          <w:b/>
        </w:rPr>
        <w:t>4</w:t>
      </w:r>
      <w:r w:rsidR="00226AB5">
        <w:rPr>
          <w:b/>
        </w:rPr>
        <w:t>2</w:t>
      </w:r>
      <w:r w:rsidRPr="00D3667C">
        <w:rPr>
          <w:b/>
        </w:rPr>
        <w:t xml:space="preserve">: </w:t>
      </w:r>
      <w:r>
        <w:rPr>
          <w:b/>
        </w:rPr>
        <w:t>Costs of Requiring</w:t>
      </w:r>
      <w:r w:rsidRPr="00D3667C">
        <w:rPr>
          <w:b/>
        </w:rPr>
        <w:t xml:space="preserve"> </w:t>
      </w:r>
      <w:r>
        <w:rPr>
          <w:b/>
        </w:rPr>
        <w:t xml:space="preserve">Two Annual Assessments, Relative to Pre-harvest Agricultural Water </w:t>
      </w:r>
      <w:r w:rsidR="00E2135E">
        <w:rPr>
          <w:b/>
        </w:rPr>
        <w:t xml:space="preserve">Microbial Quality Criteria and </w:t>
      </w:r>
      <w:r>
        <w:rPr>
          <w:b/>
        </w:rPr>
        <w:t>Testing Provisions</w:t>
      </w:r>
      <w:r w:rsidR="00E2135E">
        <w:rPr>
          <w:b/>
        </w:rPr>
        <w:t xml:space="preserve"> in the 2015 Produce Safety Final </w:t>
      </w:r>
      <w:r w:rsidRPr="230F07BD" w:rsidR="13BB322C">
        <w:rPr>
          <w:b/>
          <w:bCs/>
        </w:rPr>
        <w:t>R</w:t>
      </w:r>
      <w:r w:rsidRPr="230F07BD" w:rsidR="1B7F1AC6">
        <w:rPr>
          <w:b/>
          <w:bCs/>
        </w:rPr>
        <w:t>u</w:t>
      </w:r>
      <w:r w:rsidR="00E2135E">
        <w:rPr>
          <w:b/>
        </w:rPr>
        <w:t>le</w:t>
      </w:r>
      <w:r>
        <w:rPr>
          <w:b/>
        </w:rPr>
        <w:t xml:space="preserve"> </w:t>
      </w:r>
      <w:r w:rsidRPr="00D3667C">
        <w:rPr>
          <w:b/>
        </w:rPr>
        <w:t>(</w:t>
      </w:r>
      <w:r>
        <w:rPr>
          <w:b/>
        </w:rPr>
        <w:t>M</w:t>
      </w:r>
      <w:r w:rsidRPr="00D3667C">
        <w:rPr>
          <w:b/>
        </w:rPr>
        <w:t xml:space="preserve">illions </w:t>
      </w:r>
      <w:r w:rsidRPr="230F07BD" w:rsidR="68DF54FA">
        <w:rPr>
          <w:b/>
          <w:bCs/>
        </w:rPr>
        <w:t>20</w:t>
      </w:r>
      <w:r w:rsidRPr="230F07BD" w:rsidR="07FA13B0">
        <w:rPr>
          <w:b/>
          <w:bCs/>
        </w:rPr>
        <w:t>2</w:t>
      </w:r>
      <w:r w:rsidR="006A387F">
        <w:rPr>
          <w:b/>
          <w:bCs/>
        </w:rPr>
        <w:t>2</w:t>
      </w:r>
      <w:r w:rsidRPr="00D3667C">
        <w:rPr>
          <w:b/>
        </w:rPr>
        <w:t>$)</w:t>
      </w:r>
    </w:p>
    <w:tbl>
      <w:tblPr>
        <w:tblStyle w:val="TableGrid"/>
        <w:tblW w:w="0" w:type="auto"/>
        <w:tblLook w:val="04A0"/>
      </w:tblPr>
      <w:tblGrid>
        <w:gridCol w:w="2695"/>
        <w:gridCol w:w="2250"/>
        <w:gridCol w:w="1527"/>
        <w:gridCol w:w="2158"/>
      </w:tblGrid>
      <w:tr w14:paraId="6F163802"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6748C8" w:rsidRPr="00D3667C" w:rsidP="00026F9A" w14:paraId="0B136BD3" w14:textId="77777777">
            <w:pPr>
              <w:jc w:val="center"/>
              <w:rPr>
                <w:b/>
              </w:rPr>
            </w:pPr>
            <w:r w:rsidRPr="00D3667C">
              <w:rPr>
                <w:b/>
              </w:rPr>
              <w:t>Years after publication</w:t>
            </w:r>
          </w:p>
        </w:tc>
        <w:tc>
          <w:tcPr>
            <w:tcW w:w="2250" w:type="dxa"/>
            <w:tcBorders>
              <w:top w:val="single" w:sz="4" w:space="0" w:color="auto"/>
              <w:left w:val="single" w:sz="4" w:space="0" w:color="auto"/>
              <w:bottom w:val="single" w:sz="4" w:space="0" w:color="auto"/>
              <w:right w:val="single" w:sz="4" w:space="0" w:color="auto"/>
            </w:tcBorders>
            <w:hideMark/>
          </w:tcPr>
          <w:p w:rsidR="006748C8" w:rsidRPr="00D3667C" w:rsidP="00026F9A" w14:paraId="031C2E0F" w14:textId="77777777">
            <w:pPr>
              <w:jc w:val="center"/>
              <w:rPr>
                <w:b/>
              </w:rPr>
            </w:pPr>
            <w:r>
              <w:rPr>
                <w:b/>
              </w:rPr>
              <w:t>0% More Mitigation Measures</w:t>
            </w:r>
          </w:p>
        </w:tc>
        <w:tc>
          <w:tcPr>
            <w:tcW w:w="1527" w:type="dxa"/>
            <w:tcBorders>
              <w:top w:val="single" w:sz="4" w:space="0" w:color="auto"/>
              <w:left w:val="single" w:sz="4" w:space="0" w:color="auto"/>
              <w:bottom w:val="single" w:sz="4" w:space="0" w:color="auto"/>
              <w:right w:val="single" w:sz="4" w:space="0" w:color="auto"/>
            </w:tcBorders>
            <w:hideMark/>
          </w:tcPr>
          <w:p w:rsidR="006748C8" w:rsidRPr="00D3667C" w:rsidP="00026F9A" w14:paraId="6B1FB5F6" w14:textId="77777777">
            <w:pPr>
              <w:jc w:val="center"/>
              <w:rPr>
                <w:b/>
              </w:rPr>
            </w:pPr>
            <w:r>
              <w:rPr>
                <w:b/>
              </w:rPr>
              <w:t>50% More Mitigation Measures</w:t>
            </w:r>
          </w:p>
        </w:tc>
        <w:tc>
          <w:tcPr>
            <w:tcW w:w="2158" w:type="dxa"/>
            <w:tcBorders>
              <w:top w:val="single" w:sz="4" w:space="0" w:color="auto"/>
              <w:left w:val="single" w:sz="4" w:space="0" w:color="auto"/>
              <w:bottom w:val="single" w:sz="4" w:space="0" w:color="auto"/>
              <w:right w:val="single" w:sz="4" w:space="0" w:color="auto"/>
            </w:tcBorders>
            <w:hideMark/>
          </w:tcPr>
          <w:p w:rsidR="006748C8" w:rsidRPr="00D3667C" w:rsidP="00026F9A" w14:paraId="3A948745" w14:textId="77777777">
            <w:pPr>
              <w:jc w:val="center"/>
              <w:rPr>
                <w:b/>
              </w:rPr>
            </w:pPr>
            <w:r>
              <w:rPr>
                <w:b/>
              </w:rPr>
              <w:t>100% More Mitigation Measures</w:t>
            </w:r>
          </w:p>
        </w:tc>
      </w:tr>
      <w:tr w14:paraId="7A72D421"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426F8BAE" w14:textId="77777777">
            <w:pPr>
              <w:jc w:val="center"/>
            </w:pPr>
            <w:r w:rsidRPr="00D3667C">
              <w:t>0</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4C4E5BDD" w14:textId="64ACFEBE">
            <w:pPr>
              <w:jc w:val="center"/>
              <w:rPr>
                <w:rFonts w:eastAsia="Times New Roman"/>
                <w:color w:val="000000"/>
              </w:rPr>
            </w:pPr>
            <w:r w:rsidRPr="00491301">
              <w:rPr>
                <w:color w:val="000000"/>
              </w:rPr>
              <w:t>$21.6</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75271C53" w14:textId="5BB5A6CC">
            <w:pPr>
              <w:jc w:val="center"/>
              <w:rPr>
                <w:color w:val="000000"/>
              </w:rPr>
            </w:pPr>
            <w:r w:rsidRPr="00491301">
              <w:rPr>
                <w:color w:val="000000"/>
              </w:rPr>
              <w:t>$21.6</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7876A3B2" w14:textId="62CCCFE7">
            <w:pPr>
              <w:jc w:val="center"/>
              <w:rPr>
                <w:color w:val="000000"/>
              </w:rPr>
            </w:pPr>
            <w:r w:rsidRPr="00491301">
              <w:rPr>
                <w:color w:val="000000"/>
              </w:rPr>
              <w:t>$21.6</w:t>
            </w:r>
          </w:p>
        </w:tc>
      </w:tr>
      <w:tr w14:paraId="7DFE36D2"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2240E88E" w14:textId="77777777">
            <w:pPr>
              <w:jc w:val="center"/>
            </w:pPr>
            <w:r w:rsidRPr="00D3667C">
              <w:t>1</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2F265F16" w14:textId="6650AB0E">
            <w:pPr>
              <w:jc w:val="center"/>
              <w:rPr>
                <w:color w:val="000000"/>
              </w:rPr>
            </w:pPr>
            <w:r w:rsidRPr="00491301">
              <w:rPr>
                <w:color w:val="000000"/>
              </w:rPr>
              <w:t>$8.0</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6E1A9E1D" w14:textId="3FBF25A2">
            <w:pPr>
              <w:jc w:val="center"/>
              <w:rPr>
                <w:color w:val="000000"/>
              </w:rPr>
            </w:pPr>
            <w:r w:rsidRPr="00491301">
              <w:rPr>
                <w:color w:val="000000"/>
              </w:rPr>
              <w:t>$13.8</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0E30B78C" w14:textId="231380C2">
            <w:pPr>
              <w:jc w:val="center"/>
              <w:rPr>
                <w:color w:val="000000"/>
              </w:rPr>
            </w:pPr>
            <w:r w:rsidRPr="00491301">
              <w:rPr>
                <w:color w:val="000000"/>
              </w:rPr>
              <w:t>$19.7</w:t>
            </w:r>
          </w:p>
        </w:tc>
      </w:tr>
      <w:tr w14:paraId="04FCCCEF"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1C8A02A3" w14:textId="77777777">
            <w:pPr>
              <w:jc w:val="center"/>
            </w:pPr>
            <w:r w:rsidRPr="00D3667C">
              <w:t>2</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7593F3DD" w14:textId="3E3F6233">
            <w:pPr>
              <w:jc w:val="center"/>
              <w:rPr>
                <w:color w:val="000000"/>
              </w:rPr>
            </w:pPr>
            <w:r w:rsidRPr="00491301">
              <w:rPr>
                <w:color w:val="000000"/>
              </w:rPr>
              <w:t>$21.7</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47FF5E85" w14:textId="20A7228F">
            <w:pPr>
              <w:jc w:val="center"/>
              <w:rPr>
                <w:color w:val="000000"/>
              </w:rPr>
            </w:pPr>
            <w:r w:rsidRPr="00491301">
              <w:rPr>
                <w:color w:val="000000"/>
              </w:rPr>
              <w:t>$28.3</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2AD9EA43" w14:textId="46E58E3B">
            <w:pPr>
              <w:jc w:val="center"/>
              <w:rPr>
                <w:color w:val="000000"/>
              </w:rPr>
            </w:pPr>
            <w:r w:rsidRPr="00491301">
              <w:rPr>
                <w:color w:val="000000"/>
              </w:rPr>
              <w:t>$34.9</w:t>
            </w:r>
          </w:p>
        </w:tc>
      </w:tr>
      <w:tr w14:paraId="072FA1FF"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714E8FF7" w14:textId="77777777">
            <w:pPr>
              <w:jc w:val="center"/>
            </w:pPr>
            <w:r w:rsidRPr="00D3667C">
              <w:t>3</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6DF5D7D6" w14:textId="6F8E55CE">
            <w:pPr>
              <w:jc w:val="center"/>
              <w:rPr>
                <w:color w:val="000000"/>
              </w:rPr>
            </w:pPr>
            <w:r w:rsidRPr="00491301">
              <w:rPr>
                <w:color w:val="000000"/>
              </w:rPr>
              <w:t>$41.2</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0B66162B" w14:textId="427EC103">
            <w:pPr>
              <w:jc w:val="center"/>
              <w:rPr>
                <w:color w:val="000000"/>
              </w:rPr>
            </w:pPr>
            <w:r w:rsidRPr="00491301">
              <w:rPr>
                <w:color w:val="000000"/>
              </w:rPr>
              <w:t>$49.6</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666D38F9" w14:textId="13BF6FA0">
            <w:pPr>
              <w:jc w:val="center"/>
              <w:rPr>
                <w:color w:val="000000"/>
              </w:rPr>
            </w:pPr>
            <w:r w:rsidRPr="00491301">
              <w:rPr>
                <w:color w:val="000000"/>
              </w:rPr>
              <w:t>$58.0</w:t>
            </w:r>
          </w:p>
        </w:tc>
      </w:tr>
      <w:tr w14:paraId="64AAD2BB"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49665893" w14:textId="77777777">
            <w:pPr>
              <w:jc w:val="center"/>
            </w:pPr>
            <w:r w:rsidRPr="00D3667C">
              <w:t>4</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7660EE4B" w14:textId="322A174E">
            <w:pPr>
              <w:jc w:val="center"/>
              <w:rPr>
                <w:color w:val="000000"/>
              </w:rPr>
            </w:pPr>
            <w:r w:rsidRPr="00491301">
              <w:rPr>
                <w:color w:val="000000"/>
              </w:rPr>
              <w:t>$47.4</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7FA2ACDA" w14:textId="13CCDE6F">
            <w:pPr>
              <w:jc w:val="center"/>
              <w:rPr>
                <w:color w:val="000000"/>
              </w:rPr>
            </w:pPr>
            <w:r w:rsidRPr="00491301">
              <w:rPr>
                <w:color w:val="000000"/>
              </w:rPr>
              <w:t>$55.8</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1ECE1FE8" w14:textId="357E0CA9">
            <w:pPr>
              <w:jc w:val="center"/>
              <w:rPr>
                <w:color w:val="000000"/>
              </w:rPr>
            </w:pPr>
            <w:r w:rsidRPr="00491301">
              <w:rPr>
                <w:color w:val="000000"/>
              </w:rPr>
              <w:t>$64.2</w:t>
            </w:r>
          </w:p>
        </w:tc>
      </w:tr>
      <w:tr w14:paraId="2240F4AB"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08634CC5" w14:textId="77777777">
            <w:pPr>
              <w:jc w:val="center"/>
            </w:pPr>
            <w:r w:rsidRPr="00D3667C">
              <w:t>5</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6484C634" w14:textId="3FB87C0C">
            <w:pPr>
              <w:jc w:val="center"/>
              <w:rPr>
                <w:color w:val="000000"/>
              </w:rPr>
            </w:pPr>
            <w:r w:rsidRPr="00491301">
              <w:rPr>
                <w:color w:val="000000"/>
              </w:rPr>
              <w:t>$47.4</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54B4B246" w14:textId="237BAB3B">
            <w:pPr>
              <w:jc w:val="center"/>
              <w:rPr>
                <w:color w:val="000000"/>
              </w:rPr>
            </w:pPr>
            <w:r w:rsidRPr="00491301">
              <w:rPr>
                <w:color w:val="000000"/>
              </w:rPr>
              <w:t>$55.8</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33280B29" w14:textId="5A64CC3A">
            <w:pPr>
              <w:jc w:val="center"/>
              <w:rPr>
                <w:color w:val="000000"/>
              </w:rPr>
            </w:pPr>
            <w:r w:rsidRPr="00491301">
              <w:rPr>
                <w:color w:val="000000"/>
              </w:rPr>
              <w:t>$64.2</w:t>
            </w:r>
          </w:p>
        </w:tc>
      </w:tr>
      <w:tr w14:paraId="474F4C5F"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30F7169E" w14:textId="77777777">
            <w:pPr>
              <w:jc w:val="center"/>
            </w:pPr>
            <w:r w:rsidRPr="00D3667C">
              <w:t>6</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122B84B7" w14:textId="67FBA615">
            <w:pPr>
              <w:jc w:val="center"/>
              <w:rPr>
                <w:color w:val="000000"/>
              </w:rPr>
            </w:pPr>
            <w:r w:rsidRPr="00491301">
              <w:rPr>
                <w:color w:val="000000"/>
              </w:rPr>
              <w:t>$47.4</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2A8F27BD" w14:textId="3C1F6BBD">
            <w:pPr>
              <w:jc w:val="center"/>
              <w:rPr>
                <w:color w:val="000000"/>
              </w:rPr>
            </w:pPr>
            <w:r w:rsidRPr="00491301">
              <w:rPr>
                <w:color w:val="000000"/>
              </w:rPr>
              <w:t>$55.8</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50F44D88" w14:textId="1C751205">
            <w:pPr>
              <w:jc w:val="center"/>
              <w:rPr>
                <w:color w:val="000000"/>
              </w:rPr>
            </w:pPr>
            <w:r w:rsidRPr="00491301">
              <w:rPr>
                <w:color w:val="000000"/>
              </w:rPr>
              <w:t>$64.2</w:t>
            </w:r>
          </w:p>
        </w:tc>
      </w:tr>
      <w:tr w14:paraId="1E7FBF35"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4831BCEA" w14:textId="77777777">
            <w:pPr>
              <w:jc w:val="center"/>
            </w:pPr>
            <w:r w:rsidRPr="00D3667C">
              <w:t>7</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37294622" w14:textId="524113EB">
            <w:pPr>
              <w:jc w:val="center"/>
              <w:rPr>
                <w:color w:val="000000"/>
              </w:rPr>
            </w:pPr>
            <w:r w:rsidRPr="00491301">
              <w:rPr>
                <w:color w:val="000000"/>
              </w:rPr>
              <w:t>$47.4</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45745A1F" w14:textId="25A610DD">
            <w:pPr>
              <w:jc w:val="center"/>
              <w:rPr>
                <w:color w:val="000000"/>
              </w:rPr>
            </w:pPr>
            <w:r w:rsidRPr="00491301">
              <w:rPr>
                <w:color w:val="000000"/>
              </w:rPr>
              <w:t>$55.8</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1BB233F3" w14:textId="6EE1B6BD">
            <w:pPr>
              <w:jc w:val="center"/>
              <w:rPr>
                <w:color w:val="000000"/>
              </w:rPr>
            </w:pPr>
            <w:r w:rsidRPr="00491301">
              <w:rPr>
                <w:color w:val="000000"/>
              </w:rPr>
              <w:t>$64.2</w:t>
            </w:r>
          </w:p>
        </w:tc>
      </w:tr>
      <w:tr w14:paraId="27B579A8"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25D70423" w14:textId="77777777">
            <w:pPr>
              <w:jc w:val="center"/>
            </w:pPr>
            <w:r w:rsidRPr="00D3667C">
              <w:t>8</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44C668D0" w14:textId="642C634C">
            <w:pPr>
              <w:jc w:val="center"/>
              <w:rPr>
                <w:color w:val="000000"/>
              </w:rPr>
            </w:pPr>
            <w:r w:rsidRPr="00491301">
              <w:rPr>
                <w:color w:val="000000"/>
              </w:rPr>
              <w:t>$47.4</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0AAFD2F3" w14:textId="15EA5785">
            <w:pPr>
              <w:jc w:val="center"/>
              <w:rPr>
                <w:color w:val="000000"/>
              </w:rPr>
            </w:pPr>
            <w:r w:rsidRPr="00491301">
              <w:rPr>
                <w:color w:val="000000"/>
              </w:rPr>
              <w:t>$55.8</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163C7086" w14:textId="5A2C34EC">
            <w:pPr>
              <w:jc w:val="center"/>
              <w:rPr>
                <w:color w:val="000000"/>
              </w:rPr>
            </w:pPr>
            <w:r w:rsidRPr="00491301">
              <w:rPr>
                <w:color w:val="000000"/>
              </w:rPr>
              <w:t>$64.2</w:t>
            </w:r>
          </w:p>
        </w:tc>
      </w:tr>
      <w:tr w14:paraId="4E0D360E"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04C6A" w:rsidRPr="00D3667C" w:rsidP="00026F9A" w14:paraId="7808E59D" w14:textId="77777777">
            <w:pPr>
              <w:jc w:val="center"/>
            </w:pPr>
            <w:r w:rsidRPr="00D3667C">
              <w:t>9</w:t>
            </w:r>
          </w:p>
        </w:tc>
        <w:tc>
          <w:tcPr>
            <w:tcW w:w="2250"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085DB219" w14:textId="6CF736FF">
            <w:pPr>
              <w:jc w:val="center"/>
              <w:rPr>
                <w:color w:val="000000"/>
              </w:rPr>
            </w:pPr>
            <w:r w:rsidRPr="00491301">
              <w:rPr>
                <w:color w:val="000000"/>
              </w:rPr>
              <w:t>$47.4</w:t>
            </w:r>
          </w:p>
        </w:tc>
        <w:tc>
          <w:tcPr>
            <w:tcW w:w="1527"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0D861884" w14:textId="6305B8BD">
            <w:pPr>
              <w:jc w:val="center"/>
              <w:rPr>
                <w:color w:val="000000"/>
              </w:rPr>
            </w:pPr>
            <w:r w:rsidRPr="00491301">
              <w:rPr>
                <w:color w:val="000000"/>
              </w:rPr>
              <w:t>$55.8</w:t>
            </w:r>
          </w:p>
        </w:tc>
        <w:tc>
          <w:tcPr>
            <w:tcW w:w="2158" w:type="dxa"/>
            <w:tcBorders>
              <w:top w:val="single" w:sz="4" w:space="0" w:color="auto"/>
              <w:left w:val="single" w:sz="4" w:space="0" w:color="auto"/>
              <w:bottom w:val="single" w:sz="4" w:space="0" w:color="auto"/>
              <w:right w:val="single" w:sz="4" w:space="0" w:color="auto"/>
            </w:tcBorders>
            <w:vAlign w:val="bottom"/>
            <w:hideMark/>
          </w:tcPr>
          <w:p w:rsidR="00104C6A" w:rsidRPr="00104C6A" w:rsidP="00026F9A" w14:paraId="6C67329A" w14:textId="6D8D1E46">
            <w:pPr>
              <w:jc w:val="center"/>
              <w:rPr>
                <w:color w:val="000000"/>
              </w:rPr>
            </w:pPr>
            <w:r w:rsidRPr="00491301">
              <w:rPr>
                <w:color w:val="000000"/>
              </w:rPr>
              <w:t>$64.2</w:t>
            </w:r>
          </w:p>
        </w:tc>
      </w:tr>
      <w:tr w14:paraId="1522B750"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tcPr>
          <w:p w:rsidR="00104C6A" w:rsidRPr="00D3667C" w:rsidP="00026F9A" w14:paraId="6BDF9784" w14:textId="77777777">
            <w:pPr>
              <w:jc w:val="center"/>
            </w:pPr>
            <w:r>
              <w:t>Annualized, 3%</w:t>
            </w:r>
          </w:p>
        </w:tc>
        <w:tc>
          <w:tcPr>
            <w:tcW w:w="2250" w:type="dxa"/>
            <w:tcBorders>
              <w:top w:val="single" w:sz="4" w:space="0" w:color="auto"/>
              <w:left w:val="single" w:sz="4" w:space="0" w:color="auto"/>
              <w:bottom w:val="single" w:sz="4" w:space="0" w:color="auto"/>
              <w:right w:val="single" w:sz="4" w:space="0" w:color="auto"/>
            </w:tcBorders>
            <w:vAlign w:val="bottom"/>
          </w:tcPr>
          <w:p w:rsidR="00104C6A" w:rsidRPr="00104C6A" w:rsidP="00026F9A" w14:paraId="7BC49A63" w14:textId="59CF47AF">
            <w:pPr>
              <w:jc w:val="center"/>
              <w:rPr>
                <w:rFonts w:eastAsia="Times New Roman"/>
                <w:color w:val="000000"/>
              </w:rPr>
            </w:pPr>
            <w:r w:rsidRPr="00491301">
              <w:rPr>
                <w:color w:val="000000"/>
              </w:rPr>
              <w:t>$36.7</w:t>
            </w:r>
          </w:p>
        </w:tc>
        <w:tc>
          <w:tcPr>
            <w:tcW w:w="1527" w:type="dxa"/>
            <w:tcBorders>
              <w:top w:val="single" w:sz="4" w:space="0" w:color="auto"/>
              <w:left w:val="single" w:sz="4" w:space="0" w:color="auto"/>
              <w:bottom w:val="single" w:sz="4" w:space="0" w:color="auto"/>
              <w:right w:val="single" w:sz="4" w:space="0" w:color="auto"/>
            </w:tcBorders>
            <w:vAlign w:val="bottom"/>
          </w:tcPr>
          <w:p w:rsidR="00104C6A" w:rsidRPr="00104C6A" w:rsidP="00026F9A" w14:paraId="4063B67C" w14:textId="7FFDDFE9">
            <w:pPr>
              <w:jc w:val="center"/>
              <w:rPr>
                <w:color w:val="000000"/>
              </w:rPr>
            </w:pPr>
            <w:r w:rsidRPr="00491301">
              <w:rPr>
                <w:color w:val="000000"/>
              </w:rPr>
              <w:t>$43.7</w:t>
            </w:r>
          </w:p>
        </w:tc>
        <w:tc>
          <w:tcPr>
            <w:tcW w:w="2158" w:type="dxa"/>
            <w:tcBorders>
              <w:top w:val="single" w:sz="4" w:space="0" w:color="auto"/>
              <w:left w:val="single" w:sz="4" w:space="0" w:color="auto"/>
              <w:bottom w:val="single" w:sz="4" w:space="0" w:color="auto"/>
              <w:right w:val="single" w:sz="4" w:space="0" w:color="auto"/>
            </w:tcBorders>
            <w:vAlign w:val="bottom"/>
          </w:tcPr>
          <w:p w:rsidR="00104C6A" w:rsidRPr="00104C6A" w:rsidP="00026F9A" w14:paraId="4C5C89E3" w14:textId="4983D798">
            <w:pPr>
              <w:jc w:val="center"/>
              <w:rPr>
                <w:color w:val="000000"/>
              </w:rPr>
            </w:pPr>
            <w:r w:rsidRPr="00491301">
              <w:rPr>
                <w:color w:val="000000"/>
              </w:rPr>
              <w:t>$50.6</w:t>
            </w:r>
          </w:p>
        </w:tc>
      </w:tr>
      <w:tr w14:paraId="2E06343D"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tcPr>
          <w:p w:rsidR="00104C6A" w:rsidRPr="00D3667C" w:rsidP="00026F9A" w14:paraId="6FDF367A" w14:textId="77777777">
            <w:pPr>
              <w:jc w:val="center"/>
            </w:pPr>
            <w:r>
              <w:t>Annualized, 7%</w:t>
            </w:r>
          </w:p>
        </w:tc>
        <w:tc>
          <w:tcPr>
            <w:tcW w:w="2250" w:type="dxa"/>
            <w:tcBorders>
              <w:top w:val="single" w:sz="4" w:space="0" w:color="auto"/>
              <w:left w:val="single" w:sz="4" w:space="0" w:color="auto"/>
              <w:bottom w:val="single" w:sz="4" w:space="0" w:color="auto"/>
              <w:right w:val="single" w:sz="4" w:space="0" w:color="auto"/>
            </w:tcBorders>
            <w:vAlign w:val="bottom"/>
          </w:tcPr>
          <w:p w:rsidR="00104C6A" w:rsidRPr="00104C6A" w:rsidP="00026F9A" w14:paraId="6139CBEC" w14:textId="61F2B610">
            <w:pPr>
              <w:jc w:val="center"/>
              <w:rPr>
                <w:color w:val="000000"/>
              </w:rPr>
            </w:pPr>
            <w:r w:rsidRPr="00491301">
              <w:rPr>
                <w:color w:val="000000"/>
              </w:rPr>
              <w:t>$35.4</w:t>
            </w:r>
          </w:p>
        </w:tc>
        <w:tc>
          <w:tcPr>
            <w:tcW w:w="1527" w:type="dxa"/>
            <w:tcBorders>
              <w:top w:val="single" w:sz="4" w:space="0" w:color="auto"/>
              <w:left w:val="single" w:sz="4" w:space="0" w:color="auto"/>
              <w:bottom w:val="single" w:sz="4" w:space="0" w:color="auto"/>
              <w:right w:val="single" w:sz="4" w:space="0" w:color="auto"/>
            </w:tcBorders>
            <w:vAlign w:val="bottom"/>
          </w:tcPr>
          <w:p w:rsidR="00104C6A" w:rsidRPr="00104C6A" w:rsidP="00026F9A" w14:paraId="01510244" w14:textId="373F6778">
            <w:pPr>
              <w:jc w:val="center"/>
              <w:rPr>
                <w:color w:val="000000"/>
              </w:rPr>
            </w:pPr>
            <w:r w:rsidRPr="00491301">
              <w:rPr>
                <w:color w:val="000000"/>
              </w:rPr>
              <w:t>$42.1</w:t>
            </w:r>
          </w:p>
        </w:tc>
        <w:tc>
          <w:tcPr>
            <w:tcW w:w="2158" w:type="dxa"/>
            <w:tcBorders>
              <w:top w:val="single" w:sz="4" w:space="0" w:color="auto"/>
              <w:left w:val="single" w:sz="4" w:space="0" w:color="auto"/>
              <w:bottom w:val="single" w:sz="4" w:space="0" w:color="auto"/>
              <w:right w:val="single" w:sz="4" w:space="0" w:color="auto"/>
            </w:tcBorders>
            <w:vAlign w:val="bottom"/>
          </w:tcPr>
          <w:p w:rsidR="00104C6A" w:rsidRPr="00104C6A" w:rsidP="00026F9A" w14:paraId="1BD0A2E7" w14:textId="16713067">
            <w:pPr>
              <w:jc w:val="center"/>
              <w:rPr>
                <w:color w:val="000000"/>
              </w:rPr>
            </w:pPr>
            <w:r w:rsidRPr="00491301">
              <w:rPr>
                <w:color w:val="000000"/>
              </w:rPr>
              <w:t>$48.9</w:t>
            </w:r>
          </w:p>
        </w:tc>
      </w:tr>
    </w:tbl>
    <w:p w:rsidR="006748C8" w:rsidP="00026F9A" w14:paraId="4EB4B3D5" w14:textId="00DB0DFD">
      <w:pPr>
        <w:rPr>
          <w:rFonts w:eastAsia="Times New Roman"/>
          <w:i/>
        </w:rPr>
      </w:pPr>
    </w:p>
    <w:p w:rsidR="00B30F33" w14:paraId="1946B379" w14:textId="77777777">
      <w:pPr>
        <w:spacing w:line="276" w:lineRule="auto"/>
        <w:rPr>
          <w:b/>
        </w:rPr>
      </w:pPr>
      <w:r>
        <w:rPr>
          <w:b/>
        </w:rPr>
        <w:br w:type="page"/>
      </w:r>
    </w:p>
    <w:p w:rsidR="0016285E" w:rsidP="0085215E" w14:paraId="6A2FEF6C" w14:textId="1F54F4F9">
      <w:pPr>
        <w:spacing w:line="480" w:lineRule="auto"/>
        <w:ind w:firstLine="720"/>
        <w:rPr>
          <w:b/>
        </w:rPr>
      </w:pPr>
      <w:r>
        <w:rPr>
          <w:b/>
        </w:rPr>
        <w:t xml:space="preserve">Option 3: Require </w:t>
      </w:r>
      <w:r w:rsidR="00BD13D8">
        <w:rPr>
          <w:b/>
        </w:rPr>
        <w:t xml:space="preserve">All </w:t>
      </w:r>
      <w:r>
        <w:rPr>
          <w:b/>
        </w:rPr>
        <w:t xml:space="preserve">Farms to Test Pre-harvest Agricultural Water </w:t>
      </w:r>
      <w:r w:rsidR="00732366">
        <w:rPr>
          <w:b/>
        </w:rPr>
        <w:t xml:space="preserve">as Part of An </w:t>
      </w:r>
      <w:r>
        <w:rPr>
          <w:b/>
        </w:rPr>
        <w:t xml:space="preserve">Assessment </w:t>
      </w:r>
    </w:p>
    <w:p w:rsidR="0016285E" w:rsidP="0016285E" w14:paraId="4C00E477" w14:textId="78C673C2">
      <w:pPr>
        <w:spacing w:line="480" w:lineRule="auto"/>
      </w:pPr>
      <w:r>
        <w:tab/>
        <w:t>Th</w:t>
      </w:r>
      <w:r w:rsidR="000814AB">
        <w:t>is</w:t>
      </w:r>
      <w:r>
        <w:t xml:space="preserve"> rule requires affected farms to conduct one pre-harvest agricultural water assessment annually and as necessary due to changes that could affect the quality of their pre-harvest agricultural water. The rule also includes</w:t>
      </w:r>
      <w:r w:rsidR="004C2345">
        <w:t xml:space="preserve"> </w:t>
      </w:r>
      <w:r w:rsidRPr="00624483" w:rsidR="004C2345">
        <w:t>a requirement</w:t>
      </w:r>
      <w:r w:rsidR="0069705E">
        <w:t xml:space="preserve"> </w:t>
      </w:r>
      <w:r w:rsidRPr="00624483" w:rsidR="004C2345">
        <w:t>to test pre-harvest agricultural water</w:t>
      </w:r>
      <w:r w:rsidR="0069705E">
        <w:t xml:space="preserve"> in certain circumstances</w:t>
      </w:r>
      <w:r w:rsidR="00997EA1">
        <w:t>; that is,</w:t>
      </w:r>
      <w:r w:rsidRPr="00624483" w:rsidR="004C2345">
        <w:t xml:space="preserve"> when doing so would not delay action where most critical to protect public health and would further</w:t>
      </w:r>
      <w:r w:rsidR="004C2345">
        <w:t xml:space="preserve"> inform</w:t>
      </w:r>
      <w:r w:rsidRPr="00624483" w:rsidR="004C2345">
        <w:t xml:space="preserve"> the farm’s determination as to whether measures are reasonably necessary</w:t>
      </w:r>
      <w:r>
        <w:t xml:space="preserve">. A different alternative would be to require </w:t>
      </w:r>
      <w:r w:rsidR="00732366">
        <w:t xml:space="preserve">all </w:t>
      </w:r>
      <w:r>
        <w:t xml:space="preserve">farms to conduct water testing </w:t>
      </w:r>
      <w:r w:rsidR="00732366">
        <w:t>as one part of an assessment</w:t>
      </w:r>
      <w:r>
        <w:t xml:space="preserve"> using the flexible approach in § 112.43(d) of this rule. For the purpose of this analysis, we assume that when testing pre-harvest agricultural water </w:t>
      </w:r>
      <w:r w:rsidR="00732366">
        <w:t>as part of an assessment</w:t>
      </w:r>
      <w:r>
        <w:t xml:space="preserve">, farms would use the sampling frequencies as described in the 2015 </w:t>
      </w:r>
      <w:r w:rsidR="005170CE">
        <w:t>p</w:t>
      </w:r>
      <w:r>
        <w:t xml:space="preserve">roduce </w:t>
      </w:r>
      <w:r w:rsidR="005170CE">
        <w:t>s</w:t>
      </w:r>
      <w:r>
        <w:t xml:space="preserve">afety </w:t>
      </w:r>
      <w:r w:rsidR="005170CE">
        <w:t>final r</w:t>
      </w:r>
      <w:r>
        <w:t xml:space="preserve">ule. </w:t>
      </w:r>
    </w:p>
    <w:p w:rsidR="0016285E" w:rsidP="00A22B23" w14:paraId="59498817" w14:textId="6F216259">
      <w:pPr>
        <w:spacing w:line="480" w:lineRule="auto"/>
        <w:ind w:firstLine="720"/>
      </w:pPr>
      <w:r>
        <w:t xml:space="preserve">We provide estimated costs assuming that farms would conduct mitigations resulting from the 2015 testing provisions and mitigations resulting from assessments. Table 43 presents estimated costs by year of this regulatory alternative relative to </w:t>
      </w:r>
      <w:r w:rsidR="002B6CB1">
        <w:t>the primary baseline of 2015 water testing provisions</w:t>
      </w:r>
      <w:r>
        <w:t xml:space="preserve">, assuming the same costs of reading the rule as in the current rule. Our primary estimate of annualized costs of requiring </w:t>
      </w:r>
      <w:r w:rsidR="006B68A9">
        <w:t xml:space="preserve">that all farms </w:t>
      </w:r>
      <w:r>
        <w:t>test</w:t>
      </w:r>
      <w:r w:rsidR="00B57271">
        <w:t xml:space="preserve"> </w:t>
      </w:r>
      <w:r w:rsidR="00732366">
        <w:t>as</w:t>
      </w:r>
      <w:r w:rsidR="00542B8A">
        <w:t xml:space="preserve"> </w:t>
      </w:r>
      <w:r w:rsidR="00732366">
        <w:t>part of an assessment</w:t>
      </w:r>
      <w:r>
        <w:t xml:space="preserve"> is $</w:t>
      </w:r>
      <w:r w:rsidR="00DA3523">
        <w:t>36.1</w:t>
      </w:r>
      <w:r>
        <w:t xml:space="preserve"> million at a 3% discount rate and $</w:t>
      </w:r>
      <w:r w:rsidR="00DA3523">
        <w:t>35.3</w:t>
      </w:r>
      <w:r>
        <w:t xml:space="preserve"> million at a 7% discount rate. </w:t>
      </w:r>
      <w:r w:rsidR="00A76139">
        <w:t xml:space="preserve">Our primary estimate of annualized costs of requiring </w:t>
      </w:r>
      <w:r w:rsidR="006B68A9">
        <w:t xml:space="preserve">that all farms </w:t>
      </w:r>
      <w:r w:rsidR="00A76139">
        <w:t>test</w:t>
      </w:r>
      <w:r w:rsidR="006B68A9">
        <w:t xml:space="preserve"> </w:t>
      </w:r>
      <w:r w:rsidR="00732366">
        <w:t>as part of an assessment</w:t>
      </w:r>
      <w:r w:rsidR="00A76139">
        <w:t xml:space="preserve"> relative to the alternate baseline of a state of the world with no pre-harvest agricultural water provisions is $55.3 million at a 3% discount rate and $54.0 million at a 7% discount rate. </w:t>
      </w:r>
      <w:r>
        <w:t xml:space="preserve">This regulatory alternative would be more costly for farms than the current rule in which testing </w:t>
      </w:r>
      <w:r w:rsidR="006B68A9">
        <w:t>as part of an assessment</w:t>
      </w:r>
      <w:r>
        <w:t xml:space="preserve"> is not required</w:t>
      </w:r>
      <w:r w:rsidR="006B68A9">
        <w:t xml:space="preserve"> for all farms</w:t>
      </w:r>
      <w:r>
        <w:t xml:space="preserve">. </w:t>
      </w:r>
      <w:r w:rsidR="001027C1">
        <w:t>W</w:t>
      </w:r>
      <w:r w:rsidRPr="00A22B23" w:rsidR="001027C1">
        <w:t xml:space="preserve">e are uncertain about the interaction between testing </w:t>
      </w:r>
      <w:r w:rsidRPr="00A22B23" w:rsidR="001027C1">
        <w:t>and assessments for the purposes of quantifying benefits</w:t>
      </w:r>
      <w:r w:rsidR="001027C1">
        <w:t xml:space="preserve">. </w:t>
      </w:r>
      <w:r w:rsidR="002F5EDA">
        <w:t>We are not aware</w:t>
      </w:r>
      <w:r w:rsidR="00A22B23">
        <w:t xml:space="preserve"> of</w:t>
      </w:r>
      <w:r w:rsidR="002F5EDA">
        <w:t xml:space="preserve">, and comments did not provide, quantitative data or information that would allow us to estimate potential benefits of requiring </w:t>
      </w:r>
      <w:r w:rsidR="006B68A9">
        <w:t xml:space="preserve">that all farms </w:t>
      </w:r>
      <w:r w:rsidR="002F5EDA">
        <w:t>test</w:t>
      </w:r>
      <w:r w:rsidR="006B68A9">
        <w:t xml:space="preserve"> as part of an</w:t>
      </w:r>
      <w:r w:rsidR="002F5EDA">
        <w:t xml:space="preserve"> assessment. </w:t>
      </w:r>
    </w:p>
    <w:p w:rsidR="0016285E" w:rsidRPr="00D3667C" w:rsidP="0016285E" w14:paraId="74F6B28B" w14:textId="5CDEF95E">
      <w:pPr>
        <w:rPr>
          <w:b/>
        </w:rPr>
      </w:pPr>
      <w:r>
        <w:rPr>
          <w:b/>
        </w:rPr>
        <w:t>Table 43</w:t>
      </w:r>
      <w:r w:rsidRPr="00D3667C">
        <w:rPr>
          <w:b/>
        </w:rPr>
        <w:t xml:space="preserve">: </w:t>
      </w:r>
      <w:r>
        <w:rPr>
          <w:b/>
        </w:rPr>
        <w:t>Costs of Requiring</w:t>
      </w:r>
      <w:r w:rsidRPr="00D3667C">
        <w:rPr>
          <w:b/>
        </w:rPr>
        <w:t xml:space="preserve"> </w:t>
      </w:r>
      <w:r>
        <w:rPr>
          <w:b/>
        </w:rPr>
        <w:t xml:space="preserve">Pre-Harvest Agricultural Water Testing </w:t>
      </w:r>
      <w:r w:rsidR="006B68A9">
        <w:rPr>
          <w:b/>
        </w:rPr>
        <w:t xml:space="preserve">as Part of An  </w:t>
      </w:r>
      <w:r>
        <w:rPr>
          <w:b/>
        </w:rPr>
        <w:t xml:space="preserve">Assessment, Relative to a Baseline of </w:t>
      </w:r>
      <w:r w:rsidR="00922FC0">
        <w:rPr>
          <w:b/>
        </w:rPr>
        <w:t>2015</w:t>
      </w:r>
      <w:r>
        <w:rPr>
          <w:b/>
        </w:rPr>
        <w:t xml:space="preserve"> Pre-Harvest Agricultural Water </w:t>
      </w:r>
      <w:r w:rsidR="00922FC0">
        <w:rPr>
          <w:b/>
        </w:rPr>
        <w:t xml:space="preserve">Testing </w:t>
      </w:r>
      <w:r>
        <w:rPr>
          <w:b/>
        </w:rPr>
        <w:t xml:space="preserve">Provisions </w:t>
      </w:r>
      <w:r w:rsidRPr="00D3667C">
        <w:rPr>
          <w:b/>
        </w:rPr>
        <w:t>(</w:t>
      </w:r>
      <w:r>
        <w:rPr>
          <w:b/>
        </w:rPr>
        <w:t>M</w:t>
      </w:r>
      <w:r w:rsidRPr="00D3667C">
        <w:rPr>
          <w:b/>
        </w:rPr>
        <w:t xml:space="preserve">illions </w:t>
      </w:r>
      <w:r w:rsidRPr="230F07BD">
        <w:rPr>
          <w:b/>
          <w:bCs/>
        </w:rPr>
        <w:t>202</w:t>
      </w:r>
      <w:r>
        <w:rPr>
          <w:b/>
          <w:bCs/>
        </w:rPr>
        <w:t>2</w:t>
      </w:r>
      <w:r w:rsidRPr="00D3667C">
        <w:rPr>
          <w:b/>
        </w:rPr>
        <w:t>$)</w:t>
      </w:r>
    </w:p>
    <w:tbl>
      <w:tblPr>
        <w:tblStyle w:val="TableGrid"/>
        <w:tblW w:w="0" w:type="auto"/>
        <w:tblLook w:val="04A0"/>
      </w:tblPr>
      <w:tblGrid>
        <w:gridCol w:w="2695"/>
        <w:gridCol w:w="1890"/>
        <w:gridCol w:w="2070"/>
        <w:gridCol w:w="1975"/>
      </w:tblGrid>
      <w:tr w14:paraId="4547BF6D"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16285E" w:rsidRPr="00D3667C" w14:paraId="372C76AF" w14:textId="77777777">
            <w:pPr>
              <w:jc w:val="center"/>
              <w:rPr>
                <w:b/>
              </w:rPr>
            </w:pPr>
            <w:r w:rsidRPr="00D3667C">
              <w:rPr>
                <w:b/>
              </w:rPr>
              <w:t>Years after publication</w:t>
            </w:r>
          </w:p>
        </w:tc>
        <w:tc>
          <w:tcPr>
            <w:tcW w:w="1890" w:type="dxa"/>
            <w:tcBorders>
              <w:top w:val="single" w:sz="4" w:space="0" w:color="auto"/>
              <w:left w:val="single" w:sz="4" w:space="0" w:color="auto"/>
              <w:bottom w:val="single" w:sz="4" w:space="0" w:color="auto"/>
              <w:right w:val="single" w:sz="4" w:space="0" w:color="auto"/>
            </w:tcBorders>
            <w:hideMark/>
          </w:tcPr>
          <w:p w:rsidR="0016285E" w:rsidRPr="00D3667C" w14:paraId="3FD1D88A" w14:textId="77777777">
            <w:pPr>
              <w:jc w:val="center"/>
              <w:rPr>
                <w:b/>
              </w:rPr>
            </w:pPr>
            <w:r>
              <w:rPr>
                <w:b/>
              </w:rPr>
              <w:t>Low Estimate</w:t>
            </w:r>
          </w:p>
        </w:tc>
        <w:tc>
          <w:tcPr>
            <w:tcW w:w="2070" w:type="dxa"/>
            <w:tcBorders>
              <w:top w:val="single" w:sz="4" w:space="0" w:color="auto"/>
              <w:left w:val="single" w:sz="4" w:space="0" w:color="auto"/>
              <w:bottom w:val="single" w:sz="4" w:space="0" w:color="auto"/>
              <w:right w:val="single" w:sz="4" w:space="0" w:color="auto"/>
            </w:tcBorders>
            <w:hideMark/>
          </w:tcPr>
          <w:p w:rsidR="0016285E" w:rsidRPr="00D3667C" w14:paraId="706CEC1D" w14:textId="77777777">
            <w:pPr>
              <w:jc w:val="center"/>
              <w:rPr>
                <w:b/>
              </w:rPr>
            </w:pPr>
            <w:r>
              <w:rPr>
                <w:b/>
              </w:rPr>
              <w:t>Primary Estimate</w:t>
            </w:r>
          </w:p>
        </w:tc>
        <w:tc>
          <w:tcPr>
            <w:tcW w:w="1975" w:type="dxa"/>
            <w:tcBorders>
              <w:top w:val="single" w:sz="4" w:space="0" w:color="auto"/>
              <w:left w:val="single" w:sz="4" w:space="0" w:color="auto"/>
              <w:bottom w:val="single" w:sz="4" w:space="0" w:color="auto"/>
              <w:right w:val="single" w:sz="4" w:space="0" w:color="auto"/>
            </w:tcBorders>
            <w:hideMark/>
          </w:tcPr>
          <w:p w:rsidR="0016285E" w:rsidRPr="00D3667C" w14:paraId="1DAB0767" w14:textId="77777777">
            <w:pPr>
              <w:jc w:val="center"/>
              <w:rPr>
                <w:b/>
              </w:rPr>
            </w:pPr>
            <w:r>
              <w:rPr>
                <w:b/>
              </w:rPr>
              <w:t>High Estimate</w:t>
            </w:r>
          </w:p>
        </w:tc>
      </w:tr>
      <w:tr w14:paraId="16D1B002"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6C879D99" w14:textId="77777777">
            <w:pPr>
              <w:jc w:val="center"/>
            </w:pPr>
            <w:r w:rsidRPr="00D3667C">
              <w:t>0</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29B5F117" w14:textId="52DCF984">
            <w:pPr>
              <w:jc w:val="center"/>
              <w:rPr>
                <w:rFonts w:eastAsia="Times New Roman"/>
                <w:color w:val="000000"/>
              </w:rPr>
            </w:pPr>
            <w:r w:rsidRPr="00AF46FF">
              <w:rPr>
                <w:color w:val="000000"/>
              </w:rPr>
              <w:t>$20</w:t>
            </w:r>
            <w:r>
              <w:rPr>
                <w:color w:val="000000"/>
              </w:rPr>
              <w:t>.6</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43EED898" w14:textId="07F2D004">
            <w:pPr>
              <w:jc w:val="center"/>
              <w:rPr>
                <w:color w:val="000000"/>
              </w:rPr>
            </w:pPr>
            <w:r w:rsidRPr="00AF46FF">
              <w:rPr>
                <w:color w:val="000000"/>
              </w:rPr>
              <w:t>$21</w:t>
            </w:r>
            <w:r>
              <w:rPr>
                <w:color w:val="000000"/>
              </w:rPr>
              <w:t>.6</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3CF825DF" w14:textId="3919F2C9">
            <w:pPr>
              <w:jc w:val="center"/>
              <w:rPr>
                <w:color w:val="000000"/>
              </w:rPr>
            </w:pPr>
            <w:r w:rsidRPr="00AF46FF">
              <w:rPr>
                <w:color w:val="000000"/>
              </w:rPr>
              <w:t>$22</w:t>
            </w:r>
            <w:r>
              <w:rPr>
                <w:color w:val="000000"/>
              </w:rPr>
              <w:t>.6</w:t>
            </w:r>
          </w:p>
        </w:tc>
      </w:tr>
      <w:tr w14:paraId="6411051F"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055A07F5" w14:textId="77777777">
            <w:pPr>
              <w:jc w:val="center"/>
            </w:pPr>
            <w:r w:rsidRPr="00D3667C">
              <w:t>1</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69F00390" w14:textId="744CDFCA">
            <w:pPr>
              <w:jc w:val="center"/>
              <w:rPr>
                <w:color w:val="000000"/>
              </w:rPr>
            </w:pPr>
            <w:r w:rsidRPr="00AF46FF">
              <w:rPr>
                <w:color w:val="000000"/>
              </w:rPr>
              <w:t>$1</w:t>
            </w:r>
            <w:r>
              <w:rPr>
                <w:color w:val="000000"/>
              </w:rPr>
              <w:t>5.3</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37C5A90B" w14:textId="1B77DC87">
            <w:pPr>
              <w:jc w:val="center"/>
              <w:rPr>
                <w:color w:val="000000"/>
              </w:rPr>
            </w:pPr>
            <w:r w:rsidRPr="00AF46FF">
              <w:rPr>
                <w:color w:val="000000"/>
              </w:rPr>
              <w:t>$20</w:t>
            </w:r>
            <w:r>
              <w:rPr>
                <w:color w:val="000000"/>
              </w:rPr>
              <w:t>.6</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34F2DCE5" w14:textId="082D36B5">
            <w:pPr>
              <w:jc w:val="center"/>
              <w:rPr>
                <w:color w:val="000000"/>
              </w:rPr>
            </w:pPr>
            <w:r w:rsidRPr="00AF46FF">
              <w:rPr>
                <w:color w:val="000000"/>
              </w:rPr>
              <w:t>$26</w:t>
            </w:r>
            <w:r>
              <w:rPr>
                <w:color w:val="000000"/>
              </w:rPr>
              <w:t>.3</w:t>
            </w:r>
          </w:p>
        </w:tc>
      </w:tr>
      <w:tr w14:paraId="029C84B5"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7BFE5E7C" w14:textId="77777777">
            <w:pPr>
              <w:jc w:val="center"/>
            </w:pPr>
            <w:r w:rsidRPr="00D3667C">
              <w:t>2</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687BAE49" w14:textId="32132E31">
            <w:pPr>
              <w:jc w:val="center"/>
              <w:rPr>
                <w:color w:val="000000"/>
              </w:rPr>
            </w:pPr>
            <w:r w:rsidRPr="00AF46FF">
              <w:rPr>
                <w:color w:val="000000"/>
              </w:rPr>
              <w:t>$2</w:t>
            </w:r>
            <w:r>
              <w:rPr>
                <w:color w:val="000000"/>
              </w:rPr>
              <w:t>0.6</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6BDA0E71" w14:textId="3E68AA84">
            <w:pPr>
              <w:jc w:val="center"/>
              <w:rPr>
                <w:color w:val="000000"/>
              </w:rPr>
            </w:pPr>
            <w:r w:rsidRPr="00AF46FF">
              <w:rPr>
                <w:color w:val="000000"/>
              </w:rPr>
              <w:t>$25</w:t>
            </w:r>
            <w:r>
              <w:rPr>
                <w:color w:val="000000"/>
              </w:rPr>
              <w:t>.7</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276902C8" w14:textId="5A987A98">
            <w:pPr>
              <w:jc w:val="center"/>
              <w:rPr>
                <w:color w:val="000000"/>
              </w:rPr>
            </w:pPr>
            <w:r w:rsidRPr="00AF46FF">
              <w:rPr>
                <w:color w:val="000000"/>
              </w:rPr>
              <w:t>$31</w:t>
            </w:r>
            <w:r>
              <w:rPr>
                <w:color w:val="000000"/>
              </w:rPr>
              <w:t>.6</w:t>
            </w:r>
          </w:p>
        </w:tc>
      </w:tr>
      <w:tr w14:paraId="51B1F89D"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499BC342" w14:textId="77777777">
            <w:pPr>
              <w:jc w:val="center"/>
            </w:pPr>
            <w:r w:rsidRPr="00D3667C">
              <w:t>3</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779E9AF5" w14:textId="1F30EB07">
            <w:pPr>
              <w:jc w:val="center"/>
              <w:rPr>
                <w:color w:val="000000"/>
              </w:rPr>
            </w:pPr>
            <w:r w:rsidRPr="00AF46FF">
              <w:rPr>
                <w:color w:val="000000"/>
              </w:rPr>
              <w:t>$36</w:t>
            </w:r>
            <w:r>
              <w:rPr>
                <w:color w:val="000000"/>
              </w:rPr>
              <w:t>.0</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1AABB400" w14:textId="2B20F387">
            <w:pPr>
              <w:jc w:val="center"/>
              <w:rPr>
                <w:color w:val="000000"/>
              </w:rPr>
            </w:pPr>
            <w:r w:rsidRPr="00AF46FF">
              <w:rPr>
                <w:color w:val="000000"/>
              </w:rPr>
              <w:t>$42</w:t>
            </w:r>
            <w:r>
              <w:rPr>
                <w:color w:val="000000"/>
              </w:rPr>
              <w:t>.9</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48251561" w14:textId="499B0DBE">
            <w:pPr>
              <w:jc w:val="center"/>
              <w:rPr>
                <w:color w:val="000000"/>
              </w:rPr>
            </w:pPr>
            <w:r w:rsidRPr="00AF46FF">
              <w:rPr>
                <w:color w:val="000000"/>
              </w:rPr>
              <w:t>$50</w:t>
            </w:r>
            <w:r>
              <w:rPr>
                <w:color w:val="000000"/>
              </w:rPr>
              <w:t>.7</w:t>
            </w:r>
          </w:p>
        </w:tc>
      </w:tr>
      <w:tr w14:paraId="4EA54EB4"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339B78BA" w14:textId="77777777">
            <w:pPr>
              <w:jc w:val="center"/>
            </w:pPr>
            <w:r w:rsidRPr="00D3667C">
              <w:t>4</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6E733B4E" w14:textId="59989588">
            <w:pPr>
              <w:jc w:val="center"/>
              <w:rPr>
                <w:color w:val="000000"/>
              </w:rPr>
            </w:pPr>
            <w:r w:rsidRPr="00AF46FF">
              <w:rPr>
                <w:color w:val="000000"/>
              </w:rPr>
              <w:t>$3</w:t>
            </w:r>
            <w:r>
              <w:rPr>
                <w:color w:val="000000"/>
              </w:rPr>
              <w:t>5.7</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55B700F7" w14:textId="6B9BF3FF">
            <w:pPr>
              <w:jc w:val="center"/>
              <w:rPr>
                <w:color w:val="000000"/>
              </w:rPr>
            </w:pPr>
            <w:r w:rsidRPr="00B808DF">
              <w:rPr>
                <w:color w:val="000000"/>
              </w:rPr>
              <w:t>$42</w:t>
            </w:r>
            <w:r>
              <w:rPr>
                <w:color w:val="000000"/>
              </w:rPr>
              <w:t>.9</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68ACF7A4" w14:textId="492C41A8">
            <w:pPr>
              <w:jc w:val="center"/>
              <w:rPr>
                <w:color w:val="000000"/>
              </w:rPr>
            </w:pPr>
            <w:r w:rsidRPr="00AF46FF">
              <w:rPr>
                <w:color w:val="000000"/>
              </w:rPr>
              <w:t>$50</w:t>
            </w:r>
            <w:r>
              <w:rPr>
                <w:color w:val="000000"/>
              </w:rPr>
              <w:t>.7</w:t>
            </w:r>
          </w:p>
        </w:tc>
      </w:tr>
      <w:tr w14:paraId="1DCA8142"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36C94075" w14:textId="77777777">
            <w:pPr>
              <w:jc w:val="center"/>
            </w:pPr>
            <w:r w:rsidRPr="00D3667C">
              <w:t>5</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61BAA603" w14:textId="6DC79A6A">
            <w:pPr>
              <w:jc w:val="center"/>
              <w:rPr>
                <w:color w:val="000000"/>
              </w:rPr>
            </w:pPr>
            <w:r w:rsidRPr="00AF46FF">
              <w:rPr>
                <w:color w:val="000000"/>
              </w:rPr>
              <w:t>$3</w:t>
            </w:r>
            <w:r>
              <w:rPr>
                <w:color w:val="000000"/>
              </w:rPr>
              <w:t>5.9</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507FB54E" w14:textId="4A07A629">
            <w:pPr>
              <w:jc w:val="center"/>
              <w:rPr>
                <w:color w:val="000000"/>
              </w:rPr>
            </w:pPr>
            <w:r w:rsidRPr="00B808DF">
              <w:rPr>
                <w:color w:val="000000"/>
              </w:rPr>
              <w:t>$42</w:t>
            </w:r>
            <w:r>
              <w:rPr>
                <w:color w:val="000000"/>
              </w:rPr>
              <w:t>.9</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4E5B409C" w14:textId="741F161D">
            <w:pPr>
              <w:jc w:val="center"/>
              <w:rPr>
                <w:color w:val="000000"/>
              </w:rPr>
            </w:pPr>
            <w:r w:rsidRPr="00AF46FF">
              <w:rPr>
                <w:color w:val="000000"/>
              </w:rPr>
              <w:t>$50</w:t>
            </w:r>
            <w:r>
              <w:rPr>
                <w:color w:val="000000"/>
              </w:rPr>
              <w:t>.9</w:t>
            </w:r>
          </w:p>
        </w:tc>
      </w:tr>
      <w:tr w14:paraId="0E0E63A0"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7CCD799E" w14:textId="77777777">
            <w:pPr>
              <w:jc w:val="center"/>
            </w:pPr>
            <w:r w:rsidRPr="00D3667C">
              <w:t>6</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71BFAEE3" w14:textId="7386F755">
            <w:pPr>
              <w:jc w:val="center"/>
              <w:rPr>
                <w:color w:val="000000"/>
              </w:rPr>
            </w:pPr>
            <w:r w:rsidRPr="00AF46FF">
              <w:rPr>
                <w:color w:val="000000"/>
              </w:rPr>
              <w:t>$35</w:t>
            </w:r>
            <w:r>
              <w:rPr>
                <w:color w:val="000000"/>
              </w:rPr>
              <w:t>.7</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61A52A7B" w14:textId="1E8D5491">
            <w:pPr>
              <w:jc w:val="center"/>
              <w:rPr>
                <w:color w:val="000000"/>
              </w:rPr>
            </w:pPr>
            <w:r w:rsidRPr="00B808DF">
              <w:rPr>
                <w:color w:val="000000"/>
              </w:rPr>
              <w:t>$42</w:t>
            </w:r>
            <w:r>
              <w:rPr>
                <w:color w:val="000000"/>
              </w:rPr>
              <w:t>.9</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185B9FCE" w14:textId="31625332">
            <w:pPr>
              <w:jc w:val="center"/>
              <w:rPr>
                <w:color w:val="000000"/>
              </w:rPr>
            </w:pPr>
            <w:r w:rsidRPr="00AF46FF">
              <w:rPr>
                <w:color w:val="000000"/>
              </w:rPr>
              <w:t>$50</w:t>
            </w:r>
            <w:r>
              <w:rPr>
                <w:color w:val="000000"/>
              </w:rPr>
              <w:t>.7</w:t>
            </w:r>
          </w:p>
        </w:tc>
      </w:tr>
      <w:tr w14:paraId="37F67B12"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5910B708" w14:textId="77777777">
            <w:pPr>
              <w:jc w:val="center"/>
            </w:pPr>
            <w:r w:rsidRPr="00D3667C">
              <w:t>7</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714A99CD" w14:textId="49BDD209">
            <w:pPr>
              <w:jc w:val="center"/>
              <w:rPr>
                <w:color w:val="000000"/>
              </w:rPr>
            </w:pPr>
            <w:r w:rsidRPr="00AF46FF">
              <w:rPr>
                <w:color w:val="000000"/>
              </w:rPr>
              <w:t>$36</w:t>
            </w:r>
            <w:r>
              <w:rPr>
                <w:color w:val="000000"/>
              </w:rPr>
              <w:t>.1</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55FB3CE4" w14:textId="025488C6">
            <w:pPr>
              <w:jc w:val="center"/>
              <w:rPr>
                <w:color w:val="000000"/>
              </w:rPr>
            </w:pPr>
            <w:r w:rsidRPr="00B808DF">
              <w:rPr>
                <w:color w:val="000000"/>
              </w:rPr>
              <w:t>$42</w:t>
            </w:r>
            <w:r>
              <w:rPr>
                <w:color w:val="000000"/>
              </w:rPr>
              <w:t>.9</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225BD491" w14:textId="3F5B8003">
            <w:pPr>
              <w:jc w:val="center"/>
              <w:rPr>
                <w:color w:val="000000"/>
              </w:rPr>
            </w:pPr>
            <w:r w:rsidRPr="00AF46FF">
              <w:rPr>
                <w:color w:val="000000"/>
              </w:rPr>
              <w:t>$50</w:t>
            </w:r>
            <w:r>
              <w:rPr>
                <w:color w:val="000000"/>
              </w:rPr>
              <w:t>.3</w:t>
            </w:r>
          </w:p>
        </w:tc>
      </w:tr>
      <w:tr w14:paraId="4D6360FA"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05DC2474" w14:textId="77777777">
            <w:pPr>
              <w:jc w:val="center"/>
            </w:pPr>
            <w:r w:rsidRPr="00D3667C">
              <w:t>8</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696F317B" w14:textId="701547F6">
            <w:pPr>
              <w:jc w:val="center"/>
              <w:rPr>
                <w:color w:val="000000"/>
              </w:rPr>
            </w:pPr>
            <w:r w:rsidRPr="00AF46FF">
              <w:rPr>
                <w:color w:val="000000"/>
              </w:rPr>
              <w:t>$35</w:t>
            </w:r>
            <w:r>
              <w:rPr>
                <w:color w:val="000000"/>
              </w:rPr>
              <w:t>.8</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69CA367D" w14:textId="0F39235F">
            <w:pPr>
              <w:jc w:val="center"/>
              <w:rPr>
                <w:color w:val="000000"/>
              </w:rPr>
            </w:pPr>
            <w:r w:rsidRPr="00B808DF">
              <w:rPr>
                <w:color w:val="000000"/>
              </w:rPr>
              <w:t>$42</w:t>
            </w:r>
            <w:r>
              <w:rPr>
                <w:color w:val="000000"/>
              </w:rPr>
              <w:t>.9</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0D994E74" w14:textId="0D038F93">
            <w:pPr>
              <w:jc w:val="center"/>
              <w:rPr>
                <w:color w:val="000000"/>
              </w:rPr>
            </w:pPr>
            <w:r w:rsidRPr="00AF46FF">
              <w:rPr>
                <w:color w:val="000000"/>
              </w:rPr>
              <w:t>$50</w:t>
            </w:r>
            <w:r>
              <w:rPr>
                <w:color w:val="000000"/>
              </w:rPr>
              <w:t>.9</w:t>
            </w:r>
          </w:p>
        </w:tc>
      </w:tr>
      <w:tr w14:paraId="0E5FEB75"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hideMark/>
          </w:tcPr>
          <w:p w:rsidR="00DA3523" w:rsidRPr="00D3667C" w:rsidP="00DA3523" w14:paraId="788C306E" w14:textId="77777777">
            <w:pPr>
              <w:jc w:val="center"/>
            </w:pPr>
            <w:r w:rsidRPr="00D3667C">
              <w:t>9</w:t>
            </w:r>
          </w:p>
        </w:tc>
        <w:tc>
          <w:tcPr>
            <w:tcW w:w="189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352AF575" w14:textId="066EDBBB">
            <w:pPr>
              <w:jc w:val="center"/>
              <w:rPr>
                <w:color w:val="000000"/>
              </w:rPr>
            </w:pPr>
            <w:r w:rsidRPr="00AF46FF">
              <w:rPr>
                <w:color w:val="000000"/>
              </w:rPr>
              <w:t>$35</w:t>
            </w:r>
            <w:r>
              <w:rPr>
                <w:color w:val="000000"/>
              </w:rPr>
              <w:t>.8</w:t>
            </w:r>
          </w:p>
        </w:tc>
        <w:tc>
          <w:tcPr>
            <w:tcW w:w="2070"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4C1748F8" w14:textId="235B6434">
            <w:pPr>
              <w:jc w:val="center"/>
              <w:rPr>
                <w:color w:val="000000"/>
              </w:rPr>
            </w:pPr>
            <w:r w:rsidRPr="00B808DF">
              <w:rPr>
                <w:color w:val="000000"/>
              </w:rPr>
              <w:t>$42</w:t>
            </w:r>
            <w:r>
              <w:rPr>
                <w:color w:val="000000"/>
              </w:rPr>
              <w:t>.9</w:t>
            </w:r>
          </w:p>
        </w:tc>
        <w:tc>
          <w:tcPr>
            <w:tcW w:w="1975" w:type="dxa"/>
            <w:tcBorders>
              <w:top w:val="single" w:sz="4" w:space="0" w:color="auto"/>
              <w:left w:val="single" w:sz="4" w:space="0" w:color="auto"/>
              <w:bottom w:val="single" w:sz="4" w:space="0" w:color="auto"/>
              <w:right w:val="single" w:sz="4" w:space="0" w:color="auto"/>
            </w:tcBorders>
            <w:vAlign w:val="bottom"/>
            <w:hideMark/>
          </w:tcPr>
          <w:p w:rsidR="00DA3523" w:rsidRPr="001E5B59" w:rsidP="00DA3523" w14:paraId="3457262A" w14:textId="279EE918">
            <w:pPr>
              <w:jc w:val="center"/>
              <w:rPr>
                <w:color w:val="000000"/>
              </w:rPr>
            </w:pPr>
            <w:r w:rsidRPr="00AF46FF">
              <w:rPr>
                <w:color w:val="000000"/>
              </w:rPr>
              <w:t>$50</w:t>
            </w:r>
            <w:r>
              <w:rPr>
                <w:color w:val="000000"/>
              </w:rPr>
              <w:t>.0</w:t>
            </w:r>
          </w:p>
        </w:tc>
      </w:tr>
      <w:tr w14:paraId="5DF5B6B1"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tcPr>
          <w:p w:rsidR="00DA3523" w:rsidRPr="00D3667C" w:rsidP="00DA3523" w14:paraId="10D8A4F3" w14:textId="77777777">
            <w:pPr>
              <w:jc w:val="center"/>
            </w:pPr>
            <w:r>
              <w:t>Annualized, 3%</w:t>
            </w:r>
          </w:p>
        </w:tc>
        <w:tc>
          <w:tcPr>
            <w:tcW w:w="1890" w:type="dxa"/>
            <w:tcBorders>
              <w:top w:val="single" w:sz="4" w:space="0" w:color="auto"/>
              <w:left w:val="single" w:sz="4" w:space="0" w:color="auto"/>
              <w:bottom w:val="single" w:sz="4" w:space="0" w:color="auto"/>
              <w:right w:val="single" w:sz="4" w:space="0" w:color="auto"/>
            </w:tcBorders>
            <w:vAlign w:val="bottom"/>
          </w:tcPr>
          <w:p w:rsidR="00DA3523" w:rsidRPr="001E5B59" w:rsidP="00DA3523" w14:paraId="623CAFA7" w14:textId="14ABE623">
            <w:pPr>
              <w:jc w:val="center"/>
              <w:rPr>
                <w:rFonts w:eastAsia="Times New Roman"/>
                <w:color w:val="000000"/>
              </w:rPr>
            </w:pPr>
            <w:r w:rsidRPr="00AF46FF">
              <w:rPr>
                <w:color w:val="000000"/>
              </w:rPr>
              <w:t>$30</w:t>
            </w:r>
            <w:r>
              <w:rPr>
                <w:color w:val="000000"/>
              </w:rPr>
              <w:t>.2</w:t>
            </w:r>
          </w:p>
        </w:tc>
        <w:tc>
          <w:tcPr>
            <w:tcW w:w="2070" w:type="dxa"/>
            <w:tcBorders>
              <w:top w:val="single" w:sz="4" w:space="0" w:color="auto"/>
              <w:left w:val="single" w:sz="4" w:space="0" w:color="auto"/>
              <w:bottom w:val="single" w:sz="4" w:space="0" w:color="auto"/>
              <w:right w:val="single" w:sz="4" w:space="0" w:color="auto"/>
            </w:tcBorders>
            <w:vAlign w:val="bottom"/>
          </w:tcPr>
          <w:p w:rsidR="00DA3523" w:rsidRPr="001E5B59" w:rsidP="00DA3523" w14:paraId="4D2B8E68" w14:textId="29256E3C">
            <w:pPr>
              <w:jc w:val="center"/>
              <w:rPr>
                <w:color w:val="000000"/>
              </w:rPr>
            </w:pPr>
            <w:r w:rsidRPr="00AF46FF">
              <w:rPr>
                <w:color w:val="000000"/>
              </w:rPr>
              <w:t>$36</w:t>
            </w:r>
            <w:r>
              <w:rPr>
                <w:color w:val="000000"/>
              </w:rPr>
              <w:t>.1</w:t>
            </w:r>
          </w:p>
        </w:tc>
        <w:tc>
          <w:tcPr>
            <w:tcW w:w="1975" w:type="dxa"/>
            <w:tcBorders>
              <w:top w:val="single" w:sz="4" w:space="0" w:color="auto"/>
              <w:left w:val="single" w:sz="4" w:space="0" w:color="auto"/>
              <w:bottom w:val="single" w:sz="4" w:space="0" w:color="auto"/>
              <w:right w:val="single" w:sz="4" w:space="0" w:color="auto"/>
            </w:tcBorders>
            <w:vAlign w:val="bottom"/>
          </w:tcPr>
          <w:p w:rsidR="00DA3523" w:rsidRPr="001E5B59" w:rsidP="00DA3523" w14:paraId="1B030579" w14:textId="136E292E">
            <w:pPr>
              <w:jc w:val="center"/>
              <w:rPr>
                <w:color w:val="000000"/>
              </w:rPr>
            </w:pPr>
            <w:r w:rsidRPr="00AF46FF">
              <w:rPr>
                <w:color w:val="000000"/>
              </w:rPr>
              <w:t>$42</w:t>
            </w:r>
            <w:r>
              <w:rPr>
                <w:color w:val="000000"/>
              </w:rPr>
              <w:t>.7</w:t>
            </w:r>
          </w:p>
        </w:tc>
      </w:tr>
      <w:tr w14:paraId="6D214476" w14:textId="77777777">
        <w:tblPrEx>
          <w:tblW w:w="0" w:type="auto"/>
          <w:tblLook w:val="04A0"/>
        </w:tblPrEx>
        <w:tc>
          <w:tcPr>
            <w:tcW w:w="2695" w:type="dxa"/>
            <w:tcBorders>
              <w:top w:val="single" w:sz="4" w:space="0" w:color="auto"/>
              <w:left w:val="single" w:sz="4" w:space="0" w:color="auto"/>
              <w:bottom w:val="single" w:sz="4" w:space="0" w:color="auto"/>
              <w:right w:val="single" w:sz="4" w:space="0" w:color="auto"/>
            </w:tcBorders>
          </w:tcPr>
          <w:p w:rsidR="00DA3523" w:rsidRPr="00D3667C" w:rsidP="00DA3523" w14:paraId="366E85EF" w14:textId="77777777">
            <w:pPr>
              <w:jc w:val="center"/>
            </w:pPr>
            <w:r>
              <w:t>Annualized, 7%</w:t>
            </w:r>
          </w:p>
        </w:tc>
        <w:tc>
          <w:tcPr>
            <w:tcW w:w="1890" w:type="dxa"/>
            <w:tcBorders>
              <w:top w:val="single" w:sz="4" w:space="0" w:color="auto"/>
              <w:left w:val="single" w:sz="4" w:space="0" w:color="auto"/>
              <w:bottom w:val="single" w:sz="4" w:space="0" w:color="auto"/>
              <w:right w:val="single" w:sz="4" w:space="0" w:color="auto"/>
            </w:tcBorders>
            <w:vAlign w:val="bottom"/>
          </w:tcPr>
          <w:p w:rsidR="00DA3523" w:rsidRPr="001E5B59" w:rsidP="00DA3523" w14:paraId="4914EF4D" w14:textId="766DCC29">
            <w:pPr>
              <w:jc w:val="center"/>
              <w:rPr>
                <w:color w:val="000000"/>
              </w:rPr>
            </w:pPr>
            <w:r w:rsidRPr="00AF46FF">
              <w:rPr>
                <w:color w:val="000000"/>
              </w:rPr>
              <w:t>$29</w:t>
            </w:r>
            <w:r>
              <w:rPr>
                <w:color w:val="000000"/>
              </w:rPr>
              <w:t>.5</w:t>
            </w:r>
          </w:p>
        </w:tc>
        <w:tc>
          <w:tcPr>
            <w:tcW w:w="2070" w:type="dxa"/>
            <w:tcBorders>
              <w:top w:val="single" w:sz="4" w:space="0" w:color="auto"/>
              <w:left w:val="single" w:sz="4" w:space="0" w:color="auto"/>
              <w:bottom w:val="single" w:sz="4" w:space="0" w:color="auto"/>
              <w:right w:val="single" w:sz="4" w:space="0" w:color="auto"/>
            </w:tcBorders>
            <w:vAlign w:val="bottom"/>
          </w:tcPr>
          <w:p w:rsidR="00DA3523" w:rsidRPr="001E5B59" w:rsidP="00DA3523" w14:paraId="432D2FC5" w14:textId="2C76C83D">
            <w:pPr>
              <w:jc w:val="center"/>
              <w:rPr>
                <w:color w:val="000000"/>
              </w:rPr>
            </w:pPr>
            <w:r w:rsidRPr="00AF46FF">
              <w:rPr>
                <w:color w:val="000000"/>
              </w:rPr>
              <w:t>$35</w:t>
            </w:r>
            <w:r>
              <w:rPr>
                <w:color w:val="000000"/>
              </w:rPr>
              <w:t>.3</w:t>
            </w:r>
          </w:p>
        </w:tc>
        <w:tc>
          <w:tcPr>
            <w:tcW w:w="1975" w:type="dxa"/>
            <w:tcBorders>
              <w:top w:val="single" w:sz="4" w:space="0" w:color="auto"/>
              <w:left w:val="single" w:sz="4" w:space="0" w:color="auto"/>
              <w:bottom w:val="single" w:sz="4" w:space="0" w:color="auto"/>
              <w:right w:val="single" w:sz="4" w:space="0" w:color="auto"/>
            </w:tcBorders>
            <w:vAlign w:val="bottom"/>
          </w:tcPr>
          <w:p w:rsidR="00DA3523" w:rsidRPr="001E5B59" w:rsidP="00DA3523" w14:paraId="378E6764" w14:textId="0CCE174B">
            <w:pPr>
              <w:jc w:val="center"/>
              <w:rPr>
                <w:color w:val="000000"/>
              </w:rPr>
            </w:pPr>
            <w:r w:rsidRPr="00AF46FF">
              <w:rPr>
                <w:color w:val="000000"/>
              </w:rPr>
              <w:t>$41</w:t>
            </w:r>
            <w:r>
              <w:rPr>
                <w:color w:val="000000"/>
              </w:rPr>
              <w:t>.7</w:t>
            </w:r>
          </w:p>
        </w:tc>
      </w:tr>
    </w:tbl>
    <w:p w:rsidR="00EF4163" w:rsidP="00026F9A" w14:paraId="6EB465F8" w14:textId="77777777">
      <w:pPr>
        <w:rPr>
          <w:rFonts w:eastAsia="Times New Roman"/>
          <w:i/>
        </w:rPr>
      </w:pPr>
    </w:p>
    <w:p w:rsidR="00BB6B5E" w:rsidRPr="0073331E" w:rsidP="00BB6B5E" w14:paraId="3D578D5A" w14:textId="020E4C1D">
      <w:pPr>
        <w:pStyle w:val="Heading2"/>
      </w:pPr>
      <w:bookmarkStart w:id="39" w:name="_Toc102486134"/>
      <w:bookmarkStart w:id="40" w:name="_Toc139642998"/>
      <w:bookmarkStart w:id="41" w:name="_Toc102486137"/>
      <w:bookmarkStart w:id="42" w:name="_Toc139642999"/>
      <w:r w:rsidRPr="0073331E">
        <w:t>Distributional Effects</w:t>
      </w:r>
      <w:bookmarkEnd w:id="39"/>
      <w:bookmarkEnd w:id="40"/>
    </w:p>
    <w:p w:rsidR="007C7F8B" w:rsidP="007C7F8B" w14:paraId="0F4C23E7" w14:textId="4CE14725">
      <w:pPr>
        <w:spacing w:line="480" w:lineRule="auto"/>
        <w:ind w:firstLine="720"/>
      </w:pPr>
      <w:r>
        <w:t xml:space="preserve">We do not anticipate any significant changes in consumer behavior resulting from the rule. If farms conducting pre-harvest agricultural water assessments experience costs of the rule, however, farms not covered by the rule may benefit relative to farms that bear these costs. </w:t>
      </w:r>
    </w:p>
    <w:p w:rsidR="00482F0B" w:rsidRPr="0085215E" w:rsidP="007C7F8B" w14:paraId="15F03604" w14:textId="23B5C4D0">
      <w:pPr>
        <w:spacing w:line="480" w:lineRule="auto"/>
        <w:ind w:firstLine="720"/>
      </w:pPr>
      <w:r>
        <w:t>T</w:t>
      </w:r>
      <w:r w:rsidR="006E2688">
        <w:t xml:space="preserve">here may be distributional effects of the rule if foodborne illnesses prevented by the rule do not impact all population groups uniformly. For example, adults age 65 and older, children younger than 5 years, pregnant women, and people whose immune systems are weakened may experience higher risks associated with foodborne illness (Ref. 12). Academic research suggests that there are relationships between foodborne illnesses (including their incidence and severity) and demographic and socioeconomic variables. Strassle et al. (2018) find that age and sex are </w:t>
      </w:r>
      <w:r w:rsidR="006E2688">
        <w:t xml:space="preserve">associated with specific food categories in outbreaks (Ref. 13). McCrickard et al. (2018) find that Black men have the highest incidence of severe shigellosis (Ref. 14). A report by the Consumer Federation of America explains that poverty puts consumers, particularly those under five years of age, at higher risk of infection from foodborne pathogens such as </w:t>
      </w:r>
      <w:r w:rsidRPr="0085215E" w:rsidR="006E2688">
        <w:rPr>
          <w:i/>
          <w:iCs/>
        </w:rPr>
        <w:t>Campylobacter</w:t>
      </w:r>
      <w:r w:rsidR="006E2688">
        <w:t xml:space="preserve">, </w:t>
      </w:r>
      <w:r w:rsidRPr="0085215E" w:rsidR="006E2688">
        <w:rPr>
          <w:i/>
          <w:iCs/>
        </w:rPr>
        <w:t>Salmonella</w:t>
      </w:r>
      <w:r w:rsidR="006E2688">
        <w:t xml:space="preserve">, and </w:t>
      </w:r>
      <w:r w:rsidRPr="0085215E" w:rsidR="006E2688">
        <w:rPr>
          <w:i/>
          <w:iCs/>
        </w:rPr>
        <w:t>Shigella</w:t>
      </w:r>
      <w:r w:rsidR="006E2688">
        <w:t xml:space="preserve"> (Ref. 15). Similarly, Quinlan (2013) finds that those with lower socioeconomic status have persistently higher levels of foodborne infections caused by </w:t>
      </w:r>
      <w:r w:rsidRPr="0085215E" w:rsidR="006E2688">
        <w:rPr>
          <w:i/>
          <w:iCs/>
        </w:rPr>
        <w:t>Salmonella</w:t>
      </w:r>
      <w:r w:rsidR="006E2688">
        <w:t xml:space="preserve">, </w:t>
      </w:r>
      <w:r w:rsidRPr="0085215E" w:rsidR="006E2688">
        <w:rPr>
          <w:i/>
          <w:iCs/>
        </w:rPr>
        <w:t>Shigella</w:t>
      </w:r>
      <w:r w:rsidR="006E2688">
        <w:t xml:space="preserve"> and </w:t>
      </w:r>
      <w:r w:rsidRPr="0085215E" w:rsidR="006E2688">
        <w:rPr>
          <w:i/>
          <w:iCs/>
        </w:rPr>
        <w:t>Campylobacter</w:t>
      </w:r>
      <w:r w:rsidR="006E2688">
        <w:t xml:space="preserve"> (Ref. 16) and Hadler et al. (2020) find that children and older adults living in higher-poverty neighborhoods are at higher risk of acquiring </w:t>
      </w:r>
      <w:r w:rsidRPr="0085215E" w:rsidR="006E2688">
        <w:rPr>
          <w:i/>
          <w:iCs/>
        </w:rPr>
        <w:t>Salmonella</w:t>
      </w:r>
      <w:r w:rsidR="006E2688">
        <w:t xml:space="preserve"> infection overall and with each of the 10 most common serotypes (Ref. 17). Individuals in population groups more affected by foodborne illness may experience larger benefits of the rule that those in less-affected groups. </w:t>
      </w:r>
    </w:p>
    <w:p w:rsidR="0073331E" w:rsidP="00026F9A" w14:paraId="5F91FAE6" w14:textId="3873316F">
      <w:pPr>
        <w:pStyle w:val="Heading2"/>
      </w:pPr>
      <w:r>
        <w:t>International Effects</w:t>
      </w:r>
      <w:bookmarkEnd w:id="41"/>
      <w:bookmarkEnd w:id="42"/>
    </w:p>
    <w:p w:rsidR="00652AB9" w:rsidP="00026F9A" w14:paraId="6D51382F" w14:textId="5FE5588F">
      <w:pPr>
        <w:spacing w:line="480" w:lineRule="auto"/>
        <w:ind w:firstLine="720"/>
        <w:rPr>
          <w:rFonts w:eastAsia="Times New Roman"/>
          <w:i/>
        </w:rPr>
      </w:pPr>
      <w:r>
        <w:t>The rule does not impose different requirements on domestic and foreign firms, and we do not anticipate any significant effects on international trade.</w:t>
      </w:r>
    </w:p>
    <w:p w:rsidR="002F18CD" w:rsidRPr="002F18CD" w:rsidP="00026F9A" w14:paraId="2AFEFEDD" w14:textId="37625289">
      <w:pPr>
        <w:pStyle w:val="Heading2"/>
      </w:pPr>
      <w:bookmarkStart w:id="43" w:name="_Toc102486138"/>
      <w:bookmarkStart w:id="44" w:name="_Toc139643000"/>
      <w:r>
        <w:t>Uncertainty and Sensitivity Analysis</w:t>
      </w:r>
      <w:bookmarkEnd w:id="43"/>
      <w:bookmarkEnd w:id="44"/>
    </w:p>
    <w:p w:rsidR="002F18CD" w:rsidP="00026F9A" w14:paraId="4E84F9DA" w14:textId="61C0A0C7">
      <w:pPr>
        <w:spacing w:line="480" w:lineRule="auto"/>
        <w:ind w:firstLine="720"/>
      </w:pPr>
      <w:bookmarkStart w:id="45" w:name="_Hlk55559347"/>
      <w:r>
        <w:t xml:space="preserve">We have identified sources of uncertainty about the expected costs and benefits of the rule. Throughout the main analysis, we have incorporated much of this uncertainty into our estimates through simulation of costs and benefits, where low, most likely, and high estimates of various factors are used as the parameters of distributions. </w:t>
      </w:r>
    </w:p>
    <w:p w:rsidR="002F18CD" w:rsidP="00026F9A" w14:paraId="5E7204D3" w14:textId="42E35504">
      <w:pPr>
        <w:spacing w:line="480" w:lineRule="auto"/>
        <w:ind w:firstLine="720"/>
      </w:pPr>
      <w:r>
        <w:t>In our analysis of the baseline costs of the pre-harvest agricultural water</w:t>
      </w:r>
      <w:r w:rsidR="00126B55">
        <w:t xml:space="preserve"> microbial quality criteria and</w:t>
      </w:r>
      <w:r>
        <w:t xml:space="preserve"> testing provisions</w:t>
      </w:r>
      <w:r w:rsidR="00126B55">
        <w:t xml:space="preserve"> in the 2015 </w:t>
      </w:r>
      <w:r w:rsidR="00026B9D">
        <w:t>produce safety final rule</w:t>
      </w:r>
      <w:r>
        <w:t xml:space="preserve">, we use estimates from subject matter experts of the number of untreated surface water sources and untreated ground water sources farms of various sizes would </w:t>
      </w:r>
      <w:r w:rsidR="00B1743F">
        <w:t xml:space="preserve">have </w:t>
      </w:r>
      <w:r>
        <w:t>need</w:t>
      </w:r>
      <w:r w:rsidR="00B1743F">
        <w:t>ed</w:t>
      </w:r>
      <w:r>
        <w:t xml:space="preserve"> to test under </w:t>
      </w:r>
      <w:r w:rsidR="00281329">
        <w:t xml:space="preserve">those </w:t>
      </w:r>
      <w:r>
        <w:t xml:space="preserve">provisions. We are </w:t>
      </w:r>
      <w:r>
        <w:t xml:space="preserve">also uncertain about the percentage of farms that, having tested their water, would </w:t>
      </w:r>
      <w:r w:rsidR="00E31782">
        <w:t xml:space="preserve">have </w:t>
      </w:r>
      <w:r>
        <w:t>need</w:t>
      </w:r>
      <w:r w:rsidR="00E31782">
        <w:t>ed</w:t>
      </w:r>
      <w:r>
        <w:t xml:space="preserve"> to conduct corrective measures. When possible, we include 5th (“Low Estimate”) and 95th (“High Estimate”) percentile outcomes of the simulated baseline costs as measures of uncertainty.</w:t>
      </w:r>
    </w:p>
    <w:p w:rsidR="002F18CD" w:rsidRPr="004B4F07" w:rsidP="00026F9A" w14:paraId="572FEA51" w14:textId="0DB7D90A">
      <w:pPr>
        <w:spacing w:line="480" w:lineRule="auto"/>
        <w:ind w:firstLine="720"/>
      </w:pPr>
      <w:r>
        <w:t xml:space="preserve">In our analysis of costs of the </w:t>
      </w:r>
      <w:r w:rsidRPr="00515087">
        <w:t xml:space="preserve">pre-harvest </w:t>
      </w:r>
      <w:r w:rsidR="000804E6">
        <w:t xml:space="preserve">agricultural </w:t>
      </w:r>
      <w:r w:rsidRPr="00515087">
        <w:t>water provisions</w:t>
      </w:r>
      <w:r w:rsidR="004E70E3">
        <w:t xml:space="preserve"> specified in the rule</w:t>
      </w:r>
      <w:r>
        <w:t xml:space="preserve">, we use estimates from subject matter experts regarding the number of hours it would take a farm to conduct a pre-harvest agricultural water assessment as specified in the rule; we also use subject matter expert estimates of the percentage of farms that, having conducted a pre-harvest agricultural water assessment as described in the rule, would conduct a mitigation action. Subject matter experts have provided estimates of the percentage of farms that, having determined they need to conduct a mitigation, would conduct each type of mitigation. Additionally, subject matter experts have also provided estimated costs of each individual type of mitigation action, as well as estimates of the time burden of recordkeeping associated with the assessments. We incorporate the uncertainty surrounding these subject matter expert estimates in our estimation of costs through simulation by providing lower and upper bounds of the estimated costs of conducting pre-harvest agricultural water assessment and mitigation measures. When possible, we include 5th (“Low Estimate”) and 95th (“High Estimate”) percentile outcomes of the simulated costs of </w:t>
      </w:r>
      <w:r w:rsidRPr="004B4F07">
        <w:t>the rule as measures of uncertainty.</w:t>
      </w:r>
    </w:p>
    <w:p w:rsidR="00473A5A" w:rsidP="00026F9A" w14:paraId="0670ED9C" w14:textId="306BB407">
      <w:pPr>
        <w:spacing w:line="480" w:lineRule="auto"/>
        <w:ind w:firstLine="720"/>
      </w:pPr>
      <w:r w:rsidRPr="004B4F07">
        <w:t xml:space="preserve">In our analysis of benefits, we acknowledge uncertainty about the fraction of </w:t>
      </w:r>
      <w:r w:rsidR="008E1BBF">
        <w:t xml:space="preserve">agricultural </w:t>
      </w:r>
      <w:r w:rsidRPr="004B4F07">
        <w:t>water-related produce outbreaks caused by pre-harvest agricultural water</w:t>
      </w:r>
      <w:r w:rsidR="008E1BBF">
        <w:t xml:space="preserve"> specifically</w:t>
      </w:r>
      <w:r w:rsidRPr="004B4F07">
        <w:t xml:space="preserve"> and the relative effectiveness at preventing outbreaks </w:t>
      </w:r>
      <w:r w:rsidR="007F2C6A">
        <w:t>of</w:t>
      </w:r>
      <w:r w:rsidRPr="004B4F07">
        <w:t xml:space="preserve"> the pre-harvest agricultural water </w:t>
      </w:r>
      <w:r w:rsidR="007F2C6A">
        <w:t xml:space="preserve">assessment </w:t>
      </w:r>
      <w:r w:rsidRPr="004B4F07">
        <w:t xml:space="preserve">provisions </w:t>
      </w:r>
      <w:r w:rsidR="008169E2">
        <w:t>and</w:t>
      </w:r>
      <w:r w:rsidRPr="004B4F07">
        <w:t xml:space="preserve"> the pre-harvest agricultural water </w:t>
      </w:r>
      <w:r w:rsidR="00557692">
        <w:t xml:space="preserve">microbial quality criteria and </w:t>
      </w:r>
      <w:r w:rsidR="007F2C6A">
        <w:t xml:space="preserve">testing </w:t>
      </w:r>
      <w:r w:rsidRPr="004B4F07">
        <w:t>requirements</w:t>
      </w:r>
      <w:r w:rsidR="00557692">
        <w:t xml:space="preserve"> in the 2015 </w:t>
      </w:r>
      <w:r w:rsidR="00026B9D">
        <w:t>produce safety final rule</w:t>
      </w:r>
      <w:r w:rsidRPr="004B4F07">
        <w:t>.</w:t>
      </w:r>
      <w:r>
        <w:t xml:space="preserve"> We use subject matter expert estimates as </w:t>
      </w:r>
      <w:r>
        <w:t xml:space="preserve">parameters of distributions to simulate </w:t>
      </w:r>
      <w:r w:rsidRPr="00E56E76">
        <w:t>baseline benefits</w:t>
      </w:r>
      <w:r>
        <w:t xml:space="preserve"> of </w:t>
      </w:r>
      <w:r w:rsidR="00E1704D">
        <w:t xml:space="preserve">this rule and of </w:t>
      </w:r>
      <w:r>
        <w:t xml:space="preserve">the pre-harvest agricultural water </w:t>
      </w:r>
      <w:r w:rsidR="000D32EA">
        <w:t xml:space="preserve">microbial quality criteria </w:t>
      </w:r>
      <w:r>
        <w:t>testing provisions</w:t>
      </w:r>
      <w:r w:rsidR="000D32EA">
        <w:t xml:space="preserve"> in the 2015 </w:t>
      </w:r>
      <w:r w:rsidR="00026B9D">
        <w:t>produce safety final rule</w:t>
      </w:r>
      <w:r>
        <w:t xml:space="preserve">. In our estimation of benefits, we use simulation to estimate marginal benefits using distributions of these parameters and present </w:t>
      </w:r>
      <w:r w:rsidRPr="007A00E3">
        <w:t>5th</w:t>
      </w:r>
      <w:r>
        <w:t>-percentile, mean, and 95th-percentile estimates. When possible, we include 5th (“Low Estimate”) and 95th (“High Estimate”) percentile outcomes of the simulated benefits of the rule as measures of uncertainty.</w:t>
      </w:r>
      <w:bookmarkEnd w:id="45"/>
    </w:p>
    <w:p w:rsidR="00486E99" w:rsidRPr="007F2C6A" w:rsidP="00026F9A" w14:paraId="446FE02B" w14:textId="161F1A75">
      <w:pPr>
        <w:spacing w:line="480" w:lineRule="auto"/>
        <w:ind w:firstLine="720"/>
      </w:pPr>
      <w:r>
        <w:t>In our</w:t>
      </w:r>
      <w:r w:rsidR="009A7E14">
        <w:t xml:space="preserve"> </w:t>
      </w:r>
      <w:r>
        <w:t xml:space="preserve">analysis, we </w:t>
      </w:r>
      <w:r w:rsidR="0015357B">
        <w:t xml:space="preserve">incorporate estimates </w:t>
      </w:r>
      <w:r w:rsidRPr="00525FF1" w:rsidR="00525FF1">
        <w:t xml:space="preserve">of illnesses prevented by the traceability rule to adjust the baseline foodborne illness dollar burden for non-sprout covered produce that also could be affected by this rule </w:t>
      </w:r>
      <w:r w:rsidR="009132D5">
        <w:t xml:space="preserve">(see Appendix Table </w:t>
      </w:r>
      <w:r w:rsidR="00497FB9">
        <w:t>A5 for details)</w:t>
      </w:r>
      <w:r w:rsidR="00566713">
        <w:t xml:space="preserve">. Our primary estimates </w:t>
      </w:r>
      <w:r w:rsidR="00B230CF">
        <w:t xml:space="preserve">in this document </w:t>
      </w:r>
      <w:r w:rsidR="00566713">
        <w:t xml:space="preserve">use the primary estimates </w:t>
      </w:r>
      <w:r w:rsidR="004D17C0">
        <w:t xml:space="preserve">of illness reduction by </w:t>
      </w:r>
      <w:r w:rsidR="00FB1C60">
        <w:t>foodborne pathogen</w:t>
      </w:r>
      <w:r w:rsidR="004D17C0">
        <w:t xml:space="preserve"> </w:t>
      </w:r>
      <w:r w:rsidR="00566713">
        <w:t>from the traceability RIA</w:t>
      </w:r>
      <w:r w:rsidR="00E11929">
        <w:t xml:space="preserve"> (Ref. 5)</w:t>
      </w:r>
      <w:r w:rsidR="004D17C0">
        <w:t xml:space="preserve">; however, </w:t>
      </w:r>
      <w:r w:rsidRPr="00FB1C60" w:rsidR="00FB1C60">
        <w:t xml:space="preserve">we also provide benefits below using the low and high estimates of illness reduction by </w:t>
      </w:r>
      <w:r w:rsidR="00FB1C60">
        <w:t>foodborne pathogen</w:t>
      </w:r>
      <w:r w:rsidRPr="00FB1C60" w:rsidR="00FB1C60">
        <w:t xml:space="preserve"> from the traceability RIA</w:t>
      </w:r>
      <w:r w:rsidR="004D17C0">
        <w:t xml:space="preserve">. </w:t>
      </w:r>
      <w:r w:rsidR="009132D5">
        <w:t xml:space="preserve">Appendix </w:t>
      </w:r>
      <w:r w:rsidR="00497FB9">
        <w:t xml:space="preserve">Tables A6 and A7 provide </w:t>
      </w:r>
      <w:r w:rsidR="00372A23">
        <w:t xml:space="preserve">the adjusted baseline dollar burdens </w:t>
      </w:r>
      <w:r w:rsidR="0064663F">
        <w:t xml:space="preserve">for the low and high estimated illness reduction of the traceability rule. </w:t>
      </w:r>
      <w:r w:rsidR="00FF43A6">
        <w:t xml:space="preserve">In the main analysis, our primary estimate of the </w:t>
      </w:r>
      <w:r w:rsidR="003A2941">
        <w:t xml:space="preserve">benefits of this rule relative to the primary baseline of 2015 pre-harvest water quality and microbial testing criteria </w:t>
      </w:r>
      <w:r w:rsidR="00B9386D">
        <w:t>is $10.3 million, annualized at 3% over 10 years. Our estimate of benefits of this rule</w:t>
      </w:r>
      <w:r w:rsidR="00252F12">
        <w:t xml:space="preserve"> using the low illness prevention estimate from the traceability RIA is </w:t>
      </w:r>
      <w:r w:rsidR="00B601A9">
        <w:t>$11.2 million, annualized at 3% over 10 years; our estimate of the benefits of this rule using the high illness prevention estimate from the traceability RIA is $9.0 million, annualized at 3% over 10 years.</w:t>
      </w:r>
    </w:p>
    <w:p w:rsidR="00F47D86" w:rsidRPr="0073331E" w:rsidP="00026F9A" w14:paraId="0A0847BD" w14:textId="1D69EE15">
      <w:pPr>
        <w:pStyle w:val="Heading1"/>
      </w:pPr>
      <w:bookmarkStart w:id="46" w:name="_Toc102486140"/>
      <w:bookmarkStart w:id="47" w:name="_Toc139643001"/>
      <w:r>
        <w:t>Final</w:t>
      </w:r>
      <w:r w:rsidRPr="0073331E">
        <w:t xml:space="preserve"> Small Entity Analysis</w:t>
      </w:r>
      <w:bookmarkEnd w:id="46"/>
      <w:bookmarkEnd w:id="47"/>
    </w:p>
    <w:p w:rsidR="00FB764E" w:rsidRPr="00E4317E" w:rsidP="00FB764E" w14:paraId="23E288C6" w14:textId="77777777">
      <w:pPr>
        <w:spacing w:line="480" w:lineRule="auto"/>
        <w:ind w:firstLine="720"/>
        <w:contextualSpacing/>
        <w:rPr>
          <w:bCs/>
          <w:highlight w:val="yellow"/>
        </w:rPr>
      </w:pPr>
      <w:bookmarkStart w:id="48" w:name="_Toc102486141"/>
      <w:bookmarkStart w:id="49" w:name="_Toc139643002"/>
      <w:r w:rsidRPr="001C2109">
        <w:t xml:space="preserve">The Regulatory Flexibility Act requires Agencies to analyze regulatory options that would minimize any significant impact of a rule on small entities. </w:t>
      </w:r>
      <w:r w:rsidRPr="00840C98">
        <w:t xml:space="preserve">Because some farms may incur costs that would exceed 3% of annual revenues, we cannot certify that the rule will not </w:t>
      </w:r>
      <w:r w:rsidRPr="00840C98">
        <w:t xml:space="preserve">have a significant impact on a substantial number of small entities. </w:t>
      </w:r>
      <w:r w:rsidRPr="001C2109">
        <w:t>This analysis, as well as other sections in this document, serves as the Initial Regulatory Flexibility Analysis, as required under the Regulatory Flexibility Act</w:t>
      </w:r>
      <w:r w:rsidRPr="001C2109">
        <w:rPr>
          <w:bCs/>
        </w:rPr>
        <w:t xml:space="preserve">. </w:t>
      </w:r>
    </w:p>
    <w:p w:rsidR="00F47D86" w:rsidRPr="001C2109" w:rsidP="00026F9A" w14:paraId="0460AD8E" w14:textId="77777777">
      <w:pPr>
        <w:pStyle w:val="Heading2"/>
        <w:numPr>
          <w:ilvl w:val="0"/>
          <w:numId w:val="6"/>
        </w:numPr>
      </w:pPr>
      <w:r w:rsidRPr="001C2109">
        <w:t>Description and Number of Affected Small Entities</w:t>
      </w:r>
      <w:bookmarkEnd w:id="48"/>
      <w:bookmarkEnd w:id="49"/>
    </w:p>
    <w:p w:rsidR="005A65C7" w:rsidRPr="001C2109" w:rsidP="00026F9A" w14:paraId="2CD0FCA8" w14:textId="50CF4528">
      <w:pPr>
        <w:spacing w:line="480" w:lineRule="auto"/>
        <w:ind w:firstLine="720"/>
      </w:pPr>
      <w:bookmarkStart w:id="50" w:name="_Toc102486142"/>
      <w:r w:rsidRPr="001C2109">
        <w:t>Most farms affected by this rule qualify as small businesses as defined by the U.S. Small Business Administration. Current standards from the U.S</w:t>
      </w:r>
      <w:r w:rsidRPr="00FB764E">
        <w:t xml:space="preserve">. SBA (Ref. </w:t>
      </w:r>
      <w:r w:rsidRPr="00FB764E" w:rsidR="001341F2">
        <w:t>1</w:t>
      </w:r>
      <w:r w:rsidR="009F04DC">
        <w:t>8</w:t>
      </w:r>
      <w:r w:rsidRPr="00FB764E">
        <w:t>) define</w:t>
      </w:r>
      <w:r w:rsidRPr="001C2109">
        <w:t xml:space="preserve"> farms engaged in crop production as small businesses if annual revenues are below $</w:t>
      </w:r>
      <w:r w:rsidR="00A55399">
        <w:t>2,5</w:t>
      </w:r>
      <w:r w:rsidRPr="001C2109">
        <w:t>00,000. If a farm’s average annual value of produce sold during the previous 3-year period is $25,000 or less, adjusted for inflation with a baseline year of 2011, then the farm is not subject to the</w:t>
      </w:r>
      <w:r w:rsidR="000B7C63">
        <w:t>se</w:t>
      </w:r>
      <w:r w:rsidRPr="001C2109">
        <w:t xml:space="preserve"> requirements. However, certain farms with an average annual monetary value of produce sold during the previous 3-year period of more than $25,000 may be affected by this rule and qualify as small businesses as defined by the U.S. SBA.</w:t>
      </w:r>
    </w:p>
    <w:p w:rsidR="005A65C7" w:rsidRPr="001C2109" w:rsidP="00026F9A" w14:paraId="68798947" w14:textId="2A663B25">
      <w:pPr>
        <w:spacing w:line="480" w:lineRule="auto"/>
        <w:ind w:firstLine="720"/>
      </w:pPr>
      <w:r w:rsidRPr="001C2109">
        <w:t xml:space="preserve"> Using this threshold, all small farms and very small farms as defined in this analysis are considered small businesses. Additionally, some fraction of large farms (revenue greater than $500,000) will also qualify as small businesses. This means that </w:t>
      </w:r>
      <w:r w:rsidRPr="001C2109" w:rsidR="005659F2">
        <w:t>9,911</w:t>
      </w:r>
      <w:r w:rsidRPr="001C2109">
        <w:t xml:space="preserve"> affected very small farms and </w:t>
      </w:r>
      <w:r w:rsidRPr="001C2109" w:rsidR="005659F2">
        <w:t>2,057</w:t>
      </w:r>
      <w:r w:rsidRPr="001C2109">
        <w:t xml:space="preserve"> small farms will qualify as small businesses; as a result, at least </w:t>
      </w:r>
      <w:r w:rsidRPr="001C2109" w:rsidR="00E36E84">
        <w:t>11,96</w:t>
      </w:r>
      <w:r w:rsidRPr="001C2109" w:rsidR="0035307F">
        <w:t>9</w:t>
      </w:r>
      <w:r w:rsidRPr="001C2109">
        <w:t xml:space="preserve"> of the 1</w:t>
      </w:r>
      <w:r w:rsidRPr="001C2109" w:rsidR="00E36E84">
        <w:t>7,360</w:t>
      </w:r>
      <w:r w:rsidRPr="001C2109">
        <w:t xml:space="preserve"> (</w:t>
      </w:r>
      <w:r w:rsidRPr="001C2109" w:rsidR="00AC03BB">
        <w:t>69</w:t>
      </w:r>
      <w:r w:rsidRPr="001C2109">
        <w:t xml:space="preserve">%) farms that would conduct pre-harvest agricultural water assessments qualify as small businesses. </w:t>
      </w:r>
    </w:p>
    <w:p w:rsidR="005A65C7" w:rsidRPr="001C2109" w:rsidP="00026F9A" w14:paraId="1994573D" w14:textId="09F38F81">
      <w:pPr>
        <w:spacing w:line="480" w:lineRule="auto"/>
        <w:ind w:firstLine="720"/>
      </w:pPr>
      <w:r w:rsidRPr="001C2109">
        <w:t xml:space="preserve">We use the survey conducted </w:t>
      </w:r>
      <w:r w:rsidRPr="00276D8F">
        <w:t xml:space="preserve">by ERS (Ref. </w:t>
      </w:r>
      <w:r w:rsidRPr="00276D8F" w:rsidR="0029223A">
        <w:t>2</w:t>
      </w:r>
      <w:r w:rsidRPr="00276D8F">
        <w:t>) to</w:t>
      </w:r>
      <w:r w:rsidRPr="001C2109">
        <w:t xml:space="preserve"> calculate that approximately 38.3% of covered farms with revenue greater than $500,000 have revenue less than $1,000,000. If 38.3% of the </w:t>
      </w:r>
      <w:r w:rsidRPr="001C2109" w:rsidR="00F964D9">
        <w:t>5,392</w:t>
      </w:r>
      <w:r w:rsidRPr="001C2109">
        <w:t xml:space="preserve"> large covered farms are small businesses, </w:t>
      </w:r>
      <w:r w:rsidRPr="001C2109" w:rsidR="000C2579">
        <w:t>2,065</w:t>
      </w:r>
      <w:r w:rsidRPr="001C2109">
        <w:t xml:space="preserve"> of these large farms qualify as small businesses</w:t>
      </w:r>
      <w:r w:rsidR="001E3912">
        <w:t xml:space="preserve"> as defined by U.S. SBA</w:t>
      </w:r>
      <w:r w:rsidRPr="001C2109">
        <w:t>. In this case, 1</w:t>
      </w:r>
      <w:r w:rsidRPr="001C2109" w:rsidR="000722BD">
        <w:t>4,03</w:t>
      </w:r>
      <w:r w:rsidRPr="001C2109" w:rsidR="001B766B">
        <w:t>4</w:t>
      </w:r>
      <w:r w:rsidRPr="001C2109">
        <w:t xml:space="preserve"> of the 1</w:t>
      </w:r>
      <w:r w:rsidRPr="001C2109" w:rsidR="000722BD">
        <w:t>7,360</w:t>
      </w:r>
      <w:r w:rsidRPr="001C2109">
        <w:t xml:space="preserve"> (81%) farms that will conduct pre-harvest agricultural water assessments will qualify as small businesses.  </w:t>
      </w:r>
    </w:p>
    <w:p w:rsidR="00162F2E" w:rsidRPr="00840C98" w:rsidP="00162F2E" w14:paraId="0C1D2693" w14:textId="77777777">
      <w:pPr>
        <w:pStyle w:val="Heading2"/>
      </w:pPr>
      <w:bookmarkStart w:id="51" w:name="_Toc130561989"/>
      <w:bookmarkStart w:id="52" w:name="_Toc139643003"/>
      <w:bookmarkEnd w:id="50"/>
      <w:r w:rsidRPr="00840C98">
        <w:t>Description of the Potential Impacts of the Rule on Small Entities</w:t>
      </w:r>
      <w:bookmarkEnd w:id="51"/>
      <w:bookmarkEnd w:id="52"/>
    </w:p>
    <w:p w:rsidR="00F47D86" w:rsidRPr="00840C98" w:rsidP="00162F2E" w14:paraId="727EEB4D" w14:textId="03C3DDB5">
      <w:pPr>
        <w:pStyle w:val="Heading2"/>
        <w:numPr>
          <w:ilvl w:val="0"/>
          <w:numId w:val="0"/>
        </w:numPr>
        <w:ind w:left="720"/>
        <w:jc w:val="left"/>
      </w:pPr>
    </w:p>
    <w:p w:rsidR="007712F9" w:rsidRPr="00840C98" w:rsidP="00026F9A" w14:paraId="5010D29B" w14:textId="54BD8B97">
      <w:pPr>
        <w:spacing w:line="480" w:lineRule="auto"/>
        <w:ind w:firstLine="720"/>
      </w:pPr>
      <w:r w:rsidRPr="00840C98">
        <w:t xml:space="preserve">Based on our analysis, our primary estimate is that the average very small farm required to conduct the pre-harvest agricultural water assessments described in the rule would experience annualized costs relative to </w:t>
      </w:r>
      <w:r w:rsidRPr="00840C98" w:rsidR="00CE1402">
        <w:t xml:space="preserve">the </w:t>
      </w:r>
      <w:r w:rsidRPr="00840C98">
        <w:t>pre-harvest agricultural water</w:t>
      </w:r>
      <w:r w:rsidRPr="00840C98" w:rsidR="00CE1402">
        <w:t xml:space="preserve"> microbial quality criteria and</w:t>
      </w:r>
      <w:r w:rsidRPr="00840C98">
        <w:t xml:space="preserve"> testing provisions</w:t>
      </w:r>
      <w:r w:rsidRPr="00840C98" w:rsidR="00CE1402">
        <w:t xml:space="preserve"> in the 2015 </w:t>
      </w:r>
      <w:r w:rsidR="00B724FD">
        <w:t>p</w:t>
      </w:r>
      <w:r w:rsidRPr="00840C98" w:rsidR="00CE1402">
        <w:t xml:space="preserve">roduce </w:t>
      </w:r>
      <w:r w:rsidR="00B724FD">
        <w:t>s</w:t>
      </w:r>
      <w:r w:rsidRPr="00840C98" w:rsidR="00CE1402">
        <w:t xml:space="preserve">afety </w:t>
      </w:r>
      <w:r w:rsidR="00B724FD">
        <w:t>final r</w:t>
      </w:r>
      <w:r w:rsidRPr="00840C98" w:rsidR="00CE1402">
        <w:t>ule</w:t>
      </w:r>
      <w:r w:rsidRPr="00840C98">
        <w:t xml:space="preserve"> of $6</w:t>
      </w:r>
      <w:r w:rsidR="008B3E81">
        <w:t>79</w:t>
      </w:r>
      <w:r w:rsidRPr="00840C98">
        <w:t xml:space="preserve"> at a 3 percent discount rate and $6</w:t>
      </w:r>
      <w:r w:rsidR="008B3E81">
        <w:t>68</w:t>
      </w:r>
      <w:r w:rsidRPr="00840C98">
        <w:t xml:space="preserve"> at a 7 percent discount rate; our primary estimate is that the average small farm required to conduct pre-harvest agricultural water assessments would experience annualized costs relative to </w:t>
      </w:r>
      <w:r w:rsidRPr="00840C98" w:rsidR="00CE1402">
        <w:t xml:space="preserve">the pre-harvest agricultural water microbial quality criteria and testing provisions in the 2015 </w:t>
      </w:r>
      <w:r w:rsidR="00B724FD">
        <w:t>p</w:t>
      </w:r>
      <w:r w:rsidRPr="00840C98" w:rsidR="00CE1402">
        <w:t xml:space="preserve">roduce </w:t>
      </w:r>
      <w:r w:rsidR="00B724FD">
        <w:t>s</w:t>
      </w:r>
      <w:r w:rsidRPr="00840C98" w:rsidR="00CE1402">
        <w:t xml:space="preserve">afety </w:t>
      </w:r>
      <w:r w:rsidR="00B724FD">
        <w:t>final r</w:t>
      </w:r>
      <w:r w:rsidRPr="00840C98" w:rsidR="00CE1402">
        <w:t xml:space="preserve">ule </w:t>
      </w:r>
      <w:r w:rsidRPr="00840C98">
        <w:t>of $</w:t>
      </w:r>
      <w:r w:rsidR="00F510AB">
        <w:t>1,036</w:t>
      </w:r>
      <w:r w:rsidRPr="00840C98">
        <w:t xml:space="preserve"> at a 3 percent discount rate and $</w:t>
      </w:r>
      <w:r w:rsidR="00F510AB">
        <w:t>1,028</w:t>
      </w:r>
      <w:r w:rsidRPr="00840C98">
        <w:t xml:space="preserve"> at a 3 percent discount rate. </w:t>
      </w:r>
    </w:p>
    <w:p w:rsidR="008347D8" w:rsidRPr="00840C98" w:rsidP="00026F9A" w14:paraId="7FA38476" w14:textId="43C881D5">
      <w:pPr>
        <w:spacing w:line="480" w:lineRule="auto"/>
        <w:ind w:firstLine="720"/>
      </w:pPr>
      <w:r w:rsidRPr="00840C98">
        <w:t xml:space="preserve">Relative to an alternate baseline of no pre-harvest agricultural water provisions, our primary estimate </w:t>
      </w:r>
      <w:r w:rsidRPr="00840C98" w:rsidR="00F0635A">
        <w:t xml:space="preserve">is that the average very small farm required to conduct the pre-harvest agricultural water assessments described in the rule would experience annualized costs of </w:t>
      </w:r>
      <w:r w:rsidRPr="00840C98" w:rsidR="00950F5A">
        <w:t>$1,</w:t>
      </w:r>
      <w:r w:rsidR="00BA358B">
        <w:t>251</w:t>
      </w:r>
      <w:r w:rsidRPr="00840C98" w:rsidR="00950F5A">
        <w:t xml:space="preserve"> at a 3 percent discount rate and $1,</w:t>
      </w:r>
      <w:r w:rsidR="00BA358B">
        <w:t>231</w:t>
      </w:r>
      <w:r w:rsidRPr="00840C98" w:rsidR="00950F5A">
        <w:t xml:space="preserve"> at a 7 percent discount rate; our primary estimate is that the average small farm required to conduct pre-harvest </w:t>
      </w:r>
      <w:r w:rsidRPr="00840C98" w:rsidR="003C1A77">
        <w:t xml:space="preserve">agricultural water assessments would experience annualized costs of </w:t>
      </w:r>
      <w:r w:rsidRPr="00840C98" w:rsidR="00E10CEC">
        <w:t>$</w:t>
      </w:r>
      <w:r w:rsidR="0046385D">
        <w:t>2,052</w:t>
      </w:r>
      <w:r w:rsidRPr="00840C98" w:rsidR="00E10CEC">
        <w:t xml:space="preserve"> at a 3 percent discount rate and $</w:t>
      </w:r>
      <w:r w:rsidR="0046385D">
        <w:t>2,053</w:t>
      </w:r>
      <w:r w:rsidRPr="00840C98" w:rsidR="00E10CEC">
        <w:t xml:space="preserve"> at a 7 percent discount rate. </w:t>
      </w:r>
    </w:p>
    <w:p w:rsidR="007C1A44" w:rsidRPr="00840C98" w:rsidP="00026F9A" w14:paraId="7C102CF6" w14:textId="4B55BB6C">
      <w:pPr>
        <w:spacing w:line="480" w:lineRule="auto"/>
        <w:ind w:firstLine="720"/>
      </w:pPr>
      <w:r w:rsidRPr="00840C98">
        <w:t>However, t</w:t>
      </w:r>
      <w:r w:rsidRPr="00840C98" w:rsidR="0000250F">
        <w:t xml:space="preserve">hese averages are taken across all farms that would conduct assessments under the rule. </w:t>
      </w:r>
      <w:r w:rsidRPr="00840C98">
        <w:t xml:space="preserve">Our </w:t>
      </w:r>
      <w:r w:rsidRPr="00840C98" w:rsidR="006661AC">
        <w:t xml:space="preserve">primary </w:t>
      </w:r>
      <w:r w:rsidRPr="00840C98">
        <w:t>estimate fo</w:t>
      </w:r>
      <w:r w:rsidRPr="00840C98" w:rsidR="006661AC">
        <w:t xml:space="preserve">r the annualized cost of the rule </w:t>
      </w:r>
      <w:r w:rsidRPr="00840C98" w:rsidR="00DC7974">
        <w:t xml:space="preserve">relative to </w:t>
      </w:r>
      <w:r w:rsidRPr="00840C98" w:rsidR="00962C87">
        <w:t xml:space="preserve">the pre-harvest agricultural water microbial quality criteria and testing provisions in the 2015 </w:t>
      </w:r>
      <w:r w:rsidR="00B724FD">
        <w:t>p</w:t>
      </w:r>
      <w:r w:rsidRPr="00840C98" w:rsidR="00962C87">
        <w:t xml:space="preserve">roduce </w:t>
      </w:r>
      <w:r w:rsidR="00B724FD">
        <w:t>s</w:t>
      </w:r>
      <w:r w:rsidRPr="00840C98" w:rsidR="00962C87">
        <w:t xml:space="preserve">afety </w:t>
      </w:r>
      <w:r w:rsidR="00B724FD">
        <w:t>final r</w:t>
      </w:r>
      <w:r w:rsidRPr="00840C98" w:rsidR="00962C87">
        <w:t xml:space="preserve">ule </w:t>
      </w:r>
      <w:r w:rsidRPr="00840C98" w:rsidR="006661AC">
        <w:t xml:space="preserve">for the subset of very small farms that conduct </w:t>
      </w:r>
      <w:r w:rsidRPr="00840C98" w:rsidR="551FD0A4">
        <w:t>at least one mitigation</w:t>
      </w:r>
      <w:r w:rsidRPr="00840C98" w:rsidR="006661AC">
        <w:t xml:space="preserve"> </w:t>
      </w:r>
      <w:r w:rsidRPr="00840C98" w:rsidR="551FD0A4">
        <w:t>over a 10-year</w:t>
      </w:r>
      <w:r w:rsidRPr="00840C98" w:rsidR="041C9239">
        <w:t xml:space="preserve"> </w:t>
      </w:r>
      <w:r w:rsidRPr="00840C98" w:rsidR="0763588A">
        <w:t xml:space="preserve">period </w:t>
      </w:r>
      <w:r w:rsidRPr="00840C98" w:rsidR="00DC7974">
        <w:t>under the rule is $1,</w:t>
      </w:r>
      <w:r w:rsidRPr="00840C98" w:rsidR="160639AC">
        <w:t>0</w:t>
      </w:r>
      <w:r w:rsidR="001A03F7">
        <w:t>90</w:t>
      </w:r>
      <w:r w:rsidRPr="00840C98" w:rsidR="00DC7974">
        <w:t xml:space="preserve"> at a 3 percent discount rate and $</w:t>
      </w:r>
      <w:r w:rsidR="001A03F7">
        <w:t>1,071</w:t>
      </w:r>
      <w:r w:rsidRPr="00840C98" w:rsidR="00DC7974">
        <w:t xml:space="preserve"> at a 7 percent discount </w:t>
      </w:r>
      <w:r w:rsidRPr="00840C98" w:rsidR="00DC7974">
        <w:t>rate; our primary estimate for the annualized cost of the rule relative to a state of the world with no pre-harvest provisions for the subset of very small farms that conduct any type of mitigation under the rule is $1,</w:t>
      </w:r>
      <w:r w:rsidR="001A03F7">
        <w:t>417</w:t>
      </w:r>
      <w:r w:rsidRPr="00840C98" w:rsidR="00DC7974">
        <w:t xml:space="preserve"> at a 3 percent discount rate and $1,</w:t>
      </w:r>
      <w:r w:rsidR="001A03F7">
        <w:t>396</w:t>
      </w:r>
      <w:r w:rsidRPr="00840C98" w:rsidR="00DC7974">
        <w:t xml:space="preserve"> at a 7 percent discount rate.</w:t>
      </w:r>
    </w:p>
    <w:p w:rsidR="007712F9" w:rsidRPr="00840C98" w:rsidP="00026F9A" w14:paraId="306C7647" w14:textId="3C1C02AE">
      <w:pPr>
        <w:spacing w:line="480" w:lineRule="auto"/>
        <w:ind w:firstLine="720"/>
      </w:pPr>
      <w:r w:rsidRPr="00840C98">
        <w:t>The smallest average annual revenue a farm in the “very small farm” category could have is $25,000; if a farm’s average annual value of produce sold during the previous 3-year period is $25,000 or less, adjusted for inflation with a baseline year of 2011, then the farm is not subject to the</w:t>
      </w:r>
      <w:r w:rsidR="004A0644">
        <w:t>se</w:t>
      </w:r>
      <w:r w:rsidRPr="00840C98">
        <w:t xml:space="preserve"> requirements.</w:t>
      </w:r>
      <w:r w:rsidRPr="00840C98" w:rsidR="3D9217A3">
        <w:t xml:space="preserve"> </w:t>
      </w:r>
      <w:r w:rsidRPr="00840C98" w:rsidR="002C1450">
        <w:t xml:space="preserve">For a farm at the lower revenue boundary for coverage that conducts </w:t>
      </w:r>
      <w:r w:rsidRPr="00840C98" w:rsidR="007E3759">
        <w:t>a</w:t>
      </w:r>
      <w:r w:rsidRPr="00840C98" w:rsidR="4D406772">
        <w:t>t least one</w:t>
      </w:r>
      <w:r w:rsidRPr="00840C98" w:rsidR="007E3759">
        <w:t xml:space="preserve"> mitigation action</w:t>
      </w:r>
      <w:r w:rsidRPr="00840C98" w:rsidR="6DB267BD">
        <w:t xml:space="preserve"> over the 10-year period</w:t>
      </w:r>
      <w:r w:rsidRPr="00840C98" w:rsidR="007E3759">
        <w:t>, the annualized cost of the rule relative to</w:t>
      </w:r>
      <w:r w:rsidRPr="00840C98" w:rsidR="00636D73">
        <w:t xml:space="preserve"> the pre-harvest agricultural water microbial quality criteria and testing provisions in the 2015 </w:t>
      </w:r>
      <w:r w:rsidR="004A0644">
        <w:t>p</w:t>
      </w:r>
      <w:r w:rsidRPr="00840C98" w:rsidR="00636D73">
        <w:t xml:space="preserve">roduce </w:t>
      </w:r>
      <w:r w:rsidR="004A0644">
        <w:t>s</w:t>
      </w:r>
      <w:r w:rsidRPr="00840C98" w:rsidR="00636D73">
        <w:t xml:space="preserve">afety </w:t>
      </w:r>
      <w:r w:rsidR="004A0644">
        <w:t>final r</w:t>
      </w:r>
      <w:r w:rsidRPr="00840C98" w:rsidR="00636D73">
        <w:t>ule</w:t>
      </w:r>
      <w:r w:rsidRPr="00840C98" w:rsidR="007E3759">
        <w:t xml:space="preserve"> </w:t>
      </w:r>
      <w:r w:rsidRPr="00840C98" w:rsidR="009E22DA">
        <w:t xml:space="preserve">could represent </w:t>
      </w:r>
      <w:r w:rsidRPr="00840C98" w:rsidR="35767F88">
        <w:t>at least</w:t>
      </w:r>
      <w:r w:rsidRPr="00840C98" w:rsidR="009E22DA">
        <w:t xml:space="preserve"> </w:t>
      </w:r>
      <w:r w:rsidR="2FDEA222">
        <w:t>4.</w:t>
      </w:r>
      <w:r w:rsidR="00B5325C">
        <w:t>4</w:t>
      </w:r>
      <w:r w:rsidRPr="00840C98" w:rsidR="00827F52">
        <w:t xml:space="preserve">% of annual revenue; for this farm, the annualized cost of the rule relative to a state of the world with no pre-harvest agricultural water provisions could represent </w:t>
      </w:r>
      <w:r w:rsidRPr="00840C98" w:rsidR="0B6BCF3E">
        <w:t>at least</w:t>
      </w:r>
      <w:r w:rsidRPr="00840C98" w:rsidR="00827F52">
        <w:t xml:space="preserve"> </w:t>
      </w:r>
      <w:r w:rsidR="3864921D">
        <w:t>5.</w:t>
      </w:r>
      <w:r w:rsidR="00B5325C">
        <w:t>7</w:t>
      </w:r>
      <w:r w:rsidRPr="00840C98" w:rsidR="00C32E6B">
        <w:t>% of annual revenue.</w:t>
      </w:r>
    </w:p>
    <w:p w:rsidR="006357F7" w:rsidRPr="00840C98" w:rsidP="00026F9A" w14:paraId="5A105A3D" w14:textId="1FC0B527">
      <w:pPr>
        <w:spacing w:line="480" w:lineRule="auto"/>
        <w:ind w:firstLine="720"/>
      </w:pPr>
      <w:r w:rsidRPr="00840C98">
        <w:t xml:space="preserve">Because it is possible that some percentage of very small farms would experience impacts of at least 3% of annual revenue, we cannot certify that the rule will not have a significant impact on a substantial number of small entities. </w:t>
      </w:r>
    </w:p>
    <w:p w:rsidR="00F47D86" w:rsidRPr="00840C98" w:rsidP="00026F9A" w14:paraId="4D597A27" w14:textId="77777777">
      <w:pPr>
        <w:pStyle w:val="Heading2"/>
      </w:pPr>
      <w:bookmarkStart w:id="53" w:name="_Toc102486143"/>
      <w:bookmarkStart w:id="54" w:name="_Toc139643004"/>
      <w:r w:rsidRPr="00840C98">
        <w:t>Alternatives to Minimize the Burden on Small Entities</w:t>
      </w:r>
      <w:bookmarkEnd w:id="53"/>
      <w:bookmarkEnd w:id="54"/>
    </w:p>
    <w:p w:rsidR="003B63B9" w:rsidP="00160FDE" w14:paraId="3E1776FD" w14:textId="36023708">
      <w:pPr>
        <w:spacing w:line="480" w:lineRule="auto"/>
        <w:ind w:firstLine="720"/>
      </w:pPr>
      <w:r w:rsidRPr="00840C98">
        <w:t>We</w:t>
      </w:r>
      <w:r w:rsidRPr="00840C98" w:rsidR="00862F12">
        <w:t xml:space="preserve"> note t</w:t>
      </w:r>
      <w:r w:rsidRPr="00840C98" w:rsidR="007C69A1">
        <w:t xml:space="preserve">he </w:t>
      </w:r>
      <w:r w:rsidRPr="00840C98" w:rsidR="00862F12">
        <w:t xml:space="preserve">rule </w:t>
      </w:r>
      <w:r w:rsidRPr="00840C98" w:rsidR="00A23CAC">
        <w:t>provides</w:t>
      </w:r>
      <w:r w:rsidRPr="00840C98" w:rsidR="00862F12">
        <w:t xml:space="preserve"> staggered compliance dates</w:t>
      </w:r>
      <w:r w:rsidRPr="00840C98" w:rsidR="00A23CAC">
        <w:t xml:space="preserve"> based on farm size</w:t>
      </w:r>
      <w:r w:rsidRPr="00840C98" w:rsidR="00862F12">
        <w:t xml:space="preserve">, allowing affected small entities additional time to comply with the rule. </w:t>
      </w:r>
      <w:r w:rsidRPr="00840C98">
        <w:t xml:space="preserve">The regulatory alternative in which all pre-harvest agricultural water provisions </w:t>
      </w:r>
      <w:r w:rsidRPr="00840C98" w:rsidR="00251378">
        <w:t>are repealed (Option 1) would remove the costs to very small and small farms, which would lessen the burden on these small entities.</w:t>
      </w:r>
      <w:r w:rsidR="00251378">
        <w:t xml:space="preserve"> </w:t>
      </w:r>
      <w:r w:rsidR="2C92DA0B">
        <w:t xml:space="preserve">This alternative would also </w:t>
      </w:r>
      <w:r w:rsidR="25326743">
        <w:t>result in</w:t>
      </w:r>
      <w:r w:rsidR="75CCBC66">
        <w:t xml:space="preserve"> forgo</w:t>
      </w:r>
      <w:r w:rsidR="43ECBCE0">
        <w:t>ne</w:t>
      </w:r>
      <w:r w:rsidR="2C92DA0B">
        <w:t xml:space="preserve"> benefits of averted foodborne illnesses.</w:t>
      </w:r>
      <w:bookmarkStart w:id="55" w:name="_Toc62219891"/>
    </w:p>
    <w:p w:rsidR="00160FDE" w:rsidP="00160FDE" w14:paraId="0E060D25" w14:textId="77777777">
      <w:pPr>
        <w:spacing w:line="480" w:lineRule="auto"/>
        <w:ind w:firstLine="720"/>
      </w:pPr>
    </w:p>
    <w:p w:rsidR="00B7243F" w:rsidRPr="006B01DE" w:rsidP="00026F9A" w14:paraId="53608E83" w14:textId="184CD554">
      <w:pPr>
        <w:pStyle w:val="Style1"/>
        <w:rPr>
          <w:color w:val="auto"/>
        </w:rPr>
      </w:pPr>
      <w:bookmarkStart w:id="56" w:name="_Toc139643005"/>
      <w:r w:rsidRPr="00583451">
        <w:rPr>
          <w:color w:val="auto"/>
        </w:rPr>
        <w:t>IV. References</w:t>
      </w:r>
      <w:bookmarkEnd w:id="55"/>
      <w:bookmarkEnd w:id="56"/>
      <w:r w:rsidRPr="00583451">
        <w:rPr>
          <w:color w:val="auto"/>
        </w:rPr>
        <w:t xml:space="preserve"> </w:t>
      </w:r>
    </w:p>
    <w:p w:rsidR="00861055" w:rsidP="00026F9A" w14:paraId="7FCE1719" w14:textId="2256E6CC">
      <w:pPr>
        <w:pStyle w:val="ListParagraph"/>
        <w:numPr>
          <w:ilvl w:val="0"/>
          <w:numId w:val="12"/>
        </w:numPr>
        <w:spacing w:after="0"/>
      </w:pPr>
      <w:r>
        <w:t xml:space="preserve"> </w:t>
      </w:r>
      <w:r w:rsidRPr="0060769C">
        <w:rPr>
          <w:b/>
        </w:rPr>
        <w:t>FDA</w:t>
      </w:r>
      <w:r>
        <w:t>,</w:t>
      </w:r>
      <w:r w:rsidRPr="00BD0ACC">
        <w:t xml:space="preserve"> </w:t>
      </w:r>
      <w:r>
        <w:t>Standards for the Growing, Harvesting, Packing, and Holding of Produce for Human Consumption Relating to Agricultural Water Preliminary</w:t>
      </w:r>
      <w:r w:rsidRPr="00BD0ACC">
        <w:t xml:space="preserve"> Regulatory Impact Analysis</w:t>
      </w:r>
      <w:r>
        <w:t xml:space="preserve"> (</w:t>
      </w:r>
      <w:r w:rsidR="00900CFB">
        <w:t>P</w:t>
      </w:r>
      <w:r>
        <w:t xml:space="preserve">RIA). 2021. Available from: </w:t>
      </w:r>
      <w:hyperlink r:id="rId9" w:history="1">
        <w:r>
          <w:rPr>
            <w:rStyle w:val="Hyperlink"/>
          </w:rPr>
          <w:t>Standards for the Growing, Harvesting, Packing, and Holding of Produce for Human Consumption Relating to Agricultural Water (Proposed Rule) Preliminary Regulatory Impact Analysis | FDA</w:t>
        </w:r>
      </w:hyperlink>
    </w:p>
    <w:p w:rsidR="00B7243F" w:rsidP="00026F9A" w14:paraId="7CAB99C8" w14:textId="77777777">
      <w:pPr>
        <w:pStyle w:val="Default"/>
        <w:rPr>
          <w:b/>
        </w:rPr>
      </w:pPr>
    </w:p>
    <w:p w:rsidR="005D0A16" w:rsidRPr="00E316BB" w:rsidP="00026F9A" w14:paraId="5D4A8828" w14:textId="74041AF1">
      <w:pPr>
        <w:pStyle w:val="ListParagraph"/>
        <w:numPr>
          <w:ilvl w:val="0"/>
          <w:numId w:val="12"/>
        </w:numPr>
        <w:spacing w:after="0"/>
        <w:rPr>
          <w:bCs/>
        </w:rPr>
      </w:pPr>
      <w:r w:rsidRPr="009205EA">
        <w:rPr>
          <w:b/>
          <w:bCs/>
        </w:rPr>
        <w:t>ERS, USDA</w:t>
      </w:r>
      <w:r w:rsidRPr="0055511E">
        <w:rPr>
          <w:bCs/>
        </w:rPr>
        <w:t xml:space="preserve">, </w:t>
      </w:r>
      <w:r w:rsidRPr="006F3EEB">
        <w:rPr>
          <w:rFonts w:cs="Helvetica"/>
          <w:color w:val="333333"/>
          <w:lang w:val="en"/>
        </w:rPr>
        <w:t xml:space="preserve">Before Implementation of the Food Safety Modernization Act's Produce Rule: A Survey of U.S. Produce Growers, 2018. Available from: </w:t>
      </w:r>
      <w:hyperlink r:id="rId10" w:history="1">
        <w:r w:rsidRPr="009205EA">
          <w:rPr>
            <w:rStyle w:val="Hyperlink"/>
            <w:rFonts w:cs="Helvetica"/>
            <w:lang w:val="en"/>
          </w:rPr>
          <w:t>https://www.ers.usda.gov/publications/pub-deta</w:t>
        </w:r>
        <w:r w:rsidRPr="0055511E">
          <w:rPr>
            <w:rStyle w:val="Hyperlink"/>
            <w:rFonts w:cs="Helvetica"/>
            <w:lang w:val="en"/>
          </w:rPr>
          <w:t>ils/?pubid=89720</w:t>
        </w:r>
      </w:hyperlink>
      <w:r w:rsidRPr="006F3EEB">
        <w:rPr>
          <w:rFonts w:cs="Helvetica"/>
          <w:color w:val="333333"/>
          <w:lang w:val="en"/>
        </w:rPr>
        <w:t>.</w:t>
      </w:r>
    </w:p>
    <w:p w:rsidR="00B93C35" w:rsidRPr="00B93C35" w:rsidP="00026F9A" w14:paraId="6F50F622" w14:textId="77777777">
      <w:pPr>
        <w:pStyle w:val="ListParagraph"/>
        <w:rPr>
          <w:bCs/>
        </w:rPr>
      </w:pPr>
    </w:p>
    <w:p w:rsidR="00B93C35" w:rsidRPr="00E316BB" w:rsidP="00026F9A" w14:paraId="40845F2E" w14:textId="77777777">
      <w:pPr>
        <w:pStyle w:val="ListParagraph"/>
        <w:numPr>
          <w:ilvl w:val="0"/>
          <w:numId w:val="12"/>
        </w:numPr>
        <w:spacing w:after="0"/>
      </w:pPr>
      <w:r>
        <w:rPr>
          <w:b/>
        </w:rPr>
        <w:t xml:space="preserve">Biemiller, N., Brown, C., and Lasher, A. </w:t>
      </w:r>
      <w:r w:rsidRPr="00A451AC">
        <w:t>“Memorandum to the File—</w:t>
      </w:r>
      <w:r>
        <w:t>Agricultural Water Proposed Rule Expert Elicitation</w:t>
      </w:r>
      <w:r w:rsidRPr="00A451AC">
        <w:t xml:space="preserve">.” </w:t>
      </w:r>
      <w:r>
        <w:t>November 8, 2021</w:t>
      </w:r>
      <w:r w:rsidRPr="00A451AC">
        <w:t>. Food and Drug Administration</w:t>
      </w:r>
      <w:r>
        <w:rPr>
          <w:b/>
        </w:rPr>
        <w:t>.</w:t>
      </w:r>
      <w:r w:rsidRPr="00BA64DD">
        <w:rPr>
          <w:b/>
        </w:rPr>
        <w:t xml:space="preserve"> </w:t>
      </w:r>
    </w:p>
    <w:p w:rsidR="006D0F3E" w:rsidP="00026F9A" w14:paraId="3CD743C1" w14:textId="77777777">
      <w:pPr>
        <w:pStyle w:val="ListParagraph"/>
      </w:pPr>
    </w:p>
    <w:p w:rsidR="006D0F3E" w:rsidP="00026F9A" w14:paraId="42894C3E" w14:textId="53DC7888">
      <w:pPr>
        <w:pStyle w:val="ListParagraph"/>
        <w:numPr>
          <w:ilvl w:val="0"/>
          <w:numId w:val="12"/>
        </w:numPr>
        <w:spacing w:after="0"/>
      </w:pPr>
      <w:r w:rsidRPr="00E316BB">
        <w:rPr>
          <w:b/>
          <w:bCs/>
        </w:rPr>
        <w:t>A. Roerink,</w:t>
      </w:r>
      <w:r w:rsidRPr="006D0F3E">
        <w:t xml:space="preserve"> Produce Closes Out the Year on a High note, Setting New Records, 2022. Available from: </w:t>
      </w:r>
      <w:hyperlink r:id="rId11" w:history="1">
        <w:r w:rsidRPr="00F13A18" w:rsidR="00454BB7">
          <w:rPr>
            <w:rStyle w:val="Hyperlink"/>
          </w:rPr>
          <w:t>https://www.freshproduce.com/resources/retail/iri-reports/december-2022-fresh-produce-volume2/</w:t>
        </w:r>
      </w:hyperlink>
      <w:r w:rsidRPr="006D0F3E">
        <w:t>.</w:t>
      </w:r>
    </w:p>
    <w:p w:rsidR="00454BB7" w:rsidP="00026F9A" w14:paraId="4C08C8FB" w14:textId="77777777">
      <w:pPr>
        <w:pStyle w:val="ListParagraph"/>
      </w:pPr>
    </w:p>
    <w:p w:rsidR="00A74BC4" w:rsidRPr="00D07AFB" w:rsidP="00026F9A" w14:paraId="04EE3EF8" w14:textId="77777777">
      <w:pPr>
        <w:pStyle w:val="ListParagraph"/>
        <w:numPr>
          <w:ilvl w:val="0"/>
          <w:numId w:val="12"/>
        </w:numPr>
        <w:spacing w:after="0"/>
        <w:rPr>
          <w:rStyle w:val="Hyperlink"/>
          <w:color w:val="auto"/>
          <w:u w:val="none"/>
        </w:rPr>
      </w:pPr>
      <w:r w:rsidRPr="0060769C">
        <w:rPr>
          <w:b/>
        </w:rPr>
        <w:t>FDA</w:t>
      </w:r>
      <w:r>
        <w:t>,</w:t>
      </w:r>
      <w:r w:rsidRPr="00BD0ACC">
        <w:t xml:space="preserve"> </w:t>
      </w:r>
      <w:r w:rsidRPr="00C8405D">
        <w:t>Requirements for Additional Traceability Records for Certain Foods Final Regulatory Impact Analysis (FRIA).</w:t>
      </w:r>
      <w:r>
        <w:t xml:space="preserve"> 2022. Available from: </w:t>
      </w:r>
      <w:hyperlink r:id="rId12" w:history="1">
        <w:r>
          <w:rPr>
            <w:rStyle w:val="Hyperlink"/>
          </w:rPr>
          <w:t>Requirements for Additional Traceability Records for Certain Foods (Final Rule) Regulatory Impact Analysis | FDA</w:t>
        </w:r>
      </w:hyperlink>
    </w:p>
    <w:p w:rsidR="005D0A16" w:rsidRPr="00D07AFB" w:rsidP="00026F9A" w14:paraId="5C8A7EF8" w14:textId="77777777">
      <w:pPr>
        <w:spacing w:after="0"/>
        <w:rPr>
          <w:bCs/>
        </w:rPr>
      </w:pPr>
    </w:p>
    <w:p w:rsidR="006D566B" w:rsidRPr="00E97A79" w:rsidP="00026F9A" w14:paraId="0FA16796" w14:textId="77777777">
      <w:pPr>
        <w:pStyle w:val="ListParagraph"/>
        <w:numPr>
          <w:ilvl w:val="0"/>
          <w:numId w:val="12"/>
        </w:numPr>
        <w:spacing w:after="0"/>
        <w:rPr>
          <w:rFonts w:eastAsiaTheme="minorHAnsi"/>
          <w:sz w:val="22"/>
          <w:szCs w:val="22"/>
        </w:rPr>
      </w:pPr>
      <w:r w:rsidRPr="00F41467">
        <w:rPr>
          <w:b/>
          <w:bCs/>
        </w:rPr>
        <w:t>T. Minor, A. Lasher, K. Klontz, B. Brown, C. Nardinelli and D. Zorn</w:t>
      </w:r>
      <w:r>
        <w:t xml:space="preserve">. "The per case and total annual costs of foodborne illness in the United States," </w:t>
      </w:r>
      <w:r w:rsidRPr="00B5218C">
        <w:rPr>
          <w:i/>
          <w:iCs/>
        </w:rPr>
        <w:t>Risk Analysis</w:t>
      </w:r>
      <w:r>
        <w:t>, pp. 1125-39, 2015.</w:t>
      </w:r>
    </w:p>
    <w:p w:rsidR="006D566B" w:rsidRPr="006D566B" w:rsidP="00026F9A" w14:paraId="68047FA2" w14:textId="77777777">
      <w:pPr>
        <w:pStyle w:val="Default"/>
        <w:ind w:left="810"/>
      </w:pPr>
    </w:p>
    <w:p w:rsidR="00B164C8" w:rsidRPr="00B164C8" w:rsidP="00026F9A" w14:paraId="439D42F7" w14:textId="13EA92D0">
      <w:pPr>
        <w:pStyle w:val="ListParagraph"/>
        <w:numPr>
          <w:ilvl w:val="0"/>
          <w:numId w:val="12"/>
        </w:numPr>
        <w:spacing w:after="0"/>
      </w:pPr>
      <w:r w:rsidRPr="0055511E">
        <w:rPr>
          <w:b/>
          <w:bCs/>
        </w:rPr>
        <w:t>U.S. Department of Health and Human Services</w:t>
      </w:r>
      <w:r w:rsidRPr="00E820B7">
        <w:t xml:space="preserve">, Guidelines for Regulatory Impact Analyses. 2016. Available from: </w:t>
      </w:r>
      <w:hyperlink r:id="rId13" w:history="1">
        <w:r w:rsidRPr="00E820B7">
          <w:rPr>
            <w:rStyle w:val="Hyperlink"/>
          </w:rPr>
          <w:t>https://aspe.hhs.gov/system/files/pdf/242926/HHS_RIAGuidance.pdf</w:t>
        </w:r>
      </w:hyperlink>
      <w:r w:rsidRPr="00E820B7">
        <w:t>.</w:t>
      </w:r>
    </w:p>
    <w:p w:rsidR="00D07AFB" w:rsidRPr="00D07AFB" w:rsidP="00026F9A" w14:paraId="45553FA7" w14:textId="77777777">
      <w:pPr>
        <w:spacing w:after="0"/>
      </w:pPr>
    </w:p>
    <w:p w:rsidR="00B7243F" w:rsidP="00026F9A" w14:paraId="5E378278" w14:textId="2ED6A78C">
      <w:pPr>
        <w:pStyle w:val="Default"/>
        <w:numPr>
          <w:ilvl w:val="0"/>
          <w:numId w:val="12"/>
        </w:numPr>
      </w:pPr>
      <w:r w:rsidRPr="00E820B7">
        <w:rPr>
          <w:b/>
        </w:rPr>
        <w:t>FDA</w:t>
      </w:r>
      <w:r w:rsidRPr="00E820B7">
        <w:t xml:space="preserve">, Analysis of Economic Impacts - Standards for the Growing, Harvesting, Packing and Holding of Produce for Human Consumption (FRIA). 2015. Available from: </w:t>
      </w:r>
      <w:hyperlink r:id="rId14" w:history="1">
        <w:r w:rsidRPr="00E820B7">
          <w:rPr>
            <w:rStyle w:val="Hyperlink"/>
          </w:rPr>
          <w:t>https://www.fda.gov/about-fda/economic-impact-analyses-fda-regulations/summary-standards-growing-harvesting-packing-and-holding-produce-human-consumption-final-rule</w:t>
        </w:r>
      </w:hyperlink>
      <w:r w:rsidRPr="00E820B7">
        <w:t>.</w:t>
      </w:r>
    </w:p>
    <w:p w:rsidR="008D7893" w:rsidRPr="008D7893" w:rsidP="00026F9A" w14:paraId="55370FAE" w14:textId="77777777">
      <w:pPr>
        <w:pStyle w:val="ListParagraph"/>
        <w:rPr>
          <w:b/>
          <w:bCs/>
        </w:rPr>
      </w:pPr>
    </w:p>
    <w:p w:rsidR="00D07AFB" w:rsidRPr="00D07AFB" w:rsidP="00026F9A" w14:paraId="6DE10B0E" w14:textId="1F402EA7">
      <w:pPr>
        <w:pStyle w:val="ListParagraph"/>
        <w:numPr>
          <w:ilvl w:val="0"/>
          <w:numId w:val="12"/>
        </w:numPr>
        <w:spacing w:after="0"/>
      </w:pPr>
      <w:r>
        <w:rPr>
          <w:b/>
          <w:bCs/>
        </w:rPr>
        <w:t>EPA</w:t>
      </w:r>
      <w:r>
        <w:t xml:space="preserve">, 2012 Recreational Water Quality Criteria. 2012. Available from: </w:t>
      </w:r>
      <w:hyperlink r:id="rId15" w:history="1">
        <w:r w:rsidRPr="004F0834">
          <w:rPr>
            <w:rStyle w:val="Hyperlink"/>
          </w:rPr>
          <w:t>https://www.epa.gov/sites/default/files/2015-10/documents/rec-factsheet-2012.pdf</w:t>
        </w:r>
      </w:hyperlink>
      <w:r>
        <w:t xml:space="preserve"> </w:t>
      </w:r>
    </w:p>
    <w:p w:rsidR="00D07AFB" w:rsidRPr="00D07AFB" w:rsidP="00026F9A" w14:paraId="6D71FD3D" w14:textId="77777777">
      <w:pPr>
        <w:pStyle w:val="ListParagraph"/>
        <w:rPr>
          <w:b/>
          <w:bCs/>
        </w:rPr>
      </w:pPr>
    </w:p>
    <w:p w:rsidR="00B7243F" w:rsidP="00026F9A" w14:paraId="3B2EF98A" w14:textId="1C81CFFF">
      <w:pPr>
        <w:pStyle w:val="ListParagraph"/>
        <w:numPr>
          <w:ilvl w:val="0"/>
          <w:numId w:val="12"/>
        </w:numPr>
        <w:spacing w:after="0"/>
        <w:rPr>
          <w:color w:val="0000FF"/>
        </w:rPr>
      </w:pPr>
      <w:r w:rsidRPr="0055511E">
        <w:rPr>
          <w:b/>
          <w:bCs/>
        </w:rPr>
        <w:t>U.S. Bureau of Labor Statistics</w:t>
      </w:r>
      <w:r w:rsidRPr="00E820B7">
        <w:t>, May 20</w:t>
      </w:r>
      <w:r w:rsidR="00062E8B">
        <w:t>2</w:t>
      </w:r>
      <w:r w:rsidR="00742B55">
        <w:t>2</w:t>
      </w:r>
      <w:r w:rsidRPr="00E820B7">
        <w:t xml:space="preserve"> National Occupational Employment and Wage Estimates United States, Farmers, Ranchers, and Other Agricultural Managers. 20</w:t>
      </w:r>
      <w:r w:rsidR="00742B55">
        <w:t>23</w:t>
      </w:r>
      <w:r w:rsidRPr="00E820B7">
        <w:t xml:space="preserve">. Available from: </w:t>
      </w:r>
      <w:hyperlink r:id="rId16" w:history="1">
        <w:r w:rsidRPr="00E820B7">
          <w:rPr>
            <w:rStyle w:val="Hyperlink"/>
          </w:rPr>
          <w:t>https://www.bls.gov/oes/current/oes119013.htm</w:t>
        </w:r>
      </w:hyperlink>
      <w:r w:rsidRPr="0055511E">
        <w:rPr>
          <w:color w:val="0000FF"/>
        </w:rPr>
        <w:t>.</w:t>
      </w:r>
    </w:p>
    <w:p w:rsidR="00D07AFB" w:rsidRPr="00D07AFB" w:rsidP="00026F9A" w14:paraId="16792399" w14:textId="77777777">
      <w:pPr>
        <w:spacing w:after="0"/>
        <w:rPr>
          <w:color w:val="0000FF"/>
        </w:rPr>
      </w:pPr>
    </w:p>
    <w:p w:rsidR="004933D3" w:rsidP="004933D3" w14:paraId="3D160E83" w14:textId="77777777">
      <w:pPr>
        <w:pStyle w:val="ListParagraph"/>
        <w:numPr>
          <w:ilvl w:val="0"/>
          <w:numId w:val="12"/>
        </w:numPr>
        <w:spacing w:after="0"/>
      </w:pPr>
      <w:r w:rsidRPr="000972AF">
        <w:rPr>
          <w:b/>
          <w:bCs/>
        </w:rPr>
        <w:t>U.S. Bureau of Labor Statistics</w:t>
      </w:r>
      <w:r w:rsidRPr="00E820B7">
        <w:t>, May 20</w:t>
      </w:r>
      <w:r>
        <w:t>22</w:t>
      </w:r>
      <w:r w:rsidRPr="00E820B7">
        <w:t xml:space="preserve"> National Occupational Employment and Wage Estimates United States, First-Line Supervisors of Farming, Fishing, and Forestry Workers. 20</w:t>
      </w:r>
      <w:r>
        <w:t>23</w:t>
      </w:r>
      <w:r w:rsidRPr="00E820B7">
        <w:t xml:space="preserve">. Available from: </w:t>
      </w:r>
      <w:hyperlink r:id="rId17" w:history="1">
        <w:r w:rsidRPr="00E820B7">
          <w:rPr>
            <w:rStyle w:val="Hyperlink"/>
          </w:rPr>
          <w:t>https://www.bls.gov/oes/current/oes451011.htm</w:t>
        </w:r>
      </w:hyperlink>
      <w:r w:rsidRPr="00E820B7">
        <w:t>.</w:t>
      </w:r>
    </w:p>
    <w:p w:rsidR="004933D3" w:rsidP="004933D3" w14:paraId="12378AAE" w14:textId="77777777">
      <w:pPr>
        <w:pStyle w:val="ListParagraph"/>
      </w:pPr>
    </w:p>
    <w:p w:rsidR="004933D3" w:rsidP="004933D3" w14:paraId="77CFEA42" w14:textId="77777777">
      <w:pPr>
        <w:pStyle w:val="ListParagraph"/>
        <w:numPr>
          <w:ilvl w:val="0"/>
          <w:numId w:val="12"/>
        </w:numPr>
        <w:spacing w:after="0"/>
      </w:pPr>
      <w:r>
        <w:rPr>
          <w:b/>
          <w:bCs/>
        </w:rPr>
        <w:t xml:space="preserve">Foodsafety.gov. </w:t>
      </w:r>
      <w:r>
        <w:t xml:space="preserve">People at Risk of Food Poisoning. 2023. Available from: </w:t>
      </w:r>
      <w:hyperlink r:id="rId18" w:history="1">
        <w:r>
          <w:rPr>
            <w:rStyle w:val="Hyperlink"/>
          </w:rPr>
          <w:t>People at Risk of Food Poisoning | FoodSafety.gov</w:t>
        </w:r>
      </w:hyperlink>
    </w:p>
    <w:p w:rsidR="004933D3" w:rsidP="004933D3" w14:paraId="7E5AD6E4" w14:textId="77777777">
      <w:pPr>
        <w:pStyle w:val="ListParagraph"/>
      </w:pPr>
    </w:p>
    <w:p w:rsidR="004933D3" w:rsidRPr="00AF46FF" w:rsidP="004933D3" w14:paraId="7DF2DED6" w14:textId="77777777">
      <w:pPr>
        <w:pStyle w:val="ListParagraph"/>
        <w:numPr>
          <w:ilvl w:val="0"/>
          <w:numId w:val="12"/>
        </w:numPr>
        <w:spacing w:after="0"/>
      </w:pPr>
      <w:r>
        <w:rPr>
          <w:b/>
          <w:bCs/>
        </w:rPr>
        <w:t xml:space="preserve">Strassle PD, Gu W, Bruce BB, and Gould LH. </w:t>
      </w:r>
      <w:r>
        <w:t xml:space="preserve">Sex and age distributions of persons in foodborne disease outbreaks and associations with food categories. 2019. </w:t>
      </w:r>
      <w:r>
        <w:rPr>
          <w:i/>
          <w:iCs/>
        </w:rPr>
        <w:t>Epidemiology and Infection</w:t>
      </w:r>
      <w:r>
        <w:t xml:space="preserve"> 147, e200, 1-5. Available from: </w:t>
      </w:r>
      <w:hyperlink r:id="rId19" w:history="1">
        <w:r w:rsidRPr="00AF46FF">
          <w:rPr>
            <w:rStyle w:val="Hyperlink"/>
          </w:rPr>
          <w:t>https://doi.org/10.1017/S0950268818003126</w:t>
        </w:r>
      </w:hyperlink>
    </w:p>
    <w:p w:rsidR="004933D3" w:rsidP="004933D3" w14:paraId="695BBB3D" w14:textId="77777777">
      <w:pPr>
        <w:pStyle w:val="ListParagraph"/>
      </w:pPr>
    </w:p>
    <w:p w:rsidR="004933D3" w:rsidRPr="00AF46FF" w:rsidP="004933D3" w14:paraId="7F2B0AF8" w14:textId="77777777">
      <w:pPr>
        <w:pStyle w:val="ListParagraph"/>
        <w:numPr>
          <w:ilvl w:val="0"/>
          <w:numId w:val="12"/>
        </w:numPr>
        <w:spacing w:after="0"/>
        <w:rPr>
          <w:b/>
          <w:bCs/>
        </w:rPr>
      </w:pPr>
      <w:r w:rsidRPr="00AF46FF">
        <w:rPr>
          <w:b/>
          <w:bCs/>
        </w:rPr>
        <w:t xml:space="preserve">McCrickard L, Crim S, Kim S, Bowen A. </w:t>
      </w:r>
      <w:r>
        <w:t xml:space="preserve">Disparities in severe shigellosis among adults—Foodborne diseases active surveillance network, 2002-2014. 2018. </w:t>
      </w:r>
      <w:r>
        <w:rPr>
          <w:i/>
          <w:iCs/>
        </w:rPr>
        <w:t>BMC Public Health</w:t>
      </w:r>
      <w:r>
        <w:t xml:space="preserve"> 18:221. Available from: </w:t>
      </w:r>
      <w:hyperlink r:id="rId20" w:history="1">
        <w:r w:rsidRPr="00FA59AA">
          <w:rPr>
            <w:rStyle w:val="Hyperlink"/>
          </w:rPr>
          <w:t>https://doi.org/</w:t>
        </w:r>
        <w:r w:rsidRPr="00AF46FF">
          <w:rPr>
            <w:rStyle w:val="Hyperlink"/>
          </w:rPr>
          <w:t>10.1186/s12889-018-5115-4</w:t>
        </w:r>
      </w:hyperlink>
    </w:p>
    <w:p w:rsidR="004933D3" w:rsidRPr="00AF46FF" w:rsidP="004933D3" w14:paraId="3150B6F1" w14:textId="77777777">
      <w:pPr>
        <w:pStyle w:val="ListParagraph"/>
        <w:rPr>
          <w:b/>
          <w:bCs/>
        </w:rPr>
      </w:pPr>
    </w:p>
    <w:p w:rsidR="004933D3" w:rsidRPr="00AF46FF" w:rsidP="004933D3" w14:paraId="0087164B" w14:textId="77777777">
      <w:pPr>
        <w:pStyle w:val="ListParagraph"/>
        <w:numPr>
          <w:ilvl w:val="0"/>
          <w:numId w:val="12"/>
        </w:numPr>
        <w:spacing w:after="0"/>
        <w:rPr>
          <w:b/>
          <w:bCs/>
        </w:rPr>
      </w:pPr>
      <w:r>
        <w:rPr>
          <w:b/>
          <w:bCs/>
        </w:rPr>
        <w:t xml:space="preserve">Consumer Federation of America. </w:t>
      </w:r>
      <w:r>
        <w:t xml:space="preserve">Foodborne Illness: Another Way the Poor Pay More. 2020. Available from: </w:t>
      </w:r>
      <w:hyperlink r:id="rId21" w:history="1">
        <w:r>
          <w:rPr>
            <w:rStyle w:val="Hyperlink"/>
          </w:rPr>
          <w:t>Report Examines Link Between Poverty and Foodborne Illness Risk · Consumer Federation of America</w:t>
        </w:r>
      </w:hyperlink>
    </w:p>
    <w:p w:rsidR="004933D3" w:rsidRPr="00AF46FF" w:rsidP="004933D3" w14:paraId="596EED72" w14:textId="77777777">
      <w:pPr>
        <w:pStyle w:val="ListParagraph"/>
        <w:rPr>
          <w:b/>
          <w:bCs/>
        </w:rPr>
      </w:pPr>
    </w:p>
    <w:p w:rsidR="004933D3" w:rsidRPr="00AF46FF" w:rsidP="004933D3" w14:paraId="0F982315" w14:textId="77777777">
      <w:pPr>
        <w:pStyle w:val="ListParagraph"/>
        <w:numPr>
          <w:ilvl w:val="0"/>
          <w:numId w:val="12"/>
        </w:numPr>
        <w:spacing w:after="0"/>
        <w:rPr>
          <w:b/>
          <w:bCs/>
        </w:rPr>
      </w:pPr>
      <w:r>
        <w:rPr>
          <w:b/>
          <w:bCs/>
        </w:rPr>
        <w:t xml:space="preserve">Quinlan, J. </w:t>
      </w:r>
      <w:r w:rsidRPr="00AF46FF">
        <w:t>Foodborne Illness Incidence Rates and Food Safety Risks for Populations of Low Socioeconomic Status and Minority Race/Ethnicity: A Review of the Literature</w:t>
      </w:r>
      <w:r>
        <w:t xml:space="preserve">. 2013. </w:t>
      </w:r>
      <w:r>
        <w:rPr>
          <w:i/>
          <w:iCs/>
        </w:rPr>
        <w:t xml:space="preserve">International Journal of Environmental Research and Public Health </w:t>
      </w:r>
      <w:r>
        <w:t xml:space="preserve">10, 3634-3652. Available from: </w:t>
      </w:r>
      <w:hyperlink r:id="rId22" w:history="1">
        <w:r w:rsidRPr="003F0882">
          <w:rPr>
            <w:rStyle w:val="Hyperlink"/>
          </w:rPr>
          <w:t>https://doi.org/10.3390/ijerph10083634</w:t>
        </w:r>
      </w:hyperlink>
    </w:p>
    <w:p w:rsidR="004933D3" w:rsidRPr="00AF46FF" w:rsidP="004933D3" w14:paraId="5A869473" w14:textId="77777777">
      <w:pPr>
        <w:pStyle w:val="ListParagraph"/>
        <w:rPr>
          <w:b/>
          <w:bCs/>
        </w:rPr>
      </w:pPr>
    </w:p>
    <w:p w:rsidR="004933D3" w:rsidRPr="00AF46FF" w:rsidP="004933D3" w14:paraId="77F9E5FA" w14:textId="77777777">
      <w:pPr>
        <w:pStyle w:val="ListParagraph"/>
        <w:numPr>
          <w:ilvl w:val="0"/>
          <w:numId w:val="12"/>
        </w:numPr>
        <w:spacing w:after="0"/>
        <w:rPr>
          <w:b/>
          <w:bCs/>
        </w:rPr>
      </w:pPr>
      <w:r w:rsidRPr="762A54E7">
        <w:rPr>
          <w:b/>
          <w:bCs/>
        </w:rPr>
        <w:t xml:space="preserve">Hadler, J et al. </w:t>
      </w:r>
      <w:r>
        <w:t xml:space="preserve">Relationship Between Census Tract-Level Poverty and Domestically Acquired </w:t>
      </w:r>
      <w:r w:rsidRPr="762A54E7">
        <w:rPr>
          <w:i/>
          <w:iCs/>
        </w:rPr>
        <w:t>Salmonella</w:t>
      </w:r>
      <w:r>
        <w:t xml:space="preserve"> Incidence: Analysis of Foodborne Diseases Active Surveillance Network Data, 2010-2016. 2020. </w:t>
      </w:r>
      <w:r w:rsidRPr="762A54E7">
        <w:rPr>
          <w:i/>
          <w:iCs/>
        </w:rPr>
        <w:t xml:space="preserve">The Journal of Infectious Diseases </w:t>
      </w:r>
      <w:r>
        <w:t xml:space="preserve">222:1405-1412. Available from: </w:t>
      </w:r>
      <w:hyperlink r:id="rId23" w:history="1">
        <w:r w:rsidRPr="762A54E7">
          <w:rPr>
            <w:rStyle w:val="Hyperlink"/>
          </w:rPr>
          <w:t>https://doi.org/10.1093/infdis/jiz605</w:t>
        </w:r>
      </w:hyperlink>
    </w:p>
    <w:p w:rsidR="004933D3" w:rsidP="004933D3" w14:paraId="48F89EBB" w14:textId="77777777">
      <w:pPr>
        <w:spacing w:after="0"/>
      </w:pPr>
    </w:p>
    <w:p w:rsidR="004933D3" w:rsidRPr="00E316BB" w:rsidP="004933D3" w14:paraId="04EE4FF7" w14:textId="77777777">
      <w:pPr>
        <w:pStyle w:val="ListParagraph"/>
        <w:numPr>
          <w:ilvl w:val="0"/>
          <w:numId w:val="12"/>
        </w:numPr>
        <w:spacing w:after="0"/>
        <w:rPr>
          <w:rStyle w:val="Hyperlink"/>
          <w:color w:val="auto"/>
          <w:u w:val="none"/>
        </w:rPr>
      </w:pPr>
      <w:r w:rsidRPr="762A54E7">
        <w:rPr>
          <w:b/>
          <w:bCs/>
        </w:rPr>
        <w:t>U.S. Small Business Administration</w:t>
      </w:r>
      <w:r>
        <w:t xml:space="preserve">, Table of Small Business Size Standards Matched to North American Industry Classification System Codes. 2022. </w:t>
      </w:r>
      <w:r w:rsidRPr="762A54E7">
        <w:rPr>
          <w:color w:val="000000" w:themeColor="text1"/>
        </w:rPr>
        <w:t xml:space="preserve">Available from: </w:t>
      </w:r>
      <w:hyperlink r:id="rId24">
        <w:r w:rsidRPr="762A54E7">
          <w:rPr>
            <w:rStyle w:val="Hyperlink"/>
          </w:rPr>
          <w:t>Table of size standards (sba.gov)</w:t>
        </w:r>
      </w:hyperlink>
    </w:p>
    <w:p w:rsidR="004933D3" w:rsidP="004933D3" w14:paraId="457E7D03" w14:textId="77777777">
      <w:pPr>
        <w:pStyle w:val="ListParagraph"/>
      </w:pPr>
    </w:p>
    <w:p w:rsidR="004933D3" w:rsidP="004933D3" w14:paraId="208EC478" w14:textId="77777777">
      <w:pPr>
        <w:pStyle w:val="ListParagraph"/>
        <w:numPr>
          <w:ilvl w:val="0"/>
          <w:numId w:val="12"/>
        </w:numPr>
        <w:spacing w:after="0"/>
      </w:pPr>
      <w:r w:rsidRPr="762A54E7">
        <w:rPr>
          <w:b/>
          <w:bCs/>
        </w:rPr>
        <w:t xml:space="preserve">Brown C and Sassi A. </w:t>
      </w:r>
      <w:r>
        <w:t>Email Communication on the Updated Version of the Outbreaks Database. November 20, 2020.</w:t>
      </w:r>
    </w:p>
    <w:p w:rsidR="004933D3" w:rsidP="004933D3" w14:paraId="2013E40C" w14:textId="77777777">
      <w:pPr>
        <w:pStyle w:val="ListParagraph"/>
      </w:pPr>
    </w:p>
    <w:p w:rsidR="004933D3" w:rsidRPr="00345AD1" w:rsidP="004933D3" w14:paraId="36205988" w14:textId="77777777">
      <w:pPr>
        <w:pStyle w:val="ListParagraph"/>
        <w:numPr>
          <w:ilvl w:val="0"/>
          <w:numId w:val="12"/>
        </w:numPr>
        <w:spacing w:after="0"/>
      </w:pPr>
      <w:r w:rsidRPr="762A54E7">
        <w:rPr>
          <w:b/>
          <w:bCs/>
        </w:rPr>
        <w:t xml:space="preserve">Centers for Disease Control and Prevention, </w:t>
      </w:r>
      <w:r>
        <w:t xml:space="preserve">National Outbreak Reporting System (NORS). 2020. Available from: </w:t>
      </w:r>
      <w:hyperlink r:id="rId25">
        <w:r w:rsidRPr="762A54E7">
          <w:rPr>
            <w:rStyle w:val="Hyperlink"/>
          </w:rPr>
          <w:t>https://wwwn.cdc.gov/norsdashboard/</w:t>
        </w:r>
      </w:hyperlink>
      <w:r>
        <w:t xml:space="preserve">. </w:t>
      </w:r>
    </w:p>
    <w:p w:rsidR="004933D3" w:rsidP="004933D3" w14:paraId="12178097" w14:textId="77777777">
      <w:pPr>
        <w:spacing w:after="0"/>
      </w:pPr>
    </w:p>
    <w:p w:rsidR="004933D3" w:rsidP="004933D3" w14:paraId="2AACCD97" w14:textId="77777777">
      <w:pPr>
        <w:pStyle w:val="ListParagraph"/>
        <w:numPr>
          <w:ilvl w:val="0"/>
          <w:numId w:val="12"/>
        </w:numPr>
        <w:spacing w:after="0"/>
      </w:pPr>
      <w:r w:rsidRPr="762A54E7">
        <w:rPr>
          <w:b/>
          <w:bCs/>
        </w:rPr>
        <w:t>Scallan E, Hoekstra RM, Angulo FJ, Tauxe RV, Widdowson MA, Roy SL, Jones JL, and Griffin PM.</w:t>
      </w:r>
      <w:r>
        <w:t xml:space="preserve"> Foodborne illness acquired in the United States—major pathogens. </w:t>
      </w:r>
      <w:r w:rsidRPr="762A54E7">
        <w:rPr>
          <w:i/>
          <w:iCs/>
        </w:rPr>
        <w:t>Emerging Infectious Diseases</w:t>
      </w:r>
      <w:r>
        <w:t xml:space="preserve"> 2011; 17(1):7-15.  </w:t>
      </w:r>
    </w:p>
    <w:p w:rsidR="00B7243F" w:rsidP="00026F9A" w14:paraId="2ED462CD" w14:textId="77777777">
      <w:pPr>
        <w:pStyle w:val="ListParagraph"/>
      </w:pPr>
    </w:p>
    <w:p w:rsidR="00B7243F" w:rsidP="00026F9A" w14:paraId="1D7ACFDA" w14:textId="77777777">
      <w:pPr>
        <w:pStyle w:val="ListParagraph"/>
      </w:pPr>
    </w:p>
    <w:p w:rsidR="007C0AC0" w:rsidP="00026F9A" w14:paraId="65D522AB" w14:textId="3C9FED83">
      <w:pPr>
        <w:rPr>
          <w:i/>
        </w:rPr>
      </w:pPr>
    </w:p>
    <w:p w:rsidR="007C0AC0" w:rsidRPr="00220354" w:rsidP="00026F9A" w14:paraId="4523A3BD" w14:textId="77777777">
      <w:pPr>
        <w:pStyle w:val="Style1"/>
        <w:rPr>
          <w:color w:val="auto"/>
        </w:rPr>
      </w:pPr>
      <w:bookmarkStart w:id="57" w:name="_Toc62219892"/>
      <w:bookmarkStart w:id="58" w:name="_Toc139643006"/>
      <w:r w:rsidRPr="00220354">
        <w:rPr>
          <w:color w:val="auto"/>
        </w:rPr>
        <w:t>Appendix A</w:t>
      </w:r>
      <w:bookmarkEnd w:id="57"/>
      <w:bookmarkEnd w:id="58"/>
    </w:p>
    <w:p w:rsidR="007C0AC0" w:rsidP="00026F9A" w14:paraId="034D648D" w14:textId="65D148A8">
      <w:pPr>
        <w:spacing w:line="480" w:lineRule="auto"/>
        <w:ind w:firstLine="720"/>
      </w:pPr>
      <w:r>
        <w:t xml:space="preserve">To establish a quantitative baseline, we draw on the dollar burden of foodborne illnesses estimated in the 2015 </w:t>
      </w:r>
      <w:r w:rsidR="00123844">
        <w:t xml:space="preserve">produce safety final rule </w:t>
      </w:r>
      <w:r w:rsidRPr="00276D8F">
        <w:t xml:space="preserve">FRIA (Ref. </w:t>
      </w:r>
      <w:r w:rsidRPr="00276D8F" w:rsidR="00226424">
        <w:t>8</w:t>
      </w:r>
      <w:r w:rsidRPr="00276D8F">
        <w:t>). For</w:t>
      </w:r>
      <w:r>
        <w:t xml:space="preserve"> non-sprout covered produce, the estimated annual dollar burden of illnesses in the 2015 FRIA is approximately $2,045 million in 2015 dollars. The 2015 </w:t>
      </w:r>
      <w:r w:rsidR="00123844">
        <w:t xml:space="preserve">produce safety final rule </w:t>
      </w:r>
      <w:r>
        <w:t>estimate primarily draws on data from the 10-year span of 2003 to 2012; we update this estimate with more recent data from several sources, including:</w:t>
      </w:r>
    </w:p>
    <w:p w:rsidR="007C0AC0" w:rsidRPr="00276D8F" w:rsidP="00026F9A" w14:paraId="4B17355C" w14:textId="5E9BDC22">
      <w:pPr>
        <w:pStyle w:val="ListParagraph"/>
        <w:numPr>
          <w:ilvl w:val="0"/>
          <w:numId w:val="18"/>
        </w:numPr>
        <w:spacing w:after="160" w:line="480" w:lineRule="auto"/>
      </w:pPr>
      <w:r>
        <w:t xml:space="preserve">FDA outbreak data on covered produce from the 10-year span of 2009 to </w:t>
      </w:r>
      <w:r w:rsidRPr="00276D8F">
        <w:t xml:space="preserve">2020 (Ref. </w:t>
      </w:r>
      <w:r w:rsidRPr="00276D8F" w:rsidR="001341F2">
        <w:t>1</w:t>
      </w:r>
      <w:r w:rsidR="00C63EB6">
        <w:t>9</w:t>
      </w:r>
      <w:r w:rsidRPr="00276D8F">
        <w:t>);</w:t>
      </w:r>
    </w:p>
    <w:p w:rsidR="007C0AC0" w:rsidRPr="00276D8F" w:rsidP="00026F9A" w14:paraId="5466F6D8" w14:textId="1C58E041">
      <w:pPr>
        <w:pStyle w:val="ListParagraph"/>
        <w:numPr>
          <w:ilvl w:val="0"/>
          <w:numId w:val="18"/>
        </w:numPr>
        <w:spacing w:after="160" w:line="480" w:lineRule="auto"/>
      </w:pPr>
      <w:r w:rsidRPr="00276D8F">
        <w:t xml:space="preserve">CDC National Outbreak Reporting System (NORS) data on all foods from the 10-year span of 2009 to 2020 (Ref. </w:t>
      </w:r>
      <w:r w:rsidR="00C63EB6">
        <w:t>20</w:t>
      </w:r>
      <w:r w:rsidRPr="00276D8F">
        <w:t>); and</w:t>
      </w:r>
    </w:p>
    <w:p w:rsidR="007C0AC0" w:rsidRPr="00276D8F" w:rsidP="00026F9A" w14:paraId="0D18A6F2" w14:textId="1CEA8DDE">
      <w:pPr>
        <w:pStyle w:val="ListParagraph"/>
        <w:numPr>
          <w:ilvl w:val="0"/>
          <w:numId w:val="18"/>
        </w:numPr>
        <w:spacing w:after="160" w:line="480" w:lineRule="auto"/>
      </w:pPr>
      <w:r w:rsidRPr="00276D8F">
        <w:t xml:space="preserve">expected dollar loss per case for foodborne illness agents from the </w:t>
      </w:r>
      <w:r w:rsidR="00FC39D7">
        <w:t>traceability rule</w:t>
      </w:r>
      <w:r w:rsidRPr="00276D8F">
        <w:t xml:space="preserve"> </w:t>
      </w:r>
      <w:r w:rsidRPr="00276D8F" w:rsidR="009076A7">
        <w:t>F</w:t>
      </w:r>
      <w:r w:rsidRPr="00276D8F">
        <w:t xml:space="preserve">RIA (Ref. </w:t>
      </w:r>
      <w:r w:rsidRPr="00276D8F" w:rsidR="002C6430">
        <w:t>5</w:t>
      </w:r>
      <w:r w:rsidRPr="00276D8F">
        <w:t>).</w:t>
      </w:r>
    </w:p>
    <w:p w:rsidR="007C0AC0" w:rsidP="00026F9A" w14:paraId="05C949AA" w14:textId="77777777">
      <w:pPr>
        <w:spacing w:line="480" w:lineRule="auto"/>
        <w:ind w:firstLine="720"/>
      </w:pPr>
      <w:r>
        <w:t xml:space="preserve">Table </w:t>
      </w:r>
      <w:r w:rsidRPr="00B23A6A">
        <w:t>A1</w:t>
      </w:r>
      <w:r>
        <w:t xml:space="preserve"> presents updated counts of reported outbreaks, illnesses, hospitalizations, and deaths from covered non-sprout produce raw agricultural commodities (RACs) from 2009 to 2020. This table is analogous to Table 5 in the 2015 FRIA for non-sprout produce; we omit outbreak data for sprouts.</w:t>
      </w:r>
    </w:p>
    <w:p w:rsidR="007C0AC0" w:rsidP="00026F9A" w14:paraId="161BB7A2" w14:textId="4D9E8186">
      <w:r>
        <w:rPr>
          <w:rFonts w:eastAsia="Times New Roman"/>
          <w:b/>
          <w:bCs/>
          <w:color w:val="000000"/>
        </w:rPr>
        <w:t xml:space="preserve">Table A1: </w:t>
      </w:r>
      <w:r w:rsidRPr="00D2270B">
        <w:rPr>
          <w:rFonts w:eastAsia="Times New Roman"/>
          <w:b/>
          <w:bCs/>
          <w:color w:val="000000"/>
        </w:rPr>
        <w:t>FDA Outbreak Data, 2009-20</w:t>
      </w:r>
      <w:r w:rsidR="001C4460">
        <w:rPr>
          <w:rFonts w:eastAsia="Times New Roman"/>
          <w:b/>
          <w:bCs/>
          <w:color w:val="000000"/>
        </w:rPr>
        <w:t>20</w:t>
      </w:r>
      <w:r>
        <w:rPr>
          <w:rFonts w:eastAsia="Times New Roman"/>
          <w:b/>
          <w:bCs/>
          <w:color w:val="000000"/>
        </w:rPr>
        <w:t>.</w:t>
      </w:r>
    </w:p>
    <w:tbl>
      <w:tblPr>
        <w:tblW w:w="5000" w:type="pct"/>
        <w:tblLayout w:type="fixed"/>
        <w:tblLook w:val="04A0"/>
      </w:tblPr>
      <w:tblGrid>
        <w:gridCol w:w="1683"/>
        <w:gridCol w:w="2506"/>
        <w:gridCol w:w="1365"/>
        <w:gridCol w:w="875"/>
        <w:gridCol w:w="1950"/>
        <w:gridCol w:w="971"/>
      </w:tblGrid>
      <w:tr w14:paraId="4EBB921C" w14:textId="77777777">
        <w:tblPrEx>
          <w:tblW w:w="5000" w:type="pct"/>
          <w:tblLayout w:type="fixed"/>
          <w:tblLook w:val="04A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AC0" w:rsidRPr="00504543" w:rsidP="00026F9A" w14:paraId="40607028" w14:textId="77777777">
            <w:pPr>
              <w:rPr>
                <w:rFonts w:eastAsia="Times New Roman"/>
                <w:color w:val="000000"/>
                <w:sz w:val="22"/>
                <w:szCs w:val="22"/>
              </w:rPr>
            </w:pPr>
            <w:r w:rsidRPr="00504543">
              <w:rPr>
                <w:rFonts w:eastAsia="Times New Roman"/>
                <w:b/>
                <w:bCs/>
                <w:color w:val="000000"/>
                <w:sz w:val="22"/>
                <w:szCs w:val="22"/>
              </w:rPr>
              <w:t>Outbreak Data Attributed to Produce RACs Other Than Sprouts</w:t>
            </w:r>
          </w:p>
        </w:tc>
      </w:tr>
      <w:tr w14:paraId="32DD7E34" w14:textId="77777777">
        <w:tblPrEx>
          <w:tblW w:w="5000" w:type="pct"/>
          <w:tblLayout w:type="fixed"/>
          <w:tblLook w:val="04A0"/>
        </w:tblPrEx>
        <w:trPr>
          <w:trHeight w:val="288"/>
        </w:trPr>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AC0" w:rsidRPr="00504543" w:rsidP="00026F9A" w14:paraId="0CE12560" w14:textId="77777777">
            <w:pPr>
              <w:jc w:val="center"/>
              <w:rPr>
                <w:rFonts w:eastAsia="Times New Roman"/>
                <w:b/>
                <w:bCs/>
                <w:color w:val="000000"/>
                <w:sz w:val="22"/>
                <w:szCs w:val="22"/>
              </w:rPr>
            </w:pPr>
            <w:r w:rsidRPr="00504543">
              <w:rPr>
                <w:rFonts w:eastAsia="Times New Roman"/>
                <w:b/>
                <w:bCs/>
                <w:color w:val="000000"/>
                <w:sz w:val="22"/>
                <w:szCs w:val="22"/>
              </w:rPr>
              <w:t>Commodity</w:t>
            </w:r>
          </w:p>
        </w:tc>
        <w:tc>
          <w:tcPr>
            <w:tcW w:w="1340" w:type="pct"/>
            <w:tcBorders>
              <w:top w:val="single" w:sz="4" w:space="0" w:color="auto"/>
              <w:left w:val="nil"/>
              <w:bottom w:val="single" w:sz="4" w:space="0" w:color="auto"/>
              <w:right w:val="single" w:sz="4" w:space="0" w:color="auto"/>
            </w:tcBorders>
            <w:shd w:val="clear" w:color="auto" w:fill="auto"/>
            <w:noWrap/>
            <w:vAlign w:val="bottom"/>
            <w:hideMark/>
          </w:tcPr>
          <w:p w:rsidR="007C0AC0" w:rsidRPr="00504543" w:rsidP="00026F9A" w14:paraId="34638840" w14:textId="77777777">
            <w:pPr>
              <w:jc w:val="center"/>
              <w:rPr>
                <w:rFonts w:eastAsia="Times New Roman"/>
                <w:b/>
                <w:bCs/>
                <w:color w:val="000000"/>
                <w:sz w:val="22"/>
                <w:szCs w:val="22"/>
              </w:rPr>
            </w:pPr>
            <w:r w:rsidRPr="00504543">
              <w:rPr>
                <w:rFonts w:eastAsia="Times New Roman"/>
                <w:b/>
                <w:bCs/>
                <w:color w:val="000000"/>
                <w:sz w:val="22"/>
                <w:szCs w:val="22"/>
              </w:rPr>
              <w:t>Agent</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rsidR="007C0AC0" w:rsidRPr="00504543" w:rsidP="00026F9A" w14:paraId="696ED7D0" w14:textId="77777777">
            <w:pPr>
              <w:jc w:val="center"/>
              <w:rPr>
                <w:rFonts w:eastAsia="Times New Roman"/>
                <w:b/>
                <w:bCs/>
                <w:color w:val="000000"/>
                <w:sz w:val="22"/>
                <w:szCs w:val="22"/>
              </w:rPr>
            </w:pPr>
            <w:r w:rsidRPr="00504543">
              <w:rPr>
                <w:rFonts w:eastAsia="Times New Roman"/>
                <w:b/>
                <w:bCs/>
                <w:color w:val="000000"/>
                <w:sz w:val="22"/>
                <w:szCs w:val="22"/>
              </w:rPr>
              <w:t>Outbreaks</w:t>
            </w:r>
          </w:p>
        </w:tc>
        <w:tc>
          <w:tcPr>
            <w:tcW w:w="468" w:type="pct"/>
            <w:tcBorders>
              <w:top w:val="single" w:sz="4" w:space="0" w:color="auto"/>
              <w:left w:val="nil"/>
              <w:bottom w:val="single" w:sz="4" w:space="0" w:color="auto"/>
              <w:right w:val="single" w:sz="4" w:space="0" w:color="auto"/>
            </w:tcBorders>
            <w:shd w:val="clear" w:color="auto" w:fill="auto"/>
            <w:noWrap/>
            <w:vAlign w:val="bottom"/>
            <w:hideMark/>
          </w:tcPr>
          <w:p w:rsidR="007C0AC0" w:rsidRPr="00504543" w:rsidP="00026F9A" w14:paraId="5C5A3B39" w14:textId="77777777">
            <w:pPr>
              <w:jc w:val="center"/>
              <w:rPr>
                <w:rFonts w:eastAsia="Times New Roman"/>
                <w:b/>
                <w:bCs/>
                <w:color w:val="000000"/>
                <w:sz w:val="22"/>
                <w:szCs w:val="22"/>
              </w:rPr>
            </w:pPr>
            <w:r w:rsidRPr="00504543">
              <w:rPr>
                <w:rFonts w:eastAsia="Times New Roman"/>
                <w:b/>
                <w:bCs/>
                <w:color w:val="000000"/>
                <w:sz w:val="22"/>
                <w:szCs w:val="22"/>
              </w:rPr>
              <w:t>Cases</w:t>
            </w:r>
          </w:p>
        </w:tc>
        <w:tc>
          <w:tcPr>
            <w:tcW w:w="1043" w:type="pct"/>
            <w:tcBorders>
              <w:top w:val="single" w:sz="4" w:space="0" w:color="auto"/>
              <w:left w:val="nil"/>
              <w:bottom w:val="single" w:sz="4" w:space="0" w:color="auto"/>
              <w:right w:val="single" w:sz="4" w:space="0" w:color="auto"/>
            </w:tcBorders>
            <w:shd w:val="clear" w:color="auto" w:fill="auto"/>
            <w:noWrap/>
            <w:vAlign w:val="bottom"/>
            <w:hideMark/>
          </w:tcPr>
          <w:p w:rsidR="007C0AC0" w:rsidRPr="00504543" w:rsidP="00026F9A" w14:paraId="0C9EF2CB" w14:textId="77777777">
            <w:pPr>
              <w:jc w:val="center"/>
              <w:rPr>
                <w:rFonts w:eastAsia="Times New Roman"/>
                <w:b/>
                <w:bCs/>
                <w:color w:val="000000"/>
                <w:sz w:val="22"/>
                <w:szCs w:val="22"/>
              </w:rPr>
            </w:pPr>
            <w:r w:rsidRPr="00504543">
              <w:rPr>
                <w:rFonts w:eastAsia="Times New Roman"/>
                <w:b/>
                <w:bCs/>
                <w:color w:val="000000"/>
                <w:sz w:val="22"/>
                <w:szCs w:val="22"/>
              </w:rPr>
              <w:t>Hospitalizations</w:t>
            </w:r>
          </w:p>
        </w:tc>
        <w:tc>
          <w:tcPr>
            <w:tcW w:w="519" w:type="pct"/>
            <w:tcBorders>
              <w:top w:val="single" w:sz="4" w:space="0" w:color="auto"/>
              <w:left w:val="nil"/>
              <w:bottom w:val="single" w:sz="4" w:space="0" w:color="auto"/>
              <w:right w:val="single" w:sz="4" w:space="0" w:color="auto"/>
            </w:tcBorders>
            <w:shd w:val="clear" w:color="auto" w:fill="auto"/>
            <w:noWrap/>
            <w:vAlign w:val="bottom"/>
            <w:hideMark/>
          </w:tcPr>
          <w:p w:rsidR="007C0AC0" w:rsidRPr="00504543" w:rsidP="00026F9A" w14:paraId="48D51D9A" w14:textId="77777777">
            <w:pPr>
              <w:jc w:val="center"/>
              <w:rPr>
                <w:rFonts w:eastAsia="Times New Roman"/>
                <w:b/>
                <w:bCs/>
                <w:color w:val="000000"/>
                <w:sz w:val="22"/>
                <w:szCs w:val="22"/>
              </w:rPr>
            </w:pPr>
            <w:r w:rsidRPr="00504543">
              <w:rPr>
                <w:rFonts w:eastAsia="Times New Roman"/>
                <w:b/>
                <w:bCs/>
                <w:color w:val="000000"/>
                <w:sz w:val="22"/>
                <w:szCs w:val="22"/>
              </w:rPr>
              <w:t>Deaths</w:t>
            </w:r>
          </w:p>
        </w:tc>
      </w:tr>
      <w:tr w14:paraId="6BE58C5F"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763F61E3" w14:textId="77777777">
            <w:pPr>
              <w:jc w:val="center"/>
              <w:rPr>
                <w:rFonts w:eastAsia="Times New Roman"/>
                <w:color w:val="000000"/>
                <w:sz w:val="22"/>
                <w:szCs w:val="22"/>
              </w:rPr>
            </w:pPr>
            <w:r w:rsidRPr="00504543">
              <w:rPr>
                <w:rFonts w:eastAsia="Times New Roman"/>
                <w:color w:val="000000"/>
                <w:sz w:val="22"/>
                <w:szCs w:val="22"/>
              </w:rPr>
              <w:t>Berries</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89B28DD" w14:textId="77777777">
            <w:pPr>
              <w:jc w:val="center"/>
              <w:rPr>
                <w:rFonts w:eastAsia="Times New Roman"/>
                <w:i/>
                <w:iCs/>
                <w:color w:val="000000"/>
                <w:sz w:val="22"/>
                <w:szCs w:val="22"/>
              </w:rPr>
            </w:pPr>
            <w:r w:rsidRPr="00504543">
              <w:rPr>
                <w:rFonts w:eastAsia="Times New Roman"/>
                <w:i/>
                <w:iCs/>
                <w:color w:val="000000"/>
                <w:sz w:val="22"/>
                <w:szCs w:val="22"/>
              </w:rPr>
              <w:t>Cyclospora cayatenensis</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37B9999" w14:textId="77777777">
            <w:pPr>
              <w:jc w:val="center"/>
              <w:rPr>
                <w:rFonts w:eastAsia="Times New Roman"/>
                <w:color w:val="000000"/>
                <w:sz w:val="22"/>
                <w:szCs w:val="22"/>
              </w:rPr>
            </w:pPr>
            <w:r w:rsidRPr="00504543">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7C07166" w14:textId="77777777">
            <w:pPr>
              <w:jc w:val="center"/>
              <w:rPr>
                <w:rFonts w:eastAsia="Times New Roman"/>
                <w:color w:val="000000"/>
                <w:sz w:val="22"/>
                <w:szCs w:val="22"/>
              </w:rPr>
            </w:pPr>
            <w:r w:rsidRPr="00504543">
              <w:rPr>
                <w:rFonts w:eastAsia="Times New Roman"/>
                <w:color w:val="000000"/>
                <w:sz w:val="22"/>
                <w:szCs w:val="22"/>
              </w:rPr>
              <w:t>8</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5CCB48C5" w14:textId="77777777">
            <w:pPr>
              <w:jc w:val="center"/>
              <w:rPr>
                <w:rFonts w:eastAsia="Times New Roman"/>
                <w:color w:val="000000"/>
                <w:sz w:val="22"/>
                <w:szCs w:val="22"/>
              </w:rPr>
            </w:pPr>
            <w:r w:rsidRPr="00504543">
              <w:rPr>
                <w:rFonts w:eastAsia="Times New Roman"/>
                <w:color w:val="000000"/>
                <w:sz w:val="22"/>
                <w:szCs w:val="22"/>
              </w:rPr>
              <w:t>0</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DB38AEC" w14:textId="77777777">
            <w:pPr>
              <w:jc w:val="center"/>
              <w:rPr>
                <w:rFonts w:eastAsia="Times New Roman"/>
                <w:color w:val="000000"/>
                <w:sz w:val="22"/>
                <w:szCs w:val="22"/>
              </w:rPr>
            </w:pPr>
            <w:r w:rsidRPr="00504543">
              <w:rPr>
                <w:rFonts w:eastAsia="Times New Roman"/>
                <w:color w:val="000000"/>
                <w:sz w:val="22"/>
                <w:szCs w:val="22"/>
              </w:rPr>
              <w:t>0</w:t>
            </w:r>
          </w:p>
        </w:tc>
      </w:tr>
      <w:tr w14:paraId="615658AF"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60471677" w14:textId="77777777">
            <w:pPr>
              <w:jc w:val="center"/>
              <w:rPr>
                <w:rFonts w:eastAsia="Times New Roman"/>
                <w:color w:val="000000"/>
                <w:sz w:val="22"/>
                <w:szCs w:val="22"/>
              </w:rPr>
            </w:pPr>
            <w:r w:rsidRPr="00504543">
              <w:rPr>
                <w:rFonts w:eastAsia="Times New Roman"/>
                <w:color w:val="000000"/>
                <w:sz w:val="22"/>
                <w:szCs w:val="22"/>
              </w:rPr>
              <w:t>Herb</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235BA1C" w14:textId="77777777">
            <w:pPr>
              <w:jc w:val="center"/>
              <w:rPr>
                <w:rFonts w:eastAsia="Times New Roman"/>
                <w:i/>
                <w:iCs/>
                <w:color w:val="000000"/>
                <w:sz w:val="22"/>
                <w:szCs w:val="22"/>
              </w:rPr>
            </w:pPr>
            <w:r w:rsidRPr="00504543">
              <w:rPr>
                <w:rFonts w:eastAsia="Times New Roman"/>
                <w:i/>
                <w:iCs/>
                <w:color w:val="000000"/>
                <w:sz w:val="22"/>
                <w:szCs w:val="22"/>
              </w:rPr>
              <w:t>Cyclospora cayatenensis</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023186B6" w14:textId="77777777">
            <w:pPr>
              <w:jc w:val="center"/>
              <w:rPr>
                <w:rFonts w:eastAsia="Times New Roman"/>
                <w:color w:val="000000"/>
                <w:sz w:val="22"/>
                <w:szCs w:val="22"/>
              </w:rPr>
            </w:pPr>
            <w:r>
              <w:rPr>
                <w:rFonts w:eastAsia="Times New Roman"/>
                <w:color w:val="000000"/>
                <w:sz w:val="22"/>
                <w:szCs w:val="22"/>
              </w:rPr>
              <w:t>8</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4109B2FB" w14:textId="77777777">
            <w:pPr>
              <w:jc w:val="center"/>
              <w:rPr>
                <w:rFonts w:eastAsia="Times New Roman"/>
                <w:color w:val="000000"/>
                <w:sz w:val="22"/>
                <w:szCs w:val="22"/>
              </w:rPr>
            </w:pPr>
            <w:r>
              <w:rPr>
                <w:rFonts w:eastAsia="Times New Roman"/>
                <w:color w:val="000000"/>
                <w:sz w:val="22"/>
                <w:szCs w:val="22"/>
              </w:rPr>
              <w:t>1,183</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2C24303D" w14:textId="77777777">
            <w:pPr>
              <w:jc w:val="center"/>
              <w:rPr>
                <w:rFonts w:eastAsia="Times New Roman"/>
                <w:color w:val="000000"/>
                <w:sz w:val="22"/>
                <w:szCs w:val="22"/>
              </w:rPr>
            </w:pPr>
            <w:r>
              <w:rPr>
                <w:rFonts w:eastAsia="Times New Roman"/>
                <w:color w:val="000000"/>
                <w:sz w:val="22"/>
                <w:szCs w:val="22"/>
              </w:rPr>
              <w:t>13</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35B519B" w14:textId="77777777">
            <w:pPr>
              <w:jc w:val="center"/>
              <w:rPr>
                <w:rFonts w:eastAsia="Times New Roman"/>
                <w:color w:val="000000"/>
                <w:sz w:val="22"/>
                <w:szCs w:val="22"/>
              </w:rPr>
            </w:pPr>
            <w:r w:rsidRPr="00504543">
              <w:rPr>
                <w:rFonts w:eastAsia="Times New Roman"/>
                <w:color w:val="000000"/>
                <w:sz w:val="22"/>
                <w:szCs w:val="22"/>
              </w:rPr>
              <w:t>0</w:t>
            </w:r>
          </w:p>
        </w:tc>
      </w:tr>
      <w:tr w14:paraId="5BD2BD0C"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48952650" w14:textId="77777777">
            <w:pPr>
              <w:jc w:val="center"/>
              <w:rPr>
                <w:rFonts w:eastAsia="Times New Roman"/>
                <w:color w:val="000000"/>
                <w:sz w:val="22"/>
                <w:szCs w:val="22"/>
              </w:rPr>
            </w:pPr>
            <w:r w:rsidRPr="00504543">
              <w:rPr>
                <w:rFonts w:eastAsia="Times New Roman"/>
                <w:color w:val="000000"/>
                <w:sz w:val="22"/>
                <w:szCs w:val="22"/>
              </w:rPr>
              <w:t>Mixed</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CEBA4C1" w14:textId="77777777">
            <w:pPr>
              <w:jc w:val="center"/>
              <w:rPr>
                <w:rFonts w:eastAsia="Times New Roman"/>
                <w:i/>
                <w:iCs/>
                <w:color w:val="000000"/>
                <w:sz w:val="22"/>
                <w:szCs w:val="22"/>
              </w:rPr>
            </w:pPr>
            <w:r w:rsidRPr="00504543">
              <w:rPr>
                <w:rFonts w:eastAsia="Times New Roman"/>
                <w:i/>
                <w:iCs/>
                <w:color w:val="000000"/>
                <w:sz w:val="22"/>
                <w:szCs w:val="22"/>
              </w:rPr>
              <w:t>Cyclospora cayatenensis</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71C43DA" w14:textId="77777777">
            <w:pPr>
              <w:jc w:val="center"/>
              <w:rPr>
                <w:rFonts w:eastAsia="Times New Roman"/>
                <w:color w:val="000000"/>
                <w:sz w:val="22"/>
                <w:szCs w:val="22"/>
              </w:rPr>
            </w:pPr>
            <w:r>
              <w:rPr>
                <w:rFonts w:eastAsia="Times New Roman"/>
                <w:color w:val="000000"/>
                <w:sz w:val="22"/>
                <w:szCs w:val="22"/>
              </w:rPr>
              <w:t>2</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263BD77" w14:textId="77777777">
            <w:pPr>
              <w:jc w:val="center"/>
              <w:rPr>
                <w:rFonts w:eastAsia="Times New Roman"/>
                <w:color w:val="000000"/>
                <w:sz w:val="22"/>
                <w:szCs w:val="22"/>
              </w:rPr>
            </w:pPr>
            <w:r>
              <w:rPr>
                <w:rFonts w:eastAsia="Times New Roman"/>
                <w:color w:val="000000"/>
                <w:sz w:val="22"/>
                <w:szCs w:val="22"/>
              </w:rPr>
              <w:t>631</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7684BB5" w14:textId="77777777">
            <w:pPr>
              <w:jc w:val="center"/>
              <w:rPr>
                <w:rFonts w:eastAsia="Times New Roman"/>
                <w:color w:val="000000"/>
                <w:sz w:val="22"/>
                <w:szCs w:val="22"/>
              </w:rPr>
            </w:pPr>
            <w:r w:rsidRPr="00504543">
              <w:rPr>
                <w:rFonts w:eastAsia="Times New Roman"/>
                <w:color w:val="000000"/>
                <w:sz w:val="22"/>
                <w:szCs w:val="22"/>
              </w:rPr>
              <w:t>39</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72D318D" w14:textId="77777777">
            <w:pPr>
              <w:jc w:val="center"/>
              <w:rPr>
                <w:rFonts w:eastAsia="Times New Roman"/>
                <w:color w:val="000000"/>
                <w:sz w:val="22"/>
                <w:szCs w:val="22"/>
              </w:rPr>
            </w:pPr>
            <w:r w:rsidRPr="00504543">
              <w:rPr>
                <w:rFonts w:eastAsia="Times New Roman"/>
                <w:color w:val="000000"/>
                <w:sz w:val="22"/>
                <w:szCs w:val="22"/>
              </w:rPr>
              <w:t>0</w:t>
            </w:r>
          </w:p>
        </w:tc>
      </w:tr>
      <w:tr w14:paraId="6BF73B05"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3EAB527F" w14:textId="77777777">
            <w:pPr>
              <w:jc w:val="center"/>
              <w:rPr>
                <w:rFonts w:eastAsia="Times New Roman"/>
                <w:color w:val="000000"/>
                <w:sz w:val="22"/>
                <w:szCs w:val="22"/>
              </w:rPr>
            </w:pPr>
            <w:r>
              <w:rPr>
                <w:rFonts w:eastAsia="Times New Roman"/>
                <w:color w:val="000000"/>
                <w:sz w:val="22"/>
                <w:szCs w:val="22"/>
              </w:rPr>
              <w:t>Leafy greens</w:t>
            </w:r>
          </w:p>
        </w:tc>
        <w:tc>
          <w:tcPr>
            <w:tcW w:w="1340" w:type="pct"/>
            <w:tcBorders>
              <w:top w:val="nil"/>
              <w:left w:val="nil"/>
              <w:bottom w:val="single" w:sz="4" w:space="0" w:color="auto"/>
              <w:right w:val="single" w:sz="4" w:space="0" w:color="auto"/>
            </w:tcBorders>
            <w:shd w:val="clear" w:color="auto" w:fill="auto"/>
            <w:noWrap/>
            <w:vAlign w:val="bottom"/>
          </w:tcPr>
          <w:p w:rsidR="007C0AC0" w:rsidRPr="00504543" w:rsidP="00026F9A" w14:paraId="4D88A382" w14:textId="77777777">
            <w:pPr>
              <w:jc w:val="center"/>
              <w:rPr>
                <w:rFonts w:eastAsia="Times New Roman"/>
                <w:i/>
                <w:iCs/>
                <w:color w:val="000000"/>
                <w:sz w:val="22"/>
                <w:szCs w:val="22"/>
              </w:rPr>
            </w:pPr>
            <w:r w:rsidRPr="00504543">
              <w:rPr>
                <w:rFonts w:eastAsia="Times New Roman"/>
                <w:i/>
                <w:iCs/>
                <w:color w:val="000000"/>
                <w:sz w:val="22"/>
                <w:szCs w:val="22"/>
              </w:rPr>
              <w:t>Cyclospora cayatenensis</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0DF5961C" w14:textId="77777777">
            <w:pPr>
              <w:jc w:val="center"/>
              <w:rPr>
                <w:rFonts w:eastAsia="Times New Roman"/>
                <w:color w:val="000000"/>
                <w:sz w:val="22"/>
                <w:szCs w:val="22"/>
              </w:rPr>
            </w:pPr>
            <w:r>
              <w:rPr>
                <w:rFonts w:eastAsia="Times New Roman"/>
                <w:color w:val="000000"/>
                <w:sz w:val="22"/>
                <w:szCs w:val="22"/>
              </w:rPr>
              <w:t>2</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218C6885" w14:textId="77777777">
            <w:pPr>
              <w:jc w:val="center"/>
              <w:rPr>
                <w:rFonts w:eastAsia="Times New Roman"/>
                <w:color w:val="000000"/>
                <w:sz w:val="22"/>
                <w:szCs w:val="22"/>
              </w:rPr>
            </w:pPr>
            <w:r>
              <w:rPr>
                <w:rFonts w:eastAsia="Times New Roman"/>
                <w:color w:val="000000"/>
                <w:sz w:val="22"/>
                <w:szCs w:val="22"/>
              </w:rPr>
              <w:t>737</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22928093" w14:textId="77777777">
            <w:pPr>
              <w:jc w:val="center"/>
              <w:rPr>
                <w:rFonts w:eastAsia="Times New Roman"/>
                <w:color w:val="000000"/>
                <w:sz w:val="22"/>
                <w:szCs w:val="22"/>
              </w:rPr>
            </w:pPr>
            <w:r>
              <w:rPr>
                <w:rFonts w:eastAsia="Times New Roman"/>
                <w:color w:val="000000"/>
                <w:sz w:val="22"/>
                <w:szCs w:val="22"/>
              </w:rPr>
              <w:t>38</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695B3B1A" w14:textId="77777777">
            <w:pPr>
              <w:jc w:val="center"/>
              <w:rPr>
                <w:rFonts w:eastAsia="Times New Roman"/>
                <w:color w:val="000000"/>
                <w:sz w:val="22"/>
                <w:szCs w:val="22"/>
              </w:rPr>
            </w:pPr>
            <w:r>
              <w:rPr>
                <w:rFonts w:eastAsia="Times New Roman"/>
                <w:color w:val="000000"/>
                <w:sz w:val="22"/>
                <w:szCs w:val="22"/>
              </w:rPr>
              <w:t>0</w:t>
            </w:r>
          </w:p>
        </w:tc>
      </w:tr>
      <w:tr w14:paraId="2A685553"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06A02236" w14:textId="77777777">
            <w:pPr>
              <w:jc w:val="center"/>
              <w:rPr>
                <w:rFonts w:eastAsia="Times New Roman"/>
                <w:color w:val="000000"/>
                <w:sz w:val="22"/>
                <w:szCs w:val="22"/>
              </w:rPr>
            </w:pPr>
            <w:r w:rsidRPr="00504543">
              <w:rPr>
                <w:rFonts w:eastAsia="Times New Roman"/>
                <w:color w:val="000000"/>
                <w:sz w:val="22"/>
                <w:szCs w:val="22"/>
              </w:rPr>
              <w:t>Nut*</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84D1A9A" w14:textId="77777777">
            <w:pPr>
              <w:jc w:val="center"/>
              <w:rPr>
                <w:rFonts w:eastAsia="Times New Roman"/>
                <w:i/>
                <w:iCs/>
                <w:color w:val="000000"/>
                <w:sz w:val="22"/>
                <w:szCs w:val="22"/>
              </w:rPr>
            </w:pPr>
            <w:r w:rsidRPr="00504543">
              <w:rPr>
                <w:rFonts w:eastAsia="Times New Roman"/>
                <w:i/>
                <w:iCs/>
                <w:color w:val="000000"/>
                <w:sz w:val="22"/>
                <w:szCs w:val="22"/>
              </w:rPr>
              <w:t>E. coli O157:H7</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51026D7F" w14:textId="77777777">
            <w:pPr>
              <w:jc w:val="center"/>
              <w:rPr>
                <w:rFonts w:eastAsia="Times New Roman"/>
                <w:color w:val="000000"/>
                <w:sz w:val="22"/>
                <w:szCs w:val="22"/>
              </w:rPr>
            </w:pPr>
            <w:r w:rsidRPr="00504543">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52F7C06" w14:textId="77777777">
            <w:pPr>
              <w:jc w:val="center"/>
              <w:rPr>
                <w:rFonts w:eastAsia="Times New Roman"/>
                <w:color w:val="000000"/>
                <w:sz w:val="22"/>
                <w:szCs w:val="22"/>
              </w:rPr>
            </w:pPr>
            <w:r w:rsidRPr="00504543">
              <w:rPr>
                <w:rFonts w:eastAsia="Times New Roman"/>
                <w:color w:val="000000"/>
                <w:sz w:val="22"/>
                <w:szCs w:val="22"/>
              </w:rPr>
              <w:t>8*</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9B5D8AE" w14:textId="77777777">
            <w:pPr>
              <w:jc w:val="center"/>
              <w:rPr>
                <w:rFonts w:eastAsia="Times New Roman"/>
                <w:color w:val="000000"/>
                <w:sz w:val="22"/>
                <w:szCs w:val="22"/>
              </w:rPr>
            </w:pPr>
            <w:r w:rsidRPr="00504543">
              <w:rPr>
                <w:rFonts w:eastAsia="Times New Roman"/>
                <w:color w:val="000000"/>
                <w:sz w:val="22"/>
                <w:szCs w:val="22"/>
              </w:rPr>
              <w:t>3*</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04677A3" w14:textId="77777777">
            <w:pPr>
              <w:jc w:val="center"/>
              <w:rPr>
                <w:rFonts w:eastAsia="Times New Roman"/>
                <w:color w:val="000000"/>
                <w:sz w:val="22"/>
                <w:szCs w:val="22"/>
              </w:rPr>
            </w:pPr>
            <w:r w:rsidRPr="00504543">
              <w:rPr>
                <w:rFonts w:eastAsia="Times New Roman"/>
                <w:color w:val="000000"/>
                <w:sz w:val="22"/>
                <w:szCs w:val="22"/>
              </w:rPr>
              <w:t>0*</w:t>
            </w:r>
          </w:p>
        </w:tc>
      </w:tr>
      <w:tr w14:paraId="0C5BCFBF"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7F9E11F7" w14:textId="77777777">
            <w:pPr>
              <w:jc w:val="center"/>
              <w:rPr>
                <w:rFonts w:eastAsia="Times New Roman"/>
                <w:color w:val="000000"/>
                <w:sz w:val="22"/>
                <w:szCs w:val="22"/>
              </w:rPr>
            </w:pPr>
            <w:r w:rsidRPr="00504543">
              <w:rPr>
                <w:rFonts w:eastAsia="Times New Roman"/>
                <w:color w:val="000000"/>
                <w:sz w:val="22"/>
                <w:szCs w:val="22"/>
              </w:rPr>
              <w:t>Cucumber</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E241D86" w14:textId="77777777">
            <w:pPr>
              <w:jc w:val="center"/>
              <w:rPr>
                <w:rFonts w:eastAsia="Times New Roman"/>
                <w:i/>
                <w:iCs/>
                <w:color w:val="000000"/>
                <w:sz w:val="22"/>
                <w:szCs w:val="22"/>
              </w:rPr>
            </w:pPr>
            <w:r w:rsidRPr="00504543">
              <w:rPr>
                <w:rFonts w:eastAsia="Times New Roman"/>
                <w:i/>
                <w:iCs/>
                <w:color w:val="000000"/>
                <w:sz w:val="22"/>
                <w:szCs w:val="22"/>
              </w:rPr>
              <w:t>E. coli O157:H7</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A8D93FD" w14:textId="77777777">
            <w:pPr>
              <w:jc w:val="center"/>
              <w:rPr>
                <w:rFonts w:eastAsia="Times New Roman"/>
                <w:color w:val="000000"/>
                <w:sz w:val="22"/>
                <w:szCs w:val="22"/>
              </w:rPr>
            </w:pPr>
            <w:r w:rsidRPr="00504543">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47349EC" w14:textId="77777777">
            <w:pPr>
              <w:jc w:val="center"/>
              <w:rPr>
                <w:rFonts w:eastAsia="Times New Roman"/>
                <w:color w:val="000000"/>
                <w:sz w:val="22"/>
                <w:szCs w:val="22"/>
              </w:rPr>
            </w:pPr>
            <w:r w:rsidRPr="00504543">
              <w:rPr>
                <w:rFonts w:eastAsia="Times New Roman"/>
                <w:color w:val="000000"/>
                <w:sz w:val="22"/>
                <w:szCs w:val="22"/>
              </w:rPr>
              <w:t>8</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5E7A3B2" w14:textId="77777777">
            <w:pPr>
              <w:jc w:val="center"/>
              <w:rPr>
                <w:rFonts w:eastAsia="Times New Roman"/>
                <w:color w:val="000000"/>
                <w:sz w:val="22"/>
                <w:szCs w:val="22"/>
              </w:rPr>
            </w:pPr>
            <w:r w:rsidRPr="00504543">
              <w:rPr>
                <w:rFonts w:eastAsia="Times New Roman"/>
                <w:color w:val="000000"/>
                <w:sz w:val="22"/>
                <w:szCs w:val="22"/>
              </w:rPr>
              <w:t>1</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527FD002" w14:textId="77777777">
            <w:pPr>
              <w:jc w:val="center"/>
              <w:rPr>
                <w:rFonts w:eastAsia="Times New Roman"/>
                <w:color w:val="000000"/>
                <w:sz w:val="22"/>
                <w:szCs w:val="22"/>
              </w:rPr>
            </w:pPr>
            <w:r w:rsidRPr="00504543">
              <w:rPr>
                <w:rFonts w:eastAsia="Times New Roman"/>
                <w:color w:val="000000"/>
                <w:sz w:val="22"/>
                <w:szCs w:val="22"/>
              </w:rPr>
              <w:t>0</w:t>
            </w:r>
          </w:p>
        </w:tc>
      </w:tr>
      <w:tr w14:paraId="30DFDC77"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393D7EE5" w14:textId="77777777">
            <w:pPr>
              <w:jc w:val="center"/>
              <w:rPr>
                <w:rFonts w:eastAsia="Times New Roman"/>
                <w:color w:val="000000"/>
                <w:sz w:val="22"/>
                <w:szCs w:val="22"/>
              </w:rPr>
            </w:pPr>
            <w:r>
              <w:rPr>
                <w:rFonts w:eastAsia="Times New Roman"/>
                <w:color w:val="000000"/>
                <w:sz w:val="22"/>
                <w:szCs w:val="22"/>
              </w:rPr>
              <w:t>Leafy greens</w:t>
            </w:r>
          </w:p>
        </w:tc>
        <w:tc>
          <w:tcPr>
            <w:tcW w:w="1340" w:type="pct"/>
            <w:tcBorders>
              <w:top w:val="nil"/>
              <w:left w:val="nil"/>
              <w:bottom w:val="single" w:sz="4" w:space="0" w:color="auto"/>
              <w:right w:val="single" w:sz="4" w:space="0" w:color="auto"/>
            </w:tcBorders>
            <w:shd w:val="clear" w:color="auto" w:fill="auto"/>
            <w:noWrap/>
            <w:vAlign w:val="bottom"/>
          </w:tcPr>
          <w:p w:rsidR="007C0AC0" w:rsidRPr="00504543" w:rsidP="00026F9A" w14:paraId="0739ECFD" w14:textId="77777777">
            <w:pPr>
              <w:jc w:val="center"/>
              <w:rPr>
                <w:rFonts w:eastAsia="Times New Roman"/>
                <w:i/>
                <w:iCs/>
                <w:color w:val="000000"/>
                <w:sz w:val="22"/>
                <w:szCs w:val="22"/>
              </w:rPr>
            </w:pPr>
            <w:r w:rsidRPr="00504543">
              <w:rPr>
                <w:rFonts w:eastAsia="Times New Roman"/>
                <w:i/>
                <w:iCs/>
                <w:color w:val="000000"/>
                <w:sz w:val="22"/>
                <w:szCs w:val="22"/>
              </w:rPr>
              <w:t>E. coli O157:H7</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54455890" w14:textId="77777777">
            <w:pPr>
              <w:jc w:val="center"/>
              <w:rPr>
                <w:rFonts w:eastAsia="Times New Roman"/>
                <w:color w:val="000000"/>
                <w:sz w:val="22"/>
                <w:szCs w:val="22"/>
              </w:rPr>
            </w:pPr>
            <w:r>
              <w:rPr>
                <w:rFonts w:eastAsia="Times New Roman"/>
                <w:color w:val="000000"/>
                <w:sz w:val="22"/>
                <w:szCs w:val="22"/>
              </w:rPr>
              <w:t>9</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03635E10" w14:textId="77777777">
            <w:pPr>
              <w:jc w:val="center"/>
              <w:rPr>
                <w:rFonts w:eastAsia="Times New Roman"/>
                <w:color w:val="000000"/>
                <w:sz w:val="22"/>
                <w:szCs w:val="22"/>
              </w:rPr>
            </w:pPr>
            <w:r>
              <w:rPr>
                <w:rFonts w:eastAsia="Times New Roman"/>
                <w:color w:val="000000"/>
                <w:sz w:val="22"/>
                <w:szCs w:val="22"/>
              </w:rPr>
              <w:t>350</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161C45CF" w14:textId="77777777">
            <w:pPr>
              <w:jc w:val="center"/>
              <w:rPr>
                <w:rFonts w:eastAsia="Times New Roman"/>
                <w:color w:val="000000"/>
                <w:sz w:val="22"/>
                <w:szCs w:val="22"/>
              </w:rPr>
            </w:pPr>
            <w:r>
              <w:rPr>
                <w:rFonts w:eastAsia="Times New Roman"/>
                <w:color w:val="000000"/>
                <w:sz w:val="22"/>
                <w:szCs w:val="22"/>
              </w:rPr>
              <w:t>165</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55AEE04D" w14:textId="77777777">
            <w:pPr>
              <w:jc w:val="center"/>
              <w:rPr>
                <w:rFonts w:eastAsia="Times New Roman"/>
                <w:color w:val="000000"/>
                <w:sz w:val="22"/>
                <w:szCs w:val="22"/>
              </w:rPr>
            </w:pPr>
            <w:r>
              <w:rPr>
                <w:rFonts w:eastAsia="Times New Roman"/>
                <w:color w:val="000000"/>
                <w:sz w:val="22"/>
                <w:szCs w:val="22"/>
              </w:rPr>
              <w:t>0</w:t>
            </w:r>
          </w:p>
        </w:tc>
      </w:tr>
      <w:tr w14:paraId="18E0890B"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171989B0" w14:textId="77777777">
            <w:pPr>
              <w:jc w:val="center"/>
              <w:rPr>
                <w:rFonts w:eastAsia="Times New Roman"/>
                <w:color w:val="000000"/>
                <w:sz w:val="22"/>
                <w:szCs w:val="22"/>
              </w:rPr>
            </w:pPr>
            <w:r w:rsidRPr="00504543">
              <w:rPr>
                <w:rFonts w:eastAsia="Times New Roman"/>
                <w:color w:val="000000"/>
                <w:sz w:val="22"/>
                <w:szCs w:val="22"/>
              </w:rPr>
              <w:t>Green cabbage</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9C3F137" w14:textId="77777777">
            <w:pPr>
              <w:jc w:val="center"/>
              <w:rPr>
                <w:rFonts w:eastAsia="Times New Roman"/>
                <w:i/>
                <w:iCs/>
                <w:color w:val="000000"/>
                <w:sz w:val="22"/>
                <w:szCs w:val="22"/>
              </w:rPr>
            </w:pPr>
            <w:r w:rsidRPr="00504543">
              <w:rPr>
                <w:rFonts w:eastAsia="Times New Roman"/>
                <w:i/>
                <w:iCs/>
                <w:color w:val="000000"/>
                <w:sz w:val="22"/>
                <w:szCs w:val="22"/>
              </w:rPr>
              <w:t>E. coli O111</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D09A15F" w14:textId="77777777">
            <w:pPr>
              <w:jc w:val="center"/>
              <w:rPr>
                <w:rFonts w:eastAsia="Times New Roman"/>
                <w:color w:val="000000"/>
                <w:sz w:val="22"/>
                <w:szCs w:val="22"/>
              </w:rPr>
            </w:pPr>
            <w:r w:rsidRPr="00504543">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580A3E8" w14:textId="77777777">
            <w:pPr>
              <w:jc w:val="center"/>
              <w:rPr>
                <w:rFonts w:eastAsia="Times New Roman"/>
                <w:color w:val="000000"/>
                <w:sz w:val="22"/>
                <w:szCs w:val="22"/>
              </w:rPr>
            </w:pPr>
            <w:r w:rsidRPr="00504543">
              <w:rPr>
                <w:rFonts w:eastAsia="Times New Roman"/>
                <w:color w:val="000000"/>
                <w:sz w:val="22"/>
                <w:szCs w:val="22"/>
              </w:rPr>
              <w:t>18</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31CF8C9" w14:textId="77777777">
            <w:pPr>
              <w:jc w:val="center"/>
              <w:rPr>
                <w:rFonts w:eastAsia="Times New Roman"/>
                <w:color w:val="000000"/>
                <w:sz w:val="22"/>
                <w:szCs w:val="22"/>
              </w:rPr>
            </w:pPr>
            <w:r w:rsidRPr="00504543">
              <w:rPr>
                <w:rFonts w:eastAsia="Times New Roman"/>
                <w:color w:val="000000"/>
                <w:sz w:val="22"/>
                <w:szCs w:val="22"/>
              </w:rPr>
              <w:t>4</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9811A72" w14:textId="77777777">
            <w:pPr>
              <w:jc w:val="center"/>
              <w:rPr>
                <w:rFonts w:eastAsia="Times New Roman"/>
                <w:color w:val="000000"/>
                <w:sz w:val="22"/>
                <w:szCs w:val="22"/>
              </w:rPr>
            </w:pPr>
            <w:r w:rsidRPr="00504543">
              <w:rPr>
                <w:rFonts w:eastAsia="Times New Roman"/>
                <w:color w:val="000000"/>
                <w:sz w:val="22"/>
                <w:szCs w:val="22"/>
              </w:rPr>
              <w:t>0</w:t>
            </w:r>
          </w:p>
        </w:tc>
      </w:tr>
      <w:tr w14:paraId="5D5EE4E7"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78F6279C" w14:textId="77777777">
            <w:pPr>
              <w:jc w:val="center"/>
              <w:rPr>
                <w:rFonts w:eastAsia="Times New Roman"/>
                <w:color w:val="000000"/>
                <w:sz w:val="22"/>
                <w:szCs w:val="22"/>
              </w:rPr>
            </w:pPr>
            <w:r>
              <w:rPr>
                <w:rFonts w:eastAsia="Times New Roman"/>
                <w:color w:val="000000"/>
                <w:sz w:val="22"/>
                <w:szCs w:val="22"/>
              </w:rPr>
              <w:t>Leafy greens</w:t>
            </w:r>
          </w:p>
        </w:tc>
        <w:tc>
          <w:tcPr>
            <w:tcW w:w="1340" w:type="pct"/>
            <w:tcBorders>
              <w:top w:val="nil"/>
              <w:left w:val="nil"/>
              <w:bottom w:val="single" w:sz="4" w:space="0" w:color="auto"/>
              <w:right w:val="single" w:sz="4" w:space="0" w:color="auto"/>
            </w:tcBorders>
            <w:shd w:val="clear" w:color="auto" w:fill="auto"/>
            <w:noWrap/>
            <w:vAlign w:val="bottom"/>
          </w:tcPr>
          <w:p w:rsidR="007C0AC0" w:rsidRPr="00504543" w:rsidP="00026F9A" w14:paraId="165A89DB" w14:textId="77777777">
            <w:pPr>
              <w:jc w:val="center"/>
              <w:rPr>
                <w:rFonts w:eastAsia="Times New Roman"/>
                <w:i/>
                <w:iCs/>
                <w:color w:val="000000"/>
                <w:sz w:val="22"/>
                <w:szCs w:val="22"/>
              </w:rPr>
            </w:pPr>
            <w:r w:rsidRPr="00504543">
              <w:rPr>
                <w:rFonts w:eastAsia="Times New Roman"/>
                <w:i/>
                <w:iCs/>
                <w:color w:val="000000"/>
                <w:sz w:val="22"/>
                <w:szCs w:val="22"/>
              </w:rPr>
              <w:t>E. coli O111</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2A67458A" w14:textId="77777777">
            <w:pPr>
              <w:jc w:val="center"/>
              <w:rPr>
                <w:rFonts w:eastAsia="Times New Roman"/>
                <w:color w:val="000000"/>
                <w:sz w:val="22"/>
                <w:szCs w:val="22"/>
              </w:rPr>
            </w:pPr>
            <w:r>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56E394B3" w14:textId="77777777">
            <w:pPr>
              <w:jc w:val="center"/>
              <w:rPr>
                <w:rFonts w:eastAsia="Times New Roman"/>
                <w:color w:val="000000"/>
                <w:sz w:val="22"/>
                <w:szCs w:val="22"/>
              </w:rPr>
            </w:pPr>
            <w:r>
              <w:rPr>
                <w:rFonts w:eastAsia="Times New Roman"/>
                <w:color w:val="000000"/>
                <w:sz w:val="22"/>
                <w:szCs w:val="22"/>
              </w:rPr>
              <w:t>10</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73CC817F" w14:textId="77777777">
            <w:pPr>
              <w:jc w:val="center"/>
              <w:rPr>
                <w:rFonts w:eastAsia="Times New Roman"/>
                <w:color w:val="000000"/>
                <w:sz w:val="22"/>
                <w:szCs w:val="22"/>
              </w:rPr>
            </w:pPr>
            <w:r>
              <w:rPr>
                <w:rFonts w:eastAsia="Times New Roman"/>
                <w:color w:val="000000"/>
                <w:sz w:val="22"/>
                <w:szCs w:val="22"/>
              </w:rPr>
              <w:t>3</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0790E99D" w14:textId="77777777">
            <w:pPr>
              <w:jc w:val="center"/>
              <w:rPr>
                <w:rFonts w:eastAsia="Times New Roman"/>
                <w:color w:val="000000"/>
                <w:sz w:val="22"/>
                <w:szCs w:val="22"/>
              </w:rPr>
            </w:pPr>
            <w:r>
              <w:rPr>
                <w:rFonts w:eastAsia="Times New Roman"/>
                <w:color w:val="000000"/>
                <w:sz w:val="22"/>
                <w:szCs w:val="22"/>
              </w:rPr>
              <w:t>0</w:t>
            </w:r>
          </w:p>
        </w:tc>
      </w:tr>
      <w:tr w14:paraId="229A929E"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1C806CF4" w14:textId="77777777">
            <w:pPr>
              <w:jc w:val="center"/>
              <w:rPr>
                <w:rFonts w:eastAsia="Times New Roman"/>
                <w:color w:val="000000"/>
                <w:sz w:val="22"/>
                <w:szCs w:val="22"/>
              </w:rPr>
            </w:pPr>
            <w:r w:rsidRPr="00504543">
              <w:rPr>
                <w:rFonts w:eastAsia="Times New Roman"/>
                <w:color w:val="000000"/>
                <w:sz w:val="22"/>
                <w:szCs w:val="22"/>
              </w:rPr>
              <w:t>Cantaloupe</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0F25DB" w:rsidP="00026F9A" w14:paraId="05E089DC" w14:textId="77777777">
            <w:pPr>
              <w:jc w:val="center"/>
              <w:rPr>
                <w:rFonts w:eastAsia="Times New Roman"/>
                <w:i/>
                <w:iCs/>
                <w:color w:val="000000"/>
                <w:sz w:val="22"/>
                <w:szCs w:val="22"/>
              </w:rPr>
            </w:pPr>
            <w:r w:rsidRPr="000F25DB">
              <w:rPr>
                <w:rFonts w:eastAsia="Times New Roman"/>
                <w:i/>
                <w:iCs/>
                <w:color w:val="000000"/>
                <w:sz w:val="22"/>
                <w:szCs w:val="22"/>
              </w:rPr>
              <w:t>Listeria monocytogenes</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2157FC3" w14:textId="77777777">
            <w:pPr>
              <w:jc w:val="center"/>
              <w:rPr>
                <w:rFonts w:eastAsia="Times New Roman"/>
                <w:color w:val="000000"/>
                <w:sz w:val="22"/>
                <w:szCs w:val="22"/>
              </w:rPr>
            </w:pPr>
            <w:r w:rsidRPr="00504543">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5DD31037" w14:textId="77777777">
            <w:pPr>
              <w:jc w:val="center"/>
              <w:rPr>
                <w:rFonts w:eastAsia="Times New Roman"/>
                <w:color w:val="000000"/>
                <w:sz w:val="22"/>
                <w:szCs w:val="22"/>
              </w:rPr>
            </w:pPr>
            <w:r w:rsidRPr="00504543">
              <w:rPr>
                <w:rFonts w:eastAsia="Times New Roman"/>
                <w:color w:val="000000"/>
                <w:sz w:val="22"/>
                <w:szCs w:val="22"/>
              </w:rPr>
              <w:t>147</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521E68D" w14:textId="77777777">
            <w:pPr>
              <w:jc w:val="center"/>
              <w:rPr>
                <w:rFonts w:eastAsia="Times New Roman"/>
                <w:color w:val="000000"/>
                <w:sz w:val="22"/>
                <w:szCs w:val="22"/>
              </w:rPr>
            </w:pPr>
            <w:r w:rsidRPr="00504543">
              <w:rPr>
                <w:rFonts w:eastAsia="Times New Roman"/>
                <w:color w:val="000000"/>
                <w:sz w:val="22"/>
                <w:szCs w:val="22"/>
              </w:rPr>
              <w:t>143</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096572A" w14:textId="77777777">
            <w:pPr>
              <w:jc w:val="center"/>
              <w:rPr>
                <w:rFonts w:eastAsia="Times New Roman"/>
                <w:color w:val="000000"/>
                <w:sz w:val="22"/>
                <w:szCs w:val="22"/>
              </w:rPr>
            </w:pPr>
            <w:r w:rsidRPr="00504543">
              <w:rPr>
                <w:rFonts w:eastAsia="Times New Roman"/>
                <w:color w:val="000000"/>
                <w:sz w:val="22"/>
                <w:szCs w:val="22"/>
              </w:rPr>
              <w:t>33</w:t>
            </w:r>
          </w:p>
        </w:tc>
      </w:tr>
      <w:tr w14:paraId="6E941013"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1EF77F42" w14:textId="77777777">
            <w:pPr>
              <w:jc w:val="center"/>
              <w:rPr>
                <w:rFonts w:eastAsia="Times New Roman"/>
                <w:color w:val="000000"/>
                <w:sz w:val="22"/>
                <w:szCs w:val="22"/>
              </w:rPr>
            </w:pPr>
            <w:r w:rsidRPr="00504543">
              <w:rPr>
                <w:rFonts w:eastAsia="Times New Roman"/>
                <w:color w:val="000000"/>
                <w:sz w:val="22"/>
                <w:szCs w:val="22"/>
              </w:rPr>
              <w:t>Stone fruit</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0F25DB" w:rsidP="00026F9A" w14:paraId="17D9CD60" w14:textId="77777777">
            <w:pPr>
              <w:jc w:val="center"/>
              <w:rPr>
                <w:rFonts w:eastAsia="Times New Roman"/>
                <w:i/>
                <w:iCs/>
                <w:color w:val="000000"/>
                <w:sz w:val="22"/>
                <w:szCs w:val="22"/>
              </w:rPr>
            </w:pPr>
            <w:r w:rsidRPr="000F25DB">
              <w:rPr>
                <w:rFonts w:eastAsia="Times New Roman"/>
                <w:i/>
                <w:iCs/>
                <w:color w:val="000000"/>
                <w:sz w:val="22"/>
                <w:szCs w:val="22"/>
              </w:rPr>
              <w:t>Listeria monocytogenes</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9A89529" w14:textId="77777777">
            <w:pPr>
              <w:jc w:val="center"/>
              <w:rPr>
                <w:rFonts w:eastAsia="Times New Roman"/>
                <w:color w:val="000000"/>
                <w:sz w:val="22"/>
                <w:szCs w:val="22"/>
              </w:rPr>
            </w:pPr>
            <w:r w:rsidRPr="00504543">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36F0757" w14:textId="77777777">
            <w:pPr>
              <w:jc w:val="center"/>
              <w:rPr>
                <w:rFonts w:eastAsia="Times New Roman"/>
                <w:color w:val="000000"/>
                <w:sz w:val="22"/>
                <w:szCs w:val="22"/>
              </w:rPr>
            </w:pPr>
            <w:r w:rsidRPr="00504543">
              <w:rPr>
                <w:rFonts w:eastAsia="Times New Roman"/>
                <w:color w:val="000000"/>
                <w:sz w:val="22"/>
                <w:szCs w:val="22"/>
              </w:rPr>
              <w:t>1</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5799B11" w14:textId="77777777">
            <w:pPr>
              <w:jc w:val="center"/>
              <w:rPr>
                <w:rFonts w:eastAsia="Times New Roman"/>
                <w:color w:val="000000"/>
                <w:sz w:val="22"/>
                <w:szCs w:val="22"/>
              </w:rPr>
            </w:pPr>
            <w:r>
              <w:rPr>
                <w:rFonts w:eastAsia="Times New Roman"/>
                <w:color w:val="000000"/>
                <w:sz w:val="22"/>
                <w:szCs w:val="22"/>
              </w:rPr>
              <w:t>1</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53EA030" w14:textId="77777777">
            <w:pPr>
              <w:jc w:val="center"/>
              <w:rPr>
                <w:rFonts w:eastAsia="Times New Roman"/>
                <w:color w:val="000000"/>
                <w:sz w:val="22"/>
                <w:szCs w:val="22"/>
              </w:rPr>
            </w:pPr>
            <w:r>
              <w:rPr>
                <w:rFonts w:eastAsia="Times New Roman"/>
                <w:color w:val="000000"/>
                <w:sz w:val="22"/>
                <w:szCs w:val="22"/>
              </w:rPr>
              <w:t>0</w:t>
            </w:r>
          </w:p>
        </w:tc>
      </w:tr>
      <w:tr w14:paraId="011EB30E"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4139A369" w14:textId="77777777">
            <w:pPr>
              <w:jc w:val="center"/>
              <w:rPr>
                <w:rFonts w:eastAsia="Times New Roman"/>
                <w:color w:val="000000"/>
                <w:sz w:val="22"/>
                <w:szCs w:val="22"/>
              </w:rPr>
            </w:pPr>
            <w:r>
              <w:rPr>
                <w:rFonts w:eastAsia="Times New Roman"/>
                <w:color w:val="000000"/>
                <w:sz w:val="22"/>
                <w:szCs w:val="22"/>
              </w:rPr>
              <w:t>Avocado</w:t>
            </w:r>
          </w:p>
        </w:tc>
        <w:tc>
          <w:tcPr>
            <w:tcW w:w="1340" w:type="pct"/>
            <w:tcBorders>
              <w:top w:val="nil"/>
              <w:left w:val="nil"/>
              <w:bottom w:val="single" w:sz="4" w:space="0" w:color="auto"/>
              <w:right w:val="single" w:sz="4" w:space="0" w:color="auto"/>
            </w:tcBorders>
            <w:shd w:val="clear" w:color="auto" w:fill="auto"/>
            <w:noWrap/>
          </w:tcPr>
          <w:p w:rsidR="007C0AC0" w:rsidRPr="00504543" w:rsidP="00026F9A" w14:paraId="5B3ECC62" w14:textId="77777777">
            <w:pPr>
              <w:jc w:val="center"/>
              <w:rPr>
                <w:rFonts w:eastAsia="Times New Roman"/>
                <w:i/>
                <w:iCs/>
                <w:color w:val="000000"/>
                <w:sz w:val="22"/>
                <w:szCs w:val="22"/>
              </w:rPr>
            </w:pPr>
            <w:r w:rsidRPr="003D7B33">
              <w:rPr>
                <w:rFonts w:eastAsia="Times New Roman"/>
                <w:i/>
                <w:iCs/>
                <w:color w:val="000000"/>
                <w:sz w:val="22"/>
                <w:szCs w:val="22"/>
              </w:rPr>
              <w:t>Listeria monocytogenes</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1333B242" w14:textId="77777777">
            <w:pPr>
              <w:jc w:val="center"/>
              <w:rPr>
                <w:rFonts w:eastAsia="Times New Roman"/>
                <w:color w:val="000000"/>
                <w:sz w:val="22"/>
                <w:szCs w:val="22"/>
              </w:rPr>
            </w:pPr>
            <w:r>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414A3B9C" w14:textId="77777777">
            <w:pPr>
              <w:jc w:val="center"/>
              <w:rPr>
                <w:rFonts w:eastAsia="Times New Roman"/>
                <w:color w:val="000000"/>
                <w:sz w:val="22"/>
                <w:szCs w:val="22"/>
              </w:rPr>
            </w:pPr>
            <w:r>
              <w:rPr>
                <w:rFonts w:eastAsia="Times New Roman"/>
                <w:color w:val="000000"/>
                <w:sz w:val="22"/>
                <w:szCs w:val="22"/>
              </w:rPr>
              <w:t>10</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57DD9AE6" w14:textId="77777777">
            <w:pPr>
              <w:jc w:val="center"/>
              <w:rPr>
                <w:rFonts w:eastAsia="Times New Roman"/>
                <w:color w:val="000000"/>
                <w:sz w:val="22"/>
                <w:szCs w:val="22"/>
              </w:rPr>
            </w:pPr>
            <w:r>
              <w:rPr>
                <w:rFonts w:eastAsia="Times New Roman"/>
                <w:color w:val="000000"/>
                <w:sz w:val="22"/>
                <w:szCs w:val="22"/>
              </w:rPr>
              <w:t>9</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6B8C517A" w14:textId="77777777">
            <w:pPr>
              <w:jc w:val="center"/>
              <w:rPr>
                <w:rFonts w:eastAsia="Times New Roman"/>
                <w:color w:val="000000"/>
                <w:sz w:val="22"/>
                <w:szCs w:val="22"/>
              </w:rPr>
            </w:pPr>
            <w:r>
              <w:rPr>
                <w:rFonts w:eastAsia="Times New Roman"/>
                <w:color w:val="000000"/>
                <w:sz w:val="22"/>
                <w:szCs w:val="22"/>
              </w:rPr>
              <w:t>0</w:t>
            </w:r>
          </w:p>
        </w:tc>
      </w:tr>
      <w:tr w14:paraId="28B4EC7D"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11C7CBC6" w14:textId="77777777">
            <w:pPr>
              <w:jc w:val="center"/>
              <w:rPr>
                <w:rFonts w:eastAsia="Times New Roman"/>
                <w:color w:val="000000"/>
                <w:sz w:val="22"/>
                <w:szCs w:val="22"/>
              </w:rPr>
            </w:pPr>
            <w:r>
              <w:rPr>
                <w:rFonts w:eastAsia="Times New Roman"/>
                <w:color w:val="000000"/>
                <w:sz w:val="22"/>
                <w:szCs w:val="22"/>
              </w:rPr>
              <w:t>Leafy greens</w:t>
            </w:r>
          </w:p>
        </w:tc>
        <w:tc>
          <w:tcPr>
            <w:tcW w:w="1340" w:type="pct"/>
            <w:tcBorders>
              <w:top w:val="nil"/>
              <w:left w:val="nil"/>
              <w:bottom w:val="single" w:sz="4" w:space="0" w:color="auto"/>
              <w:right w:val="single" w:sz="4" w:space="0" w:color="auto"/>
            </w:tcBorders>
            <w:shd w:val="clear" w:color="auto" w:fill="auto"/>
            <w:noWrap/>
          </w:tcPr>
          <w:p w:rsidR="007C0AC0" w:rsidRPr="00504543" w:rsidP="00026F9A" w14:paraId="38E11A70" w14:textId="77777777">
            <w:pPr>
              <w:jc w:val="center"/>
              <w:rPr>
                <w:rFonts w:eastAsia="Times New Roman"/>
                <w:i/>
                <w:iCs/>
                <w:color w:val="000000"/>
                <w:sz w:val="22"/>
                <w:szCs w:val="22"/>
              </w:rPr>
            </w:pPr>
            <w:r w:rsidRPr="003D7B33">
              <w:rPr>
                <w:rFonts w:eastAsia="Times New Roman"/>
                <w:i/>
                <w:iCs/>
                <w:color w:val="000000"/>
                <w:sz w:val="22"/>
                <w:szCs w:val="22"/>
              </w:rPr>
              <w:t>Listeria monocytogenes</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2EBFFFCF" w14:textId="77777777">
            <w:pPr>
              <w:jc w:val="center"/>
              <w:rPr>
                <w:rFonts w:eastAsia="Times New Roman"/>
                <w:color w:val="000000"/>
                <w:sz w:val="22"/>
                <w:szCs w:val="22"/>
              </w:rPr>
            </w:pPr>
            <w:r>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16C58484" w14:textId="77777777">
            <w:pPr>
              <w:jc w:val="center"/>
              <w:rPr>
                <w:rFonts w:eastAsia="Times New Roman"/>
                <w:color w:val="000000"/>
                <w:sz w:val="22"/>
                <w:szCs w:val="22"/>
              </w:rPr>
            </w:pPr>
            <w:r>
              <w:rPr>
                <w:rFonts w:eastAsia="Times New Roman"/>
                <w:color w:val="000000"/>
                <w:sz w:val="22"/>
                <w:szCs w:val="22"/>
              </w:rPr>
              <w:t>9</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3279670A" w14:textId="77777777">
            <w:pPr>
              <w:jc w:val="center"/>
              <w:rPr>
                <w:rFonts w:eastAsia="Times New Roman"/>
                <w:color w:val="000000"/>
                <w:sz w:val="22"/>
                <w:szCs w:val="22"/>
              </w:rPr>
            </w:pPr>
            <w:r>
              <w:rPr>
                <w:rFonts w:eastAsia="Times New Roman"/>
                <w:color w:val="000000"/>
                <w:sz w:val="22"/>
                <w:szCs w:val="22"/>
              </w:rPr>
              <w:t>9</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7672AF1D" w14:textId="77777777">
            <w:pPr>
              <w:jc w:val="center"/>
              <w:rPr>
                <w:rFonts w:eastAsia="Times New Roman"/>
                <w:color w:val="000000"/>
                <w:sz w:val="22"/>
                <w:szCs w:val="22"/>
              </w:rPr>
            </w:pPr>
            <w:r>
              <w:rPr>
                <w:rFonts w:eastAsia="Times New Roman"/>
                <w:color w:val="000000"/>
                <w:sz w:val="22"/>
                <w:szCs w:val="22"/>
              </w:rPr>
              <w:t>1</w:t>
            </w:r>
          </w:p>
        </w:tc>
      </w:tr>
      <w:tr w14:paraId="12BB383E"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3FE1421D" w14:textId="77777777">
            <w:pPr>
              <w:jc w:val="center"/>
              <w:rPr>
                <w:rFonts w:eastAsia="Times New Roman"/>
                <w:color w:val="000000"/>
                <w:sz w:val="22"/>
                <w:szCs w:val="22"/>
              </w:rPr>
            </w:pPr>
            <w:r>
              <w:rPr>
                <w:rFonts w:eastAsia="Times New Roman"/>
                <w:color w:val="000000"/>
                <w:sz w:val="22"/>
                <w:szCs w:val="22"/>
              </w:rPr>
              <w:t>Mushrooms</w:t>
            </w:r>
          </w:p>
        </w:tc>
        <w:tc>
          <w:tcPr>
            <w:tcW w:w="1340" w:type="pct"/>
            <w:tcBorders>
              <w:top w:val="nil"/>
              <w:left w:val="nil"/>
              <w:bottom w:val="single" w:sz="4" w:space="0" w:color="auto"/>
              <w:right w:val="single" w:sz="4" w:space="0" w:color="auto"/>
            </w:tcBorders>
            <w:shd w:val="clear" w:color="auto" w:fill="auto"/>
            <w:noWrap/>
          </w:tcPr>
          <w:p w:rsidR="007C0AC0" w:rsidRPr="00504543" w:rsidP="00026F9A" w14:paraId="3FB2300C" w14:textId="77777777">
            <w:pPr>
              <w:jc w:val="center"/>
              <w:rPr>
                <w:rFonts w:eastAsia="Times New Roman"/>
                <w:i/>
                <w:iCs/>
                <w:color w:val="000000"/>
                <w:sz w:val="22"/>
                <w:szCs w:val="22"/>
              </w:rPr>
            </w:pPr>
            <w:r w:rsidRPr="003D7B33">
              <w:rPr>
                <w:rFonts w:eastAsia="Times New Roman"/>
                <w:i/>
                <w:iCs/>
                <w:color w:val="000000"/>
                <w:sz w:val="22"/>
                <w:szCs w:val="22"/>
              </w:rPr>
              <w:t>Listeria monocytogenes</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31EA0A36" w14:textId="77777777">
            <w:pPr>
              <w:jc w:val="center"/>
              <w:rPr>
                <w:rFonts w:eastAsia="Times New Roman"/>
                <w:color w:val="000000"/>
                <w:sz w:val="22"/>
                <w:szCs w:val="22"/>
              </w:rPr>
            </w:pPr>
            <w:r>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7A9688E3" w14:textId="77777777">
            <w:pPr>
              <w:jc w:val="center"/>
              <w:rPr>
                <w:rFonts w:eastAsia="Times New Roman"/>
                <w:color w:val="000000"/>
                <w:sz w:val="22"/>
                <w:szCs w:val="22"/>
              </w:rPr>
            </w:pPr>
            <w:r>
              <w:rPr>
                <w:rFonts w:eastAsia="Times New Roman"/>
                <w:color w:val="000000"/>
                <w:sz w:val="22"/>
                <w:szCs w:val="22"/>
              </w:rPr>
              <w:t>36</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7C0E7368" w14:textId="77777777">
            <w:pPr>
              <w:jc w:val="center"/>
              <w:rPr>
                <w:rFonts w:eastAsia="Times New Roman"/>
                <w:color w:val="000000"/>
                <w:sz w:val="22"/>
                <w:szCs w:val="22"/>
              </w:rPr>
            </w:pPr>
            <w:r>
              <w:rPr>
                <w:rFonts w:eastAsia="Times New Roman"/>
                <w:color w:val="000000"/>
                <w:sz w:val="22"/>
                <w:szCs w:val="22"/>
              </w:rPr>
              <w:t>31</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516E623A" w14:textId="77777777">
            <w:pPr>
              <w:jc w:val="center"/>
              <w:rPr>
                <w:rFonts w:eastAsia="Times New Roman"/>
                <w:color w:val="000000"/>
                <w:sz w:val="22"/>
                <w:szCs w:val="22"/>
              </w:rPr>
            </w:pPr>
            <w:r>
              <w:rPr>
                <w:rFonts w:eastAsia="Times New Roman"/>
                <w:color w:val="000000"/>
                <w:sz w:val="22"/>
                <w:szCs w:val="22"/>
              </w:rPr>
              <w:t>4</w:t>
            </w:r>
          </w:p>
        </w:tc>
      </w:tr>
      <w:tr w14:paraId="15930217"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33696EF4" w14:textId="77777777">
            <w:pPr>
              <w:jc w:val="center"/>
              <w:rPr>
                <w:rFonts w:eastAsia="Times New Roman"/>
                <w:color w:val="000000"/>
                <w:sz w:val="22"/>
                <w:szCs w:val="22"/>
              </w:rPr>
            </w:pPr>
            <w:r w:rsidRPr="00504543">
              <w:rPr>
                <w:rFonts w:eastAsia="Times New Roman"/>
                <w:color w:val="000000"/>
                <w:sz w:val="22"/>
                <w:szCs w:val="22"/>
              </w:rPr>
              <w:t>Berries</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ED2449B"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39ED078" w14:textId="77777777">
            <w:pPr>
              <w:jc w:val="center"/>
              <w:rPr>
                <w:rFonts w:eastAsia="Times New Roman"/>
                <w:color w:val="000000"/>
                <w:sz w:val="22"/>
                <w:szCs w:val="22"/>
              </w:rPr>
            </w:pPr>
            <w:r>
              <w:rPr>
                <w:rFonts w:eastAsia="Times New Roman"/>
                <w:color w:val="000000"/>
                <w:sz w:val="22"/>
                <w:szCs w:val="22"/>
              </w:rPr>
              <w:t>3</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EB03D45" w14:textId="77777777">
            <w:pPr>
              <w:jc w:val="center"/>
              <w:rPr>
                <w:rFonts w:eastAsia="Times New Roman"/>
                <w:color w:val="000000"/>
                <w:sz w:val="22"/>
                <w:szCs w:val="22"/>
              </w:rPr>
            </w:pPr>
            <w:r>
              <w:rPr>
                <w:rFonts w:eastAsia="Times New Roman"/>
                <w:color w:val="000000"/>
                <w:sz w:val="22"/>
                <w:szCs w:val="22"/>
              </w:rPr>
              <w:t>116</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5A2B6A50" w14:textId="77777777">
            <w:pPr>
              <w:jc w:val="center"/>
              <w:rPr>
                <w:rFonts w:eastAsia="Times New Roman"/>
                <w:color w:val="000000"/>
                <w:sz w:val="22"/>
                <w:szCs w:val="22"/>
              </w:rPr>
            </w:pPr>
            <w:r>
              <w:rPr>
                <w:rFonts w:eastAsia="Times New Roman"/>
                <w:color w:val="000000"/>
                <w:sz w:val="22"/>
                <w:szCs w:val="22"/>
              </w:rPr>
              <w:t>21</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E9A6EA1" w14:textId="77777777">
            <w:pPr>
              <w:jc w:val="center"/>
              <w:rPr>
                <w:rFonts w:eastAsia="Times New Roman"/>
                <w:color w:val="000000"/>
                <w:sz w:val="22"/>
                <w:szCs w:val="22"/>
              </w:rPr>
            </w:pPr>
            <w:r w:rsidRPr="00504543">
              <w:rPr>
                <w:rFonts w:eastAsia="Times New Roman"/>
                <w:color w:val="000000"/>
                <w:sz w:val="22"/>
                <w:szCs w:val="22"/>
              </w:rPr>
              <w:t>0</w:t>
            </w:r>
          </w:p>
        </w:tc>
      </w:tr>
      <w:tr w14:paraId="12AAE73A"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43C3D98A" w14:textId="77777777">
            <w:pPr>
              <w:jc w:val="center"/>
              <w:rPr>
                <w:rFonts w:eastAsia="Times New Roman"/>
                <w:color w:val="000000"/>
                <w:sz w:val="22"/>
                <w:szCs w:val="22"/>
              </w:rPr>
            </w:pPr>
            <w:r w:rsidRPr="00504543">
              <w:rPr>
                <w:rFonts w:eastAsia="Times New Roman"/>
                <w:color w:val="000000"/>
                <w:sz w:val="22"/>
                <w:szCs w:val="22"/>
              </w:rPr>
              <w:t>Cucumber</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B7D4AEA"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0AFCD4C" w14:textId="77777777">
            <w:pPr>
              <w:jc w:val="center"/>
              <w:rPr>
                <w:rFonts w:eastAsia="Times New Roman"/>
                <w:color w:val="000000"/>
                <w:sz w:val="22"/>
                <w:szCs w:val="22"/>
              </w:rPr>
            </w:pPr>
            <w:r>
              <w:rPr>
                <w:rFonts w:eastAsia="Times New Roman"/>
                <w:color w:val="000000"/>
                <w:sz w:val="22"/>
                <w:szCs w:val="22"/>
              </w:rPr>
              <w:t>8</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363B1BB" w14:textId="77777777">
            <w:pPr>
              <w:jc w:val="center"/>
              <w:rPr>
                <w:rFonts w:eastAsia="Times New Roman"/>
                <w:color w:val="000000"/>
                <w:sz w:val="22"/>
                <w:szCs w:val="22"/>
              </w:rPr>
            </w:pPr>
            <w:r w:rsidRPr="00504543">
              <w:rPr>
                <w:rFonts w:eastAsia="Times New Roman"/>
                <w:color w:val="000000"/>
                <w:sz w:val="22"/>
                <w:szCs w:val="22"/>
              </w:rPr>
              <w:t>1,2</w:t>
            </w:r>
            <w:r>
              <w:rPr>
                <w:rFonts w:eastAsia="Times New Roman"/>
                <w:color w:val="000000"/>
                <w:sz w:val="22"/>
                <w:szCs w:val="22"/>
              </w:rPr>
              <w:t>24</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2A61398" w14:textId="77777777">
            <w:pPr>
              <w:jc w:val="center"/>
              <w:rPr>
                <w:rFonts w:eastAsia="Times New Roman"/>
                <w:color w:val="000000"/>
                <w:sz w:val="22"/>
                <w:szCs w:val="22"/>
              </w:rPr>
            </w:pPr>
            <w:r>
              <w:rPr>
                <w:rFonts w:eastAsia="Times New Roman"/>
                <w:color w:val="000000"/>
                <w:sz w:val="22"/>
                <w:szCs w:val="22"/>
              </w:rPr>
              <w:t>250</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84AA50E" w14:textId="77777777">
            <w:pPr>
              <w:jc w:val="center"/>
              <w:rPr>
                <w:rFonts w:eastAsia="Times New Roman"/>
                <w:color w:val="000000"/>
                <w:sz w:val="22"/>
                <w:szCs w:val="22"/>
              </w:rPr>
            </w:pPr>
            <w:r w:rsidRPr="00504543">
              <w:rPr>
                <w:rFonts w:eastAsia="Times New Roman"/>
                <w:color w:val="000000"/>
                <w:sz w:val="22"/>
                <w:szCs w:val="22"/>
              </w:rPr>
              <w:t>6</w:t>
            </w:r>
          </w:p>
        </w:tc>
      </w:tr>
      <w:tr w14:paraId="70827B34"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41754714" w14:textId="77777777">
            <w:pPr>
              <w:jc w:val="center"/>
              <w:rPr>
                <w:rFonts w:eastAsia="Times New Roman"/>
                <w:color w:val="000000"/>
                <w:sz w:val="22"/>
                <w:szCs w:val="22"/>
              </w:rPr>
            </w:pPr>
            <w:r w:rsidRPr="00504543">
              <w:rPr>
                <w:rFonts w:eastAsia="Times New Roman"/>
                <w:color w:val="000000"/>
                <w:sz w:val="22"/>
                <w:szCs w:val="22"/>
              </w:rPr>
              <w:t>Melon</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B34AE25"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F09A027" w14:textId="77777777">
            <w:pPr>
              <w:jc w:val="center"/>
              <w:rPr>
                <w:rFonts w:eastAsia="Times New Roman"/>
                <w:color w:val="000000"/>
                <w:sz w:val="22"/>
                <w:szCs w:val="22"/>
              </w:rPr>
            </w:pPr>
            <w:r>
              <w:rPr>
                <w:rFonts w:eastAsia="Times New Roman"/>
                <w:color w:val="000000"/>
                <w:sz w:val="22"/>
                <w:szCs w:val="22"/>
              </w:rPr>
              <w:t>2</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F51C26B" w14:textId="77777777">
            <w:pPr>
              <w:jc w:val="center"/>
              <w:rPr>
                <w:rFonts w:eastAsia="Times New Roman"/>
                <w:color w:val="000000"/>
                <w:sz w:val="22"/>
                <w:szCs w:val="22"/>
              </w:rPr>
            </w:pPr>
            <w:r>
              <w:rPr>
                <w:rFonts w:eastAsia="Times New Roman"/>
                <w:color w:val="000000"/>
                <w:sz w:val="22"/>
                <w:szCs w:val="22"/>
              </w:rPr>
              <w:t>201</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E9C834D" w14:textId="77777777">
            <w:pPr>
              <w:jc w:val="center"/>
              <w:rPr>
                <w:rFonts w:eastAsia="Times New Roman"/>
                <w:color w:val="000000"/>
                <w:sz w:val="22"/>
                <w:szCs w:val="22"/>
              </w:rPr>
            </w:pPr>
            <w:r>
              <w:rPr>
                <w:rFonts w:eastAsia="Times New Roman"/>
                <w:color w:val="000000"/>
                <w:sz w:val="22"/>
                <w:szCs w:val="22"/>
              </w:rPr>
              <w:t>49</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565E156" w14:textId="77777777">
            <w:pPr>
              <w:jc w:val="center"/>
              <w:rPr>
                <w:rFonts w:eastAsia="Times New Roman"/>
                <w:color w:val="000000"/>
                <w:sz w:val="22"/>
                <w:szCs w:val="22"/>
              </w:rPr>
            </w:pPr>
            <w:r w:rsidRPr="00504543">
              <w:rPr>
                <w:rFonts w:eastAsia="Times New Roman"/>
                <w:color w:val="000000"/>
                <w:sz w:val="22"/>
                <w:szCs w:val="22"/>
              </w:rPr>
              <w:t>1</w:t>
            </w:r>
          </w:p>
        </w:tc>
      </w:tr>
      <w:tr w14:paraId="6E2210E1"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58BD675C" w14:textId="77777777">
            <w:pPr>
              <w:jc w:val="center"/>
              <w:rPr>
                <w:rFonts w:eastAsia="Times New Roman"/>
                <w:color w:val="000000"/>
                <w:sz w:val="22"/>
                <w:szCs w:val="22"/>
              </w:rPr>
            </w:pPr>
            <w:r w:rsidRPr="00504543">
              <w:rPr>
                <w:rFonts w:eastAsia="Times New Roman"/>
                <w:color w:val="000000"/>
                <w:sz w:val="22"/>
                <w:szCs w:val="22"/>
              </w:rPr>
              <w:t>Tomato</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5331CCB"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4E498EC" w14:textId="77777777">
            <w:pPr>
              <w:jc w:val="center"/>
              <w:rPr>
                <w:rFonts w:eastAsia="Times New Roman"/>
                <w:color w:val="000000"/>
                <w:sz w:val="22"/>
                <w:szCs w:val="22"/>
              </w:rPr>
            </w:pPr>
            <w:r>
              <w:rPr>
                <w:rFonts w:eastAsia="Times New Roman"/>
                <w:color w:val="000000"/>
                <w:sz w:val="22"/>
                <w:szCs w:val="22"/>
              </w:rPr>
              <w:t>9</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0CB7545" w14:textId="77777777">
            <w:pPr>
              <w:jc w:val="center"/>
              <w:rPr>
                <w:rFonts w:eastAsia="Times New Roman"/>
                <w:color w:val="000000"/>
                <w:sz w:val="22"/>
                <w:szCs w:val="22"/>
              </w:rPr>
            </w:pPr>
            <w:r>
              <w:rPr>
                <w:rFonts w:eastAsia="Times New Roman"/>
                <w:color w:val="000000"/>
                <w:sz w:val="22"/>
                <w:szCs w:val="22"/>
              </w:rPr>
              <w:t>511</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85EA23E" w14:textId="77777777">
            <w:pPr>
              <w:jc w:val="center"/>
              <w:rPr>
                <w:rFonts w:eastAsia="Times New Roman"/>
                <w:color w:val="000000"/>
                <w:sz w:val="22"/>
                <w:szCs w:val="22"/>
              </w:rPr>
            </w:pPr>
            <w:r>
              <w:rPr>
                <w:rFonts w:eastAsia="Times New Roman"/>
                <w:color w:val="000000"/>
                <w:sz w:val="22"/>
                <w:szCs w:val="22"/>
              </w:rPr>
              <w:t>90</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1831DFC" w14:textId="77777777">
            <w:pPr>
              <w:jc w:val="center"/>
              <w:rPr>
                <w:rFonts w:eastAsia="Times New Roman"/>
                <w:color w:val="000000"/>
                <w:sz w:val="22"/>
                <w:szCs w:val="22"/>
              </w:rPr>
            </w:pPr>
            <w:r w:rsidRPr="00504543">
              <w:rPr>
                <w:rFonts w:eastAsia="Times New Roman"/>
                <w:color w:val="000000"/>
                <w:sz w:val="22"/>
                <w:szCs w:val="22"/>
              </w:rPr>
              <w:t>0</w:t>
            </w:r>
          </w:p>
        </w:tc>
      </w:tr>
      <w:tr w14:paraId="2181E6FC"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2BEE7AC1" w14:textId="77777777">
            <w:pPr>
              <w:jc w:val="center"/>
              <w:rPr>
                <w:rFonts w:eastAsia="Times New Roman"/>
                <w:color w:val="000000"/>
                <w:sz w:val="22"/>
                <w:szCs w:val="22"/>
              </w:rPr>
            </w:pPr>
            <w:r w:rsidRPr="00504543">
              <w:rPr>
                <w:rFonts w:eastAsia="Times New Roman"/>
                <w:color w:val="000000"/>
                <w:sz w:val="22"/>
                <w:szCs w:val="22"/>
              </w:rPr>
              <w:t>Produce</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6E8110E"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FE34936" w14:textId="77777777">
            <w:pPr>
              <w:jc w:val="center"/>
              <w:rPr>
                <w:rFonts w:eastAsia="Times New Roman"/>
                <w:color w:val="000000"/>
                <w:sz w:val="22"/>
                <w:szCs w:val="22"/>
              </w:rPr>
            </w:pPr>
            <w:r w:rsidRPr="00504543">
              <w:rPr>
                <w:rFonts w:eastAsia="Times New Roman"/>
                <w:color w:val="000000"/>
                <w:sz w:val="22"/>
                <w:szCs w:val="22"/>
              </w:rPr>
              <w:t>3</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D7C71AA" w14:textId="77777777">
            <w:pPr>
              <w:jc w:val="center"/>
              <w:rPr>
                <w:rFonts w:eastAsia="Times New Roman"/>
                <w:color w:val="000000"/>
                <w:sz w:val="22"/>
                <w:szCs w:val="22"/>
              </w:rPr>
            </w:pPr>
            <w:r w:rsidRPr="00504543">
              <w:rPr>
                <w:rFonts w:eastAsia="Times New Roman"/>
                <w:color w:val="000000"/>
                <w:sz w:val="22"/>
                <w:szCs w:val="22"/>
              </w:rPr>
              <w:t>533</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A214073" w14:textId="77777777">
            <w:pPr>
              <w:jc w:val="center"/>
              <w:rPr>
                <w:rFonts w:eastAsia="Times New Roman"/>
                <w:color w:val="000000"/>
                <w:sz w:val="22"/>
                <w:szCs w:val="22"/>
              </w:rPr>
            </w:pPr>
            <w:r w:rsidRPr="00504543">
              <w:rPr>
                <w:rFonts w:eastAsia="Times New Roman"/>
                <w:color w:val="000000"/>
                <w:sz w:val="22"/>
                <w:szCs w:val="22"/>
              </w:rPr>
              <w:t>61</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8B276BC" w14:textId="77777777">
            <w:pPr>
              <w:jc w:val="center"/>
              <w:rPr>
                <w:rFonts w:eastAsia="Times New Roman"/>
                <w:color w:val="000000"/>
                <w:sz w:val="22"/>
                <w:szCs w:val="22"/>
              </w:rPr>
            </w:pPr>
            <w:r w:rsidRPr="00504543">
              <w:rPr>
                <w:rFonts w:eastAsia="Times New Roman"/>
                <w:color w:val="000000"/>
                <w:sz w:val="22"/>
                <w:szCs w:val="22"/>
              </w:rPr>
              <w:t>0</w:t>
            </w:r>
          </w:p>
        </w:tc>
      </w:tr>
      <w:tr w14:paraId="7FD25C6D"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0F871F7A" w14:textId="77777777">
            <w:pPr>
              <w:jc w:val="center"/>
              <w:rPr>
                <w:rFonts w:eastAsia="Times New Roman"/>
                <w:color w:val="000000"/>
                <w:sz w:val="22"/>
                <w:szCs w:val="22"/>
              </w:rPr>
            </w:pPr>
            <w:r w:rsidRPr="00504543">
              <w:rPr>
                <w:rFonts w:eastAsia="Times New Roman"/>
                <w:color w:val="000000"/>
                <w:sz w:val="22"/>
                <w:szCs w:val="22"/>
              </w:rPr>
              <w:t>Cantaloupe</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DCF3B33"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21EEFFE" w14:textId="77777777">
            <w:pPr>
              <w:jc w:val="center"/>
              <w:rPr>
                <w:rFonts w:eastAsia="Times New Roman"/>
                <w:color w:val="000000"/>
                <w:sz w:val="22"/>
                <w:szCs w:val="22"/>
              </w:rPr>
            </w:pPr>
            <w:r>
              <w:rPr>
                <w:rFonts w:eastAsia="Times New Roman"/>
                <w:color w:val="000000"/>
                <w:sz w:val="22"/>
                <w:szCs w:val="22"/>
              </w:rPr>
              <w:t>6</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7E99C4C" w14:textId="77777777">
            <w:pPr>
              <w:jc w:val="center"/>
              <w:rPr>
                <w:rFonts w:eastAsia="Times New Roman"/>
                <w:color w:val="000000"/>
                <w:sz w:val="22"/>
                <w:szCs w:val="22"/>
              </w:rPr>
            </w:pPr>
            <w:r>
              <w:rPr>
                <w:rFonts w:eastAsia="Times New Roman"/>
                <w:color w:val="000000"/>
                <w:sz w:val="22"/>
                <w:szCs w:val="22"/>
              </w:rPr>
              <w:t>574</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81DCBD9" w14:textId="77777777">
            <w:pPr>
              <w:jc w:val="center"/>
              <w:rPr>
                <w:rFonts w:eastAsia="Times New Roman"/>
                <w:color w:val="000000"/>
                <w:sz w:val="22"/>
                <w:szCs w:val="22"/>
              </w:rPr>
            </w:pPr>
            <w:r>
              <w:rPr>
                <w:rFonts w:eastAsia="Times New Roman"/>
                <w:color w:val="000000"/>
                <w:sz w:val="22"/>
                <w:szCs w:val="22"/>
              </w:rPr>
              <w:t>189</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A224589" w14:textId="77777777">
            <w:pPr>
              <w:jc w:val="center"/>
              <w:rPr>
                <w:rFonts w:eastAsia="Times New Roman"/>
                <w:color w:val="000000"/>
                <w:sz w:val="22"/>
                <w:szCs w:val="22"/>
              </w:rPr>
            </w:pPr>
            <w:r w:rsidRPr="00504543">
              <w:rPr>
                <w:rFonts w:eastAsia="Times New Roman"/>
                <w:color w:val="000000"/>
                <w:sz w:val="22"/>
                <w:szCs w:val="22"/>
              </w:rPr>
              <w:t>3</w:t>
            </w:r>
          </w:p>
        </w:tc>
      </w:tr>
      <w:tr w14:paraId="583E4CC7"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4430C2A0" w14:textId="77777777">
            <w:pPr>
              <w:jc w:val="center"/>
              <w:rPr>
                <w:rFonts w:eastAsia="Times New Roman"/>
                <w:color w:val="000000"/>
                <w:sz w:val="22"/>
                <w:szCs w:val="22"/>
              </w:rPr>
            </w:pPr>
            <w:r w:rsidRPr="00504543">
              <w:rPr>
                <w:rFonts w:eastAsia="Times New Roman"/>
                <w:color w:val="000000"/>
                <w:sz w:val="22"/>
                <w:szCs w:val="22"/>
              </w:rPr>
              <w:t>Papaya</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DA745E0"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5305C5F" w14:textId="77777777">
            <w:pPr>
              <w:jc w:val="center"/>
              <w:rPr>
                <w:rFonts w:eastAsia="Times New Roman"/>
                <w:color w:val="000000"/>
                <w:sz w:val="22"/>
                <w:szCs w:val="22"/>
              </w:rPr>
            </w:pPr>
            <w:r>
              <w:rPr>
                <w:rFonts w:eastAsia="Times New Roman"/>
                <w:color w:val="000000"/>
                <w:sz w:val="22"/>
                <w:szCs w:val="22"/>
              </w:rPr>
              <w:t>9</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B54729E" w14:textId="77777777">
            <w:pPr>
              <w:jc w:val="center"/>
              <w:rPr>
                <w:rFonts w:eastAsia="Times New Roman"/>
                <w:color w:val="000000"/>
                <w:sz w:val="22"/>
                <w:szCs w:val="22"/>
              </w:rPr>
            </w:pPr>
            <w:r>
              <w:rPr>
                <w:rFonts w:eastAsia="Times New Roman"/>
                <w:color w:val="000000"/>
                <w:sz w:val="22"/>
                <w:szCs w:val="22"/>
              </w:rPr>
              <w:t>583</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1BDE387" w14:textId="77777777">
            <w:pPr>
              <w:jc w:val="center"/>
              <w:rPr>
                <w:rFonts w:eastAsia="Times New Roman"/>
                <w:color w:val="000000"/>
                <w:sz w:val="22"/>
                <w:szCs w:val="22"/>
              </w:rPr>
            </w:pPr>
            <w:r>
              <w:rPr>
                <w:rFonts w:eastAsia="Times New Roman"/>
                <w:color w:val="000000"/>
                <w:sz w:val="22"/>
                <w:szCs w:val="22"/>
              </w:rPr>
              <w:t>166</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CCE7A80" w14:textId="77777777">
            <w:pPr>
              <w:jc w:val="center"/>
              <w:rPr>
                <w:rFonts w:eastAsia="Times New Roman"/>
                <w:color w:val="000000"/>
                <w:sz w:val="22"/>
                <w:szCs w:val="22"/>
              </w:rPr>
            </w:pPr>
            <w:r w:rsidRPr="00504543">
              <w:rPr>
                <w:rFonts w:eastAsia="Times New Roman"/>
                <w:color w:val="000000"/>
                <w:sz w:val="22"/>
                <w:szCs w:val="22"/>
              </w:rPr>
              <w:t>2</w:t>
            </w:r>
          </w:p>
        </w:tc>
      </w:tr>
      <w:tr w14:paraId="39E6003E"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691444AF" w14:textId="77777777">
            <w:pPr>
              <w:jc w:val="center"/>
              <w:rPr>
                <w:rFonts w:eastAsia="Times New Roman"/>
                <w:color w:val="000000"/>
                <w:sz w:val="22"/>
                <w:szCs w:val="22"/>
              </w:rPr>
            </w:pPr>
            <w:r w:rsidRPr="00504543">
              <w:rPr>
                <w:rFonts w:eastAsia="Times New Roman"/>
                <w:color w:val="000000"/>
                <w:sz w:val="22"/>
                <w:szCs w:val="22"/>
              </w:rPr>
              <w:t>Mango</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99BD7F9"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AB94298" w14:textId="77777777">
            <w:pPr>
              <w:jc w:val="center"/>
              <w:rPr>
                <w:rFonts w:eastAsia="Times New Roman"/>
                <w:color w:val="000000"/>
                <w:sz w:val="22"/>
                <w:szCs w:val="22"/>
              </w:rPr>
            </w:pPr>
            <w:r>
              <w:rPr>
                <w:rFonts w:eastAsia="Times New Roman"/>
                <w:color w:val="000000"/>
                <w:sz w:val="22"/>
                <w:szCs w:val="22"/>
              </w:rPr>
              <w:t>3</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03CCAF0" w14:textId="77777777">
            <w:pPr>
              <w:jc w:val="center"/>
              <w:rPr>
                <w:rFonts w:eastAsia="Times New Roman"/>
                <w:color w:val="000000"/>
                <w:sz w:val="22"/>
                <w:szCs w:val="22"/>
              </w:rPr>
            </w:pPr>
            <w:r>
              <w:rPr>
                <w:rFonts w:eastAsia="Times New Roman"/>
                <w:color w:val="000000"/>
                <w:sz w:val="22"/>
                <w:szCs w:val="22"/>
              </w:rPr>
              <w:t>214</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7422DA2" w14:textId="77777777">
            <w:pPr>
              <w:jc w:val="center"/>
              <w:rPr>
                <w:rFonts w:eastAsia="Times New Roman"/>
                <w:color w:val="000000"/>
                <w:sz w:val="22"/>
                <w:szCs w:val="22"/>
              </w:rPr>
            </w:pPr>
            <w:r>
              <w:rPr>
                <w:rFonts w:eastAsia="Times New Roman"/>
                <w:color w:val="000000"/>
                <w:sz w:val="22"/>
                <w:szCs w:val="22"/>
              </w:rPr>
              <w:t>62</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0DD6E87" w14:textId="77777777">
            <w:pPr>
              <w:jc w:val="center"/>
              <w:rPr>
                <w:rFonts w:eastAsia="Times New Roman"/>
                <w:color w:val="000000"/>
                <w:sz w:val="22"/>
                <w:szCs w:val="22"/>
              </w:rPr>
            </w:pPr>
            <w:r w:rsidRPr="00504543">
              <w:rPr>
                <w:rFonts w:eastAsia="Times New Roman"/>
                <w:color w:val="000000"/>
                <w:sz w:val="22"/>
                <w:szCs w:val="22"/>
              </w:rPr>
              <w:t>0</w:t>
            </w:r>
          </w:p>
        </w:tc>
      </w:tr>
      <w:tr w14:paraId="0C57EF2A"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47A42423" w14:textId="77777777">
            <w:pPr>
              <w:jc w:val="center"/>
              <w:rPr>
                <w:rFonts w:eastAsia="Times New Roman"/>
                <w:color w:val="000000"/>
                <w:sz w:val="22"/>
                <w:szCs w:val="22"/>
              </w:rPr>
            </w:pPr>
            <w:r w:rsidRPr="00504543">
              <w:rPr>
                <w:rFonts w:eastAsia="Times New Roman"/>
                <w:color w:val="000000"/>
                <w:sz w:val="22"/>
                <w:szCs w:val="22"/>
              </w:rPr>
              <w:t>Leafy greens</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F0B35D7"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C1D8538" w14:textId="77777777">
            <w:pPr>
              <w:jc w:val="center"/>
              <w:rPr>
                <w:rFonts w:eastAsia="Times New Roman"/>
                <w:color w:val="000000"/>
                <w:sz w:val="22"/>
                <w:szCs w:val="22"/>
              </w:rPr>
            </w:pPr>
            <w:r w:rsidRPr="00504543">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438CA8F5" w14:textId="77777777">
            <w:pPr>
              <w:jc w:val="center"/>
              <w:rPr>
                <w:rFonts w:eastAsia="Times New Roman"/>
                <w:color w:val="000000"/>
                <w:sz w:val="22"/>
                <w:szCs w:val="22"/>
              </w:rPr>
            </w:pPr>
            <w:r w:rsidRPr="00504543">
              <w:rPr>
                <w:rFonts w:eastAsia="Times New Roman"/>
                <w:color w:val="000000"/>
                <w:sz w:val="22"/>
                <w:szCs w:val="22"/>
              </w:rPr>
              <w:t>15</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63AA356" w14:textId="77777777">
            <w:pPr>
              <w:jc w:val="center"/>
              <w:rPr>
                <w:rFonts w:eastAsia="Times New Roman"/>
                <w:color w:val="000000"/>
                <w:sz w:val="22"/>
                <w:szCs w:val="22"/>
              </w:rPr>
            </w:pPr>
            <w:r w:rsidRPr="00504543">
              <w:rPr>
                <w:rFonts w:eastAsia="Times New Roman"/>
                <w:color w:val="000000"/>
                <w:sz w:val="22"/>
                <w:szCs w:val="22"/>
              </w:rPr>
              <w:t>1</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298D60A" w14:textId="77777777">
            <w:pPr>
              <w:jc w:val="center"/>
              <w:rPr>
                <w:rFonts w:eastAsia="Times New Roman"/>
                <w:color w:val="000000"/>
                <w:sz w:val="22"/>
                <w:szCs w:val="22"/>
              </w:rPr>
            </w:pPr>
            <w:r w:rsidRPr="00504543">
              <w:rPr>
                <w:rFonts w:eastAsia="Times New Roman"/>
                <w:color w:val="000000"/>
                <w:sz w:val="22"/>
                <w:szCs w:val="22"/>
              </w:rPr>
              <w:t>0</w:t>
            </w:r>
          </w:p>
        </w:tc>
      </w:tr>
      <w:tr w14:paraId="593D7298"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247ED435" w14:textId="77777777">
            <w:pPr>
              <w:jc w:val="center"/>
              <w:rPr>
                <w:rFonts w:eastAsia="Times New Roman"/>
                <w:color w:val="000000"/>
                <w:sz w:val="22"/>
                <w:szCs w:val="22"/>
              </w:rPr>
            </w:pPr>
            <w:r w:rsidRPr="00504543">
              <w:rPr>
                <w:rFonts w:eastAsia="Times New Roman"/>
                <w:color w:val="000000"/>
                <w:sz w:val="22"/>
                <w:szCs w:val="22"/>
              </w:rPr>
              <w:t>Nut</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09FC6B4"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C96ABDF" w14:textId="77777777">
            <w:pPr>
              <w:jc w:val="center"/>
              <w:rPr>
                <w:rFonts w:eastAsia="Times New Roman"/>
                <w:color w:val="000000"/>
                <w:sz w:val="22"/>
                <w:szCs w:val="22"/>
              </w:rPr>
            </w:pPr>
            <w:r w:rsidRPr="00504543">
              <w:rPr>
                <w:rFonts w:eastAsia="Times New Roman"/>
                <w:color w:val="000000"/>
                <w:sz w:val="22"/>
                <w:szCs w:val="22"/>
              </w:rPr>
              <w:t>3</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B4C8AF7" w14:textId="77777777">
            <w:pPr>
              <w:jc w:val="center"/>
              <w:rPr>
                <w:rFonts w:eastAsia="Times New Roman"/>
                <w:color w:val="000000"/>
                <w:sz w:val="22"/>
                <w:szCs w:val="22"/>
              </w:rPr>
            </w:pPr>
            <w:r w:rsidRPr="00504543">
              <w:rPr>
                <w:rFonts w:eastAsia="Times New Roman"/>
                <w:color w:val="000000"/>
                <w:sz w:val="22"/>
                <w:szCs w:val="22"/>
              </w:rPr>
              <w:t>49</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27BF070" w14:textId="77777777">
            <w:pPr>
              <w:jc w:val="center"/>
              <w:rPr>
                <w:rFonts w:eastAsia="Times New Roman"/>
                <w:color w:val="000000"/>
                <w:sz w:val="22"/>
                <w:szCs w:val="22"/>
              </w:rPr>
            </w:pPr>
            <w:r w:rsidRPr="00504543">
              <w:rPr>
                <w:rFonts w:eastAsia="Times New Roman"/>
                <w:color w:val="000000"/>
                <w:sz w:val="22"/>
                <w:szCs w:val="22"/>
              </w:rPr>
              <w:t>7</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67C3AFD5" w14:textId="77777777">
            <w:pPr>
              <w:jc w:val="center"/>
              <w:rPr>
                <w:rFonts w:eastAsia="Times New Roman"/>
                <w:color w:val="000000"/>
                <w:sz w:val="22"/>
                <w:szCs w:val="22"/>
              </w:rPr>
            </w:pPr>
            <w:r w:rsidRPr="00504543">
              <w:rPr>
                <w:rFonts w:eastAsia="Times New Roman"/>
                <w:color w:val="000000"/>
                <w:sz w:val="22"/>
                <w:szCs w:val="22"/>
              </w:rPr>
              <w:t>0</w:t>
            </w:r>
          </w:p>
        </w:tc>
      </w:tr>
      <w:tr w14:paraId="7DA1E659"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2562177F" w14:textId="77777777">
            <w:pPr>
              <w:jc w:val="center"/>
              <w:rPr>
                <w:rFonts w:eastAsia="Times New Roman"/>
                <w:color w:val="000000"/>
                <w:sz w:val="22"/>
                <w:szCs w:val="22"/>
              </w:rPr>
            </w:pPr>
            <w:r w:rsidRPr="00504543">
              <w:rPr>
                <w:rFonts w:eastAsia="Times New Roman"/>
                <w:color w:val="000000"/>
                <w:sz w:val="22"/>
                <w:szCs w:val="22"/>
              </w:rPr>
              <w:t>Grapes</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F2C3AA7"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ED2F881" w14:textId="77777777">
            <w:pPr>
              <w:jc w:val="center"/>
              <w:rPr>
                <w:rFonts w:eastAsia="Times New Roman"/>
                <w:color w:val="000000"/>
                <w:sz w:val="22"/>
                <w:szCs w:val="22"/>
              </w:rPr>
            </w:pPr>
            <w:r w:rsidRPr="00504543">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E942C8E" w14:textId="77777777">
            <w:pPr>
              <w:jc w:val="center"/>
              <w:rPr>
                <w:rFonts w:eastAsia="Times New Roman"/>
                <w:color w:val="000000"/>
                <w:sz w:val="22"/>
                <w:szCs w:val="22"/>
              </w:rPr>
            </w:pPr>
            <w:r w:rsidRPr="00504543">
              <w:rPr>
                <w:rFonts w:eastAsia="Times New Roman"/>
                <w:color w:val="000000"/>
                <w:sz w:val="22"/>
                <w:szCs w:val="22"/>
              </w:rPr>
              <w:t>27</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57E0633" w14:textId="77777777">
            <w:pPr>
              <w:jc w:val="center"/>
              <w:rPr>
                <w:rFonts w:eastAsia="Times New Roman"/>
                <w:color w:val="000000"/>
                <w:sz w:val="22"/>
                <w:szCs w:val="22"/>
              </w:rPr>
            </w:pPr>
            <w:r w:rsidRPr="00504543">
              <w:rPr>
                <w:rFonts w:eastAsia="Times New Roman"/>
                <w:color w:val="000000"/>
                <w:sz w:val="22"/>
                <w:szCs w:val="22"/>
              </w:rPr>
              <w:t>10</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EC0985C" w14:textId="77777777">
            <w:pPr>
              <w:jc w:val="center"/>
              <w:rPr>
                <w:rFonts w:eastAsia="Times New Roman"/>
                <w:color w:val="000000"/>
                <w:sz w:val="22"/>
                <w:szCs w:val="22"/>
              </w:rPr>
            </w:pPr>
            <w:r w:rsidRPr="00504543">
              <w:rPr>
                <w:rFonts w:eastAsia="Times New Roman"/>
                <w:color w:val="000000"/>
                <w:sz w:val="22"/>
                <w:szCs w:val="22"/>
              </w:rPr>
              <w:t>0</w:t>
            </w:r>
          </w:p>
        </w:tc>
      </w:tr>
      <w:tr w14:paraId="70AFCDC7"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470ED7DF" w14:textId="77777777">
            <w:pPr>
              <w:jc w:val="center"/>
              <w:rPr>
                <w:rFonts w:eastAsia="Times New Roman"/>
                <w:color w:val="000000"/>
                <w:sz w:val="22"/>
                <w:szCs w:val="22"/>
              </w:rPr>
            </w:pPr>
            <w:r w:rsidRPr="00504543">
              <w:rPr>
                <w:rFonts w:eastAsia="Times New Roman"/>
                <w:color w:val="000000"/>
                <w:sz w:val="22"/>
                <w:szCs w:val="22"/>
              </w:rPr>
              <w:t>Mixed</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F7C6373"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1FFF9AA" w14:textId="77777777">
            <w:pPr>
              <w:jc w:val="center"/>
              <w:rPr>
                <w:rFonts w:eastAsia="Times New Roman"/>
                <w:color w:val="000000"/>
                <w:sz w:val="22"/>
                <w:szCs w:val="22"/>
              </w:rPr>
            </w:pPr>
            <w:r>
              <w:rPr>
                <w:rFonts w:eastAsia="Times New Roman"/>
                <w:color w:val="000000"/>
                <w:sz w:val="22"/>
                <w:szCs w:val="22"/>
              </w:rPr>
              <w:t>2</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54199BCA" w14:textId="77777777">
            <w:pPr>
              <w:jc w:val="center"/>
              <w:rPr>
                <w:rFonts w:eastAsia="Times New Roman"/>
                <w:color w:val="000000"/>
                <w:sz w:val="22"/>
                <w:szCs w:val="22"/>
              </w:rPr>
            </w:pPr>
            <w:r>
              <w:rPr>
                <w:rFonts w:eastAsia="Times New Roman"/>
                <w:color w:val="000000"/>
                <w:sz w:val="22"/>
                <w:szCs w:val="22"/>
              </w:rPr>
              <w:t>214</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57A7497" w14:textId="77777777">
            <w:pPr>
              <w:jc w:val="center"/>
              <w:rPr>
                <w:rFonts w:eastAsia="Times New Roman"/>
                <w:color w:val="000000"/>
                <w:sz w:val="22"/>
                <w:szCs w:val="22"/>
              </w:rPr>
            </w:pPr>
            <w:r>
              <w:rPr>
                <w:rFonts w:eastAsia="Times New Roman"/>
                <w:color w:val="000000"/>
                <w:sz w:val="22"/>
                <w:szCs w:val="22"/>
              </w:rPr>
              <w:t>47</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5D7BE63" w14:textId="77777777">
            <w:pPr>
              <w:jc w:val="center"/>
              <w:rPr>
                <w:rFonts w:eastAsia="Times New Roman"/>
                <w:color w:val="000000"/>
                <w:sz w:val="22"/>
                <w:szCs w:val="22"/>
              </w:rPr>
            </w:pPr>
            <w:r w:rsidRPr="00504543">
              <w:rPr>
                <w:rFonts w:eastAsia="Times New Roman"/>
                <w:color w:val="000000"/>
                <w:sz w:val="22"/>
                <w:szCs w:val="22"/>
              </w:rPr>
              <w:t>0</w:t>
            </w:r>
          </w:p>
        </w:tc>
      </w:tr>
      <w:tr w14:paraId="4D87D3C2"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23764833" w14:textId="77777777">
            <w:pPr>
              <w:jc w:val="center"/>
              <w:rPr>
                <w:rFonts w:eastAsia="Times New Roman"/>
                <w:color w:val="000000"/>
                <w:sz w:val="22"/>
                <w:szCs w:val="22"/>
              </w:rPr>
            </w:pPr>
            <w:r w:rsidRPr="00504543">
              <w:rPr>
                <w:rFonts w:eastAsia="Times New Roman"/>
                <w:color w:val="000000"/>
                <w:sz w:val="22"/>
                <w:szCs w:val="22"/>
              </w:rPr>
              <w:t>Hot pepper</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BBC9E94"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5E1C4345" w14:textId="77777777">
            <w:pPr>
              <w:jc w:val="center"/>
              <w:rPr>
                <w:rFonts w:eastAsia="Times New Roman"/>
                <w:color w:val="000000"/>
                <w:sz w:val="22"/>
                <w:szCs w:val="22"/>
              </w:rPr>
            </w:pPr>
            <w:r w:rsidRPr="00504543">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D4D8E0C" w14:textId="77777777">
            <w:pPr>
              <w:jc w:val="center"/>
              <w:rPr>
                <w:rFonts w:eastAsia="Times New Roman"/>
                <w:color w:val="000000"/>
                <w:sz w:val="22"/>
                <w:szCs w:val="22"/>
              </w:rPr>
            </w:pPr>
            <w:r w:rsidRPr="00504543">
              <w:rPr>
                <w:rFonts w:eastAsia="Times New Roman"/>
                <w:color w:val="000000"/>
                <w:sz w:val="22"/>
                <w:szCs w:val="22"/>
              </w:rPr>
              <w:t>32</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34F565A" w14:textId="77777777">
            <w:pPr>
              <w:jc w:val="center"/>
              <w:rPr>
                <w:rFonts w:eastAsia="Times New Roman"/>
                <w:color w:val="000000"/>
                <w:sz w:val="22"/>
                <w:szCs w:val="22"/>
              </w:rPr>
            </w:pPr>
            <w:r w:rsidRPr="00504543">
              <w:rPr>
                <w:rFonts w:eastAsia="Times New Roman"/>
                <w:color w:val="000000"/>
                <w:sz w:val="22"/>
                <w:szCs w:val="22"/>
              </w:rPr>
              <w:t>8</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35B07511" w14:textId="77777777">
            <w:pPr>
              <w:jc w:val="center"/>
              <w:rPr>
                <w:rFonts w:eastAsia="Times New Roman"/>
                <w:color w:val="000000"/>
                <w:sz w:val="22"/>
                <w:szCs w:val="22"/>
              </w:rPr>
            </w:pPr>
            <w:r w:rsidRPr="00504543">
              <w:rPr>
                <w:rFonts w:eastAsia="Times New Roman"/>
                <w:color w:val="000000"/>
                <w:sz w:val="22"/>
                <w:szCs w:val="22"/>
              </w:rPr>
              <w:t>0</w:t>
            </w:r>
          </w:p>
        </w:tc>
      </w:tr>
      <w:tr w14:paraId="71A3C37E"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6ED3975C" w14:textId="77777777">
            <w:pPr>
              <w:jc w:val="center"/>
              <w:rPr>
                <w:rFonts w:eastAsia="Times New Roman"/>
                <w:color w:val="000000"/>
                <w:sz w:val="22"/>
                <w:szCs w:val="22"/>
              </w:rPr>
            </w:pPr>
            <w:r w:rsidRPr="00504543">
              <w:rPr>
                <w:rFonts w:eastAsia="Times New Roman"/>
                <w:color w:val="000000"/>
                <w:sz w:val="22"/>
                <w:szCs w:val="22"/>
              </w:rPr>
              <w:t>Yellow onion</w:t>
            </w:r>
          </w:p>
        </w:tc>
        <w:tc>
          <w:tcPr>
            <w:tcW w:w="1340" w:type="pct"/>
            <w:tcBorders>
              <w:top w:val="nil"/>
              <w:left w:val="nil"/>
              <w:bottom w:val="single" w:sz="4" w:space="0" w:color="auto"/>
              <w:right w:val="single" w:sz="4" w:space="0" w:color="auto"/>
            </w:tcBorders>
            <w:shd w:val="clear" w:color="auto" w:fill="auto"/>
            <w:noWrap/>
            <w:vAlign w:val="bottom"/>
          </w:tcPr>
          <w:p w:rsidR="007C0AC0" w:rsidRPr="00504543" w:rsidP="00026F9A" w14:paraId="4662951D"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4EFF5A91" w14:textId="77777777">
            <w:pPr>
              <w:jc w:val="center"/>
              <w:rPr>
                <w:rFonts w:eastAsia="Times New Roman"/>
                <w:color w:val="000000"/>
                <w:sz w:val="22"/>
                <w:szCs w:val="22"/>
              </w:rPr>
            </w:pPr>
            <w:r>
              <w:rPr>
                <w:rFonts w:eastAsia="Times New Roman"/>
                <w:color w:val="000000"/>
                <w:sz w:val="22"/>
                <w:szCs w:val="22"/>
              </w:rPr>
              <w:t>3</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35424F22" w14:textId="77777777">
            <w:pPr>
              <w:jc w:val="center"/>
              <w:rPr>
                <w:rFonts w:eastAsia="Times New Roman"/>
                <w:color w:val="000000"/>
                <w:sz w:val="22"/>
                <w:szCs w:val="22"/>
              </w:rPr>
            </w:pPr>
            <w:r>
              <w:rPr>
                <w:rFonts w:eastAsia="Times New Roman"/>
                <w:color w:val="000000"/>
                <w:sz w:val="22"/>
                <w:szCs w:val="22"/>
              </w:rPr>
              <w:t>1,310</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4BE298C1" w14:textId="77777777">
            <w:pPr>
              <w:jc w:val="center"/>
              <w:rPr>
                <w:rFonts w:eastAsia="Times New Roman"/>
                <w:color w:val="000000"/>
                <w:sz w:val="22"/>
                <w:szCs w:val="22"/>
              </w:rPr>
            </w:pPr>
            <w:r>
              <w:rPr>
                <w:rFonts w:eastAsia="Times New Roman"/>
                <w:color w:val="000000"/>
                <w:sz w:val="22"/>
                <w:szCs w:val="22"/>
              </w:rPr>
              <w:t>210</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4F0AEFF1" w14:textId="77777777">
            <w:pPr>
              <w:jc w:val="center"/>
              <w:rPr>
                <w:rFonts w:eastAsia="Times New Roman"/>
                <w:color w:val="000000"/>
                <w:sz w:val="22"/>
                <w:szCs w:val="22"/>
              </w:rPr>
            </w:pPr>
            <w:r w:rsidRPr="00504543">
              <w:rPr>
                <w:rFonts w:eastAsia="Times New Roman"/>
                <w:color w:val="000000"/>
                <w:sz w:val="22"/>
                <w:szCs w:val="22"/>
              </w:rPr>
              <w:t>0</w:t>
            </w:r>
          </w:p>
        </w:tc>
      </w:tr>
      <w:tr w14:paraId="04FF0480"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328FBBE6" w14:textId="77777777">
            <w:pPr>
              <w:jc w:val="center"/>
              <w:rPr>
                <w:rFonts w:eastAsia="Times New Roman"/>
                <w:color w:val="000000"/>
                <w:sz w:val="22"/>
                <w:szCs w:val="22"/>
              </w:rPr>
            </w:pPr>
            <w:r>
              <w:rPr>
                <w:rFonts w:eastAsia="Times New Roman"/>
                <w:color w:val="000000"/>
                <w:sz w:val="22"/>
                <w:szCs w:val="22"/>
              </w:rPr>
              <w:t>Mushrooms</w:t>
            </w:r>
          </w:p>
        </w:tc>
        <w:tc>
          <w:tcPr>
            <w:tcW w:w="1340" w:type="pct"/>
            <w:tcBorders>
              <w:top w:val="nil"/>
              <w:left w:val="nil"/>
              <w:bottom w:val="single" w:sz="4" w:space="0" w:color="auto"/>
              <w:right w:val="single" w:sz="4" w:space="0" w:color="auto"/>
            </w:tcBorders>
            <w:shd w:val="clear" w:color="auto" w:fill="auto"/>
            <w:noWrap/>
            <w:vAlign w:val="bottom"/>
          </w:tcPr>
          <w:p w:rsidR="007C0AC0" w:rsidRPr="00504543" w:rsidP="00026F9A" w14:paraId="4F283B99"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55833CA4" w14:textId="77777777">
            <w:pPr>
              <w:jc w:val="center"/>
              <w:rPr>
                <w:rFonts w:eastAsia="Times New Roman"/>
                <w:color w:val="000000"/>
                <w:sz w:val="22"/>
                <w:szCs w:val="22"/>
              </w:rPr>
            </w:pPr>
            <w:r>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26BA342D" w14:textId="77777777">
            <w:pPr>
              <w:jc w:val="center"/>
              <w:rPr>
                <w:rFonts w:eastAsia="Times New Roman"/>
                <w:color w:val="000000"/>
                <w:sz w:val="22"/>
                <w:szCs w:val="22"/>
              </w:rPr>
            </w:pPr>
            <w:r>
              <w:rPr>
                <w:rFonts w:eastAsia="Times New Roman"/>
                <w:color w:val="000000"/>
                <w:sz w:val="22"/>
                <w:szCs w:val="22"/>
              </w:rPr>
              <w:t>55</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50705898" w14:textId="77777777">
            <w:pPr>
              <w:jc w:val="center"/>
              <w:rPr>
                <w:rFonts w:eastAsia="Times New Roman"/>
                <w:color w:val="000000"/>
                <w:sz w:val="22"/>
                <w:szCs w:val="22"/>
              </w:rPr>
            </w:pPr>
            <w:r>
              <w:rPr>
                <w:rFonts w:eastAsia="Times New Roman"/>
                <w:color w:val="000000"/>
                <w:sz w:val="22"/>
                <w:szCs w:val="22"/>
              </w:rPr>
              <w:t>6</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0103AC8B" w14:textId="77777777">
            <w:pPr>
              <w:jc w:val="center"/>
              <w:rPr>
                <w:rFonts w:eastAsia="Times New Roman"/>
                <w:color w:val="000000"/>
                <w:sz w:val="22"/>
                <w:szCs w:val="22"/>
              </w:rPr>
            </w:pPr>
            <w:r>
              <w:rPr>
                <w:rFonts w:eastAsia="Times New Roman"/>
                <w:color w:val="000000"/>
                <w:sz w:val="22"/>
                <w:szCs w:val="22"/>
              </w:rPr>
              <w:t>0</w:t>
            </w:r>
          </w:p>
        </w:tc>
      </w:tr>
    </w:tbl>
    <w:p w:rsidR="002E3FDC" w14:paraId="1A42D2D0" w14:textId="77777777">
      <w:r>
        <w:br w:type="page"/>
      </w:r>
    </w:p>
    <w:tbl>
      <w:tblPr>
        <w:tblW w:w="5000" w:type="pct"/>
        <w:tblLayout w:type="fixed"/>
        <w:tblLook w:val="04A0"/>
      </w:tblPr>
      <w:tblGrid>
        <w:gridCol w:w="1683"/>
        <w:gridCol w:w="2506"/>
        <w:gridCol w:w="1365"/>
        <w:gridCol w:w="875"/>
        <w:gridCol w:w="1950"/>
        <w:gridCol w:w="971"/>
      </w:tblGrid>
      <w:tr w14:paraId="66E00F8D"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465C583A" w14:textId="22CFD59E">
            <w:pPr>
              <w:jc w:val="center"/>
              <w:rPr>
                <w:rFonts w:eastAsia="Times New Roman"/>
                <w:color w:val="000000"/>
                <w:sz w:val="22"/>
                <w:szCs w:val="22"/>
              </w:rPr>
            </w:pPr>
            <w:r>
              <w:rPr>
                <w:rFonts w:eastAsia="Times New Roman"/>
                <w:color w:val="000000"/>
                <w:sz w:val="22"/>
                <w:szCs w:val="22"/>
              </w:rPr>
              <w:t>Peach</w:t>
            </w:r>
          </w:p>
        </w:tc>
        <w:tc>
          <w:tcPr>
            <w:tcW w:w="1340" w:type="pct"/>
            <w:tcBorders>
              <w:top w:val="nil"/>
              <w:left w:val="nil"/>
              <w:bottom w:val="single" w:sz="4" w:space="0" w:color="auto"/>
              <w:right w:val="single" w:sz="4" w:space="0" w:color="auto"/>
            </w:tcBorders>
            <w:shd w:val="clear" w:color="auto" w:fill="auto"/>
            <w:noWrap/>
            <w:vAlign w:val="bottom"/>
          </w:tcPr>
          <w:p w:rsidR="007C0AC0" w:rsidRPr="00504543" w:rsidP="00026F9A" w14:paraId="5FB1711C" w14:textId="77777777">
            <w:pPr>
              <w:jc w:val="center"/>
              <w:rPr>
                <w:rFonts w:eastAsia="Times New Roman"/>
                <w:i/>
                <w:iCs/>
                <w:color w:val="000000"/>
                <w:sz w:val="22"/>
                <w:szCs w:val="22"/>
              </w:rPr>
            </w:pPr>
            <w:r w:rsidRPr="00504543">
              <w:rPr>
                <w:rFonts w:eastAsia="Times New Roman"/>
                <w:i/>
                <w:iCs/>
                <w:color w:val="000000"/>
                <w:sz w:val="22"/>
                <w:szCs w:val="22"/>
              </w:rPr>
              <w:t>Salmonella</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354D1710" w14:textId="77777777">
            <w:pPr>
              <w:jc w:val="center"/>
              <w:rPr>
                <w:rFonts w:eastAsia="Times New Roman"/>
                <w:color w:val="000000"/>
                <w:sz w:val="22"/>
                <w:szCs w:val="22"/>
              </w:rPr>
            </w:pPr>
            <w:r>
              <w:rPr>
                <w:rFonts w:eastAsia="Times New Roman"/>
                <w:color w:val="000000"/>
                <w:sz w:val="22"/>
                <w:szCs w:val="22"/>
              </w:rPr>
              <w:t>1</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697A9D1F" w14:textId="77777777">
            <w:pPr>
              <w:jc w:val="center"/>
              <w:rPr>
                <w:rFonts w:eastAsia="Times New Roman"/>
                <w:color w:val="000000"/>
                <w:sz w:val="22"/>
                <w:szCs w:val="22"/>
              </w:rPr>
            </w:pPr>
            <w:r>
              <w:rPr>
                <w:rFonts w:eastAsia="Times New Roman"/>
                <w:color w:val="000000"/>
                <w:sz w:val="22"/>
                <w:szCs w:val="22"/>
              </w:rPr>
              <w:t>101</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1FEAA613" w14:textId="77777777">
            <w:pPr>
              <w:jc w:val="center"/>
              <w:rPr>
                <w:rFonts w:eastAsia="Times New Roman"/>
                <w:color w:val="000000"/>
                <w:sz w:val="22"/>
                <w:szCs w:val="22"/>
              </w:rPr>
            </w:pPr>
            <w:r>
              <w:rPr>
                <w:rFonts w:eastAsia="Times New Roman"/>
                <w:color w:val="000000"/>
                <w:sz w:val="22"/>
                <w:szCs w:val="22"/>
              </w:rPr>
              <w:t>28</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07F1EB64" w14:textId="77777777">
            <w:pPr>
              <w:jc w:val="center"/>
              <w:rPr>
                <w:rFonts w:eastAsia="Times New Roman"/>
                <w:color w:val="000000"/>
                <w:sz w:val="22"/>
                <w:szCs w:val="22"/>
              </w:rPr>
            </w:pPr>
            <w:r>
              <w:rPr>
                <w:rFonts w:eastAsia="Times New Roman"/>
                <w:color w:val="000000"/>
                <w:sz w:val="22"/>
                <w:szCs w:val="22"/>
              </w:rPr>
              <w:t>0</w:t>
            </w:r>
          </w:p>
        </w:tc>
      </w:tr>
      <w:tr w14:paraId="427FB789"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tcPr>
          <w:p w:rsidR="007C0AC0" w:rsidRPr="00504543" w:rsidP="00026F9A" w14:paraId="3CC18537" w14:textId="77777777">
            <w:pPr>
              <w:jc w:val="center"/>
              <w:rPr>
                <w:rFonts w:eastAsia="Times New Roman"/>
                <w:color w:val="000000"/>
                <w:sz w:val="22"/>
                <w:szCs w:val="22"/>
              </w:rPr>
            </w:pPr>
            <w:r>
              <w:rPr>
                <w:rFonts w:eastAsia="Times New Roman"/>
                <w:color w:val="000000"/>
                <w:sz w:val="22"/>
                <w:szCs w:val="22"/>
              </w:rPr>
              <w:t>Berries</w:t>
            </w:r>
          </w:p>
        </w:tc>
        <w:tc>
          <w:tcPr>
            <w:tcW w:w="1340" w:type="pct"/>
            <w:tcBorders>
              <w:top w:val="nil"/>
              <w:left w:val="nil"/>
              <w:bottom w:val="single" w:sz="4" w:space="0" w:color="auto"/>
              <w:right w:val="single" w:sz="4" w:space="0" w:color="auto"/>
            </w:tcBorders>
            <w:shd w:val="clear" w:color="auto" w:fill="auto"/>
            <w:noWrap/>
            <w:vAlign w:val="bottom"/>
          </w:tcPr>
          <w:p w:rsidR="007C0AC0" w:rsidRPr="00504543" w:rsidP="00026F9A" w14:paraId="67206585" w14:textId="77777777">
            <w:pPr>
              <w:jc w:val="center"/>
              <w:rPr>
                <w:rFonts w:eastAsia="Times New Roman"/>
                <w:i/>
                <w:iCs/>
                <w:color w:val="000000"/>
                <w:sz w:val="22"/>
                <w:szCs w:val="22"/>
              </w:rPr>
            </w:pPr>
            <w:r>
              <w:rPr>
                <w:rFonts w:eastAsia="Times New Roman"/>
                <w:i/>
                <w:iCs/>
                <w:color w:val="000000"/>
                <w:sz w:val="22"/>
                <w:szCs w:val="22"/>
              </w:rPr>
              <w:t>Hepatitis A virus</w:t>
            </w:r>
          </w:p>
        </w:tc>
        <w:tc>
          <w:tcPr>
            <w:tcW w:w="730" w:type="pct"/>
            <w:tcBorders>
              <w:top w:val="nil"/>
              <w:left w:val="nil"/>
              <w:bottom w:val="single" w:sz="4" w:space="0" w:color="auto"/>
              <w:right w:val="single" w:sz="4" w:space="0" w:color="auto"/>
            </w:tcBorders>
            <w:shd w:val="clear" w:color="auto" w:fill="auto"/>
            <w:noWrap/>
            <w:vAlign w:val="bottom"/>
          </w:tcPr>
          <w:p w:rsidR="007C0AC0" w:rsidRPr="00504543" w:rsidP="00026F9A" w14:paraId="60E397A6" w14:textId="77777777">
            <w:pPr>
              <w:jc w:val="center"/>
              <w:rPr>
                <w:rFonts w:eastAsia="Times New Roman"/>
                <w:color w:val="000000"/>
                <w:sz w:val="22"/>
                <w:szCs w:val="22"/>
              </w:rPr>
            </w:pPr>
            <w:r>
              <w:rPr>
                <w:rFonts w:eastAsia="Times New Roman"/>
                <w:color w:val="000000"/>
                <w:sz w:val="22"/>
                <w:szCs w:val="22"/>
              </w:rPr>
              <w:t>2</w:t>
            </w:r>
          </w:p>
        </w:tc>
        <w:tc>
          <w:tcPr>
            <w:tcW w:w="468" w:type="pct"/>
            <w:tcBorders>
              <w:top w:val="nil"/>
              <w:left w:val="nil"/>
              <w:bottom w:val="single" w:sz="4" w:space="0" w:color="auto"/>
              <w:right w:val="single" w:sz="4" w:space="0" w:color="auto"/>
            </w:tcBorders>
            <w:shd w:val="clear" w:color="auto" w:fill="auto"/>
            <w:noWrap/>
            <w:vAlign w:val="bottom"/>
          </w:tcPr>
          <w:p w:rsidR="007C0AC0" w:rsidRPr="00504543" w:rsidP="00026F9A" w14:paraId="163DB092" w14:textId="77777777">
            <w:pPr>
              <w:jc w:val="center"/>
              <w:rPr>
                <w:rFonts w:eastAsia="Times New Roman"/>
                <w:color w:val="000000"/>
                <w:sz w:val="22"/>
                <w:szCs w:val="22"/>
              </w:rPr>
            </w:pPr>
            <w:r>
              <w:rPr>
                <w:rFonts w:eastAsia="Times New Roman"/>
                <w:color w:val="000000"/>
                <w:sz w:val="22"/>
                <w:szCs w:val="22"/>
              </w:rPr>
              <w:t>51</w:t>
            </w:r>
          </w:p>
        </w:tc>
        <w:tc>
          <w:tcPr>
            <w:tcW w:w="1043" w:type="pct"/>
            <w:tcBorders>
              <w:top w:val="nil"/>
              <w:left w:val="nil"/>
              <w:bottom w:val="single" w:sz="4" w:space="0" w:color="auto"/>
              <w:right w:val="single" w:sz="4" w:space="0" w:color="auto"/>
            </w:tcBorders>
            <w:shd w:val="clear" w:color="auto" w:fill="auto"/>
            <w:noWrap/>
            <w:vAlign w:val="bottom"/>
          </w:tcPr>
          <w:p w:rsidR="007C0AC0" w:rsidRPr="00504543" w:rsidP="00026F9A" w14:paraId="57AB8EC7" w14:textId="77777777">
            <w:pPr>
              <w:jc w:val="center"/>
              <w:rPr>
                <w:rFonts w:eastAsia="Times New Roman"/>
                <w:color w:val="000000"/>
                <w:sz w:val="22"/>
                <w:szCs w:val="22"/>
              </w:rPr>
            </w:pPr>
            <w:r>
              <w:rPr>
                <w:rFonts w:eastAsia="Times New Roman"/>
                <w:color w:val="000000"/>
                <w:sz w:val="22"/>
                <w:szCs w:val="22"/>
              </w:rPr>
              <w:t>29</w:t>
            </w:r>
          </w:p>
        </w:tc>
        <w:tc>
          <w:tcPr>
            <w:tcW w:w="519" w:type="pct"/>
            <w:tcBorders>
              <w:top w:val="nil"/>
              <w:left w:val="nil"/>
              <w:bottom w:val="single" w:sz="4" w:space="0" w:color="auto"/>
              <w:right w:val="single" w:sz="4" w:space="0" w:color="auto"/>
            </w:tcBorders>
            <w:shd w:val="clear" w:color="auto" w:fill="auto"/>
            <w:noWrap/>
            <w:vAlign w:val="bottom"/>
          </w:tcPr>
          <w:p w:rsidR="007C0AC0" w:rsidRPr="00504543" w:rsidP="00026F9A" w14:paraId="6B915BE8" w14:textId="77777777">
            <w:pPr>
              <w:jc w:val="center"/>
              <w:rPr>
                <w:rFonts w:eastAsia="Times New Roman"/>
                <w:color w:val="000000"/>
                <w:sz w:val="22"/>
                <w:szCs w:val="22"/>
              </w:rPr>
            </w:pPr>
            <w:r>
              <w:rPr>
                <w:rFonts w:eastAsia="Times New Roman"/>
                <w:color w:val="000000"/>
                <w:sz w:val="22"/>
                <w:szCs w:val="22"/>
              </w:rPr>
              <w:t>0</w:t>
            </w:r>
          </w:p>
        </w:tc>
      </w:tr>
      <w:tr w14:paraId="764EA6C5" w14:textId="77777777">
        <w:tblPrEx>
          <w:tblW w:w="5000" w:type="pct"/>
          <w:tblLayout w:type="fixed"/>
          <w:tblLook w:val="04A0"/>
        </w:tblPrEx>
        <w:trPr>
          <w:trHeight w:val="288"/>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C0AC0" w:rsidRPr="00504543" w:rsidP="00026F9A" w14:paraId="38B0DE1C" w14:textId="77777777">
            <w:pPr>
              <w:jc w:val="center"/>
              <w:rPr>
                <w:rFonts w:eastAsia="Times New Roman"/>
                <w:b/>
                <w:bCs/>
                <w:color w:val="000000"/>
                <w:sz w:val="22"/>
                <w:szCs w:val="22"/>
              </w:rPr>
            </w:pPr>
            <w:r w:rsidRPr="00504543">
              <w:rPr>
                <w:rFonts w:eastAsia="Times New Roman"/>
                <w:b/>
                <w:bCs/>
                <w:color w:val="000000"/>
                <w:sz w:val="22"/>
                <w:szCs w:val="22"/>
              </w:rPr>
              <w:t>RAC Total</w:t>
            </w:r>
          </w:p>
        </w:tc>
        <w:tc>
          <w:tcPr>
            <w:tcW w:w="134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74459BC1" w14:textId="77777777">
            <w:pPr>
              <w:jc w:val="center"/>
              <w:rPr>
                <w:rFonts w:eastAsia="Times New Roman"/>
                <w:color w:val="000000"/>
                <w:sz w:val="22"/>
                <w:szCs w:val="22"/>
              </w:rPr>
            </w:pPr>
          </w:p>
        </w:tc>
        <w:tc>
          <w:tcPr>
            <w:tcW w:w="730"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2D75352C" w14:textId="77777777">
            <w:pPr>
              <w:jc w:val="center"/>
              <w:rPr>
                <w:rFonts w:eastAsia="Times New Roman"/>
                <w:b/>
                <w:bCs/>
                <w:color w:val="000000"/>
                <w:sz w:val="22"/>
                <w:szCs w:val="22"/>
              </w:rPr>
            </w:pPr>
            <w:r>
              <w:rPr>
                <w:rFonts w:eastAsia="Times New Roman"/>
                <w:b/>
                <w:bCs/>
                <w:color w:val="000000"/>
                <w:sz w:val="22"/>
                <w:szCs w:val="22"/>
              </w:rPr>
              <w:t>89</w:t>
            </w:r>
          </w:p>
        </w:tc>
        <w:tc>
          <w:tcPr>
            <w:tcW w:w="468"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0485AEC8" w14:textId="77777777">
            <w:pPr>
              <w:jc w:val="center"/>
              <w:rPr>
                <w:rFonts w:eastAsia="Times New Roman"/>
                <w:b/>
                <w:bCs/>
                <w:color w:val="000000"/>
                <w:sz w:val="22"/>
                <w:szCs w:val="22"/>
              </w:rPr>
            </w:pPr>
            <w:r>
              <w:rPr>
                <w:rFonts w:eastAsia="Times New Roman"/>
                <w:b/>
                <w:bCs/>
                <w:color w:val="000000"/>
                <w:sz w:val="22"/>
                <w:szCs w:val="22"/>
              </w:rPr>
              <w:t>8,966</w:t>
            </w:r>
          </w:p>
        </w:tc>
        <w:tc>
          <w:tcPr>
            <w:tcW w:w="1043"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178EE150" w14:textId="77777777">
            <w:pPr>
              <w:jc w:val="center"/>
              <w:rPr>
                <w:rFonts w:eastAsia="Times New Roman"/>
                <w:b/>
                <w:bCs/>
                <w:color w:val="000000"/>
                <w:sz w:val="22"/>
                <w:szCs w:val="22"/>
              </w:rPr>
            </w:pPr>
            <w:r>
              <w:rPr>
                <w:rFonts w:eastAsia="Times New Roman"/>
                <w:b/>
                <w:bCs/>
                <w:color w:val="000000"/>
                <w:sz w:val="22"/>
                <w:szCs w:val="22"/>
              </w:rPr>
              <w:t>1,693</w:t>
            </w:r>
          </w:p>
        </w:tc>
        <w:tc>
          <w:tcPr>
            <w:tcW w:w="519" w:type="pct"/>
            <w:tcBorders>
              <w:top w:val="nil"/>
              <w:left w:val="nil"/>
              <w:bottom w:val="single" w:sz="4" w:space="0" w:color="auto"/>
              <w:right w:val="single" w:sz="4" w:space="0" w:color="auto"/>
            </w:tcBorders>
            <w:shd w:val="clear" w:color="auto" w:fill="auto"/>
            <w:noWrap/>
            <w:vAlign w:val="bottom"/>
            <w:hideMark/>
          </w:tcPr>
          <w:p w:rsidR="007C0AC0" w:rsidRPr="00504543" w:rsidP="00026F9A" w14:paraId="5F666572" w14:textId="77777777">
            <w:pPr>
              <w:jc w:val="center"/>
              <w:rPr>
                <w:rFonts w:eastAsia="Times New Roman"/>
                <w:b/>
                <w:bCs/>
                <w:color w:val="000000"/>
                <w:sz w:val="22"/>
                <w:szCs w:val="22"/>
              </w:rPr>
            </w:pPr>
            <w:r>
              <w:rPr>
                <w:rFonts w:eastAsia="Times New Roman"/>
                <w:b/>
                <w:bCs/>
                <w:color w:val="000000"/>
                <w:sz w:val="22"/>
                <w:szCs w:val="22"/>
              </w:rPr>
              <w:t>50</w:t>
            </w:r>
          </w:p>
        </w:tc>
      </w:tr>
    </w:tbl>
    <w:p w:rsidR="007C0AC0" w:rsidP="00026F9A" w14:paraId="4260C409" w14:textId="7C2A9646">
      <w:r w:rsidRPr="007A7252">
        <w:t xml:space="preserve">Note: The </w:t>
      </w:r>
      <w:r w:rsidRPr="009A51C4">
        <w:rPr>
          <w:i/>
        </w:rPr>
        <w:t>E. coli</w:t>
      </w:r>
      <w:r w:rsidRPr="000F25DB">
        <w:t xml:space="preserve"> O157:H7</w:t>
      </w:r>
      <w:r>
        <w:t xml:space="preserve"> </w:t>
      </w:r>
      <w:r w:rsidRPr="007A7252">
        <w:t xml:space="preserve">nut outbreak is associated with hazelnuts, which are not covered by the final </w:t>
      </w:r>
      <w:r>
        <w:t xml:space="preserve">2015 </w:t>
      </w:r>
      <w:r w:rsidR="00026B9D">
        <w:t>produce safety final rule</w:t>
      </w:r>
      <w:r w:rsidRPr="007A7252">
        <w:t>. We exclude this outbreak from further calculations.</w:t>
      </w:r>
    </w:p>
    <w:p w:rsidR="007C0AC0" w:rsidRPr="007A7252" w:rsidP="00026F9A" w14:paraId="154D5979" w14:textId="77777777"/>
    <w:p w:rsidR="007C0AC0" w:rsidP="00026F9A" w14:paraId="536E4661" w14:textId="189FDBF5">
      <w:pPr>
        <w:spacing w:line="480" w:lineRule="auto"/>
        <w:ind w:firstLine="720"/>
      </w:pPr>
      <w:r>
        <w:t xml:space="preserve">To estimate the annual number of illnesses attributable to covered produce RACs, we apply FDA and CDC outbreak data to the estimated number of illnesses estimated by Scallan et al. </w:t>
      </w:r>
      <w:r w:rsidRPr="00276D8F">
        <w:t xml:space="preserve">(Ref. </w:t>
      </w:r>
      <w:r w:rsidR="00BA1E4B">
        <w:t>21</w:t>
      </w:r>
      <w:r w:rsidRPr="00276D8F">
        <w:t>). For</w:t>
      </w:r>
      <w:r>
        <w:t xml:space="preserve"> each observed foodborne illness agent, we divide the number of FDA-regulated covered produce illnesses by the total number of outbreaks for all foods (i.e., CDC outbreak data) to yield the estimated foodborne illnesses attributable to covered produce RACs. The resulting percentage is multiplied by the estimated incidence of each foodborne illness agent estimated in Scallan et al. to yield the estimate annual illnesses attributable to covered produce R</w:t>
      </w:r>
      <w:r w:rsidRPr="00276D8F">
        <w:t xml:space="preserve">ACs (Ref. </w:t>
      </w:r>
      <w:r w:rsidRPr="00276D8F" w:rsidR="002836D2">
        <w:t>15</w:t>
      </w:r>
      <w:r w:rsidRPr="00276D8F">
        <w:t xml:space="preserve">). As noted in the 2015 FRIA (Ref. </w:t>
      </w:r>
      <w:r w:rsidRPr="00276D8F" w:rsidR="00226424">
        <w:t>8</w:t>
      </w:r>
      <w:r w:rsidRPr="00276D8F">
        <w:t>), this</w:t>
      </w:r>
      <w:r>
        <w:t xml:space="preserve"> corrects for potential under-reporting and under-identification of foodborne illnesses in CDC data.</w:t>
      </w:r>
    </w:p>
    <w:p w:rsidR="007C0AC0" w:rsidP="00026F9A" w14:paraId="488EE5C2" w14:textId="77777777">
      <w:pPr>
        <w:spacing w:line="480" w:lineRule="auto"/>
        <w:ind w:firstLine="720"/>
      </w:pPr>
      <w:r>
        <w:t>Table A2 presents the updated estimated number of illnesses from covered non-sprout produce RACs from 2009 to 2020. This table is analogous to Table 6 in the 2015 FRIA for non-sprout produce.</w:t>
      </w:r>
    </w:p>
    <w:p w:rsidR="007C0AC0" w:rsidRPr="00373D43" w:rsidP="00026F9A" w14:paraId="2D111A3F" w14:textId="77777777">
      <w:pPr>
        <w:rPr>
          <w:b/>
        </w:rPr>
      </w:pPr>
      <w:r w:rsidRPr="00373D43">
        <w:rPr>
          <w:b/>
        </w:rPr>
        <w:t>Table A2</w:t>
      </w:r>
      <w:r>
        <w:rPr>
          <w:b/>
        </w:rPr>
        <w:t>:</w:t>
      </w:r>
      <w:r w:rsidRPr="00373D43">
        <w:rPr>
          <w:b/>
        </w:rPr>
        <w:t xml:space="preserve"> Estimate</w:t>
      </w:r>
      <w:r>
        <w:rPr>
          <w:b/>
        </w:rPr>
        <w:t>d</w:t>
      </w:r>
      <w:r w:rsidRPr="00373D43">
        <w:rPr>
          <w:b/>
        </w:rPr>
        <w:t xml:space="preserve"> Number of Illnesses, 2009-20</w:t>
      </w:r>
      <w:r>
        <w:rPr>
          <w:b/>
        </w:rPr>
        <w:t>20</w:t>
      </w:r>
      <w:r w:rsidRPr="00373D43">
        <w:rPr>
          <w:b/>
        </w:rPr>
        <w:t>.</w:t>
      </w:r>
    </w:p>
    <w:tbl>
      <w:tblPr>
        <w:tblW w:w="5000" w:type="pct"/>
        <w:tblLayout w:type="fixed"/>
        <w:tblLook w:val="04A0"/>
      </w:tblPr>
      <w:tblGrid>
        <w:gridCol w:w="2426"/>
        <w:gridCol w:w="1260"/>
        <w:gridCol w:w="1348"/>
        <w:gridCol w:w="1300"/>
        <w:gridCol w:w="1397"/>
        <w:gridCol w:w="1619"/>
      </w:tblGrid>
      <w:tr w14:paraId="261168F5" w14:textId="77777777">
        <w:tblPrEx>
          <w:tblW w:w="5000" w:type="pct"/>
          <w:tblLayout w:type="fixed"/>
          <w:tblLook w:val="04A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AC0" w:rsidRPr="009D1DCF" w:rsidP="00026F9A" w14:paraId="0428A367" w14:textId="77777777">
            <w:pPr>
              <w:rPr>
                <w:rFonts w:eastAsia="Times New Roman"/>
                <w:b/>
                <w:bCs/>
                <w:color w:val="000000"/>
              </w:rPr>
            </w:pPr>
            <w:r w:rsidRPr="009D1DCF">
              <w:rPr>
                <w:rFonts w:eastAsia="Times New Roman"/>
                <w:b/>
                <w:bCs/>
                <w:color w:val="000000"/>
              </w:rPr>
              <w:t xml:space="preserve">Estimated Number of Illnesses Attributable to Produce RACs </w:t>
            </w:r>
            <w:r>
              <w:rPr>
                <w:rFonts w:eastAsia="Times New Roman"/>
                <w:b/>
                <w:bCs/>
                <w:color w:val="000000"/>
              </w:rPr>
              <w:t>Other Than Sprouts</w:t>
            </w:r>
            <w:r w:rsidRPr="009D1DCF">
              <w:rPr>
                <w:rFonts w:eastAsia="Times New Roman"/>
                <w:b/>
                <w:bCs/>
                <w:color w:val="000000"/>
              </w:rPr>
              <w:t> </w:t>
            </w:r>
          </w:p>
        </w:tc>
      </w:tr>
      <w:tr w14:paraId="62E8FDE2" w14:textId="77777777">
        <w:tblPrEx>
          <w:tblW w:w="5000" w:type="pct"/>
          <w:tblLayout w:type="fixed"/>
          <w:tblLook w:val="04A0"/>
        </w:tblPrEx>
        <w:trPr>
          <w:trHeight w:val="864"/>
        </w:trPr>
        <w:tc>
          <w:tcPr>
            <w:tcW w:w="1297" w:type="pct"/>
            <w:tcBorders>
              <w:top w:val="nil"/>
              <w:left w:val="single" w:sz="4" w:space="0" w:color="auto"/>
              <w:bottom w:val="single" w:sz="4" w:space="0" w:color="auto"/>
              <w:right w:val="single" w:sz="4" w:space="0" w:color="auto"/>
            </w:tcBorders>
            <w:shd w:val="clear" w:color="auto" w:fill="auto"/>
            <w:vAlign w:val="bottom"/>
            <w:hideMark/>
          </w:tcPr>
          <w:p w:rsidR="007C0AC0" w:rsidRPr="009D1DCF" w:rsidP="00026F9A" w14:paraId="04F43DDF" w14:textId="77777777">
            <w:pPr>
              <w:jc w:val="center"/>
              <w:rPr>
                <w:rFonts w:eastAsia="Times New Roman"/>
                <w:b/>
                <w:bCs/>
                <w:color w:val="000000"/>
              </w:rPr>
            </w:pPr>
            <w:r w:rsidRPr="009D1DCF">
              <w:rPr>
                <w:rFonts w:eastAsia="Times New Roman"/>
                <w:b/>
                <w:bCs/>
                <w:color w:val="000000"/>
              </w:rPr>
              <w:t>Agent</w:t>
            </w:r>
          </w:p>
        </w:tc>
        <w:tc>
          <w:tcPr>
            <w:tcW w:w="674" w:type="pct"/>
            <w:tcBorders>
              <w:top w:val="nil"/>
              <w:left w:val="nil"/>
              <w:bottom w:val="single" w:sz="4" w:space="0" w:color="auto"/>
              <w:right w:val="single" w:sz="4" w:space="0" w:color="auto"/>
            </w:tcBorders>
            <w:shd w:val="clear" w:color="auto" w:fill="auto"/>
            <w:vAlign w:val="bottom"/>
            <w:hideMark/>
          </w:tcPr>
          <w:p w:rsidR="007C0AC0" w:rsidRPr="009D1DCF" w:rsidP="00026F9A" w14:paraId="28F656B3" w14:textId="77777777">
            <w:pPr>
              <w:jc w:val="center"/>
              <w:rPr>
                <w:rFonts w:eastAsia="Times New Roman"/>
                <w:b/>
                <w:bCs/>
                <w:color w:val="000000"/>
              </w:rPr>
            </w:pPr>
            <w:r w:rsidRPr="009D1DCF">
              <w:rPr>
                <w:rFonts w:eastAsia="Times New Roman"/>
                <w:b/>
                <w:bCs/>
                <w:color w:val="000000"/>
              </w:rPr>
              <w:t>FDA RAC (2009-20</w:t>
            </w:r>
            <w:r>
              <w:rPr>
                <w:rFonts w:eastAsia="Times New Roman"/>
                <w:b/>
                <w:bCs/>
                <w:color w:val="000000"/>
              </w:rPr>
              <w:t>20</w:t>
            </w:r>
            <w:r w:rsidRPr="009D1DCF">
              <w:rPr>
                <w:rFonts w:eastAsia="Times New Roman"/>
                <w:b/>
                <w:bCs/>
                <w:color w:val="000000"/>
              </w:rPr>
              <w:t>)</w:t>
            </w:r>
          </w:p>
        </w:tc>
        <w:tc>
          <w:tcPr>
            <w:tcW w:w="721" w:type="pct"/>
            <w:tcBorders>
              <w:top w:val="nil"/>
              <w:left w:val="nil"/>
              <w:bottom w:val="single" w:sz="4" w:space="0" w:color="auto"/>
              <w:right w:val="single" w:sz="4" w:space="0" w:color="auto"/>
            </w:tcBorders>
            <w:shd w:val="clear" w:color="auto" w:fill="auto"/>
            <w:vAlign w:val="bottom"/>
            <w:hideMark/>
          </w:tcPr>
          <w:p w:rsidR="007C0AC0" w:rsidRPr="009D1DCF" w:rsidP="00026F9A" w14:paraId="0D68DDD5" w14:textId="77777777">
            <w:pPr>
              <w:jc w:val="center"/>
              <w:rPr>
                <w:rFonts w:eastAsia="Times New Roman"/>
                <w:b/>
                <w:bCs/>
                <w:color w:val="000000"/>
              </w:rPr>
            </w:pPr>
            <w:r w:rsidRPr="009D1DCF">
              <w:rPr>
                <w:rFonts w:eastAsia="Times New Roman"/>
                <w:b/>
                <w:bCs/>
                <w:color w:val="000000"/>
              </w:rPr>
              <w:t>Identified Cases (2009-20</w:t>
            </w:r>
            <w:r>
              <w:rPr>
                <w:rFonts w:eastAsia="Times New Roman"/>
                <w:b/>
                <w:bCs/>
                <w:color w:val="000000"/>
              </w:rPr>
              <w:t>20</w:t>
            </w:r>
            <w:r w:rsidRPr="009D1DCF">
              <w:rPr>
                <w:rFonts w:eastAsia="Times New Roman"/>
                <w:b/>
                <w:bCs/>
                <w:color w:val="000000"/>
              </w:rPr>
              <w:t>)</w:t>
            </w:r>
          </w:p>
        </w:tc>
        <w:tc>
          <w:tcPr>
            <w:tcW w:w="695" w:type="pct"/>
            <w:tcBorders>
              <w:top w:val="nil"/>
              <w:left w:val="nil"/>
              <w:bottom w:val="single" w:sz="4" w:space="0" w:color="auto"/>
              <w:right w:val="single" w:sz="4" w:space="0" w:color="auto"/>
            </w:tcBorders>
            <w:shd w:val="clear" w:color="auto" w:fill="auto"/>
            <w:vAlign w:val="bottom"/>
            <w:hideMark/>
          </w:tcPr>
          <w:p w:rsidR="007C0AC0" w:rsidRPr="009D1DCF" w:rsidP="00026F9A" w14:paraId="0B12EED4" w14:textId="77777777">
            <w:pPr>
              <w:jc w:val="center"/>
              <w:rPr>
                <w:rFonts w:eastAsia="Times New Roman"/>
                <w:b/>
                <w:bCs/>
                <w:color w:val="000000"/>
              </w:rPr>
            </w:pPr>
            <w:r w:rsidRPr="009D1DCF">
              <w:rPr>
                <w:rFonts w:eastAsia="Times New Roman"/>
                <w:b/>
                <w:bCs/>
                <w:color w:val="000000"/>
              </w:rPr>
              <w:t>Percentage Attributable to RACs</w:t>
            </w:r>
          </w:p>
        </w:tc>
        <w:tc>
          <w:tcPr>
            <w:tcW w:w="747" w:type="pct"/>
            <w:tcBorders>
              <w:top w:val="nil"/>
              <w:left w:val="nil"/>
              <w:bottom w:val="single" w:sz="4" w:space="0" w:color="auto"/>
              <w:right w:val="single" w:sz="4" w:space="0" w:color="auto"/>
            </w:tcBorders>
            <w:shd w:val="clear" w:color="auto" w:fill="auto"/>
            <w:vAlign w:val="bottom"/>
            <w:hideMark/>
          </w:tcPr>
          <w:p w:rsidR="007C0AC0" w:rsidRPr="009D1DCF" w:rsidP="00026F9A" w14:paraId="7060E233" w14:textId="77777777">
            <w:pPr>
              <w:jc w:val="center"/>
              <w:rPr>
                <w:rFonts w:eastAsia="Times New Roman"/>
                <w:b/>
                <w:bCs/>
                <w:color w:val="000000"/>
              </w:rPr>
            </w:pPr>
            <w:r w:rsidRPr="009D1DCF">
              <w:rPr>
                <w:rFonts w:eastAsia="Times New Roman"/>
                <w:b/>
                <w:bCs/>
                <w:color w:val="000000"/>
              </w:rPr>
              <w:t>Estimated Annual Foodborne Illnesses (Scallan)</w:t>
            </w:r>
          </w:p>
        </w:tc>
        <w:tc>
          <w:tcPr>
            <w:tcW w:w="866" w:type="pct"/>
            <w:tcBorders>
              <w:top w:val="nil"/>
              <w:left w:val="nil"/>
              <w:bottom w:val="single" w:sz="4" w:space="0" w:color="auto"/>
              <w:right w:val="single" w:sz="4" w:space="0" w:color="auto"/>
            </w:tcBorders>
            <w:shd w:val="clear" w:color="auto" w:fill="auto"/>
            <w:vAlign w:val="bottom"/>
            <w:hideMark/>
          </w:tcPr>
          <w:p w:rsidR="007C0AC0" w:rsidRPr="009D1DCF" w:rsidP="00026F9A" w14:paraId="4FD2BEA7" w14:textId="77777777">
            <w:pPr>
              <w:jc w:val="center"/>
              <w:rPr>
                <w:rFonts w:eastAsia="Times New Roman"/>
                <w:b/>
                <w:bCs/>
                <w:color w:val="000000"/>
              </w:rPr>
            </w:pPr>
            <w:r w:rsidRPr="009D1DCF">
              <w:rPr>
                <w:rFonts w:eastAsia="Times New Roman"/>
                <w:b/>
                <w:bCs/>
                <w:color w:val="000000"/>
              </w:rPr>
              <w:t>Estimated Annual Illnesses Attributable to RACs</w:t>
            </w:r>
          </w:p>
        </w:tc>
      </w:tr>
      <w:tr w14:paraId="6447F414" w14:textId="77777777">
        <w:tblPrEx>
          <w:tblW w:w="5000" w:type="pct"/>
          <w:tblLayout w:type="fixed"/>
          <w:tblLook w:val="04A0"/>
        </w:tblPrEx>
        <w:trPr>
          <w:trHeight w:val="288"/>
        </w:trPr>
        <w:tc>
          <w:tcPr>
            <w:tcW w:w="1297" w:type="pct"/>
            <w:tcBorders>
              <w:top w:val="nil"/>
              <w:left w:val="single" w:sz="4" w:space="0" w:color="auto"/>
              <w:bottom w:val="single" w:sz="4" w:space="0" w:color="auto"/>
              <w:right w:val="single" w:sz="4" w:space="0" w:color="auto"/>
            </w:tcBorders>
            <w:shd w:val="clear" w:color="auto" w:fill="auto"/>
            <w:noWrap/>
            <w:vAlign w:val="bottom"/>
            <w:hideMark/>
          </w:tcPr>
          <w:p w:rsidR="007C0AC0" w:rsidRPr="009D1DCF" w:rsidP="00026F9A" w14:paraId="1F60B28D" w14:textId="77777777">
            <w:pPr>
              <w:jc w:val="center"/>
              <w:rPr>
                <w:rFonts w:eastAsia="Times New Roman"/>
                <w:i/>
                <w:color w:val="000000"/>
              </w:rPr>
            </w:pPr>
            <w:r w:rsidRPr="009D1DCF">
              <w:rPr>
                <w:rFonts w:eastAsia="Times New Roman"/>
                <w:i/>
                <w:color w:val="000000"/>
              </w:rPr>
              <w:t>Salmonella</w:t>
            </w:r>
          </w:p>
        </w:tc>
        <w:tc>
          <w:tcPr>
            <w:tcW w:w="674" w:type="pct"/>
            <w:tcBorders>
              <w:top w:val="nil"/>
              <w:left w:val="nil"/>
              <w:bottom w:val="single" w:sz="4" w:space="0" w:color="auto"/>
              <w:right w:val="single" w:sz="4" w:space="0" w:color="auto"/>
            </w:tcBorders>
            <w:shd w:val="clear" w:color="auto" w:fill="auto"/>
            <w:noWrap/>
            <w:vAlign w:val="bottom"/>
          </w:tcPr>
          <w:p w:rsidR="007C0AC0" w:rsidRPr="009D1DCF" w:rsidP="00026F9A" w14:paraId="5BAE90D4" w14:textId="77777777">
            <w:pPr>
              <w:jc w:val="center"/>
              <w:rPr>
                <w:rFonts w:eastAsia="Times New Roman"/>
                <w:color w:val="000000"/>
              </w:rPr>
            </w:pPr>
            <w:r>
              <w:rPr>
                <w:rFonts w:eastAsia="Times New Roman"/>
                <w:color w:val="000000"/>
              </w:rPr>
              <w:t>6,455</w:t>
            </w:r>
          </w:p>
        </w:tc>
        <w:tc>
          <w:tcPr>
            <w:tcW w:w="721" w:type="pct"/>
            <w:tcBorders>
              <w:top w:val="nil"/>
              <w:left w:val="nil"/>
              <w:bottom w:val="single" w:sz="4" w:space="0" w:color="auto"/>
              <w:right w:val="single" w:sz="4" w:space="0" w:color="auto"/>
            </w:tcBorders>
            <w:shd w:val="clear" w:color="auto" w:fill="auto"/>
            <w:noWrap/>
            <w:vAlign w:val="bottom"/>
          </w:tcPr>
          <w:p w:rsidR="007C0AC0" w:rsidRPr="009D1DCF" w:rsidP="00026F9A" w14:paraId="52F70B67" w14:textId="77777777">
            <w:pPr>
              <w:jc w:val="center"/>
              <w:rPr>
                <w:rFonts w:eastAsia="Times New Roman"/>
                <w:color w:val="000000"/>
              </w:rPr>
            </w:pPr>
            <w:r>
              <w:rPr>
                <w:rFonts w:eastAsia="Times New Roman"/>
                <w:color w:val="000000"/>
              </w:rPr>
              <w:t>41,227</w:t>
            </w:r>
          </w:p>
        </w:tc>
        <w:tc>
          <w:tcPr>
            <w:tcW w:w="695" w:type="pct"/>
            <w:tcBorders>
              <w:top w:val="nil"/>
              <w:left w:val="nil"/>
              <w:bottom w:val="single" w:sz="4" w:space="0" w:color="auto"/>
              <w:right w:val="single" w:sz="4" w:space="0" w:color="auto"/>
            </w:tcBorders>
            <w:shd w:val="clear" w:color="auto" w:fill="auto"/>
            <w:noWrap/>
            <w:vAlign w:val="bottom"/>
          </w:tcPr>
          <w:p w:rsidR="007C0AC0" w:rsidRPr="009D1DCF" w:rsidP="00026F9A" w14:paraId="6A7D47F4" w14:textId="77777777">
            <w:pPr>
              <w:jc w:val="center"/>
              <w:rPr>
                <w:rFonts w:eastAsia="Times New Roman"/>
                <w:color w:val="000000"/>
              </w:rPr>
            </w:pPr>
            <w:r>
              <w:rPr>
                <w:rFonts w:eastAsia="Times New Roman"/>
                <w:color w:val="000000"/>
              </w:rPr>
              <w:t>15.66%</w:t>
            </w:r>
          </w:p>
        </w:tc>
        <w:tc>
          <w:tcPr>
            <w:tcW w:w="747" w:type="pct"/>
            <w:tcBorders>
              <w:top w:val="nil"/>
              <w:left w:val="nil"/>
              <w:bottom w:val="single" w:sz="4" w:space="0" w:color="auto"/>
              <w:right w:val="single" w:sz="4" w:space="0" w:color="auto"/>
            </w:tcBorders>
            <w:shd w:val="clear" w:color="auto" w:fill="auto"/>
            <w:noWrap/>
            <w:vAlign w:val="bottom"/>
          </w:tcPr>
          <w:p w:rsidR="007C0AC0" w:rsidRPr="009D1DCF" w:rsidP="00026F9A" w14:paraId="633E5E2A" w14:textId="77777777">
            <w:pPr>
              <w:jc w:val="center"/>
              <w:rPr>
                <w:rFonts w:eastAsia="Times New Roman"/>
                <w:color w:val="000000"/>
              </w:rPr>
            </w:pPr>
            <w:r>
              <w:rPr>
                <w:rFonts w:eastAsia="Times New Roman"/>
                <w:color w:val="000000"/>
              </w:rPr>
              <w:t>1,072,450</w:t>
            </w:r>
          </w:p>
        </w:tc>
        <w:tc>
          <w:tcPr>
            <w:tcW w:w="866" w:type="pct"/>
            <w:tcBorders>
              <w:top w:val="nil"/>
              <w:left w:val="nil"/>
              <w:bottom w:val="single" w:sz="4" w:space="0" w:color="auto"/>
              <w:right w:val="single" w:sz="4" w:space="0" w:color="auto"/>
            </w:tcBorders>
            <w:shd w:val="clear" w:color="auto" w:fill="auto"/>
            <w:noWrap/>
            <w:vAlign w:val="bottom"/>
          </w:tcPr>
          <w:p w:rsidR="007C0AC0" w:rsidRPr="009D1DCF" w:rsidP="00026F9A" w14:paraId="6AAF5B21" w14:textId="77777777">
            <w:pPr>
              <w:jc w:val="center"/>
              <w:rPr>
                <w:rFonts w:eastAsia="Times New Roman"/>
                <w:color w:val="000000"/>
              </w:rPr>
            </w:pPr>
            <w:r>
              <w:rPr>
                <w:rFonts w:eastAsia="Times New Roman"/>
                <w:color w:val="000000"/>
              </w:rPr>
              <w:t>167,916</w:t>
            </w:r>
          </w:p>
        </w:tc>
      </w:tr>
      <w:tr w14:paraId="6DFF2FE1" w14:textId="77777777">
        <w:tblPrEx>
          <w:tblW w:w="5000" w:type="pct"/>
          <w:tblLayout w:type="fixed"/>
          <w:tblLook w:val="04A0"/>
        </w:tblPrEx>
        <w:trPr>
          <w:trHeight w:val="288"/>
        </w:trPr>
        <w:tc>
          <w:tcPr>
            <w:tcW w:w="1297" w:type="pct"/>
            <w:tcBorders>
              <w:top w:val="nil"/>
              <w:left w:val="single" w:sz="4" w:space="0" w:color="auto"/>
              <w:bottom w:val="single" w:sz="4" w:space="0" w:color="auto"/>
              <w:right w:val="single" w:sz="4" w:space="0" w:color="auto"/>
            </w:tcBorders>
            <w:shd w:val="clear" w:color="auto" w:fill="auto"/>
            <w:noWrap/>
            <w:vAlign w:val="bottom"/>
            <w:hideMark/>
          </w:tcPr>
          <w:p w:rsidR="007C0AC0" w:rsidRPr="009D1DCF" w:rsidP="00026F9A" w14:paraId="376B7D1B" w14:textId="77777777">
            <w:pPr>
              <w:jc w:val="center"/>
              <w:rPr>
                <w:rFonts w:eastAsia="Times New Roman"/>
                <w:i/>
                <w:color w:val="000000"/>
              </w:rPr>
            </w:pPr>
            <w:r w:rsidRPr="009D1DCF">
              <w:rPr>
                <w:rFonts w:eastAsia="Times New Roman"/>
                <w:i/>
                <w:color w:val="000000"/>
              </w:rPr>
              <w:t>Cyclospora cayatenensis</w:t>
            </w:r>
          </w:p>
        </w:tc>
        <w:tc>
          <w:tcPr>
            <w:tcW w:w="674" w:type="pct"/>
            <w:tcBorders>
              <w:top w:val="nil"/>
              <w:left w:val="nil"/>
              <w:bottom w:val="single" w:sz="4" w:space="0" w:color="auto"/>
              <w:right w:val="single" w:sz="4" w:space="0" w:color="auto"/>
            </w:tcBorders>
            <w:shd w:val="clear" w:color="auto" w:fill="auto"/>
            <w:noWrap/>
            <w:vAlign w:val="bottom"/>
          </w:tcPr>
          <w:p w:rsidR="007C0AC0" w:rsidRPr="009D1DCF" w:rsidP="00026F9A" w14:paraId="31AB467B" w14:textId="77777777">
            <w:pPr>
              <w:jc w:val="center"/>
              <w:rPr>
                <w:rFonts w:eastAsia="Times New Roman"/>
                <w:color w:val="000000"/>
              </w:rPr>
            </w:pPr>
            <w:r>
              <w:rPr>
                <w:rFonts w:eastAsia="Times New Roman"/>
                <w:color w:val="000000"/>
              </w:rPr>
              <w:t>2,559</w:t>
            </w:r>
          </w:p>
        </w:tc>
        <w:tc>
          <w:tcPr>
            <w:tcW w:w="721" w:type="pct"/>
            <w:tcBorders>
              <w:top w:val="nil"/>
              <w:left w:val="nil"/>
              <w:bottom w:val="single" w:sz="4" w:space="0" w:color="auto"/>
              <w:right w:val="single" w:sz="4" w:space="0" w:color="auto"/>
            </w:tcBorders>
            <w:shd w:val="clear" w:color="auto" w:fill="auto"/>
            <w:noWrap/>
            <w:vAlign w:val="bottom"/>
          </w:tcPr>
          <w:p w:rsidR="007C0AC0" w:rsidRPr="009D1DCF" w:rsidP="00026F9A" w14:paraId="12BBB613" w14:textId="77777777">
            <w:pPr>
              <w:jc w:val="center"/>
              <w:rPr>
                <w:rFonts w:eastAsia="Times New Roman"/>
                <w:color w:val="000000"/>
              </w:rPr>
            </w:pPr>
            <w:r>
              <w:rPr>
                <w:rFonts w:eastAsia="Times New Roman"/>
                <w:color w:val="000000"/>
              </w:rPr>
              <w:t>3,871</w:t>
            </w:r>
          </w:p>
        </w:tc>
        <w:tc>
          <w:tcPr>
            <w:tcW w:w="695" w:type="pct"/>
            <w:tcBorders>
              <w:top w:val="nil"/>
              <w:left w:val="nil"/>
              <w:bottom w:val="single" w:sz="4" w:space="0" w:color="auto"/>
              <w:right w:val="single" w:sz="4" w:space="0" w:color="auto"/>
            </w:tcBorders>
            <w:shd w:val="clear" w:color="auto" w:fill="auto"/>
            <w:noWrap/>
            <w:vAlign w:val="bottom"/>
          </w:tcPr>
          <w:p w:rsidR="007C0AC0" w:rsidRPr="009D1DCF" w:rsidP="00026F9A" w14:paraId="4644C521" w14:textId="77777777">
            <w:pPr>
              <w:jc w:val="center"/>
              <w:rPr>
                <w:rFonts w:eastAsia="Times New Roman"/>
                <w:color w:val="000000"/>
              </w:rPr>
            </w:pPr>
            <w:r>
              <w:rPr>
                <w:rFonts w:eastAsia="Times New Roman"/>
                <w:color w:val="000000"/>
              </w:rPr>
              <w:t>66.11%</w:t>
            </w:r>
          </w:p>
        </w:tc>
        <w:tc>
          <w:tcPr>
            <w:tcW w:w="747" w:type="pct"/>
            <w:tcBorders>
              <w:top w:val="nil"/>
              <w:left w:val="nil"/>
              <w:bottom w:val="single" w:sz="4" w:space="0" w:color="auto"/>
              <w:right w:val="single" w:sz="4" w:space="0" w:color="auto"/>
            </w:tcBorders>
            <w:shd w:val="clear" w:color="auto" w:fill="auto"/>
            <w:noWrap/>
            <w:vAlign w:val="bottom"/>
          </w:tcPr>
          <w:p w:rsidR="007C0AC0" w:rsidRPr="009D1DCF" w:rsidP="00026F9A" w14:paraId="574B4EBD" w14:textId="77777777">
            <w:pPr>
              <w:jc w:val="center"/>
              <w:rPr>
                <w:rFonts w:eastAsia="Times New Roman"/>
                <w:color w:val="000000"/>
              </w:rPr>
            </w:pPr>
            <w:r>
              <w:rPr>
                <w:rFonts w:eastAsia="Times New Roman"/>
                <w:color w:val="000000"/>
              </w:rPr>
              <w:t>13,906</w:t>
            </w:r>
          </w:p>
        </w:tc>
        <w:tc>
          <w:tcPr>
            <w:tcW w:w="866" w:type="pct"/>
            <w:tcBorders>
              <w:top w:val="nil"/>
              <w:left w:val="nil"/>
              <w:bottom w:val="single" w:sz="4" w:space="0" w:color="auto"/>
              <w:right w:val="single" w:sz="4" w:space="0" w:color="auto"/>
            </w:tcBorders>
            <w:shd w:val="clear" w:color="auto" w:fill="auto"/>
            <w:noWrap/>
            <w:vAlign w:val="bottom"/>
          </w:tcPr>
          <w:p w:rsidR="007C0AC0" w:rsidRPr="009D1DCF" w:rsidP="00026F9A" w14:paraId="7F189AFF" w14:textId="77777777">
            <w:pPr>
              <w:jc w:val="center"/>
              <w:rPr>
                <w:rFonts w:eastAsia="Times New Roman"/>
                <w:color w:val="000000"/>
              </w:rPr>
            </w:pPr>
            <w:r>
              <w:rPr>
                <w:rFonts w:eastAsia="Times New Roman"/>
                <w:color w:val="000000"/>
              </w:rPr>
              <w:t>9,193</w:t>
            </w:r>
          </w:p>
        </w:tc>
      </w:tr>
      <w:tr w14:paraId="51D63965" w14:textId="77777777">
        <w:tblPrEx>
          <w:tblW w:w="5000" w:type="pct"/>
          <w:tblLayout w:type="fixed"/>
          <w:tblLook w:val="04A0"/>
        </w:tblPrEx>
        <w:trPr>
          <w:trHeight w:val="288"/>
        </w:trPr>
        <w:tc>
          <w:tcPr>
            <w:tcW w:w="1297" w:type="pct"/>
            <w:tcBorders>
              <w:top w:val="nil"/>
              <w:left w:val="single" w:sz="4" w:space="0" w:color="auto"/>
              <w:bottom w:val="single" w:sz="4" w:space="0" w:color="auto"/>
              <w:right w:val="single" w:sz="4" w:space="0" w:color="auto"/>
            </w:tcBorders>
            <w:shd w:val="clear" w:color="auto" w:fill="auto"/>
            <w:noWrap/>
            <w:vAlign w:val="bottom"/>
            <w:hideMark/>
          </w:tcPr>
          <w:p w:rsidR="007C0AC0" w:rsidRPr="009D1DCF" w:rsidP="00026F9A" w14:paraId="71DCC5B1" w14:textId="77777777">
            <w:pPr>
              <w:jc w:val="center"/>
              <w:rPr>
                <w:rFonts w:eastAsia="Times New Roman"/>
                <w:i/>
                <w:color w:val="000000"/>
              </w:rPr>
            </w:pPr>
            <w:r w:rsidRPr="009D1DCF">
              <w:rPr>
                <w:rFonts w:eastAsia="Times New Roman"/>
                <w:i/>
                <w:color w:val="000000"/>
              </w:rPr>
              <w:t>Listeria monocytogenes</w:t>
            </w:r>
          </w:p>
        </w:tc>
        <w:tc>
          <w:tcPr>
            <w:tcW w:w="674" w:type="pct"/>
            <w:tcBorders>
              <w:top w:val="nil"/>
              <w:left w:val="nil"/>
              <w:bottom w:val="single" w:sz="4" w:space="0" w:color="auto"/>
              <w:right w:val="single" w:sz="4" w:space="0" w:color="auto"/>
            </w:tcBorders>
            <w:shd w:val="clear" w:color="auto" w:fill="auto"/>
            <w:noWrap/>
            <w:vAlign w:val="bottom"/>
          </w:tcPr>
          <w:p w:rsidR="007C0AC0" w:rsidRPr="009D1DCF" w:rsidP="00026F9A" w14:paraId="3D991A5A" w14:textId="77777777">
            <w:pPr>
              <w:jc w:val="center"/>
              <w:rPr>
                <w:rFonts w:eastAsia="Times New Roman"/>
                <w:color w:val="000000"/>
              </w:rPr>
            </w:pPr>
            <w:r>
              <w:rPr>
                <w:rFonts w:eastAsia="Times New Roman"/>
                <w:color w:val="000000"/>
              </w:rPr>
              <w:t>203</w:t>
            </w:r>
          </w:p>
        </w:tc>
        <w:tc>
          <w:tcPr>
            <w:tcW w:w="721" w:type="pct"/>
            <w:tcBorders>
              <w:top w:val="nil"/>
              <w:left w:val="nil"/>
              <w:bottom w:val="single" w:sz="4" w:space="0" w:color="auto"/>
              <w:right w:val="single" w:sz="4" w:space="0" w:color="auto"/>
            </w:tcBorders>
            <w:shd w:val="clear" w:color="auto" w:fill="auto"/>
            <w:noWrap/>
            <w:vAlign w:val="bottom"/>
          </w:tcPr>
          <w:p w:rsidR="007C0AC0" w:rsidRPr="009D1DCF" w:rsidP="00026F9A" w14:paraId="3594BCB2" w14:textId="77777777">
            <w:pPr>
              <w:jc w:val="center"/>
              <w:rPr>
                <w:rFonts w:eastAsia="Times New Roman"/>
                <w:color w:val="000000"/>
              </w:rPr>
            </w:pPr>
            <w:r>
              <w:rPr>
                <w:rFonts w:eastAsia="Times New Roman"/>
                <w:color w:val="000000"/>
              </w:rPr>
              <w:t>818</w:t>
            </w:r>
          </w:p>
        </w:tc>
        <w:tc>
          <w:tcPr>
            <w:tcW w:w="695" w:type="pct"/>
            <w:tcBorders>
              <w:top w:val="nil"/>
              <w:left w:val="nil"/>
              <w:bottom w:val="single" w:sz="4" w:space="0" w:color="auto"/>
              <w:right w:val="single" w:sz="4" w:space="0" w:color="auto"/>
            </w:tcBorders>
            <w:shd w:val="clear" w:color="auto" w:fill="auto"/>
            <w:noWrap/>
            <w:vAlign w:val="bottom"/>
          </w:tcPr>
          <w:p w:rsidR="007C0AC0" w:rsidRPr="009D1DCF" w:rsidP="00026F9A" w14:paraId="2617D5E0" w14:textId="77777777">
            <w:pPr>
              <w:jc w:val="center"/>
              <w:rPr>
                <w:rFonts w:eastAsia="Times New Roman"/>
                <w:color w:val="000000"/>
              </w:rPr>
            </w:pPr>
            <w:r>
              <w:rPr>
                <w:rFonts w:eastAsia="Times New Roman"/>
                <w:color w:val="000000"/>
              </w:rPr>
              <w:t>24.82%</w:t>
            </w:r>
          </w:p>
        </w:tc>
        <w:tc>
          <w:tcPr>
            <w:tcW w:w="747" w:type="pct"/>
            <w:tcBorders>
              <w:top w:val="nil"/>
              <w:left w:val="nil"/>
              <w:bottom w:val="single" w:sz="4" w:space="0" w:color="auto"/>
              <w:right w:val="single" w:sz="4" w:space="0" w:color="auto"/>
            </w:tcBorders>
            <w:shd w:val="clear" w:color="auto" w:fill="auto"/>
            <w:noWrap/>
            <w:vAlign w:val="bottom"/>
          </w:tcPr>
          <w:p w:rsidR="007C0AC0" w:rsidRPr="009D1DCF" w:rsidP="00026F9A" w14:paraId="7B74CAB6" w14:textId="77777777">
            <w:pPr>
              <w:jc w:val="center"/>
              <w:rPr>
                <w:rFonts w:eastAsia="Times New Roman"/>
                <w:color w:val="000000"/>
              </w:rPr>
            </w:pPr>
            <w:r>
              <w:rPr>
                <w:rFonts w:eastAsia="Times New Roman"/>
                <w:color w:val="000000"/>
              </w:rPr>
              <w:t>1,680</w:t>
            </w:r>
          </w:p>
        </w:tc>
        <w:tc>
          <w:tcPr>
            <w:tcW w:w="866" w:type="pct"/>
            <w:tcBorders>
              <w:top w:val="nil"/>
              <w:left w:val="nil"/>
              <w:bottom w:val="single" w:sz="4" w:space="0" w:color="auto"/>
              <w:right w:val="single" w:sz="4" w:space="0" w:color="auto"/>
            </w:tcBorders>
            <w:shd w:val="clear" w:color="auto" w:fill="auto"/>
            <w:noWrap/>
            <w:vAlign w:val="bottom"/>
          </w:tcPr>
          <w:p w:rsidR="007C0AC0" w:rsidRPr="009D1DCF" w:rsidP="00026F9A" w14:paraId="4A91AE3D" w14:textId="77777777">
            <w:pPr>
              <w:jc w:val="center"/>
              <w:rPr>
                <w:rFonts w:eastAsia="Times New Roman"/>
                <w:color w:val="000000"/>
              </w:rPr>
            </w:pPr>
            <w:r>
              <w:rPr>
                <w:rFonts w:eastAsia="Times New Roman"/>
                <w:color w:val="000000"/>
              </w:rPr>
              <w:t>417</w:t>
            </w:r>
          </w:p>
        </w:tc>
      </w:tr>
      <w:tr w14:paraId="46FCD39C" w14:textId="77777777">
        <w:tblPrEx>
          <w:tblW w:w="5000" w:type="pct"/>
          <w:tblLayout w:type="fixed"/>
          <w:tblLook w:val="04A0"/>
        </w:tblPrEx>
        <w:trPr>
          <w:trHeight w:val="288"/>
        </w:trPr>
        <w:tc>
          <w:tcPr>
            <w:tcW w:w="1297" w:type="pct"/>
            <w:tcBorders>
              <w:top w:val="nil"/>
              <w:left w:val="single" w:sz="4" w:space="0" w:color="auto"/>
              <w:bottom w:val="single" w:sz="4" w:space="0" w:color="auto"/>
              <w:right w:val="single" w:sz="4" w:space="0" w:color="auto"/>
            </w:tcBorders>
            <w:shd w:val="clear" w:color="auto" w:fill="auto"/>
            <w:noWrap/>
            <w:vAlign w:val="bottom"/>
            <w:hideMark/>
          </w:tcPr>
          <w:p w:rsidR="007C0AC0" w:rsidRPr="009D1DCF" w:rsidP="00026F9A" w14:paraId="2264AC5D" w14:textId="77777777">
            <w:pPr>
              <w:jc w:val="center"/>
              <w:rPr>
                <w:rFonts w:eastAsia="Times New Roman"/>
                <w:i/>
                <w:color w:val="000000"/>
              </w:rPr>
            </w:pPr>
            <w:r w:rsidRPr="009D1DCF">
              <w:rPr>
                <w:rFonts w:eastAsia="Times New Roman"/>
                <w:i/>
                <w:color w:val="000000"/>
              </w:rPr>
              <w:t xml:space="preserve">E. coli </w:t>
            </w:r>
            <w:r w:rsidRPr="003C76D2">
              <w:rPr>
                <w:rFonts w:eastAsia="Times New Roman"/>
                <w:color w:val="000000"/>
              </w:rPr>
              <w:t>O157:H7</w:t>
            </w:r>
          </w:p>
        </w:tc>
        <w:tc>
          <w:tcPr>
            <w:tcW w:w="674" w:type="pct"/>
            <w:tcBorders>
              <w:top w:val="nil"/>
              <w:left w:val="nil"/>
              <w:bottom w:val="single" w:sz="4" w:space="0" w:color="auto"/>
              <w:right w:val="single" w:sz="4" w:space="0" w:color="auto"/>
            </w:tcBorders>
            <w:shd w:val="clear" w:color="auto" w:fill="auto"/>
            <w:noWrap/>
            <w:vAlign w:val="bottom"/>
          </w:tcPr>
          <w:p w:rsidR="007C0AC0" w:rsidRPr="009D1DCF" w:rsidP="00026F9A" w14:paraId="0B352901" w14:textId="77777777">
            <w:pPr>
              <w:jc w:val="center"/>
              <w:rPr>
                <w:rFonts w:eastAsia="Times New Roman"/>
                <w:color w:val="000000"/>
              </w:rPr>
            </w:pPr>
            <w:r>
              <w:rPr>
                <w:rFonts w:eastAsia="Times New Roman"/>
                <w:color w:val="000000"/>
              </w:rPr>
              <w:t>366</w:t>
            </w:r>
          </w:p>
        </w:tc>
        <w:tc>
          <w:tcPr>
            <w:tcW w:w="721" w:type="pct"/>
            <w:tcBorders>
              <w:top w:val="nil"/>
              <w:left w:val="nil"/>
              <w:bottom w:val="single" w:sz="4" w:space="0" w:color="auto"/>
              <w:right w:val="single" w:sz="4" w:space="0" w:color="auto"/>
            </w:tcBorders>
            <w:shd w:val="clear" w:color="auto" w:fill="auto"/>
            <w:noWrap/>
            <w:vAlign w:val="bottom"/>
          </w:tcPr>
          <w:p w:rsidR="007C0AC0" w:rsidRPr="009D1DCF" w:rsidP="00026F9A" w14:paraId="1172CE34" w14:textId="77777777">
            <w:pPr>
              <w:jc w:val="center"/>
              <w:rPr>
                <w:rFonts w:eastAsia="Times New Roman"/>
                <w:color w:val="000000"/>
              </w:rPr>
            </w:pPr>
            <w:r>
              <w:rPr>
                <w:rFonts w:eastAsia="Times New Roman"/>
                <w:color w:val="000000"/>
              </w:rPr>
              <w:t>3,229</w:t>
            </w:r>
          </w:p>
        </w:tc>
        <w:tc>
          <w:tcPr>
            <w:tcW w:w="695" w:type="pct"/>
            <w:tcBorders>
              <w:top w:val="nil"/>
              <w:left w:val="nil"/>
              <w:bottom w:val="single" w:sz="4" w:space="0" w:color="auto"/>
              <w:right w:val="single" w:sz="4" w:space="0" w:color="auto"/>
            </w:tcBorders>
            <w:shd w:val="clear" w:color="auto" w:fill="auto"/>
            <w:noWrap/>
            <w:vAlign w:val="bottom"/>
          </w:tcPr>
          <w:p w:rsidR="007C0AC0" w:rsidRPr="009D1DCF" w:rsidP="00026F9A" w14:paraId="7C5D5543" w14:textId="77777777">
            <w:pPr>
              <w:jc w:val="center"/>
              <w:rPr>
                <w:rFonts w:eastAsia="Times New Roman"/>
                <w:color w:val="000000"/>
              </w:rPr>
            </w:pPr>
            <w:r>
              <w:rPr>
                <w:rFonts w:eastAsia="Times New Roman"/>
                <w:color w:val="000000"/>
              </w:rPr>
              <w:t>11.33%</w:t>
            </w:r>
          </w:p>
        </w:tc>
        <w:tc>
          <w:tcPr>
            <w:tcW w:w="747" w:type="pct"/>
            <w:tcBorders>
              <w:top w:val="nil"/>
              <w:left w:val="nil"/>
              <w:bottom w:val="single" w:sz="4" w:space="0" w:color="auto"/>
              <w:right w:val="single" w:sz="4" w:space="0" w:color="auto"/>
            </w:tcBorders>
            <w:shd w:val="clear" w:color="auto" w:fill="auto"/>
            <w:noWrap/>
            <w:vAlign w:val="bottom"/>
          </w:tcPr>
          <w:p w:rsidR="007C0AC0" w:rsidRPr="009D1DCF" w:rsidP="00026F9A" w14:paraId="239CEA45" w14:textId="77777777">
            <w:pPr>
              <w:jc w:val="center"/>
              <w:rPr>
                <w:rFonts w:eastAsia="Times New Roman"/>
                <w:color w:val="000000"/>
              </w:rPr>
            </w:pPr>
            <w:r>
              <w:rPr>
                <w:rFonts w:eastAsia="Times New Roman"/>
                <w:color w:val="000000"/>
              </w:rPr>
              <w:t>69,972</w:t>
            </w:r>
          </w:p>
        </w:tc>
        <w:tc>
          <w:tcPr>
            <w:tcW w:w="866" w:type="pct"/>
            <w:tcBorders>
              <w:top w:val="nil"/>
              <w:left w:val="nil"/>
              <w:bottom w:val="single" w:sz="4" w:space="0" w:color="auto"/>
              <w:right w:val="single" w:sz="4" w:space="0" w:color="auto"/>
            </w:tcBorders>
            <w:shd w:val="clear" w:color="auto" w:fill="auto"/>
            <w:noWrap/>
            <w:vAlign w:val="bottom"/>
          </w:tcPr>
          <w:p w:rsidR="007C0AC0" w:rsidRPr="009D1DCF" w:rsidP="00026F9A" w14:paraId="55D42784" w14:textId="77777777">
            <w:pPr>
              <w:jc w:val="center"/>
              <w:rPr>
                <w:rFonts w:eastAsia="Times New Roman"/>
                <w:color w:val="000000"/>
              </w:rPr>
            </w:pPr>
            <w:r>
              <w:rPr>
                <w:rFonts w:eastAsia="Times New Roman"/>
                <w:color w:val="000000"/>
              </w:rPr>
              <w:t>7,931</w:t>
            </w:r>
          </w:p>
        </w:tc>
      </w:tr>
      <w:tr w14:paraId="46F2170F" w14:textId="77777777">
        <w:tblPrEx>
          <w:tblW w:w="5000" w:type="pct"/>
          <w:tblLayout w:type="fixed"/>
          <w:tblLook w:val="04A0"/>
        </w:tblPrEx>
        <w:trPr>
          <w:trHeight w:val="288"/>
        </w:trPr>
        <w:tc>
          <w:tcPr>
            <w:tcW w:w="1297" w:type="pct"/>
            <w:tcBorders>
              <w:top w:val="nil"/>
              <w:left w:val="single" w:sz="4" w:space="0" w:color="auto"/>
              <w:bottom w:val="single" w:sz="4" w:space="0" w:color="auto"/>
              <w:right w:val="single" w:sz="4" w:space="0" w:color="auto"/>
            </w:tcBorders>
            <w:shd w:val="clear" w:color="auto" w:fill="auto"/>
            <w:noWrap/>
            <w:vAlign w:val="bottom"/>
            <w:hideMark/>
          </w:tcPr>
          <w:p w:rsidR="007C0AC0" w:rsidRPr="009D1DCF" w:rsidP="00026F9A" w14:paraId="6C4EEDA6" w14:textId="77777777">
            <w:pPr>
              <w:jc w:val="center"/>
              <w:rPr>
                <w:rFonts w:eastAsia="Times New Roman"/>
                <w:i/>
                <w:color w:val="000000"/>
              </w:rPr>
            </w:pPr>
            <w:r w:rsidRPr="009D1DCF">
              <w:rPr>
                <w:rFonts w:eastAsia="Times New Roman"/>
                <w:i/>
                <w:color w:val="000000"/>
              </w:rPr>
              <w:t xml:space="preserve">E. coli </w:t>
            </w:r>
            <w:r w:rsidRPr="003C76D2">
              <w:rPr>
                <w:rFonts w:eastAsia="Times New Roman"/>
                <w:color w:val="000000"/>
              </w:rPr>
              <w:t>O111</w:t>
            </w:r>
          </w:p>
        </w:tc>
        <w:tc>
          <w:tcPr>
            <w:tcW w:w="674" w:type="pct"/>
            <w:tcBorders>
              <w:top w:val="nil"/>
              <w:left w:val="nil"/>
              <w:bottom w:val="single" w:sz="4" w:space="0" w:color="auto"/>
              <w:right w:val="single" w:sz="4" w:space="0" w:color="auto"/>
            </w:tcBorders>
            <w:shd w:val="clear" w:color="auto" w:fill="auto"/>
            <w:noWrap/>
            <w:vAlign w:val="bottom"/>
          </w:tcPr>
          <w:p w:rsidR="007C0AC0" w:rsidRPr="009D1DCF" w:rsidP="00026F9A" w14:paraId="2AFFDB50" w14:textId="77777777">
            <w:pPr>
              <w:jc w:val="center"/>
              <w:rPr>
                <w:rFonts w:eastAsia="Times New Roman"/>
                <w:color w:val="000000"/>
              </w:rPr>
            </w:pPr>
            <w:r>
              <w:rPr>
                <w:rFonts w:eastAsia="Times New Roman"/>
                <w:color w:val="000000"/>
              </w:rPr>
              <w:t>28</w:t>
            </w:r>
          </w:p>
        </w:tc>
        <w:tc>
          <w:tcPr>
            <w:tcW w:w="721" w:type="pct"/>
            <w:tcBorders>
              <w:top w:val="nil"/>
              <w:left w:val="nil"/>
              <w:bottom w:val="single" w:sz="4" w:space="0" w:color="auto"/>
              <w:right w:val="single" w:sz="4" w:space="0" w:color="auto"/>
            </w:tcBorders>
            <w:shd w:val="clear" w:color="auto" w:fill="auto"/>
            <w:noWrap/>
            <w:vAlign w:val="bottom"/>
          </w:tcPr>
          <w:p w:rsidR="007C0AC0" w:rsidRPr="009D1DCF" w:rsidP="00026F9A" w14:paraId="348D5605" w14:textId="77777777">
            <w:pPr>
              <w:jc w:val="center"/>
              <w:rPr>
                <w:rFonts w:eastAsia="Times New Roman"/>
                <w:color w:val="000000"/>
              </w:rPr>
            </w:pPr>
            <w:r>
              <w:rPr>
                <w:rFonts w:eastAsia="Times New Roman"/>
                <w:color w:val="000000"/>
              </w:rPr>
              <w:t>83</w:t>
            </w:r>
          </w:p>
        </w:tc>
        <w:tc>
          <w:tcPr>
            <w:tcW w:w="695" w:type="pct"/>
            <w:tcBorders>
              <w:top w:val="nil"/>
              <w:left w:val="nil"/>
              <w:bottom w:val="single" w:sz="4" w:space="0" w:color="auto"/>
              <w:right w:val="single" w:sz="4" w:space="0" w:color="auto"/>
            </w:tcBorders>
            <w:shd w:val="clear" w:color="auto" w:fill="auto"/>
            <w:noWrap/>
            <w:vAlign w:val="bottom"/>
          </w:tcPr>
          <w:p w:rsidR="007C0AC0" w:rsidRPr="009D1DCF" w:rsidP="00026F9A" w14:paraId="2D29BC02" w14:textId="77777777">
            <w:pPr>
              <w:jc w:val="center"/>
              <w:rPr>
                <w:rFonts w:eastAsia="Times New Roman"/>
                <w:color w:val="000000"/>
              </w:rPr>
            </w:pPr>
            <w:r>
              <w:rPr>
                <w:rFonts w:eastAsia="Times New Roman"/>
                <w:color w:val="000000"/>
              </w:rPr>
              <w:t>33.73%</w:t>
            </w:r>
          </w:p>
        </w:tc>
        <w:tc>
          <w:tcPr>
            <w:tcW w:w="747" w:type="pct"/>
            <w:tcBorders>
              <w:top w:val="nil"/>
              <w:left w:val="nil"/>
              <w:bottom w:val="single" w:sz="4" w:space="0" w:color="auto"/>
              <w:right w:val="single" w:sz="4" w:space="0" w:color="auto"/>
            </w:tcBorders>
            <w:shd w:val="clear" w:color="auto" w:fill="auto"/>
            <w:noWrap/>
            <w:vAlign w:val="bottom"/>
          </w:tcPr>
          <w:p w:rsidR="007C0AC0" w:rsidRPr="009D1DCF" w:rsidP="00026F9A" w14:paraId="351E696D" w14:textId="77777777">
            <w:pPr>
              <w:jc w:val="center"/>
              <w:rPr>
                <w:rFonts w:eastAsia="Times New Roman"/>
                <w:color w:val="000000"/>
              </w:rPr>
            </w:pPr>
            <w:r>
              <w:rPr>
                <w:rFonts w:eastAsia="Times New Roman"/>
                <w:color w:val="000000"/>
              </w:rPr>
              <w:t>124,966</w:t>
            </w:r>
          </w:p>
        </w:tc>
        <w:tc>
          <w:tcPr>
            <w:tcW w:w="866" w:type="pct"/>
            <w:tcBorders>
              <w:top w:val="nil"/>
              <w:left w:val="nil"/>
              <w:bottom w:val="single" w:sz="4" w:space="0" w:color="auto"/>
              <w:right w:val="single" w:sz="4" w:space="0" w:color="auto"/>
            </w:tcBorders>
            <w:shd w:val="clear" w:color="auto" w:fill="auto"/>
            <w:noWrap/>
            <w:vAlign w:val="bottom"/>
          </w:tcPr>
          <w:p w:rsidR="007C0AC0" w:rsidRPr="009D1DCF" w:rsidP="00026F9A" w14:paraId="6ABF4620" w14:textId="77777777">
            <w:pPr>
              <w:jc w:val="center"/>
              <w:rPr>
                <w:rFonts w:eastAsia="Times New Roman"/>
                <w:color w:val="000000"/>
              </w:rPr>
            </w:pPr>
            <w:r>
              <w:rPr>
                <w:rFonts w:eastAsia="Times New Roman"/>
                <w:color w:val="000000"/>
              </w:rPr>
              <w:t>42,157</w:t>
            </w:r>
          </w:p>
        </w:tc>
      </w:tr>
      <w:tr w14:paraId="3D3E027B" w14:textId="77777777">
        <w:tblPrEx>
          <w:tblW w:w="5000" w:type="pct"/>
          <w:tblLayout w:type="fixed"/>
          <w:tblLook w:val="04A0"/>
        </w:tblPrEx>
        <w:trPr>
          <w:trHeight w:val="288"/>
        </w:trPr>
        <w:tc>
          <w:tcPr>
            <w:tcW w:w="1297" w:type="pct"/>
            <w:tcBorders>
              <w:top w:val="nil"/>
              <w:left w:val="single" w:sz="4" w:space="0" w:color="auto"/>
              <w:bottom w:val="single" w:sz="4" w:space="0" w:color="auto"/>
              <w:right w:val="single" w:sz="4" w:space="0" w:color="auto"/>
            </w:tcBorders>
            <w:shd w:val="clear" w:color="auto" w:fill="auto"/>
            <w:noWrap/>
            <w:vAlign w:val="bottom"/>
          </w:tcPr>
          <w:p w:rsidR="007C0AC0" w:rsidRPr="009D1DCF" w:rsidP="00026F9A" w14:paraId="506B87B2" w14:textId="77777777">
            <w:pPr>
              <w:jc w:val="center"/>
              <w:rPr>
                <w:rFonts w:eastAsia="Times New Roman"/>
                <w:i/>
                <w:color w:val="000000"/>
              </w:rPr>
            </w:pPr>
            <w:r>
              <w:rPr>
                <w:rFonts w:eastAsia="Times New Roman"/>
                <w:i/>
                <w:color w:val="000000"/>
              </w:rPr>
              <w:t>Hepatitis A virus</w:t>
            </w:r>
          </w:p>
        </w:tc>
        <w:tc>
          <w:tcPr>
            <w:tcW w:w="674" w:type="pct"/>
            <w:tcBorders>
              <w:top w:val="nil"/>
              <w:left w:val="nil"/>
              <w:bottom w:val="single" w:sz="4" w:space="0" w:color="auto"/>
              <w:right w:val="single" w:sz="4" w:space="0" w:color="auto"/>
            </w:tcBorders>
            <w:shd w:val="clear" w:color="auto" w:fill="auto"/>
            <w:noWrap/>
            <w:vAlign w:val="bottom"/>
          </w:tcPr>
          <w:p w:rsidR="007C0AC0" w:rsidRPr="009D1DCF" w:rsidP="00026F9A" w14:paraId="48418B0F" w14:textId="77777777">
            <w:pPr>
              <w:jc w:val="center"/>
              <w:rPr>
                <w:rFonts w:eastAsia="Times New Roman"/>
                <w:color w:val="000000"/>
              </w:rPr>
            </w:pPr>
            <w:r>
              <w:rPr>
                <w:rFonts w:eastAsia="Times New Roman"/>
                <w:color w:val="000000"/>
              </w:rPr>
              <w:t>51</w:t>
            </w:r>
          </w:p>
        </w:tc>
        <w:tc>
          <w:tcPr>
            <w:tcW w:w="721" w:type="pct"/>
            <w:tcBorders>
              <w:top w:val="nil"/>
              <w:left w:val="nil"/>
              <w:bottom w:val="single" w:sz="4" w:space="0" w:color="auto"/>
              <w:right w:val="single" w:sz="4" w:space="0" w:color="auto"/>
            </w:tcBorders>
            <w:shd w:val="clear" w:color="auto" w:fill="auto"/>
            <w:noWrap/>
            <w:vAlign w:val="bottom"/>
          </w:tcPr>
          <w:p w:rsidR="007C0AC0" w:rsidRPr="009D1DCF" w:rsidP="00026F9A" w14:paraId="15809EA9" w14:textId="77777777">
            <w:pPr>
              <w:jc w:val="center"/>
              <w:rPr>
                <w:rFonts w:eastAsia="Times New Roman"/>
                <w:color w:val="000000"/>
              </w:rPr>
            </w:pPr>
            <w:r>
              <w:rPr>
                <w:rFonts w:eastAsia="Times New Roman"/>
                <w:color w:val="000000"/>
              </w:rPr>
              <w:t>909</w:t>
            </w:r>
          </w:p>
        </w:tc>
        <w:tc>
          <w:tcPr>
            <w:tcW w:w="695" w:type="pct"/>
            <w:tcBorders>
              <w:top w:val="nil"/>
              <w:left w:val="nil"/>
              <w:bottom w:val="single" w:sz="4" w:space="0" w:color="auto"/>
              <w:right w:val="single" w:sz="4" w:space="0" w:color="auto"/>
            </w:tcBorders>
            <w:shd w:val="clear" w:color="auto" w:fill="auto"/>
            <w:noWrap/>
            <w:vAlign w:val="bottom"/>
          </w:tcPr>
          <w:p w:rsidR="007C0AC0" w:rsidRPr="009D1DCF" w:rsidP="00026F9A" w14:paraId="02537591" w14:textId="77777777">
            <w:pPr>
              <w:jc w:val="center"/>
              <w:rPr>
                <w:rFonts w:eastAsia="Times New Roman"/>
                <w:color w:val="000000"/>
              </w:rPr>
            </w:pPr>
            <w:r>
              <w:rPr>
                <w:rFonts w:eastAsia="Times New Roman"/>
                <w:color w:val="000000"/>
              </w:rPr>
              <w:t>5.61%</w:t>
            </w:r>
          </w:p>
        </w:tc>
        <w:tc>
          <w:tcPr>
            <w:tcW w:w="747" w:type="pct"/>
            <w:tcBorders>
              <w:top w:val="nil"/>
              <w:left w:val="nil"/>
              <w:bottom w:val="single" w:sz="4" w:space="0" w:color="auto"/>
              <w:right w:val="single" w:sz="4" w:space="0" w:color="auto"/>
            </w:tcBorders>
            <w:shd w:val="clear" w:color="auto" w:fill="auto"/>
            <w:noWrap/>
            <w:vAlign w:val="bottom"/>
          </w:tcPr>
          <w:p w:rsidR="007C0AC0" w:rsidRPr="009D1DCF" w:rsidP="00026F9A" w14:paraId="56D1E9AE" w14:textId="77777777">
            <w:pPr>
              <w:jc w:val="center"/>
              <w:rPr>
                <w:rFonts w:eastAsia="Times New Roman"/>
                <w:color w:val="000000"/>
              </w:rPr>
            </w:pPr>
            <w:r>
              <w:rPr>
                <w:rFonts w:eastAsia="Times New Roman"/>
                <w:color w:val="000000"/>
              </w:rPr>
              <w:t>1,665</w:t>
            </w:r>
          </w:p>
        </w:tc>
        <w:tc>
          <w:tcPr>
            <w:tcW w:w="866" w:type="pct"/>
            <w:tcBorders>
              <w:top w:val="nil"/>
              <w:left w:val="nil"/>
              <w:bottom w:val="single" w:sz="4" w:space="0" w:color="auto"/>
              <w:right w:val="single" w:sz="4" w:space="0" w:color="auto"/>
            </w:tcBorders>
            <w:shd w:val="clear" w:color="auto" w:fill="auto"/>
            <w:noWrap/>
            <w:vAlign w:val="bottom"/>
          </w:tcPr>
          <w:p w:rsidR="007C0AC0" w:rsidRPr="009D1DCF" w:rsidP="00026F9A" w14:paraId="4DFEA648" w14:textId="77777777">
            <w:pPr>
              <w:jc w:val="center"/>
              <w:rPr>
                <w:rFonts w:eastAsia="Times New Roman"/>
                <w:color w:val="000000"/>
              </w:rPr>
            </w:pPr>
            <w:r>
              <w:rPr>
                <w:rFonts w:eastAsia="Times New Roman"/>
                <w:color w:val="000000"/>
              </w:rPr>
              <w:t>93</w:t>
            </w:r>
          </w:p>
        </w:tc>
      </w:tr>
      <w:tr w14:paraId="55AB537B" w14:textId="77777777">
        <w:tblPrEx>
          <w:tblW w:w="5000" w:type="pct"/>
          <w:tblLayout w:type="fixed"/>
          <w:tblLook w:val="04A0"/>
        </w:tblPrEx>
        <w:trPr>
          <w:trHeight w:val="288"/>
        </w:trPr>
        <w:tc>
          <w:tcPr>
            <w:tcW w:w="1297" w:type="pct"/>
            <w:tcBorders>
              <w:top w:val="nil"/>
              <w:left w:val="single" w:sz="4" w:space="0" w:color="auto"/>
              <w:bottom w:val="single" w:sz="4" w:space="0" w:color="auto"/>
              <w:right w:val="single" w:sz="4" w:space="0" w:color="auto"/>
            </w:tcBorders>
            <w:shd w:val="clear" w:color="auto" w:fill="auto"/>
            <w:noWrap/>
            <w:vAlign w:val="bottom"/>
            <w:hideMark/>
          </w:tcPr>
          <w:p w:rsidR="007C0AC0" w:rsidRPr="009D1DCF" w:rsidP="00026F9A" w14:paraId="0EF1F8DC" w14:textId="77777777">
            <w:pPr>
              <w:jc w:val="center"/>
              <w:rPr>
                <w:rFonts w:eastAsia="Times New Roman"/>
                <w:b/>
                <w:bCs/>
                <w:color w:val="000000"/>
              </w:rPr>
            </w:pPr>
            <w:r w:rsidRPr="009D1DCF">
              <w:rPr>
                <w:rFonts w:eastAsia="Times New Roman"/>
                <w:b/>
                <w:bCs/>
                <w:color w:val="000000"/>
              </w:rPr>
              <w:t>Total Identified RAC</w:t>
            </w:r>
          </w:p>
        </w:tc>
        <w:tc>
          <w:tcPr>
            <w:tcW w:w="674" w:type="pct"/>
            <w:tcBorders>
              <w:top w:val="nil"/>
              <w:left w:val="nil"/>
              <w:bottom w:val="single" w:sz="4" w:space="0" w:color="auto"/>
              <w:right w:val="single" w:sz="4" w:space="0" w:color="auto"/>
            </w:tcBorders>
            <w:shd w:val="clear" w:color="auto" w:fill="auto"/>
            <w:noWrap/>
            <w:vAlign w:val="bottom"/>
          </w:tcPr>
          <w:p w:rsidR="007C0AC0" w:rsidRPr="007A1735" w:rsidP="00026F9A" w14:paraId="73E4D108" w14:textId="77777777">
            <w:pPr>
              <w:jc w:val="center"/>
              <w:rPr>
                <w:rFonts w:eastAsia="Times New Roman"/>
                <w:b/>
                <w:bCs/>
                <w:color w:val="000000"/>
              </w:rPr>
            </w:pPr>
            <w:r>
              <w:rPr>
                <w:rFonts w:eastAsia="Times New Roman"/>
                <w:b/>
                <w:bCs/>
                <w:color w:val="000000"/>
              </w:rPr>
              <w:t>9,611</w:t>
            </w:r>
          </w:p>
        </w:tc>
        <w:tc>
          <w:tcPr>
            <w:tcW w:w="721" w:type="pct"/>
            <w:tcBorders>
              <w:top w:val="nil"/>
              <w:left w:val="nil"/>
              <w:bottom w:val="single" w:sz="4" w:space="0" w:color="auto"/>
              <w:right w:val="single" w:sz="4" w:space="0" w:color="auto"/>
            </w:tcBorders>
            <w:shd w:val="clear" w:color="auto" w:fill="auto"/>
            <w:noWrap/>
            <w:vAlign w:val="bottom"/>
          </w:tcPr>
          <w:p w:rsidR="007C0AC0" w:rsidRPr="007A1735" w:rsidP="00026F9A" w14:paraId="2C341A31" w14:textId="77777777">
            <w:pPr>
              <w:jc w:val="center"/>
              <w:rPr>
                <w:rFonts w:eastAsia="Times New Roman"/>
                <w:b/>
                <w:bCs/>
                <w:color w:val="000000"/>
              </w:rPr>
            </w:pPr>
            <w:r>
              <w:rPr>
                <w:rFonts w:eastAsia="Times New Roman"/>
                <w:b/>
                <w:bCs/>
                <w:color w:val="000000"/>
              </w:rPr>
              <w:t>50,137</w:t>
            </w:r>
          </w:p>
        </w:tc>
        <w:tc>
          <w:tcPr>
            <w:tcW w:w="695" w:type="pct"/>
            <w:tcBorders>
              <w:top w:val="nil"/>
              <w:left w:val="nil"/>
              <w:bottom w:val="single" w:sz="4" w:space="0" w:color="auto"/>
              <w:right w:val="single" w:sz="4" w:space="0" w:color="auto"/>
            </w:tcBorders>
            <w:shd w:val="clear" w:color="auto" w:fill="auto"/>
            <w:noWrap/>
            <w:vAlign w:val="bottom"/>
          </w:tcPr>
          <w:p w:rsidR="007C0AC0" w:rsidRPr="007A1735" w:rsidP="00026F9A" w14:paraId="65DD8E0F" w14:textId="77777777">
            <w:pPr>
              <w:jc w:val="center"/>
              <w:rPr>
                <w:rFonts w:eastAsia="Times New Roman"/>
                <w:b/>
                <w:bCs/>
                <w:color w:val="000000"/>
              </w:rPr>
            </w:pPr>
            <w:r>
              <w:rPr>
                <w:rFonts w:eastAsia="Times New Roman"/>
                <w:b/>
                <w:bCs/>
                <w:color w:val="000000"/>
              </w:rPr>
              <w:t>19.17%</w:t>
            </w:r>
          </w:p>
        </w:tc>
        <w:tc>
          <w:tcPr>
            <w:tcW w:w="747" w:type="pct"/>
            <w:tcBorders>
              <w:top w:val="nil"/>
              <w:left w:val="nil"/>
              <w:bottom w:val="single" w:sz="4" w:space="0" w:color="auto"/>
              <w:right w:val="single" w:sz="4" w:space="0" w:color="auto"/>
            </w:tcBorders>
            <w:shd w:val="clear" w:color="auto" w:fill="auto"/>
            <w:noWrap/>
            <w:vAlign w:val="bottom"/>
          </w:tcPr>
          <w:p w:rsidR="007C0AC0" w:rsidRPr="007A1735" w:rsidP="00026F9A" w14:paraId="7F9FC17E" w14:textId="77777777">
            <w:pPr>
              <w:jc w:val="center"/>
              <w:rPr>
                <w:rFonts w:eastAsia="Times New Roman"/>
                <w:b/>
                <w:bCs/>
                <w:color w:val="000000"/>
              </w:rPr>
            </w:pPr>
            <w:r>
              <w:rPr>
                <w:rFonts w:eastAsia="Times New Roman"/>
                <w:b/>
                <w:bCs/>
                <w:color w:val="000000"/>
              </w:rPr>
              <w:t>1,284,639</w:t>
            </w:r>
          </w:p>
        </w:tc>
        <w:tc>
          <w:tcPr>
            <w:tcW w:w="866" w:type="pct"/>
            <w:tcBorders>
              <w:top w:val="nil"/>
              <w:left w:val="nil"/>
              <w:bottom w:val="single" w:sz="4" w:space="0" w:color="auto"/>
              <w:right w:val="single" w:sz="4" w:space="0" w:color="auto"/>
            </w:tcBorders>
            <w:shd w:val="clear" w:color="auto" w:fill="auto"/>
            <w:noWrap/>
            <w:vAlign w:val="bottom"/>
          </w:tcPr>
          <w:p w:rsidR="007C0AC0" w:rsidRPr="007A1735" w:rsidP="00026F9A" w14:paraId="2ECEFC21" w14:textId="77777777">
            <w:pPr>
              <w:jc w:val="center"/>
              <w:rPr>
                <w:rFonts w:eastAsia="Times New Roman"/>
                <w:b/>
                <w:bCs/>
                <w:color w:val="000000"/>
              </w:rPr>
            </w:pPr>
            <w:r>
              <w:rPr>
                <w:rFonts w:eastAsia="Times New Roman"/>
                <w:b/>
                <w:bCs/>
                <w:color w:val="000000"/>
              </w:rPr>
              <w:t>246,259</w:t>
            </w:r>
          </w:p>
        </w:tc>
      </w:tr>
    </w:tbl>
    <w:p w:rsidR="007C0AC0" w:rsidP="00026F9A" w14:paraId="28AE7931" w14:textId="77777777">
      <w:pPr>
        <w:spacing w:line="480" w:lineRule="auto"/>
      </w:pPr>
    </w:p>
    <w:p w:rsidR="007C0AC0" w:rsidP="00026F9A" w14:paraId="486C08AB" w14:textId="30C297BD">
      <w:pPr>
        <w:spacing w:line="480" w:lineRule="auto"/>
        <w:ind w:firstLine="720"/>
      </w:pPr>
      <w:r>
        <w:t xml:space="preserve">To estimate the total dollar burden of illnesses from covered produce RACs, we first multiply the estimated number of annual illnesses attributable to covered produce by the estimated percent of produce acres associated with preventable illness (here and in the 2015 FRIA, approximately 94.2 percent). This yields an estimate of the number of preventable illnesses attributable to covered produce. We multiply this number by the expected dollar loss per case for each foodborne illness agent; each estimated cost per case is drawn from the central cost estimates used in the </w:t>
      </w:r>
      <w:r w:rsidR="00FC39D7">
        <w:t>traceability rule</w:t>
      </w:r>
      <w:r>
        <w:t xml:space="preserve"> </w:t>
      </w:r>
      <w:r w:rsidRPr="00276D8F" w:rsidR="009076A7">
        <w:t>F</w:t>
      </w:r>
      <w:r w:rsidRPr="00276D8F">
        <w:t xml:space="preserve">RIA (Ref. </w:t>
      </w:r>
      <w:r w:rsidRPr="00276D8F" w:rsidR="002C6430">
        <w:t>5</w:t>
      </w:r>
      <w:r w:rsidRPr="00276D8F">
        <w:t>). This</w:t>
      </w:r>
      <w:r>
        <w:t xml:space="preserve"> yields the estimated dollar burden of all preventable foodborne illnesses associated with each agent.</w:t>
      </w:r>
    </w:p>
    <w:p w:rsidR="007C0AC0" w:rsidP="00026F9A" w14:paraId="739566FA" w14:textId="77777777">
      <w:pPr>
        <w:spacing w:line="480" w:lineRule="auto"/>
        <w:ind w:firstLine="720"/>
      </w:pPr>
      <w:r>
        <w:t>Table A3 presents the estimated dollar burden attributable to covered produce RACs in 2019 dollars. This table is analogous to Table 7 in the 2015 FRIA. We estimate that the annual total covered dollar burden is approximately $2,354.1 million in 2019 dollars and use this estimate as a baseline monetized annual burden of the preventable illnesses linked to produce other than sprouts.</w:t>
      </w:r>
    </w:p>
    <w:p w:rsidR="002746F8" w14:paraId="220F828E" w14:textId="77777777">
      <w:pPr>
        <w:spacing w:line="276" w:lineRule="auto"/>
        <w:rPr>
          <w:b/>
        </w:rPr>
      </w:pPr>
      <w:r>
        <w:rPr>
          <w:b/>
        </w:rPr>
        <w:br w:type="page"/>
      </w:r>
    </w:p>
    <w:p w:rsidR="007C0AC0" w:rsidRPr="009757DA" w:rsidP="00026F9A" w14:paraId="459C8360" w14:textId="58FAA16C">
      <w:pPr>
        <w:rPr>
          <w:b/>
        </w:rPr>
      </w:pPr>
      <w:r w:rsidRPr="009757DA">
        <w:rPr>
          <w:b/>
        </w:rPr>
        <w:t xml:space="preserve">Table </w:t>
      </w:r>
      <w:r>
        <w:rPr>
          <w:b/>
        </w:rPr>
        <w:t>A3:</w:t>
      </w:r>
      <w:r w:rsidRPr="009757DA">
        <w:rPr>
          <w:b/>
        </w:rPr>
        <w:t xml:space="preserve"> Estimated Dollar Burden of Illnesses</w:t>
      </w:r>
      <w:r>
        <w:rPr>
          <w:b/>
        </w:rPr>
        <w:t>, 2009-2020.</w:t>
      </w:r>
    </w:p>
    <w:tbl>
      <w:tblPr>
        <w:tblW w:w="5000" w:type="pct"/>
        <w:tblLayout w:type="fixed"/>
        <w:tblLook w:val="04A0"/>
      </w:tblPr>
      <w:tblGrid>
        <w:gridCol w:w="2467"/>
        <w:gridCol w:w="1526"/>
        <w:gridCol w:w="1464"/>
        <w:gridCol w:w="1511"/>
        <w:gridCol w:w="1122"/>
        <w:gridCol w:w="1260"/>
      </w:tblGrid>
      <w:tr w14:paraId="6F5E32DC" w14:textId="77777777">
        <w:tblPrEx>
          <w:tblW w:w="5000" w:type="pct"/>
          <w:tblLayout w:type="fixed"/>
          <w:tblLook w:val="04A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AC0" w:rsidRPr="00617B0A" w:rsidP="00026F9A" w14:paraId="2068CBC6" w14:textId="77777777">
            <w:pPr>
              <w:rPr>
                <w:rFonts w:eastAsia="Times New Roman"/>
                <w:b/>
                <w:bCs/>
                <w:color w:val="000000"/>
                <w:sz w:val="22"/>
                <w:szCs w:val="22"/>
              </w:rPr>
            </w:pPr>
            <w:r w:rsidRPr="00617B0A">
              <w:rPr>
                <w:rFonts w:eastAsia="Times New Roman"/>
                <w:b/>
                <w:bCs/>
                <w:color w:val="000000"/>
                <w:sz w:val="22"/>
                <w:szCs w:val="22"/>
              </w:rPr>
              <w:t xml:space="preserve">Estimated Dollar Burden Attributable to Produce RACs Other Than Sprouts </w:t>
            </w:r>
          </w:p>
        </w:tc>
      </w:tr>
      <w:tr w14:paraId="266ED8BE" w14:textId="77777777">
        <w:tblPrEx>
          <w:tblW w:w="5000" w:type="pct"/>
          <w:tblLayout w:type="fixed"/>
          <w:tblLook w:val="04A0"/>
        </w:tblPrEx>
        <w:trPr>
          <w:trHeight w:val="912"/>
        </w:trPr>
        <w:tc>
          <w:tcPr>
            <w:tcW w:w="1319" w:type="pct"/>
            <w:tcBorders>
              <w:top w:val="nil"/>
              <w:left w:val="single" w:sz="4" w:space="0" w:color="auto"/>
              <w:bottom w:val="single" w:sz="4" w:space="0" w:color="auto"/>
              <w:right w:val="single" w:sz="4" w:space="0" w:color="auto"/>
            </w:tcBorders>
            <w:shd w:val="clear" w:color="auto" w:fill="auto"/>
            <w:vAlign w:val="bottom"/>
            <w:hideMark/>
          </w:tcPr>
          <w:p w:rsidR="007C0AC0" w:rsidRPr="00617B0A" w:rsidP="00026F9A" w14:paraId="0BD20A27" w14:textId="77777777">
            <w:pPr>
              <w:jc w:val="center"/>
              <w:rPr>
                <w:rFonts w:eastAsia="Times New Roman"/>
                <w:b/>
                <w:bCs/>
                <w:color w:val="000000"/>
                <w:sz w:val="22"/>
                <w:szCs w:val="22"/>
              </w:rPr>
            </w:pPr>
            <w:r w:rsidRPr="00617B0A">
              <w:rPr>
                <w:rFonts w:eastAsia="Times New Roman"/>
                <w:b/>
                <w:bCs/>
                <w:color w:val="000000"/>
                <w:sz w:val="22"/>
                <w:szCs w:val="22"/>
              </w:rPr>
              <w:t>Agent</w:t>
            </w:r>
          </w:p>
        </w:tc>
        <w:tc>
          <w:tcPr>
            <w:tcW w:w="816" w:type="pct"/>
            <w:tcBorders>
              <w:top w:val="nil"/>
              <w:left w:val="nil"/>
              <w:bottom w:val="single" w:sz="4" w:space="0" w:color="auto"/>
              <w:right w:val="single" w:sz="4" w:space="0" w:color="auto"/>
            </w:tcBorders>
            <w:shd w:val="clear" w:color="auto" w:fill="auto"/>
            <w:vAlign w:val="bottom"/>
            <w:hideMark/>
          </w:tcPr>
          <w:p w:rsidR="007C0AC0" w:rsidRPr="00617B0A" w:rsidP="00026F9A" w14:paraId="13DC20C2" w14:textId="77777777">
            <w:pPr>
              <w:jc w:val="center"/>
              <w:rPr>
                <w:rFonts w:eastAsia="Times New Roman"/>
                <w:b/>
                <w:bCs/>
                <w:color w:val="000000"/>
                <w:sz w:val="22"/>
                <w:szCs w:val="22"/>
              </w:rPr>
            </w:pPr>
            <w:r w:rsidRPr="00617B0A">
              <w:rPr>
                <w:rFonts w:eastAsia="Times New Roman"/>
                <w:b/>
                <w:bCs/>
                <w:color w:val="000000"/>
                <w:sz w:val="22"/>
                <w:szCs w:val="22"/>
              </w:rPr>
              <w:t>Est. Annual Illnesses Attributable to RACs</w:t>
            </w:r>
          </w:p>
        </w:tc>
        <w:tc>
          <w:tcPr>
            <w:tcW w:w="783" w:type="pct"/>
            <w:tcBorders>
              <w:top w:val="nil"/>
              <w:left w:val="nil"/>
              <w:bottom w:val="single" w:sz="4" w:space="0" w:color="auto"/>
              <w:right w:val="single" w:sz="4" w:space="0" w:color="auto"/>
            </w:tcBorders>
            <w:shd w:val="clear" w:color="auto" w:fill="auto"/>
            <w:vAlign w:val="bottom"/>
            <w:hideMark/>
          </w:tcPr>
          <w:p w:rsidR="007C0AC0" w:rsidRPr="00617B0A" w:rsidP="00026F9A" w14:paraId="7EE17ADB" w14:textId="77777777">
            <w:pPr>
              <w:jc w:val="center"/>
              <w:rPr>
                <w:rFonts w:eastAsia="Times New Roman"/>
                <w:b/>
                <w:bCs/>
                <w:color w:val="000000"/>
                <w:sz w:val="22"/>
                <w:szCs w:val="22"/>
              </w:rPr>
            </w:pPr>
            <w:r w:rsidRPr="00617B0A">
              <w:rPr>
                <w:rFonts w:eastAsia="Times New Roman"/>
                <w:b/>
                <w:bCs/>
                <w:color w:val="000000"/>
                <w:sz w:val="22"/>
                <w:szCs w:val="22"/>
              </w:rPr>
              <w:t>% Produce Acres Associated with Preventable Illness</w:t>
            </w:r>
          </w:p>
        </w:tc>
        <w:tc>
          <w:tcPr>
            <w:tcW w:w="808" w:type="pct"/>
            <w:tcBorders>
              <w:top w:val="nil"/>
              <w:left w:val="nil"/>
              <w:bottom w:val="single" w:sz="4" w:space="0" w:color="auto"/>
              <w:right w:val="single" w:sz="4" w:space="0" w:color="auto"/>
            </w:tcBorders>
            <w:shd w:val="clear" w:color="auto" w:fill="auto"/>
            <w:vAlign w:val="bottom"/>
            <w:hideMark/>
          </w:tcPr>
          <w:p w:rsidR="007C0AC0" w:rsidRPr="00617B0A" w:rsidP="00026F9A" w14:paraId="2B330F3B" w14:textId="77777777">
            <w:pPr>
              <w:jc w:val="center"/>
              <w:rPr>
                <w:rFonts w:eastAsia="Times New Roman"/>
                <w:b/>
                <w:bCs/>
                <w:color w:val="000000"/>
                <w:sz w:val="22"/>
                <w:szCs w:val="22"/>
              </w:rPr>
            </w:pPr>
            <w:r w:rsidRPr="00617B0A">
              <w:rPr>
                <w:rFonts w:eastAsia="Times New Roman"/>
                <w:b/>
                <w:bCs/>
                <w:color w:val="000000"/>
                <w:sz w:val="22"/>
                <w:szCs w:val="22"/>
              </w:rPr>
              <w:t>Est. Preventable Attributable Illnesses</w:t>
            </w:r>
          </w:p>
        </w:tc>
        <w:tc>
          <w:tcPr>
            <w:tcW w:w="600" w:type="pct"/>
            <w:tcBorders>
              <w:top w:val="nil"/>
              <w:left w:val="nil"/>
              <w:bottom w:val="single" w:sz="4" w:space="0" w:color="auto"/>
              <w:right w:val="single" w:sz="4" w:space="0" w:color="auto"/>
            </w:tcBorders>
            <w:shd w:val="clear" w:color="auto" w:fill="auto"/>
            <w:vAlign w:val="bottom"/>
            <w:hideMark/>
          </w:tcPr>
          <w:p w:rsidR="007C0AC0" w:rsidRPr="00617B0A" w:rsidP="00026F9A" w14:paraId="60DC2505" w14:textId="77777777">
            <w:pPr>
              <w:jc w:val="center"/>
              <w:rPr>
                <w:rFonts w:eastAsia="Times New Roman"/>
                <w:b/>
                <w:bCs/>
                <w:color w:val="000000"/>
                <w:sz w:val="22"/>
                <w:szCs w:val="22"/>
              </w:rPr>
            </w:pPr>
            <w:r w:rsidRPr="00617B0A">
              <w:rPr>
                <w:rFonts w:eastAsia="Times New Roman"/>
                <w:b/>
                <w:bCs/>
                <w:color w:val="000000"/>
                <w:sz w:val="22"/>
                <w:szCs w:val="22"/>
              </w:rPr>
              <w:t>Expected Dollar Loss per Case FTR (2019$)</w:t>
            </w:r>
          </w:p>
        </w:tc>
        <w:tc>
          <w:tcPr>
            <w:tcW w:w="674" w:type="pct"/>
            <w:tcBorders>
              <w:top w:val="nil"/>
              <w:left w:val="nil"/>
              <w:bottom w:val="single" w:sz="4" w:space="0" w:color="auto"/>
              <w:right w:val="single" w:sz="4" w:space="0" w:color="auto"/>
            </w:tcBorders>
            <w:shd w:val="clear" w:color="auto" w:fill="auto"/>
            <w:vAlign w:val="bottom"/>
            <w:hideMark/>
          </w:tcPr>
          <w:p w:rsidR="007C0AC0" w:rsidRPr="00617B0A" w:rsidP="00026F9A" w14:paraId="788521CE" w14:textId="77777777">
            <w:pPr>
              <w:jc w:val="center"/>
              <w:rPr>
                <w:rFonts w:eastAsia="Times New Roman"/>
                <w:b/>
                <w:bCs/>
                <w:color w:val="000000"/>
                <w:sz w:val="22"/>
                <w:szCs w:val="22"/>
              </w:rPr>
            </w:pPr>
            <w:r w:rsidRPr="00617B0A">
              <w:rPr>
                <w:rFonts w:eastAsia="Times New Roman"/>
                <w:b/>
                <w:bCs/>
                <w:color w:val="000000"/>
                <w:sz w:val="22"/>
                <w:szCs w:val="22"/>
              </w:rPr>
              <w:t>Covered Dollar Burden (millions)</w:t>
            </w:r>
          </w:p>
        </w:tc>
      </w:tr>
      <w:tr w14:paraId="6A5537A2" w14:textId="77777777">
        <w:tblPrEx>
          <w:tblW w:w="5000" w:type="pct"/>
          <w:tblLayout w:type="fixed"/>
          <w:tblLook w:val="04A0"/>
        </w:tblPrEx>
        <w:trPr>
          <w:trHeight w:val="288"/>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rsidR="007C0AC0" w:rsidRPr="00617B0A" w:rsidP="00026F9A" w14:paraId="057DC313" w14:textId="77777777">
            <w:pPr>
              <w:jc w:val="center"/>
              <w:rPr>
                <w:rFonts w:eastAsia="Times New Roman"/>
                <w:i/>
                <w:color w:val="000000"/>
                <w:sz w:val="22"/>
                <w:szCs w:val="22"/>
              </w:rPr>
            </w:pPr>
            <w:r w:rsidRPr="00617B0A">
              <w:rPr>
                <w:rFonts w:eastAsia="Times New Roman"/>
                <w:i/>
                <w:color w:val="000000"/>
                <w:sz w:val="22"/>
                <w:szCs w:val="22"/>
              </w:rPr>
              <w:t>Salmonella</w:t>
            </w:r>
          </w:p>
        </w:tc>
        <w:tc>
          <w:tcPr>
            <w:tcW w:w="816"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44B15F68" w14:textId="77777777">
            <w:pPr>
              <w:jc w:val="center"/>
              <w:rPr>
                <w:rFonts w:eastAsia="Times New Roman"/>
                <w:color w:val="000000"/>
                <w:sz w:val="22"/>
                <w:szCs w:val="22"/>
              </w:rPr>
            </w:pPr>
            <w:r>
              <w:rPr>
                <w:rFonts w:eastAsia="Times New Roman"/>
                <w:color w:val="000000"/>
                <w:sz w:val="22"/>
                <w:szCs w:val="22"/>
              </w:rPr>
              <w:t>167,916</w:t>
            </w:r>
          </w:p>
        </w:tc>
        <w:tc>
          <w:tcPr>
            <w:tcW w:w="783"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63A5F8C3" w14:textId="77777777">
            <w:pPr>
              <w:jc w:val="center"/>
              <w:rPr>
                <w:rFonts w:eastAsia="Times New Roman"/>
                <w:color w:val="000000"/>
                <w:sz w:val="22"/>
                <w:szCs w:val="22"/>
              </w:rPr>
            </w:pPr>
            <w:r w:rsidRPr="00617B0A">
              <w:rPr>
                <w:rFonts w:eastAsia="Times New Roman"/>
                <w:color w:val="000000"/>
                <w:sz w:val="22"/>
                <w:szCs w:val="22"/>
              </w:rPr>
              <w:t>94.20%</w:t>
            </w:r>
          </w:p>
        </w:tc>
        <w:tc>
          <w:tcPr>
            <w:tcW w:w="808"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714544D3" w14:textId="77777777">
            <w:pPr>
              <w:jc w:val="center"/>
              <w:rPr>
                <w:rFonts w:eastAsia="Times New Roman"/>
                <w:color w:val="000000"/>
                <w:sz w:val="22"/>
                <w:szCs w:val="22"/>
              </w:rPr>
            </w:pPr>
            <w:r>
              <w:rPr>
                <w:rFonts w:eastAsia="Times New Roman"/>
                <w:color w:val="000000"/>
                <w:sz w:val="22"/>
                <w:szCs w:val="22"/>
              </w:rPr>
              <w:t>158,177</w:t>
            </w:r>
          </w:p>
        </w:tc>
        <w:tc>
          <w:tcPr>
            <w:tcW w:w="600"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096E59C0" w14:textId="77777777">
            <w:pPr>
              <w:jc w:val="center"/>
              <w:rPr>
                <w:rFonts w:eastAsia="Times New Roman"/>
                <w:color w:val="000000"/>
                <w:sz w:val="22"/>
                <w:szCs w:val="22"/>
              </w:rPr>
            </w:pPr>
            <w:r w:rsidRPr="00617B0A">
              <w:rPr>
                <w:rFonts w:eastAsia="Times New Roman"/>
                <w:color w:val="000000"/>
                <w:sz w:val="22"/>
                <w:szCs w:val="22"/>
              </w:rPr>
              <w:t>$6,563</w:t>
            </w:r>
          </w:p>
        </w:tc>
        <w:tc>
          <w:tcPr>
            <w:tcW w:w="674"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6975E168" w14:textId="77777777">
            <w:pPr>
              <w:jc w:val="center"/>
              <w:rPr>
                <w:rFonts w:eastAsia="Times New Roman"/>
                <w:b/>
                <w:bCs/>
                <w:color w:val="000000"/>
                <w:sz w:val="22"/>
                <w:szCs w:val="22"/>
              </w:rPr>
            </w:pPr>
            <w:r w:rsidRPr="00617B0A">
              <w:rPr>
                <w:rFonts w:eastAsia="Times New Roman"/>
                <w:b/>
                <w:bCs/>
                <w:color w:val="000000"/>
                <w:sz w:val="22"/>
                <w:szCs w:val="22"/>
              </w:rPr>
              <w:t>$</w:t>
            </w:r>
            <w:r>
              <w:rPr>
                <w:rFonts w:eastAsia="Times New Roman"/>
                <w:b/>
                <w:bCs/>
                <w:color w:val="000000"/>
                <w:sz w:val="22"/>
                <w:szCs w:val="22"/>
              </w:rPr>
              <w:t>1,038</w:t>
            </w:r>
          </w:p>
        </w:tc>
      </w:tr>
      <w:tr w14:paraId="3F7E8359" w14:textId="77777777">
        <w:tblPrEx>
          <w:tblW w:w="5000" w:type="pct"/>
          <w:tblLayout w:type="fixed"/>
          <w:tblLook w:val="04A0"/>
        </w:tblPrEx>
        <w:trPr>
          <w:trHeight w:val="288"/>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rsidR="007C0AC0" w:rsidRPr="00617B0A" w:rsidP="00026F9A" w14:paraId="62442E6C" w14:textId="77777777">
            <w:pPr>
              <w:jc w:val="center"/>
              <w:rPr>
                <w:rFonts w:eastAsia="Times New Roman"/>
                <w:i/>
                <w:color w:val="000000"/>
                <w:sz w:val="22"/>
                <w:szCs w:val="22"/>
              </w:rPr>
            </w:pPr>
            <w:r w:rsidRPr="00617B0A">
              <w:rPr>
                <w:rFonts w:eastAsia="Times New Roman"/>
                <w:i/>
                <w:color w:val="000000"/>
                <w:sz w:val="22"/>
                <w:szCs w:val="22"/>
              </w:rPr>
              <w:t>Cyclospora cayatenensis</w:t>
            </w:r>
          </w:p>
        </w:tc>
        <w:tc>
          <w:tcPr>
            <w:tcW w:w="816"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6CB5C6A4" w14:textId="77777777">
            <w:pPr>
              <w:jc w:val="center"/>
              <w:rPr>
                <w:rFonts w:eastAsia="Times New Roman"/>
                <w:color w:val="000000"/>
                <w:sz w:val="22"/>
                <w:szCs w:val="22"/>
              </w:rPr>
            </w:pPr>
            <w:r>
              <w:rPr>
                <w:rFonts w:eastAsia="Times New Roman"/>
                <w:color w:val="000000"/>
                <w:sz w:val="22"/>
                <w:szCs w:val="22"/>
              </w:rPr>
              <w:t>9,193</w:t>
            </w:r>
          </w:p>
        </w:tc>
        <w:tc>
          <w:tcPr>
            <w:tcW w:w="783"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14926084" w14:textId="77777777">
            <w:pPr>
              <w:jc w:val="center"/>
              <w:rPr>
                <w:rFonts w:eastAsia="Times New Roman"/>
                <w:color w:val="000000"/>
                <w:sz w:val="22"/>
                <w:szCs w:val="22"/>
              </w:rPr>
            </w:pPr>
            <w:r w:rsidRPr="00617B0A">
              <w:rPr>
                <w:rFonts w:eastAsia="Times New Roman"/>
                <w:color w:val="000000"/>
                <w:sz w:val="22"/>
                <w:szCs w:val="22"/>
              </w:rPr>
              <w:t>94.20%</w:t>
            </w:r>
          </w:p>
        </w:tc>
        <w:tc>
          <w:tcPr>
            <w:tcW w:w="808"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4E8D60D3" w14:textId="77777777">
            <w:pPr>
              <w:jc w:val="center"/>
              <w:rPr>
                <w:rFonts w:eastAsia="Times New Roman"/>
                <w:color w:val="000000"/>
                <w:sz w:val="22"/>
                <w:szCs w:val="22"/>
              </w:rPr>
            </w:pPr>
            <w:r>
              <w:rPr>
                <w:rFonts w:eastAsia="Times New Roman"/>
                <w:color w:val="000000"/>
                <w:sz w:val="22"/>
                <w:szCs w:val="22"/>
              </w:rPr>
              <w:t>8,660</w:t>
            </w:r>
          </w:p>
        </w:tc>
        <w:tc>
          <w:tcPr>
            <w:tcW w:w="600"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20C85353" w14:textId="77777777">
            <w:pPr>
              <w:jc w:val="center"/>
              <w:rPr>
                <w:rFonts w:eastAsia="Times New Roman"/>
                <w:color w:val="000000"/>
                <w:sz w:val="22"/>
                <w:szCs w:val="22"/>
              </w:rPr>
            </w:pPr>
            <w:r w:rsidRPr="00617B0A">
              <w:rPr>
                <w:rFonts w:eastAsia="Times New Roman"/>
                <w:color w:val="000000"/>
                <w:sz w:val="22"/>
                <w:szCs w:val="22"/>
              </w:rPr>
              <w:t>$4,022</w:t>
            </w:r>
          </w:p>
        </w:tc>
        <w:tc>
          <w:tcPr>
            <w:tcW w:w="674"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4031545E" w14:textId="77777777">
            <w:pPr>
              <w:jc w:val="center"/>
              <w:rPr>
                <w:rFonts w:eastAsia="Times New Roman"/>
                <w:b/>
                <w:bCs/>
                <w:color w:val="000000"/>
                <w:sz w:val="22"/>
                <w:szCs w:val="22"/>
              </w:rPr>
            </w:pPr>
            <w:r w:rsidRPr="00617B0A">
              <w:rPr>
                <w:rFonts w:eastAsia="Times New Roman"/>
                <w:b/>
                <w:bCs/>
                <w:color w:val="000000"/>
                <w:sz w:val="22"/>
                <w:szCs w:val="22"/>
              </w:rPr>
              <w:t>$</w:t>
            </w:r>
            <w:r>
              <w:rPr>
                <w:rFonts w:eastAsia="Times New Roman"/>
                <w:b/>
                <w:bCs/>
                <w:color w:val="000000"/>
                <w:sz w:val="22"/>
                <w:szCs w:val="22"/>
              </w:rPr>
              <w:t>35</w:t>
            </w:r>
          </w:p>
        </w:tc>
      </w:tr>
      <w:tr w14:paraId="1DF6C011" w14:textId="77777777">
        <w:tblPrEx>
          <w:tblW w:w="5000" w:type="pct"/>
          <w:tblLayout w:type="fixed"/>
          <w:tblLook w:val="04A0"/>
        </w:tblPrEx>
        <w:trPr>
          <w:trHeight w:val="288"/>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rsidR="007C0AC0" w:rsidRPr="00617B0A" w:rsidP="00026F9A" w14:paraId="7381C811" w14:textId="77777777">
            <w:pPr>
              <w:jc w:val="center"/>
              <w:rPr>
                <w:rFonts w:eastAsia="Times New Roman"/>
                <w:i/>
                <w:color w:val="000000"/>
                <w:sz w:val="22"/>
                <w:szCs w:val="22"/>
              </w:rPr>
            </w:pPr>
            <w:r w:rsidRPr="00617B0A">
              <w:rPr>
                <w:rFonts w:eastAsia="Times New Roman"/>
                <w:i/>
                <w:color w:val="000000"/>
                <w:sz w:val="22"/>
                <w:szCs w:val="22"/>
              </w:rPr>
              <w:t>Listeria monocytogenes</w:t>
            </w:r>
          </w:p>
        </w:tc>
        <w:tc>
          <w:tcPr>
            <w:tcW w:w="816"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54E5331A" w14:textId="77777777">
            <w:pPr>
              <w:jc w:val="center"/>
              <w:rPr>
                <w:rFonts w:eastAsia="Times New Roman"/>
                <w:color w:val="000000"/>
                <w:sz w:val="22"/>
                <w:szCs w:val="22"/>
              </w:rPr>
            </w:pPr>
            <w:r>
              <w:rPr>
                <w:rFonts w:eastAsia="Times New Roman"/>
                <w:color w:val="000000"/>
                <w:sz w:val="22"/>
                <w:szCs w:val="22"/>
              </w:rPr>
              <w:t>417</w:t>
            </w:r>
          </w:p>
        </w:tc>
        <w:tc>
          <w:tcPr>
            <w:tcW w:w="783"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77E66141" w14:textId="77777777">
            <w:pPr>
              <w:jc w:val="center"/>
              <w:rPr>
                <w:rFonts w:eastAsia="Times New Roman"/>
                <w:color w:val="000000"/>
                <w:sz w:val="22"/>
                <w:szCs w:val="22"/>
              </w:rPr>
            </w:pPr>
            <w:r w:rsidRPr="00617B0A">
              <w:rPr>
                <w:rFonts w:eastAsia="Times New Roman"/>
                <w:color w:val="000000"/>
                <w:sz w:val="22"/>
                <w:szCs w:val="22"/>
              </w:rPr>
              <w:t>94.20%</w:t>
            </w:r>
          </w:p>
        </w:tc>
        <w:tc>
          <w:tcPr>
            <w:tcW w:w="808"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5C2E01A2" w14:textId="77777777">
            <w:pPr>
              <w:jc w:val="center"/>
              <w:rPr>
                <w:rFonts w:eastAsia="Times New Roman"/>
                <w:color w:val="000000"/>
                <w:sz w:val="22"/>
                <w:szCs w:val="22"/>
              </w:rPr>
            </w:pPr>
            <w:r>
              <w:rPr>
                <w:rFonts w:eastAsia="Times New Roman"/>
                <w:color w:val="000000"/>
                <w:sz w:val="22"/>
                <w:szCs w:val="22"/>
              </w:rPr>
              <w:t>393</w:t>
            </w:r>
          </w:p>
        </w:tc>
        <w:tc>
          <w:tcPr>
            <w:tcW w:w="600"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6C0189FA" w14:textId="77777777">
            <w:pPr>
              <w:jc w:val="center"/>
              <w:rPr>
                <w:rFonts w:eastAsia="Times New Roman"/>
                <w:color w:val="000000"/>
                <w:sz w:val="22"/>
                <w:szCs w:val="22"/>
              </w:rPr>
            </w:pPr>
            <w:r w:rsidRPr="00617B0A">
              <w:rPr>
                <w:rFonts w:eastAsia="Times New Roman"/>
                <w:color w:val="000000"/>
                <w:sz w:val="22"/>
                <w:szCs w:val="22"/>
              </w:rPr>
              <w:t>$1,797,753</w:t>
            </w:r>
          </w:p>
        </w:tc>
        <w:tc>
          <w:tcPr>
            <w:tcW w:w="674"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12172BC4" w14:textId="77777777">
            <w:pPr>
              <w:jc w:val="center"/>
              <w:rPr>
                <w:rFonts w:eastAsia="Times New Roman"/>
                <w:b/>
                <w:bCs/>
                <w:color w:val="000000"/>
                <w:sz w:val="22"/>
                <w:szCs w:val="22"/>
              </w:rPr>
            </w:pPr>
            <w:r w:rsidRPr="00617B0A">
              <w:rPr>
                <w:rFonts w:eastAsia="Times New Roman"/>
                <w:b/>
                <w:bCs/>
                <w:color w:val="000000"/>
                <w:sz w:val="22"/>
                <w:szCs w:val="22"/>
              </w:rPr>
              <w:t>$</w:t>
            </w:r>
            <w:r>
              <w:rPr>
                <w:rFonts w:eastAsia="Times New Roman"/>
                <w:b/>
                <w:bCs/>
                <w:color w:val="000000"/>
                <w:sz w:val="22"/>
                <w:szCs w:val="22"/>
              </w:rPr>
              <w:t>706</w:t>
            </w:r>
          </w:p>
        </w:tc>
      </w:tr>
      <w:tr w14:paraId="70C323EA" w14:textId="77777777">
        <w:tblPrEx>
          <w:tblW w:w="5000" w:type="pct"/>
          <w:tblLayout w:type="fixed"/>
          <w:tblLook w:val="04A0"/>
        </w:tblPrEx>
        <w:trPr>
          <w:trHeight w:val="288"/>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rsidR="007C0AC0" w:rsidRPr="00617B0A" w:rsidP="00026F9A" w14:paraId="1E33190E" w14:textId="77777777">
            <w:pPr>
              <w:jc w:val="center"/>
              <w:rPr>
                <w:rFonts w:eastAsia="Times New Roman"/>
                <w:i/>
                <w:color w:val="000000"/>
                <w:sz w:val="22"/>
                <w:szCs w:val="22"/>
              </w:rPr>
            </w:pPr>
            <w:r w:rsidRPr="00617B0A">
              <w:rPr>
                <w:rFonts w:eastAsia="Times New Roman"/>
                <w:i/>
                <w:color w:val="000000"/>
                <w:sz w:val="22"/>
                <w:szCs w:val="22"/>
              </w:rPr>
              <w:t xml:space="preserve">E. coli, </w:t>
            </w:r>
            <w:r w:rsidRPr="003C76D2">
              <w:rPr>
                <w:rFonts w:eastAsia="Times New Roman"/>
                <w:color w:val="000000"/>
                <w:sz w:val="22"/>
                <w:szCs w:val="22"/>
              </w:rPr>
              <w:t>STECO157</w:t>
            </w:r>
          </w:p>
        </w:tc>
        <w:tc>
          <w:tcPr>
            <w:tcW w:w="816"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2954EF80" w14:textId="77777777">
            <w:pPr>
              <w:jc w:val="center"/>
              <w:rPr>
                <w:rFonts w:eastAsia="Times New Roman"/>
                <w:color w:val="000000"/>
                <w:sz w:val="22"/>
                <w:szCs w:val="22"/>
              </w:rPr>
            </w:pPr>
            <w:r>
              <w:rPr>
                <w:rFonts w:eastAsia="Times New Roman"/>
                <w:color w:val="000000"/>
                <w:sz w:val="22"/>
                <w:szCs w:val="22"/>
              </w:rPr>
              <w:t>7,931</w:t>
            </w:r>
          </w:p>
        </w:tc>
        <w:tc>
          <w:tcPr>
            <w:tcW w:w="783"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3A74CAEE" w14:textId="77777777">
            <w:pPr>
              <w:jc w:val="center"/>
              <w:rPr>
                <w:rFonts w:eastAsia="Times New Roman"/>
                <w:color w:val="000000"/>
                <w:sz w:val="22"/>
                <w:szCs w:val="22"/>
              </w:rPr>
            </w:pPr>
            <w:r w:rsidRPr="00617B0A">
              <w:rPr>
                <w:rFonts w:eastAsia="Times New Roman"/>
                <w:color w:val="000000"/>
                <w:sz w:val="22"/>
                <w:szCs w:val="22"/>
              </w:rPr>
              <w:t>94.20%</w:t>
            </w:r>
          </w:p>
        </w:tc>
        <w:tc>
          <w:tcPr>
            <w:tcW w:w="808"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2D99E69A" w14:textId="77777777">
            <w:pPr>
              <w:jc w:val="center"/>
              <w:rPr>
                <w:rFonts w:eastAsia="Times New Roman"/>
                <w:color w:val="000000"/>
                <w:sz w:val="22"/>
                <w:szCs w:val="22"/>
              </w:rPr>
            </w:pPr>
            <w:r>
              <w:rPr>
                <w:rFonts w:eastAsia="Times New Roman"/>
                <w:color w:val="000000"/>
                <w:sz w:val="22"/>
                <w:szCs w:val="22"/>
              </w:rPr>
              <w:t>7,471</w:t>
            </w:r>
          </w:p>
        </w:tc>
        <w:tc>
          <w:tcPr>
            <w:tcW w:w="600"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04306922" w14:textId="77777777">
            <w:pPr>
              <w:jc w:val="center"/>
              <w:rPr>
                <w:rFonts w:eastAsia="Times New Roman"/>
                <w:color w:val="000000"/>
                <w:sz w:val="22"/>
                <w:szCs w:val="22"/>
              </w:rPr>
            </w:pPr>
            <w:r w:rsidRPr="00617B0A">
              <w:rPr>
                <w:rFonts w:eastAsia="Times New Roman"/>
                <w:color w:val="000000"/>
                <w:sz w:val="22"/>
                <w:szCs w:val="22"/>
              </w:rPr>
              <w:t>$9,376</w:t>
            </w:r>
          </w:p>
        </w:tc>
        <w:tc>
          <w:tcPr>
            <w:tcW w:w="674"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503DDFE5" w14:textId="77777777">
            <w:pPr>
              <w:jc w:val="center"/>
              <w:rPr>
                <w:rFonts w:eastAsia="Times New Roman"/>
                <w:b/>
                <w:bCs/>
                <w:color w:val="000000"/>
                <w:sz w:val="22"/>
                <w:szCs w:val="22"/>
              </w:rPr>
            </w:pPr>
            <w:r w:rsidRPr="00617B0A">
              <w:rPr>
                <w:rFonts w:eastAsia="Times New Roman"/>
                <w:b/>
                <w:bCs/>
                <w:color w:val="000000"/>
                <w:sz w:val="22"/>
                <w:szCs w:val="22"/>
              </w:rPr>
              <w:t>$</w:t>
            </w:r>
            <w:r>
              <w:rPr>
                <w:rFonts w:eastAsia="Times New Roman"/>
                <w:b/>
                <w:bCs/>
                <w:color w:val="000000"/>
                <w:sz w:val="22"/>
                <w:szCs w:val="22"/>
              </w:rPr>
              <w:t>70</w:t>
            </w:r>
          </w:p>
        </w:tc>
      </w:tr>
      <w:tr w14:paraId="54497E59" w14:textId="77777777">
        <w:tblPrEx>
          <w:tblW w:w="5000" w:type="pct"/>
          <w:tblLayout w:type="fixed"/>
          <w:tblLook w:val="04A0"/>
        </w:tblPrEx>
        <w:trPr>
          <w:trHeight w:val="288"/>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rsidR="007C0AC0" w:rsidRPr="00617B0A" w:rsidP="00026F9A" w14:paraId="0945AC0A" w14:textId="77777777">
            <w:pPr>
              <w:jc w:val="center"/>
              <w:rPr>
                <w:rFonts w:eastAsia="Times New Roman"/>
                <w:i/>
                <w:color w:val="000000"/>
                <w:sz w:val="22"/>
                <w:szCs w:val="22"/>
              </w:rPr>
            </w:pPr>
            <w:r w:rsidRPr="00617B0A">
              <w:rPr>
                <w:rFonts w:eastAsia="Times New Roman"/>
                <w:i/>
                <w:color w:val="000000"/>
                <w:sz w:val="22"/>
                <w:szCs w:val="22"/>
              </w:rPr>
              <w:t xml:space="preserve">E. coli, </w:t>
            </w:r>
            <w:r w:rsidRPr="003C76D2">
              <w:rPr>
                <w:rFonts w:eastAsia="Times New Roman"/>
                <w:color w:val="000000"/>
                <w:sz w:val="22"/>
                <w:szCs w:val="22"/>
              </w:rPr>
              <w:t>non O157</w:t>
            </w:r>
          </w:p>
        </w:tc>
        <w:tc>
          <w:tcPr>
            <w:tcW w:w="816"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50E5C1FD" w14:textId="77777777">
            <w:pPr>
              <w:jc w:val="center"/>
              <w:rPr>
                <w:rFonts w:eastAsia="Times New Roman"/>
                <w:color w:val="000000"/>
                <w:sz w:val="22"/>
                <w:szCs w:val="22"/>
              </w:rPr>
            </w:pPr>
            <w:r>
              <w:rPr>
                <w:rFonts w:eastAsia="Times New Roman"/>
                <w:color w:val="000000"/>
                <w:sz w:val="22"/>
                <w:szCs w:val="22"/>
              </w:rPr>
              <w:t>42,157</w:t>
            </w:r>
          </w:p>
        </w:tc>
        <w:tc>
          <w:tcPr>
            <w:tcW w:w="783"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194FF642" w14:textId="77777777">
            <w:pPr>
              <w:jc w:val="center"/>
              <w:rPr>
                <w:rFonts w:eastAsia="Times New Roman"/>
                <w:color w:val="000000"/>
                <w:sz w:val="22"/>
                <w:szCs w:val="22"/>
              </w:rPr>
            </w:pPr>
            <w:r w:rsidRPr="00617B0A">
              <w:rPr>
                <w:rFonts w:eastAsia="Times New Roman"/>
                <w:color w:val="000000"/>
                <w:sz w:val="22"/>
                <w:szCs w:val="22"/>
              </w:rPr>
              <w:t>94.20%</w:t>
            </w:r>
          </w:p>
        </w:tc>
        <w:tc>
          <w:tcPr>
            <w:tcW w:w="808"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2BA6F24F" w14:textId="77777777">
            <w:pPr>
              <w:jc w:val="center"/>
              <w:rPr>
                <w:rFonts w:eastAsia="Times New Roman"/>
                <w:color w:val="000000"/>
                <w:sz w:val="22"/>
                <w:szCs w:val="22"/>
              </w:rPr>
            </w:pPr>
            <w:r>
              <w:rPr>
                <w:rFonts w:eastAsia="Times New Roman"/>
                <w:color w:val="000000"/>
                <w:sz w:val="22"/>
                <w:szCs w:val="22"/>
              </w:rPr>
              <w:t>39,712</w:t>
            </w:r>
          </w:p>
        </w:tc>
        <w:tc>
          <w:tcPr>
            <w:tcW w:w="600"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3EAA7A3F" w14:textId="77777777">
            <w:pPr>
              <w:jc w:val="center"/>
              <w:rPr>
                <w:rFonts w:eastAsia="Times New Roman"/>
                <w:color w:val="000000"/>
                <w:sz w:val="22"/>
                <w:szCs w:val="22"/>
              </w:rPr>
            </w:pPr>
            <w:r w:rsidRPr="00617B0A">
              <w:rPr>
                <w:rFonts w:eastAsia="Times New Roman"/>
                <w:color w:val="000000"/>
                <w:sz w:val="22"/>
                <w:szCs w:val="22"/>
              </w:rPr>
              <w:t>$2,266</w:t>
            </w:r>
          </w:p>
        </w:tc>
        <w:tc>
          <w:tcPr>
            <w:tcW w:w="674"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2D20898C" w14:textId="77777777">
            <w:pPr>
              <w:jc w:val="center"/>
              <w:rPr>
                <w:rFonts w:eastAsia="Times New Roman"/>
                <w:b/>
                <w:bCs/>
                <w:color w:val="000000"/>
                <w:sz w:val="22"/>
                <w:szCs w:val="22"/>
              </w:rPr>
            </w:pPr>
            <w:r w:rsidRPr="00617B0A">
              <w:rPr>
                <w:rFonts w:eastAsia="Times New Roman"/>
                <w:b/>
                <w:bCs/>
                <w:color w:val="000000"/>
                <w:sz w:val="22"/>
                <w:szCs w:val="22"/>
              </w:rPr>
              <w:t>$</w:t>
            </w:r>
            <w:r>
              <w:rPr>
                <w:rFonts w:eastAsia="Times New Roman"/>
                <w:b/>
                <w:bCs/>
                <w:color w:val="000000"/>
                <w:sz w:val="22"/>
                <w:szCs w:val="22"/>
              </w:rPr>
              <w:t>90</w:t>
            </w:r>
          </w:p>
        </w:tc>
      </w:tr>
      <w:tr w14:paraId="79915906" w14:textId="77777777">
        <w:tblPrEx>
          <w:tblW w:w="5000" w:type="pct"/>
          <w:tblLayout w:type="fixed"/>
          <w:tblLook w:val="04A0"/>
        </w:tblPrEx>
        <w:trPr>
          <w:trHeight w:val="288"/>
        </w:trPr>
        <w:tc>
          <w:tcPr>
            <w:tcW w:w="1319" w:type="pct"/>
            <w:tcBorders>
              <w:top w:val="nil"/>
              <w:left w:val="single" w:sz="4" w:space="0" w:color="auto"/>
              <w:bottom w:val="single" w:sz="4" w:space="0" w:color="auto"/>
              <w:right w:val="single" w:sz="4" w:space="0" w:color="auto"/>
            </w:tcBorders>
            <w:shd w:val="clear" w:color="auto" w:fill="auto"/>
            <w:noWrap/>
            <w:vAlign w:val="bottom"/>
          </w:tcPr>
          <w:p w:rsidR="007C0AC0" w:rsidRPr="00617B0A" w:rsidP="00026F9A" w14:paraId="228108E8" w14:textId="77777777">
            <w:pPr>
              <w:jc w:val="center"/>
              <w:rPr>
                <w:rFonts w:eastAsia="Times New Roman"/>
                <w:i/>
                <w:color w:val="000000"/>
                <w:sz w:val="22"/>
                <w:szCs w:val="22"/>
              </w:rPr>
            </w:pPr>
            <w:r>
              <w:rPr>
                <w:rFonts w:eastAsia="Times New Roman"/>
                <w:i/>
                <w:color w:val="000000"/>
                <w:sz w:val="22"/>
                <w:szCs w:val="22"/>
              </w:rPr>
              <w:t>Hepatitis A virus</w:t>
            </w:r>
          </w:p>
        </w:tc>
        <w:tc>
          <w:tcPr>
            <w:tcW w:w="816" w:type="pct"/>
            <w:tcBorders>
              <w:top w:val="nil"/>
              <w:left w:val="nil"/>
              <w:bottom w:val="single" w:sz="4" w:space="0" w:color="auto"/>
              <w:right w:val="single" w:sz="4" w:space="0" w:color="auto"/>
            </w:tcBorders>
            <w:shd w:val="clear" w:color="auto" w:fill="auto"/>
            <w:noWrap/>
            <w:vAlign w:val="bottom"/>
          </w:tcPr>
          <w:p w:rsidR="007C0AC0" w:rsidRPr="00617B0A" w:rsidP="00026F9A" w14:paraId="4B3F6753" w14:textId="77777777">
            <w:pPr>
              <w:jc w:val="center"/>
              <w:rPr>
                <w:rFonts w:eastAsia="Times New Roman"/>
                <w:color w:val="000000"/>
                <w:sz w:val="22"/>
                <w:szCs w:val="22"/>
              </w:rPr>
            </w:pPr>
            <w:r>
              <w:rPr>
                <w:rFonts w:eastAsia="Times New Roman"/>
                <w:color w:val="000000"/>
                <w:sz w:val="22"/>
                <w:szCs w:val="22"/>
              </w:rPr>
              <w:t>93</w:t>
            </w:r>
          </w:p>
        </w:tc>
        <w:tc>
          <w:tcPr>
            <w:tcW w:w="783" w:type="pct"/>
            <w:tcBorders>
              <w:top w:val="nil"/>
              <w:left w:val="nil"/>
              <w:bottom w:val="single" w:sz="4" w:space="0" w:color="auto"/>
              <w:right w:val="single" w:sz="4" w:space="0" w:color="auto"/>
            </w:tcBorders>
            <w:shd w:val="clear" w:color="auto" w:fill="auto"/>
            <w:noWrap/>
            <w:vAlign w:val="bottom"/>
          </w:tcPr>
          <w:p w:rsidR="007C0AC0" w:rsidRPr="00617B0A" w:rsidP="00026F9A" w14:paraId="5A6BBA16" w14:textId="77777777">
            <w:pPr>
              <w:jc w:val="center"/>
              <w:rPr>
                <w:rFonts w:eastAsia="Times New Roman"/>
                <w:color w:val="000000"/>
                <w:sz w:val="22"/>
                <w:szCs w:val="22"/>
              </w:rPr>
            </w:pPr>
            <w:r w:rsidRPr="00617B0A">
              <w:rPr>
                <w:rFonts w:eastAsia="Times New Roman"/>
                <w:color w:val="000000"/>
                <w:sz w:val="22"/>
                <w:szCs w:val="22"/>
              </w:rPr>
              <w:t>94.20%</w:t>
            </w:r>
          </w:p>
        </w:tc>
        <w:tc>
          <w:tcPr>
            <w:tcW w:w="808" w:type="pct"/>
            <w:tcBorders>
              <w:top w:val="nil"/>
              <w:left w:val="nil"/>
              <w:bottom w:val="single" w:sz="4" w:space="0" w:color="auto"/>
              <w:right w:val="single" w:sz="4" w:space="0" w:color="auto"/>
            </w:tcBorders>
            <w:shd w:val="clear" w:color="auto" w:fill="auto"/>
            <w:noWrap/>
            <w:vAlign w:val="bottom"/>
          </w:tcPr>
          <w:p w:rsidR="007C0AC0" w:rsidRPr="00617B0A" w:rsidP="00026F9A" w14:paraId="71CEBD26" w14:textId="77777777">
            <w:pPr>
              <w:jc w:val="center"/>
              <w:rPr>
                <w:rFonts w:eastAsia="Times New Roman"/>
                <w:color w:val="000000"/>
                <w:sz w:val="22"/>
                <w:szCs w:val="22"/>
              </w:rPr>
            </w:pPr>
            <w:r>
              <w:rPr>
                <w:rFonts w:eastAsia="Times New Roman"/>
                <w:color w:val="000000"/>
                <w:sz w:val="22"/>
                <w:szCs w:val="22"/>
              </w:rPr>
              <w:t>88</w:t>
            </w:r>
          </w:p>
        </w:tc>
        <w:tc>
          <w:tcPr>
            <w:tcW w:w="600" w:type="pct"/>
            <w:tcBorders>
              <w:top w:val="nil"/>
              <w:left w:val="nil"/>
              <w:bottom w:val="single" w:sz="4" w:space="0" w:color="auto"/>
              <w:right w:val="single" w:sz="4" w:space="0" w:color="auto"/>
            </w:tcBorders>
            <w:shd w:val="clear" w:color="auto" w:fill="auto"/>
            <w:noWrap/>
            <w:vAlign w:val="bottom"/>
          </w:tcPr>
          <w:p w:rsidR="007C0AC0" w:rsidRPr="00617B0A" w:rsidP="00026F9A" w14:paraId="233B4EDF" w14:textId="77777777">
            <w:pPr>
              <w:jc w:val="center"/>
              <w:rPr>
                <w:rFonts w:eastAsia="Times New Roman"/>
                <w:color w:val="000000"/>
                <w:sz w:val="22"/>
                <w:szCs w:val="22"/>
              </w:rPr>
            </w:pPr>
            <w:r>
              <w:rPr>
                <w:rFonts w:eastAsia="Times New Roman"/>
                <w:color w:val="000000"/>
                <w:sz w:val="22"/>
                <w:szCs w:val="22"/>
              </w:rPr>
              <w:t>$52,854</w:t>
            </w:r>
          </w:p>
        </w:tc>
        <w:tc>
          <w:tcPr>
            <w:tcW w:w="674" w:type="pct"/>
            <w:tcBorders>
              <w:top w:val="nil"/>
              <w:left w:val="nil"/>
              <w:bottom w:val="single" w:sz="4" w:space="0" w:color="auto"/>
              <w:right w:val="single" w:sz="4" w:space="0" w:color="auto"/>
            </w:tcBorders>
            <w:shd w:val="clear" w:color="auto" w:fill="auto"/>
            <w:noWrap/>
            <w:vAlign w:val="bottom"/>
          </w:tcPr>
          <w:p w:rsidR="007C0AC0" w:rsidRPr="00617B0A" w:rsidP="00026F9A" w14:paraId="354D826D" w14:textId="77777777">
            <w:pPr>
              <w:jc w:val="center"/>
              <w:rPr>
                <w:rFonts w:eastAsia="Times New Roman"/>
                <w:b/>
                <w:bCs/>
                <w:color w:val="000000"/>
                <w:sz w:val="22"/>
                <w:szCs w:val="22"/>
              </w:rPr>
            </w:pPr>
            <w:r>
              <w:rPr>
                <w:rFonts w:eastAsia="Times New Roman"/>
                <w:b/>
                <w:bCs/>
                <w:color w:val="000000"/>
                <w:sz w:val="22"/>
                <w:szCs w:val="22"/>
              </w:rPr>
              <w:t>$5</w:t>
            </w:r>
          </w:p>
        </w:tc>
      </w:tr>
      <w:tr w14:paraId="6C64B856" w14:textId="77777777">
        <w:tblPrEx>
          <w:tblW w:w="5000" w:type="pct"/>
          <w:tblLayout w:type="fixed"/>
          <w:tblLook w:val="04A0"/>
        </w:tblPrEx>
        <w:trPr>
          <w:trHeight w:val="288"/>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rsidR="007C0AC0" w:rsidRPr="00617B0A" w:rsidP="00026F9A" w14:paraId="58113BAE" w14:textId="77777777">
            <w:pPr>
              <w:jc w:val="center"/>
              <w:rPr>
                <w:rFonts w:eastAsia="Times New Roman"/>
                <w:color w:val="000000"/>
                <w:sz w:val="22"/>
                <w:szCs w:val="22"/>
              </w:rPr>
            </w:pPr>
            <w:r w:rsidRPr="00617B0A">
              <w:rPr>
                <w:rFonts w:eastAsia="Times New Roman"/>
                <w:color w:val="000000"/>
                <w:sz w:val="22"/>
                <w:szCs w:val="22"/>
              </w:rPr>
              <w:t>Total RAC Identified</w:t>
            </w:r>
          </w:p>
        </w:tc>
        <w:tc>
          <w:tcPr>
            <w:tcW w:w="816"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282B6FD5" w14:textId="77777777">
            <w:pPr>
              <w:jc w:val="center"/>
              <w:rPr>
                <w:rFonts w:eastAsia="Times New Roman"/>
                <w:color w:val="000000"/>
                <w:sz w:val="22"/>
                <w:szCs w:val="22"/>
              </w:rPr>
            </w:pPr>
            <w:r w:rsidRPr="00617B0A">
              <w:rPr>
                <w:rFonts w:eastAsia="Times New Roman"/>
                <w:color w:val="000000"/>
                <w:sz w:val="22"/>
                <w:szCs w:val="22"/>
              </w:rPr>
              <w:t>194,768</w:t>
            </w:r>
          </w:p>
        </w:tc>
        <w:tc>
          <w:tcPr>
            <w:tcW w:w="783"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256E0E41" w14:textId="77777777">
            <w:pPr>
              <w:jc w:val="center"/>
              <w:rPr>
                <w:rFonts w:eastAsia="Times New Roman"/>
                <w:color w:val="000000"/>
                <w:sz w:val="22"/>
                <w:szCs w:val="22"/>
              </w:rPr>
            </w:pPr>
            <w:r w:rsidRPr="00617B0A">
              <w:rPr>
                <w:rFonts w:eastAsia="Times New Roman"/>
                <w:color w:val="000000"/>
                <w:sz w:val="22"/>
                <w:szCs w:val="22"/>
              </w:rPr>
              <w:t>94.20%</w:t>
            </w:r>
          </w:p>
        </w:tc>
        <w:tc>
          <w:tcPr>
            <w:tcW w:w="808"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0A259F38" w14:textId="77777777">
            <w:pPr>
              <w:jc w:val="center"/>
              <w:rPr>
                <w:rFonts w:eastAsia="Times New Roman"/>
                <w:color w:val="000000"/>
                <w:sz w:val="22"/>
                <w:szCs w:val="22"/>
              </w:rPr>
            </w:pPr>
            <w:r>
              <w:rPr>
                <w:rFonts w:eastAsia="Times New Roman"/>
                <w:color w:val="000000"/>
                <w:sz w:val="22"/>
                <w:szCs w:val="22"/>
              </w:rPr>
              <w:t>231,976</w:t>
            </w:r>
          </w:p>
        </w:tc>
        <w:tc>
          <w:tcPr>
            <w:tcW w:w="600"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6059E562" w14:textId="77777777">
            <w:pPr>
              <w:jc w:val="center"/>
              <w:rPr>
                <w:rFonts w:eastAsia="Times New Roman"/>
                <w:color w:val="000000"/>
                <w:sz w:val="22"/>
                <w:szCs w:val="22"/>
              </w:rPr>
            </w:pPr>
          </w:p>
        </w:tc>
        <w:tc>
          <w:tcPr>
            <w:tcW w:w="674"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73C1C9B9" w14:textId="77777777">
            <w:pPr>
              <w:jc w:val="center"/>
              <w:rPr>
                <w:rFonts w:eastAsia="Times New Roman"/>
                <w:b/>
                <w:bCs/>
                <w:color w:val="000000"/>
                <w:sz w:val="22"/>
                <w:szCs w:val="22"/>
              </w:rPr>
            </w:pPr>
            <w:r w:rsidRPr="00617B0A">
              <w:rPr>
                <w:rFonts w:eastAsia="Times New Roman"/>
                <w:b/>
                <w:bCs/>
                <w:color w:val="000000"/>
                <w:sz w:val="22"/>
                <w:szCs w:val="22"/>
              </w:rPr>
              <w:t>$</w:t>
            </w:r>
            <w:r>
              <w:rPr>
                <w:rFonts w:eastAsia="Times New Roman"/>
                <w:b/>
                <w:bCs/>
                <w:color w:val="000000"/>
                <w:sz w:val="22"/>
                <w:szCs w:val="22"/>
              </w:rPr>
              <w:t>1,944</w:t>
            </w:r>
          </w:p>
        </w:tc>
      </w:tr>
      <w:tr w14:paraId="5FB116D5" w14:textId="77777777">
        <w:tblPrEx>
          <w:tblW w:w="5000" w:type="pct"/>
          <w:tblLayout w:type="fixed"/>
          <w:tblLook w:val="04A0"/>
        </w:tblPrEx>
        <w:trPr>
          <w:trHeight w:val="288"/>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rsidR="007C0AC0" w:rsidRPr="00617B0A" w:rsidP="00026F9A" w14:paraId="6F00BE70" w14:textId="77777777">
            <w:pPr>
              <w:jc w:val="center"/>
              <w:rPr>
                <w:rFonts w:eastAsia="Times New Roman"/>
                <w:color w:val="000000"/>
                <w:sz w:val="22"/>
                <w:szCs w:val="22"/>
              </w:rPr>
            </w:pPr>
            <w:r w:rsidRPr="00617B0A">
              <w:rPr>
                <w:rFonts w:eastAsia="Times New Roman"/>
                <w:color w:val="000000"/>
                <w:sz w:val="22"/>
                <w:szCs w:val="22"/>
              </w:rPr>
              <w:t>Total RAC Unidentified</w:t>
            </w:r>
          </w:p>
        </w:tc>
        <w:tc>
          <w:tcPr>
            <w:tcW w:w="816"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0A96D0FE" w14:textId="77777777">
            <w:pPr>
              <w:jc w:val="center"/>
              <w:rPr>
                <w:rFonts w:eastAsia="Times New Roman"/>
                <w:color w:val="000000"/>
                <w:sz w:val="22"/>
                <w:szCs w:val="22"/>
              </w:rPr>
            </w:pPr>
          </w:p>
        </w:tc>
        <w:tc>
          <w:tcPr>
            <w:tcW w:w="783"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56DC4EF4" w14:textId="77777777">
            <w:pPr>
              <w:jc w:val="center"/>
              <w:rPr>
                <w:rFonts w:eastAsia="Times New Roman"/>
                <w:color w:val="000000"/>
                <w:sz w:val="22"/>
                <w:szCs w:val="22"/>
              </w:rPr>
            </w:pPr>
          </w:p>
        </w:tc>
        <w:tc>
          <w:tcPr>
            <w:tcW w:w="808"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5CCDC6B2" w14:textId="77777777">
            <w:pPr>
              <w:jc w:val="center"/>
              <w:rPr>
                <w:rFonts w:eastAsia="Times New Roman"/>
                <w:color w:val="000000"/>
                <w:sz w:val="22"/>
                <w:szCs w:val="22"/>
              </w:rPr>
            </w:pPr>
            <w:r>
              <w:rPr>
                <w:rFonts w:eastAsia="Times New Roman"/>
                <w:color w:val="000000"/>
                <w:sz w:val="22"/>
                <w:szCs w:val="22"/>
              </w:rPr>
              <w:t>927,902</w:t>
            </w:r>
          </w:p>
        </w:tc>
        <w:tc>
          <w:tcPr>
            <w:tcW w:w="600"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5D4C959F" w14:textId="77777777">
            <w:pPr>
              <w:jc w:val="center"/>
              <w:rPr>
                <w:rFonts w:eastAsia="Times New Roman"/>
                <w:color w:val="000000"/>
                <w:sz w:val="22"/>
                <w:szCs w:val="22"/>
              </w:rPr>
            </w:pPr>
            <w:r w:rsidRPr="00617B0A">
              <w:rPr>
                <w:rFonts w:eastAsia="Times New Roman"/>
                <w:color w:val="000000"/>
                <w:sz w:val="22"/>
                <w:szCs w:val="22"/>
              </w:rPr>
              <w:t>$442</w:t>
            </w:r>
          </w:p>
        </w:tc>
        <w:tc>
          <w:tcPr>
            <w:tcW w:w="674"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5E14D15F" w14:textId="77777777">
            <w:pPr>
              <w:jc w:val="center"/>
              <w:rPr>
                <w:rFonts w:eastAsia="Times New Roman"/>
                <w:b/>
                <w:bCs/>
                <w:color w:val="000000"/>
                <w:sz w:val="22"/>
                <w:szCs w:val="22"/>
              </w:rPr>
            </w:pPr>
            <w:r w:rsidRPr="00617B0A">
              <w:rPr>
                <w:rFonts w:eastAsia="Times New Roman"/>
                <w:b/>
                <w:bCs/>
                <w:color w:val="000000"/>
                <w:sz w:val="22"/>
                <w:szCs w:val="22"/>
              </w:rPr>
              <w:t>$</w:t>
            </w:r>
            <w:r>
              <w:rPr>
                <w:rFonts w:eastAsia="Times New Roman"/>
                <w:b/>
                <w:bCs/>
                <w:color w:val="000000"/>
                <w:sz w:val="22"/>
                <w:szCs w:val="22"/>
              </w:rPr>
              <w:t>410</w:t>
            </w:r>
          </w:p>
        </w:tc>
      </w:tr>
      <w:tr w14:paraId="2669D9CC" w14:textId="77777777">
        <w:tblPrEx>
          <w:tblW w:w="5000" w:type="pct"/>
          <w:tblLayout w:type="fixed"/>
          <w:tblLook w:val="04A0"/>
        </w:tblPrEx>
        <w:trPr>
          <w:trHeight w:val="288"/>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rsidR="007C0AC0" w:rsidRPr="00617B0A" w:rsidP="00026F9A" w14:paraId="27C5C3BF" w14:textId="77777777">
            <w:pPr>
              <w:jc w:val="center"/>
              <w:rPr>
                <w:rFonts w:eastAsia="Times New Roman"/>
                <w:b/>
                <w:color w:val="000000"/>
                <w:sz w:val="22"/>
                <w:szCs w:val="22"/>
              </w:rPr>
            </w:pPr>
            <w:r w:rsidRPr="00617B0A">
              <w:rPr>
                <w:rFonts w:eastAsia="Times New Roman"/>
                <w:b/>
                <w:color w:val="000000"/>
                <w:sz w:val="22"/>
                <w:szCs w:val="22"/>
              </w:rPr>
              <w:t>Total RAC</w:t>
            </w:r>
          </w:p>
        </w:tc>
        <w:tc>
          <w:tcPr>
            <w:tcW w:w="816"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68F32C1C" w14:textId="77777777">
            <w:pPr>
              <w:jc w:val="center"/>
              <w:rPr>
                <w:rFonts w:eastAsia="Times New Roman"/>
                <w:color w:val="000000"/>
                <w:sz w:val="22"/>
                <w:szCs w:val="22"/>
              </w:rPr>
            </w:pPr>
          </w:p>
        </w:tc>
        <w:tc>
          <w:tcPr>
            <w:tcW w:w="783"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53F01114" w14:textId="77777777">
            <w:pPr>
              <w:jc w:val="center"/>
              <w:rPr>
                <w:rFonts w:eastAsia="Times New Roman"/>
                <w:color w:val="000000"/>
                <w:sz w:val="22"/>
                <w:szCs w:val="22"/>
              </w:rPr>
            </w:pPr>
          </w:p>
        </w:tc>
        <w:tc>
          <w:tcPr>
            <w:tcW w:w="808"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3BCBFD1D" w14:textId="77777777">
            <w:pPr>
              <w:jc w:val="center"/>
              <w:rPr>
                <w:rFonts w:eastAsia="Times New Roman"/>
                <w:color w:val="000000"/>
                <w:sz w:val="22"/>
                <w:szCs w:val="22"/>
              </w:rPr>
            </w:pPr>
            <w:r>
              <w:rPr>
                <w:rFonts w:eastAsia="Times New Roman"/>
                <w:color w:val="000000"/>
                <w:sz w:val="22"/>
                <w:szCs w:val="22"/>
              </w:rPr>
              <w:t>1,159,878</w:t>
            </w:r>
          </w:p>
        </w:tc>
        <w:tc>
          <w:tcPr>
            <w:tcW w:w="600"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1BBA1B01" w14:textId="77777777">
            <w:pPr>
              <w:jc w:val="center"/>
              <w:rPr>
                <w:rFonts w:eastAsia="Times New Roman"/>
                <w:color w:val="000000"/>
                <w:sz w:val="22"/>
                <w:szCs w:val="22"/>
              </w:rPr>
            </w:pPr>
          </w:p>
        </w:tc>
        <w:tc>
          <w:tcPr>
            <w:tcW w:w="674" w:type="pct"/>
            <w:tcBorders>
              <w:top w:val="nil"/>
              <w:left w:val="nil"/>
              <w:bottom w:val="single" w:sz="4" w:space="0" w:color="auto"/>
              <w:right w:val="single" w:sz="4" w:space="0" w:color="auto"/>
            </w:tcBorders>
            <w:shd w:val="clear" w:color="auto" w:fill="auto"/>
            <w:noWrap/>
            <w:vAlign w:val="bottom"/>
            <w:hideMark/>
          </w:tcPr>
          <w:p w:rsidR="007C0AC0" w:rsidRPr="00617B0A" w:rsidP="00026F9A" w14:paraId="4DAAA431" w14:textId="77777777">
            <w:pPr>
              <w:jc w:val="center"/>
              <w:rPr>
                <w:rFonts w:eastAsia="Times New Roman"/>
                <w:b/>
                <w:bCs/>
                <w:sz w:val="22"/>
                <w:szCs w:val="22"/>
              </w:rPr>
            </w:pPr>
            <w:r w:rsidRPr="00617B0A">
              <w:rPr>
                <w:rFonts w:eastAsia="Times New Roman"/>
                <w:b/>
                <w:bCs/>
                <w:sz w:val="22"/>
                <w:szCs w:val="22"/>
              </w:rPr>
              <w:t>$</w:t>
            </w:r>
            <w:r>
              <w:rPr>
                <w:rFonts w:eastAsia="Times New Roman"/>
                <w:b/>
                <w:bCs/>
                <w:sz w:val="22"/>
                <w:szCs w:val="22"/>
              </w:rPr>
              <w:t>2,354.1</w:t>
            </w:r>
          </w:p>
        </w:tc>
      </w:tr>
    </w:tbl>
    <w:p w:rsidR="007C0AC0" w:rsidP="00026F9A" w14:paraId="45D53376" w14:textId="77777777"/>
    <w:p w:rsidR="007C0AC0" w:rsidP="00026F9A" w14:paraId="1F24133B" w14:textId="54080A7E">
      <w:pPr>
        <w:spacing w:line="480" w:lineRule="auto"/>
        <w:ind w:firstLine="720"/>
      </w:pPr>
      <w:r>
        <w:t xml:space="preserve">This </w:t>
      </w:r>
      <w:r w:rsidR="002231A4">
        <w:t>estimated baseline may include some illnesses</w:t>
      </w:r>
      <w:r>
        <w:t xml:space="preserve"> that </w:t>
      </w:r>
      <w:r w:rsidR="002231A4">
        <w:t>will be</w:t>
      </w:r>
      <w:r>
        <w:t xml:space="preserve"> prevented </w:t>
      </w:r>
      <w:r w:rsidR="002231A4">
        <w:t>by</w:t>
      </w:r>
      <w:r>
        <w:t xml:space="preserve"> the Agency’s </w:t>
      </w:r>
      <w:r>
        <w:rPr>
          <w:i/>
          <w:iCs/>
        </w:rPr>
        <w:t>Requirements for Addition</w:t>
      </w:r>
      <w:r w:rsidRPr="00276D8F">
        <w:rPr>
          <w:i/>
          <w:iCs/>
        </w:rPr>
        <w:t xml:space="preserve">al Traceability Records for Certain Foods </w:t>
      </w:r>
      <w:r w:rsidRPr="00276D8F">
        <w:t xml:space="preserve">final rule (Ref. </w:t>
      </w:r>
      <w:r w:rsidRPr="00276D8F" w:rsidR="002C6430">
        <w:t>5</w:t>
      </w:r>
      <w:r w:rsidRPr="00276D8F">
        <w:t>). The estimated</w:t>
      </w:r>
      <w:r>
        <w:t xml:space="preserve"> dollar burden of illnesses presented in Table A3 may therefore overstate the dollar burden of illness in this analysis. We adjust the number of illnesses by subtracting the estimated number of illnesses that are used in </w:t>
      </w:r>
      <w:r w:rsidR="368416F7">
        <w:t xml:space="preserve">this analysis </w:t>
      </w:r>
      <w:r>
        <w:t xml:space="preserve">and the analysis for the traceability rule. Table A4 presents the number of illnesses that we subtract from the estimated number of FDA RAC illnesses reported in Table A2. </w:t>
      </w:r>
    </w:p>
    <w:p w:rsidR="002746F8" w14:paraId="0A4ADEDF" w14:textId="77777777">
      <w:pPr>
        <w:spacing w:line="276" w:lineRule="auto"/>
        <w:rPr>
          <w:b/>
          <w:bCs/>
        </w:rPr>
      </w:pPr>
      <w:r>
        <w:rPr>
          <w:b/>
          <w:bCs/>
        </w:rPr>
        <w:br w:type="page"/>
      </w:r>
    </w:p>
    <w:p w:rsidR="007C0AC0" w:rsidRPr="007A1735" w:rsidP="00026F9A" w14:paraId="68B5F3D9" w14:textId="6BDFF870">
      <w:pPr>
        <w:rPr>
          <w:b/>
          <w:bCs/>
        </w:rPr>
      </w:pPr>
      <w:r w:rsidRPr="007A1735">
        <w:rPr>
          <w:b/>
          <w:bCs/>
        </w:rPr>
        <w:t xml:space="preserve">Table A4: Illnesses Used in Both the Agricultural Water Rule and the Traceability Rule Analyses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6"/>
        <w:gridCol w:w="2084"/>
        <w:gridCol w:w="2196"/>
        <w:gridCol w:w="2084"/>
      </w:tblGrid>
      <w:tr w14:paraId="281F11A4"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612" w:type="pct"/>
            <w:shd w:val="clear" w:color="auto" w:fill="auto"/>
            <w:noWrap/>
            <w:vAlign w:val="bottom"/>
            <w:hideMark/>
          </w:tcPr>
          <w:p w:rsidR="007C0AC0" w:rsidRPr="007A1735" w:rsidP="00026F9A" w14:paraId="2758ABAB" w14:textId="77777777">
            <w:pPr>
              <w:rPr>
                <w:rFonts w:eastAsia="Times New Roman"/>
                <w:sz w:val="22"/>
                <w:szCs w:val="22"/>
              </w:rPr>
            </w:pPr>
            <w:r w:rsidRPr="009D1DCF">
              <w:rPr>
                <w:rFonts w:eastAsia="Times New Roman"/>
                <w:b/>
                <w:bCs/>
                <w:color w:val="000000"/>
              </w:rPr>
              <w:t>Agent</w:t>
            </w:r>
          </w:p>
        </w:tc>
        <w:tc>
          <w:tcPr>
            <w:tcW w:w="1129" w:type="pct"/>
            <w:vAlign w:val="bottom"/>
          </w:tcPr>
          <w:p w:rsidR="007C0AC0" w:rsidRPr="005827E1" w:rsidP="00026F9A" w14:paraId="0FBE7ED0" w14:textId="77777777">
            <w:pPr>
              <w:jc w:val="center"/>
              <w:rPr>
                <w:rFonts w:eastAsia="Times New Roman"/>
                <w:sz w:val="22"/>
                <w:szCs w:val="22"/>
              </w:rPr>
            </w:pPr>
            <w:r w:rsidRPr="007A1735">
              <w:rPr>
                <w:rFonts w:eastAsia="Times New Roman"/>
                <w:color w:val="000000"/>
              </w:rPr>
              <w:t>FDA RAC (2009-2020)</w:t>
            </w:r>
          </w:p>
        </w:tc>
        <w:tc>
          <w:tcPr>
            <w:tcW w:w="1129" w:type="pct"/>
            <w:shd w:val="clear" w:color="auto" w:fill="auto"/>
            <w:vAlign w:val="bottom"/>
            <w:hideMark/>
          </w:tcPr>
          <w:p w:rsidR="007C0AC0" w:rsidRPr="007A1735" w:rsidP="00026F9A" w14:paraId="1A13B42D" w14:textId="77777777">
            <w:pPr>
              <w:jc w:val="center"/>
              <w:rPr>
                <w:rFonts w:eastAsia="Times New Roman"/>
                <w:sz w:val="22"/>
                <w:szCs w:val="22"/>
              </w:rPr>
            </w:pPr>
            <w:r w:rsidRPr="007A1735">
              <w:rPr>
                <w:rFonts w:eastAsia="Times New Roman"/>
                <w:sz w:val="22"/>
                <w:szCs w:val="22"/>
              </w:rPr>
              <w:t xml:space="preserve"> Illnesses </w:t>
            </w:r>
            <w:r>
              <w:rPr>
                <w:rFonts w:eastAsia="Times New Roman"/>
                <w:sz w:val="22"/>
                <w:szCs w:val="22"/>
              </w:rPr>
              <w:t>Used in Both Analyses</w:t>
            </w:r>
          </w:p>
        </w:tc>
        <w:tc>
          <w:tcPr>
            <w:tcW w:w="1129" w:type="pct"/>
          </w:tcPr>
          <w:p w:rsidR="007C0AC0" w:rsidRPr="00C9492E" w:rsidP="00026F9A" w14:paraId="00F3E82F" w14:textId="77777777">
            <w:pPr>
              <w:jc w:val="center"/>
              <w:rPr>
                <w:rFonts w:eastAsia="Times New Roman"/>
                <w:sz w:val="22"/>
                <w:szCs w:val="22"/>
              </w:rPr>
            </w:pPr>
            <w:r>
              <w:rPr>
                <w:rFonts w:eastAsia="Times New Roman"/>
                <w:sz w:val="22"/>
                <w:szCs w:val="22"/>
              </w:rPr>
              <w:t>Adjusted Number of Illnesses</w:t>
            </w:r>
          </w:p>
        </w:tc>
      </w:tr>
      <w:tr w14:paraId="583E8BC3" w14:textId="77777777">
        <w:tblPrEx>
          <w:tblW w:w="5000" w:type="pct"/>
          <w:tblLook w:val="04A0"/>
        </w:tblPrEx>
        <w:trPr>
          <w:trHeight w:val="300"/>
        </w:trPr>
        <w:tc>
          <w:tcPr>
            <w:tcW w:w="1612" w:type="pct"/>
            <w:shd w:val="clear" w:color="auto" w:fill="auto"/>
            <w:noWrap/>
            <w:vAlign w:val="bottom"/>
            <w:hideMark/>
          </w:tcPr>
          <w:p w:rsidR="007C0AC0" w:rsidRPr="007A1735" w:rsidP="00026F9A" w14:paraId="4AF48DC1" w14:textId="77777777">
            <w:pPr>
              <w:rPr>
                <w:rFonts w:eastAsia="Times New Roman"/>
                <w:i/>
                <w:iCs/>
                <w:sz w:val="22"/>
                <w:szCs w:val="22"/>
              </w:rPr>
            </w:pPr>
            <w:r w:rsidRPr="009D1DCF">
              <w:rPr>
                <w:rFonts w:eastAsia="Times New Roman"/>
                <w:i/>
                <w:color w:val="000000"/>
              </w:rPr>
              <w:t>Salmonella</w:t>
            </w:r>
          </w:p>
        </w:tc>
        <w:tc>
          <w:tcPr>
            <w:tcW w:w="1129" w:type="pct"/>
            <w:vAlign w:val="bottom"/>
          </w:tcPr>
          <w:p w:rsidR="007C0AC0" w:rsidRPr="00C9492E" w:rsidP="00026F9A" w14:paraId="22EF0DE7" w14:textId="77777777">
            <w:pPr>
              <w:jc w:val="right"/>
              <w:rPr>
                <w:rFonts w:eastAsia="Times New Roman"/>
                <w:color w:val="000000"/>
                <w:sz w:val="22"/>
                <w:szCs w:val="22"/>
              </w:rPr>
            </w:pPr>
            <w:r>
              <w:rPr>
                <w:rFonts w:eastAsia="Times New Roman"/>
                <w:color w:val="000000"/>
              </w:rPr>
              <w:t>6,455</w:t>
            </w:r>
          </w:p>
        </w:tc>
        <w:tc>
          <w:tcPr>
            <w:tcW w:w="1129" w:type="pct"/>
            <w:shd w:val="clear" w:color="auto" w:fill="auto"/>
            <w:noWrap/>
            <w:vAlign w:val="bottom"/>
            <w:hideMark/>
          </w:tcPr>
          <w:p w:rsidR="007C0AC0" w:rsidRPr="007A1735" w:rsidP="00026F9A" w14:paraId="47F51E8D" w14:textId="77777777">
            <w:pPr>
              <w:jc w:val="right"/>
              <w:rPr>
                <w:rFonts w:eastAsia="Times New Roman"/>
                <w:color w:val="000000"/>
                <w:sz w:val="22"/>
                <w:szCs w:val="22"/>
              </w:rPr>
            </w:pPr>
            <w:r w:rsidRPr="007A1735">
              <w:rPr>
                <w:rFonts w:eastAsia="Times New Roman"/>
                <w:color w:val="000000"/>
                <w:sz w:val="22"/>
                <w:szCs w:val="22"/>
              </w:rPr>
              <w:t xml:space="preserve">                     </w:t>
            </w:r>
            <w:r>
              <w:rPr>
                <w:rFonts w:eastAsia="Times New Roman"/>
                <w:color w:val="000000"/>
                <w:sz w:val="22"/>
                <w:szCs w:val="22"/>
              </w:rPr>
              <w:t>3,484</w:t>
            </w:r>
            <w:r w:rsidRPr="007A1735">
              <w:rPr>
                <w:rFonts w:eastAsia="Times New Roman"/>
                <w:color w:val="000000"/>
                <w:sz w:val="22"/>
                <w:szCs w:val="22"/>
              </w:rPr>
              <w:t xml:space="preserve"> </w:t>
            </w:r>
          </w:p>
        </w:tc>
        <w:tc>
          <w:tcPr>
            <w:tcW w:w="1129" w:type="pct"/>
          </w:tcPr>
          <w:p w:rsidR="007C0AC0" w:rsidRPr="00C9492E" w:rsidP="00026F9A" w14:paraId="21A1D394" w14:textId="77777777">
            <w:pPr>
              <w:jc w:val="right"/>
              <w:rPr>
                <w:rFonts w:eastAsia="Times New Roman"/>
                <w:color w:val="000000"/>
                <w:sz w:val="22"/>
                <w:szCs w:val="22"/>
              </w:rPr>
            </w:pPr>
            <w:r>
              <w:rPr>
                <w:rFonts w:eastAsia="Times New Roman"/>
                <w:color w:val="000000"/>
                <w:sz w:val="22"/>
                <w:szCs w:val="22"/>
              </w:rPr>
              <w:t>2,971</w:t>
            </w:r>
          </w:p>
        </w:tc>
      </w:tr>
      <w:tr w14:paraId="1E37E702" w14:textId="77777777">
        <w:tblPrEx>
          <w:tblW w:w="5000" w:type="pct"/>
          <w:tblLook w:val="04A0"/>
        </w:tblPrEx>
        <w:trPr>
          <w:trHeight w:val="300"/>
        </w:trPr>
        <w:tc>
          <w:tcPr>
            <w:tcW w:w="1612" w:type="pct"/>
            <w:shd w:val="clear" w:color="auto" w:fill="auto"/>
            <w:noWrap/>
            <w:vAlign w:val="bottom"/>
            <w:hideMark/>
          </w:tcPr>
          <w:p w:rsidR="007C0AC0" w:rsidRPr="007A1735" w:rsidP="00026F9A" w14:paraId="72849E1D" w14:textId="77777777">
            <w:pPr>
              <w:rPr>
                <w:rFonts w:eastAsia="Times New Roman"/>
                <w:i/>
                <w:iCs/>
                <w:sz w:val="22"/>
                <w:szCs w:val="22"/>
              </w:rPr>
            </w:pPr>
            <w:r w:rsidRPr="009D1DCF">
              <w:rPr>
                <w:rFonts w:eastAsia="Times New Roman"/>
                <w:i/>
                <w:color w:val="000000"/>
              </w:rPr>
              <w:t>Cyclospora cayatenensis</w:t>
            </w:r>
          </w:p>
        </w:tc>
        <w:tc>
          <w:tcPr>
            <w:tcW w:w="1129" w:type="pct"/>
            <w:vAlign w:val="bottom"/>
          </w:tcPr>
          <w:p w:rsidR="007C0AC0" w:rsidRPr="00C9492E" w:rsidP="00026F9A" w14:paraId="64B2BC6A" w14:textId="77777777">
            <w:pPr>
              <w:jc w:val="right"/>
              <w:rPr>
                <w:rFonts w:eastAsia="Times New Roman"/>
                <w:color w:val="000000"/>
                <w:sz w:val="22"/>
                <w:szCs w:val="22"/>
              </w:rPr>
            </w:pPr>
            <w:r>
              <w:rPr>
                <w:rFonts w:eastAsia="Times New Roman"/>
                <w:color w:val="000000"/>
              </w:rPr>
              <w:t>2,559</w:t>
            </w:r>
          </w:p>
        </w:tc>
        <w:tc>
          <w:tcPr>
            <w:tcW w:w="1129" w:type="pct"/>
            <w:shd w:val="clear" w:color="auto" w:fill="auto"/>
            <w:noWrap/>
            <w:vAlign w:val="bottom"/>
            <w:hideMark/>
          </w:tcPr>
          <w:p w:rsidR="007C0AC0" w:rsidRPr="007A1735" w:rsidP="00026F9A" w14:paraId="37F30E58" w14:textId="77777777">
            <w:pPr>
              <w:jc w:val="right"/>
              <w:rPr>
                <w:rFonts w:eastAsia="Times New Roman"/>
                <w:color w:val="000000"/>
                <w:sz w:val="22"/>
                <w:szCs w:val="22"/>
              </w:rPr>
            </w:pPr>
            <w:r w:rsidRPr="007A1735">
              <w:rPr>
                <w:rFonts w:eastAsia="Times New Roman"/>
                <w:color w:val="000000"/>
                <w:sz w:val="22"/>
                <w:szCs w:val="22"/>
              </w:rPr>
              <w:t xml:space="preserve">                           </w:t>
            </w:r>
            <w:r>
              <w:rPr>
                <w:rFonts w:eastAsia="Times New Roman"/>
                <w:color w:val="000000"/>
                <w:sz w:val="22"/>
                <w:szCs w:val="22"/>
              </w:rPr>
              <w:t>1,490</w:t>
            </w:r>
            <w:r w:rsidRPr="007A1735">
              <w:rPr>
                <w:rFonts w:eastAsia="Times New Roman"/>
                <w:color w:val="000000"/>
                <w:sz w:val="22"/>
                <w:szCs w:val="22"/>
              </w:rPr>
              <w:t xml:space="preserve"> </w:t>
            </w:r>
          </w:p>
        </w:tc>
        <w:tc>
          <w:tcPr>
            <w:tcW w:w="1129" w:type="pct"/>
          </w:tcPr>
          <w:p w:rsidR="007C0AC0" w:rsidRPr="00C9492E" w:rsidP="00026F9A" w14:paraId="027A05A9" w14:textId="77777777">
            <w:pPr>
              <w:jc w:val="right"/>
              <w:rPr>
                <w:rFonts w:eastAsia="Times New Roman"/>
                <w:color w:val="000000"/>
                <w:sz w:val="22"/>
                <w:szCs w:val="22"/>
              </w:rPr>
            </w:pPr>
            <w:r>
              <w:rPr>
                <w:rFonts w:eastAsia="Times New Roman"/>
                <w:color w:val="000000"/>
                <w:sz w:val="22"/>
                <w:szCs w:val="22"/>
              </w:rPr>
              <w:t>1,069</w:t>
            </w:r>
          </w:p>
        </w:tc>
      </w:tr>
      <w:tr w14:paraId="475D8BCE" w14:textId="77777777">
        <w:tblPrEx>
          <w:tblW w:w="5000" w:type="pct"/>
          <w:tblLook w:val="04A0"/>
        </w:tblPrEx>
        <w:trPr>
          <w:trHeight w:val="300"/>
        </w:trPr>
        <w:tc>
          <w:tcPr>
            <w:tcW w:w="1612" w:type="pct"/>
            <w:shd w:val="clear" w:color="auto" w:fill="auto"/>
            <w:noWrap/>
            <w:vAlign w:val="bottom"/>
            <w:hideMark/>
          </w:tcPr>
          <w:p w:rsidR="007C0AC0" w:rsidRPr="007A1735" w:rsidP="00026F9A" w14:paraId="61A5FD8F" w14:textId="77777777">
            <w:pPr>
              <w:rPr>
                <w:rFonts w:eastAsia="Times New Roman"/>
                <w:i/>
                <w:iCs/>
                <w:sz w:val="22"/>
                <w:szCs w:val="22"/>
              </w:rPr>
            </w:pPr>
            <w:r w:rsidRPr="009D1DCF">
              <w:rPr>
                <w:rFonts w:eastAsia="Times New Roman"/>
                <w:i/>
                <w:color w:val="000000"/>
              </w:rPr>
              <w:t>Listeria monocytogenes</w:t>
            </w:r>
          </w:p>
        </w:tc>
        <w:tc>
          <w:tcPr>
            <w:tcW w:w="1129" w:type="pct"/>
            <w:vAlign w:val="bottom"/>
          </w:tcPr>
          <w:p w:rsidR="007C0AC0" w:rsidRPr="00C9492E" w:rsidP="00026F9A" w14:paraId="37FD52E2" w14:textId="77777777">
            <w:pPr>
              <w:jc w:val="right"/>
              <w:rPr>
                <w:rFonts w:eastAsia="Times New Roman"/>
                <w:color w:val="000000"/>
                <w:sz w:val="22"/>
                <w:szCs w:val="22"/>
              </w:rPr>
            </w:pPr>
            <w:r>
              <w:rPr>
                <w:rFonts w:eastAsia="Times New Roman"/>
                <w:color w:val="000000"/>
              </w:rPr>
              <w:t>203</w:t>
            </w:r>
          </w:p>
        </w:tc>
        <w:tc>
          <w:tcPr>
            <w:tcW w:w="1129" w:type="pct"/>
            <w:shd w:val="clear" w:color="auto" w:fill="auto"/>
            <w:noWrap/>
            <w:vAlign w:val="bottom"/>
            <w:hideMark/>
          </w:tcPr>
          <w:p w:rsidR="007C0AC0" w:rsidRPr="007A1735" w:rsidP="00026F9A" w14:paraId="0C616C37" w14:textId="77777777">
            <w:pPr>
              <w:jc w:val="right"/>
              <w:rPr>
                <w:rFonts w:eastAsia="Times New Roman"/>
                <w:color w:val="000000"/>
                <w:sz w:val="22"/>
                <w:szCs w:val="22"/>
              </w:rPr>
            </w:pPr>
            <w:r w:rsidRPr="007A1735">
              <w:rPr>
                <w:rFonts w:eastAsia="Times New Roman"/>
                <w:color w:val="000000"/>
                <w:sz w:val="22"/>
                <w:szCs w:val="22"/>
              </w:rPr>
              <w:t xml:space="preserve">                       147 </w:t>
            </w:r>
          </w:p>
        </w:tc>
        <w:tc>
          <w:tcPr>
            <w:tcW w:w="1129" w:type="pct"/>
          </w:tcPr>
          <w:p w:rsidR="007C0AC0" w:rsidRPr="00C9492E" w:rsidP="00026F9A" w14:paraId="108131BB" w14:textId="77777777">
            <w:pPr>
              <w:jc w:val="right"/>
              <w:rPr>
                <w:rFonts w:eastAsia="Times New Roman"/>
                <w:color w:val="000000"/>
                <w:sz w:val="22"/>
                <w:szCs w:val="22"/>
              </w:rPr>
            </w:pPr>
            <w:r>
              <w:rPr>
                <w:rFonts w:eastAsia="Times New Roman"/>
                <w:color w:val="000000"/>
                <w:sz w:val="22"/>
                <w:szCs w:val="22"/>
              </w:rPr>
              <w:t>56</w:t>
            </w:r>
          </w:p>
        </w:tc>
      </w:tr>
      <w:tr w14:paraId="6D0DBB5D" w14:textId="77777777">
        <w:tblPrEx>
          <w:tblW w:w="5000" w:type="pct"/>
          <w:tblLook w:val="04A0"/>
        </w:tblPrEx>
        <w:trPr>
          <w:trHeight w:val="315"/>
        </w:trPr>
        <w:tc>
          <w:tcPr>
            <w:tcW w:w="1612" w:type="pct"/>
            <w:shd w:val="clear" w:color="auto" w:fill="auto"/>
            <w:noWrap/>
            <w:vAlign w:val="bottom"/>
            <w:hideMark/>
          </w:tcPr>
          <w:p w:rsidR="007C0AC0" w:rsidRPr="007A1735" w:rsidP="00026F9A" w14:paraId="6AC93281" w14:textId="77777777">
            <w:pPr>
              <w:rPr>
                <w:rFonts w:eastAsia="Times New Roman"/>
                <w:i/>
                <w:iCs/>
                <w:sz w:val="22"/>
                <w:szCs w:val="22"/>
              </w:rPr>
            </w:pPr>
            <w:r w:rsidRPr="009D1DCF">
              <w:rPr>
                <w:rFonts w:eastAsia="Times New Roman"/>
                <w:i/>
                <w:color w:val="000000"/>
              </w:rPr>
              <w:t xml:space="preserve">E. coli </w:t>
            </w:r>
            <w:r w:rsidRPr="003C76D2">
              <w:rPr>
                <w:rFonts w:eastAsia="Times New Roman"/>
                <w:color w:val="000000"/>
              </w:rPr>
              <w:t>O157:H7</w:t>
            </w:r>
          </w:p>
        </w:tc>
        <w:tc>
          <w:tcPr>
            <w:tcW w:w="1129" w:type="pct"/>
            <w:vAlign w:val="bottom"/>
          </w:tcPr>
          <w:p w:rsidR="007C0AC0" w:rsidRPr="00C9492E" w:rsidP="00026F9A" w14:paraId="43A36271" w14:textId="77777777">
            <w:pPr>
              <w:jc w:val="right"/>
              <w:rPr>
                <w:rFonts w:eastAsia="Times New Roman"/>
                <w:sz w:val="22"/>
                <w:szCs w:val="22"/>
              </w:rPr>
            </w:pPr>
            <w:r>
              <w:rPr>
                <w:rFonts w:eastAsia="Times New Roman"/>
                <w:color w:val="000000"/>
              </w:rPr>
              <w:t>366</w:t>
            </w:r>
          </w:p>
        </w:tc>
        <w:tc>
          <w:tcPr>
            <w:tcW w:w="1129" w:type="pct"/>
            <w:shd w:val="clear" w:color="auto" w:fill="auto"/>
            <w:noWrap/>
            <w:vAlign w:val="bottom"/>
            <w:hideMark/>
          </w:tcPr>
          <w:p w:rsidR="007C0AC0" w:rsidRPr="007A1735" w:rsidP="00026F9A" w14:paraId="6E047253" w14:textId="77777777">
            <w:pPr>
              <w:jc w:val="right"/>
              <w:rPr>
                <w:rFonts w:eastAsia="Times New Roman"/>
                <w:sz w:val="22"/>
                <w:szCs w:val="22"/>
              </w:rPr>
            </w:pPr>
            <w:r w:rsidRPr="007A1735">
              <w:rPr>
                <w:rFonts w:eastAsia="Times New Roman"/>
                <w:sz w:val="22"/>
                <w:szCs w:val="22"/>
              </w:rPr>
              <w:t xml:space="preserve">                     </w:t>
            </w:r>
            <w:r>
              <w:rPr>
                <w:rFonts w:eastAsia="Times New Roman"/>
                <w:sz w:val="22"/>
                <w:szCs w:val="22"/>
              </w:rPr>
              <w:t>8</w:t>
            </w:r>
            <w:r w:rsidRPr="007A1735">
              <w:rPr>
                <w:rFonts w:eastAsia="Times New Roman"/>
                <w:sz w:val="22"/>
                <w:szCs w:val="22"/>
              </w:rPr>
              <w:t xml:space="preserve"> </w:t>
            </w:r>
          </w:p>
        </w:tc>
        <w:tc>
          <w:tcPr>
            <w:tcW w:w="1129" w:type="pct"/>
          </w:tcPr>
          <w:p w:rsidR="007C0AC0" w:rsidRPr="00C9492E" w:rsidP="00026F9A" w14:paraId="3BA2BBDC" w14:textId="77777777">
            <w:pPr>
              <w:jc w:val="right"/>
              <w:rPr>
                <w:rFonts w:eastAsia="Times New Roman"/>
                <w:sz w:val="22"/>
                <w:szCs w:val="22"/>
              </w:rPr>
            </w:pPr>
            <w:r>
              <w:rPr>
                <w:rFonts w:eastAsia="Times New Roman"/>
                <w:sz w:val="22"/>
                <w:szCs w:val="22"/>
              </w:rPr>
              <w:t>358</w:t>
            </w:r>
          </w:p>
        </w:tc>
      </w:tr>
      <w:tr w14:paraId="1E066CAD" w14:textId="77777777">
        <w:tblPrEx>
          <w:tblW w:w="5000" w:type="pct"/>
          <w:tblLook w:val="04A0"/>
        </w:tblPrEx>
        <w:trPr>
          <w:trHeight w:val="330"/>
        </w:trPr>
        <w:tc>
          <w:tcPr>
            <w:tcW w:w="1612" w:type="pct"/>
            <w:shd w:val="clear" w:color="auto" w:fill="auto"/>
            <w:noWrap/>
            <w:vAlign w:val="bottom"/>
            <w:hideMark/>
          </w:tcPr>
          <w:p w:rsidR="007C0AC0" w:rsidRPr="007A1735" w:rsidP="00026F9A" w14:paraId="42D9D3D3" w14:textId="77777777">
            <w:pPr>
              <w:rPr>
                <w:rFonts w:eastAsia="Times New Roman"/>
                <w:b/>
                <w:bCs/>
                <w:color w:val="000000"/>
                <w:sz w:val="22"/>
                <w:szCs w:val="22"/>
              </w:rPr>
            </w:pPr>
            <w:r w:rsidRPr="009D1DCF">
              <w:rPr>
                <w:rFonts w:eastAsia="Times New Roman"/>
                <w:i/>
                <w:color w:val="000000"/>
              </w:rPr>
              <w:t xml:space="preserve">E. coli </w:t>
            </w:r>
            <w:r w:rsidRPr="003C76D2">
              <w:rPr>
                <w:rFonts w:eastAsia="Times New Roman"/>
                <w:color w:val="000000"/>
              </w:rPr>
              <w:t>O111</w:t>
            </w:r>
          </w:p>
        </w:tc>
        <w:tc>
          <w:tcPr>
            <w:tcW w:w="1129" w:type="pct"/>
            <w:vAlign w:val="bottom"/>
          </w:tcPr>
          <w:p w:rsidR="007C0AC0" w:rsidRPr="00C9492E" w:rsidP="00026F9A" w14:paraId="39A01501" w14:textId="77777777">
            <w:pPr>
              <w:jc w:val="right"/>
              <w:rPr>
                <w:rFonts w:eastAsia="Times New Roman"/>
                <w:b/>
                <w:bCs/>
                <w:color w:val="000000"/>
                <w:sz w:val="22"/>
                <w:szCs w:val="22"/>
              </w:rPr>
            </w:pPr>
            <w:r>
              <w:rPr>
                <w:rFonts w:eastAsia="Times New Roman"/>
                <w:color w:val="000000"/>
              </w:rPr>
              <w:t>28</w:t>
            </w:r>
          </w:p>
        </w:tc>
        <w:tc>
          <w:tcPr>
            <w:tcW w:w="1129" w:type="pct"/>
            <w:shd w:val="clear" w:color="auto" w:fill="auto"/>
            <w:noWrap/>
            <w:vAlign w:val="bottom"/>
            <w:hideMark/>
          </w:tcPr>
          <w:p w:rsidR="007C0AC0" w:rsidRPr="007A1735" w:rsidP="00026F9A" w14:paraId="4D52888D" w14:textId="77777777">
            <w:pPr>
              <w:jc w:val="right"/>
              <w:rPr>
                <w:rFonts w:eastAsia="Times New Roman"/>
                <w:b/>
                <w:bCs/>
                <w:color w:val="000000"/>
                <w:sz w:val="22"/>
                <w:szCs w:val="22"/>
              </w:rPr>
            </w:pPr>
            <w:r>
              <w:rPr>
                <w:rFonts w:eastAsia="Times New Roman"/>
                <w:b/>
                <w:bCs/>
                <w:color w:val="000000"/>
                <w:sz w:val="22"/>
                <w:szCs w:val="22"/>
              </w:rPr>
              <w:t>-</w:t>
            </w:r>
          </w:p>
        </w:tc>
        <w:tc>
          <w:tcPr>
            <w:tcW w:w="1129" w:type="pct"/>
          </w:tcPr>
          <w:p w:rsidR="007C0AC0" w:rsidRPr="007A1735" w:rsidP="00026F9A" w14:paraId="724D641C" w14:textId="77777777">
            <w:pPr>
              <w:jc w:val="right"/>
              <w:rPr>
                <w:rFonts w:eastAsia="Times New Roman"/>
                <w:color w:val="000000"/>
                <w:sz w:val="22"/>
                <w:szCs w:val="22"/>
              </w:rPr>
            </w:pPr>
            <w:r w:rsidRPr="007A1735">
              <w:rPr>
                <w:rFonts w:eastAsia="Times New Roman"/>
                <w:color w:val="000000"/>
                <w:sz w:val="22"/>
                <w:szCs w:val="22"/>
              </w:rPr>
              <w:t>28</w:t>
            </w:r>
          </w:p>
        </w:tc>
      </w:tr>
      <w:tr w14:paraId="04DE0AC1" w14:textId="77777777">
        <w:tblPrEx>
          <w:tblW w:w="5000" w:type="pct"/>
          <w:tblLook w:val="04A0"/>
        </w:tblPrEx>
        <w:trPr>
          <w:trHeight w:val="330"/>
        </w:trPr>
        <w:tc>
          <w:tcPr>
            <w:tcW w:w="1612" w:type="pct"/>
            <w:shd w:val="clear" w:color="auto" w:fill="auto"/>
            <w:noWrap/>
            <w:vAlign w:val="bottom"/>
          </w:tcPr>
          <w:p w:rsidR="007C0AC0" w:rsidRPr="0068473C" w:rsidP="00026F9A" w14:paraId="7783EEE7" w14:textId="77777777">
            <w:pPr>
              <w:rPr>
                <w:rFonts w:eastAsia="Times New Roman"/>
                <w:b/>
                <w:bCs/>
                <w:color w:val="000000"/>
                <w:sz w:val="22"/>
                <w:szCs w:val="22"/>
              </w:rPr>
            </w:pPr>
            <w:r>
              <w:rPr>
                <w:rFonts w:eastAsia="Times New Roman"/>
                <w:i/>
                <w:color w:val="000000"/>
              </w:rPr>
              <w:t>Hepatitis A virus</w:t>
            </w:r>
          </w:p>
        </w:tc>
        <w:tc>
          <w:tcPr>
            <w:tcW w:w="1129" w:type="pct"/>
            <w:vAlign w:val="bottom"/>
          </w:tcPr>
          <w:p w:rsidR="007C0AC0" w:rsidP="00026F9A" w14:paraId="1B710DC1" w14:textId="77777777">
            <w:pPr>
              <w:jc w:val="right"/>
              <w:rPr>
                <w:rFonts w:eastAsia="Times New Roman"/>
                <w:color w:val="000000"/>
              </w:rPr>
            </w:pPr>
            <w:r>
              <w:rPr>
                <w:rFonts w:eastAsia="Times New Roman"/>
                <w:color w:val="000000"/>
              </w:rPr>
              <w:t>51</w:t>
            </w:r>
          </w:p>
        </w:tc>
        <w:tc>
          <w:tcPr>
            <w:tcW w:w="1129" w:type="pct"/>
            <w:shd w:val="clear" w:color="auto" w:fill="auto"/>
            <w:noWrap/>
            <w:vAlign w:val="bottom"/>
          </w:tcPr>
          <w:p w:rsidR="007C0AC0" w:rsidRPr="0068473C" w:rsidP="00026F9A" w14:paraId="5B296613" w14:textId="77777777">
            <w:pPr>
              <w:jc w:val="right"/>
              <w:rPr>
                <w:rFonts w:eastAsia="Times New Roman"/>
                <w:b/>
                <w:bCs/>
                <w:color w:val="000000"/>
                <w:sz w:val="22"/>
                <w:szCs w:val="22"/>
              </w:rPr>
            </w:pPr>
            <w:r>
              <w:rPr>
                <w:rFonts w:eastAsia="Times New Roman"/>
                <w:b/>
                <w:bCs/>
                <w:color w:val="000000"/>
                <w:sz w:val="22"/>
                <w:szCs w:val="22"/>
              </w:rPr>
              <w:t>-</w:t>
            </w:r>
          </w:p>
        </w:tc>
        <w:tc>
          <w:tcPr>
            <w:tcW w:w="1129" w:type="pct"/>
          </w:tcPr>
          <w:p w:rsidR="007C0AC0" w:rsidRPr="007A1735" w:rsidP="00026F9A" w14:paraId="5E3DD33F" w14:textId="77777777">
            <w:pPr>
              <w:jc w:val="right"/>
              <w:rPr>
                <w:rFonts w:eastAsia="Times New Roman"/>
                <w:color w:val="000000"/>
                <w:sz w:val="22"/>
                <w:szCs w:val="22"/>
              </w:rPr>
            </w:pPr>
            <w:r w:rsidRPr="007A1735">
              <w:rPr>
                <w:rFonts w:eastAsia="Times New Roman"/>
                <w:color w:val="000000"/>
                <w:sz w:val="22"/>
                <w:szCs w:val="22"/>
              </w:rPr>
              <w:t>51</w:t>
            </w:r>
          </w:p>
        </w:tc>
      </w:tr>
      <w:tr w14:paraId="5830A0F3" w14:textId="77777777">
        <w:tblPrEx>
          <w:tblW w:w="5000" w:type="pct"/>
          <w:tblLook w:val="04A0"/>
        </w:tblPrEx>
        <w:trPr>
          <w:trHeight w:val="330"/>
        </w:trPr>
        <w:tc>
          <w:tcPr>
            <w:tcW w:w="1612" w:type="pct"/>
            <w:shd w:val="clear" w:color="auto" w:fill="auto"/>
            <w:noWrap/>
            <w:vAlign w:val="bottom"/>
          </w:tcPr>
          <w:p w:rsidR="007C0AC0" w:rsidRPr="0068473C" w:rsidP="00026F9A" w14:paraId="554F530C" w14:textId="77777777">
            <w:pPr>
              <w:rPr>
                <w:rFonts w:eastAsia="Times New Roman"/>
                <w:b/>
                <w:bCs/>
                <w:color w:val="000000"/>
                <w:sz w:val="22"/>
                <w:szCs w:val="22"/>
              </w:rPr>
            </w:pPr>
            <w:r w:rsidRPr="009D1DCF">
              <w:rPr>
                <w:rFonts w:eastAsia="Times New Roman"/>
                <w:b/>
                <w:bCs/>
                <w:color w:val="000000"/>
              </w:rPr>
              <w:t>Total Identified RAC</w:t>
            </w:r>
          </w:p>
        </w:tc>
        <w:tc>
          <w:tcPr>
            <w:tcW w:w="1129" w:type="pct"/>
            <w:vAlign w:val="bottom"/>
          </w:tcPr>
          <w:p w:rsidR="007C0AC0" w:rsidP="00026F9A" w14:paraId="5F31D165" w14:textId="77777777">
            <w:pPr>
              <w:jc w:val="right"/>
              <w:rPr>
                <w:rFonts w:eastAsia="Times New Roman"/>
                <w:color w:val="000000"/>
              </w:rPr>
            </w:pPr>
            <w:r>
              <w:rPr>
                <w:rFonts w:eastAsia="Times New Roman"/>
                <w:b/>
                <w:bCs/>
                <w:color w:val="000000"/>
              </w:rPr>
              <w:t>9,611</w:t>
            </w:r>
          </w:p>
        </w:tc>
        <w:tc>
          <w:tcPr>
            <w:tcW w:w="1129" w:type="pct"/>
            <w:shd w:val="clear" w:color="auto" w:fill="auto"/>
            <w:noWrap/>
            <w:vAlign w:val="bottom"/>
          </w:tcPr>
          <w:p w:rsidR="007C0AC0" w:rsidRPr="0068473C" w:rsidP="00026F9A" w14:paraId="153AE7F6" w14:textId="77777777">
            <w:pPr>
              <w:jc w:val="right"/>
              <w:rPr>
                <w:rFonts w:eastAsia="Times New Roman"/>
                <w:b/>
                <w:bCs/>
                <w:color w:val="000000"/>
                <w:sz w:val="22"/>
                <w:szCs w:val="22"/>
              </w:rPr>
            </w:pPr>
            <w:r w:rsidRPr="00E718AA">
              <w:rPr>
                <w:rFonts w:eastAsia="Times New Roman"/>
                <w:b/>
                <w:bCs/>
                <w:color w:val="000000"/>
                <w:sz w:val="22"/>
                <w:szCs w:val="22"/>
              </w:rPr>
              <w:t xml:space="preserve">                     5,129</w:t>
            </w:r>
          </w:p>
        </w:tc>
        <w:tc>
          <w:tcPr>
            <w:tcW w:w="1129" w:type="pct"/>
          </w:tcPr>
          <w:p w:rsidR="007C0AC0" w:rsidRPr="00C9492E" w:rsidP="00026F9A" w14:paraId="0FE17ACC" w14:textId="77777777">
            <w:pPr>
              <w:jc w:val="right"/>
              <w:rPr>
                <w:rFonts w:eastAsia="Times New Roman"/>
                <w:b/>
                <w:bCs/>
                <w:color w:val="000000"/>
                <w:sz w:val="22"/>
                <w:szCs w:val="22"/>
              </w:rPr>
            </w:pPr>
            <w:r>
              <w:rPr>
                <w:rFonts w:eastAsia="Times New Roman"/>
                <w:b/>
                <w:bCs/>
                <w:color w:val="000000"/>
                <w:sz w:val="22"/>
                <w:szCs w:val="22"/>
              </w:rPr>
              <w:t>4,533</w:t>
            </w:r>
          </w:p>
        </w:tc>
      </w:tr>
    </w:tbl>
    <w:p w:rsidR="007C0AC0" w:rsidP="00026F9A" w14:paraId="5C9B76FF" w14:textId="77777777"/>
    <w:p w:rsidR="007C0AC0" w:rsidRPr="00AA4C15" w:rsidP="00026F9A" w14:paraId="533103FB" w14:textId="74D4B673">
      <w:pPr>
        <w:spacing w:line="480" w:lineRule="auto"/>
        <w:ind w:firstLine="720"/>
      </w:pPr>
      <w:r>
        <w:t xml:space="preserve">We use the adjusted number of illnesses to estimate an adjusted covered dollar burden of illness, representing the burden of illness that would be prevented by </w:t>
      </w:r>
      <w:r w:rsidR="00BA1E4B">
        <w:t>this</w:t>
      </w:r>
      <w:r>
        <w:t xml:space="preserve"> rule. The difference between the initial estimate of the covered dollar burden and the adjusted dollar burden represents the number of illnesses covered by the traceability rule. We estimate that a proportion of illnesses covered by the traceability rule will be prevented by that rule and that the remainder will not be prevented. For each pathogen, we estimate the dollar burden of the proportion of illnesses not prevented by the traceability rule and add these illnesses to the adjusted covered dollar burden of th</w:t>
      </w:r>
      <w:r w:rsidR="00DF4BC2">
        <w:t>is rule</w:t>
      </w:r>
      <w:r>
        <w:t xml:space="preserve">. We estimate that the total covered dollar burden of illnesses is approximately </w:t>
      </w:r>
      <w:r w:rsidRPr="00515758">
        <w:t xml:space="preserve">$1,711.5 million in </w:t>
      </w:r>
      <w:r w:rsidR="30CFB22B">
        <w:t>20</w:t>
      </w:r>
      <w:r w:rsidR="361B391E">
        <w:t>19</w:t>
      </w:r>
      <w:r w:rsidRPr="00515758">
        <w:t xml:space="preserve"> dollars.</w:t>
      </w:r>
      <w:r>
        <w:t xml:space="preserve"> </w:t>
      </w:r>
      <w:r w:rsidR="00190CFD">
        <w:t>We update the</w:t>
      </w:r>
      <w:r w:rsidR="00252FEB">
        <w:t xml:space="preserve">se dollar burdens to 2022 dollars in the main body of the document. </w:t>
      </w:r>
      <w:r>
        <w:t>Table A5 presents the adjusted estimated dollar burden of illnesses used in the baseline of this analysis.</w:t>
      </w:r>
    </w:p>
    <w:p w:rsidR="002746F8" w14:paraId="4F5648D7" w14:textId="77777777">
      <w:pPr>
        <w:spacing w:line="276" w:lineRule="auto"/>
        <w:rPr>
          <w:b/>
          <w:bCs/>
        </w:rPr>
      </w:pPr>
      <w:r>
        <w:rPr>
          <w:b/>
          <w:bCs/>
        </w:rPr>
        <w:br w:type="page"/>
      </w:r>
    </w:p>
    <w:p w:rsidR="007C0AC0" w:rsidRPr="00AA4C15" w:rsidP="00026F9A" w14:paraId="1A728AE1" w14:textId="7554BFFD">
      <w:pPr>
        <w:rPr>
          <w:b/>
          <w:bCs/>
        </w:rPr>
      </w:pPr>
      <w:r w:rsidRPr="007A1735">
        <w:rPr>
          <w:b/>
          <w:bCs/>
        </w:rPr>
        <w:t>Table A5</w:t>
      </w:r>
      <w:r w:rsidRPr="00AA4C15">
        <w:rPr>
          <w:b/>
          <w:bCs/>
        </w:rPr>
        <w:t>: Adjusted Estimated Dollar Burden of Illnesses, 2009-2020.</w:t>
      </w:r>
    </w:p>
    <w:tbl>
      <w:tblPr>
        <w:tblW w:w="5000" w:type="pct"/>
        <w:tblLayout w:type="fixed"/>
        <w:tblCellMar>
          <w:left w:w="0" w:type="dxa"/>
          <w:right w:w="0" w:type="dxa"/>
        </w:tblCellMar>
        <w:tblLook w:val="04A0"/>
      </w:tblPr>
      <w:tblGrid>
        <w:gridCol w:w="368"/>
        <w:gridCol w:w="1377"/>
        <w:gridCol w:w="1267"/>
        <w:gridCol w:w="1268"/>
        <w:gridCol w:w="1366"/>
        <w:gridCol w:w="1169"/>
        <w:gridCol w:w="1268"/>
        <w:gridCol w:w="1257"/>
      </w:tblGrid>
      <w:tr w14:paraId="298D1E2E" w14:textId="77777777">
        <w:tblPrEx>
          <w:tblW w:w="5000" w:type="pct"/>
          <w:tblLayout w:type="fixed"/>
          <w:tblCellMar>
            <w:left w:w="0" w:type="dxa"/>
            <w:right w:w="0" w:type="dxa"/>
          </w:tblCellMar>
          <w:tblLook w:val="04A0"/>
        </w:tblPrEx>
        <w:trPr>
          <w:trHeight w:val="288"/>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0AC0" w:rsidRPr="007A1735" w:rsidP="00026F9A" w14:paraId="37469349" w14:textId="77777777">
            <w:pPr>
              <w:spacing w:line="276" w:lineRule="auto"/>
              <w:rPr>
                <w:b/>
                <w:bCs/>
                <w:color w:val="000000"/>
                <w:sz w:val="22"/>
                <w:szCs w:val="22"/>
              </w:rPr>
            </w:pPr>
            <w:r w:rsidRPr="007A1735">
              <w:rPr>
                <w:b/>
                <w:bCs/>
                <w:color w:val="000000"/>
                <w:sz w:val="22"/>
                <w:szCs w:val="22"/>
              </w:rPr>
              <w:t xml:space="preserve">Estimated Dollar Burden Attributable to Produce RACs Other Than Sprouts </w:t>
            </w:r>
          </w:p>
        </w:tc>
      </w:tr>
      <w:tr w14:paraId="4CADDC00" w14:textId="77777777">
        <w:tblPrEx>
          <w:tblW w:w="5000" w:type="pct"/>
          <w:tblLayout w:type="fixed"/>
          <w:tblCellMar>
            <w:left w:w="0" w:type="dxa"/>
            <w:right w:w="0" w:type="dxa"/>
          </w:tblCellMar>
          <w:tblLook w:val="04A0"/>
        </w:tblPrEx>
        <w:trPr>
          <w:trHeight w:val="912"/>
        </w:trPr>
        <w:tc>
          <w:tcPr>
            <w:tcW w:w="9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C0AC0" w:rsidRPr="007A1735" w:rsidP="00026F9A" w14:paraId="25CB8934" w14:textId="77777777">
            <w:pPr>
              <w:spacing w:line="276" w:lineRule="auto"/>
              <w:jc w:val="center"/>
              <w:rPr>
                <w:b/>
                <w:bCs/>
                <w:color w:val="000000"/>
                <w:sz w:val="22"/>
                <w:szCs w:val="22"/>
              </w:rPr>
            </w:pPr>
            <w:r w:rsidRPr="007A1735">
              <w:rPr>
                <w:b/>
                <w:bCs/>
                <w:color w:val="000000"/>
                <w:sz w:val="22"/>
                <w:szCs w:val="22"/>
              </w:rPr>
              <w:t>Agent</w:t>
            </w:r>
          </w:p>
        </w:tc>
        <w:tc>
          <w:tcPr>
            <w:tcW w:w="67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7C0AC0" w:rsidRPr="007A1735" w:rsidP="00026F9A" w14:paraId="0C5B561A" w14:textId="77777777">
            <w:pPr>
              <w:spacing w:line="276" w:lineRule="auto"/>
              <w:jc w:val="center"/>
              <w:rPr>
                <w:b/>
                <w:bCs/>
                <w:color w:val="000000"/>
                <w:sz w:val="22"/>
                <w:szCs w:val="22"/>
              </w:rPr>
            </w:pPr>
            <w:r w:rsidRPr="007A1735">
              <w:rPr>
                <w:b/>
                <w:bCs/>
                <w:color w:val="000000"/>
                <w:sz w:val="22"/>
                <w:szCs w:val="22"/>
              </w:rPr>
              <w:t>Covered Dollar Burden (millions)</w:t>
            </w:r>
          </w:p>
        </w:tc>
        <w:tc>
          <w:tcPr>
            <w:tcW w:w="67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7C0AC0" w:rsidRPr="007A1735" w:rsidP="00026F9A" w14:paraId="2702DE7E" w14:textId="77777777">
            <w:pPr>
              <w:spacing w:line="276" w:lineRule="auto"/>
              <w:jc w:val="center"/>
              <w:rPr>
                <w:b/>
                <w:bCs/>
                <w:color w:val="000000"/>
                <w:sz w:val="22"/>
                <w:szCs w:val="22"/>
              </w:rPr>
            </w:pPr>
            <w:r>
              <w:rPr>
                <w:b/>
                <w:bCs/>
                <w:color w:val="000000"/>
                <w:sz w:val="22"/>
                <w:szCs w:val="22"/>
              </w:rPr>
              <w:t>Adjusted Covered Dollar Burden (millions)</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7C0AC0" w:rsidRPr="007A1735" w:rsidP="00026F9A" w14:paraId="341E4058" w14:textId="77777777">
            <w:pPr>
              <w:spacing w:line="276" w:lineRule="auto"/>
              <w:jc w:val="center"/>
              <w:rPr>
                <w:b/>
                <w:bCs/>
                <w:color w:val="000000"/>
                <w:sz w:val="22"/>
                <w:szCs w:val="22"/>
              </w:rPr>
            </w:pPr>
            <w:r>
              <w:rPr>
                <w:b/>
                <w:bCs/>
                <w:color w:val="000000"/>
                <w:sz w:val="22"/>
                <w:szCs w:val="22"/>
              </w:rPr>
              <w:t>Dollar Burden Covered by Traceability</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7C0AC0" w:rsidP="00026F9A" w14:paraId="07974F22" w14:textId="77777777">
            <w:pPr>
              <w:spacing w:line="276" w:lineRule="auto"/>
              <w:jc w:val="center"/>
              <w:rPr>
                <w:b/>
                <w:bCs/>
                <w:color w:val="000000"/>
                <w:sz w:val="22"/>
                <w:szCs w:val="22"/>
              </w:rPr>
            </w:pPr>
          </w:p>
          <w:p w:rsidR="007C0AC0" w:rsidRPr="007A1735" w:rsidP="00026F9A" w14:paraId="52C372B0" w14:textId="77777777">
            <w:pPr>
              <w:spacing w:line="276" w:lineRule="auto"/>
              <w:jc w:val="center"/>
              <w:rPr>
                <w:b/>
                <w:bCs/>
                <w:color w:val="000000"/>
                <w:sz w:val="22"/>
                <w:szCs w:val="22"/>
              </w:rPr>
            </w:pPr>
            <w:r>
              <w:rPr>
                <w:b/>
                <w:bCs/>
                <w:color w:val="000000"/>
                <w:sz w:val="22"/>
                <w:szCs w:val="22"/>
              </w:rPr>
              <w:t>Percent of Illnesses Prevented by Traceability</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7C0AC0" w:rsidP="00026F9A" w14:paraId="2F13B1A4" w14:textId="77777777">
            <w:pPr>
              <w:spacing w:line="276" w:lineRule="auto"/>
              <w:jc w:val="center"/>
              <w:rPr>
                <w:b/>
                <w:bCs/>
                <w:color w:val="000000"/>
                <w:sz w:val="22"/>
                <w:szCs w:val="22"/>
              </w:rPr>
            </w:pPr>
          </w:p>
          <w:p w:rsidR="007C0AC0" w:rsidRPr="007A1735" w:rsidP="00026F9A" w14:paraId="2192A30B" w14:textId="77777777">
            <w:pPr>
              <w:spacing w:line="276" w:lineRule="auto"/>
              <w:jc w:val="center"/>
              <w:rPr>
                <w:b/>
                <w:bCs/>
                <w:color w:val="000000"/>
                <w:sz w:val="22"/>
                <w:szCs w:val="22"/>
              </w:rPr>
            </w:pPr>
            <w:r>
              <w:rPr>
                <w:b/>
                <w:bCs/>
                <w:color w:val="000000"/>
                <w:sz w:val="22"/>
                <w:szCs w:val="22"/>
              </w:rPr>
              <w:t>Dollar Burden Not Prevented by Traceability</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118594E5" w14:textId="634BD9A1">
            <w:pPr>
              <w:spacing w:line="276" w:lineRule="auto"/>
              <w:jc w:val="center"/>
              <w:rPr>
                <w:b/>
                <w:bCs/>
                <w:color w:val="000000"/>
                <w:sz w:val="22"/>
                <w:szCs w:val="22"/>
              </w:rPr>
            </w:pPr>
            <w:r>
              <w:rPr>
                <w:b/>
                <w:bCs/>
                <w:color w:val="000000"/>
                <w:sz w:val="22"/>
                <w:szCs w:val="22"/>
              </w:rPr>
              <w:t xml:space="preserve">Adjusted Dollar Burden of Illness </w:t>
            </w:r>
            <w:r w:rsidR="00E77782">
              <w:rPr>
                <w:b/>
                <w:bCs/>
                <w:color w:val="000000"/>
                <w:sz w:val="22"/>
                <w:szCs w:val="22"/>
              </w:rPr>
              <w:t xml:space="preserve">Covered </w:t>
            </w:r>
            <w:r>
              <w:rPr>
                <w:b/>
                <w:bCs/>
                <w:color w:val="000000"/>
                <w:sz w:val="22"/>
                <w:szCs w:val="22"/>
              </w:rPr>
              <w:t xml:space="preserve">by </w:t>
            </w:r>
            <w:r w:rsidR="00F90F6C">
              <w:rPr>
                <w:b/>
                <w:bCs/>
                <w:color w:val="000000"/>
                <w:sz w:val="22"/>
                <w:szCs w:val="22"/>
              </w:rPr>
              <w:t>This</w:t>
            </w:r>
            <w:r>
              <w:rPr>
                <w:b/>
                <w:bCs/>
                <w:color w:val="000000"/>
                <w:sz w:val="22"/>
                <w:szCs w:val="22"/>
              </w:rPr>
              <w:t xml:space="preserve"> Rule</w:t>
            </w:r>
          </w:p>
        </w:tc>
      </w:tr>
      <w:tr w14:paraId="4EB8D7F5" w14:textId="77777777">
        <w:tblPrEx>
          <w:tblW w:w="5000" w:type="pct"/>
          <w:tblLayout w:type="fixed"/>
          <w:tblCellMar>
            <w:left w:w="0" w:type="dxa"/>
            <w:right w:w="0" w:type="dxa"/>
          </w:tblCellMar>
          <w:tblLook w:val="04A0"/>
        </w:tblPrEx>
        <w:trPr>
          <w:trHeight w:val="288"/>
        </w:trPr>
        <w:tc>
          <w:tcPr>
            <w:tcW w:w="934"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44DDB86D" w14:textId="77777777">
            <w:pPr>
              <w:spacing w:line="276" w:lineRule="auto"/>
              <w:jc w:val="center"/>
              <w:rPr>
                <w:i/>
                <w:iCs/>
                <w:color w:val="000000"/>
                <w:sz w:val="22"/>
                <w:szCs w:val="22"/>
              </w:rPr>
            </w:pPr>
            <w:r w:rsidRPr="007A1735">
              <w:rPr>
                <w:i/>
                <w:iCs/>
                <w:color w:val="000000"/>
                <w:sz w:val="22"/>
                <w:szCs w:val="22"/>
              </w:rPr>
              <w:t>Salmonella</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08F911EE" w14:textId="77777777">
            <w:pPr>
              <w:spacing w:line="276" w:lineRule="auto"/>
              <w:jc w:val="center"/>
              <w:rPr>
                <w:color w:val="000000"/>
                <w:sz w:val="22"/>
                <w:szCs w:val="22"/>
              </w:rPr>
            </w:pPr>
            <w:r w:rsidRPr="007A1735">
              <w:rPr>
                <w:color w:val="000000"/>
                <w:sz w:val="22"/>
                <w:szCs w:val="22"/>
              </w:rPr>
              <w:t>$1,038</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56319341" w14:textId="77777777">
            <w:pPr>
              <w:spacing w:line="276" w:lineRule="auto"/>
              <w:jc w:val="center"/>
              <w:rPr>
                <w:color w:val="000000"/>
                <w:sz w:val="22"/>
                <w:szCs w:val="22"/>
              </w:rPr>
            </w:pPr>
            <w:r w:rsidRPr="007A1735">
              <w:rPr>
                <w:color w:val="000000"/>
                <w:sz w:val="22"/>
                <w:szCs w:val="22"/>
              </w:rPr>
              <w:t>$478</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46EAFC81" w14:textId="77777777">
            <w:pPr>
              <w:spacing w:line="276" w:lineRule="auto"/>
              <w:jc w:val="center"/>
              <w:rPr>
                <w:color w:val="000000"/>
                <w:sz w:val="22"/>
                <w:szCs w:val="22"/>
              </w:rPr>
            </w:pPr>
            <w:r w:rsidRPr="007A1735">
              <w:rPr>
                <w:color w:val="000000"/>
                <w:sz w:val="22"/>
                <w:szCs w:val="22"/>
              </w:rPr>
              <w:t>$560</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3FE5BD2D" w14:textId="77777777">
            <w:pPr>
              <w:spacing w:line="276" w:lineRule="auto"/>
              <w:jc w:val="center"/>
              <w:rPr>
                <w:color w:val="000000"/>
                <w:sz w:val="22"/>
                <w:szCs w:val="22"/>
              </w:rPr>
            </w:pPr>
            <w:r w:rsidRPr="007A1735">
              <w:rPr>
                <w:color w:val="000000"/>
                <w:sz w:val="22"/>
                <w:szCs w:val="22"/>
              </w:rPr>
              <w:t>24%</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6B9738CB" w14:textId="77777777">
            <w:pPr>
              <w:spacing w:line="276" w:lineRule="auto"/>
              <w:jc w:val="center"/>
              <w:rPr>
                <w:color w:val="000000"/>
                <w:sz w:val="22"/>
                <w:szCs w:val="22"/>
              </w:rPr>
            </w:pPr>
            <w:r w:rsidRPr="007A1735">
              <w:rPr>
                <w:color w:val="000000"/>
                <w:sz w:val="22"/>
                <w:szCs w:val="22"/>
              </w:rPr>
              <w:t>$426</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236AAE99" w14:textId="77777777">
            <w:pPr>
              <w:spacing w:line="276" w:lineRule="auto"/>
              <w:jc w:val="center"/>
              <w:rPr>
                <w:color w:val="000000"/>
                <w:sz w:val="22"/>
                <w:szCs w:val="22"/>
              </w:rPr>
            </w:pPr>
            <w:r w:rsidRPr="007A1735">
              <w:rPr>
                <w:color w:val="000000"/>
                <w:sz w:val="22"/>
                <w:szCs w:val="22"/>
              </w:rPr>
              <w:t>$904</w:t>
            </w:r>
          </w:p>
        </w:tc>
      </w:tr>
      <w:tr w14:paraId="1F50726F" w14:textId="77777777">
        <w:tblPrEx>
          <w:tblW w:w="5000" w:type="pct"/>
          <w:tblLayout w:type="fixed"/>
          <w:tblCellMar>
            <w:left w:w="0" w:type="dxa"/>
            <w:right w:w="0" w:type="dxa"/>
          </w:tblCellMar>
          <w:tblLook w:val="04A0"/>
        </w:tblPrEx>
        <w:trPr>
          <w:trHeight w:val="288"/>
        </w:trPr>
        <w:tc>
          <w:tcPr>
            <w:tcW w:w="934"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2441AA92" w14:textId="77777777">
            <w:pPr>
              <w:spacing w:line="276" w:lineRule="auto"/>
              <w:jc w:val="center"/>
              <w:rPr>
                <w:i/>
                <w:iCs/>
                <w:color w:val="000000"/>
                <w:sz w:val="22"/>
                <w:szCs w:val="22"/>
              </w:rPr>
            </w:pPr>
            <w:r w:rsidRPr="007A1735">
              <w:rPr>
                <w:i/>
                <w:iCs/>
                <w:color w:val="000000"/>
                <w:sz w:val="22"/>
                <w:szCs w:val="22"/>
              </w:rPr>
              <w:t>Cyclospora cayatenensis</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06397158" w14:textId="77777777">
            <w:pPr>
              <w:spacing w:line="276" w:lineRule="auto"/>
              <w:jc w:val="center"/>
              <w:rPr>
                <w:color w:val="000000"/>
                <w:sz w:val="22"/>
                <w:szCs w:val="22"/>
              </w:rPr>
            </w:pPr>
            <w:r w:rsidRPr="007A1735">
              <w:rPr>
                <w:color w:val="000000"/>
                <w:sz w:val="22"/>
                <w:szCs w:val="22"/>
              </w:rPr>
              <w:t>$35</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64BDE953" w14:textId="77777777">
            <w:pPr>
              <w:spacing w:line="276" w:lineRule="auto"/>
              <w:jc w:val="center"/>
              <w:rPr>
                <w:color w:val="000000"/>
                <w:sz w:val="22"/>
                <w:szCs w:val="22"/>
              </w:rPr>
            </w:pPr>
            <w:r w:rsidRPr="007A1735">
              <w:rPr>
                <w:color w:val="000000"/>
                <w:sz w:val="22"/>
                <w:szCs w:val="22"/>
              </w:rPr>
              <w:t>$15</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64AD035F" w14:textId="77777777">
            <w:pPr>
              <w:spacing w:line="276" w:lineRule="auto"/>
              <w:jc w:val="center"/>
              <w:rPr>
                <w:color w:val="000000"/>
                <w:sz w:val="22"/>
                <w:szCs w:val="22"/>
              </w:rPr>
            </w:pPr>
            <w:r w:rsidRPr="007A1735">
              <w:rPr>
                <w:color w:val="000000"/>
                <w:sz w:val="22"/>
                <w:szCs w:val="22"/>
              </w:rPr>
              <w:t>$20</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5C6734C4" w14:textId="77777777">
            <w:pPr>
              <w:spacing w:line="276" w:lineRule="auto"/>
              <w:jc w:val="center"/>
              <w:rPr>
                <w:color w:val="000000"/>
                <w:sz w:val="22"/>
                <w:szCs w:val="22"/>
              </w:rPr>
            </w:pPr>
            <w:r w:rsidRPr="007A1735">
              <w:rPr>
                <w:color w:val="000000"/>
                <w:sz w:val="22"/>
                <w:szCs w:val="22"/>
              </w:rPr>
              <w:t>13%</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7E603A8F" w14:textId="77777777">
            <w:pPr>
              <w:spacing w:line="276" w:lineRule="auto"/>
              <w:jc w:val="center"/>
              <w:rPr>
                <w:color w:val="000000"/>
                <w:sz w:val="22"/>
                <w:szCs w:val="22"/>
              </w:rPr>
            </w:pPr>
            <w:r w:rsidRPr="007A1735">
              <w:rPr>
                <w:color w:val="000000"/>
                <w:sz w:val="22"/>
                <w:szCs w:val="22"/>
              </w:rPr>
              <w:t>$18</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4CB38DB7" w14:textId="77777777">
            <w:pPr>
              <w:spacing w:line="276" w:lineRule="auto"/>
              <w:jc w:val="center"/>
              <w:rPr>
                <w:color w:val="000000"/>
                <w:sz w:val="22"/>
                <w:szCs w:val="22"/>
              </w:rPr>
            </w:pPr>
            <w:r w:rsidRPr="007A1735">
              <w:rPr>
                <w:color w:val="000000"/>
                <w:sz w:val="22"/>
                <w:szCs w:val="22"/>
              </w:rPr>
              <w:t>$32</w:t>
            </w:r>
          </w:p>
        </w:tc>
      </w:tr>
      <w:tr w14:paraId="2695E4C0" w14:textId="77777777">
        <w:tblPrEx>
          <w:tblW w:w="5000" w:type="pct"/>
          <w:tblLayout w:type="fixed"/>
          <w:tblCellMar>
            <w:left w:w="0" w:type="dxa"/>
            <w:right w:w="0" w:type="dxa"/>
          </w:tblCellMar>
          <w:tblLook w:val="04A0"/>
        </w:tblPrEx>
        <w:trPr>
          <w:trHeight w:val="288"/>
        </w:trPr>
        <w:tc>
          <w:tcPr>
            <w:tcW w:w="934"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6C42D4B4" w14:textId="77777777">
            <w:pPr>
              <w:spacing w:line="276" w:lineRule="auto"/>
              <w:jc w:val="center"/>
              <w:rPr>
                <w:i/>
                <w:iCs/>
                <w:color w:val="000000"/>
                <w:sz w:val="22"/>
                <w:szCs w:val="22"/>
              </w:rPr>
            </w:pPr>
            <w:r w:rsidRPr="007A1735">
              <w:rPr>
                <w:i/>
                <w:iCs/>
                <w:color w:val="000000"/>
                <w:sz w:val="22"/>
                <w:szCs w:val="22"/>
              </w:rPr>
              <w:t>Listeria monocytogenes</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5AE6E910" w14:textId="77777777">
            <w:pPr>
              <w:spacing w:line="276" w:lineRule="auto"/>
              <w:jc w:val="center"/>
              <w:rPr>
                <w:color w:val="000000"/>
                <w:sz w:val="22"/>
                <w:szCs w:val="22"/>
              </w:rPr>
            </w:pPr>
            <w:r w:rsidRPr="007A1735">
              <w:rPr>
                <w:color w:val="000000"/>
                <w:sz w:val="22"/>
                <w:szCs w:val="22"/>
              </w:rPr>
              <w:t>$706</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6787E566" w14:textId="77777777">
            <w:pPr>
              <w:spacing w:line="276" w:lineRule="auto"/>
              <w:jc w:val="center"/>
              <w:rPr>
                <w:color w:val="000000"/>
                <w:sz w:val="22"/>
                <w:szCs w:val="22"/>
              </w:rPr>
            </w:pPr>
            <w:r w:rsidRPr="007A1735">
              <w:rPr>
                <w:color w:val="000000"/>
                <w:sz w:val="22"/>
                <w:szCs w:val="22"/>
              </w:rPr>
              <w:t>$195</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63786B0B" w14:textId="77777777">
            <w:pPr>
              <w:spacing w:line="276" w:lineRule="auto"/>
              <w:jc w:val="center"/>
              <w:rPr>
                <w:color w:val="000000"/>
                <w:sz w:val="22"/>
                <w:szCs w:val="22"/>
              </w:rPr>
            </w:pPr>
            <w:r w:rsidRPr="007A1735">
              <w:rPr>
                <w:color w:val="000000"/>
                <w:sz w:val="22"/>
                <w:szCs w:val="22"/>
              </w:rPr>
              <w:t>$511</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1DAF81E7" w14:textId="77777777">
            <w:pPr>
              <w:spacing w:line="276" w:lineRule="auto"/>
              <w:jc w:val="center"/>
              <w:rPr>
                <w:color w:val="000000"/>
                <w:sz w:val="22"/>
                <w:szCs w:val="22"/>
              </w:rPr>
            </w:pPr>
            <w:r w:rsidRPr="007A1735">
              <w:rPr>
                <w:color w:val="000000"/>
                <w:sz w:val="22"/>
                <w:szCs w:val="22"/>
              </w:rPr>
              <w:t>56%</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71174CE3" w14:textId="77777777">
            <w:pPr>
              <w:spacing w:line="276" w:lineRule="auto"/>
              <w:jc w:val="center"/>
              <w:rPr>
                <w:color w:val="000000"/>
                <w:sz w:val="22"/>
                <w:szCs w:val="22"/>
              </w:rPr>
            </w:pPr>
            <w:r w:rsidRPr="007A1735">
              <w:rPr>
                <w:color w:val="000000"/>
                <w:sz w:val="22"/>
                <w:szCs w:val="22"/>
              </w:rPr>
              <w:t>$225</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25ED95BB" w14:textId="77777777">
            <w:pPr>
              <w:spacing w:line="276" w:lineRule="auto"/>
              <w:jc w:val="center"/>
              <w:rPr>
                <w:color w:val="000000"/>
                <w:sz w:val="22"/>
                <w:szCs w:val="22"/>
              </w:rPr>
            </w:pPr>
            <w:r w:rsidRPr="007A1735">
              <w:rPr>
                <w:color w:val="000000"/>
                <w:sz w:val="22"/>
                <w:szCs w:val="22"/>
              </w:rPr>
              <w:t>$420</w:t>
            </w:r>
          </w:p>
        </w:tc>
      </w:tr>
      <w:tr w14:paraId="6A26988F" w14:textId="77777777">
        <w:tblPrEx>
          <w:tblW w:w="5000" w:type="pct"/>
          <w:tblLayout w:type="fixed"/>
          <w:tblCellMar>
            <w:left w:w="0" w:type="dxa"/>
            <w:right w:w="0" w:type="dxa"/>
          </w:tblCellMar>
          <w:tblLook w:val="04A0"/>
        </w:tblPrEx>
        <w:trPr>
          <w:trHeight w:val="288"/>
        </w:trPr>
        <w:tc>
          <w:tcPr>
            <w:tcW w:w="934"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5F756DF8" w14:textId="6FFAC459">
            <w:pPr>
              <w:spacing w:line="276" w:lineRule="auto"/>
              <w:jc w:val="center"/>
              <w:rPr>
                <w:i/>
                <w:iCs/>
                <w:color w:val="000000"/>
                <w:sz w:val="22"/>
                <w:szCs w:val="22"/>
              </w:rPr>
            </w:pPr>
            <w:r w:rsidRPr="007A1735">
              <w:rPr>
                <w:i/>
                <w:iCs/>
                <w:color w:val="000000"/>
                <w:sz w:val="22"/>
                <w:szCs w:val="22"/>
              </w:rPr>
              <w:t xml:space="preserve">E. coli, </w:t>
            </w:r>
            <w:r w:rsidRPr="007A1735">
              <w:rPr>
                <w:color w:val="000000"/>
                <w:sz w:val="22"/>
                <w:szCs w:val="22"/>
              </w:rPr>
              <w:t>STEC</w:t>
            </w:r>
            <w:r w:rsidR="00FB1C60">
              <w:rPr>
                <w:color w:val="000000"/>
                <w:sz w:val="22"/>
                <w:szCs w:val="22"/>
              </w:rPr>
              <w:t xml:space="preserve"> </w:t>
            </w:r>
            <w:r w:rsidRPr="007A1735">
              <w:rPr>
                <w:color w:val="000000"/>
                <w:sz w:val="22"/>
                <w:szCs w:val="22"/>
              </w:rPr>
              <w:t>O157</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3708A33A" w14:textId="77777777">
            <w:pPr>
              <w:spacing w:line="276" w:lineRule="auto"/>
              <w:jc w:val="center"/>
              <w:rPr>
                <w:color w:val="000000"/>
                <w:sz w:val="22"/>
                <w:szCs w:val="22"/>
              </w:rPr>
            </w:pPr>
            <w:r w:rsidRPr="007A1735">
              <w:rPr>
                <w:color w:val="000000"/>
                <w:sz w:val="22"/>
                <w:szCs w:val="22"/>
              </w:rPr>
              <w:t>$70</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616AC3A2" w14:textId="77777777">
            <w:pPr>
              <w:spacing w:line="276" w:lineRule="auto"/>
              <w:jc w:val="center"/>
              <w:rPr>
                <w:color w:val="000000"/>
                <w:sz w:val="22"/>
                <w:szCs w:val="22"/>
              </w:rPr>
            </w:pPr>
            <w:r w:rsidRPr="007A1735">
              <w:rPr>
                <w:color w:val="000000"/>
                <w:sz w:val="22"/>
                <w:szCs w:val="22"/>
              </w:rPr>
              <w:t>$</w:t>
            </w:r>
            <w:r>
              <w:rPr>
                <w:color w:val="000000"/>
                <w:sz w:val="22"/>
                <w:szCs w:val="22"/>
              </w:rPr>
              <w:t>69</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57DFF657" w14:textId="77777777">
            <w:pPr>
              <w:spacing w:line="276" w:lineRule="auto"/>
              <w:jc w:val="center"/>
              <w:rPr>
                <w:color w:val="000000"/>
                <w:sz w:val="22"/>
                <w:szCs w:val="22"/>
              </w:rPr>
            </w:pPr>
            <w:r>
              <w:rPr>
                <w:color w:val="000000"/>
                <w:sz w:val="22"/>
                <w:szCs w:val="22"/>
              </w:rPr>
              <w:t>$2</w:t>
            </w:r>
          </w:p>
        </w:tc>
        <w:tc>
          <w:tcPr>
            <w:tcW w:w="626" w:type="pct"/>
            <w:tcBorders>
              <w:top w:val="nil"/>
              <w:left w:val="nil"/>
              <w:bottom w:val="single" w:sz="8" w:space="0" w:color="auto"/>
              <w:right w:val="single" w:sz="8" w:space="0" w:color="auto"/>
            </w:tcBorders>
            <w:tcMar>
              <w:top w:w="0" w:type="dxa"/>
              <w:left w:w="108" w:type="dxa"/>
              <w:bottom w:w="0" w:type="dxa"/>
              <w:right w:w="108" w:type="dxa"/>
            </w:tcMar>
          </w:tcPr>
          <w:p w:rsidR="007C0AC0" w:rsidRPr="007A1735" w:rsidP="00026F9A" w14:paraId="45FA554D" w14:textId="77777777">
            <w:pPr>
              <w:spacing w:line="276" w:lineRule="auto"/>
              <w:jc w:val="center"/>
              <w:rPr>
                <w:color w:val="000000"/>
                <w:sz w:val="22"/>
                <w:szCs w:val="22"/>
              </w:rPr>
            </w:pPr>
            <w:r>
              <w:rPr>
                <w:color w:val="000000"/>
                <w:sz w:val="22"/>
                <w:szCs w:val="22"/>
              </w:rPr>
              <w:t>11%</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2FA741D1" w14:textId="77777777">
            <w:pPr>
              <w:spacing w:line="276" w:lineRule="auto"/>
              <w:jc w:val="center"/>
              <w:rPr>
                <w:color w:val="000000"/>
                <w:sz w:val="22"/>
                <w:szCs w:val="22"/>
              </w:rPr>
            </w:pPr>
            <w:r>
              <w:rPr>
                <w:color w:val="000000"/>
                <w:sz w:val="22"/>
                <w:szCs w:val="22"/>
              </w:rPr>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3E94B668" w14:textId="77777777">
            <w:pPr>
              <w:spacing w:line="276" w:lineRule="auto"/>
              <w:jc w:val="center"/>
              <w:rPr>
                <w:color w:val="000000"/>
                <w:sz w:val="22"/>
                <w:szCs w:val="22"/>
              </w:rPr>
            </w:pPr>
            <w:r w:rsidRPr="007A1735">
              <w:rPr>
                <w:color w:val="000000"/>
                <w:sz w:val="22"/>
                <w:szCs w:val="22"/>
              </w:rPr>
              <w:t>$</w:t>
            </w:r>
            <w:r>
              <w:rPr>
                <w:color w:val="000000"/>
                <w:sz w:val="22"/>
                <w:szCs w:val="22"/>
              </w:rPr>
              <w:t>70</w:t>
            </w:r>
          </w:p>
        </w:tc>
      </w:tr>
      <w:tr w14:paraId="1A0A0BE8" w14:textId="77777777">
        <w:tblPrEx>
          <w:tblW w:w="5000" w:type="pct"/>
          <w:tblLayout w:type="fixed"/>
          <w:tblCellMar>
            <w:left w:w="0" w:type="dxa"/>
            <w:right w:w="0" w:type="dxa"/>
          </w:tblCellMar>
          <w:tblLook w:val="04A0"/>
        </w:tblPrEx>
        <w:trPr>
          <w:trHeight w:val="288"/>
        </w:trPr>
        <w:tc>
          <w:tcPr>
            <w:tcW w:w="934"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65B78B8D" w14:textId="77777777">
            <w:pPr>
              <w:spacing w:line="276" w:lineRule="auto"/>
              <w:jc w:val="center"/>
              <w:rPr>
                <w:i/>
                <w:iCs/>
                <w:color w:val="000000"/>
                <w:sz w:val="22"/>
                <w:szCs w:val="22"/>
              </w:rPr>
            </w:pPr>
            <w:r w:rsidRPr="007A1735">
              <w:rPr>
                <w:i/>
                <w:iCs/>
                <w:color w:val="000000"/>
                <w:sz w:val="22"/>
                <w:szCs w:val="22"/>
              </w:rPr>
              <w:t xml:space="preserve">E. coli, </w:t>
            </w:r>
            <w:r w:rsidRPr="007A1735">
              <w:rPr>
                <w:color w:val="000000"/>
                <w:sz w:val="22"/>
                <w:szCs w:val="22"/>
              </w:rPr>
              <w:t>non O157</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4D7185C0" w14:textId="77777777">
            <w:pPr>
              <w:spacing w:line="276" w:lineRule="auto"/>
              <w:jc w:val="center"/>
              <w:rPr>
                <w:color w:val="000000"/>
                <w:sz w:val="22"/>
                <w:szCs w:val="22"/>
              </w:rPr>
            </w:pPr>
            <w:r w:rsidRPr="007A1735">
              <w:rPr>
                <w:color w:val="000000"/>
                <w:sz w:val="22"/>
                <w:szCs w:val="22"/>
              </w:rPr>
              <w:t>$90</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1724F550" w14:textId="77777777">
            <w:pPr>
              <w:spacing w:line="276" w:lineRule="auto"/>
              <w:jc w:val="center"/>
              <w:rPr>
                <w:color w:val="000000"/>
                <w:sz w:val="22"/>
                <w:szCs w:val="22"/>
              </w:rPr>
            </w:pPr>
            <w:r w:rsidRPr="007A1735">
              <w:rPr>
                <w:color w:val="000000"/>
                <w:sz w:val="22"/>
                <w:szCs w:val="22"/>
              </w:rPr>
              <w:t>$</w:t>
            </w:r>
            <w:r>
              <w:rPr>
                <w:color w:val="000000"/>
                <w:sz w:val="22"/>
                <w:szCs w:val="22"/>
              </w:rPr>
              <w:t>90</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7FE3BA60" w14:textId="77777777">
            <w:pPr>
              <w:spacing w:line="276" w:lineRule="auto"/>
              <w:jc w:val="center"/>
              <w:rPr>
                <w:color w:val="000000"/>
                <w:sz w:val="22"/>
                <w:szCs w:val="22"/>
              </w:rPr>
            </w:pPr>
            <w:r>
              <w:rPr>
                <w:color w:val="000000"/>
                <w:sz w:val="22"/>
                <w:szCs w:val="22"/>
              </w:rPr>
              <w:t>-</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5E71FD8B" w14:textId="77777777">
            <w:pPr>
              <w:spacing w:line="276" w:lineRule="auto"/>
              <w:jc w:val="center"/>
              <w:rPr>
                <w:color w:val="000000"/>
                <w:sz w:val="22"/>
                <w:szCs w:val="22"/>
              </w:rPr>
            </w:pPr>
            <w:r>
              <w:rPr>
                <w:color w:val="000000"/>
                <w:sz w:val="22"/>
                <w:szCs w:val="22"/>
              </w:rPr>
              <w:t>-</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5618A353" w14:textId="77777777">
            <w:pPr>
              <w:spacing w:line="276" w:lineRule="auto"/>
              <w:jc w:val="center"/>
              <w:rPr>
                <w:color w:val="000000"/>
                <w:sz w:val="22"/>
                <w:szCs w:val="22"/>
              </w:rPr>
            </w:pPr>
            <w:r>
              <w:rPr>
                <w:color w:val="000000"/>
                <w:sz w:val="22"/>
                <w:szCs w:val="22"/>
              </w:rPr>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0A3E7B3A" w14:textId="77777777">
            <w:pPr>
              <w:spacing w:line="276" w:lineRule="auto"/>
              <w:jc w:val="center"/>
              <w:rPr>
                <w:color w:val="000000"/>
                <w:sz w:val="22"/>
                <w:szCs w:val="22"/>
              </w:rPr>
            </w:pPr>
            <w:r w:rsidRPr="007A1735">
              <w:rPr>
                <w:color w:val="000000"/>
                <w:sz w:val="22"/>
                <w:szCs w:val="22"/>
              </w:rPr>
              <w:t>$</w:t>
            </w:r>
            <w:r>
              <w:rPr>
                <w:color w:val="000000"/>
                <w:sz w:val="22"/>
                <w:szCs w:val="22"/>
              </w:rPr>
              <w:t>9</w:t>
            </w:r>
            <w:r w:rsidRPr="007A1735">
              <w:rPr>
                <w:color w:val="000000"/>
                <w:sz w:val="22"/>
                <w:szCs w:val="22"/>
              </w:rPr>
              <w:t>0</w:t>
            </w:r>
          </w:p>
        </w:tc>
      </w:tr>
      <w:tr w14:paraId="5987A017" w14:textId="77777777">
        <w:tblPrEx>
          <w:tblW w:w="5000" w:type="pct"/>
          <w:tblLayout w:type="fixed"/>
          <w:tblCellMar>
            <w:left w:w="0" w:type="dxa"/>
            <w:right w:w="0" w:type="dxa"/>
          </w:tblCellMar>
          <w:tblLook w:val="04A0"/>
        </w:tblPrEx>
        <w:trPr>
          <w:trHeight w:val="288"/>
        </w:trPr>
        <w:tc>
          <w:tcPr>
            <w:tcW w:w="934"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0E7780BA" w14:textId="77777777">
            <w:pPr>
              <w:spacing w:line="276" w:lineRule="auto"/>
              <w:jc w:val="center"/>
              <w:rPr>
                <w:i/>
                <w:iCs/>
                <w:color w:val="000000"/>
                <w:sz w:val="22"/>
                <w:szCs w:val="22"/>
              </w:rPr>
            </w:pPr>
            <w:r w:rsidRPr="007A1735">
              <w:rPr>
                <w:i/>
                <w:iCs/>
                <w:color w:val="000000"/>
                <w:sz w:val="22"/>
                <w:szCs w:val="22"/>
              </w:rPr>
              <w:t>Hepatitis A virus</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199210F3" w14:textId="77777777">
            <w:pPr>
              <w:spacing w:line="276" w:lineRule="auto"/>
              <w:jc w:val="center"/>
              <w:rPr>
                <w:color w:val="000000"/>
                <w:sz w:val="22"/>
                <w:szCs w:val="22"/>
              </w:rPr>
            </w:pPr>
            <w:r w:rsidRPr="007A1735">
              <w:rPr>
                <w:color w:val="000000"/>
                <w:sz w:val="22"/>
                <w:szCs w:val="22"/>
              </w:rPr>
              <w:t>$5</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13A108A8" w14:textId="77777777">
            <w:pPr>
              <w:spacing w:line="276" w:lineRule="auto"/>
              <w:jc w:val="center"/>
              <w:rPr>
                <w:color w:val="000000"/>
                <w:sz w:val="22"/>
                <w:szCs w:val="22"/>
              </w:rPr>
            </w:pPr>
            <w:r w:rsidRPr="007A1735">
              <w:rPr>
                <w:color w:val="000000"/>
                <w:sz w:val="22"/>
                <w:szCs w:val="22"/>
              </w:rPr>
              <w:t>$</w:t>
            </w:r>
            <w:r>
              <w:rPr>
                <w:color w:val="000000"/>
                <w:sz w:val="22"/>
                <w:szCs w:val="22"/>
              </w:rPr>
              <w:t>5</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23D5C85C" w14:textId="77777777">
            <w:pPr>
              <w:spacing w:line="276" w:lineRule="auto"/>
              <w:jc w:val="center"/>
              <w:rPr>
                <w:color w:val="000000"/>
                <w:sz w:val="22"/>
                <w:szCs w:val="22"/>
              </w:rPr>
            </w:pPr>
            <w:r w:rsidRPr="007A1735">
              <w:rPr>
                <w:color w:val="000000"/>
                <w:sz w:val="22"/>
                <w:szCs w:val="22"/>
              </w:rPr>
              <w:t>-</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5B743528" w14:textId="77777777">
            <w:pPr>
              <w:spacing w:line="276" w:lineRule="auto"/>
              <w:jc w:val="center"/>
              <w:rPr>
                <w:color w:val="000000"/>
                <w:sz w:val="22"/>
                <w:szCs w:val="22"/>
              </w:rPr>
            </w:pPr>
            <w:r w:rsidRPr="007A1735">
              <w:rPr>
                <w:color w:val="000000"/>
                <w:sz w:val="22"/>
                <w:szCs w:val="22"/>
              </w:rPr>
              <w:t>16%</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1428212A" w14:textId="77777777">
            <w:pPr>
              <w:spacing w:line="276" w:lineRule="auto"/>
              <w:jc w:val="center"/>
              <w:rPr>
                <w:color w:val="000000"/>
                <w:sz w:val="22"/>
                <w:szCs w:val="22"/>
              </w:rPr>
            </w:pPr>
            <w:r w:rsidRPr="007A1735">
              <w:rPr>
                <w:color w:val="000000"/>
                <w:sz w:val="22"/>
                <w:szCs w:val="22"/>
              </w:rPr>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628D15BB" w14:textId="77777777">
            <w:pPr>
              <w:spacing w:line="276" w:lineRule="auto"/>
              <w:jc w:val="center"/>
              <w:rPr>
                <w:color w:val="000000"/>
                <w:sz w:val="22"/>
                <w:szCs w:val="22"/>
              </w:rPr>
            </w:pPr>
            <w:r w:rsidRPr="007A1735">
              <w:rPr>
                <w:color w:val="000000"/>
                <w:sz w:val="22"/>
                <w:szCs w:val="22"/>
              </w:rPr>
              <w:t>$</w:t>
            </w:r>
            <w:r>
              <w:rPr>
                <w:color w:val="000000"/>
                <w:sz w:val="22"/>
                <w:szCs w:val="22"/>
              </w:rPr>
              <w:t>5</w:t>
            </w:r>
          </w:p>
        </w:tc>
      </w:tr>
      <w:tr w14:paraId="176F0871" w14:textId="77777777">
        <w:tblPrEx>
          <w:tblW w:w="5000" w:type="pct"/>
          <w:tblLayout w:type="fixed"/>
          <w:tblCellMar>
            <w:left w:w="0" w:type="dxa"/>
            <w:right w:w="0" w:type="dxa"/>
          </w:tblCellMar>
          <w:tblLook w:val="04A0"/>
        </w:tblPrEx>
        <w:trPr>
          <w:trHeight w:val="288"/>
        </w:trPr>
        <w:tc>
          <w:tcPr>
            <w:tcW w:w="934"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4315878B" w14:textId="77777777">
            <w:pPr>
              <w:spacing w:line="276" w:lineRule="auto"/>
              <w:jc w:val="center"/>
              <w:rPr>
                <w:color w:val="000000"/>
                <w:sz w:val="22"/>
                <w:szCs w:val="22"/>
              </w:rPr>
            </w:pPr>
            <w:r w:rsidRPr="007A1735">
              <w:rPr>
                <w:color w:val="000000"/>
                <w:sz w:val="22"/>
                <w:szCs w:val="22"/>
              </w:rPr>
              <w:t>Total RAC Identified</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2BFDBCA2" w14:textId="77777777">
            <w:pPr>
              <w:spacing w:line="276" w:lineRule="auto"/>
              <w:jc w:val="center"/>
              <w:rPr>
                <w:color w:val="000000"/>
                <w:sz w:val="22"/>
                <w:szCs w:val="22"/>
              </w:rPr>
            </w:pPr>
            <w:r w:rsidRPr="007A1735">
              <w:rPr>
                <w:color w:val="000000"/>
                <w:sz w:val="22"/>
                <w:szCs w:val="22"/>
              </w:rPr>
              <w:t>$1,944</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403A6439" w14:textId="77777777">
            <w:pPr>
              <w:spacing w:line="276" w:lineRule="auto"/>
              <w:jc w:val="center"/>
              <w:rPr>
                <w:color w:val="000000"/>
                <w:sz w:val="22"/>
                <w:szCs w:val="22"/>
              </w:rPr>
            </w:pPr>
            <w:r w:rsidRPr="007A1735">
              <w:rPr>
                <w:color w:val="000000"/>
                <w:sz w:val="22"/>
                <w:szCs w:val="22"/>
              </w:rPr>
              <w:t>$850</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1B23C297" w14:textId="77777777">
            <w:pPr>
              <w:spacing w:line="276" w:lineRule="auto"/>
              <w:jc w:val="center"/>
              <w:rPr>
                <w:color w:val="000000"/>
                <w:sz w:val="22"/>
                <w:szCs w:val="22"/>
              </w:rPr>
            </w:pPr>
            <w:r w:rsidRPr="007A1735">
              <w:rPr>
                <w:color w:val="000000"/>
                <w:sz w:val="22"/>
                <w:szCs w:val="22"/>
              </w:rPr>
              <w:t>$1,093</w:t>
            </w:r>
          </w:p>
        </w:tc>
        <w:tc>
          <w:tcPr>
            <w:tcW w:w="626" w:type="pct"/>
            <w:tcBorders>
              <w:top w:val="nil"/>
              <w:left w:val="nil"/>
              <w:bottom w:val="single" w:sz="8" w:space="0" w:color="auto"/>
              <w:right w:val="single" w:sz="8" w:space="0" w:color="auto"/>
            </w:tcBorders>
            <w:tcMar>
              <w:top w:w="0" w:type="dxa"/>
              <w:left w:w="108" w:type="dxa"/>
              <w:bottom w:w="0" w:type="dxa"/>
              <w:right w:w="108" w:type="dxa"/>
            </w:tcMar>
          </w:tcPr>
          <w:p w:rsidR="007C0AC0" w:rsidRPr="007A1735" w:rsidP="00026F9A" w14:paraId="45ECD334" w14:textId="77777777">
            <w:pPr>
              <w:spacing w:line="276" w:lineRule="auto"/>
              <w:jc w:val="center"/>
              <w:rPr>
                <w:color w:val="000000"/>
                <w:sz w:val="22"/>
                <w:szCs w:val="22"/>
              </w:rPr>
            </w:pP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296F3C25" w14:textId="77777777">
            <w:pPr>
              <w:spacing w:line="276" w:lineRule="auto"/>
              <w:jc w:val="center"/>
              <w:rPr>
                <w:color w:val="000000"/>
                <w:sz w:val="22"/>
                <w:szCs w:val="22"/>
              </w:rPr>
            </w:pPr>
            <w:r w:rsidRPr="007A1735">
              <w:rPr>
                <w:color w:val="000000"/>
                <w:sz w:val="22"/>
                <w:szCs w:val="22"/>
              </w:rPr>
              <w:t>$670</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2B633182" w14:textId="77777777">
            <w:pPr>
              <w:spacing w:line="276" w:lineRule="auto"/>
              <w:jc w:val="center"/>
              <w:rPr>
                <w:b/>
                <w:bCs/>
                <w:color w:val="000000"/>
                <w:sz w:val="22"/>
                <w:szCs w:val="22"/>
              </w:rPr>
            </w:pPr>
            <w:r w:rsidRPr="007A1735">
              <w:rPr>
                <w:color w:val="000000"/>
                <w:sz w:val="22"/>
                <w:szCs w:val="22"/>
              </w:rPr>
              <w:t>$1,520</w:t>
            </w:r>
          </w:p>
        </w:tc>
      </w:tr>
      <w:tr w14:paraId="4C391636" w14:textId="77777777">
        <w:tblPrEx>
          <w:tblW w:w="5000" w:type="pct"/>
          <w:tblLayout w:type="fixed"/>
          <w:tblCellMar>
            <w:left w:w="0" w:type="dxa"/>
            <w:right w:w="0" w:type="dxa"/>
          </w:tblCellMar>
          <w:tblLook w:val="04A0"/>
        </w:tblPrEx>
        <w:trPr>
          <w:trHeight w:val="288"/>
        </w:trPr>
        <w:tc>
          <w:tcPr>
            <w:tcW w:w="934"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19A3A414" w14:textId="77777777">
            <w:pPr>
              <w:spacing w:line="276" w:lineRule="auto"/>
              <w:jc w:val="center"/>
              <w:rPr>
                <w:color w:val="000000"/>
                <w:sz w:val="22"/>
                <w:szCs w:val="22"/>
              </w:rPr>
            </w:pPr>
            <w:r w:rsidRPr="007A1735">
              <w:rPr>
                <w:color w:val="000000"/>
                <w:sz w:val="22"/>
                <w:szCs w:val="22"/>
              </w:rPr>
              <w:t>Total RAC Unidentified</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35DA629E" w14:textId="77777777">
            <w:pPr>
              <w:spacing w:line="276" w:lineRule="auto"/>
              <w:jc w:val="center"/>
              <w:rPr>
                <w:color w:val="000000"/>
                <w:sz w:val="22"/>
                <w:szCs w:val="22"/>
              </w:rPr>
            </w:pPr>
            <w:r w:rsidRPr="007A1735">
              <w:rPr>
                <w:color w:val="000000"/>
                <w:sz w:val="22"/>
                <w:szCs w:val="22"/>
              </w:rPr>
              <w:t>$410</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16060897" w14:textId="77777777">
            <w:pPr>
              <w:spacing w:line="276" w:lineRule="auto"/>
              <w:jc w:val="center"/>
              <w:rPr>
                <w:color w:val="000000"/>
                <w:sz w:val="22"/>
                <w:szCs w:val="22"/>
              </w:rPr>
            </w:pPr>
            <w:r w:rsidRPr="007A1735">
              <w:rPr>
                <w:color w:val="000000"/>
                <w:sz w:val="22"/>
                <w:szCs w:val="22"/>
              </w:rPr>
              <w:t>$191</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00843D62" w14:textId="77777777">
            <w:pPr>
              <w:spacing w:line="276" w:lineRule="auto"/>
              <w:jc w:val="center"/>
              <w:rPr>
                <w:color w:val="000000"/>
                <w:sz w:val="22"/>
                <w:szCs w:val="22"/>
              </w:rPr>
            </w:pPr>
            <w:r w:rsidRPr="007A1735">
              <w:rPr>
                <w:color w:val="000000"/>
                <w:sz w:val="22"/>
                <w:szCs w:val="22"/>
              </w:rPr>
              <w:t>$219</w:t>
            </w:r>
          </w:p>
        </w:tc>
        <w:tc>
          <w:tcPr>
            <w:tcW w:w="626" w:type="pct"/>
            <w:tcBorders>
              <w:top w:val="nil"/>
              <w:left w:val="nil"/>
              <w:bottom w:val="single" w:sz="8" w:space="0" w:color="auto"/>
              <w:right w:val="single" w:sz="8" w:space="0" w:color="auto"/>
            </w:tcBorders>
            <w:tcMar>
              <w:top w:w="0" w:type="dxa"/>
              <w:left w:w="108" w:type="dxa"/>
              <w:bottom w:w="0" w:type="dxa"/>
              <w:right w:w="108" w:type="dxa"/>
            </w:tcMar>
          </w:tcPr>
          <w:p w:rsidR="007C0AC0" w:rsidRPr="007A1735" w:rsidP="00026F9A" w14:paraId="6C3398BD" w14:textId="77777777">
            <w:pPr>
              <w:spacing w:line="276" w:lineRule="auto"/>
              <w:jc w:val="center"/>
              <w:rPr>
                <w:color w:val="000000"/>
                <w:sz w:val="22"/>
                <w:szCs w:val="22"/>
              </w:rPr>
            </w:pPr>
          </w:p>
        </w:tc>
        <w:tc>
          <w:tcPr>
            <w:tcW w:w="679" w:type="pct"/>
            <w:tcBorders>
              <w:top w:val="nil"/>
              <w:left w:val="nil"/>
              <w:bottom w:val="single" w:sz="8" w:space="0" w:color="auto"/>
              <w:right w:val="single" w:sz="8" w:space="0" w:color="auto"/>
            </w:tcBorders>
            <w:tcMar>
              <w:top w:w="0" w:type="dxa"/>
              <w:left w:w="108" w:type="dxa"/>
              <w:bottom w:w="0" w:type="dxa"/>
              <w:right w:w="108" w:type="dxa"/>
            </w:tcMar>
          </w:tcPr>
          <w:p w:rsidR="007C0AC0" w:rsidRPr="007A1735" w:rsidP="00026F9A" w14:paraId="12777716" w14:textId="77777777">
            <w:pPr>
              <w:spacing w:line="276" w:lineRule="auto"/>
              <w:jc w:val="center"/>
              <w:rPr>
                <w:color w:val="000000"/>
                <w:sz w:val="22"/>
                <w:szCs w:val="22"/>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0C203FB7" w14:textId="77777777">
            <w:pPr>
              <w:spacing w:line="276" w:lineRule="auto"/>
              <w:jc w:val="center"/>
              <w:rPr>
                <w:b/>
                <w:bCs/>
                <w:color w:val="000000"/>
                <w:sz w:val="22"/>
                <w:szCs w:val="22"/>
              </w:rPr>
            </w:pPr>
            <w:r w:rsidRPr="007A1735">
              <w:rPr>
                <w:color w:val="000000"/>
                <w:sz w:val="22"/>
                <w:szCs w:val="22"/>
              </w:rPr>
              <w:t>$191</w:t>
            </w:r>
          </w:p>
        </w:tc>
      </w:tr>
      <w:tr w14:paraId="2674E1EB" w14:textId="77777777">
        <w:tblPrEx>
          <w:tblW w:w="5000" w:type="pct"/>
          <w:tblLayout w:type="fixed"/>
          <w:tblCellMar>
            <w:left w:w="0" w:type="dxa"/>
            <w:right w:w="0" w:type="dxa"/>
          </w:tblCellMar>
          <w:tblLook w:val="04A0"/>
        </w:tblPrEx>
        <w:trPr>
          <w:trHeight w:val="288"/>
        </w:trPr>
        <w:tc>
          <w:tcPr>
            <w:tcW w:w="934"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45160170" w14:textId="77777777">
            <w:pPr>
              <w:spacing w:line="276" w:lineRule="auto"/>
              <w:jc w:val="center"/>
              <w:rPr>
                <w:b/>
                <w:bCs/>
                <w:color w:val="000000"/>
                <w:sz w:val="22"/>
                <w:szCs w:val="22"/>
              </w:rPr>
            </w:pPr>
            <w:r w:rsidRPr="007A1735">
              <w:rPr>
                <w:b/>
                <w:bCs/>
                <w:color w:val="000000"/>
                <w:sz w:val="22"/>
                <w:szCs w:val="22"/>
              </w:rPr>
              <w:t>Total RAC</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78420E22" w14:textId="77777777">
            <w:pPr>
              <w:spacing w:line="276" w:lineRule="auto"/>
              <w:jc w:val="center"/>
              <w:rPr>
                <w:color w:val="000000"/>
                <w:sz w:val="22"/>
                <w:szCs w:val="22"/>
              </w:rPr>
            </w:pPr>
            <w:r w:rsidRPr="007A1735">
              <w:rPr>
                <w:b/>
                <w:bCs/>
                <w:sz w:val="22"/>
                <w:szCs w:val="22"/>
              </w:rPr>
              <w:t>$2,354</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19253680" w14:textId="77777777">
            <w:pPr>
              <w:spacing w:line="276" w:lineRule="auto"/>
              <w:jc w:val="center"/>
              <w:rPr>
                <w:color w:val="000000"/>
                <w:sz w:val="22"/>
                <w:szCs w:val="22"/>
              </w:rPr>
            </w:pPr>
            <w:r w:rsidRPr="007A1735">
              <w:rPr>
                <w:color w:val="000000"/>
                <w:sz w:val="22"/>
                <w:szCs w:val="22"/>
              </w:rPr>
              <w:t>$1,042</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C0AC0" w:rsidRPr="007A1735" w:rsidP="00026F9A" w14:paraId="43A881A0" w14:textId="77777777">
            <w:pPr>
              <w:spacing w:line="276" w:lineRule="auto"/>
              <w:jc w:val="center"/>
              <w:rPr>
                <w:color w:val="000000"/>
                <w:sz w:val="22"/>
                <w:szCs w:val="22"/>
              </w:rPr>
            </w:pPr>
            <w:r w:rsidRPr="007A1735">
              <w:rPr>
                <w:color w:val="000000"/>
                <w:sz w:val="22"/>
                <w:szCs w:val="22"/>
              </w:rPr>
              <w:t>$1,312</w:t>
            </w:r>
          </w:p>
        </w:tc>
        <w:tc>
          <w:tcPr>
            <w:tcW w:w="626" w:type="pct"/>
            <w:tcBorders>
              <w:top w:val="nil"/>
              <w:left w:val="nil"/>
              <w:bottom w:val="single" w:sz="8" w:space="0" w:color="auto"/>
              <w:right w:val="single" w:sz="8" w:space="0" w:color="auto"/>
            </w:tcBorders>
            <w:tcMar>
              <w:top w:w="0" w:type="dxa"/>
              <w:left w:w="108" w:type="dxa"/>
              <w:bottom w:w="0" w:type="dxa"/>
              <w:right w:w="108" w:type="dxa"/>
            </w:tcMar>
          </w:tcPr>
          <w:p w:rsidR="007C0AC0" w:rsidRPr="007A1735" w:rsidP="00026F9A" w14:paraId="3281A8A6" w14:textId="77777777">
            <w:pPr>
              <w:spacing w:line="276" w:lineRule="auto"/>
              <w:jc w:val="center"/>
              <w:rPr>
                <w:color w:val="000000"/>
                <w:sz w:val="22"/>
                <w:szCs w:val="22"/>
              </w:rPr>
            </w:pPr>
          </w:p>
        </w:tc>
        <w:tc>
          <w:tcPr>
            <w:tcW w:w="679" w:type="pct"/>
            <w:tcBorders>
              <w:top w:val="nil"/>
              <w:left w:val="nil"/>
              <w:bottom w:val="single" w:sz="8" w:space="0" w:color="auto"/>
              <w:right w:val="single" w:sz="8" w:space="0" w:color="auto"/>
            </w:tcBorders>
            <w:tcMar>
              <w:top w:w="0" w:type="dxa"/>
              <w:left w:w="108" w:type="dxa"/>
              <w:bottom w:w="0" w:type="dxa"/>
              <w:right w:w="108" w:type="dxa"/>
            </w:tcMar>
          </w:tcPr>
          <w:p w:rsidR="007C0AC0" w:rsidRPr="007A1735" w:rsidP="00026F9A" w14:paraId="332FB3C2" w14:textId="77777777">
            <w:pPr>
              <w:spacing w:line="276" w:lineRule="auto"/>
              <w:jc w:val="center"/>
              <w:rPr>
                <w:color w:val="000000"/>
                <w:sz w:val="22"/>
                <w:szCs w:val="22"/>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7C0AC0" w:rsidRPr="007A1735" w:rsidP="00026F9A" w14:paraId="480FEFF2" w14:textId="77777777">
            <w:pPr>
              <w:spacing w:line="276" w:lineRule="auto"/>
              <w:jc w:val="center"/>
              <w:rPr>
                <w:b/>
                <w:bCs/>
                <w:sz w:val="22"/>
                <w:szCs w:val="22"/>
              </w:rPr>
            </w:pPr>
            <w:r w:rsidRPr="007A1735">
              <w:rPr>
                <w:b/>
                <w:bCs/>
                <w:sz w:val="22"/>
                <w:szCs w:val="22"/>
              </w:rPr>
              <w:t>$1,711</w:t>
            </w:r>
          </w:p>
        </w:tc>
      </w:tr>
      <w:tr w14:paraId="0C215448" w14:textId="77777777">
        <w:tblPrEx>
          <w:tblW w:w="5000" w:type="pct"/>
          <w:tblLayout w:type="fixed"/>
          <w:tblCellMar>
            <w:left w:w="0" w:type="dxa"/>
            <w:right w:w="0" w:type="dxa"/>
          </w:tblCellMar>
          <w:tblLook w:val="04A0"/>
        </w:tblPrEx>
        <w:tc>
          <w:tcPr>
            <w:tcW w:w="197" w:type="pct"/>
            <w:vAlign w:val="center"/>
            <w:hideMark/>
          </w:tcPr>
          <w:p w:rsidR="007C0AC0" w:rsidRPr="007A1735" w:rsidP="00026F9A" w14:paraId="6D0BC764" w14:textId="77777777">
            <w:pPr>
              <w:rPr>
                <w:b/>
                <w:bCs/>
                <w:sz w:val="22"/>
                <w:szCs w:val="22"/>
              </w:rPr>
            </w:pPr>
          </w:p>
        </w:tc>
        <w:tc>
          <w:tcPr>
            <w:tcW w:w="737" w:type="pct"/>
            <w:vAlign w:val="center"/>
            <w:hideMark/>
          </w:tcPr>
          <w:p w:rsidR="007C0AC0" w:rsidRPr="007A1735" w:rsidP="00026F9A" w14:paraId="77ED2B0E" w14:textId="77777777">
            <w:pPr>
              <w:rPr>
                <w:rFonts w:eastAsia="Times New Roman"/>
                <w:sz w:val="22"/>
                <w:szCs w:val="22"/>
              </w:rPr>
            </w:pPr>
          </w:p>
        </w:tc>
        <w:tc>
          <w:tcPr>
            <w:tcW w:w="678" w:type="pct"/>
            <w:vAlign w:val="center"/>
            <w:hideMark/>
          </w:tcPr>
          <w:p w:rsidR="007C0AC0" w:rsidRPr="007A1735" w:rsidP="00026F9A" w14:paraId="6099AF4C" w14:textId="77777777">
            <w:pPr>
              <w:rPr>
                <w:rFonts w:eastAsia="Times New Roman"/>
                <w:sz w:val="22"/>
                <w:szCs w:val="22"/>
              </w:rPr>
            </w:pPr>
          </w:p>
        </w:tc>
        <w:tc>
          <w:tcPr>
            <w:tcW w:w="679" w:type="pct"/>
            <w:vAlign w:val="center"/>
            <w:hideMark/>
          </w:tcPr>
          <w:p w:rsidR="007C0AC0" w:rsidRPr="007A1735" w:rsidP="00026F9A" w14:paraId="02E6D027" w14:textId="77777777">
            <w:pPr>
              <w:rPr>
                <w:rFonts w:eastAsia="Times New Roman"/>
                <w:sz w:val="22"/>
                <w:szCs w:val="22"/>
              </w:rPr>
            </w:pPr>
          </w:p>
        </w:tc>
        <w:tc>
          <w:tcPr>
            <w:tcW w:w="731" w:type="pct"/>
            <w:vAlign w:val="center"/>
            <w:hideMark/>
          </w:tcPr>
          <w:p w:rsidR="007C0AC0" w:rsidRPr="007A1735" w:rsidP="00026F9A" w14:paraId="6BCC1DF7" w14:textId="77777777">
            <w:pPr>
              <w:rPr>
                <w:rFonts w:eastAsia="Times New Roman"/>
                <w:sz w:val="22"/>
                <w:szCs w:val="22"/>
              </w:rPr>
            </w:pPr>
          </w:p>
        </w:tc>
        <w:tc>
          <w:tcPr>
            <w:tcW w:w="626" w:type="pct"/>
            <w:vAlign w:val="center"/>
            <w:hideMark/>
          </w:tcPr>
          <w:p w:rsidR="007C0AC0" w:rsidRPr="007A1735" w:rsidP="00026F9A" w14:paraId="10A6769C" w14:textId="77777777">
            <w:pPr>
              <w:rPr>
                <w:rFonts w:eastAsia="Times New Roman"/>
                <w:sz w:val="22"/>
                <w:szCs w:val="22"/>
              </w:rPr>
            </w:pPr>
          </w:p>
        </w:tc>
        <w:tc>
          <w:tcPr>
            <w:tcW w:w="679" w:type="pct"/>
            <w:vAlign w:val="center"/>
            <w:hideMark/>
          </w:tcPr>
          <w:p w:rsidR="007C0AC0" w:rsidRPr="007A1735" w:rsidP="00026F9A" w14:paraId="5D20FC09" w14:textId="77777777">
            <w:pPr>
              <w:rPr>
                <w:rFonts w:eastAsia="Times New Roman"/>
                <w:sz w:val="22"/>
                <w:szCs w:val="22"/>
              </w:rPr>
            </w:pPr>
          </w:p>
        </w:tc>
        <w:tc>
          <w:tcPr>
            <w:tcW w:w="673" w:type="pct"/>
            <w:vAlign w:val="center"/>
            <w:hideMark/>
          </w:tcPr>
          <w:p w:rsidR="007C0AC0" w:rsidRPr="007A1735" w:rsidP="00026F9A" w14:paraId="5571DC68" w14:textId="77777777">
            <w:pPr>
              <w:rPr>
                <w:rFonts w:eastAsia="Times New Roman"/>
                <w:sz w:val="22"/>
                <w:szCs w:val="22"/>
              </w:rPr>
            </w:pPr>
          </w:p>
        </w:tc>
      </w:tr>
    </w:tbl>
    <w:p w:rsidR="007C0AC0" w:rsidP="00F01F87" w14:paraId="5E6789F0" w14:textId="77777777">
      <w:pPr>
        <w:rPr>
          <w:i/>
        </w:rPr>
      </w:pPr>
    </w:p>
    <w:p w:rsidR="002746F8" w14:paraId="6380AD9D" w14:textId="77777777">
      <w:pPr>
        <w:spacing w:line="276" w:lineRule="auto"/>
        <w:rPr>
          <w:b/>
          <w:bCs/>
        </w:rPr>
      </w:pPr>
      <w:r>
        <w:rPr>
          <w:b/>
          <w:bCs/>
        </w:rPr>
        <w:br w:type="page"/>
      </w:r>
    </w:p>
    <w:p w:rsidR="0088547F" w:rsidRPr="00AA4C15" w:rsidP="0088547F" w14:paraId="0868E16E" w14:textId="3C354ABB">
      <w:pPr>
        <w:rPr>
          <w:b/>
          <w:bCs/>
        </w:rPr>
      </w:pPr>
      <w:r w:rsidRPr="007A1735">
        <w:rPr>
          <w:b/>
          <w:bCs/>
        </w:rPr>
        <w:t xml:space="preserve">Table </w:t>
      </w:r>
      <w:r>
        <w:rPr>
          <w:b/>
          <w:bCs/>
        </w:rPr>
        <w:t>A6</w:t>
      </w:r>
      <w:r w:rsidRPr="00AA4C15">
        <w:rPr>
          <w:b/>
          <w:bCs/>
        </w:rPr>
        <w:t xml:space="preserve">: Adjusted Estimated Dollar Burden of Illnesses, </w:t>
      </w:r>
      <w:r>
        <w:rPr>
          <w:b/>
          <w:bCs/>
        </w:rPr>
        <w:t xml:space="preserve">Low Traceability Effectiveness, </w:t>
      </w:r>
      <w:r w:rsidRPr="00AA4C15">
        <w:rPr>
          <w:b/>
          <w:bCs/>
        </w:rPr>
        <w:t>2009-2020.</w:t>
      </w:r>
    </w:p>
    <w:tbl>
      <w:tblPr>
        <w:tblW w:w="5000" w:type="pct"/>
        <w:tblLayout w:type="fixed"/>
        <w:tblCellMar>
          <w:left w:w="0" w:type="dxa"/>
          <w:right w:w="0" w:type="dxa"/>
        </w:tblCellMar>
        <w:tblLook w:val="04A0"/>
      </w:tblPr>
      <w:tblGrid>
        <w:gridCol w:w="1745"/>
        <w:gridCol w:w="1267"/>
        <w:gridCol w:w="1268"/>
        <w:gridCol w:w="1366"/>
        <w:gridCol w:w="1130"/>
        <w:gridCol w:w="1083"/>
        <w:gridCol w:w="1481"/>
      </w:tblGrid>
      <w:tr w14:paraId="31389596" w14:textId="77777777">
        <w:tblPrEx>
          <w:tblW w:w="5000" w:type="pct"/>
          <w:tblLayout w:type="fixed"/>
          <w:tblCellMar>
            <w:left w:w="0" w:type="dxa"/>
            <w:right w:w="0" w:type="dxa"/>
          </w:tblCellMar>
          <w:tblLook w:val="04A0"/>
        </w:tblPrEx>
        <w:trPr>
          <w:trHeight w:val="288"/>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8547F" w:rsidRPr="007A1735" w14:paraId="3A9CECE3" w14:textId="77777777">
            <w:pPr>
              <w:spacing w:line="276" w:lineRule="auto"/>
              <w:rPr>
                <w:b/>
                <w:bCs/>
                <w:color w:val="000000"/>
              </w:rPr>
            </w:pPr>
            <w:r w:rsidRPr="007A1735">
              <w:rPr>
                <w:b/>
                <w:bCs/>
                <w:color w:val="000000"/>
                <w:sz w:val="22"/>
                <w:szCs w:val="22"/>
              </w:rPr>
              <w:t xml:space="preserve">Estimated Dollar Burden Attributable to Produce RACs Other Than Sprouts </w:t>
            </w:r>
          </w:p>
        </w:tc>
      </w:tr>
      <w:tr w14:paraId="7132D174" w14:textId="77777777">
        <w:tblPrEx>
          <w:tblW w:w="5000" w:type="pct"/>
          <w:tblLayout w:type="fixed"/>
          <w:tblCellMar>
            <w:left w:w="0" w:type="dxa"/>
            <w:right w:w="0" w:type="dxa"/>
          </w:tblCellMar>
          <w:tblLook w:val="04A0"/>
        </w:tblPrEx>
        <w:trPr>
          <w:trHeight w:val="912"/>
        </w:trPr>
        <w:tc>
          <w:tcPr>
            <w:tcW w:w="9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8547F" w:rsidRPr="007A1735" w14:paraId="62CF5C27" w14:textId="77777777">
            <w:pPr>
              <w:spacing w:line="276" w:lineRule="auto"/>
              <w:jc w:val="center"/>
              <w:rPr>
                <w:b/>
                <w:bCs/>
                <w:color w:val="000000"/>
              </w:rPr>
            </w:pPr>
            <w:r w:rsidRPr="007A1735">
              <w:rPr>
                <w:b/>
                <w:bCs/>
                <w:color w:val="000000"/>
                <w:sz w:val="22"/>
                <w:szCs w:val="22"/>
              </w:rPr>
              <w:t>Agent</w:t>
            </w:r>
          </w:p>
        </w:tc>
        <w:tc>
          <w:tcPr>
            <w:tcW w:w="67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88547F" w:rsidRPr="007A1735" w14:paraId="480F3B01" w14:textId="77777777">
            <w:pPr>
              <w:spacing w:line="276" w:lineRule="auto"/>
              <w:jc w:val="center"/>
              <w:rPr>
                <w:b/>
                <w:bCs/>
                <w:color w:val="000000"/>
              </w:rPr>
            </w:pPr>
            <w:r w:rsidRPr="007A1735">
              <w:rPr>
                <w:b/>
                <w:bCs/>
                <w:color w:val="000000"/>
                <w:sz w:val="22"/>
                <w:szCs w:val="22"/>
              </w:rPr>
              <w:t>Covered Dollar Burden (millions)</w:t>
            </w:r>
          </w:p>
        </w:tc>
        <w:tc>
          <w:tcPr>
            <w:tcW w:w="67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88547F" w:rsidRPr="007A1735" w14:paraId="0B57725A" w14:textId="77777777">
            <w:pPr>
              <w:spacing w:line="276" w:lineRule="auto"/>
              <w:jc w:val="center"/>
              <w:rPr>
                <w:b/>
                <w:bCs/>
                <w:color w:val="000000"/>
              </w:rPr>
            </w:pPr>
            <w:r>
              <w:rPr>
                <w:b/>
                <w:bCs/>
                <w:color w:val="000000"/>
                <w:sz w:val="22"/>
                <w:szCs w:val="22"/>
              </w:rPr>
              <w:t>Adjusted Covered Dollar Burden (millions)</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88547F" w:rsidRPr="007A1735" w14:paraId="34CAAA22" w14:textId="77777777">
            <w:pPr>
              <w:spacing w:line="276" w:lineRule="auto"/>
              <w:jc w:val="center"/>
              <w:rPr>
                <w:b/>
                <w:bCs/>
                <w:color w:val="000000"/>
              </w:rPr>
            </w:pPr>
            <w:r>
              <w:rPr>
                <w:b/>
                <w:bCs/>
                <w:color w:val="000000"/>
                <w:sz w:val="22"/>
                <w:szCs w:val="22"/>
              </w:rPr>
              <w:t>Dollar Burden Covered by Traceability</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8547F" w14:paraId="5DEDA01C" w14:textId="77777777">
            <w:pPr>
              <w:spacing w:line="276" w:lineRule="auto"/>
              <w:jc w:val="center"/>
              <w:rPr>
                <w:b/>
                <w:bCs/>
                <w:color w:val="000000"/>
              </w:rPr>
            </w:pPr>
            <w:r>
              <w:rPr>
                <w:b/>
                <w:bCs/>
                <w:color w:val="000000"/>
                <w:sz w:val="22"/>
                <w:szCs w:val="22"/>
              </w:rPr>
              <w:t>Percent of Illnesses Prevented by Traceability</w:t>
            </w:r>
          </w:p>
          <w:p w:rsidR="0088547F" w:rsidRPr="007A1735" w14:paraId="00243023" w14:textId="77777777">
            <w:pPr>
              <w:spacing w:line="276" w:lineRule="auto"/>
              <w:jc w:val="center"/>
              <w:rPr>
                <w:b/>
                <w:bCs/>
                <w:color w:val="000000"/>
              </w:rPr>
            </w:pPr>
            <w:r>
              <w:rPr>
                <w:b/>
                <w:bCs/>
                <w:color w:val="000000"/>
                <w:sz w:val="22"/>
                <w:szCs w:val="22"/>
              </w:rPr>
              <w:t>(Low)</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8547F" w14:paraId="075759A7" w14:textId="77777777">
            <w:pPr>
              <w:spacing w:line="276" w:lineRule="auto"/>
              <w:jc w:val="center"/>
              <w:rPr>
                <w:b/>
                <w:bCs/>
                <w:color w:val="000000"/>
              </w:rPr>
            </w:pPr>
            <w:r>
              <w:rPr>
                <w:b/>
                <w:bCs/>
                <w:color w:val="000000"/>
                <w:sz w:val="22"/>
                <w:szCs w:val="22"/>
              </w:rPr>
              <w:t>Dollar Burden Not Prevented by Traceability</w:t>
            </w:r>
          </w:p>
          <w:p w:rsidR="0088547F" w:rsidRPr="007A1735" w14:paraId="3D171238" w14:textId="77777777">
            <w:pPr>
              <w:spacing w:line="276" w:lineRule="auto"/>
              <w:jc w:val="center"/>
              <w:rPr>
                <w:b/>
                <w:bCs/>
                <w:color w:val="000000"/>
              </w:rPr>
            </w:pPr>
            <w:r>
              <w:rPr>
                <w:b/>
                <w:bCs/>
                <w:color w:val="000000"/>
                <w:sz w:val="22"/>
                <w:szCs w:val="22"/>
              </w:rPr>
              <w:t>(Low)</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14:paraId="3922B930" w14:textId="77777777">
            <w:pPr>
              <w:spacing w:line="276" w:lineRule="auto"/>
              <w:jc w:val="center"/>
              <w:rPr>
                <w:b/>
                <w:bCs/>
                <w:color w:val="000000"/>
              </w:rPr>
            </w:pPr>
            <w:r>
              <w:rPr>
                <w:b/>
                <w:bCs/>
                <w:color w:val="000000"/>
                <w:sz w:val="22"/>
                <w:szCs w:val="22"/>
              </w:rPr>
              <w:t>Adjusted Dollar Burden of Illness Covered by This Rule</w:t>
            </w:r>
          </w:p>
          <w:p w:rsidR="0088547F" w:rsidRPr="007A1735" w14:paraId="0427429A" w14:textId="77777777">
            <w:pPr>
              <w:spacing w:line="276" w:lineRule="auto"/>
              <w:jc w:val="center"/>
              <w:rPr>
                <w:b/>
                <w:bCs/>
                <w:color w:val="000000"/>
              </w:rPr>
            </w:pPr>
            <w:r>
              <w:rPr>
                <w:b/>
                <w:bCs/>
                <w:color w:val="000000"/>
                <w:sz w:val="22"/>
                <w:szCs w:val="22"/>
              </w:rPr>
              <w:t>(Low)</w:t>
            </w:r>
          </w:p>
        </w:tc>
      </w:tr>
      <w:tr w14:paraId="25A9F249"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459A423B" w14:textId="77777777">
            <w:pPr>
              <w:spacing w:line="276" w:lineRule="auto"/>
              <w:jc w:val="center"/>
              <w:rPr>
                <w:i/>
                <w:iCs/>
                <w:color w:val="000000"/>
              </w:rPr>
            </w:pPr>
            <w:r w:rsidRPr="007A1735">
              <w:rPr>
                <w:i/>
                <w:iCs/>
                <w:color w:val="000000"/>
                <w:sz w:val="22"/>
                <w:szCs w:val="22"/>
              </w:rPr>
              <w:t>Salmonella</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49EBAB46" w14:textId="77777777">
            <w:pPr>
              <w:spacing w:line="276" w:lineRule="auto"/>
              <w:jc w:val="center"/>
              <w:rPr>
                <w:color w:val="000000"/>
              </w:rPr>
            </w:pPr>
            <w:r w:rsidRPr="007A1735">
              <w:rPr>
                <w:color w:val="000000"/>
                <w:sz w:val="22"/>
                <w:szCs w:val="22"/>
              </w:rPr>
              <w:t>$1,038</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71166E19" w14:textId="77777777">
            <w:pPr>
              <w:spacing w:line="276" w:lineRule="auto"/>
              <w:jc w:val="center"/>
              <w:rPr>
                <w:color w:val="000000"/>
              </w:rPr>
            </w:pPr>
            <w:r w:rsidRPr="007A1735">
              <w:rPr>
                <w:color w:val="000000"/>
                <w:sz w:val="22"/>
                <w:szCs w:val="22"/>
              </w:rPr>
              <w:t>$478</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048AB4D7" w14:textId="77777777">
            <w:pPr>
              <w:spacing w:line="276" w:lineRule="auto"/>
              <w:jc w:val="center"/>
              <w:rPr>
                <w:color w:val="000000"/>
              </w:rPr>
            </w:pPr>
            <w:r w:rsidRPr="007A1735">
              <w:rPr>
                <w:color w:val="000000"/>
                <w:sz w:val="22"/>
                <w:szCs w:val="22"/>
              </w:rPr>
              <w:t>$560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5848440B" w14:textId="77777777">
            <w:pPr>
              <w:spacing w:line="276" w:lineRule="auto"/>
              <w:jc w:val="center"/>
              <w:rPr>
                <w:color w:val="000000"/>
              </w:rPr>
            </w:pPr>
            <w:r>
              <w:rPr>
                <w:color w:val="000000"/>
                <w:sz w:val="22"/>
                <w:szCs w:val="22"/>
              </w:rPr>
              <w:t>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67672CB7" w14:textId="77777777">
            <w:pPr>
              <w:spacing w:line="276" w:lineRule="auto"/>
              <w:jc w:val="center"/>
              <w:rPr>
                <w:color w:val="000000"/>
              </w:rPr>
            </w:pPr>
            <w:r w:rsidRPr="007A1735">
              <w:rPr>
                <w:color w:val="000000"/>
                <w:sz w:val="22"/>
                <w:szCs w:val="22"/>
              </w:rPr>
              <w:t>$</w:t>
            </w:r>
            <w:r>
              <w:rPr>
                <w:color w:val="000000"/>
                <w:sz w:val="22"/>
                <w:szCs w:val="22"/>
              </w:rPr>
              <w:t>549</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7C2B56B2" w14:textId="77777777">
            <w:pPr>
              <w:spacing w:line="276" w:lineRule="auto"/>
              <w:jc w:val="center"/>
              <w:rPr>
                <w:color w:val="000000"/>
              </w:rPr>
            </w:pPr>
            <w:r w:rsidRPr="007A1735">
              <w:rPr>
                <w:color w:val="000000"/>
                <w:sz w:val="22"/>
                <w:szCs w:val="22"/>
              </w:rPr>
              <w:t>$</w:t>
            </w:r>
            <w:r>
              <w:rPr>
                <w:color w:val="000000"/>
                <w:sz w:val="22"/>
                <w:szCs w:val="22"/>
              </w:rPr>
              <w:t>1,027</w:t>
            </w:r>
          </w:p>
        </w:tc>
      </w:tr>
      <w:tr w14:paraId="75936BE9"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03C0ABAC" w14:textId="77777777">
            <w:pPr>
              <w:spacing w:line="276" w:lineRule="auto"/>
              <w:jc w:val="center"/>
              <w:rPr>
                <w:i/>
                <w:iCs/>
                <w:color w:val="000000"/>
              </w:rPr>
            </w:pPr>
            <w:r w:rsidRPr="007A1735">
              <w:rPr>
                <w:i/>
                <w:iCs/>
                <w:color w:val="000000"/>
                <w:sz w:val="22"/>
                <w:szCs w:val="22"/>
              </w:rPr>
              <w:t>Cyclospora cayatenensis</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11868E19" w14:textId="77777777">
            <w:pPr>
              <w:spacing w:line="276" w:lineRule="auto"/>
              <w:jc w:val="center"/>
              <w:rPr>
                <w:color w:val="000000"/>
              </w:rPr>
            </w:pPr>
            <w:r w:rsidRPr="007A1735">
              <w:rPr>
                <w:color w:val="000000"/>
                <w:sz w:val="22"/>
                <w:szCs w:val="22"/>
              </w:rPr>
              <w:t>$35</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720619CA" w14:textId="77777777">
            <w:pPr>
              <w:spacing w:line="276" w:lineRule="auto"/>
              <w:jc w:val="center"/>
              <w:rPr>
                <w:color w:val="000000"/>
              </w:rPr>
            </w:pPr>
            <w:r w:rsidRPr="007A1735">
              <w:rPr>
                <w:color w:val="000000"/>
                <w:sz w:val="22"/>
                <w:szCs w:val="22"/>
              </w:rPr>
              <w:t>$15</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6F1849E0" w14:textId="77777777">
            <w:pPr>
              <w:spacing w:line="276" w:lineRule="auto"/>
              <w:jc w:val="center"/>
              <w:rPr>
                <w:color w:val="000000"/>
              </w:rPr>
            </w:pPr>
            <w:r w:rsidRPr="007A1735">
              <w:rPr>
                <w:color w:val="000000"/>
                <w:sz w:val="22"/>
                <w:szCs w:val="22"/>
              </w:rPr>
              <w:t>$20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11D6FB02" w14:textId="77777777">
            <w:pPr>
              <w:spacing w:line="276" w:lineRule="auto"/>
              <w:jc w:val="center"/>
              <w:rPr>
                <w:color w:val="000000"/>
              </w:rPr>
            </w:pPr>
            <w:r>
              <w:rPr>
                <w:color w:val="000000"/>
                <w:sz w:val="22"/>
                <w:szCs w:val="22"/>
              </w:rPr>
              <w:t>4%</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7F682D1A" w14:textId="77777777">
            <w:pPr>
              <w:spacing w:line="276" w:lineRule="auto"/>
              <w:jc w:val="center"/>
              <w:rPr>
                <w:color w:val="000000"/>
              </w:rPr>
            </w:pPr>
            <w:r w:rsidRPr="007A1735">
              <w:rPr>
                <w:color w:val="000000"/>
                <w:sz w:val="22"/>
                <w:szCs w:val="22"/>
              </w:rPr>
              <w:t>$1</w:t>
            </w:r>
            <w:r>
              <w:rPr>
                <w:color w:val="000000"/>
                <w:sz w:val="22"/>
                <w:szCs w:val="22"/>
              </w:rPr>
              <w:t>9</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5A97332F" w14:textId="77777777">
            <w:pPr>
              <w:spacing w:line="276" w:lineRule="auto"/>
              <w:jc w:val="center"/>
              <w:rPr>
                <w:color w:val="000000"/>
              </w:rPr>
            </w:pPr>
            <w:r w:rsidRPr="007A1735">
              <w:rPr>
                <w:color w:val="000000"/>
                <w:sz w:val="22"/>
                <w:szCs w:val="22"/>
              </w:rPr>
              <w:t>$</w:t>
            </w:r>
            <w:r>
              <w:rPr>
                <w:color w:val="000000"/>
                <w:sz w:val="22"/>
                <w:szCs w:val="22"/>
              </w:rPr>
              <w:t>34</w:t>
            </w:r>
          </w:p>
        </w:tc>
      </w:tr>
      <w:tr w14:paraId="135292E6"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339FC1AE" w14:textId="77777777">
            <w:pPr>
              <w:spacing w:line="276" w:lineRule="auto"/>
              <w:jc w:val="center"/>
              <w:rPr>
                <w:i/>
                <w:iCs/>
                <w:color w:val="000000"/>
              </w:rPr>
            </w:pPr>
            <w:r w:rsidRPr="007A1735">
              <w:rPr>
                <w:i/>
                <w:iCs/>
                <w:color w:val="000000"/>
                <w:sz w:val="22"/>
                <w:szCs w:val="22"/>
              </w:rPr>
              <w:t>Listeria monocytogenes</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12D609C1" w14:textId="77777777">
            <w:pPr>
              <w:spacing w:line="276" w:lineRule="auto"/>
              <w:jc w:val="center"/>
              <w:rPr>
                <w:color w:val="000000"/>
              </w:rPr>
            </w:pPr>
            <w:r w:rsidRPr="007A1735">
              <w:rPr>
                <w:color w:val="000000"/>
                <w:sz w:val="22"/>
                <w:szCs w:val="22"/>
              </w:rPr>
              <w:t>$706</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3840E6EA" w14:textId="77777777">
            <w:pPr>
              <w:spacing w:line="276" w:lineRule="auto"/>
              <w:jc w:val="center"/>
              <w:rPr>
                <w:color w:val="000000"/>
              </w:rPr>
            </w:pPr>
            <w:r w:rsidRPr="007A1735">
              <w:rPr>
                <w:color w:val="000000"/>
                <w:sz w:val="22"/>
                <w:szCs w:val="22"/>
              </w:rPr>
              <w:t>$195</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2CE76285" w14:textId="77777777">
            <w:pPr>
              <w:spacing w:line="276" w:lineRule="auto"/>
              <w:jc w:val="center"/>
              <w:rPr>
                <w:color w:val="000000"/>
              </w:rPr>
            </w:pPr>
            <w:r w:rsidRPr="007A1735">
              <w:rPr>
                <w:color w:val="000000"/>
                <w:sz w:val="22"/>
                <w:szCs w:val="22"/>
              </w:rPr>
              <w:t>$511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43BB550B" w14:textId="77777777">
            <w:pPr>
              <w:spacing w:line="276" w:lineRule="auto"/>
              <w:jc w:val="center"/>
              <w:rPr>
                <w:color w:val="000000"/>
              </w:rPr>
            </w:pPr>
            <w:r>
              <w:rPr>
                <w:color w:val="000000"/>
                <w:sz w:val="22"/>
                <w:szCs w:val="22"/>
              </w:rPr>
              <w:t>50%</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04BA60D7" w14:textId="77777777">
            <w:pPr>
              <w:spacing w:line="276" w:lineRule="auto"/>
              <w:jc w:val="center"/>
              <w:rPr>
                <w:color w:val="000000"/>
              </w:rPr>
            </w:pPr>
            <w:r w:rsidRPr="007A1735">
              <w:rPr>
                <w:color w:val="000000"/>
                <w:sz w:val="22"/>
                <w:szCs w:val="22"/>
              </w:rPr>
              <w:t>$2</w:t>
            </w:r>
            <w:r>
              <w:rPr>
                <w:color w:val="000000"/>
                <w:sz w:val="22"/>
                <w:szCs w:val="22"/>
              </w:rPr>
              <w:t>56</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7D21C369" w14:textId="77777777">
            <w:pPr>
              <w:spacing w:line="276" w:lineRule="auto"/>
              <w:jc w:val="center"/>
              <w:rPr>
                <w:color w:val="000000"/>
              </w:rPr>
            </w:pPr>
            <w:r w:rsidRPr="007A1735">
              <w:rPr>
                <w:color w:val="000000"/>
                <w:sz w:val="22"/>
                <w:szCs w:val="22"/>
              </w:rPr>
              <w:t>$4</w:t>
            </w:r>
            <w:r>
              <w:rPr>
                <w:color w:val="000000"/>
                <w:sz w:val="22"/>
                <w:szCs w:val="22"/>
              </w:rPr>
              <w:t>50</w:t>
            </w:r>
          </w:p>
        </w:tc>
      </w:tr>
      <w:tr w14:paraId="69691B4B"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61DA4FDA" w14:textId="77777777">
            <w:pPr>
              <w:spacing w:line="276" w:lineRule="auto"/>
              <w:jc w:val="center"/>
              <w:rPr>
                <w:i/>
                <w:iCs/>
                <w:color w:val="000000"/>
              </w:rPr>
            </w:pPr>
            <w:r w:rsidRPr="007A1735">
              <w:rPr>
                <w:i/>
                <w:iCs/>
                <w:color w:val="000000"/>
                <w:sz w:val="22"/>
                <w:szCs w:val="22"/>
              </w:rPr>
              <w:t xml:space="preserve">E. coli, </w:t>
            </w:r>
            <w:r w:rsidRPr="007A1735">
              <w:rPr>
                <w:color w:val="000000"/>
                <w:sz w:val="22"/>
                <w:szCs w:val="22"/>
              </w:rPr>
              <w:t>STECO157</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0F365748" w14:textId="77777777">
            <w:pPr>
              <w:spacing w:line="276" w:lineRule="auto"/>
              <w:jc w:val="center"/>
              <w:rPr>
                <w:color w:val="000000"/>
              </w:rPr>
            </w:pPr>
            <w:r w:rsidRPr="007A1735">
              <w:rPr>
                <w:color w:val="000000"/>
                <w:sz w:val="22"/>
                <w:szCs w:val="22"/>
              </w:rPr>
              <w:t>$70</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32BF2D03" w14:textId="77777777">
            <w:pPr>
              <w:spacing w:line="276" w:lineRule="auto"/>
              <w:jc w:val="center"/>
              <w:rPr>
                <w:color w:val="000000"/>
              </w:rPr>
            </w:pPr>
            <w:r w:rsidRPr="007A1735">
              <w:rPr>
                <w:color w:val="000000"/>
                <w:sz w:val="22"/>
                <w:szCs w:val="22"/>
              </w:rPr>
              <w:t>$</w:t>
            </w:r>
            <w:r>
              <w:rPr>
                <w:color w:val="000000"/>
                <w:sz w:val="22"/>
                <w:szCs w:val="22"/>
              </w:rPr>
              <w:t>69</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6B2EAD58" w14:textId="77777777">
            <w:pPr>
              <w:spacing w:line="276" w:lineRule="auto"/>
              <w:jc w:val="center"/>
              <w:rPr>
                <w:color w:val="000000"/>
              </w:rPr>
            </w:pPr>
            <w:r>
              <w:rPr>
                <w:color w:val="000000"/>
                <w:sz w:val="22"/>
                <w:szCs w:val="22"/>
              </w:rPr>
              <w:t>$2</w:t>
            </w:r>
          </w:p>
        </w:tc>
        <w:tc>
          <w:tcPr>
            <w:tcW w:w="605" w:type="pct"/>
            <w:tcBorders>
              <w:top w:val="nil"/>
              <w:left w:val="nil"/>
              <w:bottom w:val="single" w:sz="8" w:space="0" w:color="auto"/>
              <w:right w:val="single" w:sz="8" w:space="0" w:color="auto"/>
            </w:tcBorders>
            <w:tcMar>
              <w:top w:w="0" w:type="dxa"/>
              <w:left w:w="108" w:type="dxa"/>
              <w:bottom w:w="0" w:type="dxa"/>
              <w:right w:w="108" w:type="dxa"/>
            </w:tcMar>
          </w:tcPr>
          <w:p w:rsidR="0088547F" w:rsidRPr="007A1735" w14:paraId="78BD0054" w14:textId="77777777">
            <w:pPr>
              <w:spacing w:line="276" w:lineRule="auto"/>
              <w:jc w:val="center"/>
              <w:rPr>
                <w:color w:val="000000"/>
              </w:rPr>
            </w:pPr>
            <w:r>
              <w:rPr>
                <w:color w:val="000000"/>
                <w:sz w:val="22"/>
                <w:szCs w:val="22"/>
              </w:rPr>
              <w:t>3%</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05C27DFF" w14:textId="77777777">
            <w:pPr>
              <w:spacing w:line="276" w:lineRule="auto"/>
              <w:jc w:val="center"/>
              <w:rPr>
                <w:color w:val="000000"/>
              </w:rPr>
            </w:pPr>
            <w:r>
              <w:rPr>
                <w:color w:val="000000"/>
                <w:sz w:val="22"/>
                <w:szCs w:val="22"/>
              </w:rPr>
              <w:t>$1</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11684D45" w14:textId="77777777">
            <w:pPr>
              <w:spacing w:line="276" w:lineRule="auto"/>
              <w:jc w:val="center"/>
              <w:rPr>
                <w:color w:val="000000"/>
              </w:rPr>
            </w:pPr>
            <w:r w:rsidRPr="007A1735">
              <w:rPr>
                <w:color w:val="000000"/>
                <w:sz w:val="22"/>
                <w:szCs w:val="22"/>
              </w:rPr>
              <w:t>$</w:t>
            </w:r>
            <w:r>
              <w:rPr>
                <w:color w:val="000000"/>
                <w:sz w:val="22"/>
                <w:szCs w:val="22"/>
              </w:rPr>
              <w:t>70</w:t>
            </w:r>
          </w:p>
        </w:tc>
      </w:tr>
      <w:tr w14:paraId="3C984316"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0048F42D" w14:textId="77777777">
            <w:pPr>
              <w:spacing w:line="276" w:lineRule="auto"/>
              <w:jc w:val="center"/>
              <w:rPr>
                <w:i/>
                <w:iCs/>
                <w:color w:val="000000"/>
              </w:rPr>
            </w:pPr>
            <w:r w:rsidRPr="007A1735">
              <w:rPr>
                <w:i/>
                <w:iCs/>
                <w:color w:val="000000"/>
                <w:sz w:val="22"/>
                <w:szCs w:val="22"/>
              </w:rPr>
              <w:t xml:space="preserve">E. coli, </w:t>
            </w:r>
            <w:r w:rsidRPr="007A1735">
              <w:rPr>
                <w:color w:val="000000"/>
                <w:sz w:val="22"/>
                <w:szCs w:val="22"/>
              </w:rPr>
              <w:t>non O157</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09CC135B" w14:textId="77777777">
            <w:pPr>
              <w:spacing w:line="276" w:lineRule="auto"/>
              <w:jc w:val="center"/>
              <w:rPr>
                <w:color w:val="000000"/>
              </w:rPr>
            </w:pPr>
            <w:r w:rsidRPr="007A1735">
              <w:rPr>
                <w:color w:val="000000"/>
                <w:sz w:val="22"/>
                <w:szCs w:val="22"/>
              </w:rPr>
              <w:t>$90</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750F3597" w14:textId="77777777">
            <w:pPr>
              <w:spacing w:line="276" w:lineRule="auto"/>
              <w:jc w:val="center"/>
              <w:rPr>
                <w:color w:val="000000"/>
              </w:rPr>
            </w:pPr>
            <w:r w:rsidRPr="007A1735">
              <w:rPr>
                <w:color w:val="000000"/>
                <w:sz w:val="22"/>
                <w:szCs w:val="22"/>
              </w:rPr>
              <w:t>$</w:t>
            </w:r>
            <w:r>
              <w:rPr>
                <w:color w:val="000000"/>
                <w:sz w:val="22"/>
                <w:szCs w:val="22"/>
              </w:rPr>
              <w:t>90</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6387DE86" w14:textId="77777777">
            <w:pPr>
              <w:spacing w:line="276" w:lineRule="auto"/>
              <w:jc w:val="center"/>
              <w:rPr>
                <w:color w:val="000000"/>
              </w:rPr>
            </w:pPr>
            <w:r>
              <w:rPr>
                <w:color w:val="000000"/>
                <w:sz w:val="22"/>
                <w:szCs w:val="22"/>
              </w:rPr>
              <w:t>-</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6E70B556" w14:textId="60D8402F">
            <w:pPr>
              <w:spacing w:line="276" w:lineRule="auto"/>
              <w:jc w:val="center"/>
              <w:rPr>
                <w:color w:val="000000"/>
              </w:rPr>
            </w:pPr>
            <w:r>
              <w:rPr>
                <w:color w:val="000000"/>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74E98B57" w14:textId="77777777">
            <w:pPr>
              <w:spacing w:line="276" w:lineRule="auto"/>
              <w:jc w:val="center"/>
              <w:rPr>
                <w:color w:val="000000"/>
              </w:rPr>
            </w:pPr>
            <w:r>
              <w:rPr>
                <w:color w:val="000000"/>
                <w:sz w:val="22"/>
                <w:szCs w:val="22"/>
              </w:rPr>
              <w:t>-</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3E938669" w14:textId="77777777">
            <w:pPr>
              <w:spacing w:line="276" w:lineRule="auto"/>
              <w:jc w:val="center"/>
              <w:rPr>
                <w:color w:val="000000"/>
              </w:rPr>
            </w:pPr>
            <w:r w:rsidRPr="007A1735">
              <w:rPr>
                <w:color w:val="000000"/>
                <w:sz w:val="22"/>
                <w:szCs w:val="22"/>
              </w:rPr>
              <w:t>$</w:t>
            </w:r>
            <w:r>
              <w:rPr>
                <w:color w:val="000000"/>
                <w:sz w:val="22"/>
                <w:szCs w:val="22"/>
              </w:rPr>
              <w:t>9</w:t>
            </w:r>
            <w:r w:rsidRPr="007A1735">
              <w:rPr>
                <w:color w:val="000000"/>
                <w:sz w:val="22"/>
                <w:szCs w:val="22"/>
              </w:rPr>
              <w:t>0</w:t>
            </w:r>
          </w:p>
        </w:tc>
      </w:tr>
      <w:tr w14:paraId="056B6057"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38526DC5" w14:textId="77777777">
            <w:pPr>
              <w:spacing w:line="276" w:lineRule="auto"/>
              <w:jc w:val="center"/>
              <w:rPr>
                <w:i/>
                <w:iCs/>
                <w:color w:val="000000"/>
              </w:rPr>
            </w:pPr>
            <w:r w:rsidRPr="007A1735">
              <w:rPr>
                <w:i/>
                <w:iCs/>
                <w:color w:val="000000"/>
                <w:sz w:val="22"/>
                <w:szCs w:val="22"/>
              </w:rPr>
              <w:t>Hepatitis A virus</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4D4A030B" w14:textId="77777777">
            <w:pPr>
              <w:spacing w:line="276" w:lineRule="auto"/>
              <w:jc w:val="center"/>
              <w:rPr>
                <w:color w:val="000000"/>
              </w:rPr>
            </w:pPr>
            <w:r w:rsidRPr="007A1735">
              <w:rPr>
                <w:color w:val="000000"/>
                <w:sz w:val="22"/>
                <w:szCs w:val="22"/>
              </w:rPr>
              <w:t>$5</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2B63AD17" w14:textId="77777777">
            <w:pPr>
              <w:spacing w:line="276" w:lineRule="auto"/>
              <w:jc w:val="center"/>
              <w:rPr>
                <w:color w:val="000000"/>
              </w:rPr>
            </w:pPr>
            <w:r w:rsidRPr="007A1735">
              <w:rPr>
                <w:color w:val="000000"/>
                <w:sz w:val="22"/>
                <w:szCs w:val="22"/>
              </w:rPr>
              <w:t>$</w:t>
            </w:r>
            <w:r>
              <w:rPr>
                <w:color w:val="000000"/>
                <w:sz w:val="22"/>
                <w:szCs w:val="22"/>
              </w:rPr>
              <w:t>5</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29F41B02" w14:textId="77777777">
            <w:pPr>
              <w:spacing w:line="276" w:lineRule="auto"/>
              <w:jc w:val="center"/>
              <w:rPr>
                <w:color w:val="000000"/>
              </w:rPr>
            </w:pPr>
            <w:r w:rsidRPr="007A1735">
              <w:rPr>
                <w:color w:val="000000"/>
                <w:sz w:val="22"/>
                <w:szCs w:val="22"/>
              </w:rPr>
              <w:t>-</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14BCD26D" w14:textId="2751D0A1">
            <w:pPr>
              <w:spacing w:line="276" w:lineRule="auto"/>
              <w:jc w:val="center"/>
              <w:rPr>
                <w:color w:val="000000"/>
              </w:rPr>
            </w:pPr>
            <w:r>
              <w:rPr>
                <w:color w:val="000000"/>
              </w:rPr>
              <w:t>0%</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2AE16A01" w14:textId="77777777">
            <w:pPr>
              <w:spacing w:line="276" w:lineRule="auto"/>
              <w:jc w:val="center"/>
              <w:rPr>
                <w:color w:val="000000"/>
              </w:rPr>
            </w:pPr>
            <w:r w:rsidRPr="007A1735">
              <w:rPr>
                <w:color w:val="000000"/>
                <w:sz w:val="22"/>
                <w:szCs w:val="22"/>
              </w:rPr>
              <w:t>-</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24AC6A01" w14:textId="77777777">
            <w:pPr>
              <w:spacing w:line="276" w:lineRule="auto"/>
              <w:jc w:val="center"/>
              <w:rPr>
                <w:color w:val="000000"/>
              </w:rPr>
            </w:pPr>
            <w:r w:rsidRPr="007A1735">
              <w:rPr>
                <w:color w:val="000000"/>
                <w:sz w:val="22"/>
                <w:szCs w:val="22"/>
              </w:rPr>
              <w:t>$</w:t>
            </w:r>
            <w:r>
              <w:rPr>
                <w:color w:val="000000"/>
                <w:sz w:val="22"/>
                <w:szCs w:val="22"/>
              </w:rPr>
              <w:t>5</w:t>
            </w:r>
          </w:p>
        </w:tc>
      </w:tr>
      <w:tr w14:paraId="1891CA83"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035B9106" w14:textId="77777777">
            <w:pPr>
              <w:spacing w:line="276" w:lineRule="auto"/>
              <w:jc w:val="center"/>
              <w:rPr>
                <w:color w:val="000000"/>
              </w:rPr>
            </w:pPr>
            <w:r w:rsidRPr="007A1735">
              <w:rPr>
                <w:color w:val="000000"/>
                <w:sz w:val="22"/>
                <w:szCs w:val="22"/>
              </w:rPr>
              <w:t>Total RAC Identified</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6AD7351F" w14:textId="77777777">
            <w:pPr>
              <w:spacing w:line="276" w:lineRule="auto"/>
              <w:jc w:val="center"/>
              <w:rPr>
                <w:color w:val="000000"/>
              </w:rPr>
            </w:pPr>
            <w:r w:rsidRPr="007A1735">
              <w:rPr>
                <w:color w:val="000000"/>
                <w:sz w:val="22"/>
                <w:szCs w:val="22"/>
              </w:rPr>
              <w:t>$1,944</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5D1DCAF7" w14:textId="77777777">
            <w:pPr>
              <w:spacing w:line="276" w:lineRule="auto"/>
              <w:jc w:val="center"/>
              <w:rPr>
                <w:color w:val="000000"/>
              </w:rPr>
            </w:pPr>
            <w:r w:rsidRPr="007A1735">
              <w:rPr>
                <w:color w:val="000000"/>
                <w:sz w:val="22"/>
                <w:szCs w:val="22"/>
              </w:rPr>
              <w:t>$850</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5B00445D" w14:textId="77777777">
            <w:pPr>
              <w:spacing w:line="276" w:lineRule="auto"/>
              <w:jc w:val="center"/>
              <w:rPr>
                <w:color w:val="000000"/>
              </w:rPr>
            </w:pPr>
            <w:r w:rsidRPr="007A1735">
              <w:rPr>
                <w:color w:val="000000"/>
                <w:sz w:val="22"/>
                <w:szCs w:val="22"/>
              </w:rPr>
              <w:t>$1,093</w:t>
            </w:r>
          </w:p>
        </w:tc>
        <w:tc>
          <w:tcPr>
            <w:tcW w:w="605" w:type="pct"/>
            <w:tcBorders>
              <w:top w:val="nil"/>
              <w:left w:val="nil"/>
              <w:bottom w:val="single" w:sz="8" w:space="0" w:color="auto"/>
              <w:right w:val="single" w:sz="8" w:space="0" w:color="auto"/>
            </w:tcBorders>
            <w:tcMar>
              <w:top w:w="0" w:type="dxa"/>
              <w:left w:w="108" w:type="dxa"/>
              <w:bottom w:w="0" w:type="dxa"/>
              <w:right w:w="108" w:type="dxa"/>
            </w:tcMar>
          </w:tcPr>
          <w:p w:rsidR="0088547F" w:rsidRPr="007A1735" w14:paraId="344B8D6F" w14:textId="77777777">
            <w:pPr>
              <w:spacing w:line="276" w:lineRule="auto"/>
              <w:jc w:val="center"/>
              <w:rPr>
                <w:color w:val="000000"/>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517DB982" w14:textId="77777777">
            <w:pPr>
              <w:spacing w:line="276" w:lineRule="auto"/>
              <w:jc w:val="center"/>
              <w:rPr>
                <w:color w:val="000000"/>
              </w:rPr>
            </w:pPr>
            <w:r w:rsidRPr="007A1735">
              <w:rPr>
                <w:color w:val="000000"/>
                <w:sz w:val="22"/>
                <w:szCs w:val="22"/>
              </w:rPr>
              <w:t>$</w:t>
            </w:r>
            <w:r>
              <w:rPr>
                <w:color w:val="000000"/>
                <w:sz w:val="22"/>
                <w:szCs w:val="22"/>
              </w:rPr>
              <w:t>826</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5F42966D" w14:textId="77777777">
            <w:pPr>
              <w:spacing w:line="276" w:lineRule="auto"/>
              <w:jc w:val="center"/>
              <w:rPr>
                <w:b/>
                <w:bCs/>
                <w:color w:val="000000"/>
              </w:rPr>
            </w:pPr>
            <w:r w:rsidRPr="007A1735">
              <w:rPr>
                <w:color w:val="000000"/>
                <w:sz w:val="22"/>
                <w:szCs w:val="22"/>
              </w:rPr>
              <w:t>$1,</w:t>
            </w:r>
            <w:r>
              <w:rPr>
                <w:color w:val="000000"/>
                <w:sz w:val="22"/>
                <w:szCs w:val="22"/>
              </w:rPr>
              <w:t>671</w:t>
            </w:r>
          </w:p>
        </w:tc>
      </w:tr>
      <w:tr w14:paraId="14BBA16C"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2C12C12F" w14:textId="77777777">
            <w:pPr>
              <w:spacing w:line="276" w:lineRule="auto"/>
              <w:jc w:val="center"/>
              <w:rPr>
                <w:color w:val="000000"/>
              </w:rPr>
            </w:pPr>
            <w:r w:rsidRPr="007A1735">
              <w:rPr>
                <w:color w:val="000000"/>
                <w:sz w:val="22"/>
                <w:szCs w:val="22"/>
              </w:rPr>
              <w:t>Total RAC Unidentified</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6689E763" w14:textId="77777777">
            <w:pPr>
              <w:spacing w:line="276" w:lineRule="auto"/>
              <w:jc w:val="center"/>
              <w:rPr>
                <w:color w:val="000000"/>
              </w:rPr>
            </w:pPr>
            <w:r w:rsidRPr="007A1735">
              <w:rPr>
                <w:color w:val="000000"/>
                <w:sz w:val="22"/>
                <w:szCs w:val="22"/>
              </w:rPr>
              <w:t>$410</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537EAD76" w14:textId="77777777">
            <w:pPr>
              <w:spacing w:line="276" w:lineRule="auto"/>
              <w:jc w:val="center"/>
              <w:rPr>
                <w:color w:val="000000"/>
              </w:rPr>
            </w:pPr>
            <w:r w:rsidRPr="007A1735">
              <w:rPr>
                <w:color w:val="000000"/>
                <w:sz w:val="22"/>
                <w:szCs w:val="22"/>
              </w:rPr>
              <w:t>$191</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3DD1624E" w14:textId="77777777">
            <w:pPr>
              <w:spacing w:line="276" w:lineRule="auto"/>
              <w:jc w:val="center"/>
              <w:rPr>
                <w:color w:val="000000"/>
              </w:rPr>
            </w:pPr>
            <w:r w:rsidRPr="007A1735">
              <w:rPr>
                <w:color w:val="000000"/>
                <w:sz w:val="22"/>
                <w:szCs w:val="22"/>
              </w:rPr>
              <w:t>$219</w:t>
            </w:r>
          </w:p>
        </w:tc>
        <w:tc>
          <w:tcPr>
            <w:tcW w:w="605" w:type="pct"/>
            <w:tcBorders>
              <w:top w:val="nil"/>
              <w:left w:val="nil"/>
              <w:bottom w:val="single" w:sz="8" w:space="0" w:color="auto"/>
              <w:right w:val="single" w:sz="8" w:space="0" w:color="auto"/>
            </w:tcBorders>
            <w:tcMar>
              <w:top w:w="0" w:type="dxa"/>
              <w:left w:w="108" w:type="dxa"/>
              <w:bottom w:w="0" w:type="dxa"/>
              <w:right w:w="108" w:type="dxa"/>
            </w:tcMar>
          </w:tcPr>
          <w:p w:rsidR="0088547F" w:rsidRPr="007A1735" w14:paraId="24B52D65" w14:textId="77777777">
            <w:pPr>
              <w:spacing w:line="276" w:lineRule="auto"/>
              <w:jc w:val="center"/>
              <w:rPr>
                <w:color w:val="000000"/>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88547F" w:rsidRPr="007A1735" w14:paraId="559B341D" w14:textId="77777777">
            <w:pPr>
              <w:spacing w:line="276" w:lineRule="auto"/>
              <w:jc w:val="center"/>
              <w:rPr>
                <w:color w:val="000000"/>
              </w:rPr>
            </w:pP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3E2B0DC2" w14:textId="77777777">
            <w:pPr>
              <w:spacing w:line="276" w:lineRule="auto"/>
              <w:jc w:val="center"/>
              <w:rPr>
                <w:b/>
                <w:bCs/>
                <w:color w:val="000000"/>
              </w:rPr>
            </w:pPr>
            <w:r w:rsidRPr="007A1735">
              <w:rPr>
                <w:color w:val="000000"/>
                <w:sz w:val="22"/>
                <w:szCs w:val="22"/>
              </w:rPr>
              <w:t>$191</w:t>
            </w:r>
          </w:p>
        </w:tc>
      </w:tr>
      <w:tr w14:paraId="693AA9C8"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7D2C6CD2" w14:textId="77777777">
            <w:pPr>
              <w:spacing w:line="276" w:lineRule="auto"/>
              <w:jc w:val="center"/>
              <w:rPr>
                <w:b/>
                <w:bCs/>
                <w:color w:val="000000"/>
              </w:rPr>
            </w:pPr>
            <w:r w:rsidRPr="007A1735">
              <w:rPr>
                <w:b/>
                <w:bCs/>
                <w:color w:val="000000"/>
                <w:sz w:val="22"/>
                <w:szCs w:val="22"/>
              </w:rPr>
              <w:t>Total RAC</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2C57A429" w14:textId="77777777">
            <w:pPr>
              <w:spacing w:line="276" w:lineRule="auto"/>
              <w:jc w:val="center"/>
              <w:rPr>
                <w:color w:val="000000"/>
              </w:rPr>
            </w:pPr>
            <w:r w:rsidRPr="007A1735">
              <w:rPr>
                <w:b/>
                <w:bCs/>
                <w:sz w:val="22"/>
                <w:szCs w:val="22"/>
              </w:rPr>
              <w:t>$2,354</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394173B7" w14:textId="77777777">
            <w:pPr>
              <w:spacing w:line="276" w:lineRule="auto"/>
              <w:jc w:val="center"/>
              <w:rPr>
                <w:color w:val="000000"/>
              </w:rPr>
            </w:pPr>
            <w:r w:rsidRPr="007A1735">
              <w:rPr>
                <w:color w:val="000000"/>
                <w:sz w:val="22"/>
                <w:szCs w:val="22"/>
              </w:rPr>
              <w:t>$1,042</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547F" w:rsidRPr="007A1735" w14:paraId="1F00FD83" w14:textId="77777777">
            <w:pPr>
              <w:spacing w:line="276" w:lineRule="auto"/>
              <w:jc w:val="center"/>
              <w:rPr>
                <w:color w:val="000000"/>
              </w:rPr>
            </w:pPr>
            <w:r w:rsidRPr="007A1735">
              <w:rPr>
                <w:color w:val="000000"/>
                <w:sz w:val="22"/>
                <w:szCs w:val="22"/>
              </w:rPr>
              <w:t>$1,312</w:t>
            </w:r>
          </w:p>
        </w:tc>
        <w:tc>
          <w:tcPr>
            <w:tcW w:w="605" w:type="pct"/>
            <w:tcBorders>
              <w:top w:val="nil"/>
              <w:left w:val="nil"/>
              <w:bottom w:val="single" w:sz="8" w:space="0" w:color="auto"/>
              <w:right w:val="single" w:sz="8" w:space="0" w:color="auto"/>
            </w:tcBorders>
            <w:tcMar>
              <w:top w:w="0" w:type="dxa"/>
              <w:left w:w="108" w:type="dxa"/>
              <w:bottom w:w="0" w:type="dxa"/>
              <w:right w:w="108" w:type="dxa"/>
            </w:tcMar>
          </w:tcPr>
          <w:p w:rsidR="0088547F" w:rsidRPr="007A1735" w14:paraId="040A4FC1" w14:textId="77777777">
            <w:pPr>
              <w:spacing w:line="276" w:lineRule="auto"/>
              <w:jc w:val="center"/>
              <w:rPr>
                <w:color w:val="000000"/>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rsidR="0088547F" w:rsidRPr="007A1735" w14:paraId="1AA24554" w14:textId="77777777">
            <w:pPr>
              <w:spacing w:line="276" w:lineRule="auto"/>
              <w:jc w:val="center"/>
              <w:rPr>
                <w:color w:val="000000"/>
              </w:rPr>
            </w:pP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88547F" w:rsidRPr="007A1735" w14:paraId="5E4A736B" w14:textId="77777777">
            <w:pPr>
              <w:spacing w:line="276" w:lineRule="auto"/>
              <w:jc w:val="center"/>
              <w:rPr>
                <w:b/>
                <w:bCs/>
              </w:rPr>
            </w:pPr>
            <w:r w:rsidRPr="007A1735">
              <w:rPr>
                <w:b/>
                <w:bCs/>
                <w:sz w:val="22"/>
                <w:szCs w:val="22"/>
              </w:rPr>
              <w:t>$1,</w:t>
            </w:r>
            <w:r>
              <w:rPr>
                <w:b/>
                <w:bCs/>
                <w:sz w:val="22"/>
                <w:szCs w:val="22"/>
              </w:rPr>
              <w:t>863</w:t>
            </w:r>
          </w:p>
        </w:tc>
      </w:tr>
    </w:tbl>
    <w:p w:rsidR="0088547F" w:rsidP="00F01F87" w14:paraId="3AD48C21" w14:textId="77777777">
      <w:pPr>
        <w:rPr>
          <w:i/>
        </w:rPr>
      </w:pPr>
    </w:p>
    <w:p w:rsidR="002746F8" w14:paraId="15B89AC0" w14:textId="77777777">
      <w:pPr>
        <w:spacing w:line="276" w:lineRule="auto"/>
        <w:rPr>
          <w:b/>
          <w:bCs/>
        </w:rPr>
      </w:pPr>
      <w:r>
        <w:rPr>
          <w:b/>
          <w:bCs/>
        </w:rPr>
        <w:br w:type="page"/>
      </w:r>
    </w:p>
    <w:p w:rsidR="00C63929" w:rsidRPr="00AA4C15" w:rsidP="00C63929" w14:paraId="36D894FA" w14:textId="5A915D64">
      <w:pPr>
        <w:rPr>
          <w:b/>
          <w:bCs/>
        </w:rPr>
      </w:pPr>
      <w:r w:rsidRPr="007A1735">
        <w:rPr>
          <w:b/>
          <w:bCs/>
        </w:rPr>
        <w:t xml:space="preserve">Table </w:t>
      </w:r>
      <w:r>
        <w:rPr>
          <w:b/>
          <w:bCs/>
        </w:rPr>
        <w:t>A7</w:t>
      </w:r>
      <w:r w:rsidRPr="00AA4C15">
        <w:rPr>
          <w:b/>
          <w:bCs/>
        </w:rPr>
        <w:t xml:space="preserve">: Adjusted Estimated Dollar Burden of Illnesses, </w:t>
      </w:r>
      <w:r>
        <w:rPr>
          <w:b/>
          <w:bCs/>
        </w:rPr>
        <w:t xml:space="preserve">High Traceability Effectiveness, </w:t>
      </w:r>
      <w:r w:rsidRPr="00AA4C15">
        <w:rPr>
          <w:b/>
          <w:bCs/>
        </w:rPr>
        <w:t>2009-2020.</w:t>
      </w:r>
    </w:p>
    <w:tbl>
      <w:tblPr>
        <w:tblW w:w="5000" w:type="pct"/>
        <w:tblLayout w:type="fixed"/>
        <w:tblCellMar>
          <w:left w:w="0" w:type="dxa"/>
          <w:right w:w="0" w:type="dxa"/>
        </w:tblCellMar>
        <w:tblLook w:val="04A0"/>
      </w:tblPr>
      <w:tblGrid>
        <w:gridCol w:w="1745"/>
        <w:gridCol w:w="1267"/>
        <w:gridCol w:w="1268"/>
        <w:gridCol w:w="1366"/>
        <w:gridCol w:w="1169"/>
        <w:gridCol w:w="1268"/>
        <w:gridCol w:w="1257"/>
      </w:tblGrid>
      <w:tr w14:paraId="517B98A8" w14:textId="77777777">
        <w:tblPrEx>
          <w:tblW w:w="5000" w:type="pct"/>
          <w:tblLayout w:type="fixed"/>
          <w:tblCellMar>
            <w:left w:w="0" w:type="dxa"/>
            <w:right w:w="0" w:type="dxa"/>
          </w:tblCellMar>
          <w:tblLook w:val="04A0"/>
        </w:tblPrEx>
        <w:trPr>
          <w:trHeight w:val="288"/>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3929" w:rsidRPr="007A1735" w14:paraId="2DD7F916" w14:textId="77777777">
            <w:pPr>
              <w:spacing w:line="276" w:lineRule="auto"/>
              <w:rPr>
                <w:b/>
                <w:bCs/>
                <w:color w:val="000000"/>
              </w:rPr>
            </w:pPr>
            <w:r w:rsidRPr="007A1735">
              <w:rPr>
                <w:b/>
                <w:bCs/>
                <w:color w:val="000000"/>
                <w:sz w:val="22"/>
                <w:szCs w:val="22"/>
              </w:rPr>
              <w:t xml:space="preserve">Estimated Dollar Burden Attributable to Produce RACs Other Than Sprouts </w:t>
            </w:r>
          </w:p>
        </w:tc>
      </w:tr>
      <w:tr w14:paraId="7F683CE4" w14:textId="77777777">
        <w:tblPrEx>
          <w:tblW w:w="5000" w:type="pct"/>
          <w:tblLayout w:type="fixed"/>
          <w:tblCellMar>
            <w:left w:w="0" w:type="dxa"/>
            <w:right w:w="0" w:type="dxa"/>
          </w:tblCellMar>
          <w:tblLook w:val="04A0"/>
        </w:tblPrEx>
        <w:trPr>
          <w:trHeight w:val="912"/>
        </w:trPr>
        <w:tc>
          <w:tcPr>
            <w:tcW w:w="9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63929" w:rsidRPr="007A1735" w14:paraId="0D9C52CE" w14:textId="77777777">
            <w:pPr>
              <w:spacing w:line="276" w:lineRule="auto"/>
              <w:jc w:val="center"/>
              <w:rPr>
                <w:b/>
                <w:bCs/>
                <w:color w:val="000000"/>
              </w:rPr>
            </w:pPr>
            <w:r w:rsidRPr="007A1735">
              <w:rPr>
                <w:b/>
                <w:bCs/>
                <w:color w:val="000000"/>
                <w:sz w:val="22"/>
                <w:szCs w:val="22"/>
              </w:rPr>
              <w:t>Agent</w:t>
            </w:r>
          </w:p>
        </w:tc>
        <w:tc>
          <w:tcPr>
            <w:tcW w:w="67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63929" w:rsidRPr="007A1735" w14:paraId="41216048" w14:textId="77777777">
            <w:pPr>
              <w:spacing w:line="276" w:lineRule="auto"/>
              <w:jc w:val="center"/>
              <w:rPr>
                <w:b/>
                <w:bCs/>
                <w:color w:val="000000"/>
              </w:rPr>
            </w:pPr>
            <w:r w:rsidRPr="007A1735">
              <w:rPr>
                <w:b/>
                <w:bCs/>
                <w:color w:val="000000"/>
                <w:sz w:val="22"/>
                <w:szCs w:val="22"/>
              </w:rPr>
              <w:t>Covered Dollar Burden (millions)</w:t>
            </w:r>
          </w:p>
        </w:tc>
        <w:tc>
          <w:tcPr>
            <w:tcW w:w="67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63929" w:rsidRPr="007A1735" w14:paraId="387793E1" w14:textId="77777777">
            <w:pPr>
              <w:spacing w:line="276" w:lineRule="auto"/>
              <w:jc w:val="center"/>
              <w:rPr>
                <w:b/>
                <w:bCs/>
                <w:color w:val="000000"/>
              </w:rPr>
            </w:pPr>
            <w:r>
              <w:rPr>
                <w:b/>
                <w:bCs/>
                <w:color w:val="000000"/>
                <w:sz w:val="22"/>
                <w:szCs w:val="22"/>
              </w:rPr>
              <w:t>Adjusted Covered Dollar Burden (millions)</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63929" w:rsidRPr="007A1735" w14:paraId="5E7103E4" w14:textId="77777777">
            <w:pPr>
              <w:spacing w:line="276" w:lineRule="auto"/>
              <w:jc w:val="center"/>
              <w:rPr>
                <w:b/>
                <w:bCs/>
                <w:color w:val="000000"/>
              </w:rPr>
            </w:pPr>
            <w:r>
              <w:rPr>
                <w:b/>
                <w:bCs/>
                <w:color w:val="000000"/>
                <w:sz w:val="22"/>
                <w:szCs w:val="22"/>
              </w:rPr>
              <w:t>Dollar Burden Covered by Traceability</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C63929" w14:paraId="30AF23E9" w14:textId="77777777">
            <w:pPr>
              <w:spacing w:line="276" w:lineRule="auto"/>
              <w:jc w:val="center"/>
              <w:rPr>
                <w:b/>
                <w:bCs/>
                <w:color w:val="000000"/>
              </w:rPr>
            </w:pPr>
            <w:r>
              <w:rPr>
                <w:b/>
                <w:bCs/>
                <w:color w:val="000000"/>
                <w:sz w:val="22"/>
                <w:szCs w:val="22"/>
              </w:rPr>
              <w:t>Percent of Illnesses Prevented by Traceability</w:t>
            </w:r>
          </w:p>
          <w:p w:rsidR="00C63929" w:rsidRPr="007A1735" w14:paraId="4A017291" w14:textId="77777777">
            <w:pPr>
              <w:spacing w:line="276" w:lineRule="auto"/>
              <w:jc w:val="center"/>
              <w:rPr>
                <w:b/>
                <w:bCs/>
                <w:color w:val="000000"/>
              </w:rPr>
            </w:pPr>
            <w:r>
              <w:rPr>
                <w:b/>
                <w:bCs/>
                <w:color w:val="000000"/>
                <w:sz w:val="22"/>
                <w:szCs w:val="22"/>
              </w:rPr>
              <w:t>(High)</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3495051C" w14:textId="77777777">
            <w:pPr>
              <w:spacing w:line="276" w:lineRule="auto"/>
              <w:jc w:val="center"/>
              <w:rPr>
                <w:b/>
                <w:bCs/>
                <w:color w:val="000000"/>
              </w:rPr>
            </w:pPr>
            <w:r>
              <w:rPr>
                <w:b/>
                <w:bCs/>
                <w:color w:val="000000"/>
                <w:sz w:val="22"/>
                <w:szCs w:val="22"/>
              </w:rPr>
              <w:t>Dollar Burden Not Prevented by Traceability (High)</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53F1D43E" w14:textId="77777777">
            <w:pPr>
              <w:spacing w:line="276" w:lineRule="auto"/>
              <w:jc w:val="center"/>
              <w:rPr>
                <w:b/>
                <w:bCs/>
                <w:color w:val="000000"/>
              </w:rPr>
            </w:pPr>
            <w:r>
              <w:rPr>
                <w:b/>
                <w:bCs/>
                <w:color w:val="000000"/>
                <w:sz w:val="22"/>
                <w:szCs w:val="22"/>
              </w:rPr>
              <w:t>Adjusted Dollar Burden of Illness Covered by This Rule (High)</w:t>
            </w:r>
          </w:p>
        </w:tc>
      </w:tr>
      <w:tr w14:paraId="4F5D9384"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5CF4E605" w14:textId="77777777">
            <w:pPr>
              <w:spacing w:line="276" w:lineRule="auto"/>
              <w:jc w:val="center"/>
              <w:rPr>
                <w:i/>
                <w:iCs/>
                <w:color w:val="000000"/>
              </w:rPr>
            </w:pPr>
            <w:r w:rsidRPr="007A1735">
              <w:rPr>
                <w:i/>
                <w:iCs/>
                <w:color w:val="000000"/>
                <w:sz w:val="22"/>
                <w:szCs w:val="22"/>
              </w:rPr>
              <w:t>Salmonella</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3A293CF0" w14:textId="77777777">
            <w:pPr>
              <w:spacing w:line="276" w:lineRule="auto"/>
              <w:jc w:val="center"/>
              <w:rPr>
                <w:color w:val="000000"/>
              </w:rPr>
            </w:pPr>
            <w:r w:rsidRPr="007A1735">
              <w:rPr>
                <w:color w:val="000000"/>
                <w:sz w:val="22"/>
                <w:szCs w:val="22"/>
              </w:rPr>
              <w:t>$1,038</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5B1384F9" w14:textId="77777777">
            <w:pPr>
              <w:spacing w:line="276" w:lineRule="auto"/>
              <w:jc w:val="center"/>
              <w:rPr>
                <w:color w:val="000000"/>
              </w:rPr>
            </w:pPr>
            <w:r w:rsidRPr="007A1735">
              <w:rPr>
                <w:color w:val="000000"/>
                <w:sz w:val="22"/>
                <w:szCs w:val="22"/>
              </w:rPr>
              <w:t>$478</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16E130BB" w14:textId="77777777">
            <w:pPr>
              <w:spacing w:line="276" w:lineRule="auto"/>
              <w:jc w:val="center"/>
              <w:rPr>
                <w:color w:val="000000"/>
              </w:rPr>
            </w:pPr>
            <w:r w:rsidRPr="007A1735">
              <w:rPr>
                <w:color w:val="000000"/>
                <w:sz w:val="22"/>
                <w:szCs w:val="22"/>
              </w:rPr>
              <w:t>$560</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58173B77" w14:textId="77777777">
            <w:pPr>
              <w:spacing w:line="276" w:lineRule="auto"/>
              <w:jc w:val="center"/>
              <w:rPr>
                <w:color w:val="000000"/>
              </w:rPr>
            </w:pPr>
            <w:r>
              <w:rPr>
                <w:color w:val="000000"/>
                <w:sz w:val="22"/>
                <w:szCs w:val="22"/>
              </w:rPr>
              <w:t>55</w:t>
            </w:r>
            <w:r w:rsidRPr="007A1735">
              <w:rPr>
                <w:color w:val="000000"/>
                <w:sz w:val="22"/>
                <w:szCs w:val="22"/>
              </w:rPr>
              <w:t>%</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0E5133A7" w14:textId="77777777">
            <w:pPr>
              <w:spacing w:line="276" w:lineRule="auto"/>
              <w:jc w:val="center"/>
              <w:rPr>
                <w:color w:val="000000"/>
              </w:rPr>
            </w:pPr>
            <w:r w:rsidRPr="007A1735">
              <w:rPr>
                <w:color w:val="000000"/>
                <w:sz w:val="22"/>
                <w:szCs w:val="22"/>
              </w:rPr>
              <w:t>$</w:t>
            </w:r>
            <w:r>
              <w:rPr>
                <w:color w:val="000000"/>
                <w:sz w:val="22"/>
                <w:szCs w:val="22"/>
              </w:rPr>
              <w:t>252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5C3744F7" w14:textId="77777777">
            <w:pPr>
              <w:spacing w:line="276" w:lineRule="auto"/>
              <w:jc w:val="center"/>
              <w:rPr>
                <w:color w:val="000000"/>
              </w:rPr>
            </w:pPr>
            <w:r w:rsidRPr="007A1735">
              <w:rPr>
                <w:color w:val="000000"/>
                <w:sz w:val="22"/>
                <w:szCs w:val="22"/>
              </w:rPr>
              <w:t>$</w:t>
            </w:r>
            <w:r>
              <w:rPr>
                <w:color w:val="000000"/>
                <w:sz w:val="22"/>
                <w:szCs w:val="22"/>
              </w:rPr>
              <w:t>730</w:t>
            </w:r>
          </w:p>
        </w:tc>
      </w:tr>
      <w:tr w14:paraId="0DEAB7F0"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53F11C59" w14:textId="77777777">
            <w:pPr>
              <w:spacing w:line="276" w:lineRule="auto"/>
              <w:jc w:val="center"/>
              <w:rPr>
                <w:i/>
                <w:iCs/>
                <w:color w:val="000000"/>
              </w:rPr>
            </w:pPr>
            <w:r w:rsidRPr="007A1735">
              <w:rPr>
                <w:i/>
                <w:iCs/>
                <w:color w:val="000000"/>
                <w:sz w:val="22"/>
                <w:szCs w:val="22"/>
              </w:rPr>
              <w:t>Cyclospora cayatenensis</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63D963A9" w14:textId="77777777">
            <w:pPr>
              <w:spacing w:line="276" w:lineRule="auto"/>
              <w:jc w:val="center"/>
              <w:rPr>
                <w:color w:val="000000"/>
              </w:rPr>
            </w:pPr>
            <w:r w:rsidRPr="007A1735">
              <w:rPr>
                <w:color w:val="000000"/>
                <w:sz w:val="22"/>
                <w:szCs w:val="22"/>
              </w:rPr>
              <w:t>$35</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25D148BA" w14:textId="77777777">
            <w:pPr>
              <w:spacing w:line="276" w:lineRule="auto"/>
              <w:jc w:val="center"/>
              <w:rPr>
                <w:color w:val="000000"/>
              </w:rPr>
            </w:pPr>
            <w:r w:rsidRPr="007A1735">
              <w:rPr>
                <w:color w:val="000000"/>
                <w:sz w:val="22"/>
                <w:szCs w:val="22"/>
              </w:rPr>
              <w:t>$15</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68DFC47C" w14:textId="77777777">
            <w:pPr>
              <w:spacing w:line="276" w:lineRule="auto"/>
              <w:jc w:val="center"/>
              <w:rPr>
                <w:color w:val="000000"/>
              </w:rPr>
            </w:pPr>
            <w:r w:rsidRPr="007A1735">
              <w:rPr>
                <w:color w:val="000000"/>
                <w:sz w:val="22"/>
                <w:szCs w:val="22"/>
              </w:rPr>
              <w:t>$20</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6B81BCBC" w14:textId="77777777">
            <w:pPr>
              <w:spacing w:line="276" w:lineRule="auto"/>
              <w:jc w:val="center"/>
              <w:rPr>
                <w:color w:val="000000"/>
              </w:rPr>
            </w:pPr>
            <w:r>
              <w:rPr>
                <w:color w:val="000000"/>
                <w:sz w:val="22"/>
                <w:szCs w:val="22"/>
              </w:rPr>
              <w:t>23</w:t>
            </w:r>
            <w:r w:rsidRPr="007A1735">
              <w:rPr>
                <w:color w:val="000000"/>
                <w:sz w:val="22"/>
                <w:szCs w:val="22"/>
              </w:rPr>
              <w:t>%</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6B326384" w14:textId="77777777">
            <w:pPr>
              <w:spacing w:line="276" w:lineRule="auto"/>
              <w:jc w:val="center"/>
              <w:rPr>
                <w:color w:val="000000"/>
              </w:rPr>
            </w:pPr>
            <w:r w:rsidRPr="007A1735">
              <w:rPr>
                <w:color w:val="000000"/>
                <w:sz w:val="22"/>
                <w:szCs w:val="22"/>
              </w:rPr>
              <w:t>$1</w:t>
            </w:r>
            <w:r>
              <w:rPr>
                <w:color w:val="000000"/>
                <w:sz w:val="22"/>
                <w:szCs w:val="22"/>
              </w:rPr>
              <w:t>6</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0720BC76" w14:textId="77777777">
            <w:pPr>
              <w:spacing w:line="276" w:lineRule="auto"/>
              <w:jc w:val="center"/>
              <w:rPr>
                <w:color w:val="000000"/>
              </w:rPr>
            </w:pPr>
            <w:r w:rsidRPr="007A1735">
              <w:rPr>
                <w:color w:val="000000"/>
                <w:sz w:val="22"/>
                <w:szCs w:val="22"/>
              </w:rPr>
              <w:t>$</w:t>
            </w:r>
            <w:r>
              <w:rPr>
                <w:color w:val="000000"/>
                <w:sz w:val="22"/>
                <w:szCs w:val="22"/>
              </w:rPr>
              <w:t>30</w:t>
            </w:r>
          </w:p>
        </w:tc>
      </w:tr>
      <w:tr w14:paraId="131BD8D0"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009F2717" w14:textId="77777777">
            <w:pPr>
              <w:spacing w:line="276" w:lineRule="auto"/>
              <w:jc w:val="center"/>
              <w:rPr>
                <w:i/>
                <w:iCs/>
                <w:color w:val="000000"/>
              </w:rPr>
            </w:pPr>
            <w:r w:rsidRPr="007A1735">
              <w:rPr>
                <w:i/>
                <w:iCs/>
                <w:color w:val="000000"/>
                <w:sz w:val="22"/>
                <w:szCs w:val="22"/>
              </w:rPr>
              <w:t>Listeria monocytogenes</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74AB59F8" w14:textId="77777777">
            <w:pPr>
              <w:spacing w:line="276" w:lineRule="auto"/>
              <w:jc w:val="center"/>
              <w:rPr>
                <w:color w:val="000000"/>
              </w:rPr>
            </w:pPr>
            <w:r w:rsidRPr="007A1735">
              <w:rPr>
                <w:color w:val="000000"/>
                <w:sz w:val="22"/>
                <w:szCs w:val="22"/>
              </w:rPr>
              <w:t>$706</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6CA77D46" w14:textId="77777777">
            <w:pPr>
              <w:spacing w:line="276" w:lineRule="auto"/>
              <w:jc w:val="center"/>
              <w:rPr>
                <w:color w:val="000000"/>
              </w:rPr>
            </w:pPr>
            <w:r w:rsidRPr="007A1735">
              <w:rPr>
                <w:color w:val="000000"/>
                <w:sz w:val="22"/>
                <w:szCs w:val="22"/>
              </w:rPr>
              <w:t>$195</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707DC74F" w14:textId="77777777">
            <w:pPr>
              <w:spacing w:line="276" w:lineRule="auto"/>
              <w:jc w:val="center"/>
              <w:rPr>
                <w:color w:val="000000"/>
              </w:rPr>
            </w:pPr>
            <w:r w:rsidRPr="007A1735">
              <w:rPr>
                <w:color w:val="000000"/>
                <w:sz w:val="22"/>
                <w:szCs w:val="22"/>
              </w:rPr>
              <w:t>$511</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24541CA9" w14:textId="77777777">
            <w:pPr>
              <w:spacing w:line="276" w:lineRule="auto"/>
              <w:jc w:val="center"/>
              <w:rPr>
                <w:color w:val="000000"/>
              </w:rPr>
            </w:pPr>
            <w:r>
              <w:rPr>
                <w:color w:val="000000"/>
                <w:sz w:val="22"/>
                <w:szCs w:val="22"/>
              </w:rPr>
              <w:t>63</w:t>
            </w:r>
            <w:r w:rsidRPr="007A1735">
              <w:rPr>
                <w:color w:val="000000"/>
                <w:sz w:val="22"/>
                <w:szCs w:val="22"/>
              </w:rPr>
              <w:t>%</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49DC35B8" w14:textId="77777777">
            <w:pPr>
              <w:spacing w:line="276" w:lineRule="auto"/>
              <w:jc w:val="center"/>
              <w:rPr>
                <w:color w:val="000000"/>
              </w:rPr>
            </w:pPr>
            <w:r w:rsidRPr="007A1735">
              <w:rPr>
                <w:color w:val="000000"/>
                <w:sz w:val="22"/>
                <w:szCs w:val="22"/>
              </w:rPr>
              <w:t>$</w:t>
            </w:r>
            <w:r>
              <w:rPr>
                <w:color w:val="000000"/>
                <w:sz w:val="22"/>
                <w:szCs w:val="22"/>
              </w:rPr>
              <w:t>189</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2005A1C5" w14:textId="77777777">
            <w:pPr>
              <w:spacing w:line="276" w:lineRule="auto"/>
              <w:jc w:val="center"/>
              <w:rPr>
                <w:color w:val="000000"/>
              </w:rPr>
            </w:pPr>
            <w:r w:rsidRPr="007A1735">
              <w:rPr>
                <w:color w:val="000000"/>
                <w:sz w:val="22"/>
                <w:szCs w:val="22"/>
              </w:rPr>
              <w:t>$</w:t>
            </w:r>
            <w:r>
              <w:rPr>
                <w:color w:val="000000"/>
                <w:sz w:val="22"/>
                <w:szCs w:val="22"/>
              </w:rPr>
              <w:t>384</w:t>
            </w:r>
          </w:p>
        </w:tc>
      </w:tr>
      <w:tr w14:paraId="1B450B8A"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2E5959AA" w14:textId="77777777">
            <w:pPr>
              <w:spacing w:line="276" w:lineRule="auto"/>
              <w:jc w:val="center"/>
              <w:rPr>
                <w:i/>
                <w:iCs/>
                <w:color w:val="000000"/>
              </w:rPr>
            </w:pPr>
            <w:r w:rsidRPr="007A1735">
              <w:rPr>
                <w:i/>
                <w:iCs/>
                <w:color w:val="000000"/>
                <w:sz w:val="22"/>
                <w:szCs w:val="22"/>
              </w:rPr>
              <w:t xml:space="preserve">E. coli, </w:t>
            </w:r>
            <w:r w:rsidRPr="007A1735">
              <w:rPr>
                <w:color w:val="000000"/>
                <w:sz w:val="22"/>
                <w:szCs w:val="22"/>
              </w:rPr>
              <w:t>STECO157</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34D187C7" w14:textId="77777777">
            <w:pPr>
              <w:spacing w:line="276" w:lineRule="auto"/>
              <w:jc w:val="center"/>
              <w:rPr>
                <w:color w:val="000000"/>
              </w:rPr>
            </w:pPr>
            <w:r w:rsidRPr="007A1735">
              <w:rPr>
                <w:color w:val="000000"/>
                <w:sz w:val="22"/>
                <w:szCs w:val="22"/>
              </w:rPr>
              <w:t>$70</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6552BFE6" w14:textId="77777777">
            <w:pPr>
              <w:spacing w:line="276" w:lineRule="auto"/>
              <w:jc w:val="center"/>
              <w:rPr>
                <w:color w:val="000000"/>
              </w:rPr>
            </w:pPr>
            <w:r w:rsidRPr="007A1735">
              <w:rPr>
                <w:color w:val="000000"/>
                <w:sz w:val="22"/>
                <w:szCs w:val="22"/>
              </w:rPr>
              <w:t>$</w:t>
            </w:r>
            <w:r>
              <w:rPr>
                <w:color w:val="000000"/>
                <w:sz w:val="22"/>
                <w:szCs w:val="22"/>
              </w:rPr>
              <w:t>69</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3298B5E5" w14:textId="77777777">
            <w:pPr>
              <w:spacing w:line="276" w:lineRule="auto"/>
              <w:jc w:val="center"/>
              <w:rPr>
                <w:color w:val="000000"/>
              </w:rPr>
            </w:pPr>
            <w:r>
              <w:rPr>
                <w:color w:val="000000"/>
                <w:sz w:val="22"/>
                <w:szCs w:val="22"/>
              </w:rPr>
              <w:t>$2</w:t>
            </w:r>
          </w:p>
        </w:tc>
        <w:tc>
          <w:tcPr>
            <w:tcW w:w="626" w:type="pct"/>
            <w:tcBorders>
              <w:top w:val="nil"/>
              <w:left w:val="nil"/>
              <w:bottom w:val="single" w:sz="8" w:space="0" w:color="auto"/>
              <w:right w:val="single" w:sz="8" w:space="0" w:color="auto"/>
            </w:tcBorders>
            <w:tcMar>
              <w:top w:w="0" w:type="dxa"/>
              <w:left w:w="108" w:type="dxa"/>
              <w:bottom w:w="0" w:type="dxa"/>
              <w:right w:w="108" w:type="dxa"/>
            </w:tcMar>
          </w:tcPr>
          <w:p w:rsidR="00C63929" w:rsidRPr="007A1735" w14:paraId="2786D5C7" w14:textId="77777777">
            <w:pPr>
              <w:spacing w:line="276" w:lineRule="auto"/>
              <w:jc w:val="center"/>
              <w:rPr>
                <w:color w:val="000000"/>
              </w:rPr>
            </w:pPr>
            <w:r>
              <w:rPr>
                <w:color w:val="000000"/>
                <w:sz w:val="22"/>
                <w:szCs w:val="22"/>
              </w:rPr>
              <w:t>17%</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7AC406FC" w14:textId="77777777">
            <w:pPr>
              <w:spacing w:line="276" w:lineRule="auto"/>
              <w:jc w:val="center"/>
              <w:rPr>
                <w:color w:val="000000"/>
              </w:rPr>
            </w:pPr>
            <w:r>
              <w:rPr>
                <w:color w:val="000000"/>
                <w:sz w:val="22"/>
                <w:szCs w:val="22"/>
              </w:rPr>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4D4CEDA1" w14:textId="77777777">
            <w:pPr>
              <w:spacing w:line="276" w:lineRule="auto"/>
              <w:jc w:val="center"/>
              <w:rPr>
                <w:color w:val="000000"/>
              </w:rPr>
            </w:pPr>
            <w:r w:rsidRPr="007A1735">
              <w:rPr>
                <w:color w:val="000000"/>
                <w:sz w:val="22"/>
                <w:szCs w:val="22"/>
              </w:rPr>
              <w:t>$</w:t>
            </w:r>
            <w:r>
              <w:rPr>
                <w:color w:val="000000"/>
                <w:sz w:val="22"/>
                <w:szCs w:val="22"/>
              </w:rPr>
              <w:t>70</w:t>
            </w:r>
          </w:p>
        </w:tc>
      </w:tr>
      <w:tr w14:paraId="4223CA58"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42D85CA3" w14:textId="77777777">
            <w:pPr>
              <w:spacing w:line="276" w:lineRule="auto"/>
              <w:jc w:val="center"/>
              <w:rPr>
                <w:i/>
                <w:iCs/>
                <w:color w:val="000000"/>
              </w:rPr>
            </w:pPr>
            <w:r w:rsidRPr="007A1735">
              <w:rPr>
                <w:i/>
                <w:iCs/>
                <w:color w:val="000000"/>
                <w:sz w:val="22"/>
                <w:szCs w:val="22"/>
              </w:rPr>
              <w:t xml:space="preserve">E. coli, </w:t>
            </w:r>
            <w:r w:rsidRPr="007A1735">
              <w:rPr>
                <w:color w:val="000000"/>
                <w:sz w:val="22"/>
                <w:szCs w:val="22"/>
              </w:rPr>
              <w:t>non O157</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0166B934" w14:textId="77777777">
            <w:pPr>
              <w:spacing w:line="276" w:lineRule="auto"/>
              <w:jc w:val="center"/>
              <w:rPr>
                <w:color w:val="000000"/>
              </w:rPr>
            </w:pPr>
            <w:r w:rsidRPr="007A1735">
              <w:rPr>
                <w:color w:val="000000"/>
                <w:sz w:val="22"/>
                <w:szCs w:val="22"/>
              </w:rPr>
              <w:t>$90</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5CDBA727" w14:textId="77777777">
            <w:pPr>
              <w:spacing w:line="276" w:lineRule="auto"/>
              <w:jc w:val="center"/>
              <w:rPr>
                <w:color w:val="000000"/>
              </w:rPr>
            </w:pPr>
            <w:r w:rsidRPr="007A1735">
              <w:rPr>
                <w:color w:val="000000"/>
                <w:sz w:val="22"/>
                <w:szCs w:val="22"/>
              </w:rPr>
              <w:t>$</w:t>
            </w:r>
            <w:r>
              <w:rPr>
                <w:color w:val="000000"/>
                <w:sz w:val="22"/>
                <w:szCs w:val="22"/>
              </w:rPr>
              <w:t>90</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71A863E6" w14:textId="77777777">
            <w:pPr>
              <w:spacing w:line="276" w:lineRule="auto"/>
              <w:jc w:val="center"/>
              <w:rPr>
                <w:color w:val="000000"/>
              </w:rPr>
            </w:pPr>
            <w:r>
              <w:rPr>
                <w:color w:val="000000"/>
                <w:sz w:val="22"/>
                <w:szCs w:val="22"/>
              </w:rPr>
              <w:t>-</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640D66F6" w14:textId="77777777">
            <w:pPr>
              <w:spacing w:line="276" w:lineRule="auto"/>
              <w:jc w:val="center"/>
              <w:rPr>
                <w:color w:val="000000"/>
              </w:rPr>
            </w:pPr>
            <w:r>
              <w:rPr>
                <w:color w:val="000000"/>
                <w:sz w:val="22"/>
                <w:szCs w:val="22"/>
              </w:rPr>
              <w:t>34%</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7133E7AC" w14:textId="77777777">
            <w:pPr>
              <w:spacing w:line="276" w:lineRule="auto"/>
              <w:jc w:val="center"/>
              <w:rPr>
                <w:color w:val="000000"/>
              </w:rPr>
            </w:pPr>
            <w:r>
              <w:rPr>
                <w:color w:val="000000"/>
                <w:sz w:val="22"/>
                <w:szCs w:val="22"/>
              </w:rPr>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6F4B986F" w14:textId="77777777">
            <w:pPr>
              <w:spacing w:line="276" w:lineRule="auto"/>
              <w:jc w:val="center"/>
              <w:rPr>
                <w:color w:val="000000"/>
              </w:rPr>
            </w:pPr>
            <w:r w:rsidRPr="007A1735">
              <w:rPr>
                <w:color w:val="000000"/>
                <w:sz w:val="22"/>
                <w:szCs w:val="22"/>
              </w:rPr>
              <w:t>$</w:t>
            </w:r>
            <w:r>
              <w:rPr>
                <w:color w:val="000000"/>
                <w:sz w:val="22"/>
                <w:szCs w:val="22"/>
              </w:rPr>
              <w:t>9</w:t>
            </w:r>
            <w:r w:rsidRPr="007A1735">
              <w:rPr>
                <w:color w:val="000000"/>
                <w:sz w:val="22"/>
                <w:szCs w:val="22"/>
              </w:rPr>
              <w:t>0</w:t>
            </w:r>
          </w:p>
        </w:tc>
      </w:tr>
      <w:tr w14:paraId="666269BB"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72165AB9" w14:textId="77777777">
            <w:pPr>
              <w:spacing w:line="276" w:lineRule="auto"/>
              <w:jc w:val="center"/>
              <w:rPr>
                <w:i/>
                <w:iCs/>
                <w:color w:val="000000"/>
              </w:rPr>
            </w:pPr>
            <w:r w:rsidRPr="007A1735">
              <w:rPr>
                <w:i/>
                <w:iCs/>
                <w:color w:val="000000"/>
                <w:sz w:val="22"/>
                <w:szCs w:val="22"/>
              </w:rPr>
              <w:t>Hepatitis A virus</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5EA3535B" w14:textId="77777777">
            <w:pPr>
              <w:spacing w:line="276" w:lineRule="auto"/>
              <w:jc w:val="center"/>
              <w:rPr>
                <w:color w:val="000000"/>
              </w:rPr>
            </w:pPr>
            <w:r w:rsidRPr="007A1735">
              <w:rPr>
                <w:color w:val="000000"/>
                <w:sz w:val="22"/>
                <w:szCs w:val="22"/>
              </w:rPr>
              <w:t>$5</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3AC1B67B" w14:textId="77777777">
            <w:pPr>
              <w:spacing w:line="276" w:lineRule="auto"/>
              <w:jc w:val="center"/>
              <w:rPr>
                <w:color w:val="000000"/>
              </w:rPr>
            </w:pPr>
            <w:r w:rsidRPr="007A1735">
              <w:rPr>
                <w:color w:val="000000"/>
                <w:sz w:val="22"/>
                <w:szCs w:val="22"/>
              </w:rPr>
              <w:t>$</w:t>
            </w:r>
            <w:r>
              <w:rPr>
                <w:color w:val="000000"/>
                <w:sz w:val="22"/>
                <w:szCs w:val="22"/>
              </w:rPr>
              <w:t>5</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34826028" w14:textId="77777777">
            <w:pPr>
              <w:spacing w:line="276" w:lineRule="auto"/>
              <w:jc w:val="center"/>
              <w:rPr>
                <w:color w:val="000000"/>
              </w:rPr>
            </w:pPr>
            <w:r w:rsidRPr="007A1735">
              <w:rPr>
                <w:color w:val="000000"/>
                <w:sz w:val="22"/>
                <w:szCs w:val="22"/>
              </w:rPr>
              <w:t>-</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08AF9F59" w14:textId="77777777">
            <w:pPr>
              <w:spacing w:line="276" w:lineRule="auto"/>
              <w:jc w:val="center"/>
              <w:rPr>
                <w:color w:val="000000"/>
              </w:rPr>
            </w:pPr>
            <w:r>
              <w:rPr>
                <w:color w:val="000000"/>
                <w:sz w:val="22"/>
                <w:szCs w:val="22"/>
              </w:rPr>
              <w:t>-</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5480D161" w14:textId="77777777">
            <w:pPr>
              <w:spacing w:line="276" w:lineRule="auto"/>
              <w:jc w:val="center"/>
              <w:rPr>
                <w:color w:val="000000"/>
              </w:rPr>
            </w:pPr>
            <w:r w:rsidRPr="007A1735">
              <w:rPr>
                <w:color w:val="000000"/>
                <w:sz w:val="22"/>
                <w:szCs w:val="22"/>
              </w:rPr>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6CED4AFB" w14:textId="77777777">
            <w:pPr>
              <w:spacing w:line="276" w:lineRule="auto"/>
              <w:jc w:val="center"/>
              <w:rPr>
                <w:color w:val="000000"/>
              </w:rPr>
            </w:pPr>
            <w:r w:rsidRPr="007A1735">
              <w:rPr>
                <w:color w:val="000000"/>
                <w:sz w:val="22"/>
                <w:szCs w:val="22"/>
              </w:rPr>
              <w:t>$</w:t>
            </w:r>
            <w:r>
              <w:rPr>
                <w:color w:val="000000"/>
                <w:sz w:val="22"/>
                <w:szCs w:val="22"/>
              </w:rPr>
              <w:t>5</w:t>
            </w:r>
          </w:p>
        </w:tc>
      </w:tr>
      <w:tr w14:paraId="4FC42F54"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687F1029" w14:textId="77777777">
            <w:pPr>
              <w:spacing w:line="276" w:lineRule="auto"/>
              <w:jc w:val="center"/>
              <w:rPr>
                <w:color w:val="000000"/>
              </w:rPr>
            </w:pPr>
            <w:r w:rsidRPr="007A1735">
              <w:rPr>
                <w:color w:val="000000"/>
                <w:sz w:val="22"/>
                <w:szCs w:val="22"/>
              </w:rPr>
              <w:t>Total RAC Identified</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6D9BDDF1" w14:textId="77777777">
            <w:pPr>
              <w:spacing w:line="276" w:lineRule="auto"/>
              <w:jc w:val="center"/>
              <w:rPr>
                <w:color w:val="000000"/>
              </w:rPr>
            </w:pPr>
            <w:r w:rsidRPr="007A1735">
              <w:rPr>
                <w:color w:val="000000"/>
                <w:sz w:val="22"/>
                <w:szCs w:val="22"/>
              </w:rPr>
              <w:t>$1,944</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0F9E59B8" w14:textId="77777777">
            <w:pPr>
              <w:spacing w:line="276" w:lineRule="auto"/>
              <w:jc w:val="center"/>
              <w:rPr>
                <w:color w:val="000000"/>
              </w:rPr>
            </w:pPr>
            <w:r w:rsidRPr="007A1735">
              <w:rPr>
                <w:color w:val="000000"/>
                <w:sz w:val="22"/>
                <w:szCs w:val="22"/>
              </w:rPr>
              <w:t>$850</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48E4A25D" w14:textId="77777777">
            <w:pPr>
              <w:spacing w:line="276" w:lineRule="auto"/>
              <w:jc w:val="center"/>
              <w:rPr>
                <w:color w:val="000000"/>
              </w:rPr>
            </w:pPr>
            <w:r w:rsidRPr="007A1735">
              <w:rPr>
                <w:color w:val="000000"/>
                <w:sz w:val="22"/>
                <w:szCs w:val="22"/>
              </w:rPr>
              <w:t>$1,093</w:t>
            </w:r>
          </w:p>
        </w:tc>
        <w:tc>
          <w:tcPr>
            <w:tcW w:w="626" w:type="pct"/>
            <w:tcBorders>
              <w:top w:val="nil"/>
              <w:left w:val="nil"/>
              <w:bottom w:val="single" w:sz="8" w:space="0" w:color="auto"/>
              <w:right w:val="single" w:sz="8" w:space="0" w:color="auto"/>
            </w:tcBorders>
            <w:tcMar>
              <w:top w:w="0" w:type="dxa"/>
              <w:left w:w="108" w:type="dxa"/>
              <w:bottom w:w="0" w:type="dxa"/>
              <w:right w:w="108" w:type="dxa"/>
            </w:tcMar>
          </w:tcPr>
          <w:p w:rsidR="00C63929" w:rsidRPr="007A1735" w14:paraId="06359E4F" w14:textId="77777777">
            <w:pPr>
              <w:spacing w:line="276" w:lineRule="auto"/>
              <w:jc w:val="center"/>
              <w:rPr>
                <w:color w:val="000000"/>
              </w:rPr>
            </w:pP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5206EBFA" w14:textId="77777777">
            <w:pPr>
              <w:spacing w:line="276" w:lineRule="auto"/>
              <w:jc w:val="center"/>
              <w:rPr>
                <w:color w:val="000000"/>
              </w:rPr>
            </w:pPr>
            <w:r w:rsidRPr="007A1735">
              <w:rPr>
                <w:color w:val="000000"/>
                <w:sz w:val="22"/>
                <w:szCs w:val="22"/>
              </w:rPr>
              <w:t>$</w:t>
            </w:r>
            <w:r>
              <w:rPr>
                <w:color w:val="000000"/>
                <w:sz w:val="22"/>
                <w:szCs w:val="22"/>
              </w:rPr>
              <w:t>458</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6E97C742" w14:textId="77777777">
            <w:pPr>
              <w:spacing w:line="276" w:lineRule="auto"/>
              <w:jc w:val="center"/>
              <w:rPr>
                <w:b/>
                <w:bCs/>
                <w:color w:val="000000"/>
              </w:rPr>
            </w:pPr>
            <w:r w:rsidRPr="007A1735">
              <w:rPr>
                <w:color w:val="000000"/>
                <w:sz w:val="22"/>
                <w:szCs w:val="22"/>
              </w:rPr>
              <w:t>$1,</w:t>
            </w:r>
            <w:r>
              <w:rPr>
                <w:color w:val="000000"/>
                <w:sz w:val="22"/>
                <w:szCs w:val="22"/>
              </w:rPr>
              <w:t>304</w:t>
            </w:r>
          </w:p>
        </w:tc>
      </w:tr>
      <w:tr w14:paraId="1502B8E0"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34588933" w14:textId="77777777">
            <w:pPr>
              <w:spacing w:line="276" w:lineRule="auto"/>
              <w:jc w:val="center"/>
              <w:rPr>
                <w:color w:val="000000"/>
              </w:rPr>
            </w:pPr>
            <w:r w:rsidRPr="007A1735">
              <w:rPr>
                <w:color w:val="000000"/>
                <w:sz w:val="22"/>
                <w:szCs w:val="22"/>
              </w:rPr>
              <w:t>Total RAC Unidentified</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439441A5" w14:textId="77777777">
            <w:pPr>
              <w:spacing w:line="276" w:lineRule="auto"/>
              <w:jc w:val="center"/>
              <w:rPr>
                <w:color w:val="000000"/>
              </w:rPr>
            </w:pPr>
            <w:r w:rsidRPr="007A1735">
              <w:rPr>
                <w:color w:val="000000"/>
                <w:sz w:val="22"/>
                <w:szCs w:val="22"/>
              </w:rPr>
              <w:t>$410</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29A721CC" w14:textId="77777777">
            <w:pPr>
              <w:spacing w:line="276" w:lineRule="auto"/>
              <w:jc w:val="center"/>
              <w:rPr>
                <w:color w:val="000000"/>
              </w:rPr>
            </w:pPr>
            <w:r w:rsidRPr="007A1735">
              <w:rPr>
                <w:color w:val="000000"/>
                <w:sz w:val="22"/>
                <w:szCs w:val="22"/>
              </w:rPr>
              <w:t>$191</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0BC85432" w14:textId="77777777">
            <w:pPr>
              <w:spacing w:line="276" w:lineRule="auto"/>
              <w:jc w:val="center"/>
              <w:rPr>
                <w:color w:val="000000"/>
              </w:rPr>
            </w:pPr>
            <w:r w:rsidRPr="007A1735">
              <w:rPr>
                <w:color w:val="000000"/>
                <w:sz w:val="22"/>
                <w:szCs w:val="22"/>
              </w:rPr>
              <w:t>$219</w:t>
            </w:r>
          </w:p>
        </w:tc>
        <w:tc>
          <w:tcPr>
            <w:tcW w:w="626" w:type="pct"/>
            <w:tcBorders>
              <w:top w:val="nil"/>
              <w:left w:val="nil"/>
              <w:bottom w:val="single" w:sz="8" w:space="0" w:color="auto"/>
              <w:right w:val="single" w:sz="8" w:space="0" w:color="auto"/>
            </w:tcBorders>
            <w:tcMar>
              <w:top w:w="0" w:type="dxa"/>
              <w:left w:w="108" w:type="dxa"/>
              <w:bottom w:w="0" w:type="dxa"/>
              <w:right w:w="108" w:type="dxa"/>
            </w:tcMar>
          </w:tcPr>
          <w:p w:rsidR="00C63929" w:rsidRPr="007A1735" w14:paraId="1F52C7C6" w14:textId="77777777">
            <w:pPr>
              <w:spacing w:line="276" w:lineRule="auto"/>
              <w:jc w:val="center"/>
              <w:rPr>
                <w:color w:val="000000"/>
              </w:rPr>
            </w:pPr>
          </w:p>
        </w:tc>
        <w:tc>
          <w:tcPr>
            <w:tcW w:w="679" w:type="pct"/>
            <w:tcBorders>
              <w:top w:val="nil"/>
              <w:left w:val="nil"/>
              <w:bottom w:val="single" w:sz="8" w:space="0" w:color="auto"/>
              <w:right w:val="single" w:sz="8" w:space="0" w:color="auto"/>
            </w:tcBorders>
            <w:tcMar>
              <w:top w:w="0" w:type="dxa"/>
              <w:left w:w="108" w:type="dxa"/>
              <w:bottom w:w="0" w:type="dxa"/>
              <w:right w:w="108" w:type="dxa"/>
            </w:tcMar>
          </w:tcPr>
          <w:p w:rsidR="00C63929" w:rsidRPr="007A1735" w14:paraId="45C6C6F4" w14:textId="77777777">
            <w:pPr>
              <w:spacing w:line="276" w:lineRule="auto"/>
              <w:jc w:val="center"/>
              <w:rPr>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75CB582D" w14:textId="77777777">
            <w:pPr>
              <w:spacing w:line="276" w:lineRule="auto"/>
              <w:jc w:val="center"/>
              <w:rPr>
                <w:b/>
                <w:bCs/>
                <w:color w:val="000000"/>
              </w:rPr>
            </w:pPr>
            <w:r w:rsidRPr="007A1735">
              <w:rPr>
                <w:color w:val="000000"/>
                <w:sz w:val="22"/>
                <w:szCs w:val="22"/>
              </w:rPr>
              <w:t>$191</w:t>
            </w:r>
          </w:p>
        </w:tc>
      </w:tr>
      <w:tr w14:paraId="059CF77E" w14:textId="77777777">
        <w:tblPrEx>
          <w:tblW w:w="5000" w:type="pct"/>
          <w:tblLayout w:type="fixed"/>
          <w:tblCellMar>
            <w:left w:w="0" w:type="dxa"/>
            <w:right w:w="0" w:type="dxa"/>
          </w:tblCellMar>
          <w:tblLook w:val="04A0"/>
        </w:tblPrEx>
        <w:trPr>
          <w:trHeight w:val="288"/>
        </w:trPr>
        <w:tc>
          <w:tcPr>
            <w:tcW w:w="9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247B2D0A" w14:textId="77777777">
            <w:pPr>
              <w:spacing w:line="276" w:lineRule="auto"/>
              <w:jc w:val="center"/>
              <w:rPr>
                <w:b/>
                <w:bCs/>
                <w:color w:val="000000"/>
              </w:rPr>
            </w:pPr>
            <w:r w:rsidRPr="007A1735">
              <w:rPr>
                <w:b/>
                <w:bCs/>
                <w:color w:val="000000"/>
                <w:sz w:val="22"/>
                <w:szCs w:val="22"/>
              </w:rPr>
              <w:t>Total RAC</w:t>
            </w:r>
          </w:p>
        </w:tc>
        <w:tc>
          <w:tcPr>
            <w:tcW w:w="6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247B8CEF" w14:textId="77777777">
            <w:pPr>
              <w:spacing w:line="276" w:lineRule="auto"/>
              <w:jc w:val="center"/>
              <w:rPr>
                <w:color w:val="000000"/>
              </w:rPr>
            </w:pPr>
            <w:r w:rsidRPr="007A1735">
              <w:rPr>
                <w:b/>
                <w:bCs/>
                <w:sz w:val="22"/>
                <w:szCs w:val="22"/>
              </w:rPr>
              <w:t>$2,354</w:t>
            </w:r>
          </w:p>
        </w:tc>
        <w:tc>
          <w:tcPr>
            <w:tcW w:w="67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32DA7E6C" w14:textId="77777777">
            <w:pPr>
              <w:spacing w:line="276" w:lineRule="auto"/>
              <w:jc w:val="center"/>
              <w:rPr>
                <w:color w:val="000000"/>
              </w:rPr>
            </w:pPr>
            <w:r w:rsidRPr="007A1735">
              <w:rPr>
                <w:color w:val="000000"/>
                <w:sz w:val="22"/>
                <w:szCs w:val="22"/>
              </w:rPr>
              <w:t>$1,042</w:t>
            </w:r>
          </w:p>
        </w:tc>
        <w:tc>
          <w:tcPr>
            <w:tcW w:w="73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929" w:rsidRPr="007A1735" w14:paraId="0330C7A9" w14:textId="77777777">
            <w:pPr>
              <w:spacing w:line="276" w:lineRule="auto"/>
              <w:jc w:val="center"/>
              <w:rPr>
                <w:color w:val="000000"/>
              </w:rPr>
            </w:pPr>
            <w:r w:rsidRPr="007A1735">
              <w:rPr>
                <w:color w:val="000000"/>
                <w:sz w:val="22"/>
                <w:szCs w:val="22"/>
              </w:rPr>
              <w:t>$1,312</w:t>
            </w:r>
          </w:p>
        </w:tc>
        <w:tc>
          <w:tcPr>
            <w:tcW w:w="626" w:type="pct"/>
            <w:tcBorders>
              <w:top w:val="nil"/>
              <w:left w:val="nil"/>
              <w:bottom w:val="single" w:sz="8" w:space="0" w:color="auto"/>
              <w:right w:val="single" w:sz="8" w:space="0" w:color="auto"/>
            </w:tcBorders>
            <w:tcMar>
              <w:top w:w="0" w:type="dxa"/>
              <w:left w:w="108" w:type="dxa"/>
              <w:bottom w:w="0" w:type="dxa"/>
              <w:right w:w="108" w:type="dxa"/>
            </w:tcMar>
          </w:tcPr>
          <w:p w:rsidR="00C63929" w:rsidRPr="007A1735" w14:paraId="01684A62" w14:textId="77777777">
            <w:pPr>
              <w:spacing w:line="276" w:lineRule="auto"/>
              <w:jc w:val="center"/>
              <w:rPr>
                <w:color w:val="000000"/>
              </w:rPr>
            </w:pPr>
          </w:p>
        </w:tc>
        <w:tc>
          <w:tcPr>
            <w:tcW w:w="679" w:type="pct"/>
            <w:tcBorders>
              <w:top w:val="nil"/>
              <w:left w:val="nil"/>
              <w:bottom w:val="single" w:sz="8" w:space="0" w:color="auto"/>
              <w:right w:val="single" w:sz="8" w:space="0" w:color="auto"/>
            </w:tcBorders>
            <w:tcMar>
              <w:top w:w="0" w:type="dxa"/>
              <w:left w:w="108" w:type="dxa"/>
              <w:bottom w:w="0" w:type="dxa"/>
              <w:right w:w="108" w:type="dxa"/>
            </w:tcMar>
          </w:tcPr>
          <w:p w:rsidR="00C63929" w:rsidRPr="007A1735" w14:paraId="18FA369F" w14:textId="77777777">
            <w:pPr>
              <w:spacing w:line="276" w:lineRule="auto"/>
              <w:jc w:val="center"/>
              <w:rPr>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C63929" w:rsidRPr="007A1735" w14:paraId="520E31E5" w14:textId="77777777">
            <w:pPr>
              <w:spacing w:line="276" w:lineRule="auto"/>
              <w:jc w:val="center"/>
              <w:rPr>
                <w:b/>
                <w:bCs/>
              </w:rPr>
            </w:pPr>
            <w:r w:rsidRPr="007A1735">
              <w:rPr>
                <w:b/>
                <w:bCs/>
                <w:sz w:val="22"/>
                <w:szCs w:val="22"/>
              </w:rPr>
              <w:t>$1,</w:t>
            </w:r>
            <w:r>
              <w:rPr>
                <w:b/>
                <w:bCs/>
                <w:sz w:val="22"/>
                <w:szCs w:val="22"/>
              </w:rPr>
              <w:t>495</w:t>
            </w:r>
          </w:p>
        </w:tc>
      </w:tr>
    </w:tbl>
    <w:p w:rsidR="00C63929" w:rsidRPr="00220325" w:rsidP="00F01F87" w14:paraId="7DDDCE03" w14:textId="77777777">
      <w:pPr>
        <w:rPr>
          <w:i/>
        </w:rPr>
      </w:pPr>
    </w:p>
    <w:sectPr>
      <w:footerReference w:type="default" r:id="rI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0F7B" w:rsidP="00006C8F" w14:paraId="1044E24C"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3650" w:rsidP="00006C8F" w14:paraId="6BD0C809" w14:textId="77777777">
      <w:pPr>
        <w:spacing w:after="0"/>
      </w:pPr>
      <w:r>
        <w:separator/>
      </w:r>
    </w:p>
  </w:footnote>
  <w:footnote w:type="continuationSeparator" w:id="1">
    <w:p w:rsidR="004D3650" w:rsidP="00006C8F" w14:paraId="1328F065" w14:textId="77777777">
      <w:pPr>
        <w:spacing w:after="0"/>
      </w:pPr>
      <w:r>
        <w:continuationSeparator/>
      </w:r>
    </w:p>
  </w:footnote>
  <w:footnote w:type="continuationNotice" w:id="2">
    <w:p w:rsidR="004D3650" w14:paraId="6A738F5A" w14:textId="77777777">
      <w:pPr>
        <w:spacing w:after="0"/>
      </w:pPr>
    </w:p>
  </w:footnote>
  <w:footnote w:id="3">
    <w:p w:rsidR="00BE0F7B" w:rsidRPr="002B114A" w:rsidP="00D72E07" w14:paraId="4B31D39C" w14:textId="6A6C766D">
      <w:pPr>
        <w:pStyle w:val="FootnoteText"/>
      </w:pPr>
      <w:r w:rsidRPr="00583451">
        <w:rPr>
          <w:rStyle w:val="FootnoteReference"/>
          <w:rFonts w:eastAsia="Calibri"/>
        </w:rPr>
        <w:footnoteRef/>
      </w:r>
      <w:r w:rsidRPr="00583451">
        <w:rPr>
          <w:vertAlign w:val="superscript"/>
        </w:rPr>
        <w:t xml:space="preserve"> </w:t>
      </w:r>
      <w:r>
        <w:t>B</w:t>
      </w:r>
      <w:r w:rsidRPr="00161D95">
        <w:t xml:space="preserve">ecause sprouts present a unique safety risk, the </w:t>
      </w:r>
      <w:r>
        <w:t>2015 Produce Safety F</w:t>
      </w:r>
      <w:r w:rsidRPr="00161D95">
        <w:t xml:space="preserve">inal </w:t>
      </w:r>
      <w:r>
        <w:t>Rule</w:t>
      </w:r>
      <w:r w:rsidRPr="00161D95">
        <w:t xml:space="preserve"> established sprout-specific requirements on multiple topics, including agricultural water.  The agricultural water requirements for sprouts are different from the agricultural water requirements for other produce commodities (for example, sprout irrigation water is subject to the microbial criterion and testing requirements in § 112.44(a) and (b)).</w:t>
      </w:r>
    </w:p>
  </w:footnote>
  <w:footnote w:id="4">
    <w:p w:rsidR="00BE0F7B" w:rsidRPr="008207BA" w:rsidP="00EF0EC0" w14:paraId="3B9AF021" w14:textId="77777777">
      <w:pPr>
        <w:pStyle w:val="FootnoteText"/>
      </w:pPr>
      <w:r w:rsidRPr="0008071F">
        <w:rPr>
          <w:rStyle w:val="FootnoteReference"/>
          <w:rFonts w:eastAsia="Calibri"/>
        </w:rPr>
        <w:footnoteRef/>
      </w:r>
      <w:r w:rsidRPr="0008071F">
        <w:rPr>
          <w:vertAlign w:val="superscript"/>
        </w:rPr>
        <w:t xml:space="preserve"> </w:t>
      </w:r>
      <w:r w:rsidRPr="0008071F">
        <w:t>See, e.g., the 2019 agricultural water compliance date extension final rule, which states:  “</w:t>
      </w:r>
      <w:r w:rsidRPr="00583451">
        <w:t>FDA believes that ignoring the widespread concerns raised about complexity and serious questions about how the requirements can be implemented in practical ways on farms is also likely to reduce the estimated public health benefits of the agricultural water provision of the rule. Farms that cannot understand the requirements and determine how to implement the requirements are not likely to be realizing full food safety measures” (84 FR 9706 at 9710; Mar. 18,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81807"/>
    <w:multiLevelType w:val="hybridMultilevel"/>
    <w:tmpl w:val="E230D2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CA37289"/>
    <w:multiLevelType w:val="hybridMultilevel"/>
    <w:tmpl w:val="74CC3B48"/>
    <w:lvl w:ilvl="0">
      <w:start w:val="1"/>
      <w:numFmt w:val="decimal"/>
      <w:pStyle w:val="Heading3"/>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51A4492"/>
    <w:multiLevelType w:val="hybridMultilevel"/>
    <w:tmpl w:val="A2B2E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4A3449"/>
    <w:multiLevelType w:val="hybridMultilevel"/>
    <w:tmpl w:val="599AEB8C"/>
    <w:lvl w:ilvl="0">
      <w:start w:val="1"/>
      <w:numFmt w:val="upperLetter"/>
      <w:pStyle w:val="Heading2"/>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7027B7"/>
    <w:multiLevelType w:val="hybridMultilevel"/>
    <w:tmpl w:val="B55C19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9923E0F"/>
    <w:multiLevelType w:val="hybridMultilevel"/>
    <w:tmpl w:val="307C5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091301"/>
    <w:multiLevelType w:val="hybridMultilevel"/>
    <w:tmpl w:val="411A0218"/>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21D53104"/>
    <w:multiLevelType w:val="hybridMultilevel"/>
    <w:tmpl w:val="54B4E8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A8447A0"/>
    <w:multiLevelType w:val="hybridMultilevel"/>
    <w:tmpl w:val="96000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BB12A7"/>
    <w:multiLevelType w:val="hybridMultilevel"/>
    <w:tmpl w:val="AA96D1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993B7C"/>
    <w:multiLevelType w:val="hybridMultilevel"/>
    <w:tmpl w:val="BB064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5CF799E"/>
    <w:multiLevelType w:val="hybridMultilevel"/>
    <w:tmpl w:val="A5D0A164"/>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164EF5"/>
    <w:multiLevelType w:val="hybridMultilevel"/>
    <w:tmpl w:val="914C7E50"/>
    <w:lvl w:ilvl="0">
      <w:start w:val="1"/>
      <w:numFmt w:val="lowerLetter"/>
      <w:pStyle w:val="Heading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E83590"/>
    <w:multiLevelType w:val="hybridMultilevel"/>
    <w:tmpl w:val="41C8EB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54657A"/>
    <w:multiLevelType w:val="hybridMultilevel"/>
    <w:tmpl w:val="F402B202"/>
    <w:lvl w:ilvl="0">
      <w:start w:val="1"/>
      <w:numFmt w:val="upperRoman"/>
      <w:pStyle w:val="Heading1"/>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766802"/>
    <w:multiLevelType w:val="hybridMultilevel"/>
    <w:tmpl w:val="AD669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6C71C1"/>
    <w:multiLevelType w:val="hybridMultilevel"/>
    <w:tmpl w:val="69CC1D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BF705B"/>
    <w:multiLevelType w:val="hybridMultilevel"/>
    <w:tmpl w:val="4A0E7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C41A55"/>
    <w:multiLevelType w:val="hybridMultilevel"/>
    <w:tmpl w:val="0694AC0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E9A147C"/>
    <w:multiLevelType w:val="hybridMultilevel"/>
    <w:tmpl w:val="047EBB54"/>
    <w:lvl w:ilvl="0">
      <w:start w:val="1"/>
      <w:numFmt w:val="decimal"/>
      <w:lvlText w:val="%1."/>
      <w:lvlJc w:val="left"/>
      <w:pPr>
        <w:ind w:left="81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301962"/>
    <w:multiLevelType w:val="hybridMultilevel"/>
    <w:tmpl w:val="C42A070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69DD0397"/>
    <w:multiLevelType w:val="hybridMultilevel"/>
    <w:tmpl w:val="C93235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C955086"/>
    <w:multiLevelType w:val="hybridMultilevel"/>
    <w:tmpl w:val="F12CA6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81101A"/>
    <w:multiLevelType w:val="hybridMultilevel"/>
    <w:tmpl w:val="F07C86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7135203">
    <w:abstractNumId w:val="14"/>
  </w:num>
  <w:num w:numId="2" w16cid:durableId="616451639">
    <w:abstractNumId w:val="1"/>
  </w:num>
  <w:num w:numId="3" w16cid:durableId="1046489972">
    <w:abstractNumId w:val="12"/>
  </w:num>
  <w:num w:numId="4" w16cid:durableId="132066614">
    <w:abstractNumId w:val="3"/>
    <w:lvlOverride w:ilvl="0">
      <w:startOverride w:val="1"/>
    </w:lvlOverride>
  </w:num>
  <w:num w:numId="5" w16cid:durableId="1293558856">
    <w:abstractNumId w:val="3"/>
  </w:num>
  <w:num w:numId="6" w16cid:durableId="859392792">
    <w:abstractNumId w:val="3"/>
    <w:lvlOverride w:ilvl="0">
      <w:startOverride w:val="1"/>
    </w:lvlOverride>
  </w:num>
  <w:num w:numId="7" w16cid:durableId="1467237169">
    <w:abstractNumId w:val="4"/>
  </w:num>
  <w:num w:numId="8" w16cid:durableId="218516533">
    <w:abstractNumId w:val="23"/>
  </w:num>
  <w:num w:numId="9" w16cid:durableId="560410879">
    <w:abstractNumId w:val="7"/>
  </w:num>
  <w:num w:numId="10" w16cid:durableId="1882864036">
    <w:abstractNumId w:val="13"/>
  </w:num>
  <w:num w:numId="11" w16cid:durableId="252591785">
    <w:abstractNumId w:val="20"/>
  </w:num>
  <w:num w:numId="12" w16cid:durableId="1421217352">
    <w:abstractNumId w:val="19"/>
  </w:num>
  <w:num w:numId="13" w16cid:durableId="1390498759">
    <w:abstractNumId w:val="10"/>
  </w:num>
  <w:num w:numId="14" w16cid:durableId="945036074">
    <w:abstractNumId w:val="6"/>
  </w:num>
  <w:num w:numId="15" w16cid:durableId="1309288318">
    <w:abstractNumId w:val="9"/>
  </w:num>
  <w:num w:numId="16" w16cid:durableId="1253734823">
    <w:abstractNumId w:val="0"/>
  </w:num>
  <w:num w:numId="17" w16cid:durableId="1783839468">
    <w:abstractNumId w:val="21"/>
  </w:num>
  <w:num w:numId="18" w16cid:durableId="900094323">
    <w:abstractNumId w:val="15"/>
  </w:num>
  <w:num w:numId="19" w16cid:durableId="561210628">
    <w:abstractNumId w:val="16"/>
  </w:num>
  <w:num w:numId="20" w16cid:durableId="876963378">
    <w:abstractNumId w:val="22"/>
  </w:num>
  <w:num w:numId="21" w16cid:durableId="1145317356">
    <w:abstractNumId w:val="11"/>
  </w:num>
  <w:num w:numId="22" w16cid:durableId="743836999">
    <w:abstractNumId w:val="5"/>
  </w:num>
  <w:num w:numId="23" w16cid:durableId="919367173">
    <w:abstractNumId w:val="8"/>
  </w:num>
  <w:num w:numId="24" w16cid:durableId="315913010">
    <w:abstractNumId w:val="17"/>
  </w:num>
  <w:num w:numId="25" w16cid:durableId="222717916">
    <w:abstractNumId w:val="3"/>
  </w:num>
  <w:num w:numId="26" w16cid:durableId="1703434324">
    <w:abstractNumId w:val="18"/>
  </w:num>
  <w:num w:numId="27" w16cid:durableId="20992439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11"/>
    <w:rsid w:val="00000BDC"/>
    <w:rsid w:val="00000FA5"/>
    <w:rsid w:val="00001439"/>
    <w:rsid w:val="00001CD5"/>
    <w:rsid w:val="00001E2A"/>
    <w:rsid w:val="00001ECE"/>
    <w:rsid w:val="0000250F"/>
    <w:rsid w:val="0000259C"/>
    <w:rsid w:val="00002AA6"/>
    <w:rsid w:val="0000326C"/>
    <w:rsid w:val="00003DFC"/>
    <w:rsid w:val="00004781"/>
    <w:rsid w:val="00004B6B"/>
    <w:rsid w:val="000056D8"/>
    <w:rsid w:val="00005777"/>
    <w:rsid w:val="00005C53"/>
    <w:rsid w:val="00006C8F"/>
    <w:rsid w:val="00007451"/>
    <w:rsid w:val="000077C6"/>
    <w:rsid w:val="00010001"/>
    <w:rsid w:val="00010D7C"/>
    <w:rsid w:val="00010DD6"/>
    <w:rsid w:val="00010E04"/>
    <w:rsid w:val="00011EE1"/>
    <w:rsid w:val="000120CA"/>
    <w:rsid w:val="00012557"/>
    <w:rsid w:val="00012E92"/>
    <w:rsid w:val="000134F4"/>
    <w:rsid w:val="000147F1"/>
    <w:rsid w:val="00014817"/>
    <w:rsid w:val="00014C49"/>
    <w:rsid w:val="00014CE6"/>
    <w:rsid w:val="00014D25"/>
    <w:rsid w:val="00014E12"/>
    <w:rsid w:val="0001544E"/>
    <w:rsid w:val="00015D3C"/>
    <w:rsid w:val="0001689F"/>
    <w:rsid w:val="00016C04"/>
    <w:rsid w:val="0001733E"/>
    <w:rsid w:val="00017937"/>
    <w:rsid w:val="00017F7C"/>
    <w:rsid w:val="0002270D"/>
    <w:rsid w:val="00022BAD"/>
    <w:rsid w:val="00022EDB"/>
    <w:rsid w:val="0002375E"/>
    <w:rsid w:val="00024052"/>
    <w:rsid w:val="0002488B"/>
    <w:rsid w:val="00024F59"/>
    <w:rsid w:val="00025551"/>
    <w:rsid w:val="0002616A"/>
    <w:rsid w:val="000265F7"/>
    <w:rsid w:val="0002673A"/>
    <w:rsid w:val="000267CB"/>
    <w:rsid w:val="00026B9D"/>
    <w:rsid w:val="00026D0D"/>
    <w:rsid w:val="00026F9A"/>
    <w:rsid w:val="000274AF"/>
    <w:rsid w:val="00027BC8"/>
    <w:rsid w:val="00031389"/>
    <w:rsid w:val="000313AA"/>
    <w:rsid w:val="00031F29"/>
    <w:rsid w:val="00033A4C"/>
    <w:rsid w:val="00034249"/>
    <w:rsid w:val="000344BF"/>
    <w:rsid w:val="000344DC"/>
    <w:rsid w:val="00034A36"/>
    <w:rsid w:val="00035586"/>
    <w:rsid w:val="000356C4"/>
    <w:rsid w:val="00035B9C"/>
    <w:rsid w:val="0003621F"/>
    <w:rsid w:val="00036370"/>
    <w:rsid w:val="00036700"/>
    <w:rsid w:val="00036C35"/>
    <w:rsid w:val="00036F57"/>
    <w:rsid w:val="00037C89"/>
    <w:rsid w:val="000401DA"/>
    <w:rsid w:val="00040ADD"/>
    <w:rsid w:val="00040B16"/>
    <w:rsid w:val="000414A1"/>
    <w:rsid w:val="00041538"/>
    <w:rsid w:val="0004189B"/>
    <w:rsid w:val="0004210B"/>
    <w:rsid w:val="000422DD"/>
    <w:rsid w:val="00042C0B"/>
    <w:rsid w:val="00042D39"/>
    <w:rsid w:val="000434E4"/>
    <w:rsid w:val="00044364"/>
    <w:rsid w:val="00044381"/>
    <w:rsid w:val="000444D7"/>
    <w:rsid w:val="00045523"/>
    <w:rsid w:val="000461EC"/>
    <w:rsid w:val="00046B76"/>
    <w:rsid w:val="00046D30"/>
    <w:rsid w:val="00046ED0"/>
    <w:rsid w:val="00046F54"/>
    <w:rsid w:val="000471D6"/>
    <w:rsid w:val="0004729F"/>
    <w:rsid w:val="00047C64"/>
    <w:rsid w:val="00047C70"/>
    <w:rsid w:val="00050542"/>
    <w:rsid w:val="0005162E"/>
    <w:rsid w:val="000517B0"/>
    <w:rsid w:val="00051D5D"/>
    <w:rsid w:val="00051E03"/>
    <w:rsid w:val="000520EC"/>
    <w:rsid w:val="000522F2"/>
    <w:rsid w:val="00052829"/>
    <w:rsid w:val="00052E81"/>
    <w:rsid w:val="00052F80"/>
    <w:rsid w:val="00053005"/>
    <w:rsid w:val="0005314A"/>
    <w:rsid w:val="0005437E"/>
    <w:rsid w:val="00054741"/>
    <w:rsid w:val="00054B93"/>
    <w:rsid w:val="00054C9D"/>
    <w:rsid w:val="00054CE5"/>
    <w:rsid w:val="000554B1"/>
    <w:rsid w:val="0005584B"/>
    <w:rsid w:val="00055E2A"/>
    <w:rsid w:val="00056103"/>
    <w:rsid w:val="00056333"/>
    <w:rsid w:val="00057AB8"/>
    <w:rsid w:val="0006129E"/>
    <w:rsid w:val="00061415"/>
    <w:rsid w:val="00061C48"/>
    <w:rsid w:val="00061CFC"/>
    <w:rsid w:val="00061D80"/>
    <w:rsid w:val="000622DB"/>
    <w:rsid w:val="00062BDB"/>
    <w:rsid w:val="00062DA4"/>
    <w:rsid w:val="00062E8B"/>
    <w:rsid w:val="00063804"/>
    <w:rsid w:val="0006499D"/>
    <w:rsid w:val="00064B02"/>
    <w:rsid w:val="000658BA"/>
    <w:rsid w:val="00065AA7"/>
    <w:rsid w:val="000661E8"/>
    <w:rsid w:val="0006659F"/>
    <w:rsid w:val="00066B1A"/>
    <w:rsid w:val="00066BF4"/>
    <w:rsid w:val="00067DA8"/>
    <w:rsid w:val="00070178"/>
    <w:rsid w:val="000716A1"/>
    <w:rsid w:val="000719E1"/>
    <w:rsid w:val="00071A88"/>
    <w:rsid w:val="00072094"/>
    <w:rsid w:val="000721C2"/>
    <w:rsid w:val="000722BD"/>
    <w:rsid w:val="0007247D"/>
    <w:rsid w:val="0007281D"/>
    <w:rsid w:val="00072E19"/>
    <w:rsid w:val="000741F6"/>
    <w:rsid w:val="000749FA"/>
    <w:rsid w:val="00076776"/>
    <w:rsid w:val="00077AA3"/>
    <w:rsid w:val="00080034"/>
    <w:rsid w:val="00080453"/>
    <w:rsid w:val="000804E6"/>
    <w:rsid w:val="0008071F"/>
    <w:rsid w:val="000814AB"/>
    <w:rsid w:val="000814EA"/>
    <w:rsid w:val="00081610"/>
    <w:rsid w:val="00081B23"/>
    <w:rsid w:val="00081CB6"/>
    <w:rsid w:val="00081EC3"/>
    <w:rsid w:val="000823FA"/>
    <w:rsid w:val="00082912"/>
    <w:rsid w:val="00083169"/>
    <w:rsid w:val="00083335"/>
    <w:rsid w:val="00083645"/>
    <w:rsid w:val="00083AC2"/>
    <w:rsid w:val="000844F6"/>
    <w:rsid w:val="00084D69"/>
    <w:rsid w:val="00084F59"/>
    <w:rsid w:val="0008509C"/>
    <w:rsid w:val="0008522E"/>
    <w:rsid w:val="00086424"/>
    <w:rsid w:val="000864C7"/>
    <w:rsid w:val="0008687C"/>
    <w:rsid w:val="000869D1"/>
    <w:rsid w:val="00086BA8"/>
    <w:rsid w:val="000870B8"/>
    <w:rsid w:val="00087346"/>
    <w:rsid w:val="00087583"/>
    <w:rsid w:val="000906AD"/>
    <w:rsid w:val="00091902"/>
    <w:rsid w:val="00091A14"/>
    <w:rsid w:val="0009279D"/>
    <w:rsid w:val="00092BE6"/>
    <w:rsid w:val="0009394C"/>
    <w:rsid w:val="00093CF2"/>
    <w:rsid w:val="0009410D"/>
    <w:rsid w:val="0009453E"/>
    <w:rsid w:val="000949C5"/>
    <w:rsid w:val="00094AEB"/>
    <w:rsid w:val="00095032"/>
    <w:rsid w:val="00095475"/>
    <w:rsid w:val="00095651"/>
    <w:rsid w:val="00095E5E"/>
    <w:rsid w:val="00095F49"/>
    <w:rsid w:val="00096173"/>
    <w:rsid w:val="00096F04"/>
    <w:rsid w:val="00097222"/>
    <w:rsid w:val="000972AF"/>
    <w:rsid w:val="000973AC"/>
    <w:rsid w:val="000975A1"/>
    <w:rsid w:val="000977C7"/>
    <w:rsid w:val="0009789F"/>
    <w:rsid w:val="00097B73"/>
    <w:rsid w:val="00097CB2"/>
    <w:rsid w:val="00097EE0"/>
    <w:rsid w:val="000A0412"/>
    <w:rsid w:val="000A0692"/>
    <w:rsid w:val="000A0E6D"/>
    <w:rsid w:val="000A174A"/>
    <w:rsid w:val="000A2786"/>
    <w:rsid w:val="000A2EA8"/>
    <w:rsid w:val="000A33D7"/>
    <w:rsid w:val="000A35BF"/>
    <w:rsid w:val="000A437C"/>
    <w:rsid w:val="000A474F"/>
    <w:rsid w:val="000A5016"/>
    <w:rsid w:val="000A52E3"/>
    <w:rsid w:val="000A5819"/>
    <w:rsid w:val="000A616F"/>
    <w:rsid w:val="000A635C"/>
    <w:rsid w:val="000A6959"/>
    <w:rsid w:val="000A6FEB"/>
    <w:rsid w:val="000A73F2"/>
    <w:rsid w:val="000A7C73"/>
    <w:rsid w:val="000B05CB"/>
    <w:rsid w:val="000B05E8"/>
    <w:rsid w:val="000B09CE"/>
    <w:rsid w:val="000B1319"/>
    <w:rsid w:val="000B1C94"/>
    <w:rsid w:val="000B1E1D"/>
    <w:rsid w:val="000B1F71"/>
    <w:rsid w:val="000B291E"/>
    <w:rsid w:val="000B49E9"/>
    <w:rsid w:val="000B5A36"/>
    <w:rsid w:val="000B5D46"/>
    <w:rsid w:val="000B7233"/>
    <w:rsid w:val="000B729C"/>
    <w:rsid w:val="000B7A2A"/>
    <w:rsid w:val="000B7C63"/>
    <w:rsid w:val="000C0195"/>
    <w:rsid w:val="000C0DAB"/>
    <w:rsid w:val="000C10C2"/>
    <w:rsid w:val="000C1659"/>
    <w:rsid w:val="000C1C3D"/>
    <w:rsid w:val="000C23FD"/>
    <w:rsid w:val="000C24C7"/>
    <w:rsid w:val="000C2579"/>
    <w:rsid w:val="000C2A8E"/>
    <w:rsid w:val="000C2AD4"/>
    <w:rsid w:val="000C3117"/>
    <w:rsid w:val="000C37AC"/>
    <w:rsid w:val="000C383C"/>
    <w:rsid w:val="000C4A77"/>
    <w:rsid w:val="000C52A8"/>
    <w:rsid w:val="000C5407"/>
    <w:rsid w:val="000C572C"/>
    <w:rsid w:val="000C5A83"/>
    <w:rsid w:val="000C5E97"/>
    <w:rsid w:val="000C5F73"/>
    <w:rsid w:val="000C6120"/>
    <w:rsid w:val="000C6640"/>
    <w:rsid w:val="000C6C9B"/>
    <w:rsid w:val="000D1344"/>
    <w:rsid w:val="000D2AA9"/>
    <w:rsid w:val="000D2B77"/>
    <w:rsid w:val="000D2BA0"/>
    <w:rsid w:val="000D2D76"/>
    <w:rsid w:val="000D2DE1"/>
    <w:rsid w:val="000D32EA"/>
    <w:rsid w:val="000D384A"/>
    <w:rsid w:val="000D3C3A"/>
    <w:rsid w:val="000D4160"/>
    <w:rsid w:val="000D4911"/>
    <w:rsid w:val="000D4AD6"/>
    <w:rsid w:val="000D5160"/>
    <w:rsid w:val="000D525A"/>
    <w:rsid w:val="000D5C66"/>
    <w:rsid w:val="000D66D8"/>
    <w:rsid w:val="000D68E6"/>
    <w:rsid w:val="000D7032"/>
    <w:rsid w:val="000D72B0"/>
    <w:rsid w:val="000D7581"/>
    <w:rsid w:val="000D76E0"/>
    <w:rsid w:val="000E0278"/>
    <w:rsid w:val="000E0739"/>
    <w:rsid w:val="000E0979"/>
    <w:rsid w:val="000E0BE4"/>
    <w:rsid w:val="000E0F08"/>
    <w:rsid w:val="000E1310"/>
    <w:rsid w:val="000E1418"/>
    <w:rsid w:val="000E2309"/>
    <w:rsid w:val="000E291D"/>
    <w:rsid w:val="000E3CA5"/>
    <w:rsid w:val="000E468D"/>
    <w:rsid w:val="000E4830"/>
    <w:rsid w:val="000E5014"/>
    <w:rsid w:val="000E50C8"/>
    <w:rsid w:val="000E5147"/>
    <w:rsid w:val="000E699B"/>
    <w:rsid w:val="000E6D27"/>
    <w:rsid w:val="000E7069"/>
    <w:rsid w:val="000E7558"/>
    <w:rsid w:val="000F0615"/>
    <w:rsid w:val="000F12A7"/>
    <w:rsid w:val="000F1E05"/>
    <w:rsid w:val="000F1E82"/>
    <w:rsid w:val="000F22EB"/>
    <w:rsid w:val="000F25DB"/>
    <w:rsid w:val="000F289D"/>
    <w:rsid w:val="000F2A52"/>
    <w:rsid w:val="000F3180"/>
    <w:rsid w:val="000F3DAF"/>
    <w:rsid w:val="000F4A0C"/>
    <w:rsid w:val="000F5439"/>
    <w:rsid w:val="000F61DE"/>
    <w:rsid w:val="000F6C40"/>
    <w:rsid w:val="001016C0"/>
    <w:rsid w:val="0010173C"/>
    <w:rsid w:val="001020CD"/>
    <w:rsid w:val="001027C1"/>
    <w:rsid w:val="001031E7"/>
    <w:rsid w:val="00103450"/>
    <w:rsid w:val="0010365C"/>
    <w:rsid w:val="001036A5"/>
    <w:rsid w:val="00103A8A"/>
    <w:rsid w:val="0010497B"/>
    <w:rsid w:val="00104C6A"/>
    <w:rsid w:val="00104ECD"/>
    <w:rsid w:val="001050B0"/>
    <w:rsid w:val="00105424"/>
    <w:rsid w:val="00105652"/>
    <w:rsid w:val="001056A1"/>
    <w:rsid w:val="00105B9C"/>
    <w:rsid w:val="0010601C"/>
    <w:rsid w:val="00106368"/>
    <w:rsid w:val="00106667"/>
    <w:rsid w:val="001075EA"/>
    <w:rsid w:val="00107C64"/>
    <w:rsid w:val="00107FEC"/>
    <w:rsid w:val="00110A64"/>
    <w:rsid w:val="00110AE0"/>
    <w:rsid w:val="001111FC"/>
    <w:rsid w:val="001113D4"/>
    <w:rsid w:val="00111E79"/>
    <w:rsid w:val="00112311"/>
    <w:rsid w:val="00112840"/>
    <w:rsid w:val="001132AA"/>
    <w:rsid w:val="0011342E"/>
    <w:rsid w:val="00113708"/>
    <w:rsid w:val="0011391E"/>
    <w:rsid w:val="00113CC3"/>
    <w:rsid w:val="00113E60"/>
    <w:rsid w:val="001156BA"/>
    <w:rsid w:val="00115EBF"/>
    <w:rsid w:val="00116782"/>
    <w:rsid w:val="00116B53"/>
    <w:rsid w:val="00117206"/>
    <w:rsid w:val="00120534"/>
    <w:rsid w:val="0012063F"/>
    <w:rsid w:val="00120A34"/>
    <w:rsid w:val="00120AC9"/>
    <w:rsid w:val="001216E0"/>
    <w:rsid w:val="00121C06"/>
    <w:rsid w:val="00121DB9"/>
    <w:rsid w:val="001224D8"/>
    <w:rsid w:val="00122EC6"/>
    <w:rsid w:val="001232CE"/>
    <w:rsid w:val="00123807"/>
    <w:rsid w:val="00123844"/>
    <w:rsid w:val="00126114"/>
    <w:rsid w:val="00126B55"/>
    <w:rsid w:val="00126C01"/>
    <w:rsid w:val="00126D19"/>
    <w:rsid w:val="00126D9C"/>
    <w:rsid w:val="00127B2E"/>
    <w:rsid w:val="00127D72"/>
    <w:rsid w:val="00127E09"/>
    <w:rsid w:val="001308E7"/>
    <w:rsid w:val="00130B65"/>
    <w:rsid w:val="00130B6E"/>
    <w:rsid w:val="00130F53"/>
    <w:rsid w:val="00131121"/>
    <w:rsid w:val="00131208"/>
    <w:rsid w:val="00131742"/>
    <w:rsid w:val="0013192A"/>
    <w:rsid w:val="00131AB6"/>
    <w:rsid w:val="00131E6B"/>
    <w:rsid w:val="0013398C"/>
    <w:rsid w:val="001341F2"/>
    <w:rsid w:val="001342CF"/>
    <w:rsid w:val="00134F41"/>
    <w:rsid w:val="00135DED"/>
    <w:rsid w:val="001362C9"/>
    <w:rsid w:val="0013668F"/>
    <w:rsid w:val="001366A1"/>
    <w:rsid w:val="00137257"/>
    <w:rsid w:val="0014006E"/>
    <w:rsid w:val="00140B1A"/>
    <w:rsid w:val="00140B72"/>
    <w:rsid w:val="00140CE7"/>
    <w:rsid w:val="00140F4B"/>
    <w:rsid w:val="00141F66"/>
    <w:rsid w:val="00142E2C"/>
    <w:rsid w:val="001437C0"/>
    <w:rsid w:val="001438A8"/>
    <w:rsid w:val="00143904"/>
    <w:rsid w:val="00144CFC"/>
    <w:rsid w:val="00144E70"/>
    <w:rsid w:val="00145324"/>
    <w:rsid w:val="00145DF8"/>
    <w:rsid w:val="00146C40"/>
    <w:rsid w:val="001472EF"/>
    <w:rsid w:val="00147A39"/>
    <w:rsid w:val="00147AE5"/>
    <w:rsid w:val="001500E6"/>
    <w:rsid w:val="00150BFD"/>
    <w:rsid w:val="00151040"/>
    <w:rsid w:val="001510C5"/>
    <w:rsid w:val="00151951"/>
    <w:rsid w:val="001521C9"/>
    <w:rsid w:val="0015338D"/>
    <w:rsid w:val="0015357B"/>
    <w:rsid w:val="001536F5"/>
    <w:rsid w:val="00153C3E"/>
    <w:rsid w:val="00153E5C"/>
    <w:rsid w:val="00154136"/>
    <w:rsid w:val="00154847"/>
    <w:rsid w:val="00154D89"/>
    <w:rsid w:val="00155D66"/>
    <w:rsid w:val="00156023"/>
    <w:rsid w:val="0015629E"/>
    <w:rsid w:val="00156380"/>
    <w:rsid w:val="00156532"/>
    <w:rsid w:val="001567A3"/>
    <w:rsid w:val="00157CA6"/>
    <w:rsid w:val="001600EB"/>
    <w:rsid w:val="00160E44"/>
    <w:rsid w:val="00160FDE"/>
    <w:rsid w:val="00161674"/>
    <w:rsid w:val="001616E7"/>
    <w:rsid w:val="00161766"/>
    <w:rsid w:val="00161858"/>
    <w:rsid w:val="00161D95"/>
    <w:rsid w:val="001627D4"/>
    <w:rsid w:val="0016285E"/>
    <w:rsid w:val="00162F2E"/>
    <w:rsid w:val="0016331C"/>
    <w:rsid w:val="001634B1"/>
    <w:rsid w:val="001636B2"/>
    <w:rsid w:val="00163994"/>
    <w:rsid w:val="00163D7A"/>
    <w:rsid w:val="00165123"/>
    <w:rsid w:val="00165274"/>
    <w:rsid w:val="00165D22"/>
    <w:rsid w:val="00166002"/>
    <w:rsid w:val="00166366"/>
    <w:rsid w:val="00166845"/>
    <w:rsid w:val="00166C44"/>
    <w:rsid w:val="0016753F"/>
    <w:rsid w:val="00170C12"/>
    <w:rsid w:val="00171643"/>
    <w:rsid w:val="00171A17"/>
    <w:rsid w:val="00171B06"/>
    <w:rsid w:val="00173451"/>
    <w:rsid w:val="00174336"/>
    <w:rsid w:val="00174498"/>
    <w:rsid w:val="00174504"/>
    <w:rsid w:val="00174715"/>
    <w:rsid w:val="00174A60"/>
    <w:rsid w:val="00174AFD"/>
    <w:rsid w:val="00175C54"/>
    <w:rsid w:val="00176EC8"/>
    <w:rsid w:val="0017709A"/>
    <w:rsid w:val="00177C21"/>
    <w:rsid w:val="00180058"/>
    <w:rsid w:val="00180546"/>
    <w:rsid w:val="00180586"/>
    <w:rsid w:val="001809CB"/>
    <w:rsid w:val="00180C93"/>
    <w:rsid w:val="00180D1E"/>
    <w:rsid w:val="001819A8"/>
    <w:rsid w:val="00181C24"/>
    <w:rsid w:val="00182D7D"/>
    <w:rsid w:val="00183816"/>
    <w:rsid w:val="00183BAC"/>
    <w:rsid w:val="0018452B"/>
    <w:rsid w:val="00184BD4"/>
    <w:rsid w:val="001851BD"/>
    <w:rsid w:val="00185599"/>
    <w:rsid w:val="00185661"/>
    <w:rsid w:val="00185867"/>
    <w:rsid w:val="0018616B"/>
    <w:rsid w:val="0018702A"/>
    <w:rsid w:val="00187610"/>
    <w:rsid w:val="00190B0D"/>
    <w:rsid w:val="00190CFD"/>
    <w:rsid w:val="00191B3C"/>
    <w:rsid w:val="001922A9"/>
    <w:rsid w:val="00192D5D"/>
    <w:rsid w:val="001937F3"/>
    <w:rsid w:val="00193808"/>
    <w:rsid w:val="001940C9"/>
    <w:rsid w:val="00194A57"/>
    <w:rsid w:val="00195354"/>
    <w:rsid w:val="00195725"/>
    <w:rsid w:val="001958F6"/>
    <w:rsid w:val="00195C7F"/>
    <w:rsid w:val="00195D8A"/>
    <w:rsid w:val="0019605A"/>
    <w:rsid w:val="00196271"/>
    <w:rsid w:val="001969F7"/>
    <w:rsid w:val="00196ACE"/>
    <w:rsid w:val="001A0200"/>
    <w:rsid w:val="001A03F7"/>
    <w:rsid w:val="001A1007"/>
    <w:rsid w:val="001A23AD"/>
    <w:rsid w:val="001A285D"/>
    <w:rsid w:val="001A2A67"/>
    <w:rsid w:val="001A2F54"/>
    <w:rsid w:val="001A338D"/>
    <w:rsid w:val="001A38AD"/>
    <w:rsid w:val="001A3A18"/>
    <w:rsid w:val="001A3AB7"/>
    <w:rsid w:val="001A3B69"/>
    <w:rsid w:val="001A3B6E"/>
    <w:rsid w:val="001A3FAC"/>
    <w:rsid w:val="001A3FFC"/>
    <w:rsid w:val="001A4C6A"/>
    <w:rsid w:val="001A4D50"/>
    <w:rsid w:val="001A5064"/>
    <w:rsid w:val="001A5638"/>
    <w:rsid w:val="001A5868"/>
    <w:rsid w:val="001A5A6D"/>
    <w:rsid w:val="001A620B"/>
    <w:rsid w:val="001A6B21"/>
    <w:rsid w:val="001A6C69"/>
    <w:rsid w:val="001A74D6"/>
    <w:rsid w:val="001B045A"/>
    <w:rsid w:val="001B04C2"/>
    <w:rsid w:val="001B142C"/>
    <w:rsid w:val="001B1A30"/>
    <w:rsid w:val="001B21DC"/>
    <w:rsid w:val="001B2482"/>
    <w:rsid w:val="001B25B3"/>
    <w:rsid w:val="001B33A2"/>
    <w:rsid w:val="001B3A71"/>
    <w:rsid w:val="001B3D7C"/>
    <w:rsid w:val="001B3E4D"/>
    <w:rsid w:val="001B4276"/>
    <w:rsid w:val="001B464D"/>
    <w:rsid w:val="001B58C2"/>
    <w:rsid w:val="001B5F0F"/>
    <w:rsid w:val="001B5F40"/>
    <w:rsid w:val="001B62D2"/>
    <w:rsid w:val="001B6CF8"/>
    <w:rsid w:val="001B763A"/>
    <w:rsid w:val="001B7669"/>
    <w:rsid w:val="001B766B"/>
    <w:rsid w:val="001B78E2"/>
    <w:rsid w:val="001B7DC3"/>
    <w:rsid w:val="001C0A8E"/>
    <w:rsid w:val="001C1229"/>
    <w:rsid w:val="001C1791"/>
    <w:rsid w:val="001C2109"/>
    <w:rsid w:val="001C32B2"/>
    <w:rsid w:val="001C33EB"/>
    <w:rsid w:val="001C3578"/>
    <w:rsid w:val="001C3DD1"/>
    <w:rsid w:val="001C4287"/>
    <w:rsid w:val="001C4460"/>
    <w:rsid w:val="001C4E96"/>
    <w:rsid w:val="001C5534"/>
    <w:rsid w:val="001C59BD"/>
    <w:rsid w:val="001C5C52"/>
    <w:rsid w:val="001C6208"/>
    <w:rsid w:val="001C6C89"/>
    <w:rsid w:val="001C6DC6"/>
    <w:rsid w:val="001C7035"/>
    <w:rsid w:val="001C7C4C"/>
    <w:rsid w:val="001D0991"/>
    <w:rsid w:val="001D1260"/>
    <w:rsid w:val="001D174E"/>
    <w:rsid w:val="001D1FA5"/>
    <w:rsid w:val="001D2827"/>
    <w:rsid w:val="001D3DA5"/>
    <w:rsid w:val="001D4602"/>
    <w:rsid w:val="001D4E9B"/>
    <w:rsid w:val="001D511E"/>
    <w:rsid w:val="001D67B2"/>
    <w:rsid w:val="001D687E"/>
    <w:rsid w:val="001D6949"/>
    <w:rsid w:val="001D6CEF"/>
    <w:rsid w:val="001D6E40"/>
    <w:rsid w:val="001D6F60"/>
    <w:rsid w:val="001D72E3"/>
    <w:rsid w:val="001D7AF7"/>
    <w:rsid w:val="001D7E09"/>
    <w:rsid w:val="001D7EC6"/>
    <w:rsid w:val="001E0485"/>
    <w:rsid w:val="001E04BA"/>
    <w:rsid w:val="001E074A"/>
    <w:rsid w:val="001E0FB3"/>
    <w:rsid w:val="001E15A6"/>
    <w:rsid w:val="001E16EE"/>
    <w:rsid w:val="001E25F9"/>
    <w:rsid w:val="001E2A42"/>
    <w:rsid w:val="001E2CEF"/>
    <w:rsid w:val="001E374E"/>
    <w:rsid w:val="001E3912"/>
    <w:rsid w:val="001E4858"/>
    <w:rsid w:val="001E5699"/>
    <w:rsid w:val="001E5B59"/>
    <w:rsid w:val="001E5E01"/>
    <w:rsid w:val="001E659E"/>
    <w:rsid w:val="001F0446"/>
    <w:rsid w:val="001F06BB"/>
    <w:rsid w:val="001F09AC"/>
    <w:rsid w:val="001F0D3F"/>
    <w:rsid w:val="001F1613"/>
    <w:rsid w:val="001F1AAD"/>
    <w:rsid w:val="001F22C7"/>
    <w:rsid w:val="001F2346"/>
    <w:rsid w:val="001F2371"/>
    <w:rsid w:val="001F27F1"/>
    <w:rsid w:val="001F2E89"/>
    <w:rsid w:val="001F3410"/>
    <w:rsid w:val="001F3643"/>
    <w:rsid w:val="001F3C6B"/>
    <w:rsid w:val="001F4445"/>
    <w:rsid w:val="001F53E4"/>
    <w:rsid w:val="001F558B"/>
    <w:rsid w:val="001F5835"/>
    <w:rsid w:val="001F5A12"/>
    <w:rsid w:val="001F6362"/>
    <w:rsid w:val="001F6663"/>
    <w:rsid w:val="001F7967"/>
    <w:rsid w:val="001F7C10"/>
    <w:rsid w:val="0020102E"/>
    <w:rsid w:val="00201833"/>
    <w:rsid w:val="00201E91"/>
    <w:rsid w:val="0020288C"/>
    <w:rsid w:val="00204474"/>
    <w:rsid w:val="002046FF"/>
    <w:rsid w:val="002048CD"/>
    <w:rsid w:val="00204A56"/>
    <w:rsid w:val="0020552B"/>
    <w:rsid w:val="00205AD9"/>
    <w:rsid w:val="0020608F"/>
    <w:rsid w:val="002062E4"/>
    <w:rsid w:val="00206B63"/>
    <w:rsid w:val="00207C67"/>
    <w:rsid w:val="00207EE2"/>
    <w:rsid w:val="002100BB"/>
    <w:rsid w:val="00210771"/>
    <w:rsid w:val="00210862"/>
    <w:rsid w:val="00211036"/>
    <w:rsid w:val="002117A1"/>
    <w:rsid w:val="00211C50"/>
    <w:rsid w:val="00211DA0"/>
    <w:rsid w:val="00212622"/>
    <w:rsid w:val="00212B70"/>
    <w:rsid w:val="00212FD8"/>
    <w:rsid w:val="0021303E"/>
    <w:rsid w:val="0021327B"/>
    <w:rsid w:val="00213499"/>
    <w:rsid w:val="00214326"/>
    <w:rsid w:val="00214C06"/>
    <w:rsid w:val="00214D16"/>
    <w:rsid w:val="00214D87"/>
    <w:rsid w:val="00215EB7"/>
    <w:rsid w:val="0021653C"/>
    <w:rsid w:val="00216C5B"/>
    <w:rsid w:val="00217876"/>
    <w:rsid w:val="002179E6"/>
    <w:rsid w:val="00217E79"/>
    <w:rsid w:val="00217F10"/>
    <w:rsid w:val="00220325"/>
    <w:rsid w:val="00220354"/>
    <w:rsid w:val="00220506"/>
    <w:rsid w:val="00221D7B"/>
    <w:rsid w:val="002223F5"/>
    <w:rsid w:val="00222958"/>
    <w:rsid w:val="00222A87"/>
    <w:rsid w:val="00222BDF"/>
    <w:rsid w:val="00222F7E"/>
    <w:rsid w:val="002231A4"/>
    <w:rsid w:val="0022415D"/>
    <w:rsid w:val="0022475E"/>
    <w:rsid w:val="00224D04"/>
    <w:rsid w:val="0022513A"/>
    <w:rsid w:val="00225661"/>
    <w:rsid w:val="00225754"/>
    <w:rsid w:val="00225B57"/>
    <w:rsid w:val="00226424"/>
    <w:rsid w:val="00226AB5"/>
    <w:rsid w:val="00227044"/>
    <w:rsid w:val="002270CF"/>
    <w:rsid w:val="002273CE"/>
    <w:rsid w:val="00227744"/>
    <w:rsid w:val="00227E9A"/>
    <w:rsid w:val="00227EF4"/>
    <w:rsid w:val="002301BE"/>
    <w:rsid w:val="002306DF"/>
    <w:rsid w:val="00230A85"/>
    <w:rsid w:val="00230DE0"/>
    <w:rsid w:val="00231241"/>
    <w:rsid w:val="00231406"/>
    <w:rsid w:val="002318BC"/>
    <w:rsid w:val="00231F36"/>
    <w:rsid w:val="00232116"/>
    <w:rsid w:val="002330CD"/>
    <w:rsid w:val="00233DF6"/>
    <w:rsid w:val="00233EBA"/>
    <w:rsid w:val="00234002"/>
    <w:rsid w:val="00234CCD"/>
    <w:rsid w:val="00234E15"/>
    <w:rsid w:val="002351ED"/>
    <w:rsid w:val="002358B0"/>
    <w:rsid w:val="00235EB7"/>
    <w:rsid w:val="00236005"/>
    <w:rsid w:val="00236825"/>
    <w:rsid w:val="00236EE1"/>
    <w:rsid w:val="00237321"/>
    <w:rsid w:val="0023C1F6"/>
    <w:rsid w:val="0024007E"/>
    <w:rsid w:val="00240197"/>
    <w:rsid w:val="002409D2"/>
    <w:rsid w:val="002410AE"/>
    <w:rsid w:val="0024155A"/>
    <w:rsid w:val="00241D8A"/>
    <w:rsid w:val="00242194"/>
    <w:rsid w:val="00242672"/>
    <w:rsid w:val="002430EB"/>
    <w:rsid w:val="00243917"/>
    <w:rsid w:val="002444F1"/>
    <w:rsid w:val="00244A9B"/>
    <w:rsid w:val="00244BFA"/>
    <w:rsid w:val="00245C62"/>
    <w:rsid w:val="00245EDE"/>
    <w:rsid w:val="002462DE"/>
    <w:rsid w:val="0024666F"/>
    <w:rsid w:val="0024712E"/>
    <w:rsid w:val="00251143"/>
    <w:rsid w:val="00251378"/>
    <w:rsid w:val="00251965"/>
    <w:rsid w:val="00251D3A"/>
    <w:rsid w:val="00252467"/>
    <w:rsid w:val="0025263A"/>
    <w:rsid w:val="00252F12"/>
    <w:rsid w:val="00252FEB"/>
    <w:rsid w:val="0025377A"/>
    <w:rsid w:val="00253E28"/>
    <w:rsid w:val="0025458D"/>
    <w:rsid w:val="0025494A"/>
    <w:rsid w:val="002550D2"/>
    <w:rsid w:val="002561B4"/>
    <w:rsid w:val="002564D6"/>
    <w:rsid w:val="00256BD1"/>
    <w:rsid w:val="00256ED4"/>
    <w:rsid w:val="002575AD"/>
    <w:rsid w:val="002578B0"/>
    <w:rsid w:val="00257912"/>
    <w:rsid w:val="00257B64"/>
    <w:rsid w:val="00260488"/>
    <w:rsid w:val="00260585"/>
    <w:rsid w:val="00260660"/>
    <w:rsid w:val="002606F3"/>
    <w:rsid w:val="00260EB7"/>
    <w:rsid w:val="0026138D"/>
    <w:rsid w:val="002618AA"/>
    <w:rsid w:val="00261F2D"/>
    <w:rsid w:val="0026233B"/>
    <w:rsid w:val="00262B41"/>
    <w:rsid w:val="00262B49"/>
    <w:rsid w:val="00262C21"/>
    <w:rsid w:val="002634AE"/>
    <w:rsid w:val="00263678"/>
    <w:rsid w:val="00263D56"/>
    <w:rsid w:val="00263ED8"/>
    <w:rsid w:val="00264950"/>
    <w:rsid w:val="00264DA1"/>
    <w:rsid w:val="00265131"/>
    <w:rsid w:val="00265EC7"/>
    <w:rsid w:val="00265FBC"/>
    <w:rsid w:val="0026613F"/>
    <w:rsid w:val="0026621A"/>
    <w:rsid w:val="00266D8A"/>
    <w:rsid w:val="002671EC"/>
    <w:rsid w:val="00267363"/>
    <w:rsid w:val="00267612"/>
    <w:rsid w:val="00267722"/>
    <w:rsid w:val="00267DB1"/>
    <w:rsid w:val="00270390"/>
    <w:rsid w:val="002705FB"/>
    <w:rsid w:val="0027062A"/>
    <w:rsid w:val="0027224C"/>
    <w:rsid w:val="00272386"/>
    <w:rsid w:val="00272F18"/>
    <w:rsid w:val="0027373B"/>
    <w:rsid w:val="0027376E"/>
    <w:rsid w:val="002738F7"/>
    <w:rsid w:val="00273CA0"/>
    <w:rsid w:val="002741C4"/>
    <w:rsid w:val="00274463"/>
    <w:rsid w:val="002746F8"/>
    <w:rsid w:val="00274CA5"/>
    <w:rsid w:val="00274E7F"/>
    <w:rsid w:val="00275159"/>
    <w:rsid w:val="0027587B"/>
    <w:rsid w:val="00275976"/>
    <w:rsid w:val="00275F56"/>
    <w:rsid w:val="00276237"/>
    <w:rsid w:val="00276D2A"/>
    <w:rsid w:val="00276D8F"/>
    <w:rsid w:val="00276FD9"/>
    <w:rsid w:val="0027776E"/>
    <w:rsid w:val="00280034"/>
    <w:rsid w:val="00280155"/>
    <w:rsid w:val="00280552"/>
    <w:rsid w:val="00280725"/>
    <w:rsid w:val="00280825"/>
    <w:rsid w:val="00280BF5"/>
    <w:rsid w:val="00280D4F"/>
    <w:rsid w:val="002810F0"/>
    <w:rsid w:val="00281329"/>
    <w:rsid w:val="002813CF"/>
    <w:rsid w:val="00281725"/>
    <w:rsid w:val="00281780"/>
    <w:rsid w:val="002817A8"/>
    <w:rsid w:val="002817BB"/>
    <w:rsid w:val="00281966"/>
    <w:rsid w:val="00281DA6"/>
    <w:rsid w:val="00282059"/>
    <w:rsid w:val="00282F54"/>
    <w:rsid w:val="002830B0"/>
    <w:rsid w:val="0028356B"/>
    <w:rsid w:val="002836D2"/>
    <w:rsid w:val="00283753"/>
    <w:rsid w:val="002838A3"/>
    <w:rsid w:val="00284464"/>
    <w:rsid w:val="00284733"/>
    <w:rsid w:val="002847A6"/>
    <w:rsid w:val="0028517D"/>
    <w:rsid w:val="002857E2"/>
    <w:rsid w:val="0028645D"/>
    <w:rsid w:val="00286634"/>
    <w:rsid w:val="0028696E"/>
    <w:rsid w:val="00286BF4"/>
    <w:rsid w:val="00286CB3"/>
    <w:rsid w:val="00287219"/>
    <w:rsid w:val="00287950"/>
    <w:rsid w:val="00290AE0"/>
    <w:rsid w:val="00290B47"/>
    <w:rsid w:val="002914CA"/>
    <w:rsid w:val="002920ED"/>
    <w:rsid w:val="0029223A"/>
    <w:rsid w:val="0029266A"/>
    <w:rsid w:val="002934D4"/>
    <w:rsid w:val="00293B58"/>
    <w:rsid w:val="00293CAE"/>
    <w:rsid w:val="002943F7"/>
    <w:rsid w:val="00294EE7"/>
    <w:rsid w:val="00295062"/>
    <w:rsid w:val="002955D0"/>
    <w:rsid w:val="00296D03"/>
    <w:rsid w:val="00296D5D"/>
    <w:rsid w:val="00296DF7"/>
    <w:rsid w:val="002A1480"/>
    <w:rsid w:val="002A1981"/>
    <w:rsid w:val="002A1C8A"/>
    <w:rsid w:val="002A2FA7"/>
    <w:rsid w:val="002A33DB"/>
    <w:rsid w:val="002A376B"/>
    <w:rsid w:val="002A38F1"/>
    <w:rsid w:val="002A4A6E"/>
    <w:rsid w:val="002A4E3F"/>
    <w:rsid w:val="002A5A0D"/>
    <w:rsid w:val="002A5DBF"/>
    <w:rsid w:val="002A652E"/>
    <w:rsid w:val="002A65F4"/>
    <w:rsid w:val="002A6693"/>
    <w:rsid w:val="002A6B58"/>
    <w:rsid w:val="002A6F14"/>
    <w:rsid w:val="002A7046"/>
    <w:rsid w:val="002A79B8"/>
    <w:rsid w:val="002A7EAA"/>
    <w:rsid w:val="002B05D1"/>
    <w:rsid w:val="002B07E1"/>
    <w:rsid w:val="002B114A"/>
    <w:rsid w:val="002B1DE8"/>
    <w:rsid w:val="002B1E50"/>
    <w:rsid w:val="002B30F3"/>
    <w:rsid w:val="002B3227"/>
    <w:rsid w:val="002B32F4"/>
    <w:rsid w:val="002B333A"/>
    <w:rsid w:val="002B33B1"/>
    <w:rsid w:val="002B354B"/>
    <w:rsid w:val="002B413D"/>
    <w:rsid w:val="002B5121"/>
    <w:rsid w:val="002B596C"/>
    <w:rsid w:val="002B6304"/>
    <w:rsid w:val="002B684B"/>
    <w:rsid w:val="002B6CB1"/>
    <w:rsid w:val="002B7209"/>
    <w:rsid w:val="002B73B5"/>
    <w:rsid w:val="002B77B2"/>
    <w:rsid w:val="002C09DD"/>
    <w:rsid w:val="002C0CCD"/>
    <w:rsid w:val="002C0E1F"/>
    <w:rsid w:val="002C1450"/>
    <w:rsid w:val="002C2095"/>
    <w:rsid w:val="002C2F82"/>
    <w:rsid w:val="002C3463"/>
    <w:rsid w:val="002C3AA0"/>
    <w:rsid w:val="002C49DC"/>
    <w:rsid w:val="002C5B6F"/>
    <w:rsid w:val="002C6053"/>
    <w:rsid w:val="002C6207"/>
    <w:rsid w:val="002C63E2"/>
    <w:rsid w:val="002C6430"/>
    <w:rsid w:val="002C65FD"/>
    <w:rsid w:val="002C6962"/>
    <w:rsid w:val="002C70DA"/>
    <w:rsid w:val="002C7947"/>
    <w:rsid w:val="002C7CD0"/>
    <w:rsid w:val="002D02EA"/>
    <w:rsid w:val="002D183D"/>
    <w:rsid w:val="002D21C3"/>
    <w:rsid w:val="002D2732"/>
    <w:rsid w:val="002D3193"/>
    <w:rsid w:val="002D3508"/>
    <w:rsid w:val="002D4402"/>
    <w:rsid w:val="002D4982"/>
    <w:rsid w:val="002D4A3D"/>
    <w:rsid w:val="002D4B36"/>
    <w:rsid w:val="002D4BDC"/>
    <w:rsid w:val="002D4C49"/>
    <w:rsid w:val="002D4E2E"/>
    <w:rsid w:val="002D6876"/>
    <w:rsid w:val="002D6CD1"/>
    <w:rsid w:val="002D6D80"/>
    <w:rsid w:val="002D797A"/>
    <w:rsid w:val="002D7FEA"/>
    <w:rsid w:val="002E05B3"/>
    <w:rsid w:val="002E061B"/>
    <w:rsid w:val="002E0BE9"/>
    <w:rsid w:val="002E108C"/>
    <w:rsid w:val="002E17B2"/>
    <w:rsid w:val="002E1C8E"/>
    <w:rsid w:val="002E210C"/>
    <w:rsid w:val="002E29D3"/>
    <w:rsid w:val="002E2B04"/>
    <w:rsid w:val="002E313F"/>
    <w:rsid w:val="002E3A01"/>
    <w:rsid w:val="002E3C5B"/>
    <w:rsid w:val="002E3FDC"/>
    <w:rsid w:val="002E44B2"/>
    <w:rsid w:val="002E4B3E"/>
    <w:rsid w:val="002E5FE1"/>
    <w:rsid w:val="002E66DF"/>
    <w:rsid w:val="002E670E"/>
    <w:rsid w:val="002E6E59"/>
    <w:rsid w:val="002E6EFE"/>
    <w:rsid w:val="002E75D3"/>
    <w:rsid w:val="002F05CC"/>
    <w:rsid w:val="002F12D3"/>
    <w:rsid w:val="002F1586"/>
    <w:rsid w:val="002F160D"/>
    <w:rsid w:val="002F18CD"/>
    <w:rsid w:val="002F1AAC"/>
    <w:rsid w:val="002F1BC8"/>
    <w:rsid w:val="002F29DA"/>
    <w:rsid w:val="002F2A8D"/>
    <w:rsid w:val="002F2FB0"/>
    <w:rsid w:val="002F360F"/>
    <w:rsid w:val="002F3799"/>
    <w:rsid w:val="002F39B9"/>
    <w:rsid w:val="002F3AB7"/>
    <w:rsid w:val="002F40E7"/>
    <w:rsid w:val="002F4114"/>
    <w:rsid w:val="002F447D"/>
    <w:rsid w:val="002F4566"/>
    <w:rsid w:val="002F473A"/>
    <w:rsid w:val="002F4A0C"/>
    <w:rsid w:val="002F4A3C"/>
    <w:rsid w:val="002F4BC6"/>
    <w:rsid w:val="002F5573"/>
    <w:rsid w:val="002F5DCF"/>
    <w:rsid w:val="002F5EDA"/>
    <w:rsid w:val="002F63AE"/>
    <w:rsid w:val="002F6615"/>
    <w:rsid w:val="002F66EB"/>
    <w:rsid w:val="002F676C"/>
    <w:rsid w:val="002F67E2"/>
    <w:rsid w:val="002F6CE5"/>
    <w:rsid w:val="002F6D57"/>
    <w:rsid w:val="002F7534"/>
    <w:rsid w:val="002F76A3"/>
    <w:rsid w:val="0030008E"/>
    <w:rsid w:val="00300BD7"/>
    <w:rsid w:val="00300C5D"/>
    <w:rsid w:val="00300DB1"/>
    <w:rsid w:val="0030159E"/>
    <w:rsid w:val="00301D25"/>
    <w:rsid w:val="00301E90"/>
    <w:rsid w:val="0030227F"/>
    <w:rsid w:val="003026F0"/>
    <w:rsid w:val="0030280F"/>
    <w:rsid w:val="00302D99"/>
    <w:rsid w:val="0030314F"/>
    <w:rsid w:val="00303735"/>
    <w:rsid w:val="00303BBB"/>
    <w:rsid w:val="00304A6F"/>
    <w:rsid w:val="00304D4F"/>
    <w:rsid w:val="00304DE4"/>
    <w:rsid w:val="0030509F"/>
    <w:rsid w:val="003066A7"/>
    <w:rsid w:val="003067E4"/>
    <w:rsid w:val="00306D3C"/>
    <w:rsid w:val="00306E25"/>
    <w:rsid w:val="00307201"/>
    <w:rsid w:val="00307AF0"/>
    <w:rsid w:val="00307FB2"/>
    <w:rsid w:val="00311029"/>
    <w:rsid w:val="003110E0"/>
    <w:rsid w:val="0031187F"/>
    <w:rsid w:val="00311B98"/>
    <w:rsid w:val="0031380B"/>
    <w:rsid w:val="00313B2F"/>
    <w:rsid w:val="00313C5E"/>
    <w:rsid w:val="00314E41"/>
    <w:rsid w:val="0031583B"/>
    <w:rsid w:val="00315DC4"/>
    <w:rsid w:val="0031608C"/>
    <w:rsid w:val="00316489"/>
    <w:rsid w:val="003166BB"/>
    <w:rsid w:val="00316A7C"/>
    <w:rsid w:val="00316DDB"/>
    <w:rsid w:val="00317472"/>
    <w:rsid w:val="00317E02"/>
    <w:rsid w:val="00317FE7"/>
    <w:rsid w:val="00321F1E"/>
    <w:rsid w:val="00321FB1"/>
    <w:rsid w:val="00322996"/>
    <w:rsid w:val="00323132"/>
    <w:rsid w:val="00325152"/>
    <w:rsid w:val="0032546F"/>
    <w:rsid w:val="00325820"/>
    <w:rsid w:val="003264D6"/>
    <w:rsid w:val="0032670C"/>
    <w:rsid w:val="00326CD7"/>
    <w:rsid w:val="00326E0E"/>
    <w:rsid w:val="00326E0F"/>
    <w:rsid w:val="003277ED"/>
    <w:rsid w:val="003301D7"/>
    <w:rsid w:val="00330EF3"/>
    <w:rsid w:val="003310C8"/>
    <w:rsid w:val="00331A23"/>
    <w:rsid w:val="003321DA"/>
    <w:rsid w:val="00333FE1"/>
    <w:rsid w:val="00334109"/>
    <w:rsid w:val="0033486B"/>
    <w:rsid w:val="003349CD"/>
    <w:rsid w:val="003359C0"/>
    <w:rsid w:val="00335E18"/>
    <w:rsid w:val="00335E2C"/>
    <w:rsid w:val="003360CA"/>
    <w:rsid w:val="003362DA"/>
    <w:rsid w:val="00340BF0"/>
    <w:rsid w:val="00340E6D"/>
    <w:rsid w:val="00340EB9"/>
    <w:rsid w:val="003415AA"/>
    <w:rsid w:val="00341633"/>
    <w:rsid w:val="00341E60"/>
    <w:rsid w:val="00342038"/>
    <w:rsid w:val="00342A15"/>
    <w:rsid w:val="00342F13"/>
    <w:rsid w:val="003434A0"/>
    <w:rsid w:val="003436E2"/>
    <w:rsid w:val="0034389B"/>
    <w:rsid w:val="00343B6A"/>
    <w:rsid w:val="00343EA2"/>
    <w:rsid w:val="00345AD1"/>
    <w:rsid w:val="00345BF2"/>
    <w:rsid w:val="0034629C"/>
    <w:rsid w:val="0034708F"/>
    <w:rsid w:val="00347B39"/>
    <w:rsid w:val="0035017D"/>
    <w:rsid w:val="003505CC"/>
    <w:rsid w:val="00350B71"/>
    <w:rsid w:val="00350C64"/>
    <w:rsid w:val="0035186A"/>
    <w:rsid w:val="00352A88"/>
    <w:rsid w:val="0035307F"/>
    <w:rsid w:val="00353235"/>
    <w:rsid w:val="003533D2"/>
    <w:rsid w:val="00353B04"/>
    <w:rsid w:val="003545E3"/>
    <w:rsid w:val="003556AB"/>
    <w:rsid w:val="00356653"/>
    <w:rsid w:val="00356A6C"/>
    <w:rsid w:val="00356E0B"/>
    <w:rsid w:val="00356FC7"/>
    <w:rsid w:val="00357112"/>
    <w:rsid w:val="00357537"/>
    <w:rsid w:val="00357D34"/>
    <w:rsid w:val="0036027D"/>
    <w:rsid w:val="003605FB"/>
    <w:rsid w:val="0036091B"/>
    <w:rsid w:val="00360B6C"/>
    <w:rsid w:val="00360CE3"/>
    <w:rsid w:val="00360ED2"/>
    <w:rsid w:val="00360F36"/>
    <w:rsid w:val="0036141B"/>
    <w:rsid w:val="003618E8"/>
    <w:rsid w:val="00361B39"/>
    <w:rsid w:val="00362D5E"/>
    <w:rsid w:val="00363542"/>
    <w:rsid w:val="0036486B"/>
    <w:rsid w:val="00365E7D"/>
    <w:rsid w:val="003661B3"/>
    <w:rsid w:val="0036651B"/>
    <w:rsid w:val="0036651F"/>
    <w:rsid w:val="00370398"/>
    <w:rsid w:val="00370448"/>
    <w:rsid w:val="00370982"/>
    <w:rsid w:val="00371337"/>
    <w:rsid w:val="0037142D"/>
    <w:rsid w:val="003718EB"/>
    <w:rsid w:val="00371ABB"/>
    <w:rsid w:val="00372A23"/>
    <w:rsid w:val="00372C54"/>
    <w:rsid w:val="00372E54"/>
    <w:rsid w:val="003731C8"/>
    <w:rsid w:val="00373B60"/>
    <w:rsid w:val="00373D43"/>
    <w:rsid w:val="00373DCA"/>
    <w:rsid w:val="00374294"/>
    <w:rsid w:val="003744DB"/>
    <w:rsid w:val="00374904"/>
    <w:rsid w:val="00374E3A"/>
    <w:rsid w:val="003755F4"/>
    <w:rsid w:val="00375EC0"/>
    <w:rsid w:val="0037648D"/>
    <w:rsid w:val="003766A5"/>
    <w:rsid w:val="00376CDB"/>
    <w:rsid w:val="0037764C"/>
    <w:rsid w:val="0037768E"/>
    <w:rsid w:val="00377797"/>
    <w:rsid w:val="00380023"/>
    <w:rsid w:val="003801DF"/>
    <w:rsid w:val="003803EB"/>
    <w:rsid w:val="00380B24"/>
    <w:rsid w:val="003819BF"/>
    <w:rsid w:val="00381FCF"/>
    <w:rsid w:val="0038255B"/>
    <w:rsid w:val="003829B6"/>
    <w:rsid w:val="00383B76"/>
    <w:rsid w:val="00383D57"/>
    <w:rsid w:val="00383FAE"/>
    <w:rsid w:val="0038508F"/>
    <w:rsid w:val="003854D5"/>
    <w:rsid w:val="00386465"/>
    <w:rsid w:val="00386ED3"/>
    <w:rsid w:val="00387217"/>
    <w:rsid w:val="00387EE8"/>
    <w:rsid w:val="00391149"/>
    <w:rsid w:val="00391169"/>
    <w:rsid w:val="00391220"/>
    <w:rsid w:val="00391607"/>
    <w:rsid w:val="00391903"/>
    <w:rsid w:val="00391981"/>
    <w:rsid w:val="00392CB4"/>
    <w:rsid w:val="00394031"/>
    <w:rsid w:val="00394883"/>
    <w:rsid w:val="003948EC"/>
    <w:rsid w:val="00394C4F"/>
    <w:rsid w:val="00396404"/>
    <w:rsid w:val="0039661A"/>
    <w:rsid w:val="00396D7B"/>
    <w:rsid w:val="00396E80"/>
    <w:rsid w:val="00397460"/>
    <w:rsid w:val="003A0908"/>
    <w:rsid w:val="003A0CB8"/>
    <w:rsid w:val="003A12D8"/>
    <w:rsid w:val="003A264A"/>
    <w:rsid w:val="003A2941"/>
    <w:rsid w:val="003A2A4C"/>
    <w:rsid w:val="003A3A30"/>
    <w:rsid w:val="003A441A"/>
    <w:rsid w:val="003A4989"/>
    <w:rsid w:val="003A4A7E"/>
    <w:rsid w:val="003A519E"/>
    <w:rsid w:val="003A51AB"/>
    <w:rsid w:val="003A560C"/>
    <w:rsid w:val="003A5659"/>
    <w:rsid w:val="003A56F3"/>
    <w:rsid w:val="003A5A42"/>
    <w:rsid w:val="003A6B35"/>
    <w:rsid w:val="003B022B"/>
    <w:rsid w:val="003B08F2"/>
    <w:rsid w:val="003B0F1E"/>
    <w:rsid w:val="003B109D"/>
    <w:rsid w:val="003B1DC8"/>
    <w:rsid w:val="003B3E31"/>
    <w:rsid w:val="003B43E7"/>
    <w:rsid w:val="003B4989"/>
    <w:rsid w:val="003B50F9"/>
    <w:rsid w:val="003B5399"/>
    <w:rsid w:val="003B54F0"/>
    <w:rsid w:val="003B5F84"/>
    <w:rsid w:val="003B63B9"/>
    <w:rsid w:val="003B6410"/>
    <w:rsid w:val="003B6EE4"/>
    <w:rsid w:val="003B728F"/>
    <w:rsid w:val="003B7DC1"/>
    <w:rsid w:val="003C0052"/>
    <w:rsid w:val="003C05BE"/>
    <w:rsid w:val="003C09BF"/>
    <w:rsid w:val="003C16C0"/>
    <w:rsid w:val="003C1A77"/>
    <w:rsid w:val="003C1EB2"/>
    <w:rsid w:val="003C21F2"/>
    <w:rsid w:val="003C2421"/>
    <w:rsid w:val="003C3456"/>
    <w:rsid w:val="003C3872"/>
    <w:rsid w:val="003C38D4"/>
    <w:rsid w:val="003C4038"/>
    <w:rsid w:val="003C5562"/>
    <w:rsid w:val="003C5C17"/>
    <w:rsid w:val="003C6B1E"/>
    <w:rsid w:val="003C6FF0"/>
    <w:rsid w:val="003C76D2"/>
    <w:rsid w:val="003C77A6"/>
    <w:rsid w:val="003D01EA"/>
    <w:rsid w:val="003D03CE"/>
    <w:rsid w:val="003D0615"/>
    <w:rsid w:val="003D0624"/>
    <w:rsid w:val="003D0D5A"/>
    <w:rsid w:val="003D136D"/>
    <w:rsid w:val="003D1846"/>
    <w:rsid w:val="003D224A"/>
    <w:rsid w:val="003D2896"/>
    <w:rsid w:val="003D2EDA"/>
    <w:rsid w:val="003D3534"/>
    <w:rsid w:val="003D418D"/>
    <w:rsid w:val="003D469C"/>
    <w:rsid w:val="003D5262"/>
    <w:rsid w:val="003D5A36"/>
    <w:rsid w:val="003D5D48"/>
    <w:rsid w:val="003D5E66"/>
    <w:rsid w:val="003D6EF5"/>
    <w:rsid w:val="003D7107"/>
    <w:rsid w:val="003D7563"/>
    <w:rsid w:val="003D7B33"/>
    <w:rsid w:val="003D7F98"/>
    <w:rsid w:val="003E05FB"/>
    <w:rsid w:val="003E1BB0"/>
    <w:rsid w:val="003E1C4C"/>
    <w:rsid w:val="003E21E5"/>
    <w:rsid w:val="003E229F"/>
    <w:rsid w:val="003E246C"/>
    <w:rsid w:val="003E2E6D"/>
    <w:rsid w:val="003E4684"/>
    <w:rsid w:val="003E4B4A"/>
    <w:rsid w:val="003E54C2"/>
    <w:rsid w:val="003E56FD"/>
    <w:rsid w:val="003E574E"/>
    <w:rsid w:val="003E6644"/>
    <w:rsid w:val="003E6AA3"/>
    <w:rsid w:val="003E7A1B"/>
    <w:rsid w:val="003E7A33"/>
    <w:rsid w:val="003E7D59"/>
    <w:rsid w:val="003F0882"/>
    <w:rsid w:val="003F2712"/>
    <w:rsid w:val="003F2CA4"/>
    <w:rsid w:val="003F2E3B"/>
    <w:rsid w:val="003F3004"/>
    <w:rsid w:val="003F329A"/>
    <w:rsid w:val="003F3480"/>
    <w:rsid w:val="003F3512"/>
    <w:rsid w:val="003F3660"/>
    <w:rsid w:val="003F48D3"/>
    <w:rsid w:val="003F494D"/>
    <w:rsid w:val="003F563E"/>
    <w:rsid w:val="003F5A53"/>
    <w:rsid w:val="003F5BFD"/>
    <w:rsid w:val="003F5D76"/>
    <w:rsid w:val="003F5DCF"/>
    <w:rsid w:val="003F649D"/>
    <w:rsid w:val="003F67C8"/>
    <w:rsid w:val="003F688D"/>
    <w:rsid w:val="003F6DF8"/>
    <w:rsid w:val="003F7244"/>
    <w:rsid w:val="00400128"/>
    <w:rsid w:val="004003D2"/>
    <w:rsid w:val="004009B8"/>
    <w:rsid w:val="00400AB8"/>
    <w:rsid w:val="00400B4D"/>
    <w:rsid w:val="00400CEC"/>
    <w:rsid w:val="00401186"/>
    <w:rsid w:val="004011DF"/>
    <w:rsid w:val="00401746"/>
    <w:rsid w:val="004021E8"/>
    <w:rsid w:val="0040232A"/>
    <w:rsid w:val="00404540"/>
    <w:rsid w:val="004048D0"/>
    <w:rsid w:val="004048D5"/>
    <w:rsid w:val="004054C4"/>
    <w:rsid w:val="004055C8"/>
    <w:rsid w:val="00405BFA"/>
    <w:rsid w:val="00405DB5"/>
    <w:rsid w:val="004070BD"/>
    <w:rsid w:val="00407185"/>
    <w:rsid w:val="0040754F"/>
    <w:rsid w:val="00407783"/>
    <w:rsid w:val="0041027A"/>
    <w:rsid w:val="00410826"/>
    <w:rsid w:val="004109ED"/>
    <w:rsid w:val="00410E6E"/>
    <w:rsid w:val="00410FDF"/>
    <w:rsid w:val="00411544"/>
    <w:rsid w:val="004115B7"/>
    <w:rsid w:val="00411A2B"/>
    <w:rsid w:val="00411F8F"/>
    <w:rsid w:val="00412172"/>
    <w:rsid w:val="00412FF4"/>
    <w:rsid w:val="004134CA"/>
    <w:rsid w:val="00413639"/>
    <w:rsid w:val="00414009"/>
    <w:rsid w:val="0041404B"/>
    <w:rsid w:val="00414720"/>
    <w:rsid w:val="00414B8C"/>
    <w:rsid w:val="00414EA6"/>
    <w:rsid w:val="00414F0E"/>
    <w:rsid w:val="0041512E"/>
    <w:rsid w:val="00417402"/>
    <w:rsid w:val="00417DD6"/>
    <w:rsid w:val="00420A7F"/>
    <w:rsid w:val="00421AE5"/>
    <w:rsid w:val="00421B32"/>
    <w:rsid w:val="00421FE8"/>
    <w:rsid w:val="0042226C"/>
    <w:rsid w:val="004223F8"/>
    <w:rsid w:val="00422A74"/>
    <w:rsid w:val="00422BF7"/>
    <w:rsid w:val="00422E3E"/>
    <w:rsid w:val="004239B9"/>
    <w:rsid w:val="00423AEE"/>
    <w:rsid w:val="00423C03"/>
    <w:rsid w:val="004242AE"/>
    <w:rsid w:val="004243E6"/>
    <w:rsid w:val="00424BEF"/>
    <w:rsid w:val="0042564C"/>
    <w:rsid w:val="00426C92"/>
    <w:rsid w:val="00427523"/>
    <w:rsid w:val="004277BA"/>
    <w:rsid w:val="004278C3"/>
    <w:rsid w:val="00427A13"/>
    <w:rsid w:val="004304D1"/>
    <w:rsid w:val="00431438"/>
    <w:rsid w:val="0043206C"/>
    <w:rsid w:val="004329C1"/>
    <w:rsid w:val="00432CB0"/>
    <w:rsid w:val="00432F5C"/>
    <w:rsid w:val="0043360D"/>
    <w:rsid w:val="00434351"/>
    <w:rsid w:val="00434B78"/>
    <w:rsid w:val="00435237"/>
    <w:rsid w:val="00435D49"/>
    <w:rsid w:val="0043636B"/>
    <w:rsid w:val="004368D6"/>
    <w:rsid w:val="00436B2B"/>
    <w:rsid w:val="004375E5"/>
    <w:rsid w:val="00437644"/>
    <w:rsid w:val="004408A0"/>
    <w:rsid w:val="00440E9B"/>
    <w:rsid w:val="0044160F"/>
    <w:rsid w:val="004429C2"/>
    <w:rsid w:val="00442E72"/>
    <w:rsid w:val="00442E7D"/>
    <w:rsid w:val="00443543"/>
    <w:rsid w:val="00443652"/>
    <w:rsid w:val="00443F09"/>
    <w:rsid w:val="00443F0A"/>
    <w:rsid w:val="0044424B"/>
    <w:rsid w:val="00444645"/>
    <w:rsid w:val="00444FC6"/>
    <w:rsid w:val="00445494"/>
    <w:rsid w:val="0044587C"/>
    <w:rsid w:val="0044596C"/>
    <w:rsid w:val="004464CB"/>
    <w:rsid w:val="004464E4"/>
    <w:rsid w:val="00446CFE"/>
    <w:rsid w:val="004476B7"/>
    <w:rsid w:val="0044780D"/>
    <w:rsid w:val="0045010A"/>
    <w:rsid w:val="00451233"/>
    <w:rsid w:val="00452BA4"/>
    <w:rsid w:val="00452F1F"/>
    <w:rsid w:val="00453A55"/>
    <w:rsid w:val="0045414D"/>
    <w:rsid w:val="004546D7"/>
    <w:rsid w:val="00454BB7"/>
    <w:rsid w:val="0045504D"/>
    <w:rsid w:val="00455084"/>
    <w:rsid w:val="0045536F"/>
    <w:rsid w:val="00455688"/>
    <w:rsid w:val="004564BB"/>
    <w:rsid w:val="00456A6D"/>
    <w:rsid w:val="00457258"/>
    <w:rsid w:val="004576A9"/>
    <w:rsid w:val="004577CD"/>
    <w:rsid w:val="004606D4"/>
    <w:rsid w:val="00460EC7"/>
    <w:rsid w:val="004611B4"/>
    <w:rsid w:val="00461B8F"/>
    <w:rsid w:val="00461D4B"/>
    <w:rsid w:val="004634BC"/>
    <w:rsid w:val="0046385D"/>
    <w:rsid w:val="0046445D"/>
    <w:rsid w:val="00464975"/>
    <w:rsid w:val="00464B2C"/>
    <w:rsid w:val="00466001"/>
    <w:rsid w:val="004664B2"/>
    <w:rsid w:val="0046750C"/>
    <w:rsid w:val="00467D53"/>
    <w:rsid w:val="00470B3F"/>
    <w:rsid w:val="00471CC9"/>
    <w:rsid w:val="00472210"/>
    <w:rsid w:val="0047303A"/>
    <w:rsid w:val="004735DF"/>
    <w:rsid w:val="004736B3"/>
    <w:rsid w:val="00473A5A"/>
    <w:rsid w:val="00473B52"/>
    <w:rsid w:val="00473CC8"/>
    <w:rsid w:val="004752C2"/>
    <w:rsid w:val="00475667"/>
    <w:rsid w:val="0047568A"/>
    <w:rsid w:val="004762FD"/>
    <w:rsid w:val="00476637"/>
    <w:rsid w:val="004767D1"/>
    <w:rsid w:val="00476C39"/>
    <w:rsid w:val="004771E3"/>
    <w:rsid w:val="00477246"/>
    <w:rsid w:val="00480E5A"/>
    <w:rsid w:val="00480F49"/>
    <w:rsid w:val="0048259D"/>
    <w:rsid w:val="00482A44"/>
    <w:rsid w:val="00482F0B"/>
    <w:rsid w:val="0048365E"/>
    <w:rsid w:val="00483C01"/>
    <w:rsid w:val="0048471E"/>
    <w:rsid w:val="00485022"/>
    <w:rsid w:val="00485E97"/>
    <w:rsid w:val="0048695A"/>
    <w:rsid w:val="00486E99"/>
    <w:rsid w:val="004870CF"/>
    <w:rsid w:val="00487427"/>
    <w:rsid w:val="0049074E"/>
    <w:rsid w:val="0049120D"/>
    <w:rsid w:val="00491301"/>
    <w:rsid w:val="00491427"/>
    <w:rsid w:val="004917DF"/>
    <w:rsid w:val="00491E36"/>
    <w:rsid w:val="00491F9B"/>
    <w:rsid w:val="004924E2"/>
    <w:rsid w:val="00492DB3"/>
    <w:rsid w:val="004933D3"/>
    <w:rsid w:val="004941AB"/>
    <w:rsid w:val="00496539"/>
    <w:rsid w:val="0049654F"/>
    <w:rsid w:val="00496A20"/>
    <w:rsid w:val="004973E1"/>
    <w:rsid w:val="00497622"/>
    <w:rsid w:val="00497AEE"/>
    <w:rsid w:val="00497FB9"/>
    <w:rsid w:val="004A0644"/>
    <w:rsid w:val="004A0B6F"/>
    <w:rsid w:val="004A1F86"/>
    <w:rsid w:val="004A25F4"/>
    <w:rsid w:val="004A2AA2"/>
    <w:rsid w:val="004A4CBB"/>
    <w:rsid w:val="004A57AD"/>
    <w:rsid w:val="004A5B7C"/>
    <w:rsid w:val="004A5BA1"/>
    <w:rsid w:val="004A65A0"/>
    <w:rsid w:val="004A6E5E"/>
    <w:rsid w:val="004A7219"/>
    <w:rsid w:val="004A77B7"/>
    <w:rsid w:val="004A78FA"/>
    <w:rsid w:val="004A79CC"/>
    <w:rsid w:val="004A7D28"/>
    <w:rsid w:val="004A7E60"/>
    <w:rsid w:val="004A7EC8"/>
    <w:rsid w:val="004B0938"/>
    <w:rsid w:val="004B0993"/>
    <w:rsid w:val="004B0A8A"/>
    <w:rsid w:val="004B1311"/>
    <w:rsid w:val="004B1646"/>
    <w:rsid w:val="004B25BD"/>
    <w:rsid w:val="004B2896"/>
    <w:rsid w:val="004B3282"/>
    <w:rsid w:val="004B39C7"/>
    <w:rsid w:val="004B3C49"/>
    <w:rsid w:val="004B3FBE"/>
    <w:rsid w:val="004B43BC"/>
    <w:rsid w:val="004B4F07"/>
    <w:rsid w:val="004B51A0"/>
    <w:rsid w:val="004B54B1"/>
    <w:rsid w:val="004B5F88"/>
    <w:rsid w:val="004B6B14"/>
    <w:rsid w:val="004C00DE"/>
    <w:rsid w:val="004C01A7"/>
    <w:rsid w:val="004C05B3"/>
    <w:rsid w:val="004C0697"/>
    <w:rsid w:val="004C18F8"/>
    <w:rsid w:val="004C1B46"/>
    <w:rsid w:val="004C1C55"/>
    <w:rsid w:val="004C2345"/>
    <w:rsid w:val="004C261A"/>
    <w:rsid w:val="004C280C"/>
    <w:rsid w:val="004C3A85"/>
    <w:rsid w:val="004C3CF0"/>
    <w:rsid w:val="004C4415"/>
    <w:rsid w:val="004C46E4"/>
    <w:rsid w:val="004C5F7E"/>
    <w:rsid w:val="004C61B5"/>
    <w:rsid w:val="004C63A3"/>
    <w:rsid w:val="004C63ED"/>
    <w:rsid w:val="004C6BB9"/>
    <w:rsid w:val="004C7982"/>
    <w:rsid w:val="004C7E95"/>
    <w:rsid w:val="004D028A"/>
    <w:rsid w:val="004D063D"/>
    <w:rsid w:val="004D0841"/>
    <w:rsid w:val="004D0FEB"/>
    <w:rsid w:val="004D17C0"/>
    <w:rsid w:val="004D1F6F"/>
    <w:rsid w:val="004D1F88"/>
    <w:rsid w:val="004D2326"/>
    <w:rsid w:val="004D248E"/>
    <w:rsid w:val="004D2503"/>
    <w:rsid w:val="004D2C9E"/>
    <w:rsid w:val="004D3557"/>
    <w:rsid w:val="004D3650"/>
    <w:rsid w:val="004D3D9F"/>
    <w:rsid w:val="004D3FA9"/>
    <w:rsid w:val="004D5CAB"/>
    <w:rsid w:val="004D60F5"/>
    <w:rsid w:val="004D7A31"/>
    <w:rsid w:val="004E04E9"/>
    <w:rsid w:val="004E0EC1"/>
    <w:rsid w:val="004E1794"/>
    <w:rsid w:val="004E17A8"/>
    <w:rsid w:val="004E18C4"/>
    <w:rsid w:val="004E38B8"/>
    <w:rsid w:val="004E4399"/>
    <w:rsid w:val="004E4527"/>
    <w:rsid w:val="004E56CE"/>
    <w:rsid w:val="004E678A"/>
    <w:rsid w:val="004E70BC"/>
    <w:rsid w:val="004E70CF"/>
    <w:rsid w:val="004E70E3"/>
    <w:rsid w:val="004E7F62"/>
    <w:rsid w:val="004F0589"/>
    <w:rsid w:val="004F0834"/>
    <w:rsid w:val="004F088E"/>
    <w:rsid w:val="004F0D7C"/>
    <w:rsid w:val="004F1003"/>
    <w:rsid w:val="004F11A7"/>
    <w:rsid w:val="004F15E9"/>
    <w:rsid w:val="004F165C"/>
    <w:rsid w:val="004F243A"/>
    <w:rsid w:val="004F27C9"/>
    <w:rsid w:val="004F38D3"/>
    <w:rsid w:val="004F3A0A"/>
    <w:rsid w:val="004F3CEE"/>
    <w:rsid w:val="004F45F7"/>
    <w:rsid w:val="004F4B47"/>
    <w:rsid w:val="004F4E0A"/>
    <w:rsid w:val="004F4F85"/>
    <w:rsid w:val="004F500D"/>
    <w:rsid w:val="004F6BCE"/>
    <w:rsid w:val="004F7726"/>
    <w:rsid w:val="005002DA"/>
    <w:rsid w:val="005005E6"/>
    <w:rsid w:val="00500677"/>
    <w:rsid w:val="0050115E"/>
    <w:rsid w:val="00501216"/>
    <w:rsid w:val="00501ACB"/>
    <w:rsid w:val="00501C82"/>
    <w:rsid w:val="00501DB7"/>
    <w:rsid w:val="005028A9"/>
    <w:rsid w:val="005032F0"/>
    <w:rsid w:val="00503BE2"/>
    <w:rsid w:val="00504543"/>
    <w:rsid w:val="00504A59"/>
    <w:rsid w:val="00504C54"/>
    <w:rsid w:val="00505107"/>
    <w:rsid w:val="00505236"/>
    <w:rsid w:val="00505373"/>
    <w:rsid w:val="005060AA"/>
    <w:rsid w:val="0050649B"/>
    <w:rsid w:val="00506A90"/>
    <w:rsid w:val="005072C6"/>
    <w:rsid w:val="00507BBF"/>
    <w:rsid w:val="00510017"/>
    <w:rsid w:val="005106CC"/>
    <w:rsid w:val="00510D76"/>
    <w:rsid w:val="00512106"/>
    <w:rsid w:val="0051220B"/>
    <w:rsid w:val="0051282B"/>
    <w:rsid w:val="00512A0C"/>
    <w:rsid w:val="00512BD0"/>
    <w:rsid w:val="0051366A"/>
    <w:rsid w:val="0051393F"/>
    <w:rsid w:val="00514711"/>
    <w:rsid w:val="00514C34"/>
    <w:rsid w:val="00515087"/>
    <w:rsid w:val="005151F0"/>
    <w:rsid w:val="005156BB"/>
    <w:rsid w:val="00515758"/>
    <w:rsid w:val="00515DF1"/>
    <w:rsid w:val="00516754"/>
    <w:rsid w:val="00516BA1"/>
    <w:rsid w:val="00516C3E"/>
    <w:rsid w:val="005170CE"/>
    <w:rsid w:val="005172C2"/>
    <w:rsid w:val="005176A2"/>
    <w:rsid w:val="005179B5"/>
    <w:rsid w:val="005202E9"/>
    <w:rsid w:val="00520347"/>
    <w:rsid w:val="00520956"/>
    <w:rsid w:val="00520BA7"/>
    <w:rsid w:val="00520C3A"/>
    <w:rsid w:val="00521938"/>
    <w:rsid w:val="00521B95"/>
    <w:rsid w:val="00521BAA"/>
    <w:rsid w:val="00521D24"/>
    <w:rsid w:val="00521FE2"/>
    <w:rsid w:val="005220C5"/>
    <w:rsid w:val="00523957"/>
    <w:rsid w:val="00523C63"/>
    <w:rsid w:val="00523E88"/>
    <w:rsid w:val="00524FE2"/>
    <w:rsid w:val="00525FF1"/>
    <w:rsid w:val="00526358"/>
    <w:rsid w:val="0052668E"/>
    <w:rsid w:val="005270E0"/>
    <w:rsid w:val="00527673"/>
    <w:rsid w:val="0052DAF3"/>
    <w:rsid w:val="005305D9"/>
    <w:rsid w:val="005308A8"/>
    <w:rsid w:val="005314BC"/>
    <w:rsid w:val="00531856"/>
    <w:rsid w:val="00532150"/>
    <w:rsid w:val="005324E9"/>
    <w:rsid w:val="00532956"/>
    <w:rsid w:val="00532CAA"/>
    <w:rsid w:val="00532EC3"/>
    <w:rsid w:val="00533834"/>
    <w:rsid w:val="00533EE1"/>
    <w:rsid w:val="00535548"/>
    <w:rsid w:val="0053565D"/>
    <w:rsid w:val="005356A3"/>
    <w:rsid w:val="00535721"/>
    <w:rsid w:val="00536309"/>
    <w:rsid w:val="00537331"/>
    <w:rsid w:val="005374FE"/>
    <w:rsid w:val="00537583"/>
    <w:rsid w:val="0054056A"/>
    <w:rsid w:val="005411BE"/>
    <w:rsid w:val="005414C3"/>
    <w:rsid w:val="00541F00"/>
    <w:rsid w:val="0054250A"/>
    <w:rsid w:val="00542A51"/>
    <w:rsid w:val="00542B8A"/>
    <w:rsid w:val="00542BA0"/>
    <w:rsid w:val="00542CA3"/>
    <w:rsid w:val="00543106"/>
    <w:rsid w:val="00543176"/>
    <w:rsid w:val="005432A6"/>
    <w:rsid w:val="00543E58"/>
    <w:rsid w:val="00543F69"/>
    <w:rsid w:val="00544D88"/>
    <w:rsid w:val="0054553D"/>
    <w:rsid w:val="00545FDA"/>
    <w:rsid w:val="0054649C"/>
    <w:rsid w:val="005470BB"/>
    <w:rsid w:val="0054724B"/>
    <w:rsid w:val="00547692"/>
    <w:rsid w:val="0055022F"/>
    <w:rsid w:val="0055149F"/>
    <w:rsid w:val="00552CCF"/>
    <w:rsid w:val="00553127"/>
    <w:rsid w:val="00554973"/>
    <w:rsid w:val="00554CC1"/>
    <w:rsid w:val="0055511E"/>
    <w:rsid w:val="00555255"/>
    <w:rsid w:val="0055592A"/>
    <w:rsid w:val="00555FB5"/>
    <w:rsid w:val="00557692"/>
    <w:rsid w:val="00560126"/>
    <w:rsid w:val="00560883"/>
    <w:rsid w:val="00560B24"/>
    <w:rsid w:val="00560CAC"/>
    <w:rsid w:val="005615D7"/>
    <w:rsid w:val="005616E9"/>
    <w:rsid w:val="00562310"/>
    <w:rsid w:val="00562BDF"/>
    <w:rsid w:val="00562D55"/>
    <w:rsid w:val="005630FD"/>
    <w:rsid w:val="005632C8"/>
    <w:rsid w:val="00563DCF"/>
    <w:rsid w:val="005645C7"/>
    <w:rsid w:val="00564E95"/>
    <w:rsid w:val="005650CB"/>
    <w:rsid w:val="0056545A"/>
    <w:rsid w:val="005659F2"/>
    <w:rsid w:val="00565BD4"/>
    <w:rsid w:val="0056667D"/>
    <w:rsid w:val="00566713"/>
    <w:rsid w:val="00566BA4"/>
    <w:rsid w:val="00566C28"/>
    <w:rsid w:val="00567C93"/>
    <w:rsid w:val="00567F99"/>
    <w:rsid w:val="005704EC"/>
    <w:rsid w:val="005706FF"/>
    <w:rsid w:val="0057177B"/>
    <w:rsid w:val="00571988"/>
    <w:rsid w:val="00571A01"/>
    <w:rsid w:val="00571A6B"/>
    <w:rsid w:val="00571EE6"/>
    <w:rsid w:val="00571FA6"/>
    <w:rsid w:val="00572847"/>
    <w:rsid w:val="00572E11"/>
    <w:rsid w:val="00573183"/>
    <w:rsid w:val="005734CF"/>
    <w:rsid w:val="00573DC7"/>
    <w:rsid w:val="00573E85"/>
    <w:rsid w:val="005751D1"/>
    <w:rsid w:val="00575AD1"/>
    <w:rsid w:val="0057611D"/>
    <w:rsid w:val="005765BA"/>
    <w:rsid w:val="005767BA"/>
    <w:rsid w:val="00576E45"/>
    <w:rsid w:val="00576EA8"/>
    <w:rsid w:val="00576EE4"/>
    <w:rsid w:val="0058058F"/>
    <w:rsid w:val="0058064E"/>
    <w:rsid w:val="00580C35"/>
    <w:rsid w:val="00580D0F"/>
    <w:rsid w:val="005813E8"/>
    <w:rsid w:val="00581446"/>
    <w:rsid w:val="00581889"/>
    <w:rsid w:val="00581B2C"/>
    <w:rsid w:val="00581E99"/>
    <w:rsid w:val="00581F84"/>
    <w:rsid w:val="0058202E"/>
    <w:rsid w:val="005827E1"/>
    <w:rsid w:val="00582966"/>
    <w:rsid w:val="00582B14"/>
    <w:rsid w:val="00582F26"/>
    <w:rsid w:val="00583451"/>
    <w:rsid w:val="00584079"/>
    <w:rsid w:val="005843CB"/>
    <w:rsid w:val="005843E3"/>
    <w:rsid w:val="00584B38"/>
    <w:rsid w:val="00585D94"/>
    <w:rsid w:val="00585E8D"/>
    <w:rsid w:val="00591228"/>
    <w:rsid w:val="00591BE5"/>
    <w:rsid w:val="005924E7"/>
    <w:rsid w:val="00592A08"/>
    <w:rsid w:val="00592E07"/>
    <w:rsid w:val="005939E3"/>
    <w:rsid w:val="00593AFB"/>
    <w:rsid w:val="00593E15"/>
    <w:rsid w:val="00594D2C"/>
    <w:rsid w:val="00594EA2"/>
    <w:rsid w:val="00595DB5"/>
    <w:rsid w:val="00595EF9"/>
    <w:rsid w:val="00595FAB"/>
    <w:rsid w:val="0059652B"/>
    <w:rsid w:val="00596C7D"/>
    <w:rsid w:val="005973EA"/>
    <w:rsid w:val="00597F84"/>
    <w:rsid w:val="005A0804"/>
    <w:rsid w:val="005A0D40"/>
    <w:rsid w:val="005A0E84"/>
    <w:rsid w:val="005A1ACA"/>
    <w:rsid w:val="005A1EEB"/>
    <w:rsid w:val="005A21A1"/>
    <w:rsid w:val="005A21EE"/>
    <w:rsid w:val="005A2E9F"/>
    <w:rsid w:val="005A2EF6"/>
    <w:rsid w:val="005A37F3"/>
    <w:rsid w:val="005A4429"/>
    <w:rsid w:val="005A4A28"/>
    <w:rsid w:val="005A4F99"/>
    <w:rsid w:val="005A5499"/>
    <w:rsid w:val="005A58A7"/>
    <w:rsid w:val="005A59CD"/>
    <w:rsid w:val="005A6478"/>
    <w:rsid w:val="005A6496"/>
    <w:rsid w:val="005A658E"/>
    <w:rsid w:val="005A65C7"/>
    <w:rsid w:val="005A6DFA"/>
    <w:rsid w:val="005A7577"/>
    <w:rsid w:val="005A770F"/>
    <w:rsid w:val="005B00BD"/>
    <w:rsid w:val="005B021F"/>
    <w:rsid w:val="005B034E"/>
    <w:rsid w:val="005B03A4"/>
    <w:rsid w:val="005B0BE4"/>
    <w:rsid w:val="005B0F24"/>
    <w:rsid w:val="005B0FFC"/>
    <w:rsid w:val="005B1161"/>
    <w:rsid w:val="005B13E3"/>
    <w:rsid w:val="005B16F1"/>
    <w:rsid w:val="005B1A08"/>
    <w:rsid w:val="005B1C01"/>
    <w:rsid w:val="005B1D21"/>
    <w:rsid w:val="005B20FD"/>
    <w:rsid w:val="005B2766"/>
    <w:rsid w:val="005B2840"/>
    <w:rsid w:val="005B40C0"/>
    <w:rsid w:val="005B55B8"/>
    <w:rsid w:val="005B5B8C"/>
    <w:rsid w:val="005B67D3"/>
    <w:rsid w:val="005B6B9D"/>
    <w:rsid w:val="005B789E"/>
    <w:rsid w:val="005B78F6"/>
    <w:rsid w:val="005B7A61"/>
    <w:rsid w:val="005B7F65"/>
    <w:rsid w:val="005C026E"/>
    <w:rsid w:val="005C0E12"/>
    <w:rsid w:val="005C129D"/>
    <w:rsid w:val="005C149F"/>
    <w:rsid w:val="005C1E8D"/>
    <w:rsid w:val="005C2FCE"/>
    <w:rsid w:val="005C335F"/>
    <w:rsid w:val="005C461E"/>
    <w:rsid w:val="005C4ED8"/>
    <w:rsid w:val="005C5546"/>
    <w:rsid w:val="005C5A6E"/>
    <w:rsid w:val="005C61BF"/>
    <w:rsid w:val="005C729F"/>
    <w:rsid w:val="005C78BC"/>
    <w:rsid w:val="005C7E77"/>
    <w:rsid w:val="005D0051"/>
    <w:rsid w:val="005D0076"/>
    <w:rsid w:val="005D0A16"/>
    <w:rsid w:val="005D0B40"/>
    <w:rsid w:val="005D39F8"/>
    <w:rsid w:val="005D3C0D"/>
    <w:rsid w:val="005D4818"/>
    <w:rsid w:val="005D7386"/>
    <w:rsid w:val="005E11DF"/>
    <w:rsid w:val="005E13DF"/>
    <w:rsid w:val="005E17B7"/>
    <w:rsid w:val="005E187F"/>
    <w:rsid w:val="005E1DAA"/>
    <w:rsid w:val="005E2290"/>
    <w:rsid w:val="005E2CBD"/>
    <w:rsid w:val="005E3003"/>
    <w:rsid w:val="005E388E"/>
    <w:rsid w:val="005E40B4"/>
    <w:rsid w:val="005E4F4D"/>
    <w:rsid w:val="005E57D2"/>
    <w:rsid w:val="005E58BB"/>
    <w:rsid w:val="005E5AE8"/>
    <w:rsid w:val="005E5B6D"/>
    <w:rsid w:val="005E5F29"/>
    <w:rsid w:val="005E6509"/>
    <w:rsid w:val="005E713C"/>
    <w:rsid w:val="005E74E0"/>
    <w:rsid w:val="005E7AAE"/>
    <w:rsid w:val="005F0A49"/>
    <w:rsid w:val="005F1050"/>
    <w:rsid w:val="005F10A3"/>
    <w:rsid w:val="005F180E"/>
    <w:rsid w:val="005F199F"/>
    <w:rsid w:val="005F1FCE"/>
    <w:rsid w:val="005F207D"/>
    <w:rsid w:val="005F26C9"/>
    <w:rsid w:val="005F2866"/>
    <w:rsid w:val="005F2903"/>
    <w:rsid w:val="005F2BF7"/>
    <w:rsid w:val="005F3265"/>
    <w:rsid w:val="005F33D2"/>
    <w:rsid w:val="005F3483"/>
    <w:rsid w:val="005F3BE7"/>
    <w:rsid w:val="005F5F05"/>
    <w:rsid w:val="005F5F20"/>
    <w:rsid w:val="005F7A06"/>
    <w:rsid w:val="005F7A71"/>
    <w:rsid w:val="006003A9"/>
    <w:rsid w:val="006004AC"/>
    <w:rsid w:val="00600C5C"/>
    <w:rsid w:val="0060129A"/>
    <w:rsid w:val="00601A06"/>
    <w:rsid w:val="00602117"/>
    <w:rsid w:val="0060259C"/>
    <w:rsid w:val="006028F5"/>
    <w:rsid w:val="00602D7B"/>
    <w:rsid w:val="00603257"/>
    <w:rsid w:val="00603B68"/>
    <w:rsid w:val="00604324"/>
    <w:rsid w:val="00604E1B"/>
    <w:rsid w:val="00604EEA"/>
    <w:rsid w:val="00604EF0"/>
    <w:rsid w:val="00605A28"/>
    <w:rsid w:val="0060627E"/>
    <w:rsid w:val="006063C5"/>
    <w:rsid w:val="00606560"/>
    <w:rsid w:val="00607184"/>
    <w:rsid w:val="0060769C"/>
    <w:rsid w:val="00607A2E"/>
    <w:rsid w:val="00607A7E"/>
    <w:rsid w:val="006102A7"/>
    <w:rsid w:val="00610AAD"/>
    <w:rsid w:val="00610BE2"/>
    <w:rsid w:val="006130F8"/>
    <w:rsid w:val="00613214"/>
    <w:rsid w:val="00613422"/>
    <w:rsid w:val="00614E87"/>
    <w:rsid w:val="00615841"/>
    <w:rsid w:val="006159AF"/>
    <w:rsid w:val="00615BED"/>
    <w:rsid w:val="00615DBF"/>
    <w:rsid w:val="006163C7"/>
    <w:rsid w:val="00616672"/>
    <w:rsid w:val="0061679F"/>
    <w:rsid w:val="00616C87"/>
    <w:rsid w:val="006171AC"/>
    <w:rsid w:val="0061752C"/>
    <w:rsid w:val="00617B0A"/>
    <w:rsid w:val="00620068"/>
    <w:rsid w:val="006202DD"/>
    <w:rsid w:val="00620E51"/>
    <w:rsid w:val="006213B2"/>
    <w:rsid w:val="00622D1C"/>
    <w:rsid w:val="00622EF3"/>
    <w:rsid w:val="00623310"/>
    <w:rsid w:val="0062401F"/>
    <w:rsid w:val="00624483"/>
    <w:rsid w:val="006255B6"/>
    <w:rsid w:val="00625836"/>
    <w:rsid w:val="006261C1"/>
    <w:rsid w:val="00626335"/>
    <w:rsid w:val="0062635B"/>
    <w:rsid w:val="00626C4F"/>
    <w:rsid w:val="00626DCD"/>
    <w:rsid w:val="006275B0"/>
    <w:rsid w:val="006276D5"/>
    <w:rsid w:val="0062780C"/>
    <w:rsid w:val="00627A78"/>
    <w:rsid w:val="00627ECF"/>
    <w:rsid w:val="0063022C"/>
    <w:rsid w:val="0063025C"/>
    <w:rsid w:val="00630319"/>
    <w:rsid w:val="00630A5C"/>
    <w:rsid w:val="00630E83"/>
    <w:rsid w:val="006316DC"/>
    <w:rsid w:val="00631719"/>
    <w:rsid w:val="00631865"/>
    <w:rsid w:val="00631970"/>
    <w:rsid w:val="0063198E"/>
    <w:rsid w:val="00631ACF"/>
    <w:rsid w:val="00631D1A"/>
    <w:rsid w:val="00632322"/>
    <w:rsid w:val="00632FF0"/>
    <w:rsid w:val="00634B2C"/>
    <w:rsid w:val="00635297"/>
    <w:rsid w:val="006357F7"/>
    <w:rsid w:val="00635E64"/>
    <w:rsid w:val="00635E67"/>
    <w:rsid w:val="00636D73"/>
    <w:rsid w:val="00637522"/>
    <w:rsid w:val="0063782B"/>
    <w:rsid w:val="00637FE9"/>
    <w:rsid w:val="006402BF"/>
    <w:rsid w:val="00640668"/>
    <w:rsid w:val="00641437"/>
    <w:rsid w:val="006414B3"/>
    <w:rsid w:val="00641C28"/>
    <w:rsid w:val="0064257B"/>
    <w:rsid w:val="00642645"/>
    <w:rsid w:val="00643857"/>
    <w:rsid w:val="00643C22"/>
    <w:rsid w:val="00644A91"/>
    <w:rsid w:val="006450C3"/>
    <w:rsid w:val="006452F3"/>
    <w:rsid w:val="0064663F"/>
    <w:rsid w:val="006469C9"/>
    <w:rsid w:val="0064723E"/>
    <w:rsid w:val="00647522"/>
    <w:rsid w:val="00647D75"/>
    <w:rsid w:val="006500B8"/>
    <w:rsid w:val="0065010E"/>
    <w:rsid w:val="00650317"/>
    <w:rsid w:val="00651133"/>
    <w:rsid w:val="00651307"/>
    <w:rsid w:val="00651A67"/>
    <w:rsid w:val="00652AB9"/>
    <w:rsid w:val="00652D16"/>
    <w:rsid w:val="00652EAE"/>
    <w:rsid w:val="006531B8"/>
    <w:rsid w:val="0065417E"/>
    <w:rsid w:val="00655029"/>
    <w:rsid w:val="00655A7E"/>
    <w:rsid w:val="00655EFE"/>
    <w:rsid w:val="0065684F"/>
    <w:rsid w:val="006571D2"/>
    <w:rsid w:val="00657221"/>
    <w:rsid w:val="00657821"/>
    <w:rsid w:val="00657CE9"/>
    <w:rsid w:val="00660C72"/>
    <w:rsid w:val="00660D8E"/>
    <w:rsid w:val="0066143D"/>
    <w:rsid w:val="006626E8"/>
    <w:rsid w:val="0066297B"/>
    <w:rsid w:val="00662A9E"/>
    <w:rsid w:val="006633E1"/>
    <w:rsid w:val="00663794"/>
    <w:rsid w:val="0066555A"/>
    <w:rsid w:val="0066565B"/>
    <w:rsid w:val="00665DB0"/>
    <w:rsid w:val="006661AC"/>
    <w:rsid w:val="00666330"/>
    <w:rsid w:val="006663BE"/>
    <w:rsid w:val="0066655D"/>
    <w:rsid w:val="00666A9C"/>
    <w:rsid w:val="0066738A"/>
    <w:rsid w:val="00667690"/>
    <w:rsid w:val="00667C35"/>
    <w:rsid w:val="006717F6"/>
    <w:rsid w:val="006726CA"/>
    <w:rsid w:val="00672C53"/>
    <w:rsid w:val="00673925"/>
    <w:rsid w:val="00673E91"/>
    <w:rsid w:val="006748C8"/>
    <w:rsid w:val="00674990"/>
    <w:rsid w:val="006754AE"/>
    <w:rsid w:val="00675678"/>
    <w:rsid w:val="00676121"/>
    <w:rsid w:val="006774CB"/>
    <w:rsid w:val="00677CBC"/>
    <w:rsid w:val="0068094E"/>
    <w:rsid w:val="00680B50"/>
    <w:rsid w:val="00680B54"/>
    <w:rsid w:val="00680E3A"/>
    <w:rsid w:val="00681753"/>
    <w:rsid w:val="00681C25"/>
    <w:rsid w:val="00682BC0"/>
    <w:rsid w:val="00682D8D"/>
    <w:rsid w:val="00682E16"/>
    <w:rsid w:val="00682E84"/>
    <w:rsid w:val="00683579"/>
    <w:rsid w:val="00683653"/>
    <w:rsid w:val="00683720"/>
    <w:rsid w:val="00683CE4"/>
    <w:rsid w:val="006840DB"/>
    <w:rsid w:val="0068440A"/>
    <w:rsid w:val="0068473C"/>
    <w:rsid w:val="00684DAD"/>
    <w:rsid w:val="00684E21"/>
    <w:rsid w:val="00685289"/>
    <w:rsid w:val="00685C13"/>
    <w:rsid w:val="00685D05"/>
    <w:rsid w:val="00686A87"/>
    <w:rsid w:val="00687AD6"/>
    <w:rsid w:val="00690544"/>
    <w:rsid w:val="006909A9"/>
    <w:rsid w:val="0069120B"/>
    <w:rsid w:val="00691355"/>
    <w:rsid w:val="00691734"/>
    <w:rsid w:val="0069254C"/>
    <w:rsid w:val="0069258D"/>
    <w:rsid w:val="00693731"/>
    <w:rsid w:val="00693787"/>
    <w:rsid w:val="00693CF4"/>
    <w:rsid w:val="00693D55"/>
    <w:rsid w:val="0069500A"/>
    <w:rsid w:val="006956E2"/>
    <w:rsid w:val="006959A5"/>
    <w:rsid w:val="0069644A"/>
    <w:rsid w:val="00696D8A"/>
    <w:rsid w:val="00696FC9"/>
    <w:rsid w:val="00696FFD"/>
    <w:rsid w:val="0069705E"/>
    <w:rsid w:val="006976FB"/>
    <w:rsid w:val="0069796F"/>
    <w:rsid w:val="00697BC1"/>
    <w:rsid w:val="006A0192"/>
    <w:rsid w:val="006A0254"/>
    <w:rsid w:val="006A0651"/>
    <w:rsid w:val="006A0CDA"/>
    <w:rsid w:val="006A0FAC"/>
    <w:rsid w:val="006A119F"/>
    <w:rsid w:val="006A2284"/>
    <w:rsid w:val="006A2726"/>
    <w:rsid w:val="006A387F"/>
    <w:rsid w:val="006A46C6"/>
    <w:rsid w:val="006A516F"/>
    <w:rsid w:val="006A5D8D"/>
    <w:rsid w:val="006A6671"/>
    <w:rsid w:val="006A6ADE"/>
    <w:rsid w:val="006A7711"/>
    <w:rsid w:val="006A7FD7"/>
    <w:rsid w:val="006B0025"/>
    <w:rsid w:val="006B00B0"/>
    <w:rsid w:val="006B01DE"/>
    <w:rsid w:val="006B0641"/>
    <w:rsid w:val="006B12B3"/>
    <w:rsid w:val="006B14A7"/>
    <w:rsid w:val="006B1F78"/>
    <w:rsid w:val="006B29B5"/>
    <w:rsid w:val="006B2F95"/>
    <w:rsid w:val="006B3636"/>
    <w:rsid w:val="006B3947"/>
    <w:rsid w:val="006B3B93"/>
    <w:rsid w:val="006B4C14"/>
    <w:rsid w:val="006B4EAB"/>
    <w:rsid w:val="006B5145"/>
    <w:rsid w:val="006B5417"/>
    <w:rsid w:val="006B5DAC"/>
    <w:rsid w:val="006B64A3"/>
    <w:rsid w:val="006B6522"/>
    <w:rsid w:val="006B6525"/>
    <w:rsid w:val="006B6561"/>
    <w:rsid w:val="006B68A9"/>
    <w:rsid w:val="006B6999"/>
    <w:rsid w:val="006B7321"/>
    <w:rsid w:val="006B7340"/>
    <w:rsid w:val="006B73AC"/>
    <w:rsid w:val="006B7608"/>
    <w:rsid w:val="006B79E1"/>
    <w:rsid w:val="006C0A95"/>
    <w:rsid w:val="006C1295"/>
    <w:rsid w:val="006C15F6"/>
    <w:rsid w:val="006C1F66"/>
    <w:rsid w:val="006C217B"/>
    <w:rsid w:val="006C2F32"/>
    <w:rsid w:val="006C3444"/>
    <w:rsid w:val="006C3714"/>
    <w:rsid w:val="006C380C"/>
    <w:rsid w:val="006C3CF3"/>
    <w:rsid w:val="006C477A"/>
    <w:rsid w:val="006C4AA4"/>
    <w:rsid w:val="006C4D4B"/>
    <w:rsid w:val="006C4DC3"/>
    <w:rsid w:val="006C4FA1"/>
    <w:rsid w:val="006C500F"/>
    <w:rsid w:val="006C5054"/>
    <w:rsid w:val="006C55D7"/>
    <w:rsid w:val="006C5A0E"/>
    <w:rsid w:val="006C5D5B"/>
    <w:rsid w:val="006C6886"/>
    <w:rsid w:val="006D0935"/>
    <w:rsid w:val="006D0E49"/>
    <w:rsid w:val="006D0F3E"/>
    <w:rsid w:val="006D1184"/>
    <w:rsid w:val="006D136A"/>
    <w:rsid w:val="006D18A4"/>
    <w:rsid w:val="006D22BD"/>
    <w:rsid w:val="006D2AEE"/>
    <w:rsid w:val="006D3089"/>
    <w:rsid w:val="006D373E"/>
    <w:rsid w:val="006D393B"/>
    <w:rsid w:val="006D39AB"/>
    <w:rsid w:val="006D39DA"/>
    <w:rsid w:val="006D456B"/>
    <w:rsid w:val="006D4C65"/>
    <w:rsid w:val="006D4E92"/>
    <w:rsid w:val="006D50EC"/>
    <w:rsid w:val="006D51BA"/>
    <w:rsid w:val="006D5250"/>
    <w:rsid w:val="006D55A2"/>
    <w:rsid w:val="006D566B"/>
    <w:rsid w:val="006D6288"/>
    <w:rsid w:val="006D68E0"/>
    <w:rsid w:val="006D75F2"/>
    <w:rsid w:val="006D79C1"/>
    <w:rsid w:val="006E0152"/>
    <w:rsid w:val="006E06D8"/>
    <w:rsid w:val="006E0BF8"/>
    <w:rsid w:val="006E0E40"/>
    <w:rsid w:val="006E14CD"/>
    <w:rsid w:val="006E16E9"/>
    <w:rsid w:val="006E1858"/>
    <w:rsid w:val="006E188D"/>
    <w:rsid w:val="006E2688"/>
    <w:rsid w:val="006E2E85"/>
    <w:rsid w:val="006E2EC8"/>
    <w:rsid w:val="006E3AC9"/>
    <w:rsid w:val="006E3EEB"/>
    <w:rsid w:val="006E4D9B"/>
    <w:rsid w:val="006E55DA"/>
    <w:rsid w:val="006E5F44"/>
    <w:rsid w:val="006E602C"/>
    <w:rsid w:val="006E71F1"/>
    <w:rsid w:val="006E7839"/>
    <w:rsid w:val="006E7868"/>
    <w:rsid w:val="006E7F4B"/>
    <w:rsid w:val="006F12A8"/>
    <w:rsid w:val="006F133C"/>
    <w:rsid w:val="006F174E"/>
    <w:rsid w:val="006F20A8"/>
    <w:rsid w:val="006F2136"/>
    <w:rsid w:val="006F262B"/>
    <w:rsid w:val="006F2AC3"/>
    <w:rsid w:val="006F3EEB"/>
    <w:rsid w:val="006F413F"/>
    <w:rsid w:val="006F4589"/>
    <w:rsid w:val="006F4601"/>
    <w:rsid w:val="006F4899"/>
    <w:rsid w:val="006F4E16"/>
    <w:rsid w:val="006F5C16"/>
    <w:rsid w:val="006F6032"/>
    <w:rsid w:val="006F66FE"/>
    <w:rsid w:val="006F6860"/>
    <w:rsid w:val="006F6E8F"/>
    <w:rsid w:val="006F7600"/>
    <w:rsid w:val="006F7975"/>
    <w:rsid w:val="006FDD2D"/>
    <w:rsid w:val="0070034F"/>
    <w:rsid w:val="00700643"/>
    <w:rsid w:val="00700A9E"/>
    <w:rsid w:val="00700F79"/>
    <w:rsid w:val="007024DA"/>
    <w:rsid w:val="00702C50"/>
    <w:rsid w:val="0070387B"/>
    <w:rsid w:val="00703BE1"/>
    <w:rsid w:val="007043E5"/>
    <w:rsid w:val="0070464B"/>
    <w:rsid w:val="00704743"/>
    <w:rsid w:val="00704F48"/>
    <w:rsid w:val="0070520B"/>
    <w:rsid w:val="007060CC"/>
    <w:rsid w:val="0070659B"/>
    <w:rsid w:val="00706DF7"/>
    <w:rsid w:val="00707084"/>
    <w:rsid w:val="00707C31"/>
    <w:rsid w:val="00710639"/>
    <w:rsid w:val="0071134B"/>
    <w:rsid w:val="00712873"/>
    <w:rsid w:val="00712CD5"/>
    <w:rsid w:val="00714976"/>
    <w:rsid w:val="007149B4"/>
    <w:rsid w:val="00714C23"/>
    <w:rsid w:val="00715A95"/>
    <w:rsid w:val="00716152"/>
    <w:rsid w:val="00716559"/>
    <w:rsid w:val="00716668"/>
    <w:rsid w:val="00716BE6"/>
    <w:rsid w:val="00716FF1"/>
    <w:rsid w:val="007173F1"/>
    <w:rsid w:val="007178FC"/>
    <w:rsid w:val="00717E0B"/>
    <w:rsid w:val="00721C73"/>
    <w:rsid w:val="00721D44"/>
    <w:rsid w:val="00722863"/>
    <w:rsid w:val="00723081"/>
    <w:rsid w:val="00723273"/>
    <w:rsid w:val="007242D5"/>
    <w:rsid w:val="00724B52"/>
    <w:rsid w:val="00724E15"/>
    <w:rsid w:val="00725DF1"/>
    <w:rsid w:val="007260A2"/>
    <w:rsid w:val="00726943"/>
    <w:rsid w:val="00726AC2"/>
    <w:rsid w:val="00727051"/>
    <w:rsid w:val="00730076"/>
    <w:rsid w:val="00731527"/>
    <w:rsid w:val="00732366"/>
    <w:rsid w:val="0073264E"/>
    <w:rsid w:val="00732A40"/>
    <w:rsid w:val="00732F27"/>
    <w:rsid w:val="0073331E"/>
    <w:rsid w:val="0073351B"/>
    <w:rsid w:val="00735053"/>
    <w:rsid w:val="00735680"/>
    <w:rsid w:val="00736151"/>
    <w:rsid w:val="007366CD"/>
    <w:rsid w:val="007369CA"/>
    <w:rsid w:val="007377E0"/>
    <w:rsid w:val="00740614"/>
    <w:rsid w:val="00741080"/>
    <w:rsid w:val="00742B55"/>
    <w:rsid w:val="00743258"/>
    <w:rsid w:val="0074381C"/>
    <w:rsid w:val="00743980"/>
    <w:rsid w:val="0074410F"/>
    <w:rsid w:val="007448E3"/>
    <w:rsid w:val="00744A64"/>
    <w:rsid w:val="00744FBC"/>
    <w:rsid w:val="00745923"/>
    <w:rsid w:val="00745CC1"/>
    <w:rsid w:val="0074664F"/>
    <w:rsid w:val="00750924"/>
    <w:rsid w:val="00750BD5"/>
    <w:rsid w:val="00750D36"/>
    <w:rsid w:val="007513A7"/>
    <w:rsid w:val="007516DB"/>
    <w:rsid w:val="00751ABC"/>
    <w:rsid w:val="00752931"/>
    <w:rsid w:val="00752C3B"/>
    <w:rsid w:val="007535E5"/>
    <w:rsid w:val="00753CE1"/>
    <w:rsid w:val="0075458D"/>
    <w:rsid w:val="00754D5D"/>
    <w:rsid w:val="00754E3A"/>
    <w:rsid w:val="00755005"/>
    <w:rsid w:val="007556FF"/>
    <w:rsid w:val="00755B01"/>
    <w:rsid w:val="007566E0"/>
    <w:rsid w:val="007567F2"/>
    <w:rsid w:val="00756B38"/>
    <w:rsid w:val="00756D52"/>
    <w:rsid w:val="00757666"/>
    <w:rsid w:val="007577A3"/>
    <w:rsid w:val="00757B89"/>
    <w:rsid w:val="0076156E"/>
    <w:rsid w:val="00761852"/>
    <w:rsid w:val="0076248B"/>
    <w:rsid w:val="0076337F"/>
    <w:rsid w:val="007638CF"/>
    <w:rsid w:val="00763DBD"/>
    <w:rsid w:val="00763F9F"/>
    <w:rsid w:val="0076442E"/>
    <w:rsid w:val="00765266"/>
    <w:rsid w:val="007655DB"/>
    <w:rsid w:val="00765608"/>
    <w:rsid w:val="00765A1F"/>
    <w:rsid w:val="00765AA3"/>
    <w:rsid w:val="00765FCF"/>
    <w:rsid w:val="0076672B"/>
    <w:rsid w:val="007677CF"/>
    <w:rsid w:val="00767A98"/>
    <w:rsid w:val="00767F32"/>
    <w:rsid w:val="007705CE"/>
    <w:rsid w:val="00770DDB"/>
    <w:rsid w:val="007712F9"/>
    <w:rsid w:val="00772232"/>
    <w:rsid w:val="00772558"/>
    <w:rsid w:val="00772CB3"/>
    <w:rsid w:val="00773058"/>
    <w:rsid w:val="00773220"/>
    <w:rsid w:val="00773B18"/>
    <w:rsid w:val="00773D44"/>
    <w:rsid w:val="00774127"/>
    <w:rsid w:val="007742F0"/>
    <w:rsid w:val="007745F8"/>
    <w:rsid w:val="00774AFE"/>
    <w:rsid w:val="00774B35"/>
    <w:rsid w:val="00774DBB"/>
    <w:rsid w:val="00774F0B"/>
    <w:rsid w:val="0077582A"/>
    <w:rsid w:val="00775992"/>
    <w:rsid w:val="00775DCE"/>
    <w:rsid w:val="0077644C"/>
    <w:rsid w:val="0077683E"/>
    <w:rsid w:val="00776977"/>
    <w:rsid w:val="007772B8"/>
    <w:rsid w:val="007775BB"/>
    <w:rsid w:val="00777A93"/>
    <w:rsid w:val="0078025F"/>
    <w:rsid w:val="00780521"/>
    <w:rsid w:val="007808FF"/>
    <w:rsid w:val="00780F1B"/>
    <w:rsid w:val="00781524"/>
    <w:rsid w:val="00781F03"/>
    <w:rsid w:val="0078341D"/>
    <w:rsid w:val="00783498"/>
    <w:rsid w:val="00784037"/>
    <w:rsid w:val="00784394"/>
    <w:rsid w:val="00784464"/>
    <w:rsid w:val="00784DE5"/>
    <w:rsid w:val="0078548F"/>
    <w:rsid w:val="007856C4"/>
    <w:rsid w:val="007870A3"/>
    <w:rsid w:val="00787177"/>
    <w:rsid w:val="0078724B"/>
    <w:rsid w:val="007876EA"/>
    <w:rsid w:val="007900F8"/>
    <w:rsid w:val="007903F8"/>
    <w:rsid w:val="0079224A"/>
    <w:rsid w:val="00792E53"/>
    <w:rsid w:val="00793C15"/>
    <w:rsid w:val="0079576B"/>
    <w:rsid w:val="00795B76"/>
    <w:rsid w:val="007969A6"/>
    <w:rsid w:val="00796BC3"/>
    <w:rsid w:val="00796D03"/>
    <w:rsid w:val="00797233"/>
    <w:rsid w:val="007972CD"/>
    <w:rsid w:val="007973F7"/>
    <w:rsid w:val="00797518"/>
    <w:rsid w:val="007A00E3"/>
    <w:rsid w:val="007A0B3B"/>
    <w:rsid w:val="007A0E4E"/>
    <w:rsid w:val="007A0FE7"/>
    <w:rsid w:val="007A1735"/>
    <w:rsid w:val="007A188D"/>
    <w:rsid w:val="007A21D2"/>
    <w:rsid w:val="007A2C55"/>
    <w:rsid w:val="007A3295"/>
    <w:rsid w:val="007A4F17"/>
    <w:rsid w:val="007A4FA7"/>
    <w:rsid w:val="007A5605"/>
    <w:rsid w:val="007A5C97"/>
    <w:rsid w:val="007A5E27"/>
    <w:rsid w:val="007A69B1"/>
    <w:rsid w:val="007A6F86"/>
    <w:rsid w:val="007A7252"/>
    <w:rsid w:val="007A78D1"/>
    <w:rsid w:val="007A7EA1"/>
    <w:rsid w:val="007B02BC"/>
    <w:rsid w:val="007B0793"/>
    <w:rsid w:val="007B0A58"/>
    <w:rsid w:val="007B1BC5"/>
    <w:rsid w:val="007B2330"/>
    <w:rsid w:val="007B2EBD"/>
    <w:rsid w:val="007B30C4"/>
    <w:rsid w:val="007B33EC"/>
    <w:rsid w:val="007B3457"/>
    <w:rsid w:val="007B3D74"/>
    <w:rsid w:val="007B3EE9"/>
    <w:rsid w:val="007B4074"/>
    <w:rsid w:val="007B48F9"/>
    <w:rsid w:val="007B71D4"/>
    <w:rsid w:val="007B73CC"/>
    <w:rsid w:val="007B7537"/>
    <w:rsid w:val="007C039D"/>
    <w:rsid w:val="007C0448"/>
    <w:rsid w:val="007C04AA"/>
    <w:rsid w:val="007C0817"/>
    <w:rsid w:val="007C08B2"/>
    <w:rsid w:val="007C0A77"/>
    <w:rsid w:val="007C0AC0"/>
    <w:rsid w:val="007C0CE4"/>
    <w:rsid w:val="007C0FD7"/>
    <w:rsid w:val="007C1170"/>
    <w:rsid w:val="007C18D7"/>
    <w:rsid w:val="007C1A44"/>
    <w:rsid w:val="007C1BBE"/>
    <w:rsid w:val="007C1C4E"/>
    <w:rsid w:val="007C23B2"/>
    <w:rsid w:val="007C26CA"/>
    <w:rsid w:val="007C2A7C"/>
    <w:rsid w:val="007C3899"/>
    <w:rsid w:val="007C4245"/>
    <w:rsid w:val="007C45AB"/>
    <w:rsid w:val="007C4602"/>
    <w:rsid w:val="007C4D00"/>
    <w:rsid w:val="007C4F6F"/>
    <w:rsid w:val="007C58F4"/>
    <w:rsid w:val="007C5A4D"/>
    <w:rsid w:val="007C5ADB"/>
    <w:rsid w:val="007C67B3"/>
    <w:rsid w:val="007C692D"/>
    <w:rsid w:val="007C69A1"/>
    <w:rsid w:val="007C6C98"/>
    <w:rsid w:val="007C796C"/>
    <w:rsid w:val="007C7F8B"/>
    <w:rsid w:val="007D0AB9"/>
    <w:rsid w:val="007D10D0"/>
    <w:rsid w:val="007D1332"/>
    <w:rsid w:val="007D13A2"/>
    <w:rsid w:val="007D1680"/>
    <w:rsid w:val="007D20F7"/>
    <w:rsid w:val="007D24AA"/>
    <w:rsid w:val="007D24E4"/>
    <w:rsid w:val="007D2CB6"/>
    <w:rsid w:val="007D319D"/>
    <w:rsid w:val="007D37C7"/>
    <w:rsid w:val="007D3C99"/>
    <w:rsid w:val="007D3E7B"/>
    <w:rsid w:val="007D4049"/>
    <w:rsid w:val="007D4B48"/>
    <w:rsid w:val="007D4EBD"/>
    <w:rsid w:val="007D5FBA"/>
    <w:rsid w:val="007D6039"/>
    <w:rsid w:val="007D6104"/>
    <w:rsid w:val="007D637C"/>
    <w:rsid w:val="007D6974"/>
    <w:rsid w:val="007D6F47"/>
    <w:rsid w:val="007D7B63"/>
    <w:rsid w:val="007D7BB9"/>
    <w:rsid w:val="007E0865"/>
    <w:rsid w:val="007E111D"/>
    <w:rsid w:val="007E1B4C"/>
    <w:rsid w:val="007E1DCE"/>
    <w:rsid w:val="007E1E3B"/>
    <w:rsid w:val="007E2A27"/>
    <w:rsid w:val="007E356F"/>
    <w:rsid w:val="007E3759"/>
    <w:rsid w:val="007E39D1"/>
    <w:rsid w:val="007E3B93"/>
    <w:rsid w:val="007E4320"/>
    <w:rsid w:val="007E5592"/>
    <w:rsid w:val="007E567E"/>
    <w:rsid w:val="007E5F17"/>
    <w:rsid w:val="007E60C1"/>
    <w:rsid w:val="007E6C93"/>
    <w:rsid w:val="007E6EA1"/>
    <w:rsid w:val="007E701F"/>
    <w:rsid w:val="007E75F9"/>
    <w:rsid w:val="007F04F0"/>
    <w:rsid w:val="007F0996"/>
    <w:rsid w:val="007F164E"/>
    <w:rsid w:val="007F1DAD"/>
    <w:rsid w:val="007F2013"/>
    <w:rsid w:val="007F2C6A"/>
    <w:rsid w:val="007F2E48"/>
    <w:rsid w:val="007F3152"/>
    <w:rsid w:val="007F368D"/>
    <w:rsid w:val="007F36A1"/>
    <w:rsid w:val="007F4008"/>
    <w:rsid w:val="007F419B"/>
    <w:rsid w:val="007F4E97"/>
    <w:rsid w:val="007F501A"/>
    <w:rsid w:val="007F55F8"/>
    <w:rsid w:val="007F5666"/>
    <w:rsid w:val="007F56F2"/>
    <w:rsid w:val="007F58B3"/>
    <w:rsid w:val="007F5956"/>
    <w:rsid w:val="007F720A"/>
    <w:rsid w:val="007F760F"/>
    <w:rsid w:val="007F7BC8"/>
    <w:rsid w:val="00800588"/>
    <w:rsid w:val="0080168F"/>
    <w:rsid w:val="00801D0F"/>
    <w:rsid w:val="008029A5"/>
    <w:rsid w:val="008029E0"/>
    <w:rsid w:val="00802AA2"/>
    <w:rsid w:val="00802CFC"/>
    <w:rsid w:val="00802D2B"/>
    <w:rsid w:val="00802D7E"/>
    <w:rsid w:val="008030F1"/>
    <w:rsid w:val="00803D4A"/>
    <w:rsid w:val="00804C6C"/>
    <w:rsid w:val="00804F10"/>
    <w:rsid w:val="008050B4"/>
    <w:rsid w:val="008055E7"/>
    <w:rsid w:val="008057FC"/>
    <w:rsid w:val="00805CC2"/>
    <w:rsid w:val="00810237"/>
    <w:rsid w:val="00810B2D"/>
    <w:rsid w:val="008111EC"/>
    <w:rsid w:val="00811372"/>
    <w:rsid w:val="0081143D"/>
    <w:rsid w:val="00812ED8"/>
    <w:rsid w:val="00813446"/>
    <w:rsid w:val="00813E90"/>
    <w:rsid w:val="00813FA6"/>
    <w:rsid w:val="00815199"/>
    <w:rsid w:val="00815F2D"/>
    <w:rsid w:val="008169E2"/>
    <w:rsid w:val="00816A58"/>
    <w:rsid w:val="008177E0"/>
    <w:rsid w:val="008200DC"/>
    <w:rsid w:val="00820607"/>
    <w:rsid w:val="008207BA"/>
    <w:rsid w:val="008208B9"/>
    <w:rsid w:val="00820CBD"/>
    <w:rsid w:val="008213AA"/>
    <w:rsid w:val="0082294C"/>
    <w:rsid w:val="00822F2B"/>
    <w:rsid w:val="0082361B"/>
    <w:rsid w:val="00823A35"/>
    <w:rsid w:val="00823DEC"/>
    <w:rsid w:val="00823FE3"/>
    <w:rsid w:val="0082409E"/>
    <w:rsid w:val="0082472C"/>
    <w:rsid w:val="00824B75"/>
    <w:rsid w:val="00825B4A"/>
    <w:rsid w:val="00825F41"/>
    <w:rsid w:val="0082620E"/>
    <w:rsid w:val="008272F1"/>
    <w:rsid w:val="00827302"/>
    <w:rsid w:val="00827757"/>
    <w:rsid w:val="00827E32"/>
    <w:rsid w:val="00827F52"/>
    <w:rsid w:val="00830A8B"/>
    <w:rsid w:val="00830EC2"/>
    <w:rsid w:val="00831D1F"/>
    <w:rsid w:val="00832842"/>
    <w:rsid w:val="0083307F"/>
    <w:rsid w:val="008332D7"/>
    <w:rsid w:val="0083337B"/>
    <w:rsid w:val="00833BE1"/>
    <w:rsid w:val="008347D8"/>
    <w:rsid w:val="00835214"/>
    <w:rsid w:val="00835B09"/>
    <w:rsid w:val="0083600C"/>
    <w:rsid w:val="008361FD"/>
    <w:rsid w:val="00836557"/>
    <w:rsid w:val="00836B59"/>
    <w:rsid w:val="00836CE7"/>
    <w:rsid w:val="008370A5"/>
    <w:rsid w:val="00837F12"/>
    <w:rsid w:val="00837F74"/>
    <w:rsid w:val="00840C98"/>
    <w:rsid w:val="00841501"/>
    <w:rsid w:val="00841695"/>
    <w:rsid w:val="008423BC"/>
    <w:rsid w:val="008427A9"/>
    <w:rsid w:val="00842EF5"/>
    <w:rsid w:val="008430EC"/>
    <w:rsid w:val="00843228"/>
    <w:rsid w:val="00843D11"/>
    <w:rsid w:val="00843DD3"/>
    <w:rsid w:val="008445D7"/>
    <w:rsid w:val="00845D57"/>
    <w:rsid w:val="00846372"/>
    <w:rsid w:val="00847798"/>
    <w:rsid w:val="00847CC1"/>
    <w:rsid w:val="00847CD4"/>
    <w:rsid w:val="0085013B"/>
    <w:rsid w:val="008511EA"/>
    <w:rsid w:val="00851206"/>
    <w:rsid w:val="0085215E"/>
    <w:rsid w:val="00852280"/>
    <w:rsid w:val="008524C3"/>
    <w:rsid w:val="00852937"/>
    <w:rsid w:val="00852B4E"/>
    <w:rsid w:val="00852EAA"/>
    <w:rsid w:val="008546B4"/>
    <w:rsid w:val="00854F20"/>
    <w:rsid w:val="0085507F"/>
    <w:rsid w:val="008555D8"/>
    <w:rsid w:val="0085602D"/>
    <w:rsid w:val="008568E8"/>
    <w:rsid w:val="00856EC4"/>
    <w:rsid w:val="00857312"/>
    <w:rsid w:val="008579BE"/>
    <w:rsid w:val="00857FB8"/>
    <w:rsid w:val="008606BE"/>
    <w:rsid w:val="00861055"/>
    <w:rsid w:val="008610EB"/>
    <w:rsid w:val="00861329"/>
    <w:rsid w:val="008613F9"/>
    <w:rsid w:val="008618F2"/>
    <w:rsid w:val="00861EAE"/>
    <w:rsid w:val="00862512"/>
    <w:rsid w:val="008627F1"/>
    <w:rsid w:val="00862F12"/>
    <w:rsid w:val="00863A79"/>
    <w:rsid w:val="00863F59"/>
    <w:rsid w:val="008643D1"/>
    <w:rsid w:val="0086457A"/>
    <w:rsid w:val="008648B4"/>
    <w:rsid w:val="0086536B"/>
    <w:rsid w:val="00865405"/>
    <w:rsid w:val="0086572A"/>
    <w:rsid w:val="0086708E"/>
    <w:rsid w:val="008670EB"/>
    <w:rsid w:val="0086785E"/>
    <w:rsid w:val="00867D6C"/>
    <w:rsid w:val="00870E3E"/>
    <w:rsid w:val="00871246"/>
    <w:rsid w:val="00871959"/>
    <w:rsid w:val="008723D3"/>
    <w:rsid w:val="00872CF9"/>
    <w:rsid w:val="00872FAD"/>
    <w:rsid w:val="00873535"/>
    <w:rsid w:val="00873A0A"/>
    <w:rsid w:val="00873BD4"/>
    <w:rsid w:val="00873C9B"/>
    <w:rsid w:val="00873CCE"/>
    <w:rsid w:val="00874007"/>
    <w:rsid w:val="0087411A"/>
    <w:rsid w:val="008744CD"/>
    <w:rsid w:val="0087556C"/>
    <w:rsid w:val="00876068"/>
    <w:rsid w:val="008763AA"/>
    <w:rsid w:val="00876E9E"/>
    <w:rsid w:val="008771DC"/>
    <w:rsid w:val="008801FE"/>
    <w:rsid w:val="00880CF9"/>
    <w:rsid w:val="0088124E"/>
    <w:rsid w:val="008816CA"/>
    <w:rsid w:val="00881D11"/>
    <w:rsid w:val="008827FE"/>
    <w:rsid w:val="00882C3D"/>
    <w:rsid w:val="00882FC0"/>
    <w:rsid w:val="0088323A"/>
    <w:rsid w:val="00883922"/>
    <w:rsid w:val="00883B57"/>
    <w:rsid w:val="00884636"/>
    <w:rsid w:val="00884EEA"/>
    <w:rsid w:val="00885364"/>
    <w:rsid w:val="0088547F"/>
    <w:rsid w:val="0088674E"/>
    <w:rsid w:val="00886F07"/>
    <w:rsid w:val="008905BB"/>
    <w:rsid w:val="00891705"/>
    <w:rsid w:val="008919E9"/>
    <w:rsid w:val="00891C3B"/>
    <w:rsid w:val="00891C52"/>
    <w:rsid w:val="00892037"/>
    <w:rsid w:val="00892E06"/>
    <w:rsid w:val="00892FF2"/>
    <w:rsid w:val="008930B0"/>
    <w:rsid w:val="00893250"/>
    <w:rsid w:val="008932DB"/>
    <w:rsid w:val="00893563"/>
    <w:rsid w:val="00893F85"/>
    <w:rsid w:val="00894281"/>
    <w:rsid w:val="0089479F"/>
    <w:rsid w:val="008963EE"/>
    <w:rsid w:val="00897986"/>
    <w:rsid w:val="00897C8A"/>
    <w:rsid w:val="008A0506"/>
    <w:rsid w:val="008A0741"/>
    <w:rsid w:val="008A07F1"/>
    <w:rsid w:val="008A0C3E"/>
    <w:rsid w:val="008A0F51"/>
    <w:rsid w:val="008A183B"/>
    <w:rsid w:val="008A1E7A"/>
    <w:rsid w:val="008A26DF"/>
    <w:rsid w:val="008A4DD0"/>
    <w:rsid w:val="008A51E0"/>
    <w:rsid w:val="008A5562"/>
    <w:rsid w:val="008A5915"/>
    <w:rsid w:val="008A5E02"/>
    <w:rsid w:val="008A7A4E"/>
    <w:rsid w:val="008B002D"/>
    <w:rsid w:val="008B006E"/>
    <w:rsid w:val="008B0199"/>
    <w:rsid w:val="008B044B"/>
    <w:rsid w:val="008B0FDC"/>
    <w:rsid w:val="008B1072"/>
    <w:rsid w:val="008B1406"/>
    <w:rsid w:val="008B1A07"/>
    <w:rsid w:val="008B268A"/>
    <w:rsid w:val="008B2C7B"/>
    <w:rsid w:val="008B3E81"/>
    <w:rsid w:val="008B41FC"/>
    <w:rsid w:val="008B423E"/>
    <w:rsid w:val="008B4778"/>
    <w:rsid w:val="008B5573"/>
    <w:rsid w:val="008B5C45"/>
    <w:rsid w:val="008B5ED1"/>
    <w:rsid w:val="008B6A9D"/>
    <w:rsid w:val="008B74F3"/>
    <w:rsid w:val="008B78AB"/>
    <w:rsid w:val="008B7FDE"/>
    <w:rsid w:val="008C0408"/>
    <w:rsid w:val="008C15B9"/>
    <w:rsid w:val="008C187B"/>
    <w:rsid w:val="008C18A2"/>
    <w:rsid w:val="008C23C9"/>
    <w:rsid w:val="008C271C"/>
    <w:rsid w:val="008C3C2C"/>
    <w:rsid w:val="008C3FCA"/>
    <w:rsid w:val="008C5C3B"/>
    <w:rsid w:val="008C5E95"/>
    <w:rsid w:val="008C6639"/>
    <w:rsid w:val="008C6E45"/>
    <w:rsid w:val="008C7137"/>
    <w:rsid w:val="008C75C3"/>
    <w:rsid w:val="008C7AFE"/>
    <w:rsid w:val="008C7FAD"/>
    <w:rsid w:val="008D021B"/>
    <w:rsid w:val="008D1D6A"/>
    <w:rsid w:val="008D1E33"/>
    <w:rsid w:val="008D209F"/>
    <w:rsid w:val="008D3001"/>
    <w:rsid w:val="008D3624"/>
    <w:rsid w:val="008D3895"/>
    <w:rsid w:val="008D3D8D"/>
    <w:rsid w:val="008D4EF5"/>
    <w:rsid w:val="008D509C"/>
    <w:rsid w:val="008D575F"/>
    <w:rsid w:val="008D5A5C"/>
    <w:rsid w:val="008D5CAA"/>
    <w:rsid w:val="008D5D74"/>
    <w:rsid w:val="008D5E6D"/>
    <w:rsid w:val="008D7892"/>
    <w:rsid w:val="008D7893"/>
    <w:rsid w:val="008D7CBF"/>
    <w:rsid w:val="008E0BD0"/>
    <w:rsid w:val="008E0F1D"/>
    <w:rsid w:val="008E1BBF"/>
    <w:rsid w:val="008E251A"/>
    <w:rsid w:val="008E2CFC"/>
    <w:rsid w:val="008E2E9F"/>
    <w:rsid w:val="008E2F34"/>
    <w:rsid w:val="008E35E2"/>
    <w:rsid w:val="008E3922"/>
    <w:rsid w:val="008E49DB"/>
    <w:rsid w:val="008E4D60"/>
    <w:rsid w:val="008E5968"/>
    <w:rsid w:val="008E5EA5"/>
    <w:rsid w:val="008E730D"/>
    <w:rsid w:val="008E744C"/>
    <w:rsid w:val="008E7718"/>
    <w:rsid w:val="008E7A7B"/>
    <w:rsid w:val="008E7F0F"/>
    <w:rsid w:val="008F12D8"/>
    <w:rsid w:val="008F174E"/>
    <w:rsid w:val="008F2A5E"/>
    <w:rsid w:val="008F2B65"/>
    <w:rsid w:val="008F3862"/>
    <w:rsid w:val="008F44B0"/>
    <w:rsid w:val="008F4792"/>
    <w:rsid w:val="008F4908"/>
    <w:rsid w:val="008F5D63"/>
    <w:rsid w:val="008F5F15"/>
    <w:rsid w:val="008F67B1"/>
    <w:rsid w:val="00900CFB"/>
    <w:rsid w:val="00901A61"/>
    <w:rsid w:val="00901C77"/>
    <w:rsid w:val="00902A37"/>
    <w:rsid w:val="00902C6E"/>
    <w:rsid w:val="0090420A"/>
    <w:rsid w:val="00904922"/>
    <w:rsid w:val="009054D0"/>
    <w:rsid w:val="0090563D"/>
    <w:rsid w:val="00905B18"/>
    <w:rsid w:val="00905CD0"/>
    <w:rsid w:val="00906383"/>
    <w:rsid w:val="009064E4"/>
    <w:rsid w:val="009064FB"/>
    <w:rsid w:val="0090662E"/>
    <w:rsid w:val="00906BD6"/>
    <w:rsid w:val="009076A7"/>
    <w:rsid w:val="00910063"/>
    <w:rsid w:val="00910233"/>
    <w:rsid w:val="009109B2"/>
    <w:rsid w:val="00910E5A"/>
    <w:rsid w:val="00912394"/>
    <w:rsid w:val="009132D5"/>
    <w:rsid w:val="009140F9"/>
    <w:rsid w:val="009157E0"/>
    <w:rsid w:val="00916042"/>
    <w:rsid w:val="00916998"/>
    <w:rsid w:val="00916AA1"/>
    <w:rsid w:val="00917DA8"/>
    <w:rsid w:val="00917E30"/>
    <w:rsid w:val="00920101"/>
    <w:rsid w:val="00920417"/>
    <w:rsid w:val="0092050C"/>
    <w:rsid w:val="009205EA"/>
    <w:rsid w:val="00920602"/>
    <w:rsid w:val="009213DF"/>
    <w:rsid w:val="00922FC0"/>
    <w:rsid w:val="00923D3A"/>
    <w:rsid w:val="00924872"/>
    <w:rsid w:val="00924CF8"/>
    <w:rsid w:val="00924E6F"/>
    <w:rsid w:val="00924FC5"/>
    <w:rsid w:val="009256A1"/>
    <w:rsid w:val="0092587C"/>
    <w:rsid w:val="009258CA"/>
    <w:rsid w:val="009266AB"/>
    <w:rsid w:val="00926EE1"/>
    <w:rsid w:val="0092777F"/>
    <w:rsid w:val="00927893"/>
    <w:rsid w:val="00927B1B"/>
    <w:rsid w:val="00927BE3"/>
    <w:rsid w:val="00927E7A"/>
    <w:rsid w:val="009301C3"/>
    <w:rsid w:val="00930BF5"/>
    <w:rsid w:val="00930DDF"/>
    <w:rsid w:val="00932340"/>
    <w:rsid w:val="00933160"/>
    <w:rsid w:val="009333E4"/>
    <w:rsid w:val="00933B69"/>
    <w:rsid w:val="00933CBB"/>
    <w:rsid w:val="009358C6"/>
    <w:rsid w:val="00935BBA"/>
    <w:rsid w:val="0093699E"/>
    <w:rsid w:val="00936AF4"/>
    <w:rsid w:val="00936B09"/>
    <w:rsid w:val="00936C3B"/>
    <w:rsid w:val="00936C4A"/>
    <w:rsid w:val="00937029"/>
    <w:rsid w:val="00937321"/>
    <w:rsid w:val="00937696"/>
    <w:rsid w:val="00937BB6"/>
    <w:rsid w:val="00937CE5"/>
    <w:rsid w:val="00937D2A"/>
    <w:rsid w:val="00940295"/>
    <w:rsid w:val="00940DDF"/>
    <w:rsid w:val="00941005"/>
    <w:rsid w:val="0094115E"/>
    <w:rsid w:val="0094125C"/>
    <w:rsid w:val="00941796"/>
    <w:rsid w:val="00941FF5"/>
    <w:rsid w:val="009420BE"/>
    <w:rsid w:val="0094219E"/>
    <w:rsid w:val="009421A8"/>
    <w:rsid w:val="0094290B"/>
    <w:rsid w:val="00942F38"/>
    <w:rsid w:val="0094323E"/>
    <w:rsid w:val="009435F2"/>
    <w:rsid w:val="009435F4"/>
    <w:rsid w:val="00944A8B"/>
    <w:rsid w:val="00945AD9"/>
    <w:rsid w:val="00945F48"/>
    <w:rsid w:val="009469FB"/>
    <w:rsid w:val="00946DD7"/>
    <w:rsid w:val="009504B5"/>
    <w:rsid w:val="00950B29"/>
    <w:rsid w:val="00950F5A"/>
    <w:rsid w:val="00951A68"/>
    <w:rsid w:val="00951DB2"/>
    <w:rsid w:val="00952997"/>
    <w:rsid w:val="00953432"/>
    <w:rsid w:val="00953692"/>
    <w:rsid w:val="00953D3C"/>
    <w:rsid w:val="00953D89"/>
    <w:rsid w:val="00954640"/>
    <w:rsid w:val="0095483C"/>
    <w:rsid w:val="00954D02"/>
    <w:rsid w:val="0095521F"/>
    <w:rsid w:val="0095532F"/>
    <w:rsid w:val="009554E6"/>
    <w:rsid w:val="00955CD8"/>
    <w:rsid w:val="00955F4C"/>
    <w:rsid w:val="00956C6E"/>
    <w:rsid w:val="00957234"/>
    <w:rsid w:val="00957A2C"/>
    <w:rsid w:val="00957B7D"/>
    <w:rsid w:val="00957CD6"/>
    <w:rsid w:val="00960131"/>
    <w:rsid w:val="009604B5"/>
    <w:rsid w:val="00960631"/>
    <w:rsid w:val="009611F6"/>
    <w:rsid w:val="00961575"/>
    <w:rsid w:val="00961BCE"/>
    <w:rsid w:val="009620EB"/>
    <w:rsid w:val="009622C1"/>
    <w:rsid w:val="0096290F"/>
    <w:rsid w:val="00962C87"/>
    <w:rsid w:val="00963071"/>
    <w:rsid w:val="009630E6"/>
    <w:rsid w:val="00963305"/>
    <w:rsid w:val="009633B8"/>
    <w:rsid w:val="00964CBB"/>
    <w:rsid w:val="00965227"/>
    <w:rsid w:val="0096533F"/>
    <w:rsid w:val="00965661"/>
    <w:rsid w:val="00965684"/>
    <w:rsid w:val="00965BB1"/>
    <w:rsid w:val="00966216"/>
    <w:rsid w:val="009666FE"/>
    <w:rsid w:val="009673D4"/>
    <w:rsid w:val="0097034C"/>
    <w:rsid w:val="00970984"/>
    <w:rsid w:val="00971167"/>
    <w:rsid w:val="009719B9"/>
    <w:rsid w:val="009722E3"/>
    <w:rsid w:val="00973447"/>
    <w:rsid w:val="0097389B"/>
    <w:rsid w:val="00974904"/>
    <w:rsid w:val="00974DED"/>
    <w:rsid w:val="0097515E"/>
    <w:rsid w:val="00975231"/>
    <w:rsid w:val="00975736"/>
    <w:rsid w:val="009757DA"/>
    <w:rsid w:val="00975ACB"/>
    <w:rsid w:val="00975EB8"/>
    <w:rsid w:val="0097655D"/>
    <w:rsid w:val="00976833"/>
    <w:rsid w:val="00976C43"/>
    <w:rsid w:val="00976CA5"/>
    <w:rsid w:val="00976E84"/>
    <w:rsid w:val="009776B7"/>
    <w:rsid w:val="00980459"/>
    <w:rsid w:val="009807EC"/>
    <w:rsid w:val="00980876"/>
    <w:rsid w:val="00981ED7"/>
    <w:rsid w:val="009823F5"/>
    <w:rsid w:val="009828F8"/>
    <w:rsid w:val="0098295F"/>
    <w:rsid w:val="00982C64"/>
    <w:rsid w:val="00983A94"/>
    <w:rsid w:val="00984684"/>
    <w:rsid w:val="009849BC"/>
    <w:rsid w:val="00984DE5"/>
    <w:rsid w:val="00985238"/>
    <w:rsid w:val="0098526E"/>
    <w:rsid w:val="009852A6"/>
    <w:rsid w:val="00985498"/>
    <w:rsid w:val="00985AF4"/>
    <w:rsid w:val="009860BE"/>
    <w:rsid w:val="009868B1"/>
    <w:rsid w:val="009872F4"/>
    <w:rsid w:val="0099083E"/>
    <w:rsid w:val="00990F9A"/>
    <w:rsid w:val="0099173C"/>
    <w:rsid w:val="00991F43"/>
    <w:rsid w:val="00992417"/>
    <w:rsid w:val="00992F88"/>
    <w:rsid w:val="00993110"/>
    <w:rsid w:val="0099391E"/>
    <w:rsid w:val="00993BAE"/>
    <w:rsid w:val="00993D5D"/>
    <w:rsid w:val="00993F74"/>
    <w:rsid w:val="009950AC"/>
    <w:rsid w:val="009951D2"/>
    <w:rsid w:val="009953C8"/>
    <w:rsid w:val="00996BFC"/>
    <w:rsid w:val="00996C8C"/>
    <w:rsid w:val="00996F20"/>
    <w:rsid w:val="00997096"/>
    <w:rsid w:val="00997141"/>
    <w:rsid w:val="0099735E"/>
    <w:rsid w:val="0099798A"/>
    <w:rsid w:val="00997B0E"/>
    <w:rsid w:val="00997EA1"/>
    <w:rsid w:val="009A0025"/>
    <w:rsid w:val="009A0795"/>
    <w:rsid w:val="009A0DBF"/>
    <w:rsid w:val="009A16D0"/>
    <w:rsid w:val="009A16FB"/>
    <w:rsid w:val="009A1B90"/>
    <w:rsid w:val="009A2515"/>
    <w:rsid w:val="009A291A"/>
    <w:rsid w:val="009A2AA8"/>
    <w:rsid w:val="009A2E45"/>
    <w:rsid w:val="009A36C8"/>
    <w:rsid w:val="009A435A"/>
    <w:rsid w:val="009A44E9"/>
    <w:rsid w:val="009A490A"/>
    <w:rsid w:val="009A4A24"/>
    <w:rsid w:val="009A4A8C"/>
    <w:rsid w:val="009A4E25"/>
    <w:rsid w:val="009A51C4"/>
    <w:rsid w:val="009A53E4"/>
    <w:rsid w:val="009A55AF"/>
    <w:rsid w:val="009A718E"/>
    <w:rsid w:val="009A7E14"/>
    <w:rsid w:val="009B0429"/>
    <w:rsid w:val="009B0567"/>
    <w:rsid w:val="009B0D79"/>
    <w:rsid w:val="009B0F12"/>
    <w:rsid w:val="009B18E3"/>
    <w:rsid w:val="009B1941"/>
    <w:rsid w:val="009B1DF7"/>
    <w:rsid w:val="009B2FC9"/>
    <w:rsid w:val="009B3401"/>
    <w:rsid w:val="009B3CB6"/>
    <w:rsid w:val="009B3CC9"/>
    <w:rsid w:val="009B4178"/>
    <w:rsid w:val="009B4606"/>
    <w:rsid w:val="009B4D75"/>
    <w:rsid w:val="009B5B32"/>
    <w:rsid w:val="009B65B4"/>
    <w:rsid w:val="009B73DB"/>
    <w:rsid w:val="009B75B9"/>
    <w:rsid w:val="009B760C"/>
    <w:rsid w:val="009B7745"/>
    <w:rsid w:val="009C00E0"/>
    <w:rsid w:val="009C136B"/>
    <w:rsid w:val="009C1882"/>
    <w:rsid w:val="009C1AA3"/>
    <w:rsid w:val="009C3321"/>
    <w:rsid w:val="009C3BA9"/>
    <w:rsid w:val="009C4E59"/>
    <w:rsid w:val="009C5046"/>
    <w:rsid w:val="009C6BB3"/>
    <w:rsid w:val="009C6DE9"/>
    <w:rsid w:val="009C71C4"/>
    <w:rsid w:val="009C725E"/>
    <w:rsid w:val="009C7B51"/>
    <w:rsid w:val="009C7E00"/>
    <w:rsid w:val="009D014C"/>
    <w:rsid w:val="009D0733"/>
    <w:rsid w:val="009D0CAA"/>
    <w:rsid w:val="009D182B"/>
    <w:rsid w:val="009D196D"/>
    <w:rsid w:val="009D1B67"/>
    <w:rsid w:val="009D1C7C"/>
    <w:rsid w:val="009D1DCF"/>
    <w:rsid w:val="009D219B"/>
    <w:rsid w:val="009D292A"/>
    <w:rsid w:val="009D2B21"/>
    <w:rsid w:val="009D3977"/>
    <w:rsid w:val="009D3E63"/>
    <w:rsid w:val="009D4948"/>
    <w:rsid w:val="009D5A04"/>
    <w:rsid w:val="009D5D31"/>
    <w:rsid w:val="009D63A6"/>
    <w:rsid w:val="009D6406"/>
    <w:rsid w:val="009D67D6"/>
    <w:rsid w:val="009D6B2A"/>
    <w:rsid w:val="009D6C73"/>
    <w:rsid w:val="009D78AA"/>
    <w:rsid w:val="009D78F5"/>
    <w:rsid w:val="009E0157"/>
    <w:rsid w:val="009E1161"/>
    <w:rsid w:val="009E1298"/>
    <w:rsid w:val="009E13F5"/>
    <w:rsid w:val="009E175F"/>
    <w:rsid w:val="009E1B65"/>
    <w:rsid w:val="009E213D"/>
    <w:rsid w:val="009E22DA"/>
    <w:rsid w:val="009E349A"/>
    <w:rsid w:val="009E4A40"/>
    <w:rsid w:val="009E4B43"/>
    <w:rsid w:val="009E4FAB"/>
    <w:rsid w:val="009E55BB"/>
    <w:rsid w:val="009E5CDB"/>
    <w:rsid w:val="009E5D56"/>
    <w:rsid w:val="009E6843"/>
    <w:rsid w:val="009F03FF"/>
    <w:rsid w:val="009F04DC"/>
    <w:rsid w:val="009F0B35"/>
    <w:rsid w:val="009F17D2"/>
    <w:rsid w:val="009F1B2D"/>
    <w:rsid w:val="009F1F8D"/>
    <w:rsid w:val="009F209E"/>
    <w:rsid w:val="009F24ED"/>
    <w:rsid w:val="009F2508"/>
    <w:rsid w:val="009F41BC"/>
    <w:rsid w:val="009F4945"/>
    <w:rsid w:val="009F5155"/>
    <w:rsid w:val="009F598D"/>
    <w:rsid w:val="009F6174"/>
    <w:rsid w:val="009F617C"/>
    <w:rsid w:val="009F6DC9"/>
    <w:rsid w:val="009F6F68"/>
    <w:rsid w:val="009F7277"/>
    <w:rsid w:val="009F7656"/>
    <w:rsid w:val="00A010DD"/>
    <w:rsid w:val="00A01B9E"/>
    <w:rsid w:val="00A022AC"/>
    <w:rsid w:val="00A02902"/>
    <w:rsid w:val="00A02979"/>
    <w:rsid w:val="00A02A5C"/>
    <w:rsid w:val="00A02AC0"/>
    <w:rsid w:val="00A0306B"/>
    <w:rsid w:val="00A030B3"/>
    <w:rsid w:val="00A03344"/>
    <w:rsid w:val="00A03B17"/>
    <w:rsid w:val="00A0407D"/>
    <w:rsid w:val="00A047B0"/>
    <w:rsid w:val="00A049FF"/>
    <w:rsid w:val="00A04C02"/>
    <w:rsid w:val="00A0588F"/>
    <w:rsid w:val="00A058F9"/>
    <w:rsid w:val="00A06EB8"/>
    <w:rsid w:val="00A06F52"/>
    <w:rsid w:val="00A072A7"/>
    <w:rsid w:val="00A07B41"/>
    <w:rsid w:val="00A07D41"/>
    <w:rsid w:val="00A1159F"/>
    <w:rsid w:val="00A125E7"/>
    <w:rsid w:val="00A13781"/>
    <w:rsid w:val="00A138E0"/>
    <w:rsid w:val="00A13B9C"/>
    <w:rsid w:val="00A14A91"/>
    <w:rsid w:val="00A14C4C"/>
    <w:rsid w:val="00A154DE"/>
    <w:rsid w:val="00A15673"/>
    <w:rsid w:val="00A15DD0"/>
    <w:rsid w:val="00A15F15"/>
    <w:rsid w:val="00A17687"/>
    <w:rsid w:val="00A20462"/>
    <w:rsid w:val="00A2213E"/>
    <w:rsid w:val="00A22293"/>
    <w:rsid w:val="00A22B23"/>
    <w:rsid w:val="00A232A3"/>
    <w:rsid w:val="00A23456"/>
    <w:rsid w:val="00A237F5"/>
    <w:rsid w:val="00A23CAC"/>
    <w:rsid w:val="00A24802"/>
    <w:rsid w:val="00A248C8"/>
    <w:rsid w:val="00A250B5"/>
    <w:rsid w:val="00A25E8C"/>
    <w:rsid w:val="00A26032"/>
    <w:rsid w:val="00A26341"/>
    <w:rsid w:val="00A275EE"/>
    <w:rsid w:val="00A27820"/>
    <w:rsid w:val="00A279A2"/>
    <w:rsid w:val="00A3058D"/>
    <w:rsid w:val="00A309CC"/>
    <w:rsid w:val="00A30E60"/>
    <w:rsid w:val="00A31607"/>
    <w:rsid w:val="00A31E29"/>
    <w:rsid w:val="00A321EE"/>
    <w:rsid w:val="00A32A5F"/>
    <w:rsid w:val="00A32CC6"/>
    <w:rsid w:val="00A33BC0"/>
    <w:rsid w:val="00A33F2B"/>
    <w:rsid w:val="00A34849"/>
    <w:rsid w:val="00A364A7"/>
    <w:rsid w:val="00A3783A"/>
    <w:rsid w:val="00A37F79"/>
    <w:rsid w:val="00A400AF"/>
    <w:rsid w:val="00A4097B"/>
    <w:rsid w:val="00A40FAD"/>
    <w:rsid w:val="00A41232"/>
    <w:rsid w:val="00A414E0"/>
    <w:rsid w:val="00A42C3A"/>
    <w:rsid w:val="00A4453A"/>
    <w:rsid w:val="00A44A5B"/>
    <w:rsid w:val="00A44BB5"/>
    <w:rsid w:val="00A451AC"/>
    <w:rsid w:val="00A45C9C"/>
    <w:rsid w:val="00A46B49"/>
    <w:rsid w:val="00A47087"/>
    <w:rsid w:val="00A47BB6"/>
    <w:rsid w:val="00A47EEB"/>
    <w:rsid w:val="00A47FBC"/>
    <w:rsid w:val="00A506FC"/>
    <w:rsid w:val="00A50829"/>
    <w:rsid w:val="00A512E6"/>
    <w:rsid w:val="00A5194A"/>
    <w:rsid w:val="00A51AC0"/>
    <w:rsid w:val="00A52102"/>
    <w:rsid w:val="00A524DC"/>
    <w:rsid w:val="00A52726"/>
    <w:rsid w:val="00A52AC2"/>
    <w:rsid w:val="00A531AA"/>
    <w:rsid w:val="00A53D0B"/>
    <w:rsid w:val="00A540F5"/>
    <w:rsid w:val="00A5468E"/>
    <w:rsid w:val="00A54AE2"/>
    <w:rsid w:val="00A54D23"/>
    <w:rsid w:val="00A55399"/>
    <w:rsid w:val="00A55A54"/>
    <w:rsid w:val="00A55AAD"/>
    <w:rsid w:val="00A55AFD"/>
    <w:rsid w:val="00A5603A"/>
    <w:rsid w:val="00A5614D"/>
    <w:rsid w:val="00A568C2"/>
    <w:rsid w:val="00A56DC4"/>
    <w:rsid w:val="00A5762A"/>
    <w:rsid w:val="00A577ED"/>
    <w:rsid w:val="00A57808"/>
    <w:rsid w:val="00A579CC"/>
    <w:rsid w:val="00A60576"/>
    <w:rsid w:val="00A61D51"/>
    <w:rsid w:val="00A61D65"/>
    <w:rsid w:val="00A6371E"/>
    <w:rsid w:val="00A6453F"/>
    <w:rsid w:val="00A64B8D"/>
    <w:rsid w:val="00A64C92"/>
    <w:rsid w:val="00A65608"/>
    <w:rsid w:val="00A65A00"/>
    <w:rsid w:val="00A65AAF"/>
    <w:rsid w:val="00A66103"/>
    <w:rsid w:val="00A66235"/>
    <w:rsid w:val="00A6650F"/>
    <w:rsid w:val="00A6661B"/>
    <w:rsid w:val="00A66AFA"/>
    <w:rsid w:val="00A67259"/>
    <w:rsid w:val="00A6733F"/>
    <w:rsid w:val="00A674B3"/>
    <w:rsid w:val="00A676FE"/>
    <w:rsid w:val="00A67E36"/>
    <w:rsid w:val="00A70779"/>
    <w:rsid w:val="00A70E61"/>
    <w:rsid w:val="00A7123A"/>
    <w:rsid w:val="00A71590"/>
    <w:rsid w:val="00A72381"/>
    <w:rsid w:val="00A72E34"/>
    <w:rsid w:val="00A72FF3"/>
    <w:rsid w:val="00A73418"/>
    <w:rsid w:val="00A73670"/>
    <w:rsid w:val="00A7370C"/>
    <w:rsid w:val="00A73EA1"/>
    <w:rsid w:val="00A744B9"/>
    <w:rsid w:val="00A74B92"/>
    <w:rsid w:val="00A74BC4"/>
    <w:rsid w:val="00A7532B"/>
    <w:rsid w:val="00A76139"/>
    <w:rsid w:val="00A762F7"/>
    <w:rsid w:val="00A76BAA"/>
    <w:rsid w:val="00A77615"/>
    <w:rsid w:val="00A77660"/>
    <w:rsid w:val="00A80288"/>
    <w:rsid w:val="00A8029E"/>
    <w:rsid w:val="00A80414"/>
    <w:rsid w:val="00A80C2C"/>
    <w:rsid w:val="00A81CFB"/>
    <w:rsid w:val="00A82178"/>
    <w:rsid w:val="00A8249E"/>
    <w:rsid w:val="00A82BBE"/>
    <w:rsid w:val="00A82BE0"/>
    <w:rsid w:val="00A832E1"/>
    <w:rsid w:val="00A8496F"/>
    <w:rsid w:val="00A84D34"/>
    <w:rsid w:val="00A84FF0"/>
    <w:rsid w:val="00A85420"/>
    <w:rsid w:val="00A855D7"/>
    <w:rsid w:val="00A86168"/>
    <w:rsid w:val="00A8642B"/>
    <w:rsid w:val="00A865FB"/>
    <w:rsid w:val="00A86A6E"/>
    <w:rsid w:val="00A878FE"/>
    <w:rsid w:val="00A9055E"/>
    <w:rsid w:val="00A90D58"/>
    <w:rsid w:val="00A912B2"/>
    <w:rsid w:val="00A9169B"/>
    <w:rsid w:val="00A92191"/>
    <w:rsid w:val="00A9252A"/>
    <w:rsid w:val="00A92C00"/>
    <w:rsid w:val="00A939F7"/>
    <w:rsid w:val="00A93CCC"/>
    <w:rsid w:val="00A93ED7"/>
    <w:rsid w:val="00A943F3"/>
    <w:rsid w:val="00A9492C"/>
    <w:rsid w:val="00A9496A"/>
    <w:rsid w:val="00A94A57"/>
    <w:rsid w:val="00A94B0B"/>
    <w:rsid w:val="00A950CB"/>
    <w:rsid w:val="00A956BC"/>
    <w:rsid w:val="00A96493"/>
    <w:rsid w:val="00A96A3D"/>
    <w:rsid w:val="00A96BA0"/>
    <w:rsid w:val="00A96C63"/>
    <w:rsid w:val="00A96D1C"/>
    <w:rsid w:val="00A97208"/>
    <w:rsid w:val="00A97474"/>
    <w:rsid w:val="00A9769B"/>
    <w:rsid w:val="00A978E2"/>
    <w:rsid w:val="00AA0624"/>
    <w:rsid w:val="00AA081B"/>
    <w:rsid w:val="00AA09DE"/>
    <w:rsid w:val="00AA0CE1"/>
    <w:rsid w:val="00AA0D8E"/>
    <w:rsid w:val="00AA0DCC"/>
    <w:rsid w:val="00AA1538"/>
    <w:rsid w:val="00AA18A4"/>
    <w:rsid w:val="00AA225C"/>
    <w:rsid w:val="00AA2E5C"/>
    <w:rsid w:val="00AA3743"/>
    <w:rsid w:val="00AA3DB7"/>
    <w:rsid w:val="00AA4486"/>
    <w:rsid w:val="00AA448C"/>
    <w:rsid w:val="00AA4C15"/>
    <w:rsid w:val="00AA55CD"/>
    <w:rsid w:val="00AA58DD"/>
    <w:rsid w:val="00AA5C0A"/>
    <w:rsid w:val="00AA61C9"/>
    <w:rsid w:val="00AA68DF"/>
    <w:rsid w:val="00AA6A77"/>
    <w:rsid w:val="00AA6CD8"/>
    <w:rsid w:val="00AA7AE5"/>
    <w:rsid w:val="00AB03B1"/>
    <w:rsid w:val="00AB099A"/>
    <w:rsid w:val="00AB1033"/>
    <w:rsid w:val="00AB1299"/>
    <w:rsid w:val="00AB13AC"/>
    <w:rsid w:val="00AB16C7"/>
    <w:rsid w:val="00AB1A68"/>
    <w:rsid w:val="00AB256B"/>
    <w:rsid w:val="00AB2A7B"/>
    <w:rsid w:val="00AB2D75"/>
    <w:rsid w:val="00AB3211"/>
    <w:rsid w:val="00AB33AF"/>
    <w:rsid w:val="00AB42D7"/>
    <w:rsid w:val="00AB4413"/>
    <w:rsid w:val="00AB44C0"/>
    <w:rsid w:val="00AB47C0"/>
    <w:rsid w:val="00AB4A14"/>
    <w:rsid w:val="00AB4E2D"/>
    <w:rsid w:val="00AB4F60"/>
    <w:rsid w:val="00AB52A1"/>
    <w:rsid w:val="00AB6A1C"/>
    <w:rsid w:val="00AB7317"/>
    <w:rsid w:val="00AB782B"/>
    <w:rsid w:val="00AB794A"/>
    <w:rsid w:val="00AB7CC4"/>
    <w:rsid w:val="00AC03BB"/>
    <w:rsid w:val="00AC0615"/>
    <w:rsid w:val="00AC09F1"/>
    <w:rsid w:val="00AC1077"/>
    <w:rsid w:val="00AC15AE"/>
    <w:rsid w:val="00AC1600"/>
    <w:rsid w:val="00AC1FBB"/>
    <w:rsid w:val="00AC2193"/>
    <w:rsid w:val="00AC27B1"/>
    <w:rsid w:val="00AC3BE1"/>
    <w:rsid w:val="00AC4632"/>
    <w:rsid w:val="00AC48CA"/>
    <w:rsid w:val="00AC7263"/>
    <w:rsid w:val="00AC77E2"/>
    <w:rsid w:val="00AC78E7"/>
    <w:rsid w:val="00AC7AF2"/>
    <w:rsid w:val="00AC7E5C"/>
    <w:rsid w:val="00AD0674"/>
    <w:rsid w:val="00AD0F3C"/>
    <w:rsid w:val="00AD14CD"/>
    <w:rsid w:val="00AD1788"/>
    <w:rsid w:val="00AD1A9F"/>
    <w:rsid w:val="00AD1C20"/>
    <w:rsid w:val="00AD1F7C"/>
    <w:rsid w:val="00AD28F3"/>
    <w:rsid w:val="00AD2F82"/>
    <w:rsid w:val="00AD3539"/>
    <w:rsid w:val="00AD376E"/>
    <w:rsid w:val="00AD37DB"/>
    <w:rsid w:val="00AD40BD"/>
    <w:rsid w:val="00AD4200"/>
    <w:rsid w:val="00AD4A5E"/>
    <w:rsid w:val="00AD4CEB"/>
    <w:rsid w:val="00AD5E08"/>
    <w:rsid w:val="00AD5FA3"/>
    <w:rsid w:val="00AD6123"/>
    <w:rsid w:val="00AD632C"/>
    <w:rsid w:val="00AD676E"/>
    <w:rsid w:val="00AD6B07"/>
    <w:rsid w:val="00AD6E68"/>
    <w:rsid w:val="00AD753D"/>
    <w:rsid w:val="00AD7B96"/>
    <w:rsid w:val="00AD7C88"/>
    <w:rsid w:val="00AE0218"/>
    <w:rsid w:val="00AE04C1"/>
    <w:rsid w:val="00AE09E9"/>
    <w:rsid w:val="00AE0B71"/>
    <w:rsid w:val="00AE1D67"/>
    <w:rsid w:val="00AE1EB3"/>
    <w:rsid w:val="00AE267F"/>
    <w:rsid w:val="00AE2C87"/>
    <w:rsid w:val="00AE2E1B"/>
    <w:rsid w:val="00AE3067"/>
    <w:rsid w:val="00AE3753"/>
    <w:rsid w:val="00AE4305"/>
    <w:rsid w:val="00AE4308"/>
    <w:rsid w:val="00AE447B"/>
    <w:rsid w:val="00AE4A2F"/>
    <w:rsid w:val="00AE5653"/>
    <w:rsid w:val="00AE65A1"/>
    <w:rsid w:val="00AE65C8"/>
    <w:rsid w:val="00AE695E"/>
    <w:rsid w:val="00AE7477"/>
    <w:rsid w:val="00AE7D10"/>
    <w:rsid w:val="00AF0448"/>
    <w:rsid w:val="00AF046D"/>
    <w:rsid w:val="00AF0F8D"/>
    <w:rsid w:val="00AF15F6"/>
    <w:rsid w:val="00AF17D0"/>
    <w:rsid w:val="00AF1A05"/>
    <w:rsid w:val="00AF2E5A"/>
    <w:rsid w:val="00AF32B6"/>
    <w:rsid w:val="00AF46FF"/>
    <w:rsid w:val="00AF476B"/>
    <w:rsid w:val="00AF49FE"/>
    <w:rsid w:val="00AF4C6E"/>
    <w:rsid w:val="00AF4E54"/>
    <w:rsid w:val="00AF5279"/>
    <w:rsid w:val="00AF54B0"/>
    <w:rsid w:val="00AF5892"/>
    <w:rsid w:val="00AF62C1"/>
    <w:rsid w:val="00B009D3"/>
    <w:rsid w:val="00B00EAE"/>
    <w:rsid w:val="00B010D3"/>
    <w:rsid w:val="00B017B9"/>
    <w:rsid w:val="00B01A78"/>
    <w:rsid w:val="00B0294A"/>
    <w:rsid w:val="00B02F33"/>
    <w:rsid w:val="00B0387B"/>
    <w:rsid w:val="00B03900"/>
    <w:rsid w:val="00B042B8"/>
    <w:rsid w:val="00B04389"/>
    <w:rsid w:val="00B04E24"/>
    <w:rsid w:val="00B06540"/>
    <w:rsid w:val="00B067FC"/>
    <w:rsid w:val="00B06BE2"/>
    <w:rsid w:val="00B10EFD"/>
    <w:rsid w:val="00B10F7D"/>
    <w:rsid w:val="00B1113A"/>
    <w:rsid w:val="00B117E5"/>
    <w:rsid w:val="00B12E7B"/>
    <w:rsid w:val="00B131C3"/>
    <w:rsid w:val="00B134E4"/>
    <w:rsid w:val="00B13972"/>
    <w:rsid w:val="00B14027"/>
    <w:rsid w:val="00B1430D"/>
    <w:rsid w:val="00B14C95"/>
    <w:rsid w:val="00B14F9D"/>
    <w:rsid w:val="00B15D8D"/>
    <w:rsid w:val="00B1628B"/>
    <w:rsid w:val="00B164C8"/>
    <w:rsid w:val="00B16E7F"/>
    <w:rsid w:val="00B1743F"/>
    <w:rsid w:val="00B175C1"/>
    <w:rsid w:val="00B2052E"/>
    <w:rsid w:val="00B20A20"/>
    <w:rsid w:val="00B20C3A"/>
    <w:rsid w:val="00B2156B"/>
    <w:rsid w:val="00B21CCF"/>
    <w:rsid w:val="00B21F49"/>
    <w:rsid w:val="00B22632"/>
    <w:rsid w:val="00B22E82"/>
    <w:rsid w:val="00B230CF"/>
    <w:rsid w:val="00B2359E"/>
    <w:rsid w:val="00B239C5"/>
    <w:rsid w:val="00B23A6A"/>
    <w:rsid w:val="00B24AF2"/>
    <w:rsid w:val="00B24DFB"/>
    <w:rsid w:val="00B255FF"/>
    <w:rsid w:val="00B2578B"/>
    <w:rsid w:val="00B25976"/>
    <w:rsid w:val="00B26C5E"/>
    <w:rsid w:val="00B26F7F"/>
    <w:rsid w:val="00B27F7C"/>
    <w:rsid w:val="00B30904"/>
    <w:rsid w:val="00B30EF2"/>
    <w:rsid w:val="00B30F33"/>
    <w:rsid w:val="00B31905"/>
    <w:rsid w:val="00B319EB"/>
    <w:rsid w:val="00B31ADB"/>
    <w:rsid w:val="00B32D83"/>
    <w:rsid w:val="00B337E2"/>
    <w:rsid w:val="00B33800"/>
    <w:rsid w:val="00B33A1E"/>
    <w:rsid w:val="00B352FD"/>
    <w:rsid w:val="00B35BAF"/>
    <w:rsid w:val="00B36F4F"/>
    <w:rsid w:val="00B377F8"/>
    <w:rsid w:val="00B40008"/>
    <w:rsid w:val="00B4041D"/>
    <w:rsid w:val="00B40EE2"/>
    <w:rsid w:val="00B40F6D"/>
    <w:rsid w:val="00B4103B"/>
    <w:rsid w:val="00B41215"/>
    <w:rsid w:val="00B41F36"/>
    <w:rsid w:val="00B41F95"/>
    <w:rsid w:val="00B4213D"/>
    <w:rsid w:val="00B42993"/>
    <w:rsid w:val="00B42E11"/>
    <w:rsid w:val="00B43E81"/>
    <w:rsid w:val="00B43EE2"/>
    <w:rsid w:val="00B44C8A"/>
    <w:rsid w:val="00B45737"/>
    <w:rsid w:val="00B46F77"/>
    <w:rsid w:val="00B4739A"/>
    <w:rsid w:val="00B47AA5"/>
    <w:rsid w:val="00B47BD4"/>
    <w:rsid w:val="00B47C7F"/>
    <w:rsid w:val="00B500AF"/>
    <w:rsid w:val="00B50310"/>
    <w:rsid w:val="00B505F8"/>
    <w:rsid w:val="00B50618"/>
    <w:rsid w:val="00B511F3"/>
    <w:rsid w:val="00B516ED"/>
    <w:rsid w:val="00B5199E"/>
    <w:rsid w:val="00B51AD4"/>
    <w:rsid w:val="00B5218C"/>
    <w:rsid w:val="00B5236A"/>
    <w:rsid w:val="00B52563"/>
    <w:rsid w:val="00B5312A"/>
    <w:rsid w:val="00B5325C"/>
    <w:rsid w:val="00B53563"/>
    <w:rsid w:val="00B55075"/>
    <w:rsid w:val="00B551EA"/>
    <w:rsid w:val="00B551F7"/>
    <w:rsid w:val="00B557C1"/>
    <w:rsid w:val="00B56065"/>
    <w:rsid w:val="00B560CB"/>
    <w:rsid w:val="00B57271"/>
    <w:rsid w:val="00B57283"/>
    <w:rsid w:val="00B5772E"/>
    <w:rsid w:val="00B57C0A"/>
    <w:rsid w:val="00B57E5F"/>
    <w:rsid w:val="00B57F7F"/>
    <w:rsid w:val="00B601A9"/>
    <w:rsid w:val="00B60520"/>
    <w:rsid w:val="00B6094D"/>
    <w:rsid w:val="00B60AB2"/>
    <w:rsid w:val="00B60BD5"/>
    <w:rsid w:val="00B615A2"/>
    <w:rsid w:val="00B61B8E"/>
    <w:rsid w:val="00B61F7D"/>
    <w:rsid w:val="00B62E8B"/>
    <w:rsid w:val="00B632ED"/>
    <w:rsid w:val="00B634D3"/>
    <w:rsid w:val="00B636F0"/>
    <w:rsid w:val="00B637E1"/>
    <w:rsid w:val="00B63EA6"/>
    <w:rsid w:val="00B64207"/>
    <w:rsid w:val="00B64260"/>
    <w:rsid w:val="00B64549"/>
    <w:rsid w:val="00B64FCA"/>
    <w:rsid w:val="00B65D15"/>
    <w:rsid w:val="00B65E8D"/>
    <w:rsid w:val="00B67146"/>
    <w:rsid w:val="00B67C9B"/>
    <w:rsid w:val="00B70693"/>
    <w:rsid w:val="00B71129"/>
    <w:rsid w:val="00B7243F"/>
    <w:rsid w:val="00B724FD"/>
    <w:rsid w:val="00B73830"/>
    <w:rsid w:val="00B74401"/>
    <w:rsid w:val="00B74709"/>
    <w:rsid w:val="00B748A0"/>
    <w:rsid w:val="00B74CA8"/>
    <w:rsid w:val="00B74CB4"/>
    <w:rsid w:val="00B7550B"/>
    <w:rsid w:val="00B755B1"/>
    <w:rsid w:val="00B762A8"/>
    <w:rsid w:val="00B771A1"/>
    <w:rsid w:val="00B808DF"/>
    <w:rsid w:val="00B809D1"/>
    <w:rsid w:val="00B80E8B"/>
    <w:rsid w:val="00B81888"/>
    <w:rsid w:val="00B8210E"/>
    <w:rsid w:val="00B834B6"/>
    <w:rsid w:val="00B8370F"/>
    <w:rsid w:val="00B838DD"/>
    <w:rsid w:val="00B83CDE"/>
    <w:rsid w:val="00B844AB"/>
    <w:rsid w:val="00B846AC"/>
    <w:rsid w:val="00B85A01"/>
    <w:rsid w:val="00B85D6E"/>
    <w:rsid w:val="00B8632B"/>
    <w:rsid w:val="00B86827"/>
    <w:rsid w:val="00B86D85"/>
    <w:rsid w:val="00B87473"/>
    <w:rsid w:val="00B87713"/>
    <w:rsid w:val="00B90451"/>
    <w:rsid w:val="00B917E0"/>
    <w:rsid w:val="00B9253D"/>
    <w:rsid w:val="00B92873"/>
    <w:rsid w:val="00B92946"/>
    <w:rsid w:val="00B93132"/>
    <w:rsid w:val="00B93278"/>
    <w:rsid w:val="00B93389"/>
    <w:rsid w:val="00B9386D"/>
    <w:rsid w:val="00B93C35"/>
    <w:rsid w:val="00B94879"/>
    <w:rsid w:val="00B94B23"/>
    <w:rsid w:val="00B94C4E"/>
    <w:rsid w:val="00B9517B"/>
    <w:rsid w:val="00B964A4"/>
    <w:rsid w:val="00B96743"/>
    <w:rsid w:val="00B96A95"/>
    <w:rsid w:val="00B97D89"/>
    <w:rsid w:val="00BA0041"/>
    <w:rsid w:val="00BA1E4B"/>
    <w:rsid w:val="00BA227A"/>
    <w:rsid w:val="00BA2385"/>
    <w:rsid w:val="00BA2D03"/>
    <w:rsid w:val="00BA358B"/>
    <w:rsid w:val="00BA35F6"/>
    <w:rsid w:val="00BA3CA1"/>
    <w:rsid w:val="00BA45EC"/>
    <w:rsid w:val="00BA47FE"/>
    <w:rsid w:val="00BA4A3D"/>
    <w:rsid w:val="00BA4B3C"/>
    <w:rsid w:val="00BA53C6"/>
    <w:rsid w:val="00BA556D"/>
    <w:rsid w:val="00BA585F"/>
    <w:rsid w:val="00BA5A70"/>
    <w:rsid w:val="00BA5D1D"/>
    <w:rsid w:val="00BA606E"/>
    <w:rsid w:val="00BA64DD"/>
    <w:rsid w:val="00BA67FA"/>
    <w:rsid w:val="00BA6C5C"/>
    <w:rsid w:val="00BA6E23"/>
    <w:rsid w:val="00BA7B85"/>
    <w:rsid w:val="00BA7EE8"/>
    <w:rsid w:val="00BB00DF"/>
    <w:rsid w:val="00BB0701"/>
    <w:rsid w:val="00BB0AFD"/>
    <w:rsid w:val="00BB10AC"/>
    <w:rsid w:val="00BB1943"/>
    <w:rsid w:val="00BB1C73"/>
    <w:rsid w:val="00BB27FE"/>
    <w:rsid w:val="00BB2A87"/>
    <w:rsid w:val="00BB2B25"/>
    <w:rsid w:val="00BB33BA"/>
    <w:rsid w:val="00BB3BE9"/>
    <w:rsid w:val="00BB3C2E"/>
    <w:rsid w:val="00BB3C84"/>
    <w:rsid w:val="00BB413D"/>
    <w:rsid w:val="00BB47FD"/>
    <w:rsid w:val="00BB4BE4"/>
    <w:rsid w:val="00BB4C24"/>
    <w:rsid w:val="00BB5AAA"/>
    <w:rsid w:val="00BB5D66"/>
    <w:rsid w:val="00BB5E3C"/>
    <w:rsid w:val="00BB6382"/>
    <w:rsid w:val="00BB6B5E"/>
    <w:rsid w:val="00BB6C8F"/>
    <w:rsid w:val="00BB74C5"/>
    <w:rsid w:val="00BB7C8F"/>
    <w:rsid w:val="00BB7CAA"/>
    <w:rsid w:val="00BB7E85"/>
    <w:rsid w:val="00BB7EFF"/>
    <w:rsid w:val="00BC0C55"/>
    <w:rsid w:val="00BC1061"/>
    <w:rsid w:val="00BC118D"/>
    <w:rsid w:val="00BC21A1"/>
    <w:rsid w:val="00BC2811"/>
    <w:rsid w:val="00BC2A20"/>
    <w:rsid w:val="00BC2DCB"/>
    <w:rsid w:val="00BC3321"/>
    <w:rsid w:val="00BC38F8"/>
    <w:rsid w:val="00BC41E7"/>
    <w:rsid w:val="00BC4E02"/>
    <w:rsid w:val="00BC5378"/>
    <w:rsid w:val="00BC5596"/>
    <w:rsid w:val="00BC5CC7"/>
    <w:rsid w:val="00BC5F56"/>
    <w:rsid w:val="00BC67C1"/>
    <w:rsid w:val="00BC6CA8"/>
    <w:rsid w:val="00BC6E15"/>
    <w:rsid w:val="00BC726F"/>
    <w:rsid w:val="00BD0439"/>
    <w:rsid w:val="00BD08F6"/>
    <w:rsid w:val="00BD099D"/>
    <w:rsid w:val="00BD0ACC"/>
    <w:rsid w:val="00BD0B20"/>
    <w:rsid w:val="00BD13D8"/>
    <w:rsid w:val="00BD1543"/>
    <w:rsid w:val="00BD19D2"/>
    <w:rsid w:val="00BD1BB1"/>
    <w:rsid w:val="00BD1EC5"/>
    <w:rsid w:val="00BD240A"/>
    <w:rsid w:val="00BD2B59"/>
    <w:rsid w:val="00BD2CD4"/>
    <w:rsid w:val="00BD3046"/>
    <w:rsid w:val="00BD3402"/>
    <w:rsid w:val="00BD3601"/>
    <w:rsid w:val="00BD3661"/>
    <w:rsid w:val="00BD51F6"/>
    <w:rsid w:val="00BD57E6"/>
    <w:rsid w:val="00BD5BC4"/>
    <w:rsid w:val="00BD65A9"/>
    <w:rsid w:val="00BD6653"/>
    <w:rsid w:val="00BD6A6F"/>
    <w:rsid w:val="00BD6ACF"/>
    <w:rsid w:val="00BD6EF1"/>
    <w:rsid w:val="00BD7167"/>
    <w:rsid w:val="00BD7358"/>
    <w:rsid w:val="00BD7E61"/>
    <w:rsid w:val="00BE0003"/>
    <w:rsid w:val="00BE0544"/>
    <w:rsid w:val="00BE067F"/>
    <w:rsid w:val="00BE0F7B"/>
    <w:rsid w:val="00BE12D2"/>
    <w:rsid w:val="00BE140B"/>
    <w:rsid w:val="00BE1B6D"/>
    <w:rsid w:val="00BE1D21"/>
    <w:rsid w:val="00BE2924"/>
    <w:rsid w:val="00BE2AF2"/>
    <w:rsid w:val="00BE2E92"/>
    <w:rsid w:val="00BE4A9F"/>
    <w:rsid w:val="00BE4DC2"/>
    <w:rsid w:val="00BE5051"/>
    <w:rsid w:val="00BE52AE"/>
    <w:rsid w:val="00BE5597"/>
    <w:rsid w:val="00BE55EB"/>
    <w:rsid w:val="00BE575C"/>
    <w:rsid w:val="00BE75B0"/>
    <w:rsid w:val="00BE7651"/>
    <w:rsid w:val="00BE76E7"/>
    <w:rsid w:val="00BE774E"/>
    <w:rsid w:val="00BF008E"/>
    <w:rsid w:val="00BF0DAA"/>
    <w:rsid w:val="00BF273F"/>
    <w:rsid w:val="00BF3D99"/>
    <w:rsid w:val="00BF4300"/>
    <w:rsid w:val="00BF475D"/>
    <w:rsid w:val="00BF484A"/>
    <w:rsid w:val="00BF50BF"/>
    <w:rsid w:val="00BF52EC"/>
    <w:rsid w:val="00BF56CA"/>
    <w:rsid w:val="00BF5742"/>
    <w:rsid w:val="00BF5A20"/>
    <w:rsid w:val="00BF5BBA"/>
    <w:rsid w:val="00BF5D98"/>
    <w:rsid w:val="00BF66DE"/>
    <w:rsid w:val="00BF74C7"/>
    <w:rsid w:val="00C003E4"/>
    <w:rsid w:val="00C005E6"/>
    <w:rsid w:val="00C00882"/>
    <w:rsid w:val="00C008BC"/>
    <w:rsid w:val="00C01E14"/>
    <w:rsid w:val="00C02639"/>
    <w:rsid w:val="00C03C8C"/>
    <w:rsid w:val="00C03DFC"/>
    <w:rsid w:val="00C04887"/>
    <w:rsid w:val="00C05498"/>
    <w:rsid w:val="00C064B4"/>
    <w:rsid w:val="00C06522"/>
    <w:rsid w:val="00C06AFE"/>
    <w:rsid w:val="00C07B04"/>
    <w:rsid w:val="00C10318"/>
    <w:rsid w:val="00C10856"/>
    <w:rsid w:val="00C10FED"/>
    <w:rsid w:val="00C117FF"/>
    <w:rsid w:val="00C1183F"/>
    <w:rsid w:val="00C121DE"/>
    <w:rsid w:val="00C1242B"/>
    <w:rsid w:val="00C129E0"/>
    <w:rsid w:val="00C1360F"/>
    <w:rsid w:val="00C13BED"/>
    <w:rsid w:val="00C13CE9"/>
    <w:rsid w:val="00C14800"/>
    <w:rsid w:val="00C14B33"/>
    <w:rsid w:val="00C164B4"/>
    <w:rsid w:val="00C16F45"/>
    <w:rsid w:val="00C17429"/>
    <w:rsid w:val="00C20938"/>
    <w:rsid w:val="00C20CAE"/>
    <w:rsid w:val="00C20E28"/>
    <w:rsid w:val="00C218DA"/>
    <w:rsid w:val="00C2193A"/>
    <w:rsid w:val="00C21E9B"/>
    <w:rsid w:val="00C22BAC"/>
    <w:rsid w:val="00C22E86"/>
    <w:rsid w:val="00C238E8"/>
    <w:rsid w:val="00C2437B"/>
    <w:rsid w:val="00C24760"/>
    <w:rsid w:val="00C256F4"/>
    <w:rsid w:val="00C25707"/>
    <w:rsid w:val="00C265B2"/>
    <w:rsid w:val="00C2662D"/>
    <w:rsid w:val="00C2690C"/>
    <w:rsid w:val="00C2727D"/>
    <w:rsid w:val="00C279DB"/>
    <w:rsid w:val="00C27C99"/>
    <w:rsid w:val="00C30274"/>
    <w:rsid w:val="00C3097E"/>
    <w:rsid w:val="00C31291"/>
    <w:rsid w:val="00C317E2"/>
    <w:rsid w:val="00C3218C"/>
    <w:rsid w:val="00C32772"/>
    <w:rsid w:val="00C32986"/>
    <w:rsid w:val="00C32C1F"/>
    <w:rsid w:val="00C32E6B"/>
    <w:rsid w:val="00C331E6"/>
    <w:rsid w:val="00C33770"/>
    <w:rsid w:val="00C33A48"/>
    <w:rsid w:val="00C33B7E"/>
    <w:rsid w:val="00C33EA4"/>
    <w:rsid w:val="00C34797"/>
    <w:rsid w:val="00C348D0"/>
    <w:rsid w:val="00C350B7"/>
    <w:rsid w:val="00C35357"/>
    <w:rsid w:val="00C356B1"/>
    <w:rsid w:val="00C35868"/>
    <w:rsid w:val="00C359AC"/>
    <w:rsid w:val="00C369B3"/>
    <w:rsid w:val="00C36A2E"/>
    <w:rsid w:val="00C36DBC"/>
    <w:rsid w:val="00C36F49"/>
    <w:rsid w:val="00C372F9"/>
    <w:rsid w:val="00C37576"/>
    <w:rsid w:val="00C37CD1"/>
    <w:rsid w:val="00C40670"/>
    <w:rsid w:val="00C41013"/>
    <w:rsid w:val="00C41557"/>
    <w:rsid w:val="00C42F41"/>
    <w:rsid w:val="00C42F4E"/>
    <w:rsid w:val="00C441C7"/>
    <w:rsid w:val="00C4494D"/>
    <w:rsid w:val="00C44C18"/>
    <w:rsid w:val="00C451CD"/>
    <w:rsid w:val="00C45B14"/>
    <w:rsid w:val="00C45D69"/>
    <w:rsid w:val="00C46ED9"/>
    <w:rsid w:val="00C46EF7"/>
    <w:rsid w:val="00C46F63"/>
    <w:rsid w:val="00C475AD"/>
    <w:rsid w:val="00C478EF"/>
    <w:rsid w:val="00C503DE"/>
    <w:rsid w:val="00C50869"/>
    <w:rsid w:val="00C50FF4"/>
    <w:rsid w:val="00C519C4"/>
    <w:rsid w:val="00C51F10"/>
    <w:rsid w:val="00C51F83"/>
    <w:rsid w:val="00C51F9A"/>
    <w:rsid w:val="00C5264B"/>
    <w:rsid w:val="00C52977"/>
    <w:rsid w:val="00C52C9D"/>
    <w:rsid w:val="00C52F29"/>
    <w:rsid w:val="00C53218"/>
    <w:rsid w:val="00C536CB"/>
    <w:rsid w:val="00C55370"/>
    <w:rsid w:val="00C554FE"/>
    <w:rsid w:val="00C55824"/>
    <w:rsid w:val="00C55AC5"/>
    <w:rsid w:val="00C560BC"/>
    <w:rsid w:val="00C57668"/>
    <w:rsid w:val="00C608A9"/>
    <w:rsid w:val="00C608E3"/>
    <w:rsid w:val="00C60B3F"/>
    <w:rsid w:val="00C60D94"/>
    <w:rsid w:val="00C614A0"/>
    <w:rsid w:val="00C61A2A"/>
    <w:rsid w:val="00C61FC3"/>
    <w:rsid w:val="00C62C83"/>
    <w:rsid w:val="00C63487"/>
    <w:rsid w:val="00C63929"/>
    <w:rsid w:val="00C63B3C"/>
    <w:rsid w:val="00C63E2E"/>
    <w:rsid w:val="00C63E80"/>
    <w:rsid w:val="00C63EB6"/>
    <w:rsid w:val="00C64E77"/>
    <w:rsid w:val="00C65098"/>
    <w:rsid w:val="00C65582"/>
    <w:rsid w:val="00C659D7"/>
    <w:rsid w:val="00C65F37"/>
    <w:rsid w:val="00C663B3"/>
    <w:rsid w:val="00C66403"/>
    <w:rsid w:val="00C665EC"/>
    <w:rsid w:val="00C67641"/>
    <w:rsid w:val="00C70189"/>
    <w:rsid w:val="00C70319"/>
    <w:rsid w:val="00C70C5A"/>
    <w:rsid w:val="00C718F8"/>
    <w:rsid w:val="00C71F40"/>
    <w:rsid w:val="00C720C7"/>
    <w:rsid w:val="00C74656"/>
    <w:rsid w:val="00C7499D"/>
    <w:rsid w:val="00C74A04"/>
    <w:rsid w:val="00C74BCB"/>
    <w:rsid w:val="00C752C0"/>
    <w:rsid w:val="00C7617C"/>
    <w:rsid w:val="00C765EC"/>
    <w:rsid w:val="00C76FC7"/>
    <w:rsid w:val="00C77661"/>
    <w:rsid w:val="00C777F7"/>
    <w:rsid w:val="00C778C8"/>
    <w:rsid w:val="00C805B0"/>
    <w:rsid w:val="00C8088A"/>
    <w:rsid w:val="00C808D0"/>
    <w:rsid w:val="00C80BF2"/>
    <w:rsid w:val="00C8405D"/>
    <w:rsid w:val="00C84C59"/>
    <w:rsid w:val="00C84C6A"/>
    <w:rsid w:val="00C85082"/>
    <w:rsid w:val="00C8622B"/>
    <w:rsid w:val="00C86632"/>
    <w:rsid w:val="00C87204"/>
    <w:rsid w:val="00C87442"/>
    <w:rsid w:val="00C87571"/>
    <w:rsid w:val="00C87587"/>
    <w:rsid w:val="00C87648"/>
    <w:rsid w:val="00C8C214"/>
    <w:rsid w:val="00C90776"/>
    <w:rsid w:val="00C90D5A"/>
    <w:rsid w:val="00C90D78"/>
    <w:rsid w:val="00C90E51"/>
    <w:rsid w:val="00C91690"/>
    <w:rsid w:val="00C91696"/>
    <w:rsid w:val="00C91B7C"/>
    <w:rsid w:val="00C91F22"/>
    <w:rsid w:val="00C92C51"/>
    <w:rsid w:val="00C93310"/>
    <w:rsid w:val="00C935D5"/>
    <w:rsid w:val="00C93639"/>
    <w:rsid w:val="00C93B90"/>
    <w:rsid w:val="00C93E0C"/>
    <w:rsid w:val="00C94321"/>
    <w:rsid w:val="00C9492E"/>
    <w:rsid w:val="00C949F8"/>
    <w:rsid w:val="00C94A35"/>
    <w:rsid w:val="00C94F19"/>
    <w:rsid w:val="00C95889"/>
    <w:rsid w:val="00C958F5"/>
    <w:rsid w:val="00C95ADB"/>
    <w:rsid w:val="00C95C1C"/>
    <w:rsid w:val="00C95FCC"/>
    <w:rsid w:val="00C967F7"/>
    <w:rsid w:val="00C96DB0"/>
    <w:rsid w:val="00C96F8F"/>
    <w:rsid w:val="00C970A6"/>
    <w:rsid w:val="00C9753B"/>
    <w:rsid w:val="00C978C8"/>
    <w:rsid w:val="00C978D7"/>
    <w:rsid w:val="00C97A5C"/>
    <w:rsid w:val="00CA0BB3"/>
    <w:rsid w:val="00CA0CCB"/>
    <w:rsid w:val="00CA11AC"/>
    <w:rsid w:val="00CA18BF"/>
    <w:rsid w:val="00CA1BA2"/>
    <w:rsid w:val="00CA1F7B"/>
    <w:rsid w:val="00CA3691"/>
    <w:rsid w:val="00CA412B"/>
    <w:rsid w:val="00CA4169"/>
    <w:rsid w:val="00CA4500"/>
    <w:rsid w:val="00CA5508"/>
    <w:rsid w:val="00CA5640"/>
    <w:rsid w:val="00CA5B38"/>
    <w:rsid w:val="00CA61B7"/>
    <w:rsid w:val="00CA61D7"/>
    <w:rsid w:val="00CA6595"/>
    <w:rsid w:val="00CA6869"/>
    <w:rsid w:val="00CA6E11"/>
    <w:rsid w:val="00CA7AC3"/>
    <w:rsid w:val="00CB0560"/>
    <w:rsid w:val="00CB2821"/>
    <w:rsid w:val="00CB28C5"/>
    <w:rsid w:val="00CB2CB2"/>
    <w:rsid w:val="00CB34C9"/>
    <w:rsid w:val="00CB3C61"/>
    <w:rsid w:val="00CB5801"/>
    <w:rsid w:val="00CB5B84"/>
    <w:rsid w:val="00CB5D89"/>
    <w:rsid w:val="00CB5DD8"/>
    <w:rsid w:val="00CB60F6"/>
    <w:rsid w:val="00CB6E84"/>
    <w:rsid w:val="00CB7500"/>
    <w:rsid w:val="00CB755E"/>
    <w:rsid w:val="00CB7766"/>
    <w:rsid w:val="00CB7AE4"/>
    <w:rsid w:val="00CC1875"/>
    <w:rsid w:val="00CC1922"/>
    <w:rsid w:val="00CC1B26"/>
    <w:rsid w:val="00CC34EB"/>
    <w:rsid w:val="00CC3586"/>
    <w:rsid w:val="00CC3A1D"/>
    <w:rsid w:val="00CC4779"/>
    <w:rsid w:val="00CC5293"/>
    <w:rsid w:val="00CC575B"/>
    <w:rsid w:val="00CC5AEC"/>
    <w:rsid w:val="00CC6D82"/>
    <w:rsid w:val="00CC6FAE"/>
    <w:rsid w:val="00CC6FBC"/>
    <w:rsid w:val="00CC75A0"/>
    <w:rsid w:val="00CD0344"/>
    <w:rsid w:val="00CD08DA"/>
    <w:rsid w:val="00CD105C"/>
    <w:rsid w:val="00CD11D4"/>
    <w:rsid w:val="00CD1E4D"/>
    <w:rsid w:val="00CD2995"/>
    <w:rsid w:val="00CD31D6"/>
    <w:rsid w:val="00CD3707"/>
    <w:rsid w:val="00CD3DDF"/>
    <w:rsid w:val="00CD5741"/>
    <w:rsid w:val="00CD5B1A"/>
    <w:rsid w:val="00CD6411"/>
    <w:rsid w:val="00CD65BD"/>
    <w:rsid w:val="00CD6D08"/>
    <w:rsid w:val="00CD735E"/>
    <w:rsid w:val="00CD75CC"/>
    <w:rsid w:val="00CD7A5E"/>
    <w:rsid w:val="00CE0F83"/>
    <w:rsid w:val="00CE1402"/>
    <w:rsid w:val="00CE1FF2"/>
    <w:rsid w:val="00CE206E"/>
    <w:rsid w:val="00CE21F3"/>
    <w:rsid w:val="00CE248A"/>
    <w:rsid w:val="00CE274A"/>
    <w:rsid w:val="00CE2E51"/>
    <w:rsid w:val="00CE450A"/>
    <w:rsid w:val="00CE4F55"/>
    <w:rsid w:val="00CE6F2F"/>
    <w:rsid w:val="00CF01D8"/>
    <w:rsid w:val="00CF068F"/>
    <w:rsid w:val="00CF0AD0"/>
    <w:rsid w:val="00CF0E87"/>
    <w:rsid w:val="00CF1029"/>
    <w:rsid w:val="00CF142E"/>
    <w:rsid w:val="00CF1742"/>
    <w:rsid w:val="00CF1C5A"/>
    <w:rsid w:val="00CF21F6"/>
    <w:rsid w:val="00CF2333"/>
    <w:rsid w:val="00CF2362"/>
    <w:rsid w:val="00CF2ADD"/>
    <w:rsid w:val="00CF3FB3"/>
    <w:rsid w:val="00CF440B"/>
    <w:rsid w:val="00CF48EB"/>
    <w:rsid w:val="00CF4C82"/>
    <w:rsid w:val="00CF4D08"/>
    <w:rsid w:val="00CF5881"/>
    <w:rsid w:val="00CF5DB7"/>
    <w:rsid w:val="00CF71F0"/>
    <w:rsid w:val="00CF7392"/>
    <w:rsid w:val="00CF75A6"/>
    <w:rsid w:val="00CF7C93"/>
    <w:rsid w:val="00D0093F"/>
    <w:rsid w:val="00D0096A"/>
    <w:rsid w:val="00D00F85"/>
    <w:rsid w:val="00D018DB"/>
    <w:rsid w:val="00D02FAD"/>
    <w:rsid w:val="00D03F6A"/>
    <w:rsid w:val="00D0494E"/>
    <w:rsid w:val="00D04C1F"/>
    <w:rsid w:val="00D05A52"/>
    <w:rsid w:val="00D06900"/>
    <w:rsid w:val="00D06F96"/>
    <w:rsid w:val="00D07402"/>
    <w:rsid w:val="00D07AFB"/>
    <w:rsid w:val="00D106A0"/>
    <w:rsid w:val="00D10B92"/>
    <w:rsid w:val="00D10FC9"/>
    <w:rsid w:val="00D11188"/>
    <w:rsid w:val="00D11847"/>
    <w:rsid w:val="00D1361B"/>
    <w:rsid w:val="00D14562"/>
    <w:rsid w:val="00D14CCA"/>
    <w:rsid w:val="00D15C37"/>
    <w:rsid w:val="00D1668D"/>
    <w:rsid w:val="00D166C3"/>
    <w:rsid w:val="00D166DF"/>
    <w:rsid w:val="00D16959"/>
    <w:rsid w:val="00D2014F"/>
    <w:rsid w:val="00D20B72"/>
    <w:rsid w:val="00D20E0B"/>
    <w:rsid w:val="00D21030"/>
    <w:rsid w:val="00D2232F"/>
    <w:rsid w:val="00D2270B"/>
    <w:rsid w:val="00D22E22"/>
    <w:rsid w:val="00D2310B"/>
    <w:rsid w:val="00D23121"/>
    <w:rsid w:val="00D236C5"/>
    <w:rsid w:val="00D239B5"/>
    <w:rsid w:val="00D23AB2"/>
    <w:rsid w:val="00D23BC6"/>
    <w:rsid w:val="00D23E62"/>
    <w:rsid w:val="00D2429F"/>
    <w:rsid w:val="00D248BD"/>
    <w:rsid w:val="00D248D3"/>
    <w:rsid w:val="00D25D6A"/>
    <w:rsid w:val="00D25E35"/>
    <w:rsid w:val="00D25FA4"/>
    <w:rsid w:val="00D263BB"/>
    <w:rsid w:val="00D26D44"/>
    <w:rsid w:val="00D272A5"/>
    <w:rsid w:val="00D30251"/>
    <w:rsid w:val="00D3058E"/>
    <w:rsid w:val="00D30DE7"/>
    <w:rsid w:val="00D31ED0"/>
    <w:rsid w:val="00D32110"/>
    <w:rsid w:val="00D32A7A"/>
    <w:rsid w:val="00D32B00"/>
    <w:rsid w:val="00D32D12"/>
    <w:rsid w:val="00D32D6F"/>
    <w:rsid w:val="00D334CC"/>
    <w:rsid w:val="00D3356E"/>
    <w:rsid w:val="00D33812"/>
    <w:rsid w:val="00D33DD1"/>
    <w:rsid w:val="00D33E67"/>
    <w:rsid w:val="00D34133"/>
    <w:rsid w:val="00D34430"/>
    <w:rsid w:val="00D350CA"/>
    <w:rsid w:val="00D35D78"/>
    <w:rsid w:val="00D35E0D"/>
    <w:rsid w:val="00D3667C"/>
    <w:rsid w:val="00D36ABA"/>
    <w:rsid w:val="00D36E24"/>
    <w:rsid w:val="00D37162"/>
    <w:rsid w:val="00D37906"/>
    <w:rsid w:val="00D4080A"/>
    <w:rsid w:val="00D40BFE"/>
    <w:rsid w:val="00D41306"/>
    <w:rsid w:val="00D41E7B"/>
    <w:rsid w:val="00D43802"/>
    <w:rsid w:val="00D43C00"/>
    <w:rsid w:val="00D44283"/>
    <w:rsid w:val="00D44FC8"/>
    <w:rsid w:val="00D45019"/>
    <w:rsid w:val="00D45295"/>
    <w:rsid w:val="00D45B76"/>
    <w:rsid w:val="00D46191"/>
    <w:rsid w:val="00D464CE"/>
    <w:rsid w:val="00D468A8"/>
    <w:rsid w:val="00D476BC"/>
    <w:rsid w:val="00D47A2A"/>
    <w:rsid w:val="00D50174"/>
    <w:rsid w:val="00D5049E"/>
    <w:rsid w:val="00D5069E"/>
    <w:rsid w:val="00D5167E"/>
    <w:rsid w:val="00D51EA5"/>
    <w:rsid w:val="00D5273F"/>
    <w:rsid w:val="00D52B6D"/>
    <w:rsid w:val="00D53E09"/>
    <w:rsid w:val="00D53E53"/>
    <w:rsid w:val="00D541AE"/>
    <w:rsid w:val="00D5473F"/>
    <w:rsid w:val="00D54749"/>
    <w:rsid w:val="00D54926"/>
    <w:rsid w:val="00D5502A"/>
    <w:rsid w:val="00D55050"/>
    <w:rsid w:val="00D554B6"/>
    <w:rsid w:val="00D5611C"/>
    <w:rsid w:val="00D56302"/>
    <w:rsid w:val="00D56799"/>
    <w:rsid w:val="00D569C0"/>
    <w:rsid w:val="00D56C65"/>
    <w:rsid w:val="00D56EB9"/>
    <w:rsid w:val="00D56ED2"/>
    <w:rsid w:val="00D57352"/>
    <w:rsid w:val="00D579FD"/>
    <w:rsid w:val="00D57BEC"/>
    <w:rsid w:val="00D57F4A"/>
    <w:rsid w:val="00D6017D"/>
    <w:rsid w:val="00D60390"/>
    <w:rsid w:val="00D61E48"/>
    <w:rsid w:val="00D62421"/>
    <w:rsid w:val="00D630CE"/>
    <w:rsid w:val="00D631D3"/>
    <w:rsid w:val="00D640E9"/>
    <w:rsid w:val="00D64177"/>
    <w:rsid w:val="00D64D15"/>
    <w:rsid w:val="00D65A49"/>
    <w:rsid w:val="00D66570"/>
    <w:rsid w:val="00D6695B"/>
    <w:rsid w:val="00D67A0F"/>
    <w:rsid w:val="00D701A8"/>
    <w:rsid w:val="00D70384"/>
    <w:rsid w:val="00D7039D"/>
    <w:rsid w:val="00D70D97"/>
    <w:rsid w:val="00D70DEF"/>
    <w:rsid w:val="00D71581"/>
    <w:rsid w:val="00D71E19"/>
    <w:rsid w:val="00D72100"/>
    <w:rsid w:val="00D72163"/>
    <w:rsid w:val="00D723BF"/>
    <w:rsid w:val="00D725E2"/>
    <w:rsid w:val="00D72964"/>
    <w:rsid w:val="00D72AC6"/>
    <w:rsid w:val="00D72E07"/>
    <w:rsid w:val="00D73CD3"/>
    <w:rsid w:val="00D7427F"/>
    <w:rsid w:val="00D745F2"/>
    <w:rsid w:val="00D74D3B"/>
    <w:rsid w:val="00D75EDE"/>
    <w:rsid w:val="00D75FCA"/>
    <w:rsid w:val="00D766D4"/>
    <w:rsid w:val="00D771D8"/>
    <w:rsid w:val="00D7792D"/>
    <w:rsid w:val="00D80278"/>
    <w:rsid w:val="00D80285"/>
    <w:rsid w:val="00D809A8"/>
    <w:rsid w:val="00D8113A"/>
    <w:rsid w:val="00D813C2"/>
    <w:rsid w:val="00D825C9"/>
    <w:rsid w:val="00D82AD4"/>
    <w:rsid w:val="00D82ADC"/>
    <w:rsid w:val="00D834AB"/>
    <w:rsid w:val="00D83600"/>
    <w:rsid w:val="00D83A97"/>
    <w:rsid w:val="00D85010"/>
    <w:rsid w:val="00D85587"/>
    <w:rsid w:val="00D8592F"/>
    <w:rsid w:val="00D85C8F"/>
    <w:rsid w:val="00D85D90"/>
    <w:rsid w:val="00D85DF0"/>
    <w:rsid w:val="00D86063"/>
    <w:rsid w:val="00D86346"/>
    <w:rsid w:val="00D8643C"/>
    <w:rsid w:val="00D8781E"/>
    <w:rsid w:val="00D905C2"/>
    <w:rsid w:val="00D90991"/>
    <w:rsid w:val="00D90ACE"/>
    <w:rsid w:val="00D91593"/>
    <w:rsid w:val="00D91934"/>
    <w:rsid w:val="00D919DF"/>
    <w:rsid w:val="00D93297"/>
    <w:rsid w:val="00D93D5A"/>
    <w:rsid w:val="00D94122"/>
    <w:rsid w:val="00D94570"/>
    <w:rsid w:val="00D94D0D"/>
    <w:rsid w:val="00D954CD"/>
    <w:rsid w:val="00D95A6D"/>
    <w:rsid w:val="00D95C51"/>
    <w:rsid w:val="00D95E73"/>
    <w:rsid w:val="00D96187"/>
    <w:rsid w:val="00D9637C"/>
    <w:rsid w:val="00D96CF0"/>
    <w:rsid w:val="00D97089"/>
    <w:rsid w:val="00D977EB"/>
    <w:rsid w:val="00D97B97"/>
    <w:rsid w:val="00DA0200"/>
    <w:rsid w:val="00DA15F9"/>
    <w:rsid w:val="00DA16FB"/>
    <w:rsid w:val="00DA1D8F"/>
    <w:rsid w:val="00DA1FCC"/>
    <w:rsid w:val="00DA23F7"/>
    <w:rsid w:val="00DA3523"/>
    <w:rsid w:val="00DA453C"/>
    <w:rsid w:val="00DA4F7A"/>
    <w:rsid w:val="00DA4FB1"/>
    <w:rsid w:val="00DA5A43"/>
    <w:rsid w:val="00DA5DD5"/>
    <w:rsid w:val="00DA5F6A"/>
    <w:rsid w:val="00DA63AF"/>
    <w:rsid w:val="00DA6B41"/>
    <w:rsid w:val="00DA6BEC"/>
    <w:rsid w:val="00DA73D3"/>
    <w:rsid w:val="00DA7A75"/>
    <w:rsid w:val="00DB0137"/>
    <w:rsid w:val="00DB0348"/>
    <w:rsid w:val="00DB05CB"/>
    <w:rsid w:val="00DB09F5"/>
    <w:rsid w:val="00DB0B3A"/>
    <w:rsid w:val="00DB1A62"/>
    <w:rsid w:val="00DB1B09"/>
    <w:rsid w:val="00DB1B5A"/>
    <w:rsid w:val="00DB1F1F"/>
    <w:rsid w:val="00DB2054"/>
    <w:rsid w:val="00DB2162"/>
    <w:rsid w:val="00DB2B8E"/>
    <w:rsid w:val="00DB2FE6"/>
    <w:rsid w:val="00DB3F2F"/>
    <w:rsid w:val="00DB3F8C"/>
    <w:rsid w:val="00DB4191"/>
    <w:rsid w:val="00DB42D6"/>
    <w:rsid w:val="00DB4485"/>
    <w:rsid w:val="00DB4C67"/>
    <w:rsid w:val="00DB4CB1"/>
    <w:rsid w:val="00DB54D5"/>
    <w:rsid w:val="00DB54F8"/>
    <w:rsid w:val="00DB58E6"/>
    <w:rsid w:val="00DB6330"/>
    <w:rsid w:val="00DB7A49"/>
    <w:rsid w:val="00DC047E"/>
    <w:rsid w:val="00DC04DA"/>
    <w:rsid w:val="00DC07DE"/>
    <w:rsid w:val="00DC0B05"/>
    <w:rsid w:val="00DC0D6D"/>
    <w:rsid w:val="00DC192E"/>
    <w:rsid w:val="00DC1A14"/>
    <w:rsid w:val="00DC20ED"/>
    <w:rsid w:val="00DC2332"/>
    <w:rsid w:val="00DC24FC"/>
    <w:rsid w:val="00DC290B"/>
    <w:rsid w:val="00DC3264"/>
    <w:rsid w:val="00DC3305"/>
    <w:rsid w:val="00DC37BC"/>
    <w:rsid w:val="00DC44D4"/>
    <w:rsid w:val="00DC4A4C"/>
    <w:rsid w:val="00DC594C"/>
    <w:rsid w:val="00DC59E3"/>
    <w:rsid w:val="00DC5D9B"/>
    <w:rsid w:val="00DC6280"/>
    <w:rsid w:val="00DC6B04"/>
    <w:rsid w:val="00DC6CAC"/>
    <w:rsid w:val="00DC76D9"/>
    <w:rsid w:val="00DC7974"/>
    <w:rsid w:val="00DC7CDA"/>
    <w:rsid w:val="00DC7EED"/>
    <w:rsid w:val="00DD0583"/>
    <w:rsid w:val="00DD09ED"/>
    <w:rsid w:val="00DD0AD1"/>
    <w:rsid w:val="00DD0B0D"/>
    <w:rsid w:val="00DD21DC"/>
    <w:rsid w:val="00DD35DC"/>
    <w:rsid w:val="00DD4BFE"/>
    <w:rsid w:val="00DD4DF0"/>
    <w:rsid w:val="00DD5444"/>
    <w:rsid w:val="00DD5BEA"/>
    <w:rsid w:val="00DD5C83"/>
    <w:rsid w:val="00DD639C"/>
    <w:rsid w:val="00DD69C8"/>
    <w:rsid w:val="00DE02CD"/>
    <w:rsid w:val="00DE0330"/>
    <w:rsid w:val="00DE043D"/>
    <w:rsid w:val="00DE0E99"/>
    <w:rsid w:val="00DE1227"/>
    <w:rsid w:val="00DE1455"/>
    <w:rsid w:val="00DE23E6"/>
    <w:rsid w:val="00DE3A82"/>
    <w:rsid w:val="00DE42C9"/>
    <w:rsid w:val="00DE5333"/>
    <w:rsid w:val="00DE5946"/>
    <w:rsid w:val="00DE63CF"/>
    <w:rsid w:val="00DE6437"/>
    <w:rsid w:val="00DE6AC0"/>
    <w:rsid w:val="00DE6BFD"/>
    <w:rsid w:val="00DE6DCA"/>
    <w:rsid w:val="00DF16DD"/>
    <w:rsid w:val="00DF17D7"/>
    <w:rsid w:val="00DF268A"/>
    <w:rsid w:val="00DF31BD"/>
    <w:rsid w:val="00DF3380"/>
    <w:rsid w:val="00DF342C"/>
    <w:rsid w:val="00DF37AC"/>
    <w:rsid w:val="00DF38FD"/>
    <w:rsid w:val="00DF4BC2"/>
    <w:rsid w:val="00DF5172"/>
    <w:rsid w:val="00DF5496"/>
    <w:rsid w:val="00DF5B0E"/>
    <w:rsid w:val="00DF5C14"/>
    <w:rsid w:val="00DF5D7F"/>
    <w:rsid w:val="00DF5E8D"/>
    <w:rsid w:val="00DF6200"/>
    <w:rsid w:val="00DF6687"/>
    <w:rsid w:val="00DF68B1"/>
    <w:rsid w:val="00DF6DBF"/>
    <w:rsid w:val="00DF6F4C"/>
    <w:rsid w:val="00DF782B"/>
    <w:rsid w:val="00E00034"/>
    <w:rsid w:val="00E007F3"/>
    <w:rsid w:val="00E0174F"/>
    <w:rsid w:val="00E0266E"/>
    <w:rsid w:val="00E028B0"/>
    <w:rsid w:val="00E02D8B"/>
    <w:rsid w:val="00E02FEC"/>
    <w:rsid w:val="00E03B34"/>
    <w:rsid w:val="00E0483F"/>
    <w:rsid w:val="00E04D01"/>
    <w:rsid w:val="00E04DEF"/>
    <w:rsid w:val="00E0560A"/>
    <w:rsid w:val="00E05CA2"/>
    <w:rsid w:val="00E06B73"/>
    <w:rsid w:val="00E0748D"/>
    <w:rsid w:val="00E10439"/>
    <w:rsid w:val="00E1051F"/>
    <w:rsid w:val="00E10C31"/>
    <w:rsid w:val="00E10CC3"/>
    <w:rsid w:val="00E10CEC"/>
    <w:rsid w:val="00E10DB6"/>
    <w:rsid w:val="00E11507"/>
    <w:rsid w:val="00E11929"/>
    <w:rsid w:val="00E12536"/>
    <w:rsid w:val="00E12798"/>
    <w:rsid w:val="00E12866"/>
    <w:rsid w:val="00E12F34"/>
    <w:rsid w:val="00E141CB"/>
    <w:rsid w:val="00E146F8"/>
    <w:rsid w:val="00E147F5"/>
    <w:rsid w:val="00E1500D"/>
    <w:rsid w:val="00E1557A"/>
    <w:rsid w:val="00E15589"/>
    <w:rsid w:val="00E1569D"/>
    <w:rsid w:val="00E15993"/>
    <w:rsid w:val="00E15B7C"/>
    <w:rsid w:val="00E15D84"/>
    <w:rsid w:val="00E1662A"/>
    <w:rsid w:val="00E166C8"/>
    <w:rsid w:val="00E16780"/>
    <w:rsid w:val="00E16A4E"/>
    <w:rsid w:val="00E16A96"/>
    <w:rsid w:val="00E1704D"/>
    <w:rsid w:val="00E171B7"/>
    <w:rsid w:val="00E17551"/>
    <w:rsid w:val="00E17662"/>
    <w:rsid w:val="00E1768C"/>
    <w:rsid w:val="00E176F2"/>
    <w:rsid w:val="00E179A8"/>
    <w:rsid w:val="00E20479"/>
    <w:rsid w:val="00E204C9"/>
    <w:rsid w:val="00E208DE"/>
    <w:rsid w:val="00E2135E"/>
    <w:rsid w:val="00E21A20"/>
    <w:rsid w:val="00E22006"/>
    <w:rsid w:val="00E229C5"/>
    <w:rsid w:val="00E22E56"/>
    <w:rsid w:val="00E22F98"/>
    <w:rsid w:val="00E23084"/>
    <w:rsid w:val="00E23F3D"/>
    <w:rsid w:val="00E24079"/>
    <w:rsid w:val="00E255AD"/>
    <w:rsid w:val="00E25C4D"/>
    <w:rsid w:val="00E25E13"/>
    <w:rsid w:val="00E265BB"/>
    <w:rsid w:val="00E2705B"/>
    <w:rsid w:val="00E27649"/>
    <w:rsid w:val="00E27A3C"/>
    <w:rsid w:val="00E27E29"/>
    <w:rsid w:val="00E3014F"/>
    <w:rsid w:val="00E31077"/>
    <w:rsid w:val="00E316B0"/>
    <w:rsid w:val="00E316BB"/>
    <w:rsid w:val="00E31782"/>
    <w:rsid w:val="00E318D4"/>
    <w:rsid w:val="00E31AA0"/>
    <w:rsid w:val="00E3292D"/>
    <w:rsid w:val="00E32C37"/>
    <w:rsid w:val="00E32C54"/>
    <w:rsid w:val="00E33B65"/>
    <w:rsid w:val="00E33E07"/>
    <w:rsid w:val="00E33E22"/>
    <w:rsid w:val="00E33F42"/>
    <w:rsid w:val="00E3418E"/>
    <w:rsid w:val="00E3452A"/>
    <w:rsid w:val="00E348E5"/>
    <w:rsid w:val="00E34F93"/>
    <w:rsid w:val="00E35434"/>
    <w:rsid w:val="00E36A34"/>
    <w:rsid w:val="00E36E84"/>
    <w:rsid w:val="00E370A6"/>
    <w:rsid w:val="00E37389"/>
    <w:rsid w:val="00E3781E"/>
    <w:rsid w:val="00E4111C"/>
    <w:rsid w:val="00E41633"/>
    <w:rsid w:val="00E4167C"/>
    <w:rsid w:val="00E4317E"/>
    <w:rsid w:val="00E4396D"/>
    <w:rsid w:val="00E43B59"/>
    <w:rsid w:val="00E43B73"/>
    <w:rsid w:val="00E43F89"/>
    <w:rsid w:val="00E447BA"/>
    <w:rsid w:val="00E44A23"/>
    <w:rsid w:val="00E44C8F"/>
    <w:rsid w:val="00E45B2E"/>
    <w:rsid w:val="00E46249"/>
    <w:rsid w:val="00E464E5"/>
    <w:rsid w:val="00E4671F"/>
    <w:rsid w:val="00E46FB2"/>
    <w:rsid w:val="00E47314"/>
    <w:rsid w:val="00E4781C"/>
    <w:rsid w:val="00E47EF1"/>
    <w:rsid w:val="00E517E5"/>
    <w:rsid w:val="00E5182B"/>
    <w:rsid w:val="00E51C64"/>
    <w:rsid w:val="00E51D9D"/>
    <w:rsid w:val="00E5263C"/>
    <w:rsid w:val="00E5286C"/>
    <w:rsid w:val="00E52A56"/>
    <w:rsid w:val="00E532C7"/>
    <w:rsid w:val="00E53CE1"/>
    <w:rsid w:val="00E53FDF"/>
    <w:rsid w:val="00E541CE"/>
    <w:rsid w:val="00E54352"/>
    <w:rsid w:val="00E55630"/>
    <w:rsid w:val="00E5647E"/>
    <w:rsid w:val="00E56C68"/>
    <w:rsid w:val="00E56E76"/>
    <w:rsid w:val="00E57137"/>
    <w:rsid w:val="00E600C4"/>
    <w:rsid w:val="00E60B03"/>
    <w:rsid w:val="00E60BB6"/>
    <w:rsid w:val="00E60F19"/>
    <w:rsid w:val="00E615A7"/>
    <w:rsid w:val="00E61DEA"/>
    <w:rsid w:val="00E6336C"/>
    <w:rsid w:val="00E6356D"/>
    <w:rsid w:val="00E63A41"/>
    <w:rsid w:val="00E63A82"/>
    <w:rsid w:val="00E63BCC"/>
    <w:rsid w:val="00E6413D"/>
    <w:rsid w:val="00E64A3B"/>
    <w:rsid w:val="00E64FC8"/>
    <w:rsid w:val="00E65227"/>
    <w:rsid w:val="00E65478"/>
    <w:rsid w:val="00E6578D"/>
    <w:rsid w:val="00E65B7D"/>
    <w:rsid w:val="00E65FF5"/>
    <w:rsid w:val="00E661FD"/>
    <w:rsid w:val="00E66349"/>
    <w:rsid w:val="00E665CD"/>
    <w:rsid w:val="00E6661C"/>
    <w:rsid w:val="00E66BD4"/>
    <w:rsid w:val="00E67439"/>
    <w:rsid w:val="00E67AA5"/>
    <w:rsid w:val="00E67BC7"/>
    <w:rsid w:val="00E67EA8"/>
    <w:rsid w:val="00E701F1"/>
    <w:rsid w:val="00E70511"/>
    <w:rsid w:val="00E707A9"/>
    <w:rsid w:val="00E712F1"/>
    <w:rsid w:val="00E71403"/>
    <w:rsid w:val="00E7165B"/>
    <w:rsid w:val="00E718AA"/>
    <w:rsid w:val="00E71DDF"/>
    <w:rsid w:val="00E73163"/>
    <w:rsid w:val="00E738F5"/>
    <w:rsid w:val="00E7401B"/>
    <w:rsid w:val="00E748F1"/>
    <w:rsid w:val="00E756F6"/>
    <w:rsid w:val="00E759B7"/>
    <w:rsid w:val="00E75E36"/>
    <w:rsid w:val="00E761B2"/>
    <w:rsid w:val="00E76662"/>
    <w:rsid w:val="00E76A0C"/>
    <w:rsid w:val="00E77782"/>
    <w:rsid w:val="00E77878"/>
    <w:rsid w:val="00E8054A"/>
    <w:rsid w:val="00E806F0"/>
    <w:rsid w:val="00E81530"/>
    <w:rsid w:val="00E815F5"/>
    <w:rsid w:val="00E81983"/>
    <w:rsid w:val="00E820B7"/>
    <w:rsid w:val="00E820DA"/>
    <w:rsid w:val="00E82AD3"/>
    <w:rsid w:val="00E82D16"/>
    <w:rsid w:val="00E83655"/>
    <w:rsid w:val="00E83997"/>
    <w:rsid w:val="00E83D28"/>
    <w:rsid w:val="00E842A1"/>
    <w:rsid w:val="00E84FED"/>
    <w:rsid w:val="00E84FFF"/>
    <w:rsid w:val="00E85657"/>
    <w:rsid w:val="00E86E5D"/>
    <w:rsid w:val="00E86EAC"/>
    <w:rsid w:val="00E87661"/>
    <w:rsid w:val="00E876D4"/>
    <w:rsid w:val="00E87A41"/>
    <w:rsid w:val="00E87FAF"/>
    <w:rsid w:val="00E9001C"/>
    <w:rsid w:val="00E91249"/>
    <w:rsid w:val="00E915F9"/>
    <w:rsid w:val="00E919D1"/>
    <w:rsid w:val="00E928FD"/>
    <w:rsid w:val="00E92A52"/>
    <w:rsid w:val="00E92D55"/>
    <w:rsid w:val="00E93C55"/>
    <w:rsid w:val="00E95804"/>
    <w:rsid w:val="00E95C19"/>
    <w:rsid w:val="00E95DAF"/>
    <w:rsid w:val="00E9659E"/>
    <w:rsid w:val="00E96DC6"/>
    <w:rsid w:val="00E97A79"/>
    <w:rsid w:val="00E97B4E"/>
    <w:rsid w:val="00EA1092"/>
    <w:rsid w:val="00EA10FF"/>
    <w:rsid w:val="00EA1AC3"/>
    <w:rsid w:val="00EA1FEF"/>
    <w:rsid w:val="00EA2245"/>
    <w:rsid w:val="00EA2621"/>
    <w:rsid w:val="00EA2AAF"/>
    <w:rsid w:val="00EA2D74"/>
    <w:rsid w:val="00EA2DD6"/>
    <w:rsid w:val="00EA2F9D"/>
    <w:rsid w:val="00EA2FD9"/>
    <w:rsid w:val="00EA378F"/>
    <w:rsid w:val="00EA37D8"/>
    <w:rsid w:val="00EA44E4"/>
    <w:rsid w:val="00EA4B71"/>
    <w:rsid w:val="00EA4D44"/>
    <w:rsid w:val="00EA4DCB"/>
    <w:rsid w:val="00EA53D2"/>
    <w:rsid w:val="00EA5584"/>
    <w:rsid w:val="00EA5916"/>
    <w:rsid w:val="00EA60D6"/>
    <w:rsid w:val="00EA635F"/>
    <w:rsid w:val="00EA6601"/>
    <w:rsid w:val="00EA6650"/>
    <w:rsid w:val="00EA75CC"/>
    <w:rsid w:val="00EB0472"/>
    <w:rsid w:val="00EB0609"/>
    <w:rsid w:val="00EB0A19"/>
    <w:rsid w:val="00EB0B70"/>
    <w:rsid w:val="00EB0E81"/>
    <w:rsid w:val="00EB0FEF"/>
    <w:rsid w:val="00EB1149"/>
    <w:rsid w:val="00EB1483"/>
    <w:rsid w:val="00EB2089"/>
    <w:rsid w:val="00EB2111"/>
    <w:rsid w:val="00EB22A6"/>
    <w:rsid w:val="00EB25D2"/>
    <w:rsid w:val="00EB2AFE"/>
    <w:rsid w:val="00EB314E"/>
    <w:rsid w:val="00EB3357"/>
    <w:rsid w:val="00EB3963"/>
    <w:rsid w:val="00EB3C17"/>
    <w:rsid w:val="00EB50E6"/>
    <w:rsid w:val="00EB54F3"/>
    <w:rsid w:val="00EB5F51"/>
    <w:rsid w:val="00EB7396"/>
    <w:rsid w:val="00EC02D8"/>
    <w:rsid w:val="00EC09D4"/>
    <w:rsid w:val="00EC0ADF"/>
    <w:rsid w:val="00EC1529"/>
    <w:rsid w:val="00EC1BDD"/>
    <w:rsid w:val="00EC2860"/>
    <w:rsid w:val="00EC2AC0"/>
    <w:rsid w:val="00EC2C7A"/>
    <w:rsid w:val="00EC2E23"/>
    <w:rsid w:val="00EC3353"/>
    <w:rsid w:val="00EC33EF"/>
    <w:rsid w:val="00EC35FE"/>
    <w:rsid w:val="00EC4385"/>
    <w:rsid w:val="00EC5A34"/>
    <w:rsid w:val="00EC5C1F"/>
    <w:rsid w:val="00EC6195"/>
    <w:rsid w:val="00EC67CB"/>
    <w:rsid w:val="00EC6A87"/>
    <w:rsid w:val="00EC7209"/>
    <w:rsid w:val="00EC7A96"/>
    <w:rsid w:val="00ED0041"/>
    <w:rsid w:val="00ED06A3"/>
    <w:rsid w:val="00ED0A80"/>
    <w:rsid w:val="00ED0B4A"/>
    <w:rsid w:val="00ED1574"/>
    <w:rsid w:val="00ED24ED"/>
    <w:rsid w:val="00ED2630"/>
    <w:rsid w:val="00ED3A0F"/>
    <w:rsid w:val="00ED3C19"/>
    <w:rsid w:val="00ED4C97"/>
    <w:rsid w:val="00ED5675"/>
    <w:rsid w:val="00ED5CA6"/>
    <w:rsid w:val="00ED63E1"/>
    <w:rsid w:val="00ED6619"/>
    <w:rsid w:val="00ED6FC1"/>
    <w:rsid w:val="00ED70EF"/>
    <w:rsid w:val="00EE0057"/>
    <w:rsid w:val="00EE0600"/>
    <w:rsid w:val="00EE077D"/>
    <w:rsid w:val="00EE0D5D"/>
    <w:rsid w:val="00EE1309"/>
    <w:rsid w:val="00EE2250"/>
    <w:rsid w:val="00EE2734"/>
    <w:rsid w:val="00EE2BCE"/>
    <w:rsid w:val="00EE30F4"/>
    <w:rsid w:val="00EE336A"/>
    <w:rsid w:val="00EE37ED"/>
    <w:rsid w:val="00EE3A78"/>
    <w:rsid w:val="00EE3B5F"/>
    <w:rsid w:val="00EE3FB2"/>
    <w:rsid w:val="00EE443B"/>
    <w:rsid w:val="00EE4C9F"/>
    <w:rsid w:val="00EE509A"/>
    <w:rsid w:val="00EE5379"/>
    <w:rsid w:val="00EE5CD2"/>
    <w:rsid w:val="00EE6914"/>
    <w:rsid w:val="00EE71FA"/>
    <w:rsid w:val="00EE7495"/>
    <w:rsid w:val="00EF006E"/>
    <w:rsid w:val="00EF096F"/>
    <w:rsid w:val="00EF0EC0"/>
    <w:rsid w:val="00EF13CE"/>
    <w:rsid w:val="00EF1B9E"/>
    <w:rsid w:val="00EF21ED"/>
    <w:rsid w:val="00EF2304"/>
    <w:rsid w:val="00EF232D"/>
    <w:rsid w:val="00EF2512"/>
    <w:rsid w:val="00EF335D"/>
    <w:rsid w:val="00EF4163"/>
    <w:rsid w:val="00EF4807"/>
    <w:rsid w:val="00EF4B44"/>
    <w:rsid w:val="00EF4E29"/>
    <w:rsid w:val="00EF531A"/>
    <w:rsid w:val="00EF6343"/>
    <w:rsid w:val="00F01F87"/>
    <w:rsid w:val="00F02184"/>
    <w:rsid w:val="00F027B6"/>
    <w:rsid w:val="00F02CC5"/>
    <w:rsid w:val="00F02DA3"/>
    <w:rsid w:val="00F0407A"/>
    <w:rsid w:val="00F04A72"/>
    <w:rsid w:val="00F04D8A"/>
    <w:rsid w:val="00F04DA8"/>
    <w:rsid w:val="00F05461"/>
    <w:rsid w:val="00F0635A"/>
    <w:rsid w:val="00F072D2"/>
    <w:rsid w:val="00F10406"/>
    <w:rsid w:val="00F10682"/>
    <w:rsid w:val="00F1084C"/>
    <w:rsid w:val="00F11122"/>
    <w:rsid w:val="00F111A2"/>
    <w:rsid w:val="00F1121B"/>
    <w:rsid w:val="00F11394"/>
    <w:rsid w:val="00F12052"/>
    <w:rsid w:val="00F12909"/>
    <w:rsid w:val="00F1306B"/>
    <w:rsid w:val="00F132FF"/>
    <w:rsid w:val="00F13655"/>
    <w:rsid w:val="00F13A18"/>
    <w:rsid w:val="00F14105"/>
    <w:rsid w:val="00F14AE0"/>
    <w:rsid w:val="00F15023"/>
    <w:rsid w:val="00F15149"/>
    <w:rsid w:val="00F153C2"/>
    <w:rsid w:val="00F156E0"/>
    <w:rsid w:val="00F16387"/>
    <w:rsid w:val="00F1666B"/>
    <w:rsid w:val="00F16FAC"/>
    <w:rsid w:val="00F17844"/>
    <w:rsid w:val="00F17D13"/>
    <w:rsid w:val="00F17D6D"/>
    <w:rsid w:val="00F2042B"/>
    <w:rsid w:val="00F206D9"/>
    <w:rsid w:val="00F20701"/>
    <w:rsid w:val="00F20769"/>
    <w:rsid w:val="00F20B57"/>
    <w:rsid w:val="00F2160C"/>
    <w:rsid w:val="00F22C8E"/>
    <w:rsid w:val="00F22E88"/>
    <w:rsid w:val="00F22FA9"/>
    <w:rsid w:val="00F236BE"/>
    <w:rsid w:val="00F24264"/>
    <w:rsid w:val="00F24311"/>
    <w:rsid w:val="00F25269"/>
    <w:rsid w:val="00F252B3"/>
    <w:rsid w:val="00F256C8"/>
    <w:rsid w:val="00F25771"/>
    <w:rsid w:val="00F257DF"/>
    <w:rsid w:val="00F27B43"/>
    <w:rsid w:val="00F301CC"/>
    <w:rsid w:val="00F30798"/>
    <w:rsid w:val="00F30B8E"/>
    <w:rsid w:val="00F30D0E"/>
    <w:rsid w:val="00F30F61"/>
    <w:rsid w:val="00F323A1"/>
    <w:rsid w:val="00F33C73"/>
    <w:rsid w:val="00F33D71"/>
    <w:rsid w:val="00F34E40"/>
    <w:rsid w:val="00F35633"/>
    <w:rsid w:val="00F35A4B"/>
    <w:rsid w:val="00F35AA9"/>
    <w:rsid w:val="00F35BA5"/>
    <w:rsid w:val="00F35BA6"/>
    <w:rsid w:val="00F361CC"/>
    <w:rsid w:val="00F36C56"/>
    <w:rsid w:val="00F36E3E"/>
    <w:rsid w:val="00F37C67"/>
    <w:rsid w:val="00F408F9"/>
    <w:rsid w:val="00F409D5"/>
    <w:rsid w:val="00F412BC"/>
    <w:rsid w:val="00F41467"/>
    <w:rsid w:val="00F41CF7"/>
    <w:rsid w:val="00F4285D"/>
    <w:rsid w:val="00F42A02"/>
    <w:rsid w:val="00F431DE"/>
    <w:rsid w:val="00F432D7"/>
    <w:rsid w:val="00F43498"/>
    <w:rsid w:val="00F4395A"/>
    <w:rsid w:val="00F43D4F"/>
    <w:rsid w:val="00F45BA6"/>
    <w:rsid w:val="00F467AC"/>
    <w:rsid w:val="00F46FA9"/>
    <w:rsid w:val="00F47D86"/>
    <w:rsid w:val="00F47E96"/>
    <w:rsid w:val="00F504FC"/>
    <w:rsid w:val="00F50BE3"/>
    <w:rsid w:val="00F510AB"/>
    <w:rsid w:val="00F51F0C"/>
    <w:rsid w:val="00F51F48"/>
    <w:rsid w:val="00F5291C"/>
    <w:rsid w:val="00F535E8"/>
    <w:rsid w:val="00F5369A"/>
    <w:rsid w:val="00F54029"/>
    <w:rsid w:val="00F54373"/>
    <w:rsid w:val="00F5512A"/>
    <w:rsid w:val="00F55914"/>
    <w:rsid w:val="00F561B2"/>
    <w:rsid w:val="00F56848"/>
    <w:rsid w:val="00F576B7"/>
    <w:rsid w:val="00F60015"/>
    <w:rsid w:val="00F609B1"/>
    <w:rsid w:val="00F60B59"/>
    <w:rsid w:val="00F619EE"/>
    <w:rsid w:val="00F622C9"/>
    <w:rsid w:val="00F6267B"/>
    <w:rsid w:val="00F62832"/>
    <w:rsid w:val="00F629EC"/>
    <w:rsid w:val="00F62A07"/>
    <w:rsid w:val="00F639E7"/>
    <w:rsid w:val="00F63CA3"/>
    <w:rsid w:val="00F64C82"/>
    <w:rsid w:val="00F65299"/>
    <w:rsid w:val="00F65572"/>
    <w:rsid w:val="00F65CC2"/>
    <w:rsid w:val="00F66467"/>
    <w:rsid w:val="00F668F2"/>
    <w:rsid w:val="00F67108"/>
    <w:rsid w:val="00F67799"/>
    <w:rsid w:val="00F6798A"/>
    <w:rsid w:val="00F679C4"/>
    <w:rsid w:val="00F70503"/>
    <w:rsid w:val="00F70CC9"/>
    <w:rsid w:val="00F70FD0"/>
    <w:rsid w:val="00F713CB"/>
    <w:rsid w:val="00F71F57"/>
    <w:rsid w:val="00F72234"/>
    <w:rsid w:val="00F7250F"/>
    <w:rsid w:val="00F7260E"/>
    <w:rsid w:val="00F73517"/>
    <w:rsid w:val="00F7369C"/>
    <w:rsid w:val="00F74D85"/>
    <w:rsid w:val="00F74E59"/>
    <w:rsid w:val="00F76286"/>
    <w:rsid w:val="00F76BD6"/>
    <w:rsid w:val="00F76DAC"/>
    <w:rsid w:val="00F77976"/>
    <w:rsid w:val="00F77A16"/>
    <w:rsid w:val="00F77C59"/>
    <w:rsid w:val="00F814C7"/>
    <w:rsid w:val="00F82A83"/>
    <w:rsid w:val="00F82BDE"/>
    <w:rsid w:val="00F835B1"/>
    <w:rsid w:val="00F83A00"/>
    <w:rsid w:val="00F8422B"/>
    <w:rsid w:val="00F84833"/>
    <w:rsid w:val="00F849C2"/>
    <w:rsid w:val="00F84CE4"/>
    <w:rsid w:val="00F85110"/>
    <w:rsid w:val="00F85451"/>
    <w:rsid w:val="00F85A15"/>
    <w:rsid w:val="00F85D4B"/>
    <w:rsid w:val="00F868D0"/>
    <w:rsid w:val="00F86C01"/>
    <w:rsid w:val="00F86CF8"/>
    <w:rsid w:val="00F87218"/>
    <w:rsid w:val="00F874CC"/>
    <w:rsid w:val="00F87BB7"/>
    <w:rsid w:val="00F905D6"/>
    <w:rsid w:val="00F90C58"/>
    <w:rsid w:val="00F90E2C"/>
    <w:rsid w:val="00F90F6C"/>
    <w:rsid w:val="00F912E2"/>
    <w:rsid w:val="00F91D44"/>
    <w:rsid w:val="00F91E6B"/>
    <w:rsid w:val="00F92352"/>
    <w:rsid w:val="00F92736"/>
    <w:rsid w:val="00F92A32"/>
    <w:rsid w:val="00F93461"/>
    <w:rsid w:val="00F93C9B"/>
    <w:rsid w:val="00F94BF7"/>
    <w:rsid w:val="00F95295"/>
    <w:rsid w:val="00F95415"/>
    <w:rsid w:val="00F964D9"/>
    <w:rsid w:val="00F968A8"/>
    <w:rsid w:val="00F96D58"/>
    <w:rsid w:val="00F971EC"/>
    <w:rsid w:val="00F97577"/>
    <w:rsid w:val="00F9796D"/>
    <w:rsid w:val="00F97DE9"/>
    <w:rsid w:val="00F97F27"/>
    <w:rsid w:val="00FA0806"/>
    <w:rsid w:val="00FA08E1"/>
    <w:rsid w:val="00FA1625"/>
    <w:rsid w:val="00FA176D"/>
    <w:rsid w:val="00FA1B83"/>
    <w:rsid w:val="00FA287E"/>
    <w:rsid w:val="00FA2ABA"/>
    <w:rsid w:val="00FA2DBD"/>
    <w:rsid w:val="00FA3810"/>
    <w:rsid w:val="00FA3EE1"/>
    <w:rsid w:val="00FA4D91"/>
    <w:rsid w:val="00FA5498"/>
    <w:rsid w:val="00FA59AA"/>
    <w:rsid w:val="00FA5D28"/>
    <w:rsid w:val="00FA6042"/>
    <w:rsid w:val="00FA6961"/>
    <w:rsid w:val="00FA756F"/>
    <w:rsid w:val="00FA7D22"/>
    <w:rsid w:val="00FA7FC6"/>
    <w:rsid w:val="00FB07EA"/>
    <w:rsid w:val="00FB157F"/>
    <w:rsid w:val="00FB17B1"/>
    <w:rsid w:val="00FB18EF"/>
    <w:rsid w:val="00FB1C60"/>
    <w:rsid w:val="00FB1FE6"/>
    <w:rsid w:val="00FB24D6"/>
    <w:rsid w:val="00FB27E4"/>
    <w:rsid w:val="00FB2CAB"/>
    <w:rsid w:val="00FB2EF5"/>
    <w:rsid w:val="00FB3703"/>
    <w:rsid w:val="00FB395F"/>
    <w:rsid w:val="00FB3E1C"/>
    <w:rsid w:val="00FB416C"/>
    <w:rsid w:val="00FB51C2"/>
    <w:rsid w:val="00FB5E0E"/>
    <w:rsid w:val="00FB5E19"/>
    <w:rsid w:val="00FB6D37"/>
    <w:rsid w:val="00FB764E"/>
    <w:rsid w:val="00FB7E6D"/>
    <w:rsid w:val="00FC09FA"/>
    <w:rsid w:val="00FC0A86"/>
    <w:rsid w:val="00FC2498"/>
    <w:rsid w:val="00FC2B50"/>
    <w:rsid w:val="00FC3226"/>
    <w:rsid w:val="00FC366B"/>
    <w:rsid w:val="00FC39D7"/>
    <w:rsid w:val="00FC3FC4"/>
    <w:rsid w:val="00FC493D"/>
    <w:rsid w:val="00FC4974"/>
    <w:rsid w:val="00FC49C5"/>
    <w:rsid w:val="00FC4AFE"/>
    <w:rsid w:val="00FC53D0"/>
    <w:rsid w:val="00FC55EB"/>
    <w:rsid w:val="00FC6639"/>
    <w:rsid w:val="00FC6C74"/>
    <w:rsid w:val="00FC6DD2"/>
    <w:rsid w:val="00FC78D8"/>
    <w:rsid w:val="00FD054C"/>
    <w:rsid w:val="00FD0CC2"/>
    <w:rsid w:val="00FD0E19"/>
    <w:rsid w:val="00FD1530"/>
    <w:rsid w:val="00FD1A3F"/>
    <w:rsid w:val="00FD1AAA"/>
    <w:rsid w:val="00FD248A"/>
    <w:rsid w:val="00FD2E19"/>
    <w:rsid w:val="00FD3522"/>
    <w:rsid w:val="00FD3537"/>
    <w:rsid w:val="00FD413B"/>
    <w:rsid w:val="00FD4196"/>
    <w:rsid w:val="00FD4319"/>
    <w:rsid w:val="00FD4464"/>
    <w:rsid w:val="00FD45BC"/>
    <w:rsid w:val="00FD4D85"/>
    <w:rsid w:val="00FD4F79"/>
    <w:rsid w:val="00FD59B3"/>
    <w:rsid w:val="00FD5B21"/>
    <w:rsid w:val="00FD5BED"/>
    <w:rsid w:val="00FD6542"/>
    <w:rsid w:val="00FD79BC"/>
    <w:rsid w:val="00FD7D4B"/>
    <w:rsid w:val="00FE021B"/>
    <w:rsid w:val="00FE06B6"/>
    <w:rsid w:val="00FE07D4"/>
    <w:rsid w:val="00FE0A48"/>
    <w:rsid w:val="00FE0FC4"/>
    <w:rsid w:val="00FE1CD9"/>
    <w:rsid w:val="00FE2D6E"/>
    <w:rsid w:val="00FE309E"/>
    <w:rsid w:val="00FE468B"/>
    <w:rsid w:val="00FE4FAC"/>
    <w:rsid w:val="00FE5103"/>
    <w:rsid w:val="00FE54D1"/>
    <w:rsid w:val="00FE580E"/>
    <w:rsid w:val="00FE5B22"/>
    <w:rsid w:val="00FE5BBB"/>
    <w:rsid w:val="00FE64C7"/>
    <w:rsid w:val="00FF012A"/>
    <w:rsid w:val="00FF054F"/>
    <w:rsid w:val="00FF1878"/>
    <w:rsid w:val="00FF1B3D"/>
    <w:rsid w:val="00FF1DC1"/>
    <w:rsid w:val="00FF2C2C"/>
    <w:rsid w:val="00FF3AFE"/>
    <w:rsid w:val="00FF4141"/>
    <w:rsid w:val="00FF43A6"/>
    <w:rsid w:val="00FF4510"/>
    <w:rsid w:val="00FF4A83"/>
    <w:rsid w:val="00FF59EB"/>
    <w:rsid w:val="00FF5B35"/>
    <w:rsid w:val="00FF5BD3"/>
    <w:rsid w:val="00FF60C2"/>
    <w:rsid w:val="00FF616E"/>
    <w:rsid w:val="00FF6320"/>
    <w:rsid w:val="00FF6324"/>
    <w:rsid w:val="00FF68AF"/>
    <w:rsid w:val="00FF6FE8"/>
    <w:rsid w:val="00FF749B"/>
    <w:rsid w:val="00FF75BE"/>
    <w:rsid w:val="016CC073"/>
    <w:rsid w:val="01C882CD"/>
    <w:rsid w:val="020CA880"/>
    <w:rsid w:val="0275AF9B"/>
    <w:rsid w:val="02B4261A"/>
    <w:rsid w:val="02C45D20"/>
    <w:rsid w:val="02F0A9D8"/>
    <w:rsid w:val="032A6374"/>
    <w:rsid w:val="0345D12D"/>
    <w:rsid w:val="03567F19"/>
    <w:rsid w:val="03600257"/>
    <w:rsid w:val="036C748D"/>
    <w:rsid w:val="039CD516"/>
    <w:rsid w:val="03A4CF07"/>
    <w:rsid w:val="03D06769"/>
    <w:rsid w:val="041C9239"/>
    <w:rsid w:val="042ABBA9"/>
    <w:rsid w:val="0475F724"/>
    <w:rsid w:val="04D30848"/>
    <w:rsid w:val="04D3ACEA"/>
    <w:rsid w:val="054CF98A"/>
    <w:rsid w:val="0594C92B"/>
    <w:rsid w:val="05B457B5"/>
    <w:rsid w:val="05D057B0"/>
    <w:rsid w:val="05FA2B38"/>
    <w:rsid w:val="061CD87D"/>
    <w:rsid w:val="061E3A24"/>
    <w:rsid w:val="06402D35"/>
    <w:rsid w:val="0691F00C"/>
    <w:rsid w:val="06D6ACC5"/>
    <w:rsid w:val="0763588A"/>
    <w:rsid w:val="0772ACA9"/>
    <w:rsid w:val="07902650"/>
    <w:rsid w:val="07A1EC99"/>
    <w:rsid w:val="07A54FFA"/>
    <w:rsid w:val="07AAC40C"/>
    <w:rsid w:val="07CC27FA"/>
    <w:rsid w:val="07FA13B0"/>
    <w:rsid w:val="07FBFA45"/>
    <w:rsid w:val="082D4832"/>
    <w:rsid w:val="08950447"/>
    <w:rsid w:val="089DC2A9"/>
    <w:rsid w:val="08C5CD8D"/>
    <w:rsid w:val="08EE99F2"/>
    <w:rsid w:val="0905DDE8"/>
    <w:rsid w:val="09296782"/>
    <w:rsid w:val="093AC02A"/>
    <w:rsid w:val="09536514"/>
    <w:rsid w:val="099E7347"/>
    <w:rsid w:val="0A94FD08"/>
    <w:rsid w:val="0AE432DC"/>
    <w:rsid w:val="0AEF3575"/>
    <w:rsid w:val="0AFB8110"/>
    <w:rsid w:val="0B6BCF3E"/>
    <w:rsid w:val="0B853387"/>
    <w:rsid w:val="0B9B8D0C"/>
    <w:rsid w:val="0BA7F6F0"/>
    <w:rsid w:val="0BC4A0C5"/>
    <w:rsid w:val="0BC85A8B"/>
    <w:rsid w:val="0BD4C800"/>
    <w:rsid w:val="0BDE0963"/>
    <w:rsid w:val="0BF65E94"/>
    <w:rsid w:val="0C42813D"/>
    <w:rsid w:val="0CD530B8"/>
    <w:rsid w:val="0CFA9AC1"/>
    <w:rsid w:val="0D158453"/>
    <w:rsid w:val="0D1D639D"/>
    <w:rsid w:val="0D57EB2A"/>
    <w:rsid w:val="0DB6C08F"/>
    <w:rsid w:val="0DC3D9D9"/>
    <w:rsid w:val="0E12852A"/>
    <w:rsid w:val="0E1835AF"/>
    <w:rsid w:val="0E35BC6C"/>
    <w:rsid w:val="0E727EB0"/>
    <w:rsid w:val="0E8C6E58"/>
    <w:rsid w:val="0E98B6F4"/>
    <w:rsid w:val="0EA1F1B6"/>
    <w:rsid w:val="0EC24A08"/>
    <w:rsid w:val="0F35F87E"/>
    <w:rsid w:val="0F53D0B4"/>
    <w:rsid w:val="0F7F61AE"/>
    <w:rsid w:val="0FB40045"/>
    <w:rsid w:val="0FB5383F"/>
    <w:rsid w:val="0FBF5438"/>
    <w:rsid w:val="0FCA25C3"/>
    <w:rsid w:val="10064A82"/>
    <w:rsid w:val="1039D0A0"/>
    <w:rsid w:val="103C41B6"/>
    <w:rsid w:val="106C282E"/>
    <w:rsid w:val="10A8F002"/>
    <w:rsid w:val="10AEC39B"/>
    <w:rsid w:val="10B4F9A5"/>
    <w:rsid w:val="10BE88E7"/>
    <w:rsid w:val="10DE40F2"/>
    <w:rsid w:val="1116269F"/>
    <w:rsid w:val="112550D3"/>
    <w:rsid w:val="11499E3F"/>
    <w:rsid w:val="119A97CD"/>
    <w:rsid w:val="11C7562D"/>
    <w:rsid w:val="11DE6742"/>
    <w:rsid w:val="1222AC54"/>
    <w:rsid w:val="123989C0"/>
    <w:rsid w:val="123ED406"/>
    <w:rsid w:val="127909D5"/>
    <w:rsid w:val="12AF6A08"/>
    <w:rsid w:val="12F79AFE"/>
    <w:rsid w:val="130D2447"/>
    <w:rsid w:val="135F266B"/>
    <w:rsid w:val="1362EBE9"/>
    <w:rsid w:val="1386BE87"/>
    <w:rsid w:val="1399BAF9"/>
    <w:rsid w:val="13A35292"/>
    <w:rsid w:val="13BB322C"/>
    <w:rsid w:val="140D1ACA"/>
    <w:rsid w:val="143A5A09"/>
    <w:rsid w:val="145B8DE8"/>
    <w:rsid w:val="149BA9C2"/>
    <w:rsid w:val="14AF8463"/>
    <w:rsid w:val="14D48180"/>
    <w:rsid w:val="155606DC"/>
    <w:rsid w:val="15870598"/>
    <w:rsid w:val="15CA8486"/>
    <w:rsid w:val="15E49D5A"/>
    <w:rsid w:val="15F25049"/>
    <w:rsid w:val="160639AC"/>
    <w:rsid w:val="1639AD69"/>
    <w:rsid w:val="1657DC66"/>
    <w:rsid w:val="166268F1"/>
    <w:rsid w:val="166A8AFC"/>
    <w:rsid w:val="1681836F"/>
    <w:rsid w:val="16A64431"/>
    <w:rsid w:val="16C3E110"/>
    <w:rsid w:val="16FA8927"/>
    <w:rsid w:val="17730B22"/>
    <w:rsid w:val="177B72E9"/>
    <w:rsid w:val="179EF741"/>
    <w:rsid w:val="17D50ED4"/>
    <w:rsid w:val="18003809"/>
    <w:rsid w:val="1835648E"/>
    <w:rsid w:val="186E9C33"/>
    <w:rsid w:val="18A396A5"/>
    <w:rsid w:val="18AA40B9"/>
    <w:rsid w:val="18B99481"/>
    <w:rsid w:val="190C313A"/>
    <w:rsid w:val="194ED28C"/>
    <w:rsid w:val="195C33EB"/>
    <w:rsid w:val="199CF599"/>
    <w:rsid w:val="19A303D1"/>
    <w:rsid w:val="19E668F8"/>
    <w:rsid w:val="19FDA55E"/>
    <w:rsid w:val="1A208117"/>
    <w:rsid w:val="1A286E96"/>
    <w:rsid w:val="1A2C6518"/>
    <w:rsid w:val="1A5CC7E3"/>
    <w:rsid w:val="1A6CEC41"/>
    <w:rsid w:val="1A782C62"/>
    <w:rsid w:val="1A7EE319"/>
    <w:rsid w:val="1A8AF4E7"/>
    <w:rsid w:val="1AAEDAC1"/>
    <w:rsid w:val="1AFBD67C"/>
    <w:rsid w:val="1B1CF7BB"/>
    <w:rsid w:val="1B5F5B44"/>
    <w:rsid w:val="1B6C7748"/>
    <w:rsid w:val="1B7F1AC6"/>
    <w:rsid w:val="1B991A3A"/>
    <w:rsid w:val="1BB4262A"/>
    <w:rsid w:val="1C398A1C"/>
    <w:rsid w:val="1C3A66EF"/>
    <w:rsid w:val="1C3DAC5B"/>
    <w:rsid w:val="1C47F8D2"/>
    <w:rsid w:val="1C598B67"/>
    <w:rsid w:val="1C711EF5"/>
    <w:rsid w:val="1CED50A3"/>
    <w:rsid w:val="1D08A64A"/>
    <w:rsid w:val="1D46E4C1"/>
    <w:rsid w:val="1D4F0C9F"/>
    <w:rsid w:val="1D73095A"/>
    <w:rsid w:val="1D914248"/>
    <w:rsid w:val="1DD8E89B"/>
    <w:rsid w:val="1E0E0FF1"/>
    <w:rsid w:val="1E1D8157"/>
    <w:rsid w:val="1E3B969A"/>
    <w:rsid w:val="1E5AB446"/>
    <w:rsid w:val="1E636338"/>
    <w:rsid w:val="1E72DBB3"/>
    <w:rsid w:val="1E74CFCD"/>
    <w:rsid w:val="1E86C9E4"/>
    <w:rsid w:val="1E9BFAAF"/>
    <w:rsid w:val="1F5B7EB6"/>
    <w:rsid w:val="1F9B720F"/>
    <w:rsid w:val="1FDE3C55"/>
    <w:rsid w:val="20561490"/>
    <w:rsid w:val="20A713FE"/>
    <w:rsid w:val="20D76104"/>
    <w:rsid w:val="211E51BB"/>
    <w:rsid w:val="215A0EFF"/>
    <w:rsid w:val="216FB822"/>
    <w:rsid w:val="21CDABF8"/>
    <w:rsid w:val="21D71D3E"/>
    <w:rsid w:val="21F35967"/>
    <w:rsid w:val="21FE267B"/>
    <w:rsid w:val="22172862"/>
    <w:rsid w:val="22209179"/>
    <w:rsid w:val="2224A916"/>
    <w:rsid w:val="22384EE3"/>
    <w:rsid w:val="224CD874"/>
    <w:rsid w:val="2268419E"/>
    <w:rsid w:val="22AC2EF0"/>
    <w:rsid w:val="22C112F1"/>
    <w:rsid w:val="22F5AF0C"/>
    <w:rsid w:val="230F07BD"/>
    <w:rsid w:val="2379E12E"/>
    <w:rsid w:val="2393D8B6"/>
    <w:rsid w:val="2397CBD6"/>
    <w:rsid w:val="23A96A94"/>
    <w:rsid w:val="23C1796E"/>
    <w:rsid w:val="23DB8C40"/>
    <w:rsid w:val="23FB8ACD"/>
    <w:rsid w:val="2424173F"/>
    <w:rsid w:val="244DBD4A"/>
    <w:rsid w:val="24823DF3"/>
    <w:rsid w:val="24A43E1F"/>
    <w:rsid w:val="24ABD43D"/>
    <w:rsid w:val="250B1DB8"/>
    <w:rsid w:val="251C88F3"/>
    <w:rsid w:val="25326743"/>
    <w:rsid w:val="259AE672"/>
    <w:rsid w:val="25BBB2FE"/>
    <w:rsid w:val="25CDDEB0"/>
    <w:rsid w:val="263B0BF3"/>
    <w:rsid w:val="2647A49E"/>
    <w:rsid w:val="265ACD1B"/>
    <w:rsid w:val="2677EA8D"/>
    <w:rsid w:val="26C150DB"/>
    <w:rsid w:val="26C2261D"/>
    <w:rsid w:val="26D4623C"/>
    <w:rsid w:val="27567531"/>
    <w:rsid w:val="275B27F1"/>
    <w:rsid w:val="277700C6"/>
    <w:rsid w:val="27CB6B2F"/>
    <w:rsid w:val="27CBEBF6"/>
    <w:rsid w:val="286753CA"/>
    <w:rsid w:val="28741643"/>
    <w:rsid w:val="28A58A59"/>
    <w:rsid w:val="28D4DB96"/>
    <w:rsid w:val="28E9A674"/>
    <w:rsid w:val="2904B6C1"/>
    <w:rsid w:val="2905EB52"/>
    <w:rsid w:val="294F3C81"/>
    <w:rsid w:val="2955AF16"/>
    <w:rsid w:val="29AE69D7"/>
    <w:rsid w:val="29C0F263"/>
    <w:rsid w:val="29C2D092"/>
    <w:rsid w:val="29D2B16A"/>
    <w:rsid w:val="29D71151"/>
    <w:rsid w:val="29EC37DB"/>
    <w:rsid w:val="29EDCF1C"/>
    <w:rsid w:val="2A1E5EAA"/>
    <w:rsid w:val="2A2EB32F"/>
    <w:rsid w:val="2A42B4A4"/>
    <w:rsid w:val="2A4FCAFD"/>
    <w:rsid w:val="2A6ADCAE"/>
    <w:rsid w:val="2A892153"/>
    <w:rsid w:val="2AB7555A"/>
    <w:rsid w:val="2B0EFCF7"/>
    <w:rsid w:val="2B710A1E"/>
    <w:rsid w:val="2B967941"/>
    <w:rsid w:val="2BA8F4D8"/>
    <w:rsid w:val="2BAEA5FB"/>
    <w:rsid w:val="2BAFDE68"/>
    <w:rsid w:val="2BE850CC"/>
    <w:rsid w:val="2BEC1446"/>
    <w:rsid w:val="2BF529A6"/>
    <w:rsid w:val="2BFEFD4C"/>
    <w:rsid w:val="2C0EF6AF"/>
    <w:rsid w:val="2C10F3E6"/>
    <w:rsid w:val="2C46CAEB"/>
    <w:rsid w:val="2C4A6BFB"/>
    <w:rsid w:val="2C77BEA0"/>
    <w:rsid w:val="2C7EEF20"/>
    <w:rsid w:val="2C92DA0B"/>
    <w:rsid w:val="2C96DCFB"/>
    <w:rsid w:val="2CA80456"/>
    <w:rsid w:val="2D99AD4D"/>
    <w:rsid w:val="2DD3D39B"/>
    <w:rsid w:val="2DDAA9AA"/>
    <w:rsid w:val="2DEFA546"/>
    <w:rsid w:val="2E20CC8D"/>
    <w:rsid w:val="2E35DACC"/>
    <w:rsid w:val="2E5B561B"/>
    <w:rsid w:val="2E7B8CDE"/>
    <w:rsid w:val="2E9392FC"/>
    <w:rsid w:val="2EA26F84"/>
    <w:rsid w:val="2EE5FBDD"/>
    <w:rsid w:val="2EF89508"/>
    <w:rsid w:val="2F12331F"/>
    <w:rsid w:val="2F2C0095"/>
    <w:rsid w:val="2F35ECE7"/>
    <w:rsid w:val="2F3D8FD1"/>
    <w:rsid w:val="2F69F50F"/>
    <w:rsid w:val="2F97A806"/>
    <w:rsid w:val="2FB6F0B7"/>
    <w:rsid w:val="2FBE5E20"/>
    <w:rsid w:val="2FC90BF4"/>
    <w:rsid w:val="2FD239BA"/>
    <w:rsid w:val="2FDEA222"/>
    <w:rsid w:val="2FE56B69"/>
    <w:rsid w:val="2FEBB9D2"/>
    <w:rsid w:val="3002BCF5"/>
    <w:rsid w:val="306C7CEC"/>
    <w:rsid w:val="30CFB22B"/>
    <w:rsid w:val="30ED9E5E"/>
    <w:rsid w:val="30F594D4"/>
    <w:rsid w:val="3108B351"/>
    <w:rsid w:val="3109F7BD"/>
    <w:rsid w:val="3119C42D"/>
    <w:rsid w:val="3186D5EA"/>
    <w:rsid w:val="31C20E79"/>
    <w:rsid w:val="31CE41C9"/>
    <w:rsid w:val="321B5BC3"/>
    <w:rsid w:val="321DE26E"/>
    <w:rsid w:val="32684FEE"/>
    <w:rsid w:val="32B06732"/>
    <w:rsid w:val="32FBAA2D"/>
    <w:rsid w:val="33053F6F"/>
    <w:rsid w:val="33965A2A"/>
    <w:rsid w:val="33B34631"/>
    <w:rsid w:val="33C7008B"/>
    <w:rsid w:val="33DC6980"/>
    <w:rsid w:val="33F418F2"/>
    <w:rsid w:val="33FC34E7"/>
    <w:rsid w:val="34189D26"/>
    <w:rsid w:val="341D490D"/>
    <w:rsid w:val="3453CCD4"/>
    <w:rsid w:val="346EC59A"/>
    <w:rsid w:val="34AD315B"/>
    <w:rsid w:val="34C28498"/>
    <w:rsid w:val="34D0E7DC"/>
    <w:rsid w:val="34F512DA"/>
    <w:rsid w:val="353E98E9"/>
    <w:rsid w:val="35767F88"/>
    <w:rsid w:val="35A7CC41"/>
    <w:rsid w:val="35ADE8D2"/>
    <w:rsid w:val="35DAE23C"/>
    <w:rsid w:val="35DD68E0"/>
    <w:rsid w:val="361B391E"/>
    <w:rsid w:val="362701C8"/>
    <w:rsid w:val="3630BD13"/>
    <w:rsid w:val="364B32D2"/>
    <w:rsid w:val="368416F7"/>
    <w:rsid w:val="36947CD8"/>
    <w:rsid w:val="3694E7EA"/>
    <w:rsid w:val="36F21992"/>
    <w:rsid w:val="36FB65E0"/>
    <w:rsid w:val="375CBC17"/>
    <w:rsid w:val="375DA23C"/>
    <w:rsid w:val="376F0671"/>
    <w:rsid w:val="37777B35"/>
    <w:rsid w:val="37A77FB8"/>
    <w:rsid w:val="37C2BC41"/>
    <w:rsid w:val="37CF455A"/>
    <w:rsid w:val="37D46CDA"/>
    <w:rsid w:val="38435EA7"/>
    <w:rsid w:val="38576E81"/>
    <w:rsid w:val="3864921D"/>
    <w:rsid w:val="3889ED4B"/>
    <w:rsid w:val="38BED3F6"/>
    <w:rsid w:val="38C1BCCE"/>
    <w:rsid w:val="38D68389"/>
    <w:rsid w:val="38E0996C"/>
    <w:rsid w:val="391EECC5"/>
    <w:rsid w:val="3939E540"/>
    <w:rsid w:val="394454C8"/>
    <w:rsid w:val="39BA6E94"/>
    <w:rsid w:val="39BB5EAD"/>
    <w:rsid w:val="39BE0EC7"/>
    <w:rsid w:val="39CE979A"/>
    <w:rsid w:val="39F737AF"/>
    <w:rsid w:val="3A497BD8"/>
    <w:rsid w:val="3A5AFFC6"/>
    <w:rsid w:val="3A6FE02F"/>
    <w:rsid w:val="3A988DCE"/>
    <w:rsid w:val="3AD1FB97"/>
    <w:rsid w:val="3ADF207A"/>
    <w:rsid w:val="3B3FB278"/>
    <w:rsid w:val="3B4EFB74"/>
    <w:rsid w:val="3B55E8C4"/>
    <w:rsid w:val="3B65E62F"/>
    <w:rsid w:val="3BAB9575"/>
    <w:rsid w:val="3C436990"/>
    <w:rsid w:val="3CB5CF35"/>
    <w:rsid w:val="3CC3EE71"/>
    <w:rsid w:val="3CD77CDF"/>
    <w:rsid w:val="3D1043C5"/>
    <w:rsid w:val="3D632D82"/>
    <w:rsid w:val="3D64CF44"/>
    <w:rsid w:val="3D9217A3"/>
    <w:rsid w:val="3D93D5E2"/>
    <w:rsid w:val="3DACBD73"/>
    <w:rsid w:val="3DD69668"/>
    <w:rsid w:val="3E09CE0B"/>
    <w:rsid w:val="3E0DD612"/>
    <w:rsid w:val="3E12E891"/>
    <w:rsid w:val="3E200C1A"/>
    <w:rsid w:val="3E4B3C0A"/>
    <w:rsid w:val="3E58E719"/>
    <w:rsid w:val="3E678E3B"/>
    <w:rsid w:val="3EA7C5D3"/>
    <w:rsid w:val="3EE4EE45"/>
    <w:rsid w:val="3F7B651A"/>
    <w:rsid w:val="3FC05597"/>
    <w:rsid w:val="3FC74F68"/>
    <w:rsid w:val="40158579"/>
    <w:rsid w:val="403B173F"/>
    <w:rsid w:val="4047ED74"/>
    <w:rsid w:val="40BC9528"/>
    <w:rsid w:val="40C3F79F"/>
    <w:rsid w:val="413AF0E7"/>
    <w:rsid w:val="417B14DB"/>
    <w:rsid w:val="419B434F"/>
    <w:rsid w:val="41A268B5"/>
    <w:rsid w:val="4215D417"/>
    <w:rsid w:val="422CB916"/>
    <w:rsid w:val="42B8AE65"/>
    <w:rsid w:val="42F1AF37"/>
    <w:rsid w:val="4325E3DD"/>
    <w:rsid w:val="432E8390"/>
    <w:rsid w:val="43855496"/>
    <w:rsid w:val="43ECBCE0"/>
    <w:rsid w:val="43F8C738"/>
    <w:rsid w:val="448AFC97"/>
    <w:rsid w:val="44C4AB4A"/>
    <w:rsid w:val="44DB4318"/>
    <w:rsid w:val="4547D2E5"/>
    <w:rsid w:val="454A92F2"/>
    <w:rsid w:val="454C4E46"/>
    <w:rsid w:val="455F66B0"/>
    <w:rsid w:val="459266C8"/>
    <w:rsid w:val="45DF168F"/>
    <w:rsid w:val="46194848"/>
    <w:rsid w:val="464C0B6B"/>
    <w:rsid w:val="46719E17"/>
    <w:rsid w:val="4687B05E"/>
    <w:rsid w:val="46A27D4F"/>
    <w:rsid w:val="46DBF265"/>
    <w:rsid w:val="470DA88E"/>
    <w:rsid w:val="470ECE19"/>
    <w:rsid w:val="472DCA10"/>
    <w:rsid w:val="47339226"/>
    <w:rsid w:val="4762CCD5"/>
    <w:rsid w:val="476F89F5"/>
    <w:rsid w:val="47B4AB01"/>
    <w:rsid w:val="47CCA7BC"/>
    <w:rsid w:val="4864BCAE"/>
    <w:rsid w:val="488F76A6"/>
    <w:rsid w:val="48CD3746"/>
    <w:rsid w:val="48E647E9"/>
    <w:rsid w:val="48FA736C"/>
    <w:rsid w:val="4909E5B3"/>
    <w:rsid w:val="4951A9C1"/>
    <w:rsid w:val="496543FE"/>
    <w:rsid w:val="49A37AD1"/>
    <w:rsid w:val="49B1AFC1"/>
    <w:rsid w:val="49B54F93"/>
    <w:rsid w:val="49C22638"/>
    <w:rsid w:val="4A214D44"/>
    <w:rsid w:val="4A23D67F"/>
    <w:rsid w:val="4A29BFCF"/>
    <w:rsid w:val="4A2C79AA"/>
    <w:rsid w:val="4A2D6F36"/>
    <w:rsid w:val="4A538571"/>
    <w:rsid w:val="4A96F9E0"/>
    <w:rsid w:val="4A9D6B5D"/>
    <w:rsid w:val="4AB6B993"/>
    <w:rsid w:val="4ADBF08D"/>
    <w:rsid w:val="4B00D4B3"/>
    <w:rsid w:val="4B116506"/>
    <w:rsid w:val="4B1B0BFE"/>
    <w:rsid w:val="4B65F7C3"/>
    <w:rsid w:val="4B797544"/>
    <w:rsid w:val="4B7A4103"/>
    <w:rsid w:val="4B941511"/>
    <w:rsid w:val="4B9F49F0"/>
    <w:rsid w:val="4BA341CF"/>
    <w:rsid w:val="4BCE448F"/>
    <w:rsid w:val="4C1AB81C"/>
    <w:rsid w:val="4C23E591"/>
    <w:rsid w:val="4C69975C"/>
    <w:rsid w:val="4C75BE8C"/>
    <w:rsid w:val="4CDE764D"/>
    <w:rsid w:val="4CEF053D"/>
    <w:rsid w:val="4D0A99FD"/>
    <w:rsid w:val="4D296A89"/>
    <w:rsid w:val="4D406772"/>
    <w:rsid w:val="4D440813"/>
    <w:rsid w:val="4D83ABBF"/>
    <w:rsid w:val="4D969A37"/>
    <w:rsid w:val="4D9BC716"/>
    <w:rsid w:val="4DB70BCE"/>
    <w:rsid w:val="4DBE8EC2"/>
    <w:rsid w:val="4DBFB5F2"/>
    <w:rsid w:val="4E296C0F"/>
    <w:rsid w:val="4E394B13"/>
    <w:rsid w:val="4E41528A"/>
    <w:rsid w:val="4EA54E1A"/>
    <w:rsid w:val="4EC2B1FF"/>
    <w:rsid w:val="4ED7F24B"/>
    <w:rsid w:val="4EEE65B9"/>
    <w:rsid w:val="4F2AFEF9"/>
    <w:rsid w:val="4F69DC34"/>
    <w:rsid w:val="4F792737"/>
    <w:rsid w:val="4FCDD614"/>
    <w:rsid w:val="507C8EC9"/>
    <w:rsid w:val="50A0B1EA"/>
    <w:rsid w:val="50CA8836"/>
    <w:rsid w:val="50D5AFA8"/>
    <w:rsid w:val="50EF1AB2"/>
    <w:rsid w:val="5114F798"/>
    <w:rsid w:val="5160CDE0"/>
    <w:rsid w:val="5160DEF3"/>
    <w:rsid w:val="516E7C14"/>
    <w:rsid w:val="51DB2614"/>
    <w:rsid w:val="51E0E1B0"/>
    <w:rsid w:val="51E9F3C7"/>
    <w:rsid w:val="5219B629"/>
    <w:rsid w:val="521C8D1D"/>
    <w:rsid w:val="52473EBC"/>
    <w:rsid w:val="526ADDB7"/>
    <w:rsid w:val="527F0279"/>
    <w:rsid w:val="5287D70D"/>
    <w:rsid w:val="5295060E"/>
    <w:rsid w:val="52D9F771"/>
    <w:rsid w:val="531EBEB5"/>
    <w:rsid w:val="53362593"/>
    <w:rsid w:val="535E8E21"/>
    <w:rsid w:val="536AA610"/>
    <w:rsid w:val="53B2A92B"/>
    <w:rsid w:val="53B687FB"/>
    <w:rsid w:val="54850F1F"/>
    <w:rsid w:val="54B5BCE4"/>
    <w:rsid w:val="54BAC0EC"/>
    <w:rsid w:val="551FD0A4"/>
    <w:rsid w:val="5546A9E7"/>
    <w:rsid w:val="55609FCB"/>
    <w:rsid w:val="55693D89"/>
    <w:rsid w:val="557230BE"/>
    <w:rsid w:val="557E6DEF"/>
    <w:rsid w:val="55DC7EE5"/>
    <w:rsid w:val="563AB61E"/>
    <w:rsid w:val="5641F511"/>
    <w:rsid w:val="564A7B1B"/>
    <w:rsid w:val="5672F8A9"/>
    <w:rsid w:val="5673B3A9"/>
    <w:rsid w:val="56773747"/>
    <w:rsid w:val="56904453"/>
    <w:rsid w:val="56D03457"/>
    <w:rsid w:val="570C131D"/>
    <w:rsid w:val="575148FC"/>
    <w:rsid w:val="5754F86A"/>
    <w:rsid w:val="5773260E"/>
    <w:rsid w:val="57AD8687"/>
    <w:rsid w:val="57FDDAA1"/>
    <w:rsid w:val="5806864A"/>
    <w:rsid w:val="58085CB2"/>
    <w:rsid w:val="587893C3"/>
    <w:rsid w:val="58A48DC8"/>
    <w:rsid w:val="58A58671"/>
    <w:rsid w:val="58D88A0A"/>
    <w:rsid w:val="58D961E9"/>
    <w:rsid w:val="58F3300B"/>
    <w:rsid w:val="5913719A"/>
    <w:rsid w:val="592D8219"/>
    <w:rsid w:val="5961E790"/>
    <w:rsid w:val="596597E4"/>
    <w:rsid w:val="5985E0DD"/>
    <w:rsid w:val="59AA4431"/>
    <w:rsid w:val="59B3C262"/>
    <w:rsid w:val="59CD8E96"/>
    <w:rsid w:val="59EA264C"/>
    <w:rsid w:val="5A0D9564"/>
    <w:rsid w:val="5A25B8A6"/>
    <w:rsid w:val="5A60AD49"/>
    <w:rsid w:val="5A6437CE"/>
    <w:rsid w:val="5A7FED4A"/>
    <w:rsid w:val="5AA04341"/>
    <w:rsid w:val="5AE4F17C"/>
    <w:rsid w:val="5B0336A4"/>
    <w:rsid w:val="5B08E46C"/>
    <w:rsid w:val="5B12FF9D"/>
    <w:rsid w:val="5B150888"/>
    <w:rsid w:val="5B24BEB1"/>
    <w:rsid w:val="5B461492"/>
    <w:rsid w:val="5B694BB6"/>
    <w:rsid w:val="5BA11D64"/>
    <w:rsid w:val="5BBAD26D"/>
    <w:rsid w:val="5BF42F19"/>
    <w:rsid w:val="5BF5203A"/>
    <w:rsid w:val="5C15AA7D"/>
    <w:rsid w:val="5C500CFF"/>
    <w:rsid w:val="5C7588A1"/>
    <w:rsid w:val="5CAF404E"/>
    <w:rsid w:val="5CE0A801"/>
    <w:rsid w:val="5CE79CC6"/>
    <w:rsid w:val="5D1CC34D"/>
    <w:rsid w:val="5D2A4B4E"/>
    <w:rsid w:val="5D70FBE2"/>
    <w:rsid w:val="5D8E4391"/>
    <w:rsid w:val="5DC0772B"/>
    <w:rsid w:val="5DDA3BF5"/>
    <w:rsid w:val="5DDDACBA"/>
    <w:rsid w:val="5E05B8DA"/>
    <w:rsid w:val="5E33F80D"/>
    <w:rsid w:val="5E616F0D"/>
    <w:rsid w:val="5E901D86"/>
    <w:rsid w:val="5F08165D"/>
    <w:rsid w:val="5F0ED10F"/>
    <w:rsid w:val="5F16E080"/>
    <w:rsid w:val="5F1F1389"/>
    <w:rsid w:val="5F325639"/>
    <w:rsid w:val="5F39ABD5"/>
    <w:rsid w:val="5F78BDD6"/>
    <w:rsid w:val="5FCEF8A5"/>
    <w:rsid w:val="5FD6B9D5"/>
    <w:rsid w:val="602291C3"/>
    <w:rsid w:val="60830DF4"/>
    <w:rsid w:val="608A6901"/>
    <w:rsid w:val="60D86B29"/>
    <w:rsid w:val="60DA066F"/>
    <w:rsid w:val="6119E08B"/>
    <w:rsid w:val="6126394B"/>
    <w:rsid w:val="61730837"/>
    <w:rsid w:val="61A1317A"/>
    <w:rsid w:val="61A4CD10"/>
    <w:rsid w:val="61BB1BB4"/>
    <w:rsid w:val="61E71FB3"/>
    <w:rsid w:val="61E7FD71"/>
    <w:rsid w:val="6222A088"/>
    <w:rsid w:val="6229137B"/>
    <w:rsid w:val="62291B60"/>
    <w:rsid w:val="623DA5BA"/>
    <w:rsid w:val="62F7419F"/>
    <w:rsid w:val="63139AC6"/>
    <w:rsid w:val="635D97FE"/>
    <w:rsid w:val="6391A290"/>
    <w:rsid w:val="63A72E92"/>
    <w:rsid w:val="63AE8658"/>
    <w:rsid w:val="63CFD1CE"/>
    <w:rsid w:val="63E94D4B"/>
    <w:rsid w:val="63F493A9"/>
    <w:rsid w:val="63FF75A9"/>
    <w:rsid w:val="64343D14"/>
    <w:rsid w:val="64FAA82E"/>
    <w:rsid w:val="65118A7E"/>
    <w:rsid w:val="65616724"/>
    <w:rsid w:val="65B32655"/>
    <w:rsid w:val="65E37879"/>
    <w:rsid w:val="65F8068A"/>
    <w:rsid w:val="65FA2564"/>
    <w:rsid w:val="6606430D"/>
    <w:rsid w:val="66779DF1"/>
    <w:rsid w:val="66C9A573"/>
    <w:rsid w:val="6709F947"/>
    <w:rsid w:val="6744EE45"/>
    <w:rsid w:val="679607C3"/>
    <w:rsid w:val="67D2BAF7"/>
    <w:rsid w:val="67E46B6C"/>
    <w:rsid w:val="680B6F3D"/>
    <w:rsid w:val="6875D574"/>
    <w:rsid w:val="6878E78B"/>
    <w:rsid w:val="6880D391"/>
    <w:rsid w:val="6885045E"/>
    <w:rsid w:val="688A9059"/>
    <w:rsid w:val="68DF54FA"/>
    <w:rsid w:val="690A9BDB"/>
    <w:rsid w:val="69452D62"/>
    <w:rsid w:val="69462AB0"/>
    <w:rsid w:val="694E5321"/>
    <w:rsid w:val="698C4B59"/>
    <w:rsid w:val="699D205B"/>
    <w:rsid w:val="69A77080"/>
    <w:rsid w:val="69FDC4F8"/>
    <w:rsid w:val="6A0F10F6"/>
    <w:rsid w:val="6A48A59C"/>
    <w:rsid w:val="6A619457"/>
    <w:rsid w:val="6A717DDE"/>
    <w:rsid w:val="6A78A1ED"/>
    <w:rsid w:val="6ABE745E"/>
    <w:rsid w:val="6ADBD912"/>
    <w:rsid w:val="6AFB597A"/>
    <w:rsid w:val="6B0828B3"/>
    <w:rsid w:val="6B0F6CB3"/>
    <w:rsid w:val="6B2BA78F"/>
    <w:rsid w:val="6B507A0E"/>
    <w:rsid w:val="6B6FD70A"/>
    <w:rsid w:val="6B9D4492"/>
    <w:rsid w:val="6BCEB11B"/>
    <w:rsid w:val="6C0D4A30"/>
    <w:rsid w:val="6C1610B9"/>
    <w:rsid w:val="6C446CDE"/>
    <w:rsid w:val="6C4931A2"/>
    <w:rsid w:val="6C75937B"/>
    <w:rsid w:val="6C902FC3"/>
    <w:rsid w:val="6CC84583"/>
    <w:rsid w:val="6D2CA29E"/>
    <w:rsid w:val="6D443852"/>
    <w:rsid w:val="6D73BD07"/>
    <w:rsid w:val="6DA45381"/>
    <w:rsid w:val="6DA45D22"/>
    <w:rsid w:val="6DB267BD"/>
    <w:rsid w:val="6DCB1270"/>
    <w:rsid w:val="6E01E473"/>
    <w:rsid w:val="6E28D49B"/>
    <w:rsid w:val="6E4B5800"/>
    <w:rsid w:val="6EAED4DA"/>
    <w:rsid w:val="6F9A25F0"/>
    <w:rsid w:val="6FB03026"/>
    <w:rsid w:val="6FD7B85B"/>
    <w:rsid w:val="6FE8149E"/>
    <w:rsid w:val="6FEC3143"/>
    <w:rsid w:val="7010F4F4"/>
    <w:rsid w:val="701B921C"/>
    <w:rsid w:val="70575F5C"/>
    <w:rsid w:val="707FBF97"/>
    <w:rsid w:val="70B29716"/>
    <w:rsid w:val="70BA840F"/>
    <w:rsid w:val="70CABF86"/>
    <w:rsid w:val="70F40B7D"/>
    <w:rsid w:val="7110921D"/>
    <w:rsid w:val="713C2FD1"/>
    <w:rsid w:val="713EC855"/>
    <w:rsid w:val="7143DFF7"/>
    <w:rsid w:val="7144F5E9"/>
    <w:rsid w:val="71472936"/>
    <w:rsid w:val="71A71E89"/>
    <w:rsid w:val="71B3A7B5"/>
    <w:rsid w:val="71D7DFED"/>
    <w:rsid w:val="71DE772C"/>
    <w:rsid w:val="7209AA27"/>
    <w:rsid w:val="723F1718"/>
    <w:rsid w:val="723F4C8A"/>
    <w:rsid w:val="72454B6F"/>
    <w:rsid w:val="7273F61F"/>
    <w:rsid w:val="72925418"/>
    <w:rsid w:val="729FC156"/>
    <w:rsid w:val="72B150E6"/>
    <w:rsid w:val="730A32FF"/>
    <w:rsid w:val="7310BA92"/>
    <w:rsid w:val="73273CBB"/>
    <w:rsid w:val="733D32A3"/>
    <w:rsid w:val="734397EA"/>
    <w:rsid w:val="73749EF4"/>
    <w:rsid w:val="73C2E577"/>
    <w:rsid w:val="73CA1CE6"/>
    <w:rsid w:val="73CC0DCE"/>
    <w:rsid w:val="73D19A28"/>
    <w:rsid w:val="741F3C77"/>
    <w:rsid w:val="743EAEE4"/>
    <w:rsid w:val="74A17303"/>
    <w:rsid w:val="74AEB488"/>
    <w:rsid w:val="74B1BFD6"/>
    <w:rsid w:val="74B885DA"/>
    <w:rsid w:val="74BA1596"/>
    <w:rsid w:val="74D05284"/>
    <w:rsid w:val="74E8E760"/>
    <w:rsid w:val="7589D46C"/>
    <w:rsid w:val="75CCBC66"/>
    <w:rsid w:val="760D7E68"/>
    <w:rsid w:val="7623CB1F"/>
    <w:rsid w:val="762A54E7"/>
    <w:rsid w:val="76BC4807"/>
    <w:rsid w:val="76E900A3"/>
    <w:rsid w:val="76F99550"/>
    <w:rsid w:val="77100EB0"/>
    <w:rsid w:val="7713CFD9"/>
    <w:rsid w:val="771D8097"/>
    <w:rsid w:val="773BF010"/>
    <w:rsid w:val="775DD249"/>
    <w:rsid w:val="7797267D"/>
    <w:rsid w:val="77A7335F"/>
    <w:rsid w:val="77B967B4"/>
    <w:rsid w:val="77C5DD77"/>
    <w:rsid w:val="77C640C3"/>
    <w:rsid w:val="780DDEA1"/>
    <w:rsid w:val="782DF914"/>
    <w:rsid w:val="78960024"/>
    <w:rsid w:val="789E4325"/>
    <w:rsid w:val="78B54A03"/>
    <w:rsid w:val="78CA774D"/>
    <w:rsid w:val="78D41307"/>
    <w:rsid w:val="79104826"/>
    <w:rsid w:val="7924CA04"/>
    <w:rsid w:val="7932F6DE"/>
    <w:rsid w:val="793C0FB8"/>
    <w:rsid w:val="793C974B"/>
    <w:rsid w:val="7993A161"/>
    <w:rsid w:val="799ACF7F"/>
    <w:rsid w:val="79AACD30"/>
    <w:rsid w:val="79BCDDBF"/>
    <w:rsid w:val="79DFE68E"/>
    <w:rsid w:val="79EC7CE6"/>
    <w:rsid w:val="7A7BC0F2"/>
    <w:rsid w:val="7A877927"/>
    <w:rsid w:val="7AB3CE59"/>
    <w:rsid w:val="7B0826D9"/>
    <w:rsid w:val="7B1EE90C"/>
    <w:rsid w:val="7B45ABE8"/>
    <w:rsid w:val="7B634B63"/>
    <w:rsid w:val="7BBF54E8"/>
    <w:rsid w:val="7BC88EC6"/>
    <w:rsid w:val="7C339F9A"/>
    <w:rsid w:val="7C380AF9"/>
    <w:rsid w:val="7C575EC2"/>
    <w:rsid w:val="7C5930F1"/>
    <w:rsid w:val="7C7E5C72"/>
    <w:rsid w:val="7CE7DBD7"/>
    <w:rsid w:val="7D27A572"/>
    <w:rsid w:val="7DD26EFE"/>
    <w:rsid w:val="7E419743"/>
    <w:rsid w:val="7E544A26"/>
    <w:rsid w:val="7E594F28"/>
    <w:rsid w:val="7E690E3A"/>
    <w:rsid w:val="7E6B8134"/>
    <w:rsid w:val="7E859465"/>
    <w:rsid w:val="7EBAA95E"/>
    <w:rsid w:val="7EC51C40"/>
    <w:rsid w:val="7ECB7CFE"/>
    <w:rsid w:val="7EDD3259"/>
    <w:rsid w:val="7F425C70"/>
    <w:rsid w:val="7F587EE4"/>
    <w:rsid w:val="7F606600"/>
    <w:rsid w:val="7FE504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46B6F7"/>
  <w15:docId w15:val="{D1B27735-8824-4152-9D21-DC4C1C31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711"/>
    <w:pPr>
      <w:spacing w:line="240" w:lineRule="auto"/>
    </w:pPr>
    <w:rPr>
      <w:rFonts w:ascii="Times New Roman" w:eastAsia="Calibri" w:hAnsi="Times New Roman" w:cs="Times New Roman"/>
      <w:sz w:val="24"/>
      <w:szCs w:val="24"/>
    </w:rPr>
  </w:style>
  <w:style w:type="paragraph" w:styleId="Heading1">
    <w:name w:val="heading 1"/>
    <w:basedOn w:val="ListParagraph"/>
    <w:next w:val="Normal"/>
    <w:link w:val="Heading1Char"/>
    <w:qFormat/>
    <w:rsid w:val="00006C8F"/>
    <w:pPr>
      <w:numPr>
        <w:numId w:val="1"/>
      </w:numPr>
      <w:ind w:left="720"/>
      <w:jc w:val="center"/>
      <w:outlineLvl w:val="0"/>
    </w:pPr>
    <w:rPr>
      <w:b/>
      <w:u w:val="single"/>
    </w:rPr>
  </w:style>
  <w:style w:type="paragraph" w:styleId="Heading2">
    <w:name w:val="heading 2"/>
    <w:basedOn w:val="Heading1"/>
    <w:next w:val="Normal"/>
    <w:link w:val="Heading2Char"/>
    <w:uiPriority w:val="9"/>
    <w:unhideWhenUsed/>
    <w:qFormat/>
    <w:rsid w:val="00006C8F"/>
    <w:pPr>
      <w:numPr>
        <w:numId w:val="5"/>
      </w:numPr>
      <w:outlineLvl w:val="1"/>
    </w:pPr>
    <w:rPr>
      <w:b w:val="0"/>
    </w:rPr>
  </w:style>
  <w:style w:type="paragraph" w:styleId="Heading3">
    <w:name w:val="heading 3"/>
    <w:basedOn w:val="ListParagraph"/>
    <w:next w:val="Normal"/>
    <w:link w:val="Heading3Char"/>
    <w:unhideWhenUsed/>
    <w:qFormat/>
    <w:rsid w:val="00514711"/>
    <w:pPr>
      <w:numPr>
        <w:numId w:val="2"/>
      </w:numPr>
      <w:outlineLvl w:val="2"/>
    </w:pPr>
    <w:rPr>
      <w:u w:val="single"/>
    </w:rPr>
  </w:style>
  <w:style w:type="paragraph" w:styleId="Heading4">
    <w:name w:val="heading 4"/>
    <w:basedOn w:val="Heading3"/>
    <w:next w:val="Normal"/>
    <w:link w:val="Heading4Char"/>
    <w:uiPriority w:val="9"/>
    <w:unhideWhenUsed/>
    <w:qFormat/>
    <w:rsid w:val="00514711"/>
    <w:pPr>
      <w:numPr>
        <w:numId w:val="3"/>
      </w:numPr>
      <w:outlineLvl w:val="3"/>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06C8F"/>
    <w:pPr>
      <w:spacing w:after="0"/>
    </w:pPr>
    <w:rPr>
      <w:sz w:val="22"/>
    </w:rPr>
  </w:style>
  <w:style w:type="paragraph" w:styleId="ListParagraph">
    <w:name w:val="List Paragraph"/>
    <w:basedOn w:val="Normal"/>
    <w:uiPriority w:val="34"/>
    <w:qFormat/>
    <w:rsid w:val="00514711"/>
    <w:pPr>
      <w:ind w:left="720"/>
      <w:contextualSpacing/>
    </w:pPr>
  </w:style>
  <w:style w:type="character" w:customStyle="1" w:styleId="Heading1Char">
    <w:name w:val="Heading 1 Char"/>
    <w:basedOn w:val="DefaultParagraphFont"/>
    <w:link w:val="Heading1"/>
    <w:rsid w:val="00006C8F"/>
    <w:rPr>
      <w:rFonts w:ascii="Times New Roman" w:eastAsia="Calibri" w:hAnsi="Times New Roman" w:cs="Times New Roman"/>
      <w:b/>
      <w:sz w:val="24"/>
      <w:szCs w:val="24"/>
      <w:u w:val="single"/>
    </w:rPr>
  </w:style>
  <w:style w:type="character" w:customStyle="1" w:styleId="Heading2Char">
    <w:name w:val="Heading 2 Char"/>
    <w:basedOn w:val="DefaultParagraphFont"/>
    <w:link w:val="Heading2"/>
    <w:uiPriority w:val="9"/>
    <w:rsid w:val="00006C8F"/>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rsid w:val="00514711"/>
    <w:rPr>
      <w:rFonts w:ascii="Times New Roman" w:eastAsia="Calibri" w:hAnsi="Times New Roman" w:cs="Times New Roman"/>
      <w:sz w:val="24"/>
      <w:szCs w:val="24"/>
      <w:u w:val="single"/>
    </w:rPr>
  </w:style>
  <w:style w:type="character" w:customStyle="1" w:styleId="Heading4Char">
    <w:name w:val="Heading 4 Char"/>
    <w:basedOn w:val="DefaultParagraphFont"/>
    <w:link w:val="Heading4"/>
    <w:uiPriority w:val="9"/>
    <w:rsid w:val="00514711"/>
    <w:rPr>
      <w:rFonts w:ascii="Times New Roman" w:eastAsia="Calibri" w:hAnsi="Times New Roman" w:cs="Times New Roman"/>
      <w:i/>
      <w:sz w:val="24"/>
      <w:szCs w:val="24"/>
    </w:rPr>
  </w:style>
  <w:style w:type="paragraph" w:customStyle="1" w:styleId="TitlePage1">
    <w:name w:val="Title Page 1"/>
    <w:basedOn w:val="Normal"/>
    <w:link w:val="TitlePage1Char"/>
    <w:qFormat/>
    <w:rsid w:val="00514711"/>
    <w:pPr>
      <w:spacing w:after="0"/>
    </w:pPr>
    <w:rPr>
      <w:lang w:eastAsia="ja-JP"/>
    </w:rPr>
  </w:style>
  <w:style w:type="paragraph" w:customStyle="1" w:styleId="TitlePage2">
    <w:name w:val="Title Page 2"/>
    <w:basedOn w:val="Normal"/>
    <w:link w:val="TitlePage2Char"/>
    <w:qFormat/>
    <w:rsid w:val="00514711"/>
    <w:pPr>
      <w:jc w:val="center"/>
    </w:pPr>
    <w:rPr>
      <w:sz w:val="44"/>
      <w:szCs w:val="44"/>
      <w:lang w:eastAsia="ja-JP"/>
    </w:rPr>
  </w:style>
  <w:style w:type="character" w:customStyle="1" w:styleId="TitlePage1Char">
    <w:name w:val="Title Page 1 Char"/>
    <w:basedOn w:val="DefaultParagraphFont"/>
    <w:link w:val="TitlePage1"/>
    <w:rsid w:val="00514711"/>
    <w:rPr>
      <w:rFonts w:ascii="Times New Roman" w:eastAsia="Calibri" w:hAnsi="Times New Roman" w:cs="Times New Roman"/>
      <w:sz w:val="24"/>
      <w:szCs w:val="24"/>
      <w:lang w:eastAsia="ja-JP"/>
    </w:rPr>
  </w:style>
  <w:style w:type="paragraph" w:customStyle="1" w:styleId="TitlePage3">
    <w:name w:val="Title Page 3"/>
    <w:basedOn w:val="Normal"/>
    <w:link w:val="TitlePage3Char"/>
    <w:qFormat/>
    <w:rsid w:val="00514711"/>
    <w:pPr>
      <w:spacing w:after="0"/>
      <w:jc w:val="center"/>
    </w:pPr>
    <w:rPr>
      <w:sz w:val="36"/>
      <w:szCs w:val="36"/>
      <w:lang w:eastAsia="ja-JP"/>
    </w:rPr>
  </w:style>
  <w:style w:type="character" w:customStyle="1" w:styleId="TitlePage2Char">
    <w:name w:val="Title Page 2 Char"/>
    <w:basedOn w:val="DefaultParagraphFont"/>
    <w:link w:val="TitlePage2"/>
    <w:rsid w:val="00514711"/>
    <w:rPr>
      <w:rFonts w:ascii="Times New Roman" w:eastAsia="Calibri" w:hAnsi="Times New Roman" w:cs="Times New Roman"/>
      <w:sz w:val="44"/>
      <w:szCs w:val="44"/>
      <w:lang w:eastAsia="ja-JP"/>
    </w:rPr>
  </w:style>
  <w:style w:type="paragraph" w:customStyle="1" w:styleId="TitlePage4">
    <w:name w:val="Title Page 4"/>
    <w:basedOn w:val="Normal"/>
    <w:link w:val="TitlePage4Char"/>
    <w:qFormat/>
    <w:rsid w:val="00514711"/>
    <w:pPr>
      <w:spacing w:after="0"/>
      <w:jc w:val="center"/>
    </w:pPr>
    <w:rPr>
      <w:sz w:val="28"/>
      <w:szCs w:val="28"/>
      <w:lang w:eastAsia="ja-JP"/>
    </w:rPr>
  </w:style>
  <w:style w:type="character" w:customStyle="1" w:styleId="TitlePage3Char">
    <w:name w:val="Title Page 3 Char"/>
    <w:basedOn w:val="DefaultParagraphFont"/>
    <w:link w:val="TitlePage3"/>
    <w:rsid w:val="00514711"/>
    <w:rPr>
      <w:rFonts w:ascii="Times New Roman" w:eastAsia="Calibri" w:hAnsi="Times New Roman" w:cs="Times New Roman"/>
      <w:sz w:val="36"/>
      <w:szCs w:val="36"/>
      <w:lang w:eastAsia="ja-JP"/>
    </w:rPr>
  </w:style>
  <w:style w:type="paragraph" w:customStyle="1" w:styleId="TableofContentsTitle">
    <w:name w:val="Table of Contents Title"/>
    <w:basedOn w:val="TitlePage1"/>
    <w:link w:val="TableofContentsTitleChar"/>
    <w:qFormat/>
    <w:rsid w:val="00514711"/>
    <w:pPr>
      <w:jc w:val="center"/>
    </w:pPr>
    <w:rPr>
      <w:b/>
      <w:u w:val="single"/>
    </w:rPr>
  </w:style>
  <w:style w:type="character" w:customStyle="1" w:styleId="TitlePage4Char">
    <w:name w:val="Title Page 4 Char"/>
    <w:basedOn w:val="DefaultParagraphFont"/>
    <w:link w:val="TitlePage4"/>
    <w:rsid w:val="00514711"/>
    <w:rPr>
      <w:rFonts w:ascii="Times New Roman" w:eastAsia="Calibri" w:hAnsi="Times New Roman" w:cs="Times New Roman"/>
      <w:sz w:val="28"/>
      <w:szCs w:val="28"/>
      <w:lang w:eastAsia="ja-JP"/>
    </w:rPr>
  </w:style>
  <w:style w:type="paragraph" w:styleId="TOCHeading">
    <w:name w:val="TOC Heading"/>
    <w:basedOn w:val="Heading1"/>
    <w:next w:val="Normal"/>
    <w:uiPriority w:val="39"/>
    <w:unhideWhenUsed/>
    <w:qFormat/>
    <w:rsid w:val="00514711"/>
    <w:pPr>
      <w:keepNext/>
      <w:keepLines/>
      <w:numPr>
        <w:numId w:val="0"/>
      </w:numPr>
      <w:spacing w:before="240"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u w:val="none"/>
    </w:rPr>
  </w:style>
  <w:style w:type="character" w:customStyle="1" w:styleId="TableofContentsTitleChar">
    <w:name w:val="Table of Contents Title Char"/>
    <w:basedOn w:val="TitlePage1Char"/>
    <w:link w:val="TableofContentsTitle"/>
    <w:rsid w:val="00514711"/>
    <w:rPr>
      <w:rFonts w:ascii="Times New Roman" w:eastAsia="Calibri" w:hAnsi="Times New Roman" w:cs="Times New Roman"/>
      <w:b/>
      <w:sz w:val="24"/>
      <w:szCs w:val="24"/>
      <w:u w:val="single"/>
      <w:lang w:eastAsia="ja-JP"/>
    </w:rPr>
  </w:style>
  <w:style w:type="paragraph" w:styleId="Header">
    <w:name w:val="header"/>
    <w:basedOn w:val="Normal"/>
    <w:link w:val="HeaderChar"/>
    <w:uiPriority w:val="99"/>
    <w:unhideWhenUsed/>
    <w:rsid w:val="00006C8F"/>
    <w:pPr>
      <w:tabs>
        <w:tab w:val="center" w:pos="4680"/>
        <w:tab w:val="right" w:pos="9360"/>
      </w:tabs>
      <w:spacing w:after="0"/>
    </w:pPr>
  </w:style>
  <w:style w:type="character" w:customStyle="1" w:styleId="HeaderChar">
    <w:name w:val="Header Char"/>
    <w:basedOn w:val="DefaultParagraphFont"/>
    <w:link w:val="Header"/>
    <w:uiPriority w:val="99"/>
    <w:rsid w:val="00006C8F"/>
    <w:rPr>
      <w:rFonts w:ascii="Times New Roman" w:eastAsia="Calibri" w:hAnsi="Times New Roman" w:cs="Times New Roman"/>
      <w:sz w:val="24"/>
      <w:szCs w:val="24"/>
    </w:rPr>
  </w:style>
  <w:style w:type="paragraph" w:styleId="Footer">
    <w:name w:val="footer"/>
    <w:basedOn w:val="Normal"/>
    <w:link w:val="FooterChar"/>
    <w:uiPriority w:val="99"/>
    <w:unhideWhenUsed/>
    <w:rsid w:val="00006C8F"/>
    <w:pPr>
      <w:tabs>
        <w:tab w:val="center" w:pos="4680"/>
        <w:tab w:val="right" w:pos="9360"/>
      </w:tabs>
      <w:spacing w:after="0"/>
    </w:pPr>
  </w:style>
  <w:style w:type="character" w:customStyle="1" w:styleId="FooterChar">
    <w:name w:val="Footer Char"/>
    <w:basedOn w:val="DefaultParagraphFont"/>
    <w:link w:val="Footer"/>
    <w:uiPriority w:val="99"/>
    <w:rsid w:val="00006C8F"/>
    <w:rPr>
      <w:rFonts w:ascii="Times New Roman" w:eastAsia="Calibri" w:hAnsi="Times New Roman" w:cs="Times New Roman"/>
      <w:sz w:val="24"/>
      <w:szCs w:val="24"/>
    </w:rPr>
  </w:style>
  <w:style w:type="paragraph" w:styleId="TOC1">
    <w:name w:val="toc 1"/>
    <w:basedOn w:val="Normal"/>
    <w:next w:val="Normal"/>
    <w:autoRedefine/>
    <w:uiPriority w:val="39"/>
    <w:unhideWhenUsed/>
    <w:rsid w:val="00535721"/>
    <w:pPr>
      <w:tabs>
        <w:tab w:val="left" w:pos="480"/>
        <w:tab w:val="right" w:leader="dot" w:pos="9350"/>
      </w:tabs>
      <w:spacing w:after="100"/>
    </w:pPr>
  </w:style>
  <w:style w:type="paragraph" w:styleId="TOC2">
    <w:name w:val="toc 2"/>
    <w:basedOn w:val="Normal"/>
    <w:next w:val="Normal"/>
    <w:autoRedefine/>
    <w:uiPriority w:val="39"/>
    <w:unhideWhenUsed/>
    <w:rsid w:val="00357D34"/>
    <w:pPr>
      <w:tabs>
        <w:tab w:val="left" w:pos="880"/>
        <w:tab w:val="right" w:leader="dot" w:pos="9350"/>
      </w:tabs>
      <w:spacing w:after="100"/>
      <w:ind w:left="240"/>
    </w:pPr>
  </w:style>
  <w:style w:type="character" w:styleId="Hyperlink">
    <w:name w:val="Hyperlink"/>
    <w:basedOn w:val="DefaultParagraphFont"/>
    <w:uiPriority w:val="99"/>
    <w:unhideWhenUsed/>
    <w:rsid w:val="00006C8F"/>
    <w:rPr>
      <w:color w:val="0000FF" w:themeColor="hyperlink"/>
      <w:u w:val="single"/>
    </w:rPr>
  </w:style>
  <w:style w:type="table" w:styleId="TableGrid">
    <w:name w:val="Table Grid"/>
    <w:basedOn w:val="TableNormal"/>
    <w:uiPriority w:val="39"/>
    <w:unhideWhenUsed/>
    <w:rsid w:val="0000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DC2332"/>
    <w:pPr>
      <w:spacing w:after="0"/>
    </w:pPr>
  </w:style>
  <w:style w:type="paragraph" w:styleId="BalloonText">
    <w:name w:val="Balloon Text"/>
    <w:basedOn w:val="Normal"/>
    <w:link w:val="BalloonTextChar"/>
    <w:uiPriority w:val="99"/>
    <w:unhideWhenUsed/>
    <w:rsid w:val="00F47D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F47D86"/>
    <w:rPr>
      <w:rFonts w:ascii="Segoe UI" w:eastAsia="Calibri" w:hAnsi="Segoe UI" w:cs="Segoe UI"/>
      <w:sz w:val="18"/>
      <w:szCs w:val="18"/>
    </w:rPr>
  </w:style>
  <w:style w:type="paragraph" w:styleId="TOC3">
    <w:name w:val="toc 3"/>
    <w:basedOn w:val="Normal"/>
    <w:next w:val="Normal"/>
    <w:autoRedefine/>
    <w:uiPriority w:val="39"/>
    <w:unhideWhenUsed/>
    <w:rsid w:val="00DC2332"/>
    <w:pPr>
      <w:spacing w:after="100"/>
      <w:ind w:left="480"/>
    </w:pPr>
  </w:style>
  <w:style w:type="character" w:styleId="CommentReference">
    <w:name w:val="annotation reference"/>
    <w:basedOn w:val="DefaultParagraphFont"/>
    <w:unhideWhenUsed/>
    <w:rsid w:val="00FC2498"/>
    <w:rPr>
      <w:sz w:val="16"/>
      <w:szCs w:val="16"/>
    </w:rPr>
  </w:style>
  <w:style w:type="paragraph" w:styleId="CommentText">
    <w:name w:val="annotation text"/>
    <w:basedOn w:val="Normal"/>
    <w:link w:val="CommentTextChar"/>
    <w:uiPriority w:val="99"/>
    <w:unhideWhenUsed/>
    <w:rsid w:val="00FC2498"/>
    <w:rPr>
      <w:sz w:val="20"/>
      <w:szCs w:val="20"/>
    </w:rPr>
  </w:style>
  <w:style w:type="character" w:customStyle="1" w:styleId="CommentTextChar">
    <w:name w:val="Comment Text Char"/>
    <w:basedOn w:val="DefaultParagraphFont"/>
    <w:link w:val="CommentText"/>
    <w:uiPriority w:val="99"/>
    <w:rsid w:val="00FC249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FC2498"/>
    <w:rPr>
      <w:b/>
      <w:bCs/>
    </w:rPr>
  </w:style>
  <w:style w:type="character" w:customStyle="1" w:styleId="CommentSubjectChar">
    <w:name w:val="Comment Subject Char"/>
    <w:basedOn w:val="CommentTextChar"/>
    <w:link w:val="CommentSubject"/>
    <w:uiPriority w:val="99"/>
    <w:rsid w:val="00FC2498"/>
    <w:rPr>
      <w:rFonts w:ascii="Times New Roman" w:eastAsia="Calibri" w:hAnsi="Times New Roman" w:cs="Times New Roman"/>
      <w:b/>
      <w:bCs/>
      <w:sz w:val="20"/>
      <w:szCs w:val="20"/>
    </w:rPr>
  </w:style>
  <w:style w:type="character" w:styleId="FootnoteReference">
    <w:name w:val="footnote reference"/>
    <w:qFormat/>
    <w:rsid w:val="006633E1"/>
    <w:rPr>
      <w:rFonts w:ascii="Times New Roman" w:hAnsi="Times New Roman"/>
      <w:caps w:val="0"/>
      <w:smallCaps w:val="0"/>
      <w:strike w:val="0"/>
      <w:dstrike w:val="0"/>
      <w:vanish w:val="0"/>
      <w:vertAlign w:val="superscript"/>
    </w:rPr>
  </w:style>
  <w:style w:type="paragraph" w:styleId="FootnoteText">
    <w:name w:val="footnote text"/>
    <w:basedOn w:val="Normal"/>
    <w:link w:val="FootnoteTextChar"/>
    <w:qFormat/>
    <w:rsid w:val="00B64207"/>
    <w:pPr>
      <w:widowControl w:val="0"/>
      <w:spacing w:after="0"/>
    </w:pPr>
    <w:rPr>
      <w:rFonts w:eastAsia="Times New Roman"/>
      <w:snapToGrid w:val="0"/>
      <w:sz w:val="20"/>
      <w:szCs w:val="20"/>
    </w:rPr>
  </w:style>
  <w:style w:type="character" w:customStyle="1" w:styleId="FootnoteTextChar">
    <w:name w:val="Footnote Text Char"/>
    <w:basedOn w:val="DefaultParagraphFont"/>
    <w:link w:val="FootnoteText"/>
    <w:rsid w:val="00B64207"/>
    <w:rPr>
      <w:rFonts w:ascii="Times New Roman" w:eastAsia="Times New Roman" w:hAnsi="Times New Roman" w:cs="Times New Roman"/>
      <w:snapToGrid w:val="0"/>
      <w:sz w:val="20"/>
      <w:szCs w:val="20"/>
    </w:rPr>
  </w:style>
  <w:style w:type="paragraph" w:customStyle="1" w:styleId="Style2">
    <w:name w:val="Style2"/>
    <w:basedOn w:val="Heading2"/>
    <w:next w:val="Normal"/>
    <w:link w:val="Style2Char"/>
    <w:qFormat/>
    <w:rsid w:val="009B3CC9"/>
    <w:pPr>
      <w:keepNext/>
      <w:keepLines/>
      <w:numPr>
        <w:numId w:val="0"/>
      </w:numPr>
      <w:spacing w:before="120" w:after="120" w:line="480" w:lineRule="auto"/>
      <w:contextualSpacing w:val="0"/>
    </w:pPr>
    <w:rPr>
      <w:rFonts w:eastAsiaTheme="majorEastAsia" w:cstheme="majorBidi"/>
      <w:szCs w:val="26"/>
      <w:lang w:eastAsia="ja-JP"/>
    </w:rPr>
  </w:style>
  <w:style w:type="character" w:customStyle="1" w:styleId="Style2Char">
    <w:name w:val="Style2 Char"/>
    <w:basedOn w:val="Heading2Char"/>
    <w:link w:val="Style2"/>
    <w:rsid w:val="009B3CC9"/>
    <w:rPr>
      <w:rFonts w:ascii="Times New Roman" w:hAnsi="Times New Roman" w:eastAsiaTheme="majorEastAsia" w:cstheme="majorBidi"/>
      <w:sz w:val="24"/>
      <w:szCs w:val="26"/>
      <w:u w:val="single"/>
      <w:lang w:eastAsia="ja-JP"/>
    </w:rPr>
  </w:style>
  <w:style w:type="character" w:styleId="FollowedHyperlink">
    <w:name w:val="FollowedHyperlink"/>
    <w:basedOn w:val="DefaultParagraphFont"/>
    <w:unhideWhenUsed/>
    <w:rsid w:val="00CD3707"/>
    <w:rPr>
      <w:color w:val="800080" w:themeColor="followedHyperlink"/>
      <w:u w:val="single"/>
    </w:rPr>
  </w:style>
  <w:style w:type="character" w:styleId="UnresolvedMention">
    <w:name w:val="Unresolved Mention"/>
    <w:basedOn w:val="DefaultParagraphFont"/>
    <w:uiPriority w:val="99"/>
    <w:unhideWhenUsed/>
    <w:rsid w:val="00061415"/>
    <w:rPr>
      <w:color w:val="605E5C"/>
      <w:shd w:val="clear" w:color="auto" w:fill="E1DFDD"/>
    </w:rPr>
  </w:style>
  <w:style w:type="character" w:styleId="Strong">
    <w:name w:val="Strong"/>
    <w:basedOn w:val="DefaultParagraphFont"/>
    <w:uiPriority w:val="22"/>
    <w:qFormat/>
    <w:rsid w:val="009D67D6"/>
    <w:rPr>
      <w:b/>
      <w:bCs/>
    </w:rPr>
  </w:style>
  <w:style w:type="paragraph" w:customStyle="1" w:styleId="Default">
    <w:name w:val="Default"/>
    <w:rsid w:val="00EF0EC0"/>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Title">
    <w:name w:val="Title"/>
    <w:basedOn w:val="Default"/>
    <w:next w:val="Default"/>
    <w:link w:val="TitleChar"/>
    <w:qFormat/>
    <w:rsid w:val="00EF0EC0"/>
    <w:rPr>
      <w:color w:val="auto"/>
    </w:rPr>
  </w:style>
  <w:style w:type="character" w:customStyle="1" w:styleId="TitleChar">
    <w:name w:val="Title Char"/>
    <w:basedOn w:val="DefaultParagraphFont"/>
    <w:link w:val="Title"/>
    <w:rsid w:val="00EF0EC0"/>
    <w:rPr>
      <w:rFonts w:ascii="Times New Roman" w:eastAsia="MS Mincho" w:hAnsi="Times New Roman" w:cs="Times New Roman"/>
      <w:sz w:val="24"/>
      <w:szCs w:val="24"/>
      <w:lang w:eastAsia="ja-JP"/>
    </w:rPr>
  </w:style>
  <w:style w:type="paragraph" w:customStyle="1" w:styleId="TOCI">
    <w:name w:val="TOCI"/>
    <w:basedOn w:val="Default"/>
    <w:next w:val="Default"/>
    <w:rsid w:val="00EF0EC0"/>
    <w:rPr>
      <w:color w:val="auto"/>
    </w:rPr>
  </w:style>
  <w:style w:type="paragraph" w:customStyle="1" w:styleId="Style1">
    <w:name w:val="Style1"/>
    <w:basedOn w:val="Heading1"/>
    <w:link w:val="Style1Char"/>
    <w:qFormat/>
    <w:rsid w:val="00EF0EC0"/>
    <w:pPr>
      <w:keepNext/>
      <w:keepLines/>
      <w:numPr>
        <w:numId w:val="0"/>
      </w:numPr>
      <w:spacing w:before="120" w:after="120" w:line="480" w:lineRule="auto"/>
      <w:contextualSpacing w:val="0"/>
    </w:pPr>
    <w:rPr>
      <w:rFonts w:eastAsiaTheme="majorEastAsia" w:cstheme="majorBidi"/>
      <w:color w:val="365F91" w:themeColor="accent1" w:themeShade="BF"/>
      <w:szCs w:val="32"/>
      <w:lang w:eastAsia="ja-JP"/>
    </w:rPr>
  </w:style>
  <w:style w:type="character" w:customStyle="1" w:styleId="Style1Char">
    <w:name w:val="Style1 Char"/>
    <w:basedOn w:val="Heading1Char"/>
    <w:link w:val="Style1"/>
    <w:rsid w:val="00EF0EC0"/>
    <w:rPr>
      <w:rFonts w:ascii="Times New Roman" w:hAnsi="Times New Roman" w:eastAsiaTheme="majorEastAsia" w:cstheme="majorBidi"/>
      <w:b/>
      <w:color w:val="365F91" w:themeColor="accent1" w:themeShade="BF"/>
      <w:sz w:val="24"/>
      <w:szCs w:val="32"/>
      <w:u w:val="single"/>
      <w:lang w:eastAsia="ja-JP"/>
    </w:rPr>
  </w:style>
  <w:style w:type="paragraph" w:customStyle="1" w:styleId="Style3">
    <w:name w:val="Style3"/>
    <w:basedOn w:val="Normal"/>
    <w:next w:val="Normal"/>
    <w:link w:val="Style3Char"/>
    <w:qFormat/>
    <w:rsid w:val="00EF0EC0"/>
    <w:pPr>
      <w:spacing w:before="120" w:after="120" w:line="480" w:lineRule="auto"/>
      <w:jc w:val="center"/>
    </w:pPr>
    <w:rPr>
      <w:rFonts w:eastAsia="MS Mincho"/>
      <w:b/>
      <w:color w:val="000000" w:themeColor="text1"/>
      <w:u w:val="single"/>
      <w:lang w:eastAsia="ja-JP"/>
    </w:rPr>
  </w:style>
  <w:style w:type="paragraph" w:customStyle="1" w:styleId="Style4">
    <w:name w:val="Style4"/>
    <w:basedOn w:val="Heading2"/>
    <w:next w:val="Normal"/>
    <w:link w:val="Style4Char"/>
    <w:qFormat/>
    <w:rsid w:val="00EF0EC0"/>
    <w:pPr>
      <w:keepNext/>
      <w:keepLines/>
      <w:numPr>
        <w:numId w:val="0"/>
      </w:numPr>
      <w:spacing w:before="120" w:after="120" w:line="480" w:lineRule="auto"/>
      <w:contextualSpacing w:val="0"/>
    </w:pPr>
    <w:rPr>
      <w:rFonts w:eastAsiaTheme="majorEastAsia" w:cstheme="majorBidi"/>
      <w:b/>
      <w:color w:val="365F91" w:themeColor="accent1" w:themeShade="BF"/>
      <w:szCs w:val="26"/>
      <w:lang w:eastAsia="ja-JP"/>
    </w:rPr>
  </w:style>
  <w:style w:type="character" w:customStyle="1" w:styleId="Style3Char">
    <w:name w:val="Style3 Char"/>
    <w:basedOn w:val="DefaultParagraphFont"/>
    <w:link w:val="Style3"/>
    <w:rsid w:val="00EF0EC0"/>
    <w:rPr>
      <w:rFonts w:ascii="Times New Roman" w:eastAsia="MS Mincho" w:hAnsi="Times New Roman" w:cs="Times New Roman"/>
      <w:b/>
      <w:color w:val="000000" w:themeColor="text1"/>
      <w:sz w:val="24"/>
      <w:szCs w:val="24"/>
      <w:u w:val="single"/>
      <w:lang w:eastAsia="ja-JP"/>
    </w:rPr>
  </w:style>
  <w:style w:type="character" w:customStyle="1" w:styleId="Style4Char">
    <w:name w:val="Style4 Char"/>
    <w:basedOn w:val="Heading2Char"/>
    <w:link w:val="Style4"/>
    <w:rsid w:val="00EF0EC0"/>
    <w:rPr>
      <w:rFonts w:ascii="Times New Roman" w:hAnsi="Times New Roman" w:eastAsiaTheme="majorEastAsia" w:cstheme="majorBidi"/>
      <w:b/>
      <w:color w:val="365F91" w:themeColor="accent1" w:themeShade="BF"/>
      <w:sz w:val="24"/>
      <w:szCs w:val="26"/>
      <w:u w:val="single"/>
      <w:lang w:eastAsia="ja-JP"/>
    </w:rPr>
  </w:style>
  <w:style w:type="character" w:customStyle="1" w:styleId="UnresolvedMention1">
    <w:name w:val="Unresolved Mention1"/>
    <w:basedOn w:val="DefaultParagraphFont"/>
    <w:uiPriority w:val="99"/>
    <w:semiHidden/>
    <w:unhideWhenUsed/>
    <w:rsid w:val="00EF0EC0"/>
    <w:rPr>
      <w:color w:val="605E5C"/>
      <w:shd w:val="clear" w:color="auto" w:fill="E1DFDD"/>
    </w:rPr>
  </w:style>
  <w:style w:type="paragraph" w:styleId="Revision">
    <w:name w:val="Revision"/>
    <w:hidden/>
    <w:uiPriority w:val="99"/>
    <w:semiHidden/>
    <w:rsid w:val="00EF0EC0"/>
    <w:pPr>
      <w:spacing w:after="0" w:line="240" w:lineRule="auto"/>
    </w:pPr>
    <w:rPr>
      <w:rFonts w:ascii="Times New Roman" w:eastAsia="MS Mincho" w:hAnsi="Times New Roman" w:cs="Times New Roman"/>
      <w:sz w:val="24"/>
      <w:szCs w:val="24"/>
      <w:lang w:eastAsia="ja-JP"/>
    </w:rPr>
  </w:style>
  <w:style w:type="paragraph" w:styleId="NormalWeb">
    <w:name w:val="Normal (Web)"/>
    <w:basedOn w:val="Normal"/>
    <w:unhideWhenUsed/>
    <w:rsid w:val="00EF0EC0"/>
    <w:pPr>
      <w:spacing w:before="100" w:beforeAutospacing="1" w:after="100" w:afterAutospacing="1"/>
    </w:pPr>
    <w:rPr>
      <w:rFonts w:eastAsia="Times New Roman"/>
    </w:rPr>
  </w:style>
  <w:style w:type="paragraph" w:styleId="EndnoteText">
    <w:name w:val="endnote text"/>
    <w:basedOn w:val="Normal"/>
    <w:link w:val="EndnoteTextChar"/>
    <w:uiPriority w:val="99"/>
    <w:semiHidden/>
    <w:unhideWhenUsed/>
    <w:rsid w:val="00EF0EC0"/>
    <w:pPr>
      <w:spacing w:after="0"/>
    </w:pPr>
    <w:rPr>
      <w:rFonts w:eastAsia="MS Mincho"/>
      <w:sz w:val="20"/>
      <w:szCs w:val="20"/>
      <w:lang w:eastAsia="ja-JP"/>
    </w:rPr>
  </w:style>
  <w:style w:type="character" w:customStyle="1" w:styleId="EndnoteTextChar">
    <w:name w:val="Endnote Text Char"/>
    <w:basedOn w:val="DefaultParagraphFont"/>
    <w:link w:val="EndnoteText"/>
    <w:uiPriority w:val="99"/>
    <w:semiHidden/>
    <w:rsid w:val="00EF0EC0"/>
    <w:rPr>
      <w:rFonts w:ascii="Times New Roman" w:eastAsia="MS Mincho" w:hAnsi="Times New Roman" w:cs="Times New Roman"/>
      <w:sz w:val="20"/>
      <w:szCs w:val="20"/>
      <w:lang w:eastAsia="ja-JP"/>
    </w:rPr>
  </w:style>
  <w:style w:type="character" w:styleId="EndnoteReference">
    <w:name w:val="endnote reference"/>
    <w:basedOn w:val="DefaultParagraphFont"/>
    <w:uiPriority w:val="99"/>
    <w:semiHidden/>
    <w:unhideWhenUsed/>
    <w:rsid w:val="00EF0EC0"/>
    <w:rPr>
      <w:vertAlign w:val="superscript"/>
    </w:rPr>
  </w:style>
  <w:style w:type="character" w:customStyle="1" w:styleId="ui-provider">
    <w:name w:val="ui-provider"/>
    <w:basedOn w:val="DefaultParagraphFont"/>
    <w:rsid w:val="00C95C1C"/>
  </w:style>
  <w:style w:type="character" w:customStyle="1" w:styleId="CaptionChar">
    <w:name w:val="Caption Char"/>
    <w:basedOn w:val="DefaultParagraphFont"/>
    <w:link w:val="Caption"/>
    <w:uiPriority w:val="35"/>
    <w:rsid w:val="00051D5D"/>
    <w:rPr>
      <w:rFonts w:ascii="Times New Roman" w:eastAsia="Calibri" w:hAnsi="Times New Roman" w:cs="Times New Roman"/>
      <w:sz w:val="24"/>
      <w:szCs w:val="24"/>
    </w:rPr>
  </w:style>
  <w:style w:type="character" w:styleId="Mention">
    <w:name w:val="Mention"/>
    <w:basedOn w:val="DefaultParagraphFont"/>
    <w:uiPriority w:val="99"/>
    <w:unhideWhenUsed/>
    <w:rsid w:val="008618F2"/>
    <w:rPr>
      <w:color w:val="2B579A"/>
      <w:shd w:val="clear" w:color="auto" w:fill="E1DFDD"/>
    </w:rPr>
  </w:style>
  <w:style w:type="character" w:customStyle="1" w:styleId="cf01">
    <w:name w:val="cf01"/>
    <w:basedOn w:val="DefaultParagraphFont"/>
    <w:rsid w:val="00C5086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rs.usda.gov/publications/pub-details/?pubid=89720" TargetMode="External" /><Relationship Id="rId11" Type="http://schemas.openxmlformats.org/officeDocument/2006/relationships/hyperlink" Target="https://www.freshproduce.com/resources/retail/iri-reports/december-2022-fresh-produce-volume2/" TargetMode="External" /><Relationship Id="rId12" Type="http://schemas.openxmlformats.org/officeDocument/2006/relationships/hyperlink" Target="https://www.fda.gov/about-fda/economic-impact-analyses-fda-regulations/requirements-additional-traceability-records-certain-foods-final-rule-regulatory-impact-analysis" TargetMode="External" /><Relationship Id="rId13" Type="http://schemas.openxmlformats.org/officeDocument/2006/relationships/hyperlink" Target="https://aspe.hhs.gov/system/files/pdf/242926/HHS_RIAGuidance.pdf" TargetMode="External" /><Relationship Id="rId14" Type="http://schemas.openxmlformats.org/officeDocument/2006/relationships/hyperlink" Target="https://www.fda.gov/about-fda/economic-impact-analyses-fda-regulations/summary-standards-growing-harvesting-packing-and-holding-produce-human-consumption-final-rule" TargetMode="External" /><Relationship Id="rId15" Type="http://schemas.openxmlformats.org/officeDocument/2006/relationships/hyperlink" Target="https://www.epa.gov/sites/default/files/2015-10/documents/rec-factsheet-2012.pdf" TargetMode="External" /><Relationship Id="rId16" Type="http://schemas.openxmlformats.org/officeDocument/2006/relationships/hyperlink" Target="https://www.bls.gov/oes/current/oes119013.htm" TargetMode="External" /><Relationship Id="rId17" Type="http://schemas.openxmlformats.org/officeDocument/2006/relationships/hyperlink" Target="https://www.bls.gov/oes/current/oes451011.htm" TargetMode="External" /><Relationship Id="rId18" Type="http://schemas.openxmlformats.org/officeDocument/2006/relationships/hyperlink" Target="https://www.foodsafety.gov/people-at-risk" TargetMode="External" /><Relationship Id="rId19" Type="http://schemas.openxmlformats.org/officeDocument/2006/relationships/hyperlink" Target="https://doi.org/10.1017/S0950268818003126" TargetMode="External" /><Relationship Id="rId2" Type="http://schemas.openxmlformats.org/officeDocument/2006/relationships/settings" Target="settings.xml" /><Relationship Id="rId20" Type="http://schemas.openxmlformats.org/officeDocument/2006/relationships/hyperlink" Target="https://doi.org/10.1186/s12889-018-5115-4" TargetMode="External" /><Relationship Id="rId21" Type="http://schemas.openxmlformats.org/officeDocument/2006/relationships/hyperlink" Target="https://consumerfed.org/reports/report-examines-link-between-poverty-and-foodborne-illness-risk/" TargetMode="External" /><Relationship Id="rId22" Type="http://schemas.openxmlformats.org/officeDocument/2006/relationships/hyperlink" Target="https://doi.org/10.3390/ijerph10083634" TargetMode="External" /><Relationship Id="rId23" Type="http://schemas.openxmlformats.org/officeDocument/2006/relationships/hyperlink" Target="https://doi.org/10.1093/infdis/jiz605" TargetMode="External" /><Relationship Id="rId24" Type="http://schemas.openxmlformats.org/officeDocument/2006/relationships/hyperlink" Target="https://www.sba.gov/document/support-table-size-standards" TargetMode="External" /><Relationship Id="rId25" Type="http://schemas.openxmlformats.org/officeDocument/2006/relationships/hyperlink" Target="https://wwwn.cdc.gov/norsdashboard/" TargetMode="Externa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about-fda/economic-impact-analyses-fda-regulations/standards-growing-harvesting-packing-and-holding-produce-human-consumption-relating-agricultur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830EC1A773AE49A1CDE4E4D6AB24EB" ma:contentTypeVersion="8" ma:contentTypeDescription="Create a new document." ma:contentTypeScope="" ma:versionID="1e7ca9b51a07c284c10c5c61d3cd54b7">
  <xsd:schema xmlns:xsd="http://www.w3.org/2001/XMLSchema" xmlns:xs="http://www.w3.org/2001/XMLSchema" xmlns:p="http://schemas.microsoft.com/office/2006/metadata/properties" xmlns:ns1="http://schemas.microsoft.com/sharepoint/v3" xmlns:ns2="98287f1a-d81f-4608-86f8-49d12f5b71a4" xmlns:ns3="c54ed09d-0d37-4ae9-bba4-3976377e64c7" targetNamespace="http://schemas.microsoft.com/office/2006/metadata/properties" ma:root="true" ma:fieldsID="7ae7450ac4834be1330eb87ab51a2f4d" ns1:_="" ns2:_="" ns3:_="">
    <xsd:import namespace="http://schemas.microsoft.com/sharepoint/v3"/>
    <xsd:import namespace="98287f1a-d81f-4608-86f8-49d12f5b71a4"/>
    <xsd:import namespace="c54ed09d-0d37-4ae9-bba4-3976377e64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87f1a-d81f-4608-86f8-49d12f5b7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ed09d-0d37-4ae9-bba4-3976377e64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8DD9C-4DB7-45CE-BD9C-2916FD51269D}">
  <ds:schemaRefs>
    <ds:schemaRef ds:uri="http://schemas.openxmlformats.org/officeDocument/2006/bibliography"/>
  </ds:schemaRefs>
</ds:datastoreItem>
</file>

<file path=customXml/itemProps2.xml><?xml version="1.0" encoding="utf-8"?>
<ds:datastoreItem xmlns:ds="http://schemas.openxmlformats.org/officeDocument/2006/customXml" ds:itemID="{247E884D-A0C4-44C4-A7B9-36D4E1113B38}">
  <ds:schemaRefs>
    <ds:schemaRef ds:uri="http://schemas.microsoft.com/sharepoint/v3/contenttype/forms"/>
  </ds:schemaRefs>
</ds:datastoreItem>
</file>

<file path=customXml/itemProps3.xml><?xml version="1.0" encoding="utf-8"?>
<ds:datastoreItem xmlns:ds="http://schemas.openxmlformats.org/officeDocument/2006/customXml" ds:itemID="{3014A77C-48D5-4412-BBE2-1ADF36977DED}">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c54ed09d-0d37-4ae9-bba4-3976377e64c7"/>
    <ds:schemaRef ds:uri="http://purl.org/dc/terms/"/>
    <ds:schemaRef ds:uri="98287f1a-d81f-4608-86f8-49d12f5b71a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11888DD0-42EE-44D8-8BB1-52E6735A6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287f1a-d81f-4608-86f8-49d12f5b71a4"/>
    <ds:schemaRef ds:uri="c54ed09d-0d37-4ae9-bba4-3976377e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22608</Words>
  <Characters>128868</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Charlotte - OC</dc:creator>
  <cp:lastModifiedBy>Bean, Domini</cp:lastModifiedBy>
  <cp:revision>2</cp:revision>
  <dcterms:created xsi:type="dcterms:W3CDTF">2024-04-30T12:50:00Z</dcterms:created>
  <dcterms:modified xsi:type="dcterms:W3CDTF">2024-04-30T12:50:00Z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0x010100EF830EC1A773AE49A1CDE4E4D6AB24EB</vt:lpwstr>
  </property>
</Properties>
</file>