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17C3" w14:paraId="65FD2C9B" w14:textId="77777777">
      <w:pPr>
        <w:jc w:val="left"/>
      </w:pPr>
      <w:r>
        <w:t>A.</w:t>
      </w:r>
      <w:r>
        <w:tab/>
        <w:t>J</w:t>
      </w:r>
      <w:r w:rsidR="00717E61">
        <w:t>USTIFICATION</w:t>
      </w:r>
    </w:p>
    <w:p w:rsidR="004517C3" w:rsidRPr="00717E61" w:rsidP="00717E61" w14:paraId="3CA52C05" w14:textId="77777777">
      <w:pPr>
        <w:jc w:val="left"/>
      </w:pPr>
      <w:r w:rsidRPr="00717E61">
        <w:t>1.</w:t>
      </w:r>
      <w:r w:rsidRPr="00717E61">
        <w:tab/>
        <w:t>Explain the circumstances that make the collection of information necessary.</w:t>
      </w:r>
    </w:p>
    <w:p w:rsidR="00E87CC2" w14:paraId="6E7DCADE" w14:textId="47F37623">
      <w:pPr>
        <w:jc w:val="left"/>
        <w:rPr>
          <w:b w:val="0"/>
          <w:color w:val="000000"/>
        </w:rPr>
      </w:pPr>
      <w:bookmarkStart w:id="0" w:name="_heading=h.30j0zll" w:colFirst="0" w:colLast="0"/>
      <w:bookmarkStart w:id="1" w:name="_heading=h.jiru64iaxdo6" w:colFirst="0" w:colLast="0"/>
      <w:bookmarkEnd w:id="0"/>
      <w:bookmarkEnd w:id="1"/>
      <w:r>
        <w:rPr>
          <w:b w:val="0"/>
          <w:color w:val="000000"/>
        </w:rPr>
        <w:t xml:space="preserve">The U.S. Election Assistance Commission (EAC) </w:t>
      </w:r>
      <w:r>
        <w:rPr>
          <w:b w:val="0"/>
          <w:color w:val="000000"/>
        </w:rPr>
        <w:t xml:space="preserve">was provided $1,000,000 in the Fiscal Year 2023 Omnibus Appropriations Bill to reinstate the </w:t>
      </w:r>
      <w:r w:rsidR="006408DB">
        <w:rPr>
          <w:b w:val="0"/>
          <w:color w:val="000000"/>
        </w:rPr>
        <w:t xml:space="preserve">Help America Vote College Program (HAVCP) in Fiscal Year 2023 and until the appropriated funds are expended. The </w:t>
      </w:r>
      <w:r w:rsidR="001F48D0">
        <w:rPr>
          <w:b w:val="0"/>
          <w:color w:val="000000"/>
        </w:rPr>
        <w:t>purpose of the HAVCP is to:</w:t>
      </w:r>
    </w:p>
    <w:p w:rsidR="00E87CC2" w:rsidRPr="001F48D0" w:rsidP="001F48D0" w14:paraId="366552A5" w14:textId="1DA467BB">
      <w:pPr>
        <w:pStyle w:val="ListParagraph"/>
        <w:numPr>
          <w:ilvl w:val="0"/>
          <w:numId w:val="4"/>
        </w:numPr>
        <w:jc w:val="left"/>
        <w:rPr>
          <w:b w:val="0"/>
          <w:color w:val="000000"/>
        </w:rPr>
      </w:pPr>
      <w:r w:rsidRPr="001F48D0">
        <w:rPr>
          <w:b w:val="0"/>
          <w:color w:val="000000"/>
        </w:rPr>
        <w:t>E</w:t>
      </w:r>
      <w:r w:rsidRPr="001F48D0">
        <w:rPr>
          <w:b w:val="0"/>
          <w:color w:val="000000"/>
        </w:rPr>
        <w:t>ncourage students enrolled at institutions of higher education (including community colleges) to assist State and local governments in the administration of elections by serving as nonpartisan poll workers or assistants;</w:t>
      </w:r>
    </w:p>
    <w:p w:rsidR="00E87CC2" w:rsidRPr="001F48D0" w:rsidP="001F48D0" w14:paraId="68204700" w14:textId="1837D6C3">
      <w:pPr>
        <w:pStyle w:val="ListParagraph"/>
        <w:numPr>
          <w:ilvl w:val="0"/>
          <w:numId w:val="4"/>
        </w:numPr>
        <w:jc w:val="left"/>
        <w:rPr>
          <w:b w:val="0"/>
          <w:color w:val="000000"/>
        </w:rPr>
      </w:pPr>
      <w:r w:rsidRPr="001F48D0">
        <w:rPr>
          <w:b w:val="0"/>
          <w:color w:val="000000"/>
        </w:rPr>
        <w:t>Encourage college students to become cognizant of the elections process and civic education, and to assist in the administration of elections in their community; and</w:t>
      </w:r>
    </w:p>
    <w:p w:rsidR="00E87CC2" w:rsidRPr="001F48D0" w:rsidP="001F48D0" w14:paraId="3C72F938" w14:textId="07A4E1D1">
      <w:pPr>
        <w:pStyle w:val="ListParagraph"/>
        <w:numPr>
          <w:ilvl w:val="0"/>
          <w:numId w:val="4"/>
        </w:numPr>
        <w:jc w:val="left"/>
        <w:rPr>
          <w:b w:val="0"/>
          <w:color w:val="000000"/>
        </w:rPr>
      </w:pPr>
      <w:r w:rsidRPr="001F48D0">
        <w:rPr>
          <w:b w:val="0"/>
          <w:color w:val="000000"/>
        </w:rPr>
        <w:t>Encourage state and local governments to use the services of the students participating in the program.</w:t>
      </w:r>
    </w:p>
    <w:p w:rsidR="001F48D0" w14:paraId="41B28A3B" w14:textId="7382E9B7">
      <w:pPr>
        <w:jc w:val="left"/>
        <w:rPr>
          <w:b w:val="0"/>
          <w:color w:val="000000"/>
        </w:rPr>
      </w:pPr>
      <w:r>
        <w:rPr>
          <w:b w:val="0"/>
          <w:color w:val="000000"/>
        </w:rPr>
        <w:t xml:space="preserve">The requested information collection is for the application forms required to gather the </w:t>
      </w:r>
      <w:r w:rsidR="00A65BAF">
        <w:rPr>
          <w:b w:val="0"/>
          <w:color w:val="000000"/>
        </w:rPr>
        <w:t>information required to evaluate applicants and their proposed programs to determine the best organizations for funding. Without the requested forms, EAC personnel would not be a</w:t>
      </w:r>
      <w:r w:rsidR="00DB45F7">
        <w:rPr>
          <w:b w:val="0"/>
          <w:color w:val="000000"/>
        </w:rPr>
        <w:t>b</w:t>
      </w:r>
      <w:r w:rsidR="00A65BAF">
        <w:rPr>
          <w:b w:val="0"/>
          <w:color w:val="000000"/>
        </w:rPr>
        <w:t xml:space="preserve">le to make the </w:t>
      </w:r>
      <w:r w:rsidR="00FF311D">
        <w:rPr>
          <w:b w:val="0"/>
          <w:color w:val="000000"/>
        </w:rPr>
        <w:t>necessary comparisons of proposed applicant programs for goodness-of-fit to program goals or assess the capacity of applicants to successfully implement the grant program.</w:t>
      </w:r>
    </w:p>
    <w:p w:rsidR="004517C3" w14:paraId="59062809" w14:textId="1EAF3D1F">
      <w:pPr>
        <w:jc w:val="left"/>
      </w:pPr>
      <w:r w:rsidRPr="00717E61">
        <w:t>2. Indicate how, by whom, and for what purpose the information is to be used.</w:t>
      </w:r>
    </w:p>
    <w:p w:rsidR="00DB45F7" w:rsidP="00DB45F7" w14:paraId="62887214" w14:textId="729905DD">
      <w:pPr>
        <w:jc w:val="left"/>
        <w:rPr>
          <w:b w:val="0"/>
          <w:color w:val="000000"/>
        </w:rPr>
      </w:pPr>
      <w:r>
        <w:rPr>
          <w:b w:val="0"/>
        </w:rPr>
        <w:t>Data from the application forms will be used by EAC personnel to evaluate the quality of applications and applicant organizations.</w:t>
      </w:r>
      <w:r w:rsidR="005A5D78">
        <w:rPr>
          <w:b w:val="0"/>
        </w:rPr>
        <w:t xml:space="preserve"> The EAC has developed the </w:t>
      </w:r>
      <w:r w:rsidR="006827E7">
        <w:rPr>
          <w:b w:val="0"/>
        </w:rPr>
        <w:t xml:space="preserve">applications forms to collect both quantitative and qualitative data on the </w:t>
      </w:r>
      <w:r w:rsidR="00016AF2">
        <w:rPr>
          <w:b w:val="0"/>
        </w:rPr>
        <w:t>program proposed by the applicant organization.</w:t>
      </w:r>
      <w:r w:rsidR="005F457A">
        <w:rPr>
          <w:b w:val="0"/>
        </w:rPr>
        <w:t xml:space="preserve"> </w:t>
      </w:r>
      <w:r w:rsidR="000C05ED">
        <w:rPr>
          <w:b w:val="0"/>
        </w:rPr>
        <w:t>The information</w:t>
      </w:r>
      <w:r w:rsidR="00565E03">
        <w:rPr>
          <w:b w:val="0"/>
        </w:rPr>
        <w:t xml:space="preserve"> provided by applicants in the application forms will be </w:t>
      </w:r>
      <w:r w:rsidR="00895488">
        <w:rPr>
          <w:b w:val="0"/>
        </w:rPr>
        <w:t>used to monitor the applicant’s progress throughout the program period, including their program activities and use of budgeted funds.</w:t>
      </w:r>
      <w:r>
        <w:rPr>
          <w:b w:val="0"/>
        </w:rPr>
        <w:t xml:space="preserve"> </w:t>
      </w:r>
      <w:r>
        <w:rPr>
          <w:b w:val="0"/>
          <w:color w:val="000000"/>
        </w:rPr>
        <w:t>The requested information collection is for the application forms required to gather the information required to evaluate applicants and their proposed programs to determine the best organizations for funding. Without the requested forms, EAC personnel would not be a</w:t>
      </w:r>
      <w:r>
        <w:rPr>
          <w:b w:val="0"/>
          <w:color w:val="000000"/>
        </w:rPr>
        <w:t>b</w:t>
      </w:r>
      <w:r>
        <w:rPr>
          <w:b w:val="0"/>
          <w:color w:val="000000"/>
        </w:rPr>
        <w:t>le to make the necessary comparisons of proposed applicant programs for goodness-of-fit to program goals or assess the capacity of applicants to successfully implement the grant program.</w:t>
      </w:r>
    </w:p>
    <w:p w:rsidR="004517C3" w14:paraId="0E750962" w14:textId="77777777">
      <w:pPr>
        <w:keepNext/>
        <w:widowControl/>
        <w:jc w:val="left"/>
        <w:rPr>
          <w:b w:val="0"/>
          <w:color w:val="000000"/>
        </w:rPr>
      </w:pPr>
      <w:r w:rsidRPr="00717E61">
        <w:t>3. Describe whether, and to what extent, the collection of information involves the use of automated, electronic, mechanical, or other technological collection techniques or other forms of information technology</w:t>
      </w:r>
      <w:r>
        <w:rPr>
          <w:u w:val="single"/>
        </w:rPr>
        <w:t>.</w:t>
      </w:r>
    </w:p>
    <w:p w:rsidR="00C11106" w14:paraId="2F2EF358" w14:textId="6432766C">
      <w:pPr>
        <w:pBdr>
          <w:top w:val="nil"/>
          <w:left w:val="nil"/>
          <w:bottom w:val="nil"/>
          <w:right w:val="nil"/>
          <w:between w:val="nil"/>
        </w:pBdr>
        <w:jc w:val="both"/>
        <w:rPr>
          <w:b w:val="0"/>
          <w:color w:val="000000" w:themeColor="text1"/>
        </w:rPr>
      </w:pPr>
      <w:r>
        <w:rPr>
          <w:b w:val="0"/>
          <w:color w:val="000000" w:themeColor="text1"/>
        </w:rPr>
        <w:t>Ap</w:t>
      </w:r>
      <w:r w:rsidR="00924FBD">
        <w:rPr>
          <w:b w:val="0"/>
          <w:color w:val="000000" w:themeColor="text1"/>
        </w:rPr>
        <w:t xml:space="preserve">plication forms and HAVCP information will be available </w:t>
      </w:r>
      <w:r w:rsidR="00567E04">
        <w:rPr>
          <w:b w:val="0"/>
          <w:color w:val="000000" w:themeColor="text1"/>
        </w:rPr>
        <w:t xml:space="preserve">for viewing and download </w:t>
      </w:r>
      <w:r w:rsidR="00924FBD">
        <w:rPr>
          <w:b w:val="0"/>
          <w:color w:val="000000" w:themeColor="text1"/>
        </w:rPr>
        <w:t>on the EAC website and at Grants.gov. For the HAVCP Poll Worker Grant Program, applications will be submitted</w:t>
      </w:r>
      <w:r w:rsidR="00151518">
        <w:rPr>
          <w:b w:val="0"/>
          <w:color w:val="000000" w:themeColor="text1"/>
        </w:rPr>
        <w:t xml:space="preserve"> </w:t>
      </w:r>
      <w:r w:rsidR="00766AFC">
        <w:rPr>
          <w:b w:val="0"/>
          <w:color w:val="000000" w:themeColor="text1"/>
        </w:rPr>
        <w:t>through Grants.gov using</w:t>
      </w:r>
      <w:r w:rsidR="00885E25">
        <w:rPr>
          <w:b w:val="0"/>
          <w:color w:val="000000" w:themeColor="text1"/>
        </w:rPr>
        <w:t xml:space="preserve"> </w:t>
      </w:r>
      <w:r w:rsidR="008A78E2">
        <w:rPr>
          <w:b w:val="0"/>
          <w:color w:val="000000" w:themeColor="text1"/>
        </w:rPr>
        <w:t>fillable online forms and/or completing forms and uploading them to</w:t>
      </w:r>
      <w:r w:rsidR="000126FF">
        <w:rPr>
          <w:b w:val="0"/>
          <w:color w:val="000000" w:themeColor="text1"/>
        </w:rPr>
        <w:t xml:space="preserve"> the appropriate</w:t>
      </w:r>
      <w:r w:rsidR="008A78E2">
        <w:rPr>
          <w:b w:val="0"/>
          <w:color w:val="000000" w:themeColor="text1"/>
        </w:rPr>
        <w:t xml:space="preserve"> Grants.gov </w:t>
      </w:r>
      <w:r w:rsidR="000126FF">
        <w:rPr>
          <w:b w:val="0"/>
          <w:color w:val="000000" w:themeColor="text1"/>
        </w:rPr>
        <w:t xml:space="preserve">workspace. For the HAVCP Service Day Mini-Grant Program, </w:t>
      </w:r>
      <w:r w:rsidR="000126FF">
        <w:rPr>
          <w:b w:val="0"/>
          <w:color w:val="000000" w:themeColor="text1"/>
        </w:rPr>
        <w:t xml:space="preserve">the </w:t>
      </w:r>
      <w:r w:rsidR="00567E04">
        <w:rPr>
          <w:b w:val="0"/>
          <w:color w:val="000000" w:themeColor="text1"/>
        </w:rPr>
        <w:t xml:space="preserve">application form and any other necessary supporting documentation will be submitted by email as attachments. </w:t>
      </w:r>
      <w:r w:rsidR="009A5D90">
        <w:rPr>
          <w:b w:val="0"/>
          <w:color w:val="000000" w:themeColor="text1"/>
        </w:rPr>
        <w:t xml:space="preserve">The use of online submissions of application forms </w:t>
      </w:r>
      <w:r w:rsidR="006D07C7">
        <w:rPr>
          <w:b w:val="0"/>
          <w:color w:val="000000" w:themeColor="text1"/>
        </w:rPr>
        <w:t xml:space="preserve">streamlines the submission and tracking of </w:t>
      </w:r>
      <w:r w:rsidR="00D1624A">
        <w:rPr>
          <w:b w:val="0"/>
          <w:color w:val="000000" w:themeColor="text1"/>
        </w:rPr>
        <w:t>applications for EAC personnel and applicant organizations.</w:t>
      </w:r>
    </w:p>
    <w:p w:rsidR="004517C3" w:rsidRPr="00717E61" w:rsidP="00717E61" w14:paraId="7F3D81EA" w14:textId="77777777">
      <w:pPr>
        <w:jc w:val="left"/>
      </w:pPr>
      <w:r w:rsidRPr="00717E61">
        <w:t>4. Describe efforts to identify duplication.</w:t>
      </w:r>
    </w:p>
    <w:p w:rsidR="004517C3" w14:paraId="75ADE91D" w14:textId="130233BE">
      <w:pPr>
        <w:pBdr>
          <w:top w:val="nil"/>
          <w:left w:val="nil"/>
          <w:bottom w:val="nil"/>
          <w:right w:val="nil"/>
          <w:between w:val="nil"/>
        </w:pBdr>
        <w:jc w:val="both"/>
        <w:rPr>
          <w:b w:val="0"/>
        </w:rPr>
      </w:pPr>
      <w:r>
        <w:rPr>
          <w:b w:val="0"/>
        </w:rPr>
        <w:t xml:space="preserve">Applicants are only able to apply for one of the two subprograms, reducing the chance of duplicate information being required of the same applicant. </w:t>
      </w:r>
      <w:r w:rsidR="001538AE">
        <w:rPr>
          <w:b w:val="0"/>
        </w:rPr>
        <w:t xml:space="preserve">EAC does not expect its grantees to be reporting on </w:t>
      </w:r>
      <w:r w:rsidR="007E03E0">
        <w:rPr>
          <w:b w:val="0"/>
        </w:rPr>
        <w:t>HA</w:t>
      </w:r>
      <w:r w:rsidR="00C11106">
        <w:rPr>
          <w:b w:val="0"/>
        </w:rPr>
        <w:t>VCP</w:t>
      </w:r>
      <w:r w:rsidR="007E03E0">
        <w:rPr>
          <w:b w:val="0"/>
        </w:rPr>
        <w:t xml:space="preserve"> </w:t>
      </w:r>
      <w:r w:rsidR="00EC0ED3">
        <w:rPr>
          <w:b w:val="0"/>
        </w:rPr>
        <w:t>f</w:t>
      </w:r>
      <w:r w:rsidR="001538AE">
        <w:rPr>
          <w:b w:val="0"/>
        </w:rPr>
        <w:t xml:space="preserve">unding expenditures and activities to any other source. Where possible, EAC has mirrored the federal standardized data elements for </w:t>
      </w:r>
      <w:r w:rsidR="00C11106">
        <w:rPr>
          <w:b w:val="0"/>
        </w:rPr>
        <w:t>grant applications</w:t>
      </w:r>
      <w:r w:rsidR="001538AE">
        <w:rPr>
          <w:b w:val="0"/>
        </w:rPr>
        <w:t xml:space="preserve"> to reduce variance across federal grants in </w:t>
      </w:r>
      <w:r w:rsidR="00C11106">
        <w:rPr>
          <w:b w:val="0"/>
        </w:rPr>
        <w:t>the information requested under this collection</w:t>
      </w:r>
      <w:r w:rsidR="001538AE">
        <w:rPr>
          <w:b w:val="0"/>
        </w:rPr>
        <w:t>.</w:t>
      </w:r>
    </w:p>
    <w:p w:rsidR="004517C3" w:rsidRPr="00717E61" w14:paraId="2BD4E829" w14:textId="61951E83">
      <w:pPr>
        <w:pBdr>
          <w:top w:val="nil"/>
          <w:left w:val="nil"/>
          <w:bottom w:val="nil"/>
          <w:right w:val="nil"/>
          <w:between w:val="nil"/>
        </w:pBdr>
        <w:jc w:val="left"/>
        <w:rPr>
          <w:color w:val="000000"/>
        </w:rPr>
      </w:pPr>
      <w:r w:rsidRPr="00717E61">
        <w:rPr>
          <w:color w:val="000000"/>
        </w:rPr>
        <w:t>5. If the collection of information impacts small businesses or other small entities, describe</w:t>
      </w:r>
      <w:r w:rsidRPr="00717E61">
        <w:t xml:space="preserve"> </w:t>
      </w:r>
      <w:r w:rsidRPr="00717E61">
        <w:rPr>
          <w:color w:val="000000"/>
        </w:rPr>
        <w:t>any methods used to minimize burden.</w:t>
      </w:r>
    </w:p>
    <w:p w:rsidR="004517C3" w:rsidP="00353ED7" w14:paraId="21DB32A8" w14:textId="4E25C908">
      <w:pPr>
        <w:pBdr>
          <w:top w:val="nil"/>
          <w:left w:val="nil"/>
          <w:bottom w:val="nil"/>
          <w:right w:val="nil"/>
          <w:between w:val="nil"/>
        </w:pBdr>
        <w:jc w:val="left"/>
        <w:rPr>
          <w:b w:val="0"/>
          <w:color w:val="000000"/>
        </w:rPr>
      </w:pPr>
      <w:r>
        <w:rPr>
          <w:b w:val="0"/>
          <w:color w:val="000000"/>
        </w:rPr>
        <w:t>This information collection</w:t>
      </w:r>
      <w:r w:rsidR="004F7F38">
        <w:rPr>
          <w:b w:val="0"/>
          <w:color w:val="000000"/>
        </w:rPr>
        <w:t xml:space="preserve"> does not </w:t>
      </w:r>
      <w:r w:rsidR="0002732F">
        <w:rPr>
          <w:b w:val="0"/>
          <w:color w:val="000000"/>
        </w:rPr>
        <w:t>impact small businesses, but</w:t>
      </w:r>
      <w:r>
        <w:rPr>
          <w:b w:val="0"/>
          <w:color w:val="000000"/>
        </w:rPr>
        <w:t xml:space="preserve"> </w:t>
      </w:r>
      <w:r w:rsidR="004F7F38">
        <w:rPr>
          <w:b w:val="0"/>
          <w:color w:val="000000"/>
        </w:rPr>
        <w:t>may impact</w:t>
      </w:r>
      <w:r>
        <w:rPr>
          <w:b w:val="0"/>
          <w:color w:val="000000"/>
        </w:rPr>
        <w:t xml:space="preserve"> other small entities</w:t>
      </w:r>
      <w:r w:rsidR="0002732F">
        <w:rPr>
          <w:b w:val="0"/>
          <w:color w:val="000000"/>
        </w:rPr>
        <w:t xml:space="preserve"> should they chose to apply</w:t>
      </w:r>
      <w:r>
        <w:rPr>
          <w:b w:val="0"/>
          <w:color w:val="000000"/>
        </w:rPr>
        <w:t>.</w:t>
      </w:r>
      <w:r w:rsidR="0002732F">
        <w:rPr>
          <w:b w:val="0"/>
          <w:color w:val="000000"/>
        </w:rPr>
        <w:t xml:space="preserve"> </w:t>
      </w:r>
      <w:r>
        <w:rPr>
          <w:b w:val="0"/>
          <w:color w:val="000000"/>
        </w:rPr>
        <w:t>The EAC has made efforts to limit the information requested and burden on all participants.</w:t>
      </w:r>
      <w:r w:rsidR="0002732F">
        <w:rPr>
          <w:b w:val="0"/>
          <w:color w:val="000000"/>
        </w:rPr>
        <w:t xml:space="preserve"> </w:t>
      </w:r>
      <w:r>
        <w:rPr>
          <w:b w:val="0"/>
          <w:color w:val="000000"/>
        </w:rPr>
        <w:t xml:space="preserve">The information sought is limited </w:t>
      </w:r>
      <w:r w:rsidR="00353ED7">
        <w:rPr>
          <w:b w:val="0"/>
          <w:color w:val="000000"/>
        </w:rPr>
        <w:t>to information</w:t>
      </w:r>
      <w:r>
        <w:rPr>
          <w:b w:val="0"/>
          <w:color w:val="000000"/>
        </w:rPr>
        <w:t xml:space="preserve"> necessary to meet the requirements </w:t>
      </w:r>
      <w:r w:rsidR="0002732F">
        <w:rPr>
          <w:b w:val="0"/>
          <w:color w:val="000000"/>
        </w:rPr>
        <w:t>to properly evaluate applicant proposed programs and applicant organizations for funding</w:t>
      </w:r>
      <w:r>
        <w:rPr>
          <w:b w:val="0"/>
          <w:color w:val="000000"/>
        </w:rPr>
        <w:t>.</w:t>
      </w:r>
      <w:r w:rsidR="00107C61">
        <w:rPr>
          <w:b w:val="0"/>
          <w:color w:val="000000"/>
        </w:rPr>
        <w:t xml:space="preserve"> </w:t>
      </w:r>
      <w:r w:rsidR="0002732F">
        <w:rPr>
          <w:b w:val="0"/>
          <w:color w:val="000000"/>
        </w:rPr>
        <w:t>The EAC has designed the HAVCP Service Day Mini-Grant Program with an abridged application to reduce the burden on smaller entities to receive funding under this program.</w:t>
      </w:r>
    </w:p>
    <w:p w:rsidR="004517C3" w14:paraId="71330EA0" w14:textId="77777777">
      <w:pPr>
        <w:keepNext/>
        <w:widowControl/>
        <w:jc w:val="left"/>
      </w:pPr>
      <w:r w:rsidRPr="00717E61">
        <w:t>6. Describe the consequence to Federal program or policy activities if the collection is not conducted or is conducted less frequently, as well as any technical or legal obstacles to reducing burden.</w:t>
      </w:r>
    </w:p>
    <w:p w:rsidR="00A556A7" w:rsidRPr="004F7F38" w:rsidP="004F7F38" w14:paraId="1D0D369A" w14:textId="0C238D43">
      <w:pPr>
        <w:jc w:val="left"/>
        <w:rPr>
          <w:b w:val="0"/>
          <w:color w:val="000000"/>
        </w:rPr>
      </w:pPr>
      <w:bookmarkStart w:id="2" w:name="_heading=h.ungobr4y424a" w:colFirst="0" w:colLast="0"/>
      <w:bookmarkEnd w:id="2"/>
      <w:r w:rsidRPr="00602109">
        <w:rPr>
          <w:b w:val="0"/>
        </w:rPr>
        <w:t xml:space="preserve">If the EAC does not collect this </w:t>
      </w:r>
      <w:r w:rsidRPr="00602109" w:rsidR="001C0AD1">
        <w:rPr>
          <w:b w:val="0"/>
        </w:rPr>
        <w:t>information,</w:t>
      </w:r>
      <w:r w:rsidRPr="00602109">
        <w:rPr>
          <w:b w:val="0"/>
        </w:rPr>
        <w:t xml:space="preserve"> it will be unable to perform</w:t>
      </w:r>
      <w:r>
        <w:rPr>
          <w:b w:val="0"/>
        </w:rPr>
        <w:t xml:space="preserve"> the</w:t>
      </w:r>
      <w:r w:rsidRPr="00602109">
        <w:rPr>
          <w:b w:val="0"/>
        </w:rPr>
        <w:t xml:space="preserve"> </w:t>
      </w:r>
      <w:r>
        <w:rPr>
          <w:b w:val="0"/>
        </w:rPr>
        <w:t xml:space="preserve">necessary </w:t>
      </w:r>
      <w:r w:rsidR="0096118C">
        <w:rPr>
          <w:b w:val="0"/>
        </w:rPr>
        <w:t>review and evaluation of the proposed programs and applicant organizations to the HAVCP.</w:t>
      </w:r>
      <w:r w:rsidR="004F7F38">
        <w:rPr>
          <w:b w:val="0"/>
        </w:rPr>
        <w:t xml:space="preserve"> </w:t>
      </w:r>
      <w:r w:rsidR="004F7F38">
        <w:rPr>
          <w:b w:val="0"/>
          <w:color w:val="000000"/>
        </w:rPr>
        <w:t>Without the requested forms, EAC personnel would not be able to make the necessary comparisons of proposed applicant programs for goodness-of-fit to program goals or assess the capacity of applicants to successfully implement the grant program.</w:t>
      </w:r>
    </w:p>
    <w:p w:rsidR="004517C3" w:rsidRPr="00717E61" w14:paraId="77C88701" w14:textId="405AF8B1">
      <w:pPr>
        <w:keepNext/>
        <w:widowControl/>
        <w:jc w:val="left"/>
      </w:pPr>
      <w:r w:rsidRPr="00717E61">
        <w:t>7. Explain any special circumstances that require the collection to be conducted in a manner inconsistent with OMB guidelines.</w:t>
      </w:r>
    </w:p>
    <w:p w:rsidR="004517C3" w:rsidRPr="00353ED7" w:rsidP="00353ED7" w14:paraId="62F01B29" w14:textId="24354C0E">
      <w:pPr>
        <w:pBdr>
          <w:top w:val="nil"/>
          <w:left w:val="nil"/>
          <w:bottom w:val="nil"/>
          <w:right w:val="nil"/>
          <w:between w:val="nil"/>
        </w:pBdr>
        <w:jc w:val="both"/>
        <w:rPr>
          <w:b w:val="0"/>
        </w:rPr>
      </w:pPr>
      <w:r w:rsidRPr="00353ED7">
        <w:rPr>
          <w:b w:val="0"/>
        </w:rPr>
        <w:t>There are no special circumstances applicable to this information collection.</w:t>
      </w:r>
    </w:p>
    <w:p w:rsidR="00796818" w:rsidRPr="005B481E" w:rsidP="00796818" w14:paraId="304EE004" w14:textId="77777777">
      <w:pPr>
        <w:ind w:right="-30"/>
        <w:jc w:val="left"/>
        <w:rPr>
          <w:b w:val="0"/>
          <w:color w:val="000000"/>
        </w:rPr>
      </w:pPr>
      <w:r w:rsidRPr="005B481E">
        <w:t>8. 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of EAC.</w:t>
      </w:r>
    </w:p>
    <w:p w:rsidR="003C4FAD" w:rsidRPr="00491E1F" w14:paraId="7A56810E" w14:textId="39D62D88">
      <w:pPr>
        <w:keepNext/>
        <w:widowControl/>
        <w:tabs>
          <w:tab w:val="left" w:pos="450"/>
        </w:tabs>
        <w:jc w:val="left"/>
        <w:rPr>
          <w:b w:val="0"/>
          <w:i/>
          <w:iCs/>
          <w:color w:val="000000"/>
          <w:lang w:val="fr-FR"/>
        </w:rPr>
      </w:pPr>
      <w:r w:rsidRPr="00D20553">
        <w:rPr>
          <w:b w:val="0"/>
          <w:i/>
          <w:iCs/>
          <w:color w:val="000000"/>
          <w:lang w:val="fr-FR"/>
        </w:rPr>
        <w:t>PREVIOUS:</w:t>
      </w:r>
    </w:p>
    <w:p w:rsidR="00602109" w:rsidRPr="00491E1F" w14:paraId="1F079101" w14:textId="1687D8FA">
      <w:pPr>
        <w:keepNext/>
        <w:widowControl/>
        <w:tabs>
          <w:tab w:val="left" w:pos="450"/>
        </w:tabs>
        <w:jc w:val="left"/>
        <w:rPr>
          <w:b w:val="0"/>
          <w:color w:val="000000"/>
          <w:lang w:val="fr-FR"/>
        </w:rPr>
      </w:pPr>
      <w:r w:rsidRPr="00491E1F">
        <w:rPr>
          <w:b w:val="0"/>
          <w:color w:val="000000"/>
          <w:lang w:val="fr-FR"/>
        </w:rPr>
        <w:t xml:space="preserve">Publication Date: </w:t>
      </w:r>
      <w:r w:rsidR="003F2729">
        <w:rPr>
          <w:b w:val="0"/>
          <w:color w:val="000000"/>
          <w:lang w:val="fr-FR"/>
        </w:rPr>
        <w:t>0</w:t>
      </w:r>
      <w:r w:rsidR="004171BB">
        <w:rPr>
          <w:b w:val="0"/>
          <w:color w:val="000000"/>
          <w:lang w:val="fr-FR"/>
        </w:rPr>
        <w:t>7</w:t>
      </w:r>
      <w:r w:rsidR="003F2729">
        <w:rPr>
          <w:b w:val="0"/>
          <w:color w:val="000000"/>
          <w:lang w:val="fr-FR"/>
        </w:rPr>
        <w:t>/</w:t>
      </w:r>
      <w:r w:rsidR="004171BB">
        <w:rPr>
          <w:b w:val="0"/>
          <w:color w:val="000000"/>
          <w:lang w:val="fr-FR"/>
        </w:rPr>
        <w:t>2</w:t>
      </w:r>
      <w:r w:rsidR="003F2729">
        <w:rPr>
          <w:b w:val="0"/>
          <w:color w:val="000000"/>
          <w:lang w:val="fr-FR"/>
        </w:rPr>
        <w:t>1/2023</w:t>
      </w:r>
    </w:p>
    <w:p w:rsidR="00002EC3" w:rsidRPr="00491E1F" w14:paraId="0B87EE07" w14:textId="61F9A160">
      <w:pPr>
        <w:keepNext/>
        <w:widowControl/>
        <w:tabs>
          <w:tab w:val="left" w:pos="450"/>
        </w:tabs>
        <w:jc w:val="left"/>
        <w:rPr>
          <w:b w:val="0"/>
          <w:color w:val="000000"/>
          <w:lang w:val="fr-FR"/>
        </w:rPr>
      </w:pPr>
      <w:r w:rsidRPr="00491E1F">
        <w:rPr>
          <w:b w:val="0"/>
          <w:color w:val="000000"/>
          <w:lang w:val="fr-FR"/>
        </w:rPr>
        <w:t xml:space="preserve">Document Citation: </w:t>
      </w:r>
      <w:r w:rsidRPr="00757F76" w:rsidR="00356D8D">
        <w:rPr>
          <w:b w:val="0"/>
          <w:bCs/>
        </w:rPr>
        <w:t xml:space="preserve">88 FR </w:t>
      </w:r>
      <w:r w:rsidR="004171BB">
        <w:rPr>
          <w:b w:val="0"/>
          <w:bCs/>
        </w:rPr>
        <w:t>47133</w:t>
      </w:r>
    </w:p>
    <w:p w:rsidR="00002EC3" w:rsidRPr="00491E1F" w14:paraId="35B8E315" w14:textId="3DBB489B">
      <w:pPr>
        <w:keepNext/>
        <w:widowControl/>
        <w:tabs>
          <w:tab w:val="left" w:pos="450"/>
        </w:tabs>
        <w:jc w:val="left"/>
        <w:rPr>
          <w:b w:val="0"/>
          <w:color w:val="000000"/>
          <w:lang w:val="fr-FR"/>
        </w:rPr>
      </w:pPr>
      <w:r w:rsidRPr="00491E1F">
        <w:rPr>
          <w:b w:val="0"/>
          <w:color w:val="000000"/>
          <w:lang w:val="fr-FR"/>
        </w:rPr>
        <w:t>Page</w:t>
      </w:r>
      <w:r w:rsidR="007559CB">
        <w:rPr>
          <w:b w:val="0"/>
          <w:color w:val="000000"/>
          <w:lang w:val="fr-FR"/>
        </w:rPr>
        <w:t>:</w:t>
      </w:r>
      <w:r w:rsidRPr="00491E1F">
        <w:rPr>
          <w:b w:val="0"/>
          <w:color w:val="000000"/>
          <w:lang w:val="fr-FR"/>
        </w:rPr>
        <w:t xml:space="preserve"> </w:t>
      </w:r>
      <w:r w:rsidR="004171BB">
        <w:rPr>
          <w:b w:val="0"/>
          <w:bCs/>
        </w:rPr>
        <w:t>47133-47134</w:t>
      </w:r>
      <w:r w:rsidRPr="00491E1F" w:rsidR="007559CB">
        <w:rPr>
          <w:b w:val="0"/>
          <w:color w:val="000000"/>
          <w:lang w:val="fr-FR"/>
        </w:rPr>
        <w:t xml:space="preserve"> </w:t>
      </w:r>
      <w:r w:rsidRPr="00491E1F">
        <w:rPr>
          <w:b w:val="0"/>
          <w:color w:val="000000"/>
          <w:lang w:val="fr-FR"/>
        </w:rPr>
        <w:t>(</w:t>
      </w:r>
      <w:r w:rsidRPr="00491E1F" w:rsidR="00B73A9B">
        <w:rPr>
          <w:b w:val="0"/>
          <w:color w:val="000000"/>
          <w:lang w:val="fr-FR"/>
        </w:rPr>
        <w:t>2</w:t>
      </w:r>
      <w:r w:rsidRPr="00491E1F">
        <w:rPr>
          <w:b w:val="0"/>
          <w:color w:val="000000"/>
          <w:lang w:val="fr-FR"/>
        </w:rPr>
        <w:t xml:space="preserve"> page</w:t>
      </w:r>
      <w:r w:rsidRPr="00491E1F" w:rsidR="00B73A9B">
        <w:rPr>
          <w:b w:val="0"/>
          <w:color w:val="000000"/>
          <w:lang w:val="fr-FR"/>
        </w:rPr>
        <w:t>s</w:t>
      </w:r>
      <w:r w:rsidRPr="00491E1F">
        <w:rPr>
          <w:b w:val="0"/>
          <w:color w:val="000000"/>
          <w:lang w:val="fr-FR"/>
        </w:rPr>
        <w:t>)</w:t>
      </w:r>
    </w:p>
    <w:p w:rsidR="00002EC3" w:rsidRPr="00491E1F" w14:paraId="5193DF5E" w14:textId="6287E173">
      <w:pPr>
        <w:keepNext/>
        <w:widowControl/>
        <w:tabs>
          <w:tab w:val="left" w:pos="450"/>
        </w:tabs>
        <w:jc w:val="left"/>
        <w:rPr>
          <w:b w:val="0"/>
          <w:color w:val="000000"/>
          <w:lang w:val="fr-FR"/>
        </w:rPr>
      </w:pPr>
      <w:r w:rsidRPr="00491E1F">
        <w:rPr>
          <w:b w:val="0"/>
          <w:color w:val="000000"/>
          <w:lang w:val="fr-FR"/>
        </w:rPr>
        <w:t xml:space="preserve">Document Number: </w:t>
      </w:r>
      <w:r w:rsidRPr="00757F76" w:rsidR="00D20553">
        <w:rPr>
          <w:b w:val="0"/>
          <w:bCs/>
        </w:rPr>
        <w:t>2023-1</w:t>
      </w:r>
      <w:r w:rsidR="004F7358">
        <w:rPr>
          <w:b w:val="0"/>
          <w:bCs/>
        </w:rPr>
        <w:t>5506</w:t>
      </w:r>
    </w:p>
    <w:p w:rsidR="00002EC3" w:rsidRPr="00491E1F" w14:paraId="782D2EB5" w14:textId="1D612BB0">
      <w:pPr>
        <w:keepNext/>
        <w:widowControl/>
        <w:tabs>
          <w:tab w:val="left" w:pos="450"/>
        </w:tabs>
        <w:jc w:val="left"/>
        <w:rPr>
          <w:bCs/>
          <w:lang w:val="fr-FR"/>
        </w:rPr>
      </w:pPr>
      <w:r w:rsidRPr="00491E1F">
        <w:rPr>
          <w:bCs/>
          <w:lang w:val="fr-FR"/>
        </w:rPr>
        <w:t>Public</w:t>
      </w:r>
      <w:r w:rsidR="0048546E">
        <w:rPr>
          <w:bCs/>
          <w:lang w:val="fr-FR"/>
        </w:rPr>
        <w:t xml:space="preserve"> Comments</w:t>
      </w:r>
    </w:p>
    <w:p w:rsidR="00602109" w:rsidP="51AAB7D1" w14:paraId="7C72B097" w14:textId="4EF30568">
      <w:pPr>
        <w:keepNext/>
        <w:widowControl/>
        <w:tabs>
          <w:tab w:val="left" w:pos="450"/>
        </w:tabs>
        <w:jc w:val="left"/>
        <w:rPr>
          <w:b w:val="0"/>
        </w:rPr>
      </w:pPr>
      <w:r w:rsidRPr="00491E1F">
        <w:rPr>
          <w:b w:val="0"/>
          <w:bCs/>
        </w:rPr>
        <w:t>This proposed information collection was previously published in the</w:t>
      </w:r>
      <w:r w:rsidR="0048546E">
        <w:rPr>
          <w:b w:val="0"/>
          <w:bCs/>
        </w:rPr>
        <w:t xml:space="preserve"> </w:t>
      </w:r>
      <w:r w:rsidRPr="00491E1F">
        <w:rPr>
          <w:b w:val="0"/>
          <w:bCs/>
        </w:rPr>
        <w:t>Federal Register</w:t>
      </w:r>
      <w:r w:rsidR="0048546E">
        <w:rPr>
          <w:b w:val="0"/>
          <w:bCs/>
        </w:rPr>
        <w:t xml:space="preserve"> </w:t>
      </w:r>
      <w:r w:rsidRPr="00491E1F">
        <w:rPr>
          <w:b w:val="0"/>
          <w:bCs/>
        </w:rPr>
        <w:t xml:space="preserve">on </w:t>
      </w:r>
      <w:r w:rsidR="004F7358">
        <w:rPr>
          <w:b w:val="0"/>
          <w:bCs/>
        </w:rPr>
        <w:t>July</w:t>
      </w:r>
      <w:r w:rsidR="00D20553">
        <w:rPr>
          <w:b w:val="0"/>
          <w:bCs/>
        </w:rPr>
        <w:t xml:space="preserve"> </w:t>
      </w:r>
      <w:r w:rsidR="004F7358">
        <w:rPr>
          <w:b w:val="0"/>
          <w:bCs/>
        </w:rPr>
        <w:t>2</w:t>
      </w:r>
      <w:r w:rsidR="00D20553">
        <w:rPr>
          <w:b w:val="0"/>
          <w:bCs/>
        </w:rPr>
        <w:t>1, 2023</w:t>
      </w:r>
      <w:r w:rsidR="00D14317">
        <w:rPr>
          <w:b w:val="0"/>
          <w:bCs/>
        </w:rPr>
        <w:t>,</w:t>
      </w:r>
      <w:r w:rsidR="00D20553">
        <w:rPr>
          <w:b w:val="0"/>
          <w:bCs/>
        </w:rPr>
        <w:t xml:space="preserve"> </w:t>
      </w:r>
      <w:r w:rsidRPr="00491E1F">
        <w:rPr>
          <w:b w:val="0"/>
          <w:bCs/>
        </w:rPr>
        <w:t>Document Citation: 8</w:t>
      </w:r>
      <w:r w:rsidR="00D20553">
        <w:rPr>
          <w:b w:val="0"/>
          <w:bCs/>
        </w:rPr>
        <w:t>8</w:t>
      </w:r>
      <w:r w:rsidRPr="00491E1F">
        <w:rPr>
          <w:b w:val="0"/>
          <w:bCs/>
        </w:rPr>
        <w:t xml:space="preserve"> FR </w:t>
      </w:r>
      <w:r w:rsidR="004F7358">
        <w:rPr>
          <w:b w:val="0"/>
          <w:bCs/>
        </w:rPr>
        <w:t>47</w:t>
      </w:r>
      <w:r w:rsidR="00D20553">
        <w:rPr>
          <w:b w:val="0"/>
          <w:bCs/>
        </w:rPr>
        <w:t>1</w:t>
      </w:r>
      <w:r w:rsidR="00D9081B">
        <w:rPr>
          <w:b w:val="0"/>
          <w:bCs/>
        </w:rPr>
        <w:t>33</w:t>
      </w:r>
      <w:r w:rsidRPr="00491E1F" w:rsidR="00491E1F">
        <w:rPr>
          <w:b w:val="0"/>
          <w:bCs/>
        </w:rPr>
        <w:t xml:space="preserve"> </w:t>
      </w:r>
      <w:r w:rsidRPr="00491E1F">
        <w:rPr>
          <w:b w:val="0"/>
          <w:bCs/>
        </w:rPr>
        <w:t>(Page</w:t>
      </w:r>
      <w:r w:rsidRPr="00491E1F" w:rsidR="00491E1F">
        <w:rPr>
          <w:b w:val="0"/>
          <w:bCs/>
        </w:rPr>
        <w:t xml:space="preserve">s </w:t>
      </w:r>
      <w:r w:rsidR="004F7358">
        <w:rPr>
          <w:b w:val="0"/>
          <w:bCs/>
        </w:rPr>
        <w:t>47133-47134</w:t>
      </w:r>
      <w:r w:rsidRPr="00491E1F">
        <w:rPr>
          <w:b w:val="0"/>
          <w:bCs/>
        </w:rPr>
        <w:t xml:space="preserve">, Document Number: </w:t>
      </w:r>
      <w:r w:rsidRPr="00757F76" w:rsidR="004F7358">
        <w:rPr>
          <w:b w:val="0"/>
          <w:bCs/>
        </w:rPr>
        <w:t>2023-1</w:t>
      </w:r>
      <w:r w:rsidR="004F7358">
        <w:rPr>
          <w:b w:val="0"/>
          <w:bCs/>
        </w:rPr>
        <w:t>5506</w:t>
      </w:r>
      <w:r w:rsidRPr="00491E1F">
        <w:rPr>
          <w:b w:val="0"/>
          <w:bCs/>
        </w:rPr>
        <w:t>) and allowed 60 days for public comme</w:t>
      </w:r>
      <w:r w:rsidRPr="00BD2EF0">
        <w:rPr>
          <w:b w:val="0"/>
          <w:bCs/>
        </w:rPr>
        <w:t>nt.</w:t>
      </w:r>
      <w:r w:rsidRPr="00BD2EF0">
        <w:t xml:space="preserve"> </w:t>
      </w:r>
      <w:r w:rsidRPr="00BD2EF0">
        <w:rPr>
          <w:b w:val="0"/>
        </w:rPr>
        <w:t>No comments were garnered from the notice, warranting no outside consultation.</w:t>
      </w:r>
    </w:p>
    <w:p w:rsidR="00DA3434" w:rsidRPr="00402B4A" w:rsidP="51AAB7D1" w14:paraId="0B7342E6" w14:textId="4563E8CC">
      <w:pPr>
        <w:keepNext/>
        <w:widowControl/>
        <w:tabs>
          <w:tab w:val="left" w:pos="450"/>
        </w:tabs>
        <w:jc w:val="left"/>
        <w:rPr>
          <w:b w:val="0"/>
        </w:rPr>
      </w:pPr>
      <w:r w:rsidRPr="00491E1F">
        <w:rPr>
          <w:b w:val="0"/>
          <w:bCs/>
        </w:rPr>
        <w:t xml:space="preserve">This proposed information collection was </w:t>
      </w:r>
      <w:r>
        <w:rPr>
          <w:b w:val="0"/>
          <w:bCs/>
        </w:rPr>
        <w:t xml:space="preserve">also </w:t>
      </w:r>
      <w:r w:rsidRPr="00491E1F">
        <w:rPr>
          <w:b w:val="0"/>
          <w:bCs/>
        </w:rPr>
        <w:t>published in the</w:t>
      </w:r>
      <w:r>
        <w:rPr>
          <w:b w:val="0"/>
          <w:bCs/>
        </w:rPr>
        <w:t xml:space="preserve"> </w:t>
      </w:r>
      <w:r w:rsidRPr="00491E1F">
        <w:rPr>
          <w:b w:val="0"/>
          <w:bCs/>
        </w:rPr>
        <w:t>Federal Register</w:t>
      </w:r>
      <w:r>
        <w:rPr>
          <w:b w:val="0"/>
          <w:bCs/>
        </w:rPr>
        <w:t xml:space="preserve"> </w:t>
      </w:r>
      <w:r w:rsidRPr="00491E1F">
        <w:rPr>
          <w:b w:val="0"/>
          <w:bCs/>
        </w:rPr>
        <w:t xml:space="preserve">on </w:t>
      </w:r>
      <w:r>
        <w:rPr>
          <w:b w:val="0"/>
          <w:bCs/>
        </w:rPr>
        <w:t xml:space="preserve">October </w:t>
      </w:r>
      <w:r w:rsidR="004F7358">
        <w:rPr>
          <w:b w:val="0"/>
          <w:bCs/>
        </w:rPr>
        <w:t>10</w:t>
      </w:r>
      <w:r>
        <w:rPr>
          <w:b w:val="0"/>
          <w:bCs/>
        </w:rPr>
        <w:t xml:space="preserve">, 2023, </w:t>
      </w:r>
      <w:r w:rsidRPr="0080321E">
        <w:rPr>
          <w:b w:val="0"/>
          <w:bCs/>
        </w:rPr>
        <w:t xml:space="preserve">Document Citation: 88 FR </w:t>
      </w:r>
      <w:r w:rsidRPr="0080321E" w:rsidR="008E0C93">
        <w:rPr>
          <w:b w:val="0"/>
          <w:bCs/>
        </w:rPr>
        <w:t>69913</w:t>
      </w:r>
      <w:r w:rsidRPr="0080321E">
        <w:rPr>
          <w:b w:val="0"/>
          <w:bCs/>
        </w:rPr>
        <w:t xml:space="preserve"> (Pages </w:t>
      </w:r>
      <w:r w:rsidRPr="0080321E" w:rsidR="0080321E">
        <w:rPr>
          <w:b w:val="0"/>
          <w:bCs/>
        </w:rPr>
        <w:t>69913-69914</w:t>
      </w:r>
      <w:r w:rsidRPr="0080321E">
        <w:rPr>
          <w:b w:val="0"/>
          <w:bCs/>
        </w:rPr>
        <w:t xml:space="preserve">, Document Number: </w:t>
      </w:r>
      <w:r w:rsidRPr="0080321E" w:rsidR="0080321E">
        <w:rPr>
          <w:b w:val="0"/>
          <w:bCs/>
        </w:rPr>
        <w:t>2023-22403</w:t>
      </w:r>
      <w:r w:rsidRPr="0080321E">
        <w:rPr>
          <w:b w:val="0"/>
          <w:bCs/>
        </w:rPr>
        <w:t>)</w:t>
      </w:r>
      <w:r w:rsidRPr="00491E1F">
        <w:rPr>
          <w:b w:val="0"/>
          <w:bCs/>
        </w:rPr>
        <w:t xml:space="preserve"> </w:t>
      </w:r>
      <w:r w:rsidR="00BC7839">
        <w:rPr>
          <w:b w:val="0"/>
          <w:bCs/>
        </w:rPr>
        <w:t>to allow for an additional</w:t>
      </w:r>
      <w:r w:rsidRPr="00491E1F">
        <w:rPr>
          <w:b w:val="0"/>
          <w:bCs/>
        </w:rPr>
        <w:t xml:space="preserve"> </w:t>
      </w:r>
      <w:r w:rsidR="00BC7839">
        <w:rPr>
          <w:b w:val="0"/>
          <w:bCs/>
        </w:rPr>
        <w:t>3</w:t>
      </w:r>
      <w:r w:rsidRPr="00491E1F">
        <w:rPr>
          <w:b w:val="0"/>
          <w:bCs/>
        </w:rPr>
        <w:t>0 days for public comme</w:t>
      </w:r>
      <w:r w:rsidRPr="00BD2EF0">
        <w:rPr>
          <w:b w:val="0"/>
          <w:bCs/>
        </w:rPr>
        <w:t>nt.</w:t>
      </w:r>
      <w:r w:rsidRPr="00BD2EF0">
        <w:t xml:space="preserve"> </w:t>
      </w:r>
      <w:r w:rsidR="00BC7839">
        <w:rPr>
          <w:b w:val="0"/>
        </w:rPr>
        <w:t>Any</w:t>
      </w:r>
      <w:r w:rsidRPr="00BD2EF0">
        <w:rPr>
          <w:b w:val="0"/>
        </w:rPr>
        <w:t xml:space="preserve"> comments were garnered from th</w:t>
      </w:r>
      <w:r w:rsidR="00BC7839">
        <w:rPr>
          <w:b w:val="0"/>
        </w:rPr>
        <w:t>is</w:t>
      </w:r>
      <w:r w:rsidRPr="00BD2EF0">
        <w:rPr>
          <w:b w:val="0"/>
        </w:rPr>
        <w:t xml:space="preserve"> notice</w:t>
      </w:r>
      <w:r w:rsidR="00BC7839">
        <w:rPr>
          <w:b w:val="0"/>
        </w:rPr>
        <w:t xml:space="preserve"> will be </w:t>
      </w:r>
      <w:r w:rsidR="001C31A2">
        <w:rPr>
          <w:b w:val="0"/>
        </w:rPr>
        <w:t>posted as they are received</w:t>
      </w:r>
      <w:r w:rsidRPr="00BD2EF0">
        <w:rPr>
          <w:b w:val="0"/>
        </w:rPr>
        <w:t>.</w:t>
      </w:r>
    </w:p>
    <w:p w:rsidR="004517C3" w:rsidRPr="00717E61" w14:paraId="37F8CECE" w14:textId="00529D8C">
      <w:pPr>
        <w:keepNext/>
        <w:widowControl/>
        <w:tabs>
          <w:tab w:val="left" w:pos="450"/>
        </w:tabs>
        <w:jc w:val="left"/>
      </w:pPr>
      <w:r w:rsidRPr="00717E61">
        <w:t>9. Explain any decision to provide any payment or gift to respondents, other than remuneration of contractors or grantees.</w:t>
      </w:r>
    </w:p>
    <w:p w:rsidR="004517C3" w14:paraId="5F2291BF" w14:textId="77777777">
      <w:pPr>
        <w:pBdr>
          <w:top w:val="nil"/>
          <w:left w:val="nil"/>
          <w:bottom w:val="nil"/>
          <w:right w:val="nil"/>
          <w:between w:val="nil"/>
        </w:pBdr>
        <w:ind w:left="720" w:hanging="720"/>
        <w:jc w:val="left"/>
        <w:rPr>
          <w:b w:val="0"/>
          <w:color w:val="000000"/>
        </w:rPr>
      </w:pPr>
      <w:r>
        <w:rPr>
          <w:b w:val="0"/>
          <w:color w:val="000000"/>
        </w:rPr>
        <w:t>The EAC does not provide any payment or gift to respondents.</w:t>
      </w:r>
    </w:p>
    <w:p w:rsidR="004517C3" w:rsidRPr="00717E61" w14:paraId="4C3E2F37" w14:textId="77777777">
      <w:pPr>
        <w:keepNext/>
        <w:widowControl/>
        <w:jc w:val="left"/>
      </w:pPr>
      <w:r w:rsidRPr="00717E61">
        <w:t>10. Describe any assurance of confidentiality provided to respondents and the basis for the assurance in statute, regulation, or agency policy.</w:t>
      </w:r>
    </w:p>
    <w:p w:rsidR="004517C3" w:rsidRPr="00071E73" w:rsidP="00071E73" w14:paraId="08A6413A" w14:textId="05D574F5">
      <w:pPr>
        <w:pBdr>
          <w:top w:val="nil"/>
          <w:left w:val="nil"/>
          <w:bottom w:val="nil"/>
          <w:right w:val="nil"/>
          <w:between w:val="nil"/>
        </w:pBdr>
        <w:jc w:val="left"/>
        <w:rPr>
          <w:b w:val="0"/>
          <w:color w:val="000000"/>
        </w:rPr>
      </w:pPr>
      <w:r w:rsidRPr="00071E73">
        <w:rPr>
          <w:b w:val="0"/>
          <w:color w:val="000000"/>
        </w:rPr>
        <w:t>The EAC may collect the information requested</w:t>
      </w:r>
      <w:r w:rsidR="008C0C48">
        <w:rPr>
          <w:b w:val="0"/>
          <w:color w:val="000000"/>
        </w:rPr>
        <w:t xml:space="preserve"> in the application forms as outlined</w:t>
      </w:r>
      <w:r w:rsidRPr="00071E73">
        <w:rPr>
          <w:b w:val="0"/>
          <w:color w:val="000000"/>
        </w:rPr>
        <w:t xml:space="preserve"> </w:t>
      </w:r>
      <w:r w:rsidR="008C0C48">
        <w:rPr>
          <w:b w:val="0"/>
          <w:color w:val="000000"/>
        </w:rPr>
        <w:t>in</w:t>
      </w:r>
      <w:r w:rsidRPr="00071E73" w:rsidR="00126465">
        <w:rPr>
          <w:b w:val="0"/>
          <w:color w:val="000000"/>
        </w:rPr>
        <w:t xml:space="preserve"> </w:t>
      </w:r>
      <w:r w:rsidRPr="00071E73" w:rsidR="00A34EE5">
        <w:rPr>
          <w:b w:val="0"/>
          <w:color w:val="000000"/>
        </w:rPr>
        <w:t xml:space="preserve">§ </w:t>
      </w:r>
      <w:r w:rsidR="008C0C48">
        <w:rPr>
          <w:b w:val="0"/>
          <w:color w:val="000000"/>
        </w:rPr>
        <w:t>75.101</w:t>
      </w:r>
      <w:r w:rsidRPr="00071E73">
        <w:rPr>
          <w:b w:val="0"/>
          <w:color w:val="000000"/>
        </w:rPr>
        <w:t>.</w:t>
      </w:r>
      <w:r w:rsidR="008C0C48">
        <w:rPr>
          <w:b w:val="0"/>
          <w:color w:val="000000"/>
        </w:rPr>
        <w:t xml:space="preserve"> </w:t>
      </w:r>
      <w:r w:rsidR="007D08CD">
        <w:rPr>
          <w:b w:val="0"/>
          <w:color w:val="000000"/>
        </w:rPr>
        <w:t xml:space="preserve">The information collected will not include </w:t>
      </w:r>
      <w:r w:rsidR="00030054">
        <w:rPr>
          <w:b w:val="0"/>
          <w:color w:val="000000"/>
        </w:rPr>
        <w:t>sensitive personally-identifying information.</w:t>
      </w:r>
      <w:r w:rsidR="007D08CD">
        <w:rPr>
          <w:b w:val="0"/>
          <w:color w:val="000000"/>
        </w:rPr>
        <w:t xml:space="preserve"> </w:t>
      </w:r>
      <w:r w:rsidRPr="00071E73">
        <w:rPr>
          <w:b w:val="0"/>
          <w:color w:val="000000"/>
        </w:rPr>
        <w:t xml:space="preserve">Providing information </w:t>
      </w:r>
      <w:r w:rsidRPr="00071E73" w:rsidR="00353ED7">
        <w:rPr>
          <w:b w:val="0"/>
          <w:color w:val="000000"/>
        </w:rPr>
        <w:t>is mandatory</w:t>
      </w:r>
      <w:r w:rsidR="00AB7A91">
        <w:rPr>
          <w:b w:val="0"/>
          <w:color w:val="000000"/>
        </w:rPr>
        <w:t xml:space="preserve"> in order to receive the program ben</w:t>
      </w:r>
      <w:r w:rsidR="00B72BD5">
        <w:rPr>
          <w:b w:val="0"/>
          <w:color w:val="000000"/>
        </w:rPr>
        <w:t>e</w:t>
      </w:r>
      <w:r w:rsidR="00AB7A91">
        <w:rPr>
          <w:b w:val="0"/>
          <w:color w:val="000000"/>
        </w:rPr>
        <w:t>fits</w:t>
      </w:r>
      <w:r w:rsidRPr="00071E73">
        <w:rPr>
          <w:b w:val="0"/>
          <w:color w:val="000000"/>
        </w:rPr>
        <w:t>.</w:t>
      </w:r>
      <w:r w:rsidR="00AB7A91">
        <w:rPr>
          <w:b w:val="0"/>
          <w:color w:val="000000"/>
        </w:rPr>
        <w:t xml:space="preserve"> </w:t>
      </w:r>
      <w:r w:rsidRPr="00071E73">
        <w:rPr>
          <w:b w:val="0"/>
          <w:color w:val="000000"/>
        </w:rPr>
        <w:t>The</w:t>
      </w:r>
      <w:r w:rsidRPr="00071E73" w:rsidR="00353ED7">
        <w:rPr>
          <w:b w:val="0"/>
          <w:color w:val="000000"/>
        </w:rPr>
        <w:t xml:space="preserve"> </w:t>
      </w:r>
      <w:r w:rsidRPr="00071E73">
        <w:rPr>
          <w:b w:val="0"/>
          <w:color w:val="000000"/>
        </w:rPr>
        <w:t xml:space="preserve">penalty associated with failing to respond </w:t>
      </w:r>
      <w:r w:rsidRPr="00071E73" w:rsidR="00353ED7">
        <w:rPr>
          <w:b w:val="0"/>
          <w:color w:val="000000"/>
        </w:rPr>
        <w:t>is n</w:t>
      </w:r>
      <w:r w:rsidR="00B72BD5">
        <w:rPr>
          <w:b w:val="0"/>
          <w:color w:val="000000"/>
        </w:rPr>
        <w:t>ot receiving program benefits</w:t>
      </w:r>
      <w:r w:rsidRPr="00071E73">
        <w:rPr>
          <w:b w:val="0"/>
          <w:color w:val="000000"/>
        </w:rPr>
        <w:t xml:space="preserve">. Public Law 93-573 (Privacy Act of 1974) requires that respondents be informed of the purpose and uses to be made of the information collected. The information collected will be used to </w:t>
      </w:r>
      <w:r w:rsidR="00B72BD5">
        <w:rPr>
          <w:b w:val="0"/>
          <w:color w:val="000000"/>
        </w:rPr>
        <w:t xml:space="preserve">evaluate program applications and make </w:t>
      </w:r>
      <w:r w:rsidR="00AD6155">
        <w:rPr>
          <w:b w:val="0"/>
          <w:color w:val="000000"/>
        </w:rPr>
        <w:t>program awards to the most appropriate applicants.</w:t>
      </w:r>
    </w:p>
    <w:p w:rsidR="004517C3" w:rsidRPr="00717E61" w14:paraId="6D21054A" w14:textId="77777777">
      <w:pPr>
        <w:jc w:val="left"/>
      </w:pPr>
      <w:r w:rsidRPr="00717E61">
        <w:t>11. Provide additional justification for any questions of a sensitive nature, such as sexual behavior and attitudes, religious beliefs, and other matters that are commonly considered private.</w:t>
      </w:r>
    </w:p>
    <w:p w:rsidR="004517C3" w14:paraId="26D4E311" w14:textId="77777777">
      <w:pPr>
        <w:pBdr>
          <w:top w:val="nil"/>
          <w:left w:val="nil"/>
          <w:bottom w:val="nil"/>
          <w:right w:val="nil"/>
          <w:between w:val="nil"/>
        </w:pBdr>
        <w:ind w:left="720" w:hanging="720"/>
        <w:jc w:val="left"/>
        <w:rPr>
          <w:b w:val="0"/>
          <w:color w:val="000000"/>
        </w:rPr>
      </w:pPr>
      <w:r>
        <w:rPr>
          <w:b w:val="0"/>
          <w:color w:val="000000"/>
        </w:rPr>
        <w:t>There are no questions of a sensitive nature.</w:t>
      </w:r>
    </w:p>
    <w:p w:rsidR="004517C3" w:rsidRPr="00717E61" w14:paraId="5017CE54" w14:textId="77777777">
      <w:pPr>
        <w:jc w:val="left"/>
      </w:pPr>
      <w:r w:rsidRPr="00717E61">
        <w:t xml:space="preserve">12. Provide estimates of the hour burden of the collection of information. The statement should indicate the number of respondents, frequency of response, annual hour burden, </w:t>
      </w:r>
      <w:r w:rsidRPr="00717E61">
        <w:t xml:space="preserve">and an explanation of how the burden was estimated. </w:t>
      </w:r>
    </w:p>
    <w:p w:rsidR="00A34EE5" w:rsidRPr="00A34EE5" w:rsidP="00A34EE5" w14:paraId="695C2FE3" w14:textId="69A56927">
      <w:pPr>
        <w:pBdr>
          <w:top w:val="nil"/>
          <w:left w:val="nil"/>
          <w:bottom w:val="nil"/>
          <w:right w:val="nil"/>
          <w:between w:val="nil"/>
        </w:pBdr>
        <w:jc w:val="both"/>
        <w:rPr>
          <w:b w:val="0"/>
          <w:bCs/>
        </w:rPr>
      </w:pPr>
      <w:r w:rsidRPr="00A34EE5">
        <w:rPr>
          <w:b w:val="0"/>
          <w:bCs/>
        </w:rPr>
        <w:t>The estimated response burden is based on</w:t>
      </w:r>
      <w:r w:rsidR="00844131">
        <w:rPr>
          <w:b w:val="0"/>
          <w:bCs/>
        </w:rPr>
        <w:t xml:space="preserve"> submission times for our previously approved progress report and on</w:t>
      </w:r>
      <w:r w:rsidRPr="00A34EE5">
        <w:rPr>
          <w:b w:val="0"/>
          <w:bCs/>
        </w:rPr>
        <w:t xml:space="preserve"> similarly-structured </w:t>
      </w:r>
      <w:r w:rsidR="005A4AD8">
        <w:rPr>
          <w:b w:val="0"/>
          <w:bCs/>
        </w:rPr>
        <w:t>application forms</w:t>
      </w:r>
      <w:r w:rsidRPr="00A34EE5">
        <w:rPr>
          <w:b w:val="0"/>
          <w:bCs/>
        </w:rPr>
        <w:t xml:space="preserve"> administered by other federal agencies.</w:t>
      </w:r>
    </w:p>
    <w:p w:rsidR="000F619C" w:rsidRPr="00FA0F05" w:rsidP="000F619C" w14:paraId="6CBC2114" w14:textId="46F2258E">
      <w:pPr>
        <w:pBdr>
          <w:top w:val="nil"/>
          <w:left w:val="nil"/>
          <w:bottom w:val="nil"/>
          <w:right w:val="nil"/>
          <w:between w:val="nil"/>
        </w:pBdr>
        <w:jc w:val="left"/>
        <w:rPr>
          <w:b w:val="0"/>
          <w:bCs/>
        </w:rPr>
      </w:pPr>
      <w:r w:rsidRPr="00A34EE5">
        <w:rPr>
          <w:b w:val="0"/>
          <w:bCs/>
        </w:rPr>
        <w:t xml:space="preserve">The table below summarizes the burden estimate for the </w:t>
      </w:r>
      <w:r w:rsidR="00EF70F0">
        <w:rPr>
          <w:b w:val="0"/>
          <w:bCs/>
        </w:rPr>
        <w:t>HAVCP application forms</w:t>
      </w:r>
      <w:r w:rsidRPr="00A34EE5">
        <w:rPr>
          <w:b w:val="0"/>
          <w:bCs/>
        </w:rPr>
        <w:t>.</w:t>
      </w:r>
    </w:p>
    <w:tbl>
      <w:tblPr>
        <w:tblW w:w="8523" w:type="dxa"/>
        <w:shd w:val="clear" w:color="auto" w:fill="F1F1F1"/>
        <w:tblCellMar>
          <w:top w:w="150" w:type="dxa"/>
          <w:left w:w="150" w:type="dxa"/>
          <w:bottom w:w="150" w:type="dxa"/>
          <w:right w:w="150" w:type="dxa"/>
        </w:tblCellMar>
        <w:tblLook w:val="04A0"/>
      </w:tblPr>
      <w:tblGrid>
        <w:gridCol w:w="1919"/>
        <w:gridCol w:w="1892"/>
        <w:gridCol w:w="1422"/>
        <w:gridCol w:w="1273"/>
        <w:gridCol w:w="1074"/>
        <w:gridCol w:w="943"/>
      </w:tblGrid>
      <w:tr w14:paraId="41B0849D" w14:textId="77777777" w:rsidTr="00496CD1">
        <w:tblPrEx>
          <w:tblW w:w="8523" w:type="dxa"/>
          <w:shd w:val="clear" w:color="auto" w:fill="F1F1F1"/>
          <w:tblCellMar>
            <w:top w:w="150" w:type="dxa"/>
            <w:left w:w="150" w:type="dxa"/>
            <w:bottom w:w="150" w:type="dxa"/>
            <w:right w:w="150" w:type="dxa"/>
          </w:tblCellMar>
          <w:tblLook w:val="04A0"/>
        </w:tblPrEx>
        <w:trPr>
          <w:tblHeader/>
        </w:trPr>
        <w:tc>
          <w:tcPr>
            <w:tcW w:w="1126" w:type="pct"/>
            <w:tcBorders>
              <w:top w:val="single" w:sz="6" w:space="0" w:color="333333"/>
              <w:left w:val="nil"/>
              <w:bottom w:val="single" w:sz="6" w:space="0" w:color="333333"/>
              <w:right w:val="single" w:sz="6" w:space="0" w:color="333333"/>
            </w:tcBorders>
          </w:tcPr>
          <w:p w:rsidR="00496CD1" w:rsidRPr="00496CD1" w:rsidP="00334009" w14:paraId="7F42192D" w14:textId="77777777">
            <w:pPr>
              <w:spacing w:after="0"/>
              <w:rPr>
                <w:b w:val="0"/>
                <w:bCs/>
              </w:rPr>
            </w:pPr>
          </w:p>
          <w:p w:rsidR="00496CD1" w:rsidRPr="00496CD1" w:rsidP="00334009" w14:paraId="25CCD3DA" w14:textId="77777777">
            <w:pPr>
              <w:spacing w:after="0"/>
              <w:rPr>
                <w:b w:val="0"/>
                <w:bCs/>
              </w:rPr>
            </w:pPr>
            <w:r w:rsidRPr="00496CD1">
              <w:rPr>
                <w:b w:val="0"/>
                <w:bCs/>
              </w:rPr>
              <w:t xml:space="preserve">EAC Grant </w:t>
            </w:r>
          </w:p>
        </w:tc>
        <w:tc>
          <w:tcPr>
            <w:tcW w:w="1110" w:type="pct"/>
            <w:tcBorders>
              <w:top w:val="single" w:sz="6" w:space="0" w:color="333333"/>
              <w:left w:val="nil"/>
              <w:bottom w:val="single" w:sz="6" w:space="0" w:color="333333"/>
              <w:right w:val="single" w:sz="6" w:space="0" w:color="333333"/>
            </w:tcBorders>
            <w:shd w:val="clear" w:color="auto" w:fill="auto"/>
            <w:tcMar>
              <w:top w:w="90" w:type="dxa"/>
              <w:left w:w="90" w:type="dxa"/>
              <w:bottom w:w="90" w:type="dxa"/>
              <w:right w:w="90" w:type="dxa"/>
            </w:tcMar>
            <w:vAlign w:val="center"/>
            <w:hideMark/>
          </w:tcPr>
          <w:p w:rsidR="00496CD1" w:rsidRPr="00496CD1" w:rsidP="00334009" w14:paraId="3DE81974" w14:textId="77777777">
            <w:pPr>
              <w:spacing w:after="0"/>
              <w:rPr>
                <w:b w:val="0"/>
                <w:bCs/>
              </w:rPr>
            </w:pPr>
            <w:r w:rsidRPr="00496CD1">
              <w:rPr>
                <w:b w:val="0"/>
                <w:bCs/>
              </w:rPr>
              <w:t>Instrument</w:t>
            </w:r>
          </w:p>
        </w:tc>
        <w:tc>
          <w:tcPr>
            <w:tcW w:w="834" w:type="pct"/>
            <w:tcBorders>
              <w:top w:val="single" w:sz="6" w:space="0" w:color="333333"/>
              <w:left w:val="nil"/>
              <w:bottom w:val="single" w:sz="6" w:space="0" w:color="333333"/>
              <w:right w:val="single" w:sz="4" w:space="0" w:color="auto"/>
            </w:tcBorders>
            <w:shd w:val="clear" w:color="auto" w:fill="auto"/>
            <w:tcMar>
              <w:top w:w="90" w:type="dxa"/>
              <w:left w:w="90" w:type="dxa"/>
              <w:bottom w:w="90" w:type="dxa"/>
              <w:right w:w="90" w:type="dxa"/>
            </w:tcMar>
            <w:vAlign w:val="center"/>
            <w:hideMark/>
          </w:tcPr>
          <w:p w:rsidR="00496CD1" w:rsidRPr="00496CD1" w:rsidP="00334009" w14:paraId="0C254705" w14:textId="77777777">
            <w:pPr>
              <w:spacing w:after="0"/>
              <w:rPr>
                <w:b w:val="0"/>
                <w:bCs/>
              </w:rPr>
            </w:pPr>
            <w:r w:rsidRPr="00496CD1">
              <w:rPr>
                <w:b w:val="0"/>
                <w:bCs/>
              </w:rPr>
              <w:t>Total number of respondents</w:t>
            </w:r>
          </w:p>
        </w:tc>
        <w:tc>
          <w:tcPr>
            <w:tcW w:w="747" w:type="pct"/>
            <w:tcBorders>
              <w:top w:val="single" w:sz="6" w:space="0" w:color="333333"/>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center"/>
            <w:hideMark/>
          </w:tcPr>
          <w:p w:rsidR="00496CD1" w:rsidRPr="00496CD1" w:rsidP="00334009" w14:paraId="0D22300F" w14:textId="77777777">
            <w:pPr>
              <w:spacing w:after="0"/>
              <w:rPr>
                <w:b w:val="0"/>
                <w:bCs/>
              </w:rPr>
            </w:pPr>
            <w:r w:rsidRPr="00496CD1">
              <w:rPr>
                <w:b w:val="0"/>
                <w:bCs/>
              </w:rPr>
              <w:t xml:space="preserve">Total number of responses per year </w:t>
            </w:r>
          </w:p>
        </w:tc>
        <w:tc>
          <w:tcPr>
            <w:tcW w:w="630" w:type="pct"/>
            <w:tcBorders>
              <w:top w:val="single" w:sz="6" w:space="0" w:color="333333"/>
              <w:left w:val="single" w:sz="4" w:space="0" w:color="auto"/>
              <w:bottom w:val="single" w:sz="6" w:space="0" w:color="333333"/>
              <w:right w:val="single" w:sz="6" w:space="0" w:color="333333"/>
            </w:tcBorders>
            <w:shd w:val="clear" w:color="auto" w:fill="auto"/>
            <w:tcMar>
              <w:top w:w="90" w:type="dxa"/>
              <w:left w:w="90" w:type="dxa"/>
              <w:bottom w:w="90" w:type="dxa"/>
              <w:right w:w="90" w:type="dxa"/>
            </w:tcMar>
            <w:vAlign w:val="center"/>
            <w:hideMark/>
          </w:tcPr>
          <w:p w:rsidR="00496CD1" w:rsidRPr="00496CD1" w:rsidP="00334009" w14:paraId="739A6D7D" w14:textId="77777777">
            <w:pPr>
              <w:spacing w:after="0"/>
              <w:rPr>
                <w:b w:val="0"/>
                <w:bCs/>
              </w:rPr>
            </w:pPr>
            <w:r w:rsidRPr="00496CD1">
              <w:rPr>
                <w:b w:val="0"/>
                <w:bCs/>
              </w:rPr>
              <w:t>Average burden hours per response</w:t>
            </w:r>
          </w:p>
        </w:tc>
        <w:tc>
          <w:tcPr>
            <w:tcW w:w="553" w:type="pct"/>
            <w:tcBorders>
              <w:top w:val="single" w:sz="6" w:space="0" w:color="333333"/>
              <w:left w:val="nil"/>
              <w:bottom w:val="single" w:sz="6" w:space="0" w:color="333333"/>
              <w:right w:val="nil"/>
            </w:tcBorders>
            <w:shd w:val="clear" w:color="auto" w:fill="auto"/>
            <w:tcMar>
              <w:top w:w="90" w:type="dxa"/>
              <w:left w:w="90" w:type="dxa"/>
              <w:bottom w:w="90" w:type="dxa"/>
              <w:right w:w="90" w:type="dxa"/>
            </w:tcMar>
            <w:vAlign w:val="center"/>
            <w:hideMark/>
          </w:tcPr>
          <w:p w:rsidR="00496CD1" w:rsidRPr="00496CD1" w:rsidP="00334009" w14:paraId="06673D8A" w14:textId="77777777">
            <w:pPr>
              <w:spacing w:after="0"/>
              <w:rPr>
                <w:b w:val="0"/>
                <w:bCs/>
              </w:rPr>
            </w:pPr>
            <w:r w:rsidRPr="00496CD1">
              <w:rPr>
                <w:b w:val="0"/>
                <w:bCs/>
              </w:rPr>
              <w:t>Annual burden hours</w:t>
            </w:r>
          </w:p>
        </w:tc>
      </w:tr>
      <w:tr w14:paraId="0D516619" w14:textId="77777777" w:rsidTr="00496CD1">
        <w:tblPrEx>
          <w:tblW w:w="8523" w:type="dxa"/>
          <w:shd w:val="clear" w:color="auto" w:fill="F1F1F1"/>
          <w:tblCellMar>
            <w:top w:w="150" w:type="dxa"/>
            <w:left w:w="150" w:type="dxa"/>
            <w:bottom w:w="150" w:type="dxa"/>
            <w:right w:w="150" w:type="dxa"/>
          </w:tblCellMar>
          <w:tblLook w:val="04A0"/>
        </w:tblPrEx>
        <w:tc>
          <w:tcPr>
            <w:tcW w:w="1126" w:type="pct"/>
            <w:tcBorders>
              <w:top w:val="single" w:sz="6" w:space="0" w:color="333333"/>
              <w:left w:val="nil"/>
              <w:bottom w:val="single" w:sz="4" w:space="0" w:color="auto"/>
              <w:right w:val="single" w:sz="4" w:space="0" w:color="auto"/>
            </w:tcBorders>
          </w:tcPr>
          <w:p w:rsidR="00496CD1" w:rsidRPr="00496CD1" w:rsidP="00334009" w14:paraId="2BDC5EB1" w14:textId="77777777">
            <w:pPr>
              <w:spacing w:after="0"/>
              <w:rPr>
                <w:b w:val="0"/>
                <w:bCs/>
              </w:rPr>
            </w:pPr>
            <w:r w:rsidRPr="00496CD1">
              <w:rPr>
                <w:b w:val="0"/>
                <w:bCs/>
              </w:rPr>
              <w:t>HAVCP Poll Worker Grant</w:t>
            </w:r>
          </w:p>
        </w:tc>
        <w:tc>
          <w:tcPr>
            <w:tcW w:w="1110" w:type="pct"/>
            <w:tcBorders>
              <w:top w:val="single" w:sz="6" w:space="0" w:color="333333"/>
              <w:left w:val="nil"/>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4029761B" w14:textId="77777777">
            <w:pPr>
              <w:spacing w:after="0"/>
              <w:rPr>
                <w:b w:val="0"/>
                <w:bCs/>
              </w:rPr>
            </w:pPr>
            <w:r w:rsidRPr="00496CD1">
              <w:rPr>
                <w:b w:val="0"/>
                <w:bCs/>
              </w:rPr>
              <w:t>Application and Guidance</w:t>
            </w:r>
          </w:p>
        </w:tc>
        <w:tc>
          <w:tcPr>
            <w:tcW w:w="834"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11A4C06E" w14:textId="77777777">
            <w:pPr>
              <w:spacing w:after="0"/>
              <w:rPr>
                <w:b w:val="0"/>
                <w:bCs/>
              </w:rPr>
            </w:pPr>
            <w:r w:rsidRPr="00496CD1">
              <w:rPr>
                <w:b w:val="0"/>
                <w:bCs/>
              </w:rPr>
              <w:t>50</w:t>
            </w:r>
          </w:p>
        </w:tc>
        <w:tc>
          <w:tcPr>
            <w:tcW w:w="747"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7876EE89" w14:textId="77777777">
            <w:pPr>
              <w:spacing w:after="0"/>
              <w:rPr>
                <w:b w:val="0"/>
                <w:bCs/>
              </w:rPr>
            </w:pPr>
            <w:r w:rsidRPr="00496CD1">
              <w:rPr>
                <w:b w:val="0"/>
                <w:bCs/>
              </w:rPr>
              <w:t>1</w:t>
            </w:r>
          </w:p>
        </w:tc>
        <w:tc>
          <w:tcPr>
            <w:tcW w:w="630"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05A9EEEA" w14:textId="77777777">
            <w:pPr>
              <w:spacing w:after="0"/>
              <w:rPr>
                <w:b w:val="0"/>
                <w:bCs/>
              </w:rPr>
            </w:pPr>
            <w:r w:rsidRPr="00496CD1">
              <w:rPr>
                <w:b w:val="0"/>
                <w:bCs/>
              </w:rPr>
              <w:t>10</w:t>
            </w:r>
          </w:p>
        </w:tc>
        <w:tc>
          <w:tcPr>
            <w:tcW w:w="553" w:type="pct"/>
            <w:tcBorders>
              <w:top w:val="single" w:sz="6" w:space="0" w:color="333333"/>
              <w:left w:val="single" w:sz="4" w:space="0" w:color="auto"/>
              <w:bottom w:val="single" w:sz="4" w:space="0" w:color="auto"/>
              <w:right w:val="nil"/>
            </w:tcBorders>
            <w:shd w:val="clear" w:color="auto" w:fill="auto"/>
            <w:tcMar>
              <w:top w:w="90" w:type="dxa"/>
              <w:left w:w="90" w:type="dxa"/>
              <w:bottom w:w="90" w:type="dxa"/>
              <w:right w:w="90" w:type="dxa"/>
            </w:tcMar>
            <w:vAlign w:val="bottom"/>
          </w:tcPr>
          <w:p w:rsidR="00496CD1" w:rsidRPr="00496CD1" w:rsidP="00334009" w14:paraId="633F4545" w14:textId="77777777">
            <w:pPr>
              <w:spacing w:after="0"/>
              <w:rPr>
                <w:b w:val="0"/>
                <w:bCs/>
              </w:rPr>
            </w:pPr>
            <w:r w:rsidRPr="00496CD1">
              <w:rPr>
                <w:b w:val="0"/>
                <w:bCs/>
              </w:rPr>
              <w:t>500</w:t>
            </w:r>
          </w:p>
        </w:tc>
      </w:tr>
      <w:tr w14:paraId="1C114314" w14:textId="77777777" w:rsidTr="00496CD1">
        <w:tblPrEx>
          <w:tblW w:w="8523" w:type="dxa"/>
          <w:shd w:val="clear" w:color="auto" w:fill="F1F1F1"/>
          <w:tblCellMar>
            <w:top w:w="150" w:type="dxa"/>
            <w:left w:w="150" w:type="dxa"/>
            <w:bottom w:w="150" w:type="dxa"/>
            <w:right w:w="150" w:type="dxa"/>
          </w:tblCellMar>
          <w:tblLook w:val="04A0"/>
        </w:tblPrEx>
        <w:tc>
          <w:tcPr>
            <w:tcW w:w="1126" w:type="pct"/>
            <w:tcBorders>
              <w:top w:val="single" w:sz="4" w:space="0" w:color="auto"/>
              <w:left w:val="nil"/>
              <w:bottom w:val="single" w:sz="4" w:space="0" w:color="auto"/>
              <w:right w:val="single" w:sz="4" w:space="0" w:color="auto"/>
            </w:tcBorders>
          </w:tcPr>
          <w:p w:rsidR="00496CD1" w:rsidRPr="00496CD1" w:rsidP="00334009" w14:paraId="06C6947E" w14:textId="77777777">
            <w:pPr>
              <w:spacing w:after="0"/>
              <w:rPr>
                <w:b w:val="0"/>
                <w:bCs/>
              </w:rPr>
            </w:pPr>
            <w:r w:rsidRPr="00496CD1">
              <w:rPr>
                <w:b w:val="0"/>
                <w:bCs/>
              </w:rPr>
              <w:t>HAVCP Poll Worker Grant</w:t>
            </w:r>
          </w:p>
        </w:tc>
        <w:tc>
          <w:tcPr>
            <w:tcW w:w="1110" w:type="pct"/>
            <w:tcBorders>
              <w:top w:val="single" w:sz="4" w:space="0" w:color="auto"/>
              <w:left w:val="nil"/>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0B3B5D39" w14:textId="77777777">
            <w:pPr>
              <w:spacing w:after="0"/>
              <w:rPr>
                <w:b w:val="0"/>
                <w:bCs/>
              </w:rPr>
            </w:pPr>
            <w:r w:rsidRPr="00496CD1">
              <w:rPr>
                <w:b w:val="0"/>
                <w:bCs/>
              </w:rPr>
              <w:t>Budget Worksheet and Instructions</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7F741710" w14:textId="77777777">
            <w:pPr>
              <w:spacing w:after="0"/>
              <w:rPr>
                <w:b w:val="0"/>
                <w:bCs/>
              </w:rPr>
            </w:pPr>
            <w:r w:rsidRPr="00496CD1">
              <w:rPr>
                <w:b w:val="0"/>
                <w:bCs/>
              </w:rPr>
              <w:t>50</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23A5CC55" w14:textId="77777777">
            <w:pPr>
              <w:spacing w:after="0"/>
              <w:rPr>
                <w:b w:val="0"/>
                <w:bCs/>
              </w:rPr>
            </w:pPr>
            <w:r w:rsidRPr="00496CD1">
              <w:rPr>
                <w:b w:val="0"/>
                <w:bCs/>
              </w:rPr>
              <w:t>1</w:t>
            </w:r>
          </w:p>
        </w:tc>
        <w:tc>
          <w:tcPr>
            <w:tcW w:w="630"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2A9C94C0" w14:textId="77777777">
            <w:pPr>
              <w:spacing w:after="0"/>
              <w:rPr>
                <w:b w:val="0"/>
                <w:bCs/>
              </w:rPr>
            </w:pPr>
            <w:r w:rsidRPr="00496CD1">
              <w:rPr>
                <w:b w:val="0"/>
                <w:bCs/>
              </w:rPr>
              <w:t>7</w:t>
            </w:r>
          </w:p>
        </w:tc>
        <w:tc>
          <w:tcPr>
            <w:tcW w:w="553" w:type="pct"/>
            <w:tcBorders>
              <w:top w:val="single" w:sz="4" w:space="0" w:color="auto"/>
              <w:left w:val="single" w:sz="4" w:space="0" w:color="auto"/>
              <w:bottom w:val="single" w:sz="4" w:space="0" w:color="auto"/>
              <w:right w:val="nil"/>
            </w:tcBorders>
            <w:shd w:val="clear" w:color="auto" w:fill="auto"/>
            <w:tcMar>
              <w:top w:w="90" w:type="dxa"/>
              <w:left w:w="90" w:type="dxa"/>
              <w:bottom w:w="90" w:type="dxa"/>
              <w:right w:w="90" w:type="dxa"/>
            </w:tcMar>
            <w:vAlign w:val="bottom"/>
          </w:tcPr>
          <w:p w:rsidR="00496CD1" w:rsidRPr="00496CD1" w:rsidP="00334009" w14:paraId="5403423F" w14:textId="77777777">
            <w:pPr>
              <w:spacing w:after="0"/>
              <w:rPr>
                <w:b w:val="0"/>
                <w:bCs/>
              </w:rPr>
            </w:pPr>
            <w:r w:rsidRPr="00496CD1">
              <w:rPr>
                <w:b w:val="0"/>
                <w:bCs/>
              </w:rPr>
              <w:t>350</w:t>
            </w:r>
          </w:p>
        </w:tc>
      </w:tr>
      <w:tr w14:paraId="1D7DC440" w14:textId="77777777" w:rsidTr="00496CD1">
        <w:tblPrEx>
          <w:tblW w:w="8523" w:type="dxa"/>
          <w:shd w:val="clear" w:color="auto" w:fill="F1F1F1"/>
          <w:tblCellMar>
            <w:top w:w="150" w:type="dxa"/>
            <w:left w:w="150" w:type="dxa"/>
            <w:bottom w:w="150" w:type="dxa"/>
            <w:right w:w="150" w:type="dxa"/>
          </w:tblCellMar>
          <w:tblLook w:val="04A0"/>
        </w:tblPrEx>
        <w:tc>
          <w:tcPr>
            <w:tcW w:w="1126" w:type="pct"/>
            <w:tcBorders>
              <w:top w:val="single" w:sz="4" w:space="0" w:color="auto"/>
              <w:left w:val="nil"/>
              <w:bottom w:val="single" w:sz="4" w:space="0" w:color="auto"/>
              <w:right w:val="single" w:sz="4" w:space="0" w:color="auto"/>
            </w:tcBorders>
          </w:tcPr>
          <w:p w:rsidR="00496CD1" w:rsidRPr="00496CD1" w:rsidP="00334009" w14:paraId="5D472816" w14:textId="77777777">
            <w:pPr>
              <w:spacing w:after="0"/>
              <w:rPr>
                <w:b w:val="0"/>
                <w:bCs/>
              </w:rPr>
            </w:pPr>
            <w:r w:rsidRPr="00496CD1">
              <w:rPr>
                <w:b w:val="0"/>
                <w:bCs/>
              </w:rPr>
              <w:t>HAVCP Poll Worker Grant</w:t>
            </w:r>
          </w:p>
        </w:tc>
        <w:tc>
          <w:tcPr>
            <w:tcW w:w="1110" w:type="pct"/>
            <w:tcBorders>
              <w:top w:val="single" w:sz="4" w:space="0" w:color="auto"/>
              <w:left w:val="nil"/>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0DD9BB52" w14:textId="77777777">
            <w:pPr>
              <w:spacing w:after="0"/>
              <w:rPr>
                <w:b w:val="0"/>
                <w:bCs/>
              </w:rPr>
            </w:pPr>
            <w:r w:rsidRPr="00496CD1">
              <w:rPr>
                <w:b w:val="0"/>
                <w:bCs/>
              </w:rPr>
              <w:t>Progress Report</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74F3FEC5" w14:textId="77777777">
            <w:pPr>
              <w:spacing w:after="0"/>
              <w:rPr>
                <w:b w:val="0"/>
                <w:bCs/>
              </w:rPr>
            </w:pPr>
            <w:r w:rsidRPr="00496CD1">
              <w:rPr>
                <w:b w:val="0"/>
                <w:bCs/>
              </w:rPr>
              <w:t>20</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4F81BE6E" w14:textId="77777777">
            <w:pPr>
              <w:spacing w:after="0"/>
              <w:rPr>
                <w:b w:val="0"/>
                <w:bCs/>
              </w:rPr>
            </w:pPr>
            <w:r w:rsidRPr="00496CD1">
              <w:rPr>
                <w:b w:val="0"/>
                <w:bCs/>
              </w:rPr>
              <w:t>2</w:t>
            </w:r>
          </w:p>
        </w:tc>
        <w:tc>
          <w:tcPr>
            <w:tcW w:w="630"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3F736D55" w14:textId="77777777">
            <w:pPr>
              <w:spacing w:after="0"/>
              <w:rPr>
                <w:b w:val="0"/>
                <w:bCs/>
              </w:rPr>
            </w:pPr>
            <w:r w:rsidRPr="00496CD1">
              <w:rPr>
                <w:b w:val="0"/>
                <w:bCs/>
              </w:rPr>
              <w:t>1</w:t>
            </w:r>
          </w:p>
        </w:tc>
        <w:tc>
          <w:tcPr>
            <w:tcW w:w="553" w:type="pct"/>
            <w:tcBorders>
              <w:top w:val="single" w:sz="4" w:space="0" w:color="auto"/>
              <w:left w:val="single" w:sz="4" w:space="0" w:color="auto"/>
              <w:bottom w:val="single" w:sz="4" w:space="0" w:color="auto"/>
              <w:right w:val="nil"/>
            </w:tcBorders>
            <w:shd w:val="clear" w:color="auto" w:fill="auto"/>
            <w:tcMar>
              <w:top w:w="90" w:type="dxa"/>
              <w:left w:w="90" w:type="dxa"/>
              <w:bottom w:w="90" w:type="dxa"/>
              <w:right w:w="90" w:type="dxa"/>
            </w:tcMar>
            <w:vAlign w:val="bottom"/>
          </w:tcPr>
          <w:p w:rsidR="00496CD1" w:rsidRPr="00496CD1" w:rsidP="00334009" w14:paraId="4A363AE2" w14:textId="77777777">
            <w:pPr>
              <w:spacing w:after="0"/>
              <w:rPr>
                <w:b w:val="0"/>
                <w:bCs/>
              </w:rPr>
            </w:pPr>
            <w:r w:rsidRPr="00496CD1">
              <w:rPr>
                <w:b w:val="0"/>
                <w:bCs/>
              </w:rPr>
              <w:t>40</w:t>
            </w:r>
          </w:p>
        </w:tc>
      </w:tr>
      <w:tr w14:paraId="579F587B" w14:textId="77777777" w:rsidTr="00496CD1">
        <w:tblPrEx>
          <w:tblW w:w="8523" w:type="dxa"/>
          <w:shd w:val="clear" w:color="auto" w:fill="F1F1F1"/>
          <w:tblCellMar>
            <w:top w:w="150" w:type="dxa"/>
            <w:left w:w="150" w:type="dxa"/>
            <w:bottom w:w="150" w:type="dxa"/>
            <w:right w:w="150" w:type="dxa"/>
          </w:tblCellMar>
          <w:tblLook w:val="04A0"/>
        </w:tblPrEx>
        <w:tc>
          <w:tcPr>
            <w:tcW w:w="1126" w:type="pct"/>
            <w:tcBorders>
              <w:top w:val="single" w:sz="4" w:space="0" w:color="auto"/>
              <w:left w:val="nil"/>
              <w:bottom w:val="single" w:sz="4" w:space="0" w:color="auto"/>
              <w:right w:val="single" w:sz="4" w:space="0" w:color="auto"/>
            </w:tcBorders>
          </w:tcPr>
          <w:p w:rsidR="00496CD1" w:rsidRPr="00496CD1" w:rsidP="00334009" w14:paraId="7CDE7E0C" w14:textId="77777777">
            <w:pPr>
              <w:spacing w:after="0"/>
              <w:rPr>
                <w:b w:val="0"/>
                <w:bCs/>
              </w:rPr>
            </w:pPr>
            <w:r w:rsidRPr="00496CD1">
              <w:rPr>
                <w:b w:val="0"/>
                <w:bCs/>
              </w:rPr>
              <w:t>HAVCP Service Day Mini-Grant</w:t>
            </w:r>
          </w:p>
        </w:tc>
        <w:tc>
          <w:tcPr>
            <w:tcW w:w="1110" w:type="pct"/>
            <w:tcBorders>
              <w:top w:val="single" w:sz="4" w:space="0" w:color="auto"/>
              <w:left w:val="nil"/>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7E969867" w14:textId="77777777">
            <w:pPr>
              <w:spacing w:after="0"/>
              <w:rPr>
                <w:b w:val="0"/>
                <w:bCs/>
              </w:rPr>
            </w:pPr>
            <w:r w:rsidRPr="00496CD1">
              <w:rPr>
                <w:b w:val="0"/>
                <w:bCs/>
              </w:rPr>
              <w:t>Application and Guidance</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7261A5F8" w14:textId="77777777">
            <w:pPr>
              <w:spacing w:after="0"/>
              <w:rPr>
                <w:b w:val="0"/>
                <w:bCs/>
              </w:rPr>
            </w:pPr>
            <w:r w:rsidRPr="00496CD1">
              <w:rPr>
                <w:b w:val="0"/>
                <w:bCs/>
              </w:rPr>
              <w:t>40</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2729135B" w14:textId="77777777">
            <w:pPr>
              <w:spacing w:after="0"/>
              <w:rPr>
                <w:b w:val="0"/>
                <w:bCs/>
              </w:rPr>
            </w:pPr>
            <w:r w:rsidRPr="00496CD1">
              <w:rPr>
                <w:b w:val="0"/>
                <w:bCs/>
              </w:rPr>
              <w:t>1</w:t>
            </w:r>
          </w:p>
        </w:tc>
        <w:tc>
          <w:tcPr>
            <w:tcW w:w="630"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6DD85210" w14:textId="77777777">
            <w:pPr>
              <w:spacing w:after="0"/>
              <w:rPr>
                <w:b w:val="0"/>
                <w:bCs/>
              </w:rPr>
            </w:pPr>
            <w:r w:rsidRPr="00496CD1">
              <w:rPr>
                <w:b w:val="0"/>
                <w:bCs/>
              </w:rPr>
              <w:t>5</w:t>
            </w:r>
          </w:p>
        </w:tc>
        <w:tc>
          <w:tcPr>
            <w:tcW w:w="553" w:type="pct"/>
            <w:tcBorders>
              <w:top w:val="single" w:sz="4" w:space="0" w:color="auto"/>
              <w:left w:val="single" w:sz="4" w:space="0" w:color="auto"/>
              <w:bottom w:val="single" w:sz="4" w:space="0" w:color="auto"/>
              <w:right w:val="nil"/>
            </w:tcBorders>
            <w:shd w:val="clear" w:color="auto" w:fill="auto"/>
            <w:tcMar>
              <w:top w:w="90" w:type="dxa"/>
              <w:left w:w="90" w:type="dxa"/>
              <w:bottom w:w="90" w:type="dxa"/>
              <w:right w:w="90" w:type="dxa"/>
            </w:tcMar>
            <w:vAlign w:val="bottom"/>
          </w:tcPr>
          <w:p w:rsidR="00496CD1" w:rsidRPr="00496CD1" w:rsidP="00334009" w14:paraId="1ED11F02" w14:textId="77777777">
            <w:pPr>
              <w:spacing w:after="0"/>
              <w:rPr>
                <w:b w:val="0"/>
                <w:bCs/>
              </w:rPr>
            </w:pPr>
            <w:r w:rsidRPr="00496CD1">
              <w:rPr>
                <w:b w:val="0"/>
                <w:bCs/>
              </w:rPr>
              <w:t>200</w:t>
            </w:r>
          </w:p>
        </w:tc>
      </w:tr>
      <w:tr w14:paraId="516ADC98" w14:textId="77777777" w:rsidTr="00496CD1">
        <w:tblPrEx>
          <w:tblW w:w="8523" w:type="dxa"/>
          <w:shd w:val="clear" w:color="auto" w:fill="F1F1F1"/>
          <w:tblCellMar>
            <w:top w:w="150" w:type="dxa"/>
            <w:left w:w="150" w:type="dxa"/>
            <w:bottom w:w="150" w:type="dxa"/>
            <w:right w:w="150" w:type="dxa"/>
          </w:tblCellMar>
          <w:tblLook w:val="04A0"/>
        </w:tblPrEx>
        <w:tc>
          <w:tcPr>
            <w:tcW w:w="1126" w:type="pct"/>
            <w:tcBorders>
              <w:top w:val="single" w:sz="4" w:space="0" w:color="auto"/>
              <w:left w:val="nil"/>
              <w:bottom w:val="single" w:sz="4" w:space="0" w:color="auto"/>
              <w:right w:val="single" w:sz="4" w:space="0" w:color="auto"/>
            </w:tcBorders>
          </w:tcPr>
          <w:p w:rsidR="00496CD1" w:rsidRPr="00496CD1" w:rsidP="00334009" w14:paraId="17124ED6" w14:textId="77777777">
            <w:pPr>
              <w:spacing w:after="0"/>
              <w:rPr>
                <w:b w:val="0"/>
                <w:bCs/>
              </w:rPr>
            </w:pPr>
            <w:r w:rsidRPr="00496CD1">
              <w:rPr>
                <w:b w:val="0"/>
                <w:bCs/>
              </w:rPr>
              <w:t>HAVCP Service Day Mini-Grant</w:t>
            </w:r>
          </w:p>
        </w:tc>
        <w:tc>
          <w:tcPr>
            <w:tcW w:w="1110" w:type="pct"/>
            <w:tcBorders>
              <w:top w:val="single" w:sz="4" w:space="0" w:color="auto"/>
              <w:left w:val="nil"/>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34672DA7" w14:textId="77777777">
            <w:pPr>
              <w:spacing w:after="0"/>
              <w:rPr>
                <w:b w:val="0"/>
                <w:bCs/>
              </w:rPr>
            </w:pPr>
            <w:r w:rsidRPr="00496CD1">
              <w:rPr>
                <w:b w:val="0"/>
                <w:bCs/>
              </w:rPr>
              <w:t>Progress Report</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754F2533" w14:textId="77777777">
            <w:pPr>
              <w:spacing w:after="0"/>
              <w:rPr>
                <w:b w:val="0"/>
                <w:bCs/>
              </w:rPr>
            </w:pPr>
            <w:r w:rsidRPr="00496CD1">
              <w:rPr>
                <w:b w:val="0"/>
                <w:bCs/>
              </w:rPr>
              <w:t>20</w:t>
            </w:r>
          </w:p>
        </w:tc>
        <w:tc>
          <w:tcPr>
            <w:tcW w:w="747"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785304F1" w14:textId="77777777">
            <w:pPr>
              <w:spacing w:after="0"/>
              <w:rPr>
                <w:b w:val="0"/>
                <w:bCs/>
              </w:rPr>
            </w:pPr>
            <w:r w:rsidRPr="00496CD1">
              <w:rPr>
                <w:b w:val="0"/>
                <w:bCs/>
              </w:rPr>
              <w:t>1</w:t>
            </w:r>
          </w:p>
        </w:tc>
        <w:tc>
          <w:tcPr>
            <w:tcW w:w="630"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496CD1" w:rsidRPr="00496CD1" w:rsidP="00334009" w14:paraId="23F195A7" w14:textId="77777777">
            <w:pPr>
              <w:spacing w:after="0"/>
              <w:rPr>
                <w:b w:val="0"/>
                <w:bCs/>
              </w:rPr>
            </w:pPr>
            <w:r w:rsidRPr="00496CD1">
              <w:rPr>
                <w:b w:val="0"/>
                <w:bCs/>
              </w:rPr>
              <w:t>1</w:t>
            </w:r>
          </w:p>
        </w:tc>
        <w:tc>
          <w:tcPr>
            <w:tcW w:w="553" w:type="pct"/>
            <w:tcBorders>
              <w:top w:val="single" w:sz="4" w:space="0" w:color="auto"/>
              <w:left w:val="single" w:sz="4" w:space="0" w:color="auto"/>
              <w:bottom w:val="single" w:sz="4" w:space="0" w:color="auto"/>
              <w:right w:val="nil"/>
            </w:tcBorders>
            <w:shd w:val="clear" w:color="auto" w:fill="auto"/>
            <w:tcMar>
              <w:top w:w="90" w:type="dxa"/>
              <w:left w:w="90" w:type="dxa"/>
              <w:bottom w:w="90" w:type="dxa"/>
              <w:right w:w="90" w:type="dxa"/>
            </w:tcMar>
            <w:vAlign w:val="bottom"/>
          </w:tcPr>
          <w:p w:rsidR="00496CD1" w:rsidRPr="00496CD1" w:rsidP="00334009" w14:paraId="0606E424" w14:textId="77777777">
            <w:pPr>
              <w:spacing w:after="0"/>
              <w:rPr>
                <w:b w:val="0"/>
                <w:bCs/>
              </w:rPr>
            </w:pPr>
            <w:r w:rsidRPr="00496CD1">
              <w:rPr>
                <w:b w:val="0"/>
                <w:bCs/>
              </w:rPr>
              <w:t>20</w:t>
            </w:r>
          </w:p>
        </w:tc>
      </w:tr>
      <w:tr w14:paraId="17AA8670" w14:textId="77777777" w:rsidTr="00496CD1">
        <w:tblPrEx>
          <w:tblW w:w="8523" w:type="dxa"/>
          <w:shd w:val="clear" w:color="auto" w:fill="F1F1F1"/>
          <w:tblCellMar>
            <w:top w:w="150" w:type="dxa"/>
            <w:left w:w="150" w:type="dxa"/>
            <w:bottom w:w="150" w:type="dxa"/>
            <w:right w:w="150" w:type="dxa"/>
          </w:tblCellMar>
          <w:tblLook w:val="04A0"/>
        </w:tblPrEx>
        <w:tc>
          <w:tcPr>
            <w:tcW w:w="1126" w:type="pct"/>
            <w:tcBorders>
              <w:top w:val="single" w:sz="4" w:space="0" w:color="auto"/>
              <w:left w:val="nil"/>
              <w:bottom w:val="single" w:sz="6" w:space="0" w:color="333333"/>
              <w:right w:val="single" w:sz="4" w:space="0" w:color="auto"/>
            </w:tcBorders>
          </w:tcPr>
          <w:p w:rsidR="00496CD1" w:rsidRPr="00496CD1" w:rsidP="00334009" w14:paraId="0B9D90CF" w14:textId="77777777">
            <w:pPr>
              <w:spacing w:after="0"/>
              <w:rPr>
                <w:b w:val="0"/>
                <w:bCs/>
              </w:rPr>
            </w:pPr>
            <w:r w:rsidRPr="00496CD1">
              <w:rPr>
                <w:b w:val="0"/>
                <w:bCs/>
              </w:rPr>
              <w:t>TOTAL</w:t>
            </w:r>
          </w:p>
        </w:tc>
        <w:tc>
          <w:tcPr>
            <w:tcW w:w="1110" w:type="pct"/>
            <w:tcBorders>
              <w:top w:val="single" w:sz="4" w:space="0" w:color="auto"/>
              <w:left w:val="nil"/>
              <w:bottom w:val="single" w:sz="6" w:space="0" w:color="333333"/>
              <w:right w:val="single" w:sz="4" w:space="0" w:color="auto"/>
            </w:tcBorders>
            <w:shd w:val="clear" w:color="auto" w:fill="auto"/>
            <w:tcMar>
              <w:top w:w="90" w:type="dxa"/>
              <w:left w:w="90" w:type="dxa"/>
              <w:bottom w:w="90" w:type="dxa"/>
              <w:right w:w="90" w:type="dxa"/>
            </w:tcMar>
            <w:vAlign w:val="bottom"/>
          </w:tcPr>
          <w:p w:rsidR="00496CD1" w:rsidRPr="00496CD1" w:rsidP="00334009" w14:paraId="36C903A8" w14:textId="77777777">
            <w:pPr>
              <w:spacing w:after="0"/>
              <w:rPr>
                <w:b w:val="0"/>
                <w:bCs/>
              </w:rPr>
            </w:pPr>
          </w:p>
        </w:tc>
        <w:tc>
          <w:tcPr>
            <w:tcW w:w="834"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496CD1" w:rsidRPr="00496CD1" w:rsidP="00334009" w14:paraId="589E0F2F" w14:textId="77777777">
            <w:pPr>
              <w:spacing w:after="0"/>
              <w:rPr>
                <w:b w:val="0"/>
                <w:bCs/>
              </w:rPr>
            </w:pPr>
          </w:p>
        </w:tc>
        <w:tc>
          <w:tcPr>
            <w:tcW w:w="747"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496CD1" w:rsidRPr="00496CD1" w:rsidP="00334009" w14:paraId="42B95F08" w14:textId="77777777">
            <w:pPr>
              <w:spacing w:after="0"/>
              <w:rPr>
                <w:b w:val="0"/>
                <w:bCs/>
              </w:rPr>
            </w:pPr>
          </w:p>
        </w:tc>
        <w:tc>
          <w:tcPr>
            <w:tcW w:w="630"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496CD1" w:rsidRPr="00496CD1" w:rsidP="00334009" w14:paraId="5C7F9164" w14:textId="77777777">
            <w:pPr>
              <w:spacing w:after="0"/>
              <w:rPr>
                <w:b w:val="0"/>
                <w:bCs/>
              </w:rPr>
            </w:pPr>
          </w:p>
        </w:tc>
        <w:tc>
          <w:tcPr>
            <w:tcW w:w="553" w:type="pct"/>
            <w:tcBorders>
              <w:top w:val="single" w:sz="4" w:space="0" w:color="auto"/>
              <w:left w:val="single" w:sz="4" w:space="0" w:color="auto"/>
              <w:bottom w:val="single" w:sz="6" w:space="0" w:color="333333"/>
              <w:right w:val="nil"/>
            </w:tcBorders>
            <w:shd w:val="clear" w:color="auto" w:fill="auto"/>
            <w:tcMar>
              <w:top w:w="90" w:type="dxa"/>
              <w:left w:w="90" w:type="dxa"/>
              <w:bottom w:w="90" w:type="dxa"/>
              <w:right w:w="90" w:type="dxa"/>
            </w:tcMar>
            <w:vAlign w:val="bottom"/>
          </w:tcPr>
          <w:p w:rsidR="00496CD1" w:rsidRPr="00496CD1" w:rsidP="00334009" w14:paraId="24F9A137" w14:textId="77777777">
            <w:pPr>
              <w:spacing w:after="0"/>
              <w:rPr>
                <w:b w:val="0"/>
                <w:bCs/>
              </w:rPr>
            </w:pPr>
            <w:r w:rsidRPr="00496CD1">
              <w:rPr>
                <w:b w:val="0"/>
                <w:bCs/>
              </w:rPr>
              <w:t>1,110</w:t>
            </w:r>
          </w:p>
        </w:tc>
      </w:tr>
    </w:tbl>
    <w:p w:rsidR="005F4AFB" w:rsidRPr="005F4AFB" w:rsidP="005F4AFB" w14:paraId="35AC3E58" w14:textId="77777777">
      <w:pPr>
        <w:tabs>
          <w:tab w:val="left" w:pos="540"/>
        </w:tabs>
        <w:jc w:val="left"/>
        <w:rPr>
          <w:b w:val="0"/>
        </w:rPr>
      </w:pPr>
      <w:r w:rsidRPr="005F4AFB">
        <w:rPr>
          <w:b w:val="0"/>
        </w:rPr>
        <w:t>The estimated cost of the annualized cost of this burden is: $26,762.10, which is calculated by taking the annualized burden (1,110 hours) and multiplying by an hourly rate of $24.11 (GS-8/Step 5 hourly basic rate).</w:t>
      </w:r>
    </w:p>
    <w:p w:rsidR="004517C3" w:rsidRPr="00717E61" w14:paraId="5CF8CE13" w14:textId="1B3FDB8A">
      <w:pPr>
        <w:jc w:val="left"/>
      </w:pPr>
      <w:r w:rsidRPr="00717E61">
        <w:t>13. Provide an estimate for the total annual cost burden to respondents or recordkeepers resulting from the collection of information.</w:t>
      </w:r>
    </w:p>
    <w:p w:rsidR="004517C3" w14:paraId="5006A969" w14:textId="77777777">
      <w:pPr>
        <w:pBdr>
          <w:top w:val="nil"/>
          <w:left w:val="nil"/>
          <w:bottom w:val="nil"/>
          <w:right w:val="nil"/>
          <w:between w:val="nil"/>
        </w:pBdr>
        <w:ind w:left="720" w:hanging="720"/>
        <w:jc w:val="left"/>
        <w:rPr>
          <w:b w:val="0"/>
          <w:color w:val="000000"/>
        </w:rPr>
      </w:pPr>
      <w:r>
        <w:rPr>
          <w:b w:val="0"/>
          <w:color w:val="000000"/>
        </w:rPr>
        <w:t>There are no capital or start-up costs associated with this information collection.</w:t>
      </w:r>
    </w:p>
    <w:p w:rsidR="004517C3" w:rsidRPr="00FA0F05" w:rsidP="00717E61" w14:paraId="2A9DFA50" w14:textId="77777777">
      <w:pPr>
        <w:keepNext/>
        <w:widowControl/>
        <w:jc w:val="left"/>
      </w:pPr>
      <w:r w:rsidRPr="00FA0F05">
        <w:t>14. Provide estimates of annualized cost to the Federal government.</w:t>
      </w:r>
    </w:p>
    <w:p w:rsidR="004517C3" w:rsidRPr="00727758" w14:paraId="09988863" w14:textId="423B0334">
      <w:pPr>
        <w:pBdr>
          <w:top w:val="nil"/>
          <w:left w:val="nil"/>
          <w:bottom w:val="nil"/>
          <w:right w:val="nil"/>
          <w:between w:val="nil"/>
        </w:pBdr>
        <w:ind w:left="720" w:hanging="720"/>
        <w:jc w:val="both"/>
        <w:rPr>
          <w:b w:val="0"/>
        </w:rPr>
      </w:pPr>
      <w:r w:rsidRPr="00FA0F05">
        <w:rPr>
          <w:b w:val="0"/>
        </w:rPr>
        <w:t xml:space="preserve">The estimated annual cost to the Federal Government is </w:t>
      </w:r>
      <w:r w:rsidRPr="005F4AFB" w:rsidR="005F4AFB">
        <w:rPr>
          <w:b w:val="0"/>
        </w:rPr>
        <w:t>$26,762.10</w:t>
      </w:r>
      <w:r w:rsidRPr="00FA0F05">
        <w:rPr>
          <w:b w:val="0"/>
        </w:rPr>
        <w:t>.</w:t>
      </w:r>
    </w:p>
    <w:p w:rsidR="004517C3" w:rsidRPr="00717E61" w14:paraId="275D30B3" w14:textId="77777777">
      <w:pPr>
        <w:tabs>
          <w:tab w:val="left" w:pos="540"/>
        </w:tabs>
        <w:jc w:val="left"/>
      </w:pPr>
      <w:r w:rsidRPr="009663F0">
        <w:t>15. Explain the reasons for any program changes or adjustments reported in Items 13 (or 14) of OMB Form 83-I.</w:t>
      </w:r>
    </w:p>
    <w:p w:rsidR="00476D87" w14:paraId="2DF13221" w14:textId="7B6757BD">
      <w:pPr>
        <w:jc w:val="left"/>
        <w:rPr>
          <w:b w:val="0"/>
          <w:color w:val="000000"/>
        </w:rPr>
      </w:pPr>
      <w:bookmarkStart w:id="3" w:name="_Hlk88229876"/>
      <w:r>
        <w:rPr>
          <w:b w:val="0"/>
          <w:color w:val="000000"/>
        </w:rPr>
        <w:t>As this is a new information collection process, all submissions will represent an increase in burden.</w:t>
      </w:r>
    </w:p>
    <w:bookmarkEnd w:id="3"/>
    <w:p w:rsidR="004517C3" w:rsidRPr="00717E61" w14:paraId="5D9E0624" w14:textId="4BF916EC">
      <w:pPr>
        <w:jc w:val="left"/>
      </w:pPr>
      <w:r w:rsidRPr="00717E61">
        <w:t>16. For collections whose results will be published, outline the plans for tabulation and publication.</w:t>
      </w:r>
    </w:p>
    <w:p w:rsidR="00A34EE5" w14:paraId="2D661F4D" w14:textId="274BAE73">
      <w:pPr>
        <w:tabs>
          <w:tab w:val="left" w:pos="540"/>
        </w:tabs>
        <w:jc w:val="left"/>
        <w:rPr>
          <w:b w:val="0"/>
        </w:rPr>
      </w:pPr>
      <w:r>
        <w:rPr>
          <w:b w:val="0"/>
        </w:rPr>
        <w:t xml:space="preserve">The EAC will not </w:t>
      </w:r>
      <w:r w:rsidR="004213AB">
        <w:rPr>
          <w:b w:val="0"/>
        </w:rPr>
        <w:t>tabulate the data included in the applications forms</w:t>
      </w:r>
      <w:r w:rsidR="005D12A8">
        <w:rPr>
          <w:b w:val="0"/>
        </w:rPr>
        <w:t>.</w:t>
      </w:r>
      <w:r w:rsidR="00A83374">
        <w:rPr>
          <w:b w:val="0"/>
        </w:rPr>
        <w:t xml:space="preserve"> Non-sensitive information included in applications that receive awards may be posted on the EAC website</w:t>
      </w:r>
      <w:r w:rsidR="0077011C">
        <w:rPr>
          <w:b w:val="0"/>
        </w:rPr>
        <w:t xml:space="preserve"> to promote/publicize the HAVCP and its achievements.</w:t>
      </w:r>
    </w:p>
    <w:p w:rsidR="004517C3" w:rsidRPr="00717E61" w14:paraId="4FCC73C5" w14:textId="4953C2D4">
      <w:pPr>
        <w:tabs>
          <w:tab w:val="left" w:pos="540"/>
        </w:tabs>
        <w:jc w:val="left"/>
      </w:pPr>
      <w:r w:rsidRPr="00717E61">
        <w:t>17. If seeking approval to not display the expiration date for OMB approval of the information collection, explain the reasons why display would be inappropriate.</w:t>
      </w:r>
    </w:p>
    <w:p w:rsidR="004517C3" w14:paraId="718228BA" w14:textId="77777777">
      <w:pPr>
        <w:pBdr>
          <w:top w:val="nil"/>
          <w:left w:val="nil"/>
          <w:bottom w:val="nil"/>
          <w:right w:val="nil"/>
          <w:between w:val="nil"/>
        </w:pBdr>
        <w:ind w:left="720" w:hanging="720"/>
        <w:jc w:val="left"/>
        <w:rPr>
          <w:b w:val="0"/>
          <w:color w:val="000000"/>
        </w:rPr>
      </w:pPr>
      <w:r>
        <w:rPr>
          <w:b w:val="0"/>
          <w:color w:val="000000"/>
        </w:rPr>
        <w:t>Not applicable to this collection.</w:t>
      </w:r>
    </w:p>
    <w:p w:rsidR="004517C3" w:rsidRPr="00717E61" w14:paraId="29615172" w14:textId="77777777">
      <w:pPr>
        <w:jc w:val="left"/>
      </w:pPr>
      <w:r w:rsidRPr="00717E61">
        <w:t>18. Explain each exception to the certification statement identified in Item 19 of OMB Form 83-I.</w:t>
      </w:r>
    </w:p>
    <w:p w:rsidR="004517C3" w:rsidP="51AAB7D1" w14:paraId="29B1D1CA" w14:textId="655CAE19">
      <w:pPr>
        <w:spacing w:after="200" w:line="276" w:lineRule="auto"/>
        <w:ind w:left="720" w:hanging="720"/>
        <w:jc w:val="left"/>
        <w:rPr>
          <w:b w:val="0"/>
          <w:color w:val="000000" w:themeColor="text1"/>
        </w:rPr>
      </w:pPr>
      <w:r w:rsidRPr="51AAB7D1">
        <w:rPr>
          <w:b w:val="0"/>
          <w:color w:val="000000" w:themeColor="text1"/>
        </w:rPr>
        <w:t>The EAC does not request an exception to the certification of this information collection.</w:t>
      </w:r>
    </w:p>
    <w:sectPr>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7C3" w14:paraId="5A7B891D" w14:textId="0636FE01">
    <w:r>
      <w:fldChar w:fldCharType="begin"/>
    </w:r>
    <w:r>
      <w:instrText>PAGE</w:instrText>
    </w:r>
    <w:r>
      <w:fldChar w:fldCharType="separate"/>
    </w:r>
    <w:r w:rsidR="003010E2">
      <w:rPr>
        <w:noProof/>
      </w:rP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F6" w14:paraId="3E13F5C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4" o:spid="_x0000_s2049" type="#_x0000_t136" style="width:118pt;height:40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24903f"/>
          <v:textpath style="font-family:'Times New Roma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7C3" w:rsidP="001C3554" w14:paraId="337ED442" w14:textId="77777777">
    <w:pPr>
      <w:spacing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5" o:spid="_x0000_s2050" type="#_x0000_t136" style="width:118pt;height:40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24903f"/>
          <v:textpath style="font-family:'Times New Roman'" string="DRAFT"/>
          <w10:wrap anchorx="margin" anchory="margin"/>
        </v:shape>
      </w:pict>
    </w:r>
    <w:r w:rsidR="00C47718">
      <w:t>Supporting Statement A:</w:t>
    </w:r>
  </w:p>
  <w:p w:rsidR="004517C3" w:rsidP="001C3554" w14:paraId="0BC9AC50" w14:textId="77777777">
    <w:pPr>
      <w:spacing w:after="0"/>
    </w:pPr>
    <w:r>
      <w:t>U.S. Election Assistance Commission</w:t>
    </w:r>
  </w:p>
  <w:p w:rsidR="004517C3" w:rsidP="001C3554" w14:paraId="52E437ED" w14:textId="2B140480">
    <w:pPr>
      <w:spacing w:after="0"/>
    </w:pPr>
    <w:bookmarkStart w:id="4" w:name="_heading=h.gjdgxs" w:colFirst="0" w:colLast="0"/>
    <w:bookmarkEnd w:id="4"/>
    <w:r>
      <w:t>Help America Vote College Program</w:t>
    </w:r>
    <w:r w:rsidR="008816F5">
      <w:t xml:space="preserve"> (</w:t>
    </w:r>
    <w:r>
      <w:t>HAVCP</w:t>
    </w:r>
    <w:r w:rsidR="008816F5">
      <w:t>)</w:t>
    </w:r>
    <w:r>
      <w:t xml:space="preserve"> Application</w:t>
    </w:r>
    <w:r w:rsidR="00A25888">
      <w:t>s</w:t>
    </w:r>
  </w:p>
  <w:p w:rsidR="004517C3" w:rsidRPr="00717E61" w14:paraId="18426826" w14:textId="26F690D4">
    <w:pPr>
      <w:rPr>
        <w:b w:val="0"/>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F6" w14:paraId="77D2428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3" o:spid="_x0000_s2051" type="#_x0000_t136" style="width:118pt;height:40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24903f"/>
          <v:textpath style="font-family:'Times New Roman'"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60331C"/>
    <w:multiLevelType w:val="hybridMultilevel"/>
    <w:tmpl w:val="F77CDD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64A359F"/>
    <w:multiLevelType w:val="hybridMultilevel"/>
    <w:tmpl w:val="21E23D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0690097">
    <w:abstractNumId w:val="1"/>
  </w:num>
  <w:num w:numId="2" w16cid:durableId="122576376">
    <w:abstractNumId w:val="2"/>
  </w:num>
  <w:num w:numId="3" w16cid:durableId="2103328939">
    <w:abstractNumId w:val="0"/>
  </w:num>
  <w:num w:numId="4" w16cid:durableId="196164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3"/>
    <w:rsid w:val="00002EC3"/>
    <w:rsid w:val="000126FF"/>
    <w:rsid w:val="0001567F"/>
    <w:rsid w:val="0001580F"/>
    <w:rsid w:val="0001630C"/>
    <w:rsid w:val="00016AF2"/>
    <w:rsid w:val="00017293"/>
    <w:rsid w:val="0002732F"/>
    <w:rsid w:val="00030054"/>
    <w:rsid w:val="00033FF7"/>
    <w:rsid w:val="000568CB"/>
    <w:rsid w:val="00057118"/>
    <w:rsid w:val="00071E73"/>
    <w:rsid w:val="000A51C4"/>
    <w:rsid w:val="000A6404"/>
    <w:rsid w:val="000C05ED"/>
    <w:rsid w:val="000D76BD"/>
    <w:rsid w:val="000F619C"/>
    <w:rsid w:val="00107C61"/>
    <w:rsid w:val="00126465"/>
    <w:rsid w:val="0013108D"/>
    <w:rsid w:val="00151518"/>
    <w:rsid w:val="001538AE"/>
    <w:rsid w:val="00157D9D"/>
    <w:rsid w:val="00173ABE"/>
    <w:rsid w:val="00187D82"/>
    <w:rsid w:val="00196B7C"/>
    <w:rsid w:val="001B0E41"/>
    <w:rsid w:val="001C0AD1"/>
    <w:rsid w:val="001C31A2"/>
    <w:rsid w:val="001C3554"/>
    <w:rsid w:val="001C7086"/>
    <w:rsid w:val="001F0142"/>
    <w:rsid w:val="001F48D0"/>
    <w:rsid w:val="00207C18"/>
    <w:rsid w:val="00212A84"/>
    <w:rsid w:val="0023253E"/>
    <w:rsid w:val="00233E8A"/>
    <w:rsid w:val="00235A12"/>
    <w:rsid w:val="00241843"/>
    <w:rsid w:val="0027129B"/>
    <w:rsid w:val="00276375"/>
    <w:rsid w:val="002D0BEC"/>
    <w:rsid w:val="003010E2"/>
    <w:rsid w:val="00305430"/>
    <w:rsid w:val="00310B25"/>
    <w:rsid w:val="00313280"/>
    <w:rsid w:val="00326238"/>
    <w:rsid w:val="00331E30"/>
    <w:rsid w:val="00334009"/>
    <w:rsid w:val="003363E6"/>
    <w:rsid w:val="00353D2A"/>
    <w:rsid w:val="00353DD2"/>
    <w:rsid w:val="00353ED7"/>
    <w:rsid w:val="00356D8D"/>
    <w:rsid w:val="00386258"/>
    <w:rsid w:val="003867A1"/>
    <w:rsid w:val="003930D9"/>
    <w:rsid w:val="003C0DE1"/>
    <w:rsid w:val="003C2944"/>
    <w:rsid w:val="003C48A0"/>
    <w:rsid w:val="003C4FAD"/>
    <w:rsid w:val="003D68AA"/>
    <w:rsid w:val="003F15F2"/>
    <w:rsid w:val="003F2729"/>
    <w:rsid w:val="004014FC"/>
    <w:rsid w:val="00402B4A"/>
    <w:rsid w:val="004171BB"/>
    <w:rsid w:val="004213AB"/>
    <w:rsid w:val="00427058"/>
    <w:rsid w:val="004517C3"/>
    <w:rsid w:val="00452908"/>
    <w:rsid w:val="004563DC"/>
    <w:rsid w:val="00456496"/>
    <w:rsid w:val="00476D87"/>
    <w:rsid w:val="0048546E"/>
    <w:rsid w:val="00491E1F"/>
    <w:rsid w:val="00496CD1"/>
    <w:rsid w:val="004A4489"/>
    <w:rsid w:val="004C4546"/>
    <w:rsid w:val="004D0370"/>
    <w:rsid w:val="004D581B"/>
    <w:rsid w:val="004F2653"/>
    <w:rsid w:val="004F7358"/>
    <w:rsid w:val="004F7F38"/>
    <w:rsid w:val="00540A89"/>
    <w:rsid w:val="00565E03"/>
    <w:rsid w:val="00566202"/>
    <w:rsid w:val="00567E04"/>
    <w:rsid w:val="005A4AD8"/>
    <w:rsid w:val="005A5D78"/>
    <w:rsid w:val="005B481E"/>
    <w:rsid w:val="005B6917"/>
    <w:rsid w:val="005D12A8"/>
    <w:rsid w:val="005F457A"/>
    <w:rsid w:val="005F4AFB"/>
    <w:rsid w:val="00602109"/>
    <w:rsid w:val="00622707"/>
    <w:rsid w:val="006408DB"/>
    <w:rsid w:val="00645E61"/>
    <w:rsid w:val="00674F75"/>
    <w:rsid w:val="0068144D"/>
    <w:rsid w:val="006827E7"/>
    <w:rsid w:val="006A761D"/>
    <w:rsid w:val="006B28AC"/>
    <w:rsid w:val="006D07C7"/>
    <w:rsid w:val="00717E61"/>
    <w:rsid w:val="007211D6"/>
    <w:rsid w:val="00727758"/>
    <w:rsid w:val="0075559C"/>
    <w:rsid w:val="007559CB"/>
    <w:rsid w:val="00757F76"/>
    <w:rsid w:val="0076021C"/>
    <w:rsid w:val="00766AFC"/>
    <w:rsid w:val="0077011C"/>
    <w:rsid w:val="00771CCF"/>
    <w:rsid w:val="00796818"/>
    <w:rsid w:val="007A2F21"/>
    <w:rsid w:val="007D08CD"/>
    <w:rsid w:val="007E03E0"/>
    <w:rsid w:val="00800F04"/>
    <w:rsid w:val="0080321E"/>
    <w:rsid w:val="0080680B"/>
    <w:rsid w:val="0081555C"/>
    <w:rsid w:val="00842C04"/>
    <w:rsid w:val="00844131"/>
    <w:rsid w:val="00852ABC"/>
    <w:rsid w:val="0087496A"/>
    <w:rsid w:val="008816F5"/>
    <w:rsid w:val="00885E25"/>
    <w:rsid w:val="00895488"/>
    <w:rsid w:val="008A78E2"/>
    <w:rsid w:val="008B040F"/>
    <w:rsid w:val="008C0C48"/>
    <w:rsid w:val="008E0C93"/>
    <w:rsid w:val="00924FBD"/>
    <w:rsid w:val="00925F82"/>
    <w:rsid w:val="009372D3"/>
    <w:rsid w:val="00946778"/>
    <w:rsid w:val="0095446C"/>
    <w:rsid w:val="0096118C"/>
    <w:rsid w:val="009663F0"/>
    <w:rsid w:val="009808F6"/>
    <w:rsid w:val="00996B04"/>
    <w:rsid w:val="009A5D90"/>
    <w:rsid w:val="009C249A"/>
    <w:rsid w:val="009D5A18"/>
    <w:rsid w:val="009F681C"/>
    <w:rsid w:val="00A04B31"/>
    <w:rsid w:val="00A15704"/>
    <w:rsid w:val="00A25888"/>
    <w:rsid w:val="00A26766"/>
    <w:rsid w:val="00A34EE5"/>
    <w:rsid w:val="00A556A7"/>
    <w:rsid w:val="00A65BAF"/>
    <w:rsid w:val="00A75631"/>
    <w:rsid w:val="00A81ADC"/>
    <w:rsid w:val="00A8325D"/>
    <w:rsid w:val="00A83374"/>
    <w:rsid w:val="00AB5AC0"/>
    <w:rsid w:val="00AB7A91"/>
    <w:rsid w:val="00AC68B4"/>
    <w:rsid w:val="00AC7EBD"/>
    <w:rsid w:val="00AD6155"/>
    <w:rsid w:val="00AF5AFB"/>
    <w:rsid w:val="00B010DC"/>
    <w:rsid w:val="00B234DC"/>
    <w:rsid w:val="00B341D2"/>
    <w:rsid w:val="00B458F6"/>
    <w:rsid w:val="00B54B4D"/>
    <w:rsid w:val="00B650AC"/>
    <w:rsid w:val="00B72BD5"/>
    <w:rsid w:val="00B73A9B"/>
    <w:rsid w:val="00B7691F"/>
    <w:rsid w:val="00BA16CD"/>
    <w:rsid w:val="00BB19F6"/>
    <w:rsid w:val="00BB5374"/>
    <w:rsid w:val="00BC7839"/>
    <w:rsid w:val="00BD047A"/>
    <w:rsid w:val="00BD0DFF"/>
    <w:rsid w:val="00BD2EF0"/>
    <w:rsid w:val="00BD699E"/>
    <w:rsid w:val="00C11106"/>
    <w:rsid w:val="00C218DE"/>
    <w:rsid w:val="00C328E7"/>
    <w:rsid w:val="00C47718"/>
    <w:rsid w:val="00C72FDE"/>
    <w:rsid w:val="00C77900"/>
    <w:rsid w:val="00CB3438"/>
    <w:rsid w:val="00CB448C"/>
    <w:rsid w:val="00CC677F"/>
    <w:rsid w:val="00CF06C3"/>
    <w:rsid w:val="00D10B0B"/>
    <w:rsid w:val="00D14317"/>
    <w:rsid w:val="00D1624A"/>
    <w:rsid w:val="00D20553"/>
    <w:rsid w:val="00D33EAA"/>
    <w:rsid w:val="00D37890"/>
    <w:rsid w:val="00D52DF6"/>
    <w:rsid w:val="00D616EA"/>
    <w:rsid w:val="00D9081B"/>
    <w:rsid w:val="00D90EDD"/>
    <w:rsid w:val="00D912BB"/>
    <w:rsid w:val="00DA3434"/>
    <w:rsid w:val="00DB45F7"/>
    <w:rsid w:val="00DD42BA"/>
    <w:rsid w:val="00DE7CE7"/>
    <w:rsid w:val="00DF665D"/>
    <w:rsid w:val="00E076A7"/>
    <w:rsid w:val="00E37819"/>
    <w:rsid w:val="00E52871"/>
    <w:rsid w:val="00E63F34"/>
    <w:rsid w:val="00E76577"/>
    <w:rsid w:val="00E87CC2"/>
    <w:rsid w:val="00E87F7C"/>
    <w:rsid w:val="00E91C06"/>
    <w:rsid w:val="00EC0ED3"/>
    <w:rsid w:val="00EE1776"/>
    <w:rsid w:val="00EF70F0"/>
    <w:rsid w:val="00F344D5"/>
    <w:rsid w:val="00F43B84"/>
    <w:rsid w:val="00F444F4"/>
    <w:rsid w:val="00F54CA4"/>
    <w:rsid w:val="00F60734"/>
    <w:rsid w:val="00F64B87"/>
    <w:rsid w:val="00FA0F05"/>
    <w:rsid w:val="00FC6652"/>
    <w:rsid w:val="00FC74A4"/>
    <w:rsid w:val="00FF311D"/>
    <w:rsid w:val="0E64399B"/>
    <w:rsid w:val="16B3137F"/>
    <w:rsid w:val="5108D086"/>
    <w:rsid w:val="51AAB7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hAnsi="Times" w:eastAsiaTheme="minorEastAsia"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1">
    <w:name w:val="Unresolved Mention1"/>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p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val="0"/>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 w:type="paragraph" w:styleId="BodyText">
    <w:name w:val="Body Text"/>
    <w:basedOn w:val="Normal"/>
    <w:link w:val="BodyTextChar"/>
    <w:uiPriority w:val="99"/>
    <w:semiHidden/>
    <w:unhideWhenUsed/>
    <w:rsid w:val="00E87CC2"/>
    <w:pPr>
      <w:spacing w:after="120"/>
    </w:pPr>
  </w:style>
  <w:style w:type="character" w:customStyle="1" w:styleId="BodyTextChar">
    <w:name w:val="Body Text Char"/>
    <w:basedOn w:val="DefaultParagraphFont"/>
    <w:link w:val="BodyText"/>
    <w:uiPriority w:val="99"/>
    <w:semiHidden/>
    <w:rsid w:val="00E87CC2"/>
  </w:style>
  <w:style w:type="paragraph" w:styleId="ListParagraph">
    <w:name w:val="List Paragraph"/>
    <w:basedOn w:val="Normal"/>
    <w:uiPriority w:val="34"/>
    <w:qFormat/>
    <w:rsid w:val="001F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9f5082-77cf-4a28-9b2b-2ea0dc1b8272">
      <Terms xmlns="http://schemas.microsoft.com/office/infopath/2007/PartnerControls"/>
    </lcf76f155ced4ddcb4097134ff3c332f>
    <TaxCatchAll xmlns="8ef56319-4c08-41a8-ad9b-f24ce69da577" xsi:nil="true"/>
    <Complete xmlns="cf9f5082-77cf-4a28-9b2b-2ea0dc1b8272">No</Complet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Props1.xml><?xml version="1.0" encoding="utf-8"?>
<ds:datastoreItem xmlns:ds="http://schemas.openxmlformats.org/officeDocument/2006/customXml" ds:itemID="{9AF75022-C517-44E1-9E05-750C861CF172}">
  <ds:schemaRefs>
    <ds:schemaRef ds:uri="http://schemas.openxmlformats.org/officeDocument/2006/bibliography"/>
  </ds:schemaRefs>
</ds:datastoreItem>
</file>

<file path=customXml/itemProps2.xml><?xml version="1.0" encoding="utf-8"?>
<ds:datastoreItem xmlns:ds="http://schemas.openxmlformats.org/officeDocument/2006/customXml" ds:itemID="{6242ABA7-DD78-496E-B4D7-1C1557694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21DEA-7B94-4E41-80C8-FD5BC97B0E64}">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4.xml><?xml version="1.0" encoding="utf-8"?>
<ds:datastoreItem xmlns:ds="http://schemas.openxmlformats.org/officeDocument/2006/customXml" ds:itemID="{E3F26592-1AAA-44A5-A1C8-133667D4425A}">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ShellyAnderson</dc:creator>
  <cp:lastModifiedBy>Sammi Cordova</cp:lastModifiedBy>
  <cp:revision>62</cp:revision>
  <dcterms:created xsi:type="dcterms:W3CDTF">2023-10-20T13:24:00Z</dcterms:created>
  <dcterms:modified xsi:type="dcterms:W3CDTF">2023-10-20T15:29:00Z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2011-12-14T00:00:00Z</vt:filetime>
  </property>
  <property fmtid="{D5CDD505-2E9C-101B-9397-08002B2CF9AE}" pid="4" name="LastSaved">
    <vt:filetime>2013-04-25T00:00:00Z</vt:filetime>
  </property>
  <property fmtid="{D5CDD505-2E9C-101B-9397-08002B2CF9AE}" pid="5" name="MediaServiceImageTags">
    <vt:lpwstr/>
  </property>
  <property fmtid="{D5CDD505-2E9C-101B-9397-08002B2CF9AE}" pid="6" name="Order">
    <vt:r8>4331600</vt:r8>
  </property>
</Properties>
</file>