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0FCC" w:rsidRPr="00E00FCC" w:rsidP="00472AD0" w14:paraId="34FA099F" w14:textId="5659BBDF">
      <w:pPr>
        <w:rPr>
          <w:b/>
        </w:rPr>
      </w:pPr>
      <w:r w:rsidRPr="00E05405">
        <w:rPr>
          <w:b/>
        </w:rPr>
        <w:t>Secure Telephone Identity Governance Authority Token Revocation Review Process</w:t>
      </w:r>
      <w:r w:rsidRPr="002815AD" w:rsidR="002815AD">
        <w:rPr>
          <w:b/>
        </w:rPr>
        <w:t xml:space="preserve"> </w:t>
      </w:r>
    </w:p>
    <w:p w:rsidR="00E00FCC" w:rsidRPr="0064290E" w:rsidP="00E00FCC" w14:paraId="774FE4F6" w14:textId="77777777">
      <w:pPr>
        <w:rPr>
          <w:bCs/>
        </w:rPr>
      </w:pPr>
    </w:p>
    <w:p w:rsidR="00D641D3" w:rsidP="003E4B34" w14:paraId="4F0FA727" w14:textId="77777777">
      <w:pPr>
        <w:jc w:val="center"/>
        <w:rPr>
          <w:b/>
        </w:rPr>
      </w:pPr>
      <w:r>
        <w:rPr>
          <w:b/>
        </w:rPr>
        <w:t>SUPPORTING STATEMENT</w:t>
      </w:r>
    </w:p>
    <w:p w:rsidR="003E4B34" w:rsidP="00F116FA" w14:paraId="268C71B0" w14:textId="77777777">
      <w:pPr>
        <w:rPr>
          <w:b/>
        </w:rPr>
      </w:pPr>
    </w:p>
    <w:p w:rsidR="00F116FA" w:rsidP="00F116FA" w14:paraId="74F243B4" w14:textId="0ACAB0AB">
      <w:pPr>
        <w:rPr>
          <w:bCs/>
        </w:rPr>
      </w:pPr>
      <w:r w:rsidRPr="00E00FCC">
        <w:rPr>
          <w:bCs/>
        </w:rPr>
        <w:t xml:space="preserve">This </w:t>
      </w:r>
      <w:r w:rsidR="004B49FA">
        <w:rPr>
          <w:bCs/>
        </w:rPr>
        <w:t xml:space="preserve">existing </w:t>
      </w:r>
      <w:r w:rsidRPr="00E00FCC">
        <w:rPr>
          <w:bCs/>
        </w:rPr>
        <w:t xml:space="preserve">information collection is being submitted to obtain approval from the Office of Management and Budget (OMB) for </w:t>
      </w:r>
      <w:r w:rsidR="0082365D">
        <w:rPr>
          <w:bCs/>
        </w:rPr>
        <w:t>an extension of currently approved</w:t>
      </w:r>
      <w:r w:rsidR="00BE3863">
        <w:rPr>
          <w:bCs/>
        </w:rPr>
        <w:t xml:space="preserve"> </w:t>
      </w:r>
      <w:r w:rsidRPr="00E00FCC">
        <w:rPr>
          <w:bCs/>
        </w:rPr>
        <w:t>information collection requirements, as explained below</w:t>
      </w:r>
      <w:r w:rsidR="00047116">
        <w:rPr>
          <w:bCs/>
        </w:rPr>
        <w:t>.</w:t>
      </w:r>
    </w:p>
    <w:p w:rsidR="00C27529" w:rsidRPr="00C27529" w:rsidP="00F116FA" w14:paraId="0D1C3745" w14:textId="77777777">
      <w:pPr>
        <w:rPr>
          <w:bCs/>
        </w:rPr>
      </w:pPr>
    </w:p>
    <w:p w:rsidR="00E00FCC" w:rsidP="00E00FCC" w14:paraId="0E8114AE" w14:textId="77777777">
      <w:pPr>
        <w:pStyle w:val="ListParagraph"/>
        <w:numPr>
          <w:ilvl w:val="0"/>
          <w:numId w:val="3"/>
        </w:numPr>
        <w:ind w:left="360"/>
        <w:rPr>
          <w:b/>
          <w:u w:val="single"/>
        </w:rPr>
      </w:pPr>
      <w:r>
        <w:rPr>
          <w:b/>
          <w:u w:val="single"/>
        </w:rPr>
        <w:t>Justification</w:t>
      </w:r>
    </w:p>
    <w:p w:rsidR="00E00FCC" w:rsidP="00E00FCC" w14:paraId="09031D0C" w14:textId="77777777">
      <w:pPr>
        <w:ind w:firstLine="720"/>
        <w:rPr>
          <w:i/>
        </w:rPr>
      </w:pPr>
    </w:p>
    <w:p w:rsidR="00E00FCC" w:rsidP="00E00FCC" w14:paraId="577E13EC" w14:textId="52DFF60C">
      <w:pPr>
        <w:pStyle w:val="ListParagraph"/>
        <w:numPr>
          <w:ilvl w:val="0"/>
          <w:numId w:val="4"/>
        </w:numPr>
      </w:pPr>
      <w:r>
        <w:rPr>
          <w:i/>
        </w:rPr>
        <w:t>Circumstances that make the collection necessary</w:t>
      </w:r>
      <w:r>
        <w:t xml:space="preserve">.  On December 30, 2019, Congress enacted the </w:t>
      </w:r>
      <w:r w:rsidRPr="00F116FA">
        <w:rPr>
          <w:bCs/>
        </w:rPr>
        <w:t>Pallone-Thune Telephone Robocall Abuse Criminal Enforcement and Deterrence (TRACED) Act</w:t>
      </w:r>
      <w:r>
        <w:t xml:space="preserve">. </w:t>
      </w:r>
      <w:r w:rsidR="00047116">
        <w:t xml:space="preserve"> T</w:t>
      </w:r>
      <w:r>
        <w:t>he TRACED Act direct</w:t>
      </w:r>
      <w:r w:rsidR="000C3023">
        <w:t>ed</w:t>
      </w:r>
      <w:r>
        <w:t xml:space="preserve"> the Commission to require, no later than 18 months from enactment, all service providers to implement </w:t>
      </w:r>
      <w:r w:rsidR="000C3023">
        <w:t xml:space="preserve">the </w:t>
      </w:r>
      <w:r>
        <w:t>STIR/SHAKEN</w:t>
      </w:r>
      <w:r w:rsidR="00A27B16">
        <w:t xml:space="preserve"> caller ID authentication framework</w:t>
      </w:r>
      <w:r>
        <w:t xml:space="preserve"> in the </w:t>
      </w:r>
      <w:r w:rsidR="00A27B16">
        <w:t xml:space="preserve">Internet protocol (IP) </w:t>
      </w:r>
      <w:r>
        <w:t xml:space="preserve">portions of their networks and implement an effective caller ID authentication framework in the non-IP portions of their networks.  </w:t>
      </w:r>
      <w:r w:rsidR="00EB1F0A">
        <w:t>To implement the TRACED Act’s provisions related to call</w:t>
      </w:r>
      <w:r w:rsidR="00764437">
        <w:t>er ID</w:t>
      </w:r>
      <w:r w:rsidR="00EB1F0A">
        <w:t xml:space="preserve"> authentication, the Commission adopted a Report and Order and Further Notice of Proposed Rulemaking </w:t>
      </w:r>
      <w:r w:rsidR="000E3A66">
        <w:t>on</w:t>
      </w:r>
      <w:r w:rsidR="00EB1F0A">
        <w:t xml:space="preserve"> March</w:t>
      </w:r>
      <w:r w:rsidR="000E3A66">
        <w:t xml:space="preserve"> 30,</w:t>
      </w:r>
      <w:r w:rsidR="00EB1F0A">
        <w:t xml:space="preserve"> 2020, </w:t>
      </w:r>
      <w:r w:rsidR="00FB1071">
        <w:t xml:space="preserve">which </w:t>
      </w:r>
      <w:r w:rsidRPr="00FB1071" w:rsidR="00FB1071">
        <w:t>required service providers to implement the STIR/SHAKEN call</w:t>
      </w:r>
      <w:r w:rsidR="00764437">
        <w:t>er ID</w:t>
      </w:r>
      <w:r w:rsidRPr="00FB1071" w:rsidR="00FB1071">
        <w:t xml:space="preserve"> authentication technology in the IP portions of their phone networks by June 30, 2021</w:t>
      </w:r>
      <w:r w:rsidR="00FB1071">
        <w:t>.</w:t>
      </w:r>
      <w:r w:rsidR="00EB1F0A">
        <w:t xml:space="preserve">  See </w:t>
      </w:r>
      <w:r w:rsidRPr="00EB1F0A" w:rsidR="00EB1F0A">
        <w:rPr>
          <w:i/>
          <w:iCs/>
        </w:rPr>
        <w:t>Call Authentication Trust Anchor, Implementation of TRACED Act Section 6(a)—Knowledge of Customers by Entities with Access to Numbering Resources</w:t>
      </w:r>
      <w:r w:rsidRPr="00EB1F0A" w:rsidR="00EB1F0A">
        <w:t xml:space="preserve">, WC Docket Nos. 17-97 and 20-67, Report and Order and Further Notice of Proposed Rulemaking, 35 FCC </w:t>
      </w:r>
      <w:r w:rsidRPr="00EB1F0A" w:rsidR="00EB1F0A">
        <w:t>Rcd</w:t>
      </w:r>
      <w:r w:rsidRPr="00EB1F0A" w:rsidR="00EB1F0A">
        <w:t xml:space="preserve"> 3241</w:t>
      </w:r>
      <w:r w:rsidR="00EB1F0A">
        <w:t xml:space="preserve"> </w:t>
      </w:r>
      <w:r w:rsidRPr="00EB1F0A" w:rsidR="00EB1F0A">
        <w:t>(2020)</w:t>
      </w:r>
      <w:r w:rsidR="00FB1071">
        <w:t>.  The Commission then adopted a Second Report and Order on September 29, 2020 to further implement the remaining portions of the TRACED Act related to call</w:t>
      </w:r>
      <w:r w:rsidR="00764437">
        <w:t>er ID</w:t>
      </w:r>
      <w:r w:rsidR="00FB1071">
        <w:t xml:space="preserve"> authentication and STIR/SHAKEN.  See </w:t>
      </w:r>
      <w:r w:rsidRPr="00EB1F0A" w:rsidR="00EB1F0A">
        <w:rPr>
          <w:i/>
          <w:iCs/>
        </w:rPr>
        <w:t>Call Authentication Trust Anchor</w:t>
      </w:r>
      <w:r w:rsidRPr="00EB1F0A" w:rsidR="00EB1F0A">
        <w:t>, WC Docket No. 17-97, Second Report and Order, FCC 20-136 (adopted Sept. 29, 2020).</w:t>
      </w:r>
    </w:p>
    <w:p w:rsidR="00E00FCC" w:rsidP="00E00FCC" w14:paraId="1ACF3847" w14:textId="77777777">
      <w:pPr>
        <w:pStyle w:val="ListParagraph"/>
        <w:ind w:left="360"/>
        <w:rPr>
          <w:iCs/>
        </w:rPr>
      </w:pPr>
    </w:p>
    <w:p w:rsidR="0054305C" w:rsidP="00FB1071" w14:paraId="4C4AA7DA" w14:textId="045E0E67">
      <w:pPr>
        <w:ind w:left="360"/>
      </w:pPr>
      <w:r>
        <w:t xml:space="preserve">On </w:t>
      </w:r>
      <w:r w:rsidR="00854A36">
        <w:t xml:space="preserve">August </w:t>
      </w:r>
      <w:r w:rsidR="00B75DE3">
        <w:t>5</w:t>
      </w:r>
      <w:r w:rsidR="00854A36">
        <w:t>, 2021</w:t>
      </w:r>
      <w:r w:rsidRPr="00550967">
        <w:t>,</w:t>
      </w:r>
      <w:r>
        <w:t xml:space="preserve"> the Commission adopted a </w:t>
      </w:r>
      <w:r w:rsidR="00854A36">
        <w:t>Third Report and Order</w:t>
      </w:r>
      <w:r w:rsidRPr="00A27B16">
        <w:t xml:space="preserve">, </w:t>
      </w:r>
      <w:r>
        <w:t>which</w:t>
      </w:r>
      <w:r w:rsidR="00304541">
        <w:t xml:space="preserve"> esta</w:t>
      </w:r>
      <w:r w:rsidR="00EC2068">
        <w:t>blished</w:t>
      </w:r>
      <w:r w:rsidRPr="001F6586">
        <w:t xml:space="preserve"> a limited role for the Commission to oversee certificate revocation decisions by the private STIR/SHAKEN </w:t>
      </w:r>
      <w:r>
        <w:t>governance system</w:t>
      </w:r>
      <w:r w:rsidRPr="001F6586">
        <w:t xml:space="preserve"> that would have the effect of placing providers in noncompliance with</w:t>
      </w:r>
      <w:r w:rsidR="00320CDD">
        <w:t xml:space="preserve"> the Commission’s</w:t>
      </w:r>
      <w:r w:rsidRPr="001F6586">
        <w:t xml:space="preserve"> rules</w:t>
      </w:r>
      <w:r>
        <w:t>.</w:t>
      </w:r>
      <w:r w:rsidR="00902690">
        <w:t xml:space="preserve">  Within the STIR/SHAKEN framework, service providers shar</w:t>
      </w:r>
      <w:r w:rsidR="00764437">
        <w:t>e</w:t>
      </w:r>
      <w:r w:rsidR="00902690">
        <w:t xml:space="preserve"> a digital certificate along with each call as a means of maintaining trust and accountability.  The STIR/SHAKEN governance system can revoke a service provider’s access to these digital certificates due to that service provider’s </w:t>
      </w:r>
      <w:r w:rsidR="00A27B16">
        <w:t>violation</w:t>
      </w:r>
      <w:r w:rsidR="00902690">
        <w:t xml:space="preserve"> </w:t>
      </w:r>
      <w:r w:rsidR="00FB1071">
        <w:t>of</w:t>
      </w:r>
      <w:r w:rsidR="00902690">
        <w:t xml:space="preserve"> a specified list of rules and policies.  Because this revocation</w:t>
      </w:r>
      <w:r w:rsidR="003055AB">
        <w:t xml:space="preserve"> would place </w:t>
      </w:r>
      <w:r w:rsidR="00764437">
        <w:t>an a</w:t>
      </w:r>
      <w:r w:rsidR="003055AB">
        <w:t xml:space="preserve">ffected service provider </w:t>
      </w:r>
      <w:r w:rsidR="00A27B16">
        <w:t>in</w:t>
      </w:r>
      <w:r w:rsidR="003055AB">
        <w:t xml:space="preserve"> noncompliance with </w:t>
      </w:r>
      <w:r w:rsidR="006B03B5">
        <w:t xml:space="preserve">the Commission’s </w:t>
      </w:r>
      <w:r w:rsidR="003055AB">
        <w:t xml:space="preserve">rules, the </w:t>
      </w:r>
      <w:r w:rsidR="00854A36">
        <w:t>Third Report and Order</w:t>
      </w:r>
      <w:r w:rsidR="00713F0B">
        <w:t xml:space="preserve"> </w:t>
      </w:r>
      <w:r w:rsidRPr="003055AB" w:rsidR="003055AB">
        <w:t>establish</w:t>
      </w:r>
      <w:r w:rsidR="00854A36">
        <w:t>ed</w:t>
      </w:r>
      <w:r w:rsidRPr="003055AB" w:rsidR="003055AB">
        <w:t xml:space="preserve"> an oversight role for the Commission over the </w:t>
      </w:r>
      <w:r w:rsidR="003055AB">
        <w:t>governance system’s</w:t>
      </w:r>
      <w:r w:rsidRPr="003055AB" w:rsidR="003055AB">
        <w:t xml:space="preserve"> token revocation decisions similar to the one</w:t>
      </w:r>
      <w:r w:rsidR="003055AB">
        <w:t xml:space="preserve"> the Commission</w:t>
      </w:r>
      <w:r w:rsidRPr="003055AB" w:rsidR="003055AB">
        <w:t xml:space="preserve"> hold</w:t>
      </w:r>
      <w:r w:rsidR="003055AB">
        <w:t>s</w:t>
      </w:r>
      <w:r w:rsidRPr="003055AB" w:rsidR="003055AB">
        <w:t xml:space="preserve"> in the context of decisions by the Universal Service Administrative Company</w:t>
      </w:r>
      <w:r w:rsidR="003055AB">
        <w:t xml:space="preserve">.  The </w:t>
      </w:r>
      <w:r w:rsidRPr="003055AB" w:rsidR="003055AB">
        <w:t xml:space="preserve">rules </w:t>
      </w:r>
      <w:r w:rsidR="00ED2911">
        <w:t>allow for</w:t>
      </w:r>
      <w:r w:rsidRPr="003055AB" w:rsidR="003055AB">
        <w:t xml:space="preserve"> review by the Wireline Competition Bureau</w:t>
      </w:r>
      <w:r w:rsidR="00DB6849">
        <w:t xml:space="preserve"> in the first instance</w:t>
      </w:r>
      <w:r w:rsidR="003055AB">
        <w:t>.</w:t>
      </w:r>
    </w:p>
    <w:p w:rsidR="000E3A66" w:rsidP="002409CE" w14:paraId="6716422A" w14:textId="77777777"/>
    <w:p w:rsidR="002409CE" w:rsidP="002409CE" w14:paraId="5BF53BA5" w14:textId="6FEAAEA6">
      <w:pPr>
        <w:outlineLvl w:val="0"/>
        <w:rPr>
          <w:b/>
          <w:i/>
        </w:rPr>
      </w:pPr>
      <w:r>
        <w:rPr>
          <w:b/>
          <w:i/>
          <w:u w:val="single"/>
        </w:rPr>
        <w:t>Existing</w:t>
      </w:r>
      <w:r w:rsidRPr="001F3F49" w:rsidR="00CB5651">
        <w:rPr>
          <w:b/>
          <w:i/>
          <w:u w:val="single"/>
        </w:rPr>
        <w:t xml:space="preserve"> Information Collection R</w:t>
      </w:r>
      <w:r w:rsidRPr="001F3F49">
        <w:rPr>
          <w:b/>
          <w:i/>
          <w:u w:val="single"/>
        </w:rPr>
        <w:t>equirements</w:t>
      </w:r>
      <w:r w:rsidR="00CB5651">
        <w:rPr>
          <w:b/>
          <w:i/>
        </w:rPr>
        <w:t>:</w:t>
      </w:r>
      <w:r>
        <w:rPr>
          <w:b/>
          <w:i/>
        </w:rPr>
        <w:t xml:space="preserve"> </w:t>
      </w:r>
    </w:p>
    <w:p w:rsidR="002409CE" w:rsidP="002409CE" w14:paraId="69FE027A" w14:textId="77777777"/>
    <w:p w:rsidR="003055AB" w:rsidP="00C27529" w14:paraId="693C8C4A" w14:textId="7E1C29F4">
      <w:pPr>
        <w:ind w:left="360"/>
      </w:pPr>
      <w:r>
        <w:t xml:space="preserve">Under the rules </w:t>
      </w:r>
      <w:r w:rsidR="00613E2F">
        <w:t xml:space="preserve">adopted in </w:t>
      </w:r>
      <w:r>
        <w:t xml:space="preserve">the </w:t>
      </w:r>
      <w:r w:rsidR="001A7F64">
        <w:t>Third Report and Order</w:t>
      </w:r>
      <w:r>
        <w:t>, a</w:t>
      </w:r>
      <w:r w:rsidRPr="003055AB">
        <w:t xml:space="preserve"> request for</w:t>
      </w:r>
      <w:r>
        <w:t xml:space="preserve"> Commission</w:t>
      </w:r>
      <w:r w:rsidRPr="003055AB">
        <w:t xml:space="preserve"> review from a service provider, at a minimum, </w:t>
      </w:r>
      <w:r w:rsidR="006B03B5">
        <w:t xml:space="preserve">must </w:t>
      </w:r>
      <w:r w:rsidRPr="003055AB">
        <w:t>contain:  (1) a statement setting forth the service provider’s asserted basis for appealing the governance system’s revocation decision; (2) a full statement of relevant, material facts with supporting affidavits and documentation, including any background information the service provider deems useful to the Commission’s review; and (3) the question presented for review, with reference, where appropriate, to any underlying Commission rule or STIR/SHAKEN governance system policy.</w:t>
      </w:r>
    </w:p>
    <w:p w:rsidR="003055AB" w:rsidP="00C27529" w14:paraId="4B32266B" w14:textId="77777777">
      <w:pPr>
        <w:ind w:left="360"/>
      </w:pPr>
    </w:p>
    <w:p w:rsidR="00C27529" w:rsidRPr="00E141FE" w:rsidP="00E141FE" w14:paraId="749615CC" w14:textId="19826D61">
      <w:pPr>
        <w:ind w:left="360"/>
        <w:rPr>
          <w:color w:val="000000"/>
        </w:rPr>
      </w:pPr>
      <w:r>
        <w:rPr>
          <w:color w:val="000000"/>
        </w:rPr>
        <w:t xml:space="preserve">The Commission </w:t>
      </w:r>
      <w:r w:rsidR="00733273">
        <w:rPr>
          <w:color w:val="000000"/>
        </w:rPr>
        <w:t>asserted</w:t>
      </w:r>
      <w:r>
        <w:rPr>
          <w:color w:val="000000"/>
        </w:rPr>
        <w:t xml:space="preserve"> s</w:t>
      </w:r>
      <w:r>
        <w:rPr>
          <w:color w:val="000000"/>
        </w:rPr>
        <w:t>tatutory authority for this information collection</w:t>
      </w:r>
      <w:r>
        <w:rPr>
          <w:color w:val="000000"/>
        </w:rPr>
        <w:t xml:space="preserve"> </w:t>
      </w:r>
      <w:r w:rsidR="00E141FE">
        <w:rPr>
          <w:color w:val="000000"/>
        </w:rPr>
        <w:t xml:space="preserve">under </w:t>
      </w:r>
      <w:r w:rsidRPr="00E141FE" w:rsidR="00E141FE">
        <w:rPr>
          <w:color w:val="000000"/>
        </w:rPr>
        <w:t xml:space="preserve">47 U.S.C. §§ 227b, 251(e), </w:t>
      </w:r>
      <w:r w:rsidR="00E141FE">
        <w:rPr>
          <w:color w:val="000000"/>
        </w:rPr>
        <w:t>or</w:t>
      </w:r>
      <w:r w:rsidRPr="00E141FE" w:rsidR="00E141FE">
        <w:rPr>
          <w:color w:val="000000"/>
        </w:rPr>
        <w:t xml:space="preserve"> 227(e) of the Communications Act of 1934</w:t>
      </w:r>
      <w:r w:rsidR="00E141FE">
        <w:rPr>
          <w:color w:val="000000"/>
        </w:rPr>
        <w:t>.</w:t>
      </w:r>
    </w:p>
    <w:p w:rsidR="00C27529" w:rsidP="00C27529" w14:paraId="3CCF25C0" w14:textId="77777777">
      <w:pPr>
        <w:ind w:left="720"/>
      </w:pPr>
    </w:p>
    <w:p w:rsidR="00C27529" w:rsidP="00C27529" w14:paraId="71E80D4A" w14:textId="77777777">
      <w:pPr>
        <w:ind w:left="360"/>
      </w:pPr>
      <w:r>
        <w:t xml:space="preserve">This information collection does not affect individuals or households; thus; there is no impact under the Privacy Act. </w:t>
      </w:r>
    </w:p>
    <w:p w:rsidR="00376E16" w:rsidP="00C27529" w14:paraId="6E52C837" w14:textId="77777777">
      <w:pPr>
        <w:ind w:left="360"/>
      </w:pPr>
    </w:p>
    <w:p w:rsidR="00C27529" w:rsidP="00C27529" w14:paraId="78D7DB64" w14:textId="5E9E30CC">
      <w:pPr>
        <w:pStyle w:val="ListParagraph"/>
        <w:numPr>
          <w:ilvl w:val="1"/>
          <w:numId w:val="3"/>
        </w:numPr>
        <w:ind w:left="720"/>
      </w:pPr>
      <w:r>
        <w:rPr>
          <w:i/>
        </w:rPr>
        <w:t>Use of information</w:t>
      </w:r>
      <w:r>
        <w:t xml:space="preserve">.  The Commission will use the information to </w:t>
      </w:r>
      <w:r w:rsidR="00E141FE">
        <w:t>provide targeted oversight to the</w:t>
      </w:r>
      <w:r w:rsidR="00A27B16">
        <w:t xml:space="preserve"> private</w:t>
      </w:r>
      <w:r w:rsidR="00E141FE">
        <w:t xml:space="preserve"> STIR/SHAKEN governance system.</w:t>
      </w:r>
    </w:p>
    <w:p w:rsidR="00376E16" w:rsidP="00376E16" w14:paraId="0C087D73" w14:textId="77777777">
      <w:pPr>
        <w:pStyle w:val="ListParagraph"/>
      </w:pPr>
    </w:p>
    <w:p w:rsidR="00376E16" w:rsidP="00376E16" w14:paraId="3CC14A78" w14:textId="1654C502">
      <w:pPr>
        <w:pStyle w:val="ListParagraph"/>
        <w:numPr>
          <w:ilvl w:val="1"/>
          <w:numId w:val="3"/>
        </w:numPr>
        <w:ind w:left="720"/>
      </w:pPr>
      <w:r>
        <w:rPr>
          <w:bCs/>
          <w:i/>
        </w:rPr>
        <w:t>Technology collection techniques</w:t>
      </w:r>
      <w:r>
        <w:rPr>
          <w:bCs/>
        </w:rPr>
        <w:t xml:space="preserve">.  </w:t>
      </w:r>
      <w:r w:rsidR="00D96F25">
        <w:rPr>
          <w:bCs/>
        </w:rPr>
        <w:t xml:space="preserve">All submissions will me made electronically </w:t>
      </w:r>
      <w:r>
        <w:rPr>
          <w:bCs/>
        </w:rPr>
        <w:t>in the Commission’s Electronic Comment Filing System (ECFS).</w:t>
      </w:r>
      <w:r w:rsidR="00CD4333">
        <w:rPr>
          <w:bCs/>
        </w:rPr>
        <w:t xml:space="preserve"> </w:t>
      </w:r>
      <w:r w:rsidR="00CD2454">
        <w:rPr>
          <w:bCs/>
        </w:rPr>
        <w:t xml:space="preserve"> </w:t>
      </w:r>
      <w:r>
        <w:rPr>
          <w:bCs/>
        </w:rPr>
        <w:t xml:space="preserve"> </w:t>
      </w:r>
    </w:p>
    <w:p w:rsidR="00376E16" w:rsidP="00376E16" w14:paraId="5E529F14" w14:textId="77777777">
      <w:pPr>
        <w:pStyle w:val="ListParagraph"/>
      </w:pPr>
    </w:p>
    <w:p w:rsidR="00376E16" w:rsidP="00376E16" w14:paraId="22ADB907" w14:textId="5BCB82F1">
      <w:pPr>
        <w:pStyle w:val="ListParagraph"/>
        <w:numPr>
          <w:ilvl w:val="1"/>
          <w:numId w:val="3"/>
        </w:numPr>
        <w:ind w:left="720"/>
      </w:pPr>
      <w:r>
        <w:rPr>
          <w:bCs/>
          <w:i/>
        </w:rPr>
        <w:t>Efforts to identify duplication</w:t>
      </w:r>
      <w:r>
        <w:rPr>
          <w:bCs/>
        </w:rPr>
        <w:t xml:space="preserve">. </w:t>
      </w:r>
      <w:r w:rsidR="00D96F25">
        <w:rPr>
          <w:bCs/>
        </w:rPr>
        <w:t>T</w:t>
      </w:r>
      <w:r>
        <w:rPr>
          <w:bCs/>
        </w:rPr>
        <w:t>he information to be collected is unique to each</w:t>
      </w:r>
      <w:r w:rsidR="00D96F25">
        <w:rPr>
          <w:bCs/>
        </w:rPr>
        <w:t xml:space="preserve"> revocation decision</w:t>
      </w:r>
      <w:r>
        <w:rPr>
          <w:bCs/>
        </w:rPr>
        <w:t>, and there are no similar collection requirements.</w:t>
      </w:r>
    </w:p>
    <w:p w:rsidR="00376E16" w:rsidP="00376E16" w14:paraId="7DA0178F" w14:textId="77777777">
      <w:pPr>
        <w:pStyle w:val="ListParagraph"/>
      </w:pPr>
    </w:p>
    <w:p w:rsidR="00376E16" w:rsidP="00376E16" w14:paraId="01B4B6E0" w14:textId="0CB86599">
      <w:pPr>
        <w:pStyle w:val="ListParagraph"/>
        <w:numPr>
          <w:ilvl w:val="1"/>
          <w:numId w:val="3"/>
        </w:numPr>
        <w:ind w:left="720"/>
      </w:pPr>
      <w:r>
        <w:rPr>
          <w:bCs/>
          <w:i/>
        </w:rPr>
        <w:t>Impact on small entities</w:t>
      </w:r>
      <w:r>
        <w:rPr>
          <w:bCs/>
        </w:rPr>
        <w:t xml:space="preserve">.  The Commission </w:t>
      </w:r>
      <w:r w:rsidR="008250A3">
        <w:rPr>
          <w:bCs/>
        </w:rPr>
        <w:t>worked to</w:t>
      </w:r>
      <w:r>
        <w:rPr>
          <w:bCs/>
        </w:rPr>
        <w:t xml:space="preserve"> minimize the amount of information each certification will require</w:t>
      </w:r>
      <w:r w:rsidR="00FB1071">
        <w:rPr>
          <w:bCs/>
        </w:rPr>
        <w:t xml:space="preserve">, requesting only the information necessary for the Commission to effectively review a revocation decision. </w:t>
      </w:r>
      <w:r>
        <w:rPr>
          <w:bCs/>
        </w:rPr>
        <w:t xml:space="preserve"> </w:t>
      </w:r>
    </w:p>
    <w:p w:rsidR="00376E16" w:rsidP="00376E16" w14:paraId="0CD84E79" w14:textId="77777777">
      <w:pPr>
        <w:pStyle w:val="ListParagraph"/>
      </w:pPr>
    </w:p>
    <w:p w:rsidR="00376E16" w:rsidP="00376E16" w14:paraId="61473A0B" w14:textId="3BAADFE8">
      <w:pPr>
        <w:pStyle w:val="ListParagraph"/>
        <w:numPr>
          <w:ilvl w:val="1"/>
          <w:numId w:val="3"/>
        </w:numPr>
        <w:ind w:left="720"/>
      </w:pPr>
      <w:r>
        <w:rPr>
          <w:bCs/>
          <w:i/>
        </w:rPr>
        <w:t>Consequences if information is not collected</w:t>
      </w:r>
      <w:r>
        <w:rPr>
          <w:bCs/>
        </w:rPr>
        <w:t xml:space="preserve">.  </w:t>
      </w:r>
      <w:r w:rsidR="007B1888">
        <w:rPr>
          <w:bCs/>
        </w:rPr>
        <w:t>If this information is not collected, the Commission will be unable</w:t>
      </w:r>
      <w:r w:rsidR="00D96F25">
        <w:rPr>
          <w:bCs/>
        </w:rPr>
        <w:t xml:space="preserve"> </w:t>
      </w:r>
      <w:r w:rsidR="00E34FF3">
        <w:rPr>
          <w:bCs/>
        </w:rPr>
        <w:t xml:space="preserve">to </w:t>
      </w:r>
      <w:r w:rsidR="00D96F25">
        <w:rPr>
          <w:bCs/>
        </w:rPr>
        <w:t>provide a full and complete review of a decision by a private entity that would have the effect of placing a service provider in noncompliance with</w:t>
      </w:r>
      <w:r w:rsidR="00320CDD">
        <w:rPr>
          <w:bCs/>
        </w:rPr>
        <w:t xml:space="preserve"> the Commission’s</w:t>
      </w:r>
      <w:r w:rsidR="00D96F25">
        <w:rPr>
          <w:bCs/>
        </w:rPr>
        <w:t xml:space="preserve"> </w:t>
      </w:r>
      <w:r w:rsidR="00A27B16">
        <w:rPr>
          <w:bCs/>
        </w:rPr>
        <w:t>call</w:t>
      </w:r>
      <w:r w:rsidR="00764437">
        <w:rPr>
          <w:bCs/>
        </w:rPr>
        <w:t>er ID</w:t>
      </w:r>
      <w:r w:rsidR="00A27B16">
        <w:rPr>
          <w:bCs/>
        </w:rPr>
        <w:t xml:space="preserve"> authentication </w:t>
      </w:r>
      <w:r w:rsidR="00D96F25">
        <w:rPr>
          <w:bCs/>
        </w:rPr>
        <w:t xml:space="preserve">rules. </w:t>
      </w:r>
    </w:p>
    <w:p w:rsidR="00376E16" w:rsidP="00376E16" w14:paraId="048AB0C6" w14:textId="77777777">
      <w:pPr>
        <w:pStyle w:val="ListParagraph"/>
      </w:pPr>
    </w:p>
    <w:p w:rsidR="00376E16" w:rsidP="00376E16" w14:paraId="57AC5EFD" w14:textId="77777777">
      <w:pPr>
        <w:pStyle w:val="ListParagraph"/>
        <w:numPr>
          <w:ilvl w:val="1"/>
          <w:numId w:val="3"/>
        </w:numPr>
        <w:ind w:left="720"/>
      </w:pPr>
      <w:r>
        <w:rPr>
          <w:bCs/>
          <w:i/>
        </w:rPr>
        <w:t>Special circumstances</w:t>
      </w:r>
      <w:r>
        <w:rPr>
          <w:bCs/>
        </w:rPr>
        <w:t xml:space="preserve">.  We do not foresee any special circumstances with this information collection.  </w:t>
      </w:r>
    </w:p>
    <w:p w:rsidR="00376E16" w:rsidP="00376E16" w14:paraId="0AC4FF8F" w14:textId="77777777">
      <w:pPr>
        <w:pStyle w:val="ListParagraph"/>
      </w:pPr>
    </w:p>
    <w:p w:rsidR="00376E16" w:rsidP="00376E16" w14:paraId="428CB6CA" w14:textId="29699CE7">
      <w:pPr>
        <w:pStyle w:val="ListParagraph"/>
        <w:numPr>
          <w:ilvl w:val="1"/>
          <w:numId w:val="3"/>
        </w:numPr>
        <w:ind w:left="720"/>
      </w:pPr>
      <w:r>
        <w:rPr>
          <w:i/>
          <w:iCs/>
        </w:rPr>
        <w:t>Federal Register notice; efforts to consult with persons outside the Commission</w:t>
      </w:r>
      <w:r>
        <w:t>.</w:t>
      </w:r>
      <w:r>
        <w:rPr>
          <w:i/>
          <w:iCs/>
        </w:rPr>
        <w:t xml:space="preserve">  </w:t>
      </w:r>
      <w:r w:rsidRPr="001F3F49" w:rsidR="00CB5651">
        <w:t xml:space="preserve">The Commission published </w:t>
      </w:r>
      <w:r w:rsidRPr="001F3F49" w:rsidR="00BE3863">
        <w:t xml:space="preserve">a </w:t>
      </w:r>
      <w:r w:rsidR="008B0D41">
        <w:t xml:space="preserve">60-Day Notice </w:t>
      </w:r>
      <w:r w:rsidRPr="00B2413B">
        <w:rPr>
          <w:spacing w:val="-3"/>
        </w:rPr>
        <w:t>in the Federal Register as required by 5 CFR 1320.8(d) on</w:t>
      </w:r>
      <w:r>
        <w:rPr>
          <w:spacing w:val="-3"/>
        </w:rPr>
        <w:t xml:space="preserve"> </w:t>
      </w:r>
      <w:r w:rsidR="00AB0C33">
        <w:rPr>
          <w:spacing w:val="-3"/>
        </w:rPr>
        <w:t>February 13, 2024</w:t>
      </w:r>
      <w:r w:rsidR="001D2B1E">
        <w:rPr>
          <w:spacing w:val="-3"/>
        </w:rPr>
        <w:t xml:space="preserve"> (</w:t>
      </w:r>
      <w:r w:rsidR="00AB0C33">
        <w:rPr>
          <w:spacing w:val="-3"/>
        </w:rPr>
        <w:t>89</w:t>
      </w:r>
      <w:r w:rsidR="001D2B1E">
        <w:rPr>
          <w:spacing w:val="-3"/>
        </w:rPr>
        <w:t xml:space="preserve"> FR </w:t>
      </w:r>
      <w:r w:rsidR="00AB0C33">
        <w:rPr>
          <w:spacing w:val="-3"/>
        </w:rPr>
        <w:t>10072</w:t>
      </w:r>
      <w:r w:rsidR="001D2B1E">
        <w:rPr>
          <w:spacing w:val="-3"/>
        </w:rPr>
        <w:t>)</w:t>
      </w:r>
      <w:r w:rsidR="00CB5651">
        <w:rPr>
          <w:spacing w:val="-3"/>
        </w:rPr>
        <w:t xml:space="preserve">. </w:t>
      </w:r>
      <w:r w:rsidR="00AB0C33">
        <w:rPr>
          <w:spacing w:val="-3"/>
        </w:rPr>
        <w:t>N</w:t>
      </w:r>
      <w:r w:rsidR="00CB5651">
        <w:rPr>
          <w:spacing w:val="-3"/>
        </w:rPr>
        <w:t>o PRA comments were received</w:t>
      </w:r>
      <w:r w:rsidR="00AB0C33">
        <w:rPr>
          <w:spacing w:val="-3"/>
        </w:rPr>
        <w:t xml:space="preserve"> from the public</w:t>
      </w:r>
      <w:r w:rsidR="0017382A">
        <w:rPr>
          <w:spacing w:val="-3"/>
        </w:rPr>
        <w:t xml:space="preserve"> as result of this Notice</w:t>
      </w:r>
      <w:r w:rsidR="00CB5651">
        <w:rPr>
          <w:spacing w:val="-3"/>
        </w:rPr>
        <w:t xml:space="preserve">. </w:t>
      </w:r>
    </w:p>
    <w:p w:rsidR="00376E16" w:rsidP="00376E16" w14:paraId="2B4D32CF" w14:textId="77777777">
      <w:pPr>
        <w:pStyle w:val="ListParagraph"/>
      </w:pPr>
    </w:p>
    <w:p w:rsidR="00376E16" w:rsidP="00376E16" w14:paraId="4BA2F75B" w14:textId="77777777">
      <w:pPr>
        <w:pStyle w:val="ListParagraph"/>
        <w:numPr>
          <w:ilvl w:val="1"/>
          <w:numId w:val="3"/>
        </w:numPr>
        <w:ind w:left="720"/>
        <w:rPr>
          <w:i/>
        </w:rPr>
      </w:pPr>
      <w:r>
        <w:rPr>
          <w:i/>
        </w:rPr>
        <w:t>Payments or gifts to respondents</w:t>
      </w:r>
      <w:r>
        <w:rPr>
          <w:iCs/>
        </w:rPr>
        <w:t>.</w:t>
      </w:r>
      <w:r>
        <w:t xml:space="preserve">  The Commission does not anticipate providing any payment or gifts to respondents.</w:t>
      </w:r>
    </w:p>
    <w:p w:rsidR="00376E16" w:rsidP="00376E16" w14:paraId="45F834D3" w14:textId="77777777">
      <w:pPr>
        <w:pStyle w:val="ListParagraph"/>
        <w:rPr>
          <w:i/>
        </w:rPr>
      </w:pPr>
    </w:p>
    <w:p w:rsidR="00376E16" w:rsidP="00376E16" w14:paraId="5E0F6987" w14:textId="77777777">
      <w:pPr>
        <w:pStyle w:val="ListParagraph"/>
        <w:numPr>
          <w:ilvl w:val="1"/>
          <w:numId w:val="3"/>
        </w:numPr>
        <w:ind w:left="720"/>
      </w:pPr>
      <w:r>
        <w:rPr>
          <w:i/>
        </w:rPr>
        <w:t>Assurances of confidentiality</w:t>
      </w:r>
      <w:bookmarkStart w:id="0" w:name="_Hlk58595919"/>
      <w:r>
        <w:rPr>
          <w:i/>
        </w:rPr>
        <w:t>.</w:t>
      </w:r>
      <w:r>
        <w:t xml:space="preserve">  The Commission will consider the potential confidentiality of any information submitted, particularly where public release of such information could raise security concerns (e.g., granular location information).  Respondents may request materials or information submitted to the Commission or to the Administrator be withheld from public inspection under 47 C.F.R. § 0.459 of the Commission’s rules</w:t>
      </w:r>
      <w:bookmarkEnd w:id="0"/>
      <w:r>
        <w:t>.</w:t>
      </w:r>
      <w:r>
        <w:rPr>
          <w:bCs/>
        </w:rPr>
        <w:t xml:space="preserve"> </w:t>
      </w:r>
    </w:p>
    <w:p w:rsidR="00376E16" w:rsidP="00376E16" w14:paraId="105048F2" w14:textId="77777777">
      <w:pPr>
        <w:pStyle w:val="ListParagraph"/>
      </w:pPr>
    </w:p>
    <w:p w:rsidR="00376E16" w:rsidP="00376E16" w14:paraId="730B2AC7" w14:textId="77777777">
      <w:pPr>
        <w:pStyle w:val="ListParagraph"/>
        <w:numPr>
          <w:ilvl w:val="1"/>
          <w:numId w:val="3"/>
        </w:numPr>
        <w:ind w:left="720"/>
      </w:pPr>
      <w:r>
        <w:rPr>
          <w:bCs/>
          <w:i/>
        </w:rPr>
        <w:t xml:space="preserve">Questions of a sensitive nature.  </w:t>
      </w:r>
      <w:r>
        <w:t>There are no questions of a sensitive nature with respect to the information collection described herein.</w:t>
      </w:r>
    </w:p>
    <w:p w:rsidR="00376E16" w:rsidP="00376E16" w14:paraId="0E74FD59" w14:textId="77777777">
      <w:pPr>
        <w:pStyle w:val="ListParagraph"/>
      </w:pPr>
      <w:r>
        <w:t xml:space="preserve"> </w:t>
      </w:r>
    </w:p>
    <w:p w:rsidR="00376E16" w:rsidP="00376E16" w14:paraId="3927E5EC" w14:textId="7AA22381">
      <w:pPr>
        <w:pStyle w:val="ListParagraph"/>
        <w:numPr>
          <w:ilvl w:val="1"/>
          <w:numId w:val="3"/>
        </w:numPr>
        <w:ind w:left="720"/>
      </w:pPr>
      <w:r>
        <w:rPr>
          <w:bCs/>
          <w:i/>
        </w:rPr>
        <w:t>Estimates</w:t>
      </w:r>
      <w:r>
        <w:rPr>
          <w:bCs/>
        </w:rPr>
        <w:t xml:space="preserve"> </w:t>
      </w:r>
      <w:r>
        <w:rPr>
          <w:i/>
        </w:rPr>
        <w:t>of the hour burden of the collection to respondents.</w:t>
      </w:r>
      <w:r>
        <w:t xml:space="preserve">  The following represents the hour burden on the collection of information:  </w:t>
      </w:r>
    </w:p>
    <w:p w:rsidR="00376E16" w:rsidP="00D96F25" w14:paraId="4AAC571D" w14:textId="77777777"/>
    <w:p w:rsidR="00376E16" w:rsidP="00376E16" w14:paraId="5096DF35" w14:textId="529BD448">
      <w:pPr>
        <w:pStyle w:val="ListParagraph"/>
        <w:numPr>
          <w:ilvl w:val="3"/>
          <w:numId w:val="3"/>
        </w:numPr>
        <w:ind w:left="1350"/>
      </w:pPr>
      <w:r>
        <w:rPr>
          <w:u w:val="single"/>
        </w:rPr>
        <w:t>Number of Respondents</w:t>
      </w:r>
      <w:r>
        <w:t>:  Approximately</w:t>
      </w:r>
      <w:r w:rsidR="005D2A42">
        <w:t xml:space="preserve"> </w:t>
      </w:r>
      <w:r w:rsidR="00D96F25">
        <w:t xml:space="preserve">50 </w:t>
      </w:r>
      <w:r>
        <w:t xml:space="preserve">service providers.     </w:t>
      </w:r>
    </w:p>
    <w:p w:rsidR="00376E16" w:rsidP="00376E16" w14:paraId="46FDCEC4" w14:textId="77777777">
      <w:pPr>
        <w:pStyle w:val="ListParagraph"/>
        <w:ind w:left="1350"/>
      </w:pPr>
    </w:p>
    <w:p w:rsidR="00376E16" w:rsidP="00376E16" w14:paraId="11F21F3B" w14:textId="3F2BBEC6">
      <w:pPr>
        <w:pStyle w:val="ListParagraph"/>
        <w:numPr>
          <w:ilvl w:val="3"/>
          <w:numId w:val="3"/>
        </w:numPr>
        <w:ind w:left="1350"/>
      </w:pPr>
      <w:r>
        <w:rPr>
          <w:u w:val="single"/>
        </w:rPr>
        <w:t>Frequency of Response</w:t>
      </w:r>
      <w:r>
        <w:t xml:space="preserve">:  </w:t>
      </w:r>
      <w:r w:rsidR="005D2A42">
        <w:t>Upon request</w:t>
      </w:r>
      <w:r w:rsidR="00C4187F">
        <w:t xml:space="preserve"> by the service provider</w:t>
      </w:r>
      <w:r w:rsidR="009405CC">
        <w:t xml:space="preserve">. </w:t>
      </w:r>
      <w:r>
        <w:t xml:space="preserve">  </w:t>
      </w:r>
    </w:p>
    <w:p w:rsidR="00376E16" w:rsidP="00376E16" w14:paraId="10A4CEBD" w14:textId="77777777">
      <w:pPr>
        <w:pStyle w:val="ListParagraph"/>
        <w:ind w:left="1350"/>
      </w:pPr>
    </w:p>
    <w:p w:rsidR="00376E16" w:rsidP="00376E16" w14:paraId="1D9BD3E5" w14:textId="79365969">
      <w:pPr>
        <w:pStyle w:val="ListParagraph"/>
        <w:numPr>
          <w:ilvl w:val="3"/>
          <w:numId w:val="3"/>
        </w:numPr>
        <w:ind w:left="1350"/>
      </w:pPr>
      <w:r>
        <w:rPr>
          <w:u w:val="single"/>
        </w:rPr>
        <w:t>Total number of responses per respondent</w:t>
      </w:r>
      <w:r>
        <w:t xml:space="preserve">:  </w:t>
      </w:r>
      <w:r w:rsidR="005D2A42">
        <w:t>1</w:t>
      </w:r>
      <w:r>
        <w:t>.</w:t>
      </w:r>
    </w:p>
    <w:p w:rsidR="00376E16" w:rsidP="00376E16" w14:paraId="7E1CCA9C" w14:textId="77777777">
      <w:pPr>
        <w:pStyle w:val="ListParagraph"/>
        <w:ind w:left="1350"/>
      </w:pPr>
    </w:p>
    <w:p w:rsidR="00376E16" w:rsidP="00376E16" w14:paraId="3195BB62" w14:textId="58694B1F">
      <w:pPr>
        <w:pStyle w:val="ListParagraph"/>
        <w:numPr>
          <w:ilvl w:val="3"/>
          <w:numId w:val="3"/>
        </w:numPr>
        <w:ind w:left="1350"/>
      </w:pPr>
      <w:r>
        <w:rPr>
          <w:u w:val="single"/>
        </w:rPr>
        <w:t>Estimated time per response</w:t>
      </w:r>
      <w:r>
        <w:t xml:space="preserve">:  </w:t>
      </w:r>
      <w:r w:rsidR="00FB53B2">
        <w:t>24</w:t>
      </w:r>
      <w:r w:rsidR="00C4187F">
        <w:t xml:space="preserve"> hours</w:t>
      </w:r>
      <w:r>
        <w:t>.</w:t>
      </w:r>
    </w:p>
    <w:p w:rsidR="00376E16" w:rsidP="00376E16" w14:paraId="58426A0E" w14:textId="77777777">
      <w:pPr>
        <w:pStyle w:val="ListParagraph"/>
        <w:ind w:left="1350"/>
      </w:pPr>
    </w:p>
    <w:p w:rsidR="00376E16" w:rsidP="00376E16" w14:paraId="06EB718F" w14:textId="45E1E90A">
      <w:pPr>
        <w:pStyle w:val="ListParagraph"/>
        <w:numPr>
          <w:ilvl w:val="3"/>
          <w:numId w:val="3"/>
        </w:numPr>
        <w:ind w:left="1350"/>
      </w:pPr>
      <w:r>
        <w:rPr>
          <w:u w:val="single"/>
        </w:rPr>
        <w:t>Total hour burden:</w:t>
      </w:r>
      <w:r>
        <w:t xml:space="preserve"> </w:t>
      </w:r>
      <w:r w:rsidR="005D2A42">
        <w:t xml:space="preserve"> </w:t>
      </w:r>
      <w:r w:rsidR="00FB53B2">
        <w:t>1</w:t>
      </w:r>
      <w:r w:rsidR="002F1C61">
        <w:t>,</w:t>
      </w:r>
      <w:r w:rsidR="00FB53B2">
        <w:t>200</w:t>
      </w:r>
      <w:r>
        <w:t xml:space="preserve"> hours.  </w:t>
      </w:r>
    </w:p>
    <w:p w:rsidR="00376E16" w:rsidP="00376E16" w14:paraId="11701F98" w14:textId="77777777">
      <w:pPr>
        <w:pStyle w:val="ListParagraph"/>
        <w:ind w:left="1350"/>
      </w:pPr>
    </w:p>
    <w:p w:rsidR="00376E16" w:rsidP="00376E16" w14:paraId="1578B6E1" w14:textId="0C428BFF">
      <w:pPr>
        <w:pStyle w:val="ListParagraph"/>
        <w:ind w:left="1350"/>
      </w:pPr>
      <w:r>
        <w:t>24</w:t>
      </w:r>
      <w:r>
        <w:t xml:space="preserve"> hours per response </w:t>
      </w:r>
      <w:r w:rsidR="009405CC">
        <w:t xml:space="preserve">per respondent </w:t>
      </w:r>
      <w:r>
        <w:t xml:space="preserve">for </w:t>
      </w:r>
      <w:r w:rsidR="00910594">
        <w:t>50</w:t>
      </w:r>
      <w:r>
        <w:t xml:space="preserve"> service providers.  Total annual hour burden is calculated as follows:  </w:t>
      </w:r>
    </w:p>
    <w:p w:rsidR="00376E16" w:rsidP="00376E16" w14:paraId="530C931B" w14:textId="77777777">
      <w:pPr>
        <w:pStyle w:val="ListParagraph"/>
        <w:ind w:left="1350"/>
      </w:pPr>
    </w:p>
    <w:p w:rsidR="00376E16" w:rsidP="00376E16" w14:paraId="24744395" w14:textId="02D0C5F9">
      <w:pPr>
        <w:pStyle w:val="ListParagraph"/>
        <w:ind w:left="1350"/>
      </w:pPr>
      <w:r>
        <w:t>50</w:t>
      </w:r>
      <w:r>
        <w:t xml:space="preserve"> respondents x 1 response per respondent = </w:t>
      </w:r>
      <w:r>
        <w:t>50</w:t>
      </w:r>
      <w:r w:rsidR="002E1A8D">
        <w:t xml:space="preserve"> </w:t>
      </w:r>
      <w:r>
        <w:t xml:space="preserve">responses x </w:t>
      </w:r>
      <w:r w:rsidR="00FB53B2">
        <w:t>24</w:t>
      </w:r>
      <w:r>
        <w:t xml:space="preserve"> hours =</w:t>
      </w:r>
      <w:r w:rsidRPr="009405CC">
        <w:rPr>
          <w:bCs/>
        </w:rPr>
        <w:t xml:space="preserve"> </w:t>
      </w:r>
      <w:r w:rsidRPr="00FB53B2" w:rsidR="00FB53B2">
        <w:rPr>
          <w:b/>
        </w:rPr>
        <w:t>1</w:t>
      </w:r>
      <w:r w:rsidR="00BE3863">
        <w:rPr>
          <w:b/>
        </w:rPr>
        <w:t>,</w:t>
      </w:r>
      <w:r w:rsidRPr="00FB53B2" w:rsidR="00FB53B2">
        <w:rPr>
          <w:b/>
        </w:rPr>
        <w:t>200</w:t>
      </w:r>
      <w:r w:rsidRPr="00FB53B2" w:rsidR="005D2A42">
        <w:rPr>
          <w:b/>
        </w:rPr>
        <w:t xml:space="preserve"> </w:t>
      </w:r>
      <w:r w:rsidR="009405CC">
        <w:rPr>
          <w:b/>
        </w:rPr>
        <w:t>total hours.</w:t>
      </w:r>
      <w:r>
        <w:t xml:space="preserve"> </w:t>
      </w:r>
    </w:p>
    <w:p w:rsidR="00376E16" w:rsidP="00376E16" w14:paraId="1B517DA1" w14:textId="77777777">
      <w:pPr>
        <w:pStyle w:val="ListParagraph"/>
        <w:ind w:left="1350"/>
      </w:pPr>
    </w:p>
    <w:p w:rsidR="00376E16" w:rsidP="00376E16" w14:paraId="204D3C71" w14:textId="0029B12D">
      <w:pPr>
        <w:pStyle w:val="ListParagraph"/>
        <w:numPr>
          <w:ilvl w:val="3"/>
          <w:numId w:val="3"/>
        </w:numPr>
        <w:ind w:left="1350"/>
      </w:pPr>
      <w:r>
        <w:rPr>
          <w:u w:val="single"/>
        </w:rPr>
        <w:t>Total estimate of in-house cost to respondents</w:t>
      </w:r>
      <w:r>
        <w:t xml:space="preserve">:  </w:t>
      </w:r>
      <w:bookmarkStart w:id="1" w:name="_Hlk61358231"/>
      <w:r>
        <w:t>$</w:t>
      </w:r>
      <w:r w:rsidR="008066CB">
        <w:t>76</w:t>
      </w:r>
      <w:r w:rsidR="00C60F82">
        <w:t>,</w:t>
      </w:r>
      <w:r w:rsidR="008066CB">
        <w:t>8</w:t>
      </w:r>
      <w:r w:rsidR="00C60F82">
        <w:t>72</w:t>
      </w:r>
      <w:r>
        <w:t xml:space="preserve"> </w:t>
      </w:r>
      <w:bookmarkEnd w:id="1"/>
      <w:r>
        <w:t>(</w:t>
      </w:r>
      <w:r w:rsidR="00FB53B2">
        <w:t>1</w:t>
      </w:r>
      <w:r w:rsidR="0012126F">
        <w:t>,</w:t>
      </w:r>
      <w:r w:rsidR="00FB53B2">
        <w:t>200</w:t>
      </w:r>
      <w:r>
        <w:t xml:space="preserve"> hours x $</w:t>
      </w:r>
      <w:r w:rsidR="00C62B0C">
        <w:t>64</w:t>
      </w:r>
      <w:r w:rsidR="00BE3863">
        <w:t>.</w:t>
      </w:r>
      <w:r w:rsidR="00C62B0C">
        <w:t>06</w:t>
      </w:r>
      <w:r>
        <w:t>/hr.).</w:t>
      </w:r>
      <w:r w:rsidR="00487245">
        <w:t xml:space="preserve"> </w:t>
      </w:r>
    </w:p>
    <w:p w:rsidR="00376E16" w:rsidP="00376E16" w14:paraId="4E14824F" w14:textId="77777777">
      <w:pPr>
        <w:pStyle w:val="ListParagraph"/>
        <w:ind w:left="1350"/>
      </w:pPr>
    </w:p>
    <w:p w:rsidR="00376E16" w:rsidP="00376E16" w14:paraId="03D7E094" w14:textId="2995BE0B">
      <w:pPr>
        <w:pStyle w:val="ListParagraph"/>
        <w:numPr>
          <w:ilvl w:val="3"/>
          <w:numId w:val="3"/>
        </w:numPr>
        <w:ind w:left="1350"/>
      </w:pPr>
      <w:bookmarkStart w:id="2" w:name="_Hlk58386924"/>
      <w:r>
        <w:rPr>
          <w:u w:val="single"/>
        </w:rPr>
        <w:t>Explanation of calculation</w:t>
      </w:r>
      <w:bookmarkEnd w:id="2"/>
      <w:r>
        <w:t xml:space="preserve">:  </w:t>
      </w:r>
      <w:bookmarkStart w:id="3" w:name="_Hlk58386991"/>
      <w:r>
        <w:t xml:space="preserve">We estimate that each service provider will take, on average, </w:t>
      </w:r>
      <w:r w:rsidR="00FB53B2">
        <w:t>24</w:t>
      </w:r>
      <w:r>
        <w:t xml:space="preserve"> hours per response.  We estimate that respondents use mid- to senior-level personnel to comply with the requirements comparable in pay to the Federal Government, approximately $</w:t>
      </w:r>
      <w:r w:rsidR="00C62B0C">
        <w:t>64</w:t>
      </w:r>
      <w:r w:rsidR="002F1C61">
        <w:t>.</w:t>
      </w:r>
      <w:r w:rsidR="00C62B0C">
        <w:t>06</w:t>
      </w:r>
      <w:r>
        <w:t xml:space="preserve"> per hour (equivalent to a GS</w:t>
      </w:r>
      <w:r w:rsidR="00C92B3A">
        <w:t>-</w:t>
      </w:r>
      <w:r>
        <w:t>13, step 5 federal employee).</w:t>
      </w:r>
    </w:p>
    <w:p w:rsidR="00376E16" w:rsidP="00376E16" w14:paraId="0BCF3302" w14:textId="77777777">
      <w:pPr>
        <w:pStyle w:val="ListParagraph"/>
        <w:ind w:left="1350"/>
      </w:pPr>
      <w:r>
        <w:t xml:space="preserve">  </w:t>
      </w:r>
    </w:p>
    <w:p w:rsidR="00376E16" w:rsidP="00376E16" w14:paraId="26E491C5" w14:textId="4CD0B50E">
      <w:pPr>
        <w:pStyle w:val="ListParagraph"/>
        <w:ind w:left="1350"/>
      </w:pPr>
      <w:r>
        <w:t>50</w:t>
      </w:r>
      <w:r>
        <w:t xml:space="preserve"> (number of responses) x </w:t>
      </w:r>
      <w:r w:rsidR="00FB53B2">
        <w:t>24</w:t>
      </w:r>
      <w:r>
        <w:t xml:space="preserve"> (hours to prepare response) x</w:t>
      </w:r>
      <w:r w:rsidR="009405CC">
        <w:t xml:space="preserve"> </w:t>
      </w:r>
      <w:r w:rsidR="005D2A42">
        <w:t>1</w:t>
      </w:r>
      <w:r w:rsidR="009405CC">
        <w:t xml:space="preserve"> (responses per respondent)</w:t>
      </w:r>
      <w:r w:rsidR="005D2A42">
        <w:t xml:space="preserve"> x</w:t>
      </w:r>
      <w:r>
        <w:t xml:space="preserve"> $</w:t>
      </w:r>
      <w:r w:rsidR="00A00286">
        <w:t>64</w:t>
      </w:r>
      <w:r w:rsidR="002F1C61">
        <w:t>.</w:t>
      </w:r>
      <w:r w:rsidR="00A00286">
        <w:t>06</w:t>
      </w:r>
      <w:r>
        <w:t xml:space="preserve">/hr. = </w:t>
      </w:r>
      <w:r>
        <w:t>$</w:t>
      </w:r>
      <w:r w:rsidR="003B746A">
        <w:t>76,872</w:t>
      </w:r>
      <w:r w:rsidR="009405CC">
        <w:t>.</w:t>
      </w:r>
    </w:p>
    <w:bookmarkEnd w:id="3"/>
    <w:p w:rsidR="00E33FFA" w:rsidP="00910594" w14:paraId="4BBF3D76" w14:textId="0A13EB1E"/>
    <w:p w:rsidR="00376E16" w:rsidP="00376E16" w14:paraId="37A86B49" w14:textId="77777777">
      <w:r>
        <w:tab/>
      </w:r>
      <w:r>
        <w:tab/>
      </w:r>
      <w:r>
        <w:tab/>
      </w:r>
      <w:r>
        <w:tab/>
      </w:r>
    </w:p>
    <w:p w:rsidR="00376E16" w:rsidRPr="002A21A9" w:rsidP="00376E16" w14:paraId="5328AC34" w14:textId="3A1ABAE7">
      <w:pPr>
        <w:outlineLvl w:val="0"/>
        <w:rPr>
          <w:b/>
        </w:rPr>
      </w:pPr>
      <w:r w:rsidRPr="002A21A9">
        <w:rPr>
          <w:b/>
        </w:rPr>
        <w:t xml:space="preserve">Total Number of Respondents: </w:t>
      </w:r>
      <w:r w:rsidR="00910594">
        <w:rPr>
          <w:b/>
        </w:rPr>
        <w:t>50</w:t>
      </w:r>
      <w:r w:rsidR="00C92B3A">
        <w:rPr>
          <w:b/>
        </w:rPr>
        <w:t xml:space="preserve"> </w:t>
      </w:r>
      <w:r w:rsidRPr="002A21A9">
        <w:rPr>
          <w:b/>
        </w:rPr>
        <w:t>unique respondents</w:t>
      </w:r>
    </w:p>
    <w:p w:rsidR="00376E16" w:rsidRPr="002A21A9" w:rsidP="00376E16" w14:paraId="5A633B2E" w14:textId="77777777">
      <w:pPr>
        <w:rPr>
          <w:b/>
        </w:rPr>
      </w:pPr>
    </w:p>
    <w:p w:rsidR="00376E16" w:rsidRPr="002A21A9" w:rsidP="00376E16" w14:paraId="2BE229F4" w14:textId="41D1E49D">
      <w:pPr>
        <w:outlineLvl w:val="0"/>
        <w:rPr>
          <w:b/>
        </w:rPr>
      </w:pPr>
      <w:r w:rsidRPr="002A21A9">
        <w:rPr>
          <w:b/>
        </w:rPr>
        <w:t xml:space="preserve">Total Number of Responses:  </w:t>
      </w:r>
      <w:r w:rsidR="00FB53B2">
        <w:rPr>
          <w:b/>
        </w:rPr>
        <w:t>50</w:t>
      </w:r>
      <w:r w:rsidR="00C92B3A">
        <w:rPr>
          <w:b/>
        </w:rPr>
        <w:t xml:space="preserve"> responses</w:t>
      </w:r>
    </w:p>
    <w:p w:rsidR="00376E16" w:rsidRPr="002A21A9" w:rsidP="00376E16" w14:paraId="1E70521B" w14:textId="77777777">
      <w:pPr>
        <w:rPr>
          <w:b/>
        </w:rPr>
      </w:pPr>
      <w:r w:rsidRPr="002A21A9">
        <w:rPr>
          <w:b/>
        </w:rPr>
        <w:t xml:space="preserve"> </w:t>
      </w:r>
    </w:p>
    <w:p w:rsidR="00376E16" w:rsidRPr="002A21A9" w:rsidP="00376E16" w14:paraId="560A8ED4" w14:textId="68BCF39C">
      <w:pPr>
        <w:outlineLvl w:val="0"/>
        <w:rPr>
          <w:b/>
        </w:rPr>
      </w:pPr>
      <w:r w:rsidRPr="002A21A9">
        <w:rPr>
          <w:b/>
        </w:rPr>
        <w:t xml:space="preserve">Total Hourly Burden:  </w:t>
      </w:r>
      <w:r w:rsidR="00FB53B2">
        <w:rPr>
          <w:b/>
        </w:rPr>
        <w:t>1</w:t>
      </w:r>
      <w:r w:rsidR="002F1C61">
        <w:rPr>
          <w:b/>
        </w:rPr>
        <w:t>,</w:t>
      </w:r>
      <w:r w:rsidR="00FB53B2">
        <w:rPr>
          <w:b/>
        </w:rPr>
        <w:t xml:space="preserve">200 </w:t>
      </w:r>
      <w:r w:rsidR="005E5FB8">
        <w:rPr>
          <w:b/>
        </w:rPr>
        <w:t xml:space="preserve">burden </w:t>
      </w:r>
      <w:r w:rsidR="00C92B3A">
        <w:rPr>
          <w:b/>
        </w:rPr>
        <w:t xml:space="preserve">hours </w:t>
      </w:r>
    </w:p>
    <w:p w:rsidR="00376E16" w:rsidP="00376E16" w14:paraId="6E163D9E" w14:textId="3DACD3BA">
      <w:pPr>
        <w:rPr>
          <w:b/>
        </w:rPr>
      </w:pPr>
      <w:r w:rsidRPr="002A21A9">
        <w:rPr>
          <w:b/>
        </w:rPr>
        <w:br/>
        <w:t xml:space="preserve">Total In-House Costs to Respondents:  </w:t>
      </w:r>
      <w:r w:rsidRPr="00FB53B2" w:rsidR="00910594">
        <w:rPr>
          <w:b/>
        </w:rPr>
        <w:t>$</w:t>
      </w:r>
      <w:r w:rsidR="004A69D1">
        <w:rPr>
          <w:b/>
        </w:rPr>
        <w:t>76,872</w:t>
      </w:r>
      <w:r w:rsidRPr="00910594" w:rsidR="00910594">
        <w:rPr>
          <w:b/>
        </w:rPr>
        <w:t xml:space="preserve"> </w:t>
      </w:r>
      <w:r w:rsidR="00910594">
        <w:rPr>
          <w:b/>
        </w:rPr>
        <w:t xml:space="preserve"> </w:t>
      </w:r>
      <w:r w:rsidR="005E5FB8">
        <w:rPr>
          <w:b/>
        </w:rPr>
        <w:t xml:space="preserve"> </w:t>
      </w:r>
    </w:p>
    <w:p w:rsidR="002A21A9" w:rsidRPr="002A21A9" w:rsidP="00376E16" w14:paraId="26508726" w14:textId="77777777">
      <w:pPr>
        <w:rPr>
          <w:b/>
        </w:rPr>
      </w:pPr>
    </w:p>
    <w:p w:rsidR="00376E16" w:rsidP="00376E16" w14:paraId="6646D819" w14:textId="77777777"/>
    <w:p w:rsidR="00376E16" w:rsidP="00376E16" w14:paraId="46DD211B" w14:textId="2A436A60">
      <w:pPr>
        <w:pStyle w:val="ListParagraph"/>
        <w:numPr>
          <w:ilvl w:val="1"/>
          <w:numId w:val="3"/>
        </w:numPr>
        <w:ind w:left="720"/>
      </w:pPr>
      <w:r>
        <w:rPr>
          <w:i/>
        </w:rPr>
        <w:t>Estimates for the cost burden of the collection to respondents</w:t>
      </w:r>
      <w:r>
        <w:t xml:space="preserve">.  </w:t>
      </w:r>
      <w:r>
        <w:rPr>
          <w:spacing w:val="-3"/>
          <w:shd w:val="clear" w:color="auto" w:fill="FFFFFF"/>
        </w:rPr>
        <w:t>The Commission believes that service providers have sufficient “in-house” staff to address all the information collection requirements using their “in-house” personnel rather than having to contract out this requirement.  Thus:</w:t>
      </w:r>
    </w:p>
    <w:p w:rsidR="00376E16" w:rsidP="00376E16" w14:paraId="2C4BE379" w14:textId="77777777">
      <w:pPr>
        <w:pStyle w:val="ListParagraph"/>
      </w:pPr>
    </w:p>
    <w:p w:rsidR="00376E16" w:rsidP="00376E16" w14:paraId="76626A8D" w14:textId="77777777">
      <w:pPr>
        <w:pStyle w:val="ListParagraph"/>
        <w:tabs>
          <w:tab w:val="left" w:pos="-720"/>
          <w:tab w:val="left" w:pos="360"/>
        </w:tabs>
        <w:suppressAutoHyphens/>
        <w:spacing w:after="240"/>
        <w:ind w:left="829"/>
        <w:rPr>
          <w:spacing w:val="-3"/>
          <w:shd w:val="clear" w:color="auto" w:fill="FFFFFF"/>
        </w:rPr>
      </w:pPr>
      <w:r>
        <w:rPr>
          <w:spacing w:val="-3"/>
          <w:shd w:val="clear" w:color="auto" w:fill="FFFFFF"/>
        </w:rPr>
        <w:tab/>
        <w:t xml:space="preserve">(a) </w:t>
      </w:r>
      <w:r>
        <w:rPr>
          <w:spacing w:val="-3"/>
          <w:u w:val="single"/>
          <w:shd w:val="clear" w:color="auto" w:fill="FFFFFF"/>
        </w:rPr>
        <w:t>Total annualized capital/startup costs</w:t>
      </w:r>
      <w:r>
        <w:rPr>
          <w:spacing w:val="-3"/>
          <w:shd w:val="clear" w:color="auto" w:fill="FFFFFF"/>
        </w:rPr>
        <w:t>:  $0.00</w:t>
      </w:r>
    </w:p>
    <w:p w:rsidR="00376E16" w:rsidP="00376E16" w14:paraId="389E9C02" w14:textId="4679461B">
      <w:pPr>
        <w:pStyle w:val="ListParagraph"/>
        <w:tabs>
          <w:tab w:val="left" w:pos="-720"/>
          <w:tab w:val="left" w:pos="360"/>
        </w:tabs>
        <w:suppressAutoHyphens/>
        <w:spacing w:after="240"/>
        <w:ind w:left="829"/>
        <w:rPr>
          <w:spacing w:val="-3"/>
          <w:shd w:val="clear" w:color="auto" w:fill="FFFFFF"/>
        </w:rPr>
      </w:pPr>
      <w:r>
        <w:rPr>
          <w:spacing w:val="-3"/>
          <w:shd w:val="clear" w:color="auto" w:fill="FFFFFF"/>
        </w:rPr>
        <w:tab/>
        <w:t xml:space="preserve">(b) </w:t>
      </w:r>
      <w:r>
        <w:rPr>
          <w:spacing w:val="-3"/>
          <w:u w:val="single"/>
          <w:shd w:val="clear" w:color="auto" w:fill="FFFFFF"/>
        </w:rPr>
        <w:t>Total annualized costs (O&amp;M)</w:t>
      </w:r>
      <w:r>
        <w:rPr>
          <w:spacing w:val="-3"/>
          <w:shd w:val="clear" w:color="auto" w:fill="FFFFFF"/>
        </w:rPr>
        <w:t>:  $0.00</w:t>
      </w:r>
    </w:p>
    <w:p w:rsidR="00376E16" w:rsidP="00376E16" w14:paraId="37D3CB13" w14:textId="77777777">
      <w:pPr>
        <w:pStyle w:val="ListParagraph"/>
        <w:tabs>
          <w:tab w:val="left" w:pos="-720"/>
          <w:tab w:val="left" w:pos="360"/>
        </w:tabs>
        <w:suppressAutoHyphens/>
        <w:spacing w:after="240"/>
        <w:ind w:left="829"/>
      </w:pPr>
      <w:r>
        <w:rPr>
          <w:spacing w:val="-3"/>
          <w:shd w:val="clear" w:color="auto" w:fill="FFFFFF"/>
        </w:rPr>
        <w:tab/>
        <w:t xml:space="preserve">(c) </w:t>
      </w:r>
      <w:r>
        <w:rPr>
          <w:spacing w:val="-3"/>
          <w:u w:val="single"/>
          <w:shd w:val="clear" w:color="auto" w:fill="FFFFFF"/>
        </w:rPr>
        <w:t>Total annualized cost requested</w:t>
      </w:r>
      <w:r>
        <w:rPr>
          <w:spacing w:val="-3"/>
          <w:shd w:val="clear" w:color="auto" w:fill="FFFFFF"/>
        </w:rPr>
        <w:t>:  $0.00</w:t>
      </w:r>
      <w:r>
        <w:rPr>
          <w:spacing w:val="-3"/>
          <w:shd w:val="clear" w:color="auto" w:fill="FFFFFF"/>
        </w:rPr>
        <w:tab/>
      </w:r>
    </w:p>
    <w:p w:rsidR="00376E16" w:rsidP="00376E16" w14:paraId="53226348" w14:textId="77777777">
      <w:pPr>
        <w:pStyle w:val="ListParagraph"/>
      </w:pPr>
    </w:p>
    <w:p w:rsidR="000D5E44" w:rsidRPr="000D5E44" w:rsidP="00376E16" w14:paraId="298BB59C" w14:textId="5D20916F">
      <w:pPr>
        <w:pStyle w:val="ListParagraph"/>
        <w:numPr>
          <w:ilvl w:val="1"/>
          <w:numId w:val="3"/>
        </w:numPr>
        <w:ind w:left="720"/>
      </w:pPr>
      <w:r>
        <w:rPr>
          <w:i/>
        </w:rPr>
        <w:t xml:space="preserve">Estimates of the cost burden to the Commission.  </w:t>
      </w:r>
    </w:p>
    <w:p w:rsidR="00022D8E" w:rsidP="00022D8E" w14:paraId="20F382CE" w14:textId="38EDCF29">
      <w:pPr>
        <w:pStyle w:val="ListParagraph"/>
        <w:ind w:left="1080"/>
        <w:rPr>
          <w:iCs/>
        </w:rPr>
      </w:pPr>
    </w:p>
    <w:p w:rsidR="00022D8E" w:rsidP="00022D8E" w14:paraId="163125D3" w14:textId="5053E762">
      <w:pPr>
        <w:pStyle w:val="ListParagraph"/>
        <w:ind w:left="1080"/>
        <w:rPr>
          <w:iCs/>
        </w:rPr>
      </w:pPr>
      <w:r>
        <w:rPr>
          <w:iCs/>
        </w:rPr>
        <w:t>Costs to the Commission</w:t>
      </w:r>
      <w:r w:rsidR="00FB53B2">
        <w:rPr>
          <w:iCs/>
        </w:rPr>
        <w:t xml:space="preserve"> to set up the collection process </w:t>
      </w:r>
      <w:r>
        <w:rPr>
          <w:iCs/>
        </w:rPr>
        <w:t xml:space="preserve">will potentially be </w:t>
      </w:r>
      <w:r>
        <w:t>$</w:t>
      </w:r>
      <w:r w:rsidR="00DA027C">
        <w:t>64</w:t>
      </w:r>
      <w:r w:rsidR="002F1C61">
        <w:t>.</w:t>
      </w:r>
      <w:r w:rsidR="00DA027C">
        <w:t>06</w:t>
      </w:r>
      <w:r>
        <w:t>/hr</w:t>
      </w:r>
      <w:r w:rsidR="001D2B1E">
        <w:t>.</w:t>
      </w:r>
      <w:r>
        <w:t xml:space="preserve"> (</w:t>
      </w:r>
      <w:r w:rsidRPr="00022D8E">
        <w:rPr>
          <w:iCs/>
        </w:rPr>
        <w:t>GS</w:t>
      </w:r>
      <w:r w:rsidR="005E5FB8">
        <w:rPr>
          <w:iCs/>
        </w:rPr>
        <w:t>-</w:t>
      </w:r>
      <w:r w:rsidRPr="00022D8E">
        <w:rPr>
          <w:iCs/>
        </w:rPr>
        <w:t>13, step 5 federal employee</w:t>
      </w:r>
      <w:r>
        <w:rPr>
          <w:iCs/>
        </w:rPr>
        <w:t xml:space="preserve">) x </w:t>
      </w:r>
      <w:r w:rsidR="00910594">
        <w:rPr>
          <w:iCs/>
        </w:rPr>
        <w:t xml:space="preserve">1 hour (to set up </w:t>
      </w:r>
      <w:r w:rsidR="00FB1071">
        <w:rPr>
          <w:iCs/>
        </w:rPr>
        <w:t xml:space="preserve">the </w:t>
      </w:r>
      <w:r w:rsidR="00910594">
        <w:rPr>
          <w:iCs/>
        </w:rPr>
        <w:t>designated Electronic Comment Filing System inbox to receive request for review)</w:t>
      </w:r>
      <w:r>
        <w:t xml:space="preserve"> = $</w:t>
      </w:r>
      <w:r w:rsidR="00DA027C">
        <w:t>64</w:t>
      </w:r>
      <w:r w:rsidR="002F1C61">
        <w:t>.</w:t>
      </w:r>
      <w:r w:rsidR="007B5700">
        <w:t>06</w:t>
      </w:r>
      <w:r w:rsidR="00FB53B2">
        <w:t>.  Additionally, costs to the Commission to review each submission will potentially be $</w:t>
      </w:r>
      <w:r w:rsidR="007B5700">
        <w:t>64</w:t>
      </w:r>
      <w:r w:rsidR="002F1C61">
        <w:t>.</w:t>
      </w:r>
      <w:r w:rsidR="007B5700">
        <w:t>06</w:t>
      </w:r>
      <w:r w:rsidR="00FB53B2">
        <w:t>/hr</w:t>
      </w:r>
      <w:r w:rsidR="001D2B1E">
        <w:t>.</w:t>
      </w:r>
      <w:r w:rsidR="00FB53B2">
        <w:t xml:space="preserve"> (</w:t>
      </w:r>
      <w:r w:rsidRPr="00022D8E" w:rsidR="00FB53B2">
        <w:rPr>
          <w:iCs/>
        </w:rPr>
        <w:t>GS</w:t>
      </w:r>
      <w:r w:rsidR="00FB53B2">
        <w:rPr>
          <w:iCs/>
        </w:rPr>
        <w:t>-</w:t>
      </w:r>
      <w:r w:rsidRPr="00022D8E" w:rsidR="00FB53B2">
        <w:rPr>
          <w:iCs/>
        </w:rPr>
        <w:t>13, step 5 federal employee</w:t>
      </w:r>
      <w:r w:rsidR="00FB53B2">
        <w:rPr>
          <w:iCs/>
        </w:rPr>
        <w:t>) x</w:t>
      </w:r>
      <w:r w:rsidR="00FB53B2">
        <w:t xml:space="preserve"> 50 (number of respondents with one response each) </w:t>
      </w:r>
      <w:r w:rsidR="00FB53B2">
        <w:rPr>
          <w:iCs/>
        </w:rPr>
        <w:t>x 3 hours (for staff to review each submission) = $</w:t>
      </w:r>
      <w:r w:rsidR="009C02CB">
        <w:rPr>
          <w:iCs/>
        </w:rPr>
        <w:t>9,609</w:t>
      </w:r>
      <w:r w:rsidR="00FB53B2">
        <w:rPr>
          <w:iCs/>
        </w:rPr>
        <w:t>.</w:t>
      </w:r>
      <w:r w:rsidR="00697E1C">
        <w:rPr>
          <w:iCs/>
        </w:rPr>
        <w:t xml:space="preserve"> </w:t>
      </w:r>
      <w:r w:rsidR="00FB53B2">
        <w:t xml:space="preserve">  </w:t>
      </w:r>
    </w:p>
    <w:p w:rsidR="00376E16" w:rsidP="00910594" w14:paraId="79854C27" w14:textId="2E36ED5C"/>
    <w:p w:rsidR="009174DA" w:rsidP="00376E16" w14:paraId="0C3CBFF0" w14:textId="61B03CDE">
      <w:pPr>
        <w:pStyle w:val="ListParagraph"/>
        <w:rPr>
          <w:b/>
          <w:bCs/>
        </w:rPr>
      </w:pPr>
      <w:r>
        <w:rPr>
          <w:b/>
          <w:bCs/>
        </w:rPr>
        <w:t xml:space="preserve">Total Cost to the Federal Government:  </w:t>
      </w:r>
      <w:r w:rsidR="005B1B59">
        <w:rPr>
          <w:b/>
          <w:bCs/>
        </w:rPr>
        <w:t>$</w:t>
      </w:r>
      <w:r w:rsidR="007B5700">
        <w:rPr>
          <w:b/>
          <w:bCs/>
        </w:rPr>
        <w:t>64</w:t>
      </w:r>
      <w:r w:rsidR="005B1B59">
        <w:rPr>
          <w:b/>
          <w:bCs/>
        </w:rPr>
        <w:t>.</w:t>
      </w:r>
      <w:r w:rsidR="007B5700">
        <w:rPr>
          <w:b/>
          <w:bCs/>
        </w:rPr>
        <w:t>06</w:t>
      </w:r>
      <w:r w:rsidR="005B1B59">
        <w:rPr>
          <w:b/>
          <w:bCs/>
        </w:rPr>
        <w:t xml:space="preserve"> + $</w:t>
      </w:r>
      <w:r w:rsidR="008007DE">
        <w:rPr>
          <w:b/>
          <w:bCs/>
        </w:rPr>
        <w:t>9,609</w:t>
      </w:r>
      <w:r w:rsidR="005B1B59">
        <w:rPr>
          <w:b/>
          <w:bCs/>
        </w:rPr>
        <w:t xml:space="preserve"> = </w:t>
      </w:r>
      <w:r w:rsidRPr="00910594" w:rsidR="00910594">
        <w:rPr>
          <w:b/>
          <w:bCs/>
        </w:rPr>
        <w:t>$</w:t>
      </w:r>
      <w:r w:rsidR="008007DE">
        <w:rPr>
          <w:b/>
          <w:bCs/>
        </w:rPr>
        <w:t>9,673.06</w:t>
      </w:r>
    </w:p>
    <w:p w:rsidR="009174DA" w:rsidRPr="005E4343" w:rsidP="00376E16" w14:paraId="20D2BE08" w14:textId="77777777">
      <w:pPr>
        <w:pStyle w:val="ListParagraph"/>
        <w:rPr>
          <w:b/>
          <w:bCs/>
        </w:rPr>
      </w:pPr>
    </w:p>
    <w:p w:rsidR="00376E16" w:rsidP="00376E16" w14:paraId="09C76D2E" w14:textId="1B2CFEC4">
      <w:pPr>
        <w:pStyle w:val="ListParagraph"/>
        <w:numPr>
          <w:ilvl w:val="1"/>
          <w:numId w:val="3"/>
        </w:numPr>
        <w:ind w:left="720"/>
      </w:pPr>
      <w:r>
        <w:rPr>
          <w:i/>
          <w:iCs/>
        </w:rPr>
        <w:t>Program changes or adjustments</w:t>
      </w:r>
      <w:r>
        <w:rPr>
          <w:iCs/>
        </w:rPr>
        <w:t xml:space="preserve">.  </w:t>
      </w:r>
      <w:r w:rsidR="00D579DA">
        <w:rPr>
          <w:iCs/>
        </w:rPr>
        <w:t xml:space="preserve">There </w:t>
      </w:r>
      <w:r w:rsidR="00992879">
        <w:rPr>
          <w:iCs/>
        </w:rPr>
        <w:t>are no program changes</w:t>
      </w:r>
      <w:r w:rsidR="00B35114">
        <w:rPr>
          <w:iCs/>
        </w:rPr>
        <w:t xml:space="preserve"> or </w:t>
      </w:r>
      <w:r w:rsidR="00A94F5F">
        <w:rPr>
          <w:iCs/>
        </w:rPr>
        <w:t>adjustments</w:t>
      </w:r>
      <w:r w:rsidR="00D579DA">
        <w:rPr>
          <w:iCs/>
        </w:rPr>
        <w:t xml:space="preserve"> </w:t>
      </w:r>
      <w:r w:rsidR="00992879">
        <w:rPr>
          <w:iCs/>
        </w:rPr>
        <w:t>to this information collection.</w:t>
      </w:r>
    </w:p>
    <w:p w:rsidR="00376E16" w:rsidP="00376E16" w14:paraId="42B43EAD" w14:textId="77777777"/>
    <w:p w:rsidR="00376E16" w:rsidP="00376E16" w14:paraId="17D538D5" w14:textId="28365682">
      <w:pPr>
        <w:pStyle w:val="ListParagraph"/>
        <w:numPr>
          <w:ilvl w:val="1"/>
          <w:numId w:val="3"/>
        </w:numPr>
        <w:ind w:left="720"/>
      </w:pPr>
      <w:r>
        <w:rPr>
          <w:i/>
        </w:rPr>
        <w:t>Collections of information whose results will be published.</w:t>
      </w:r>
      <w:r>
        <w:t xml:space="preserve">  </w:t>
      </w:r>
      <w:r w:rsidR="00910594">
        <w:t xml:space="preserve">The filings service providers submit with their request for review will be publicly available in the </w:t>
      </w:r>
      <w:r w:rsidR="00FB1071">
        <w:t xml:space="preserve">Commission’s </w:t>
      </w:r>
      <w:r w:rsidR="00910594">
        <w:t xml:space="preserve">Electronic Comment Filing System. </w:t>
      </w:r>
    </w:p>
    <w:p w:rsidR="00376E16" w:rsidP="00376E16" w14:paraId="69F20FE1" w14:textId="77777777">
      <w:pPr>
        <w:pStyle w:val="ListParagraph"/>
      </w:pPr>
    </w:p>
    <w:p w:rsidR="00376E16" w:rsidP="00376E16" w14:paraId="0658160A" w14:textId="417A41F4">
      <w:pPr>
        <w:pStyle w:val="ListParagraph"/>
        <w:numPr>
          <w:ilvl w:val="1"/>
          <w:numId w:val="3"/>
        </w:numPr>
        <w:ind w:left="720"/>
      </w:pPr>
      <w:r>
        <w:rPr>
          <w:i/>
        </w:rPr>
        <w:t>Display of expiration date for OMB approval of information collection.</w:t>
      </w:r>
      <w:r>
        <w:t xml:space="preserve">  There is no paper form associated with this information collection; it will be collected electronically through the </w:t>
      </w:r>
      <w:r w:rsidR="00FB1071">
        <w:t xml:space="preserve">Commission’s </w:t>
      </w:r>
      <w:r>
        <w:t xml:space="preserve">Electronic Comment Filing System. </w:t>
      </w:r>
      <w:r w:rsidR="00FA5E38">
        <w:t xml:space="preserve"> </w:t>
      </w:r>
      <w:r w:rsidR="00D92602">
        <w:t xml:space="preserve">OMB approval of the expiration of the information collection will be displayed on OMB’s website.  </w:t>
      </w:r>
    </w:p>
    <w:p w:rsidR="00376E16" w:rsidP="00376E16" w14:paraId="7C52354D" w14:textId="77777777">
      <w:pPr>
        <w:pStyle w:val="ListParagraph"/>
      </w:pPr>
    </w:p>
    <w:p w:rsidR="00376E16" w:rsidP="00376E16" w14:paraId="78D3C999" w14:textId="279AA6DC">
      <w:pPr>
        <w:pStyle w:val="ListParagraph"/>
        <w:numPr>
          <w:ilvl w:val="1"/>
          <w:numId w:val="3"/>
        </w:numPr>
        <w:ind w:left="720"/>
      </w:pPr>
      <w:r>
        <w:rPr>
          <w:i/>
        </w:rPr>
        <w:t>Exceptions to certification for Paperwork Reduction Act submissions</w:t>
      </w:r>
      <w:r>
        <w:t xml:space="preserve">.  There are no exceptions </w:t>
      </w:r>
      <w:r w:rsidR="00E67F9D">
        <w:t xml:space="preserve">to the </w:t>
      </w:r>
      <w:r w:rsidR="009174DA">
        <w:t>Certification Statement.</w:t>
      </w:r>
      <w:r>
        <w:t xml:space="preserve">  </w:t>
      </w:r>
    </w:p>
    <w:p w:rsidR="00376E16" w:rsidP="00376E16" w14:paraId="6FE9F1E2" w14:textId="77777777">
      <w:pPr>
        <w:pStyle w:val="ListParagraph"/>
      </w:pPr>
    </w:p>
    <w:p w:rsidR="00376E16" w:rsidP="00376E16" w14:paraId="7CF15C51" w14:textId="77777777">
      <w:pPr>
        <w:pStyle w:val="ListParagraph"/>
        <w:keepNext/>
        <w:numPr>
          <w:ilvl w:val="0"/>
          <w:numId w:val="3"/>
        </w:numPr>
        <w:ind w:left="360"/>
      </w:pPr>
      <w:r>
        <w:rPr>
          <w:b/>
          <w:u w:val="single"/>
        </w:rPr>
        <w:t>Collections of Information Employing Statistical Methods:</w:t>
      </w:r>
    </w:p>
    <w:p w:rsidR="00376E16" w:rsidP="00376E16" w14:paraId="526F7AF2" w14:textId="77777777">
      <w:pPr>
        <w:pStyle w:val="ListParagraph"/>
        <w:keepNext/>
        <w:ind w:left="1350"/>
      </w:pPr>
    </w:p>
    <w:p w:rsidR="00376E16" w:rsidP="00376E16" w14:paraId="19CC88EF" w14:textId="77777777">
      <w:pPr>
        <w:ind w:left="720"/>
      </w:pPr>
      <w:r>
        <w:t xml:space="preserve">No statistical methods are employed. </w:t>
      </w:r>
    </w:p>
    <w:p w:rsidR="00376E16" w:rsidP="00376E16" w14:paraId="56ADE555" w14:textId="77777777">
      <w:pPr>
        <w:ind w:firstLine="720"/>
      </w:pPr>
    </w:p>
    <w:p w:rsidR="00C95F5C" w:rsidP="00C27529" w14:paraId="6843C3AB" w14:textId="77777777"/>
    <w:p w:rsidR="003E4B34" w:rsidRPr="003E4B34" w:rsidP="003E4B34" w14:paraId="0AB67681"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B34" w14:paraId="32C24106" w14:textId="0A410C81">
    <w:pPr>
      <w:pStyle w:val="Header"/>
      <w:rPr>
        <w:b/>
      </w:rPr>
    </w:pPr>
    <w:r>
      <w:rPr>
        <w:b/>
      </w:rPr>
      <w:tab/>
    </w:r>
    <w:r>
      <w:rPr>
        <w:b/>
      </w:rPr>
      <w:tab/>
    </w:r>
    <w:r w:rsidR="006C4F9F">
      <w:rPr>
        <w:b/>
      </w:rPr>
      <w:t>3060</w:t>
    </w:r>
    <w:r>
      <w:rPr>
        <w:b/>
      </w:rPr>
      <w:t>-</w:t>
    </w:r>
    <w:r w:rsidR="00F608E8">
      <w:rPr>
        <w:b/>
      </w:rPr>
      <w:t>1287</w:t>
    </w:r>
  </w:p>
  <w:p w:rsidR="003E4B34" w:rsidRPr="003E4B34" w14:paraId="614543FE" w14:textId="4BDB80CE">
    <w:pPr>
      <w:pStyle w:val="Header"/>
      <w:rPr>
        <w:b/>
      </w:rPr>
    </w:pPr>
    <w:r>
      <w:rPr>
        <w:b/>
      </w:rPr>
      <w:tab/>
    </w:r>
    <w:r>
      <w:rPr>
        <w:b/>
      </w:rPr>
      <w:tab/>
    </w:r>
    <w:r w:rsidR="008B0D41">
      <w:rPr>
        <w:b/>
      </w:rPr>
      <w:t>April</w:t>
    </w:r>
    <w:r w:rsidR="00472AD0">
      <w:rPr>
        <w:b/>
      </w:rPr>
      <w:t xml:space="preserve"> </w:t>
    </w:r>
    <w:r w:rsidR="0056744F">
      <w:rPr>
        <w:b/>
      </w:rPr>
      <w:t>202</w:t>
    </w:r>
    <w:r w:rsidR="00282AB6">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11479"/>
    <w:multiLevelType w:val="hybridMultilevel"/>
    <w:tmpl w:val="8BDAD5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FBB0AF4"/>
    <w:multiLevelType w:val="hybridMultilevel"/>
    <w:tmpl w:val="A94A00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BD665AF"/>
    <w:multiLevelType w:val="hybridMultilevel"/>
    <w:tmpl w:val="0BA65E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6141A3"/>
    <w:multiLevelType w:val="hybridMultilevel"/>
    <w:tmpl w:val="C3C4B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9C7C75"/>
    <w:multiLevelType w:val="hybridMultilevel"/>
    <w:tmpl w:val="D02E0FB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CD85052"/>
    <w:multiLevelType w:val="hybridMultilevel"/>
    <w:tmpl w:val="71B0F4C4"/>
    <w:lvl w:ilvl="0">
      <w:start w:val="1"/>
      <w:numFmt w:val="upperLetter"/>
      <w:lvlText w:val="%1."/>
      <w:lvlJc w:val="left"/>
      <w:pPr>
        <w:ind w:left="829" w:hanging="360"/>
      </w:pPr>
      <w:rPr>
        <w:b/>
      </w:rPr>
    </w:lvl>
    <w:lvl w:ilvl="1">
      <w:start w:val="2"/>
      <w:numFmt w:val="decimal"/>
      <w:lvlText w:val="%2."/>
      <w:lvlJc w:val="left"/>
      <w:pPr>
        <w:ind w:left="1549" w:hanging="360"/>
      </w:pPr>
      <w:rPr>
        <w:i w:val="0"/>
        <w:iCs w:val="0"/>
      </w:r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b w:val="0"/>
      </w:r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6">
    <w:nsid w:val="50DD0757"/>
    <w:multiLevelType w:val="hybridMultilevel"/>
    <w:tmpl w:val="8000215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67E756A4"/>
    <w:multiLevelType w:val="hybridMultilevel"/>
    <w:tmpl w:val="1CB00D94"/>
    <w:lvl w:ilvl="0">
      <w:start w:val="1"/>
      <w:numFmt w:val="decimal"/>
      <w:lvlText w:val="(%1)"/>
      <w:lvlJc w:val="left"/>
      <w:pPr>
        <w:ind w:left="1331" w:hanging="360"/>
      </w:pPr>
      <w:rPr>
        <w:rFonts w:cs="Times New Roman"/>
        <w:b w:val="0"/>
      </w:rPr>
    </w:lvl>
    <w:lvl w:ilvl="1" w:tentative="1">
      <w:start w:val="1"/>
      <w:numFmt w:val="lowerLetter"/>
      <w:lvlText w:val="%2."/>
      <w:lvlJc w:val="left"/>
      <w:pPr>
        <w:ind w:left="-218" w:hanging="360"/>
      </w:pPr>
    </w:lvl>
    <w:lvl w:ilvl="2" w:tentative="1">
      <w:start w:val="1"/>
      <w:numFmt w:val="lowerRoman"/>
      <w:lvlText w:val="%3."/>
      <w:lvlJc w:val="right"/>
      <w:pPr>
        <w:ind w:left="502" w:hanging="180"/>
      </w:pPr>
    </w:lvl>
    <w:lvl w:ilvl="3" w:tentative="1">
      <w:start w:val="1"/>
      <w:numFmt w:val="decimal"/>
      <w:lvlText w:val="%4."/>
      <w:lvlJc w:val="left"/>
      <w:pPr>
        <w:ind w:left="1222" w:hanging="360"/>
      </w:pPr>
    </w:lvl>
    <w:lvl w:ilvl="4" w:tentative="1">
      <w:start w:val="1"/>
      <w:numFmt w:val="lowerLetter"/>
      <w:lvlText w:val="%5."/>
      <w:lvlJc w:val="left"/>
      <w:pPr>
        <w:ind w:left="1942" w:hanging="360"/>
      </w:pPr>
    </w:lvl>
    <w:lvl w:ilvl="5" w:tentative="1">
      <w:start w:val="1"/>
      <w:numFmt w:val="lowerRoman"/>
      <w:lvlText w:val="%6."/>
      <w:lvlJc w:val="right"/>
      <w:pPr>
        <w:ind w:left="2662" w:hanging="180"/>
      </w:pPr>
    </w:lvl>
    <w:lvl w:ilvl="6" w:tentative="1">
      <w:start w:val="1"/>
      <w:numFmt w:val="decimal"/>
      <w:lvlText w:val="%7."/>
      <w:lvlJc w:val="left"/>
      <w:pPr>
        <w:ind w:left="3382" w:hanging="360"/>
      </w:pPr>
    </w:lvl>
    <w:lvl w:ilvl="7" w:tentative="1">
      <w:start w:val="1"/>
      <w:numFmt w:val="lowerLetter"/>
      <w:lvlText w:val="%8."/>
      <w:lvlJc w:val="left"/>
      <w:pPr>
        <w:ind w:left="4102" w:hanging="360"/>
      </w:pPr>
    </w:lvl>
    <w:lvl w:ilvl="8" w:tentative="1">
      <w:start w:val="1"/>
      <w:numFmt w:val="lowerRoman"/>
      <w:lvlText w:val="%9."/>
      <w:lvlJc w:val="right"/>
      <w:pPr>
        <w:ind w:left="4822" w:hanging="180"/>
      </w:pPr>
    </w:lvl>
  </w:abstractNum>
  <w:abstractNum w:abstractNumId="8">
    <w:nsid w:val="7F6D3CBD"/>
    <w:multiLevelType w:val="hybridMultilevel"/>
    <w:tmpl w:val="D1AE82DE"/>
    <w:lvl w:ilvl="0">
      <w:start w:val="1"/>
      <w:numFmt w:val="decimal"/>
      <w:lvlText w:val="(%1)"/>
      <w:lvlJc w:val="left"/>
      <w:pPr>
        <w:ind w:left="1440" w:hanging="360"/>
      </w:pPr>
      <w:rPr>
        <w:rFonts w:cs="Times New Roman"/>
        <w:b w:val="0"/>
      </w:rPr>
    </w:lvl>
    <w:lvl w:ilvl="1" w:tentative="1">
      <w:start w:val="1"/>
      <w:numFmt w:val="lowerLetter"/>
      <w:lvlText w:val="%2."/>
      <w:lvlJc w:val="left"/>
      <w:pPr>
        <w:ind w:left="-109" w:hanging="360"/>
      </w:pPr>
    </w:lvl>
    <w:lvl w:ilvl="2" w:tentative="1">
      <w:start w:val="1"/>
      <w:numFmt w:val="lowerRoman"/>
      <w:lvlText w:val="%3."/>
      <w:lvlJc w:val="right"/>
      <w:pPr>
        <w:ind w:left="611" w:hanging="180"/>
      </w:pPr>
    </w:lvl>
    <w:lvl w:ilvl="3" w:tentative="1">
      <w:start w:val="1"/>
      <w:numFmt w:val="decimal"/>
      <w:lvlText w:val="%4."/>
      <w:lvlJc w:val="left"/>
      <w:pPr>
        <w:ind w:left="1331" w:hanging="360"/>
      </w:pPr>
    </w:lvl>
    <w:lvl w:ilvl="4" w:tentative="1">
      <w:start w:val="1"/>
      <w:numFmt w:val="lowerLetter"/>
      <w:lvlText w:val="%5."/>
      <w:lvlJc w:val="left"/>
      <w:pPr>
        <w:ind w:left="2051" w:hanging="360"/>
      </w:pPr>
    </w:lvl>
    <w:lvl w:ilvl="5" w:tentative="1">
      <w:start w:val="1"/>
      <w:numFmt w:val="lowerRoman"/>
      <w:lvlText w:val="%6."/>
      <w:lvlJc w:val="right"/>
      <w:pPr>
        <w:ind w:left="2771" w:hanging="180"/>
      </w:pPr>
    </w:lvl>
    <w:lvl w:ilvl="6" w:tentative="1">
      <w:start w:val="1"/>
      <w:numFmt w:val="decimal"/>
      <w:lvlText w:val="%7."/>
      <w:lvlJc w:val="left"/>
      <w:pPr>
        <w:ind w:left="3491" w:hanging="360"/>
      </w:pPr>
    </w:lvl>
    <w:lvl w:ilvl="7" w:tentative="1">
      <w:start w:val="1"/>
      <w:numFmt w:val="lowerLetter"/>
      <w:lvlText w:val="%8."/>
      <w:lvlJc w:val="left"/>
      <w:pPr>
        <w:ind w:left="4211" w:hanging="360"/>
      </w:pPr>
    </w:lvl>
    <w:lvl w:ilvl="8" w:tentative="1">
      <w:start w:val="1"/>
      <w:numFmt w:val="lowerRoman"/>
      <w:lvlText w:val="%9."/>
      <w:lvlJc w:val="right"/>
      <w:pPr>
        <w:ind w:left="4931" w:hanging="180"/>
      </w:pPr>
    </w:lvl>
  </w:abstractNum>
  <w:num w:numId="1" w16cid:durableId="1839880206">
    <w:abstractNumId w:val="2"/>
  </w:num>
  <w:num w:numId="2" w16cid:durableId="1845125830">
    <w:abstractNumId w:val="6"/>
  </w:num>
  <w:num w:numId="3" w16cid:durableId="111929489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553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3262576">
    <w:abstractNumId w:val="3"/>
  </w:num>
  <w:num w:numId="6" w16cid:durableId="1283656370">
    <w:abstractNumId w:val="0"/>
  </w:num>
  <w:num w:numId="7" w16cid:durableId="1795246935">
    <w:abstractNumId w:val="5"/>
  </w:num>
  <w:num w:numId="8" w16cid:durableId="1471284162">
    <w:abstractNumId w:val="8"/>
  </w:num>
  <w:num w:numId="9" w16cid:durableId="1566916471">
    <w:abstractNumId w:val="7"/>
  </w:num>
  <w:num w:numId="10" w16cid:durableId="205601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34"/>
    <w:rsid w:val="00016E3F"/>
    <w:rsid w:val="00022D8E"/>
    <w:rsid w:val="000407A2"/>
    <w:rsid w:val="00044A7E"/>
    <w:rsid w:val="00047116"/>
    <w:rsid w:val="000614C5"/>
    <w:rsid w:val="000623AD"/>
    <w:rsid w:val="00064801"/>
    <w:rsid w:val="00066795"/>
    <w:rsid w:val="000C3023"/>
    <w:rsid w:val="000C4EBB"/>
    <w:rsid w:val="000D5E44"/>
    <w:rsid w:val="000E3A66"/>
    <w:rsid w:val="00120AC1"/>
    <w:rsid w:val="0012126F"/>
    <w:rsid w:val="0017382A"/>
    <w:rsid w:val="001A7F64"/>
    <w:rsid w:val="001C24FB"/>
    <w:rsid w:val="001D2B1E"/>
    <w:rsid w:val="001E2798"/>
    <w:rsid w:val="001E7561"/>
    <w:rsid w:val="001F069B"/>
    <w:rsid w:val="001F3F49"/>
    <w:rsid w:val="001F6586"/>
    <w:rsid w:val="001F6C1C"/>
    <w:rsid w:val="00211CF7"/>
    <w:rsid w:val="00223199"/>
    <w:rsid w:val="00224696"/>
    <w:rsid w:val="00230486"/>
    <w:rsid w:val="002409CE"/>
    <w:rsid w:val="00256D81"/>
    <w:rsid w:val="00260B39"/>
    <w:rsid w:val="00261C4C"/>
    <w:rsid w:val="00261CE6"/>
    <w:rsid w:val="00264773"/>
    <w:rsid w:val="00265967"/>
    <w:rsid w:val="002815AD"/>
    <w:rsid w:val="00282AB6"/>
    <w:rsid w:val="002A21A9"/>
    <w:rsid w:val="002B1BDF"/>
    <w:rsid w:val="002B55A2"/>
    <w:rsid w:val="002C2B68"/>
    <w:rsid w:val="002E1A8D"/>
    <w:rsid w:val="002F1C61"/>
    <w:rsid w:val="002F234F"/>
    <w:rsid w:val="00303D42"/>
    <w:rsid w:val="00304541"/>
    <w:rsid w:val="003055AB"/>
    <w:rsid w:val="0031064E"/>
    <w:rsid w:val="00320CDD"/>
    <w:rsid w:val="00376E16"/>
    <w:rsid w:val="00381020"/>
    <w:rsid w:val="0039128D"/>
    <w:rsid w:val="003B487A"/>
    <w:rsid w:val="003B746A"/>
    <w:rsid w:val="003D2120"/>
    <w:rsid w:val="003E4B34"/>
    <w:rsid w:val="004509D6"/>
    <w:rsid w:val="00465B50"/>
    <w:rsid w:val="00467EED"/>
    <w:rsid w:val="00472A28"/>
    <w:rsid w:val="00472AD0"/>
    <w:rsid w:val="00475B9B"/>
    <w:rsid w:val="00487245"/>
    <w:rsid w:val="004A4D0E"/>
    <w:rsid w:val="004A69D1"/>
    <w:rsid w:val="004B49FA"/>
    <w:rsid w:val="00516170"/>
    <w:rsid w:val="0054305C"/>
    <w:rsid w:val="00550967"/>
    <w:rsid w:val="0056744F"/>
    <w:rsid w:val="0057711F"/>
    <w:rsid w:val="005B0B96"/>
    <w:rsid w:val="005B1744"/>
    <w:rsid w:val="005B1B59"/>
    <w:rsid w:val="005C19B8"/>
    <w:rsid w:val="005C5EEA"/>
    <w:rsid w:val="005D2A42"/>
    <w:rsid w:val="005E00E1"/>
    <w:rsid w:val="005E4343"/>
    <w:rsid w:val="005E4FEE"/>
    <w:rsid w:val="005E5FB8"/>
    <w:rsid w:val="0060024B"/>
    <w:rsid w:val="00613D03"/>
    <w:rsid w:val="00613E2F"/>
    <w:rsid w:val="00625833"/>
    <w:rsid w:val="0064290E"/>
    <w:rsid w:val="006573FF"/>
    <w:rsid w:val="00667343"/>
    <w:rsid w:val="00697E1C"/>
    <w:rsid w:val="006A3B41"/>
    <w:rsid w:val="006B03B5"/>
    <w:rsid w:val="006C4F9F"/>
    <w:rsid w:val="006D39CA"/>
    <w:rsid w:val="0070642F"/>
    <w:rsid w:val="00713F0B"/>
    <w:rsid w:val="00733273"/>
    <w:rsid w:val="00753C6F"/>
    <w:rsid w:val="00764437"/>
    <w:rsid w:val="00777C92"/>
    <w:rsid w:val="00796598"/>
    <w:rsid w:val="007B1888"/>
    <w:rsid w:val="007B5700"/>
    <w:rsid w:val="007E3AA4"/>
    <w:rsid w:val="008007DE"/>
    <w:rsid w:val="0080422D"/>
    <w:rsid w:val="008066CB"/>
    <w:rsid w:val="0082365D"/>
    <w:rsid w:val="008250A3"/>
    <w:rsid w:val="00845B85"/>
    <w:rsid w:val="0084639D"/>
    <w:rsid w:val="00854A36"/>
    <w:rsid w:val="00860920"/>
    <w:rsid w:val="00874B88"/>
    <w:rsid w:val="008838E9"/>
    <w:rsid w:val="008907BA"/>
    <w:rsid w:val="00894A17"/>
    <w:rsid w:val="008B0D41"/>
    <w:rsid w:val="00902690"/>
    <w:rsid w:val="00910594"/>
    <w:rsid w:val="009174DA"/>
    <w:rsid w:val="009405CC"/>
    <w:rsid w:val="00942BE1"/>
    <w:rsid w:val="009617BC"/>
    <w:rsid w:val="009647C3"/>
    <w:rsid w:val="0096725F"/>
    <w:rsid w:val="009737B1"/>
    <w:rsid w:val="00992879"/>
    <w:rsid w:val="009C02CB"/>
    <w:rsid w:val="00A00286"/>
    <w:rsid w:val="00A00DD7"/>
    <w:rsid w:val="00A00ED3"/>
    <w:rsid w:val="00A13A6E"/>
    <w:rsid w:val="00A14672"/>
    <w:rsid w:val="00A27B16"/>
    <w:rsid w:val="00A658A7"/>
    <w:rsid w:val="00A76EDB"/>
    <w:rsid w:val="00A9283B"/>
    <w:rsid w:val="00A94F5F"/>
    <w:rsid w:val="00AB0C33"/>
    <w:rsid w:val="00AB776F"/>
    <w:rsid w:val="00AD03A5"/>
    <w:rsid w:val="00AF0192"/>
    <w:rsid w:val="00B00F78"/>
    <w:rsid w:val="00B022D0"/>
    <w:rsid w:val="00B2413B"/>
    <w:rsid w:val="00B35114"/>
    <w:rsid w:val="00B47CFA"/>
    <w:rsid w:val="00B5171C"/>
    <w:rsid w:val="00B75DE3"/>
    <w:rsid w:val="00B87368"/>
    <w:rsid w:val="00B87BE0"/>
    <w:rsid w:val="00BD275F"/>
    <w:rsid w:val="00BE0337"/>
    <w:rsid w:val="00BE3863"/>
    <w:rsid w:val="00BF311F"/>
    <w:rsid w:val="00BF394F"/>
    <w:rsid w:val="00C27529"/>
    <w:rsid w:val="00C4187F"/>
    <w:rsid w:val="00C60F82"/>
    <w:rsid w:val="00C62B0C"/>
    <w:rsid w:val="00C67AAA"/>
    <w:rsid w:val="00C92B3A"/>
    <w:rsid w:val="00C94693"/>
    <w:rsid w:val="00C95F5C"/>
    <w:rsid w:val="00C96632"/>
    <w:rsid w:val="00CB0421"/>
    <w:rsid w:val="00CB5651"/>
    <w:rsid w:val="00CC37B4"/>
    <w:rsid w:val="00CD2454"/>
    <w:rsid w:val="00CD4333"/>
    <w:rsid w:val="00CF1781"/>
    <w:rsid w:val="00CF64CB"/>
    <w:rsid w:val="00D2778B"/>
    <w:rsid w:val="00D452A0"/>
    <w:rsid w:val="00D579DA"/>
    <w:rsid w:val="00D615EA"/>
    <w:rsid w:val="00D641D3"/>
    <w:rsid w:val="00D87F41"/>
    <w:rsid w:val="00D9096C"/>
    <w:rsid w:val="00D92602"/>
    <w:rsid w:val="00D9357F"/>
    <w:rsid w:val="00D96F25"/>
    <w:rsid w:val="00DA027C"/>
    <w:rsid w:val="00DB4ED8"/>
    <w:rsid w:val="00DB6849"/>
    <w:rsid w:val="00DB7B20"/>
    <w:rsid w:val="00DF0BFE"/>
    <w:rsid w:val="00DF1F6D"/>
    <w:rsid w:val="00E00835"/>
    <w:rsid w:val="00E00FCC"/>
    <w:rsid w:val="00E05405"/>
    <w:rsid w:val="00E11C5A"/>
    <w:rsid w:val="00E141FE"/>
    <w:rsid w:val="00E33FFA"/>
    <w:rsid w:val="00E34FF3"/>
    <w:rsid w:val="00E62C40"/>
    <w:rsid w:val="00E66E73"/>
    <w:rsid w:val="00E67F9D"/>
    <w:rsid w:val="00EA3383"/>
    <w:rsid w:val="00EA73FE"/>
    <w:rsid w:val="00EB1F0A"/>
    <w:rsid w:val="00EC2068"/>
    <w:rsid w:val="00ED2911"/>
    <w:rsid w:val="00F07BF4"/>
    <w:rsid w:val="00F116FA"/>
    <w:rsid w:val="00F14D9C"/>
    <w:rsid w:val="00F25E5D"/>
    <w:rsid w:val="00F5576A"/>
    <w:rsid w:val="00F608E8"/>
    <w:rsid w:val="00F63D59"/>
    <w:rsid w:val="00F658F8"/>
    <w:rsid w:val="00F71083"/>
    <w:rsid w:val="00F80BE1"/>
    <w:rsid w:val="00FA5E38"/>
    <w:rsid w:val="00FB1071"/>
    <w:rsid w:val="00FB53B2"/>
    <w:rsid w:val="00FD135C"/>
    <w:rsid w:val="00FF39E5"/>
    <w:rsid w:val="00FF64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FE4CF21"/>
  <w15:chartTrackingRefBased/>
  <w15:docId w15:val="{0B0E432A-C730-4EE1-A3EB-91F2A201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B34"/>
    <w:pPr>
      <w:tabs>
        <w:tab w:val="center" w:pos="4680"/>
        <w:tab w:val="right" w:pos="9360"/>
      </w:tabs>
    </w:pPr>
  </w:style>
  <w:style w:type="character" w:customStyle="1" w:styleId="HeaderChar">
    <w:name w:val="Header Char"/>
    <w:basedOn w:val="DefaultParagraphFont"/>
    <w:link w:val="Header"/>
    <w:uiPriority w:val="99"/>
    <w:rsid w:val="003E4B34"/>
  </w:style>
  <w:style w:type="paragraph" w:styleId="Footer">
    <w:name w:val="footer"/>
    <w:basedOn w:val="Normal"/>
    <w:link w:val="FooterChar"/>
    <w:uiPriority w:val="99"/>
    <w:unhideWhenUsed/>
    <w:rsid w:val="003E4B34"/>
    <w:pPr>
      <w:tabs>
        <w:tab w:val="center" w:pos="4680"/>
        <w:tab w:val="right" w:pos="9360"/>
      </w:tabs>
    </w:pPr>
  </w:style>
  <w:style w:type="character" w:customStyle="1" w:styleId="FooterChar">
    <w:name w:val="Footer Char"/>
    <w:basedOn w:val="DefaultParagraphFont"/>
    <w:link w:val="Footer"/>
    <w:uiPriority w:val="99"/>
    <w:rsid w:val="003E4B34"/>
  </w:style>
  <w:style w:type="paragraph" w:styleId="ListParagraph">
    <w:name w:val="List Paragraph"/>
    <w:basedOn w:val="Normal"/>
    <w:uiPriority w:val="34"/>
    <w:qFormat/>
    <w:rsid w:val="003E4B34"/>
    <w:pPr>
      <w:ind w:left="720"/>
      <w:contextualSpacing/>
    </w:pPr>
  </w:style>
  <w:style w:type="paragraph" w:styleId="BalloonText">
    <w:name w:val="Balloon Text"/>
    <w:basedOn w:val="Normal"/>
    <w:link w:val="BalloonTextChar"/>
    <w:uiPriority w:val="99"/>
    <w:semiHidden/>
    <w:unhideWhenUsed/>
    <w:rsid w:val="00F11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6FA"/>
    <w:rPr>
      <w:rFonts w:ascii="Segoe UI" w:hAnsi="Segoe UI" w:cs="Segoe UI"/>
      <w:sz w:val="18"/>
      <w:szCs w:val="18"/>
    </w:rPr>
  </w:style>
  <w:style w:type="character" w:styleId="CommentReference">
    <w:name w:val="annotation reference"/>
    <w:basedOn w:val="DefaultParagraphFont"/>
    <w:uiPriority w:val="99"/>
    <w:semiHidden/>
    <w:unhideWhenUsed/>
    <w:rsid w:val="009405CC"/>
    <w:rPr>
      <w:sz w:val="16"/>
      <w:szCs w:val="16"/>
    </w:rPr>
  </w:style>
  <w:style w:type="paragraph" w:styleId="CommentText">
    <w:name w:val="annotation text"/>
    <w:basedOn w:val="Normal"/>
    <w:link w:val="CommentTextChar"/>
    <w:uiPriority w:val="99"/>
    <w:unhideWhenUsed/>
    <w:rsid w:val="006A3B41"/>
    <w:rPr>
      <w:sz w:val="20"/>
      <w:szCs w:val="20"/>
    </w:rPr>
  </w:style>
  <w:style w:type="character" w:customStyle="1" w:styleId="CommentTextChar">
    <w:name w:val="Comment Text Char"/>
    <w:basedOn w:val="DefaultParagraphFont"/>
    <w:link w:val="CommentText"/>
    <w:uiPriority w:val="99"/>
    <w:rsid w:val="009405CC"/>
    <w:rPr>
      <w:sz w:val="20"/>
      <w:szCs w:val="20"/>
    </w:rPr>
  </w:style>
  <w:style w:type="paragraph" w:styleId="CommentSubject">
    <w:name w:val="annotation subject"/>
    <w:basedOn w:val="CommentText"/>
    <w:next w:val="CommentText"/>
    <w:link w:val="CommentSubjectChar"/>
    <w:uiPriority w:val="99"/>
    <w:semiHidden/>
    <w:unhideWhenUsed/>
    <w:rsid w:val="009405CC"/>
    <w:rPr>
      <w:b/>
      <w:bCs/>
    </w:rPr>
  </w:style>
  <w:style w:type="character" w:customStyle="1" w:styleId="CommentSubjectChar">
    <w:name w:val="Comment Subject Char"/>
    <w:basedOn w:val="CommentTextChar"/>
    <w:link w:val="CommentSubject"/>
    <w:uiPriority w:val="99"/>
    <w:semiHidden/>
    <w:rsid w:val="009405CC"/>
    <w:rPr>
      <w:b/>
      <w:bCs/>
      <w:sz w:val="20"/>
      <w:szCs w:val="20"/>
    </w:rPr>
  </w:style>
  <w:style w:type="paragraph" w:styleId="Revision">
    <w:name w:val="Revision"/>
    <w:hidden/>
    <w:uiPriority w:val="99"/>
    <w:semiHidden/>
    <w:rsid w:val="00F7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AA64E-DC0A-4E0E-A842-90D2885D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Marie Reth</dc:creator>
  <cp:lastModifiedBy>Nicole Ongele</cp:lastModifiedBy>
  <cp:revision>3</cp:revision>
  <dcterms:created xsi:type="dcterms:W3CDTF">2024-04-16T14:13:00Z</dcterms:created>
  <dcterms:modified xsi:type="dcterms:W3CDTF">2024-04-16T14:20:00Z</dcterms:modified>
</cp:coreProperties>
</file>