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6211" w:rsidP="000365DF" w14:paraId="606F7669" w14:textId="7777777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42"/>
        </w:rPr>
      </w:pPr>
    </w:p>
    <w:p w:rsidR="00886211" w:rsidRPr="00DB24A2" w:rsidP="00886211" w14:paraId="15F9B82A" w14:textId="2E0F0C4C">
      <w:pPr>
        <w:autoSpaceDE w:val="0"/>
        <w:autoSpaceDN w:val="0"/>
        <w:adjustRightInd w:val="0"/>
        <w:jc w:val="center"/>
        <w:rPr>
          <w:b/>
          <w:bCs/>
          <w:sz w:val="44"/>
          <w:szCs w:val="42"/>
        </w:rPr>
      </w:pPr>
      <w:r w:rsidRPr="00DB24A2">
        <w:rPr>
          <w:b/>
          <w:bCs/>
          <w:sz w:val="44"/>
          <w:szCs w:val="42"/>
        </w:rPr>
        <w:t xml:space="preserve">Appendix </w:t>
      </w:r>
      <w:r>
        <w:rPr>
          <w:b/>
          <w:bCs/>
          <w:sz w:val="44"/>
          <w:szCs w:val="42"/>
        </w:rPr>
        <w:t>D</w:t>
      </w:r>
      <w:r w:rsidRPr="00DB24A2">
        <w:rPr>
          <w:b/>
          <w:bCs/>
          <w:sz w:val="44"/>
          <w:szCs w:val="42"/>
        </w:rPr>
        <w:t>:</w:t>
      </w:r>
    </w:p>
    <w:p w:rsidR="00886211" w:rsidRPr="00DB24A2" w:rsidP="00886211" w14:paraId="281AD576" w14:textId="77777777">
      <w:pPr>
        <w:autoSpaceDE w:val="0"/>
        <w:autoSpaceDN w:val="0"/>
        <w:adjustRightInd w:val="0"/>
        <w:jc w:val="center"/>
        <w:rPr>
          <w:b/>
          <w:bCs/>
          <w:sz w:val="44"/>
          <w:szCs w:val="42"/>
        </w:rPr>
      </w:pPr>
    </w:p>
    <w:p w:rsidR="00886211" w:rsidRPr="00DB24A2" w:rsidP="00886211" w14:paraId="287BDE2B" w14:textId="77777777">
      <w:pPr>
        <w:autoSpaceDE w:val="0"/>
        <w:autoSpaceDN w:val="0"/>
        <w:adjustRightInd w:val="0"/>
        <w:jc w:val="center"/>
        <w:rPr>
          <w:b/>
          <w:bCs/>
          <w:sz w:val="44"/>
          <w:szCs w:val="42"/>
        </w:rPr>
      </w:pPr>
      <w:r w:rsidRPr="00DB24A2">
        <w:rPr>
          <w:b/>
          <w:bCs/>
          <w:sz w:val="44"/>
          <w:szCs w:val="42"/>
        </w:rPr>
        <w:t>Greenhouse Gas Reporting Program:</w:t>
      </w:r>
    </w:p>
    <w:p w:rsidR="00886211" w:rsidP="00886211" w14:paraId="3306EA58" w14:textId="5F9D9E27">
      <w:pPr>
        <w:autoSpaceDE w:val="0"/>
        <w:autoSpaceDN w:val="0"/>
        <w:adjustRightInd w:val="0"/>
        <w:jc w:val="center"/>
        <w:rPr>
          <w:b/>
          <w:bCs/>
          <w:sz w:val="44"/>
          <w:szCs w:val="42"/>
        </w:rPr>
      </w:pPr>
      <w:r>
        <w:rPr>
          <w:b/>
          <w:bCs/>
          <w:sz w:val="44"/>
          <w:szCs w:val="42"/>
        </w:rPr>
        <w:t>Labor Rates</w:t>
      </w:r>
    </w:p>
    <w:p w:rsidR="00886211" w:rsidP="00886211" w14:paraId="2B58F9D4" w14:textId="77777777">
      <w:pPr>
        <w:autoSpaceDE w:val="0"/>
        <w:autoSpaceDN w:val="0"/>
        <w:adjustRightInd w:val="0"/>
        <w:jc w:val="center"/>
        <w:rPr>
          <w:b/>
          <w:bCs/>
          <w:sz w:val="44"/>
          <w:szCs w:val="42"/>
        </w:rPr>
      </w:pPr>
    </w:p>
    <w:p w:rsidR="00886211" w:rsidP="00886211" w14:paraId="0F74F4EA" w14:textId="77777777">
      <w:pPr>
        <w:autoSpaceDE w:val="0"/>
        <w:autoSpaceDN w:val="0"/>
        <w:adjustRightInd w:val="0"/>
        <w:jc w:val="center"/>
        <w:rPr>
          <w:b/>
          <w:bCs/>
          <w:sz w:val="44"/>
          <w:szCs w:val="42"/>
        </w:rPr>
      </w:pPr>
    </w:p>
    <w:p w:rsidR="00886211" w:rsidP="00886211" w14:paraId="14E45FA5" w14:textId="77777777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886211" w:rsidRPr="008F78FA" w:rsidP="00886211" w14:paraId="1835FDFB" w14:textId="77777777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November</w:t>
      </w:r>
      <w:r w:rsidRPr="3D95BA62">
        <w:rPr>
          <w:b/>
          <w:bCs/>
          <w:sz w:val="40"/>
          <w:szCs w:val="40"/>
        </w:rPr>
        <w:t xml:space="preserve"> 2023</w:t>
      </w:r>
    </w:p>
    <w:p w:rsidR="00886211" w:rsidP="00886211" w14:paraId="3F908DFE" w14:textId="7777777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42"/>
        </w:rPr>
      </w:pPr>
    </w:p>
    <w:p w:rsidR="00886211" w:rsidP="000365DF" w14:paraId="5FE0D5D3" w14:textId="7777777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42"/>
        </w:rPr>
      </w:pPr>
    </w:p>
    <w:p w:rsidR="00886211" w:rsidP="000365DF" w14:paraId="46F32503" w14:textId="7777777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42"/>
        </w:rPr>
      </w:pPr>
    </w:p>
    <w:p w:rsidR="00886211" w:rsidP="000365DF" w14:paraId="37F6C29F" w14:textId="7777777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42"/>
        </w:rPr>
      </w:pPr>
    </w:p>
    <w:p w:rsidR="00886211" w:rsidP="000365DF" w14:paraId="422632C2" w14:textId="7777777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42"/>
        </w:rPr>
      </w:pPr>
    </w:p>
    <w:p w:rsidR="00886211" w:rsidP="000365DF" w14:paraId="25429C14" w14:textId="7777777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42"/>
        </w:rPr>
      </w:pPr>
    </w:p>
    <w:p w:rsidR="00886211" w:rsidP="000365DF" w14:paraId="1BBDB747" w14:textId="7777777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42"/>
        </w:rPr>
      </w:pPr>
    </w:p>
    <w:p w:rsidR="00886211" w:rsidP="000365DF" w14:paraId="4C3A9F57" w14:textId="7777777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42"/>
        </w:rPr>
      </w:pPr>
    </w:p>
    <w:p w:rsidR="00886211" w:rsidP="000365DF" w14:paraId="0CE93D5E" w14:textId="7777777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42"/>
        </w:rPr>
      </w:pPr>
    </w:p>
    <w:p w:rsidR="00886211" w:rsidP="000365DF" w14:paraId="451C3E97" w14:textId="7777777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42"/>
        </w:rPr>
      </w:pPr>
    </w:p>
    <w:p w:rsidR="00886211" w:rsidP="000365DF" w14:paraId="1BCE6AAE" w14:textId="7777777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42"/>
        </w:rPr>
      </w:pPr>
    </w:p>
    <w:p w:rsidR="00886211" w:rsidP="000365DF" w14:paraId="0CBFEDE7" w14:textId="7777777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42"/>
        </w:rPr>
      </w:pPr>
    </w:p>
    <w:p w:rsidR="00886211" w:rsidP="000365DF" w14:paraId="07250B94" w14:textId="7777777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42"/>
        </w:rPr>
      </w:pPr>
    </w:p>
    <w:p w:rsidR="00886211" w:rsidP="000365DF" w14:paraId="4C17D652" w14:textId="7777777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42"/>
        </w:rPr>
      </w:pPr>
    </w:p>
    <w:p w:rsidR="00886211" w:rsidP="000365DF" w14:paraId="2E61C3DB" w14:textId="7777777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42"/>
        </w:rPr>
      </w:pPr>
    </w:p>
    <w:p w:rsidR="000365DF" w:rsidRPr="00EE036D" w:rsidP="000365DF" w14:paraId="339929FE" w14:textId="2C6ADCA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42"/>
        </w:rPr>
      </w:pPr>
      <w:r w:rsidRPr="00EE036D">
        <w:rPr>
          <w:rFonts w:asciiTheme="majorBidi" w:hAnsiTheme="majorBidi" w:cstheme="majorBidi"/>
          <w:b/>
          <w:bCs/>
          <w:sz w:val="28"/>
          <w:szCs w:val="42"/>
        </w:rPr>
        <w:t>Appendix D-1.</w:t>
      </w:r>
      <w:r>
        <w:rPr>
          <w:rFonts w:asciiTheme="majorBidi" w:hAnsiTheme="majorBidi" w:cstheme="majorBidi"/>
          <w:b/>
          <w:bCs/>
          <w:sz w:val="28"/>
          <w:szCs w:val="42"/>
        </w:rPr>
        <w:t xml:space="preserve"> </w:t>
      </w:r>
      <w:r w:rsidRPr="00EE036D">
        <w:rPr>
          <w:rFonts w:asciiTheme="majorBidi" w:hAnsiTheme="majorBidi" w:cstheme="majorBidi"/>
          <w:b/>
          <w:bCs/>
          <w:sz w:val="28"/>
          <w:szCs w:val="42"/>
        </w:rPr>
        <w:t>Respondent Labor Rates</w:t>
      </w:r>
    </w:p>
    <w:tbl>
      <w:tblPr>
        <w:tblW w:w="0" w:type="auto"/>
        <w:tblLook w:val="04A0"/>
      </w:tblPr>
      <w:tblGrid>
        <w:gridCol w:w="925"/>
        <w:gridCol w:w="1675"/>
        <w:gridCol w:w="3690"/>
        <w:gridCol w:w="1530"/>
        <w:gridCol w:w="1530"/>
        <w:gridCol w:w="1620"/>
        <w:gridCol w:w="1970"/>
      </w:tblGrid>
      <w:tr w14:paraId="757230CE" w14:textId="77777777" w:rsidTr="0014654D">
        <w:tblPrEx>
          <w:tblW w:w="0" w:type="auto"/>
          <w:tblLook w:val="04A0"/>
        </w:tblPrEx>
        <w:trPr>
          <w:trHeight w:val="34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365DF" w:rsidRPr="00AF126A" w:rsidP="0014654D" w14:paraId="15ECD5A2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>Subpart (1)</w:t>
            </w:r>
          </w:p>
        </w:tc>
        <w:tc>
          <w:tcPr>
            <w:tcW w:w="16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0365DF" w:rsidRPr="00AF126A" w:rsidP="0014654D" w14:paraId="39CC71F5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>ICR Labor Category</w:t>
            </w:r>
          </w:p>
        </w:tc>
        <w:tc>
          <w:tcPr>
            <w:tcW w:w="103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hideMark/>
          </w:tcPr>
          <w:p w:rsidR="000365DF" w:rsidRPr="00AF126A" w:rsidP="0014654D" w14:paraId="733C9021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>Labor Rates for the 20</w:t>
            </w:r>
            <w:r>
              <w:rPr>
                <w:rFonts w:ascii="Calibri" w:hAnsi="Calibri" w:cs="Calibri"/>
                <w:b/>
                <w:bCs/>
                <w:sz w:val="16"/>
                <w:szCs w:val="20"/>
              </w:rPr>
              <w:t>24</w:t>
            </w: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Renewal ICR</w:t>
            </w:r>
          </w:p>
        </w:tc>
      </w:tr>
      <w:tr w14:paraId="56BCE939" w14:textId="77777777" w:rsidTr="0014654D">
        <w:tblPrEx>
          <w:tblW w:w="0" w:type="auto"/>
          <w:tblLook w:val="04A0"/>
        </w:tblPrEx>
        <w:trPr>
          <w:trHeight w:val="4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DF" w:rsidRPr="00AF126A" w:rsidP="0014654D" w14:paraId="38C7418D" w14:textId="77777777">
            <w:pPr>
              <w:rPr>
                <w:rFonts w:ascii="Calibri" w:hAnsi="Calibri" w:cs="Calibri"/>
                <w:b/>
                <w:bCs/>
                <w:sz w:val="16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365DF" w:rsidRPr="00AF126A" w:rsidP="0014654D" w14:paraId="4F2A9BA8" w14:textId="77777777">
            <w:pPr>
              <w:rPr>
                <w:rFonts w:ascii="Calibri" w:hAnsi="Calibri" w:cs="Calibri"/>
                <w:b/>
                <w:bCs/>
                <w:sz w:val="16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365DF" w:rsidRPr="00AF126A" w:rsidP="0014654D" w14:paraId="30A26947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>BLS Citation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365DF" w:rsidRPr="00AF126A" w:rsidP="0014654D" w14:paraId="61AD9C30" w14:textId="15212971">
            <w:pPr>
              <w:jc w:val="center"/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Mean Hourly </w:t>
            </w: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>Wage &amp; Salaries (20</w:t>
            </w:r>
            <w:r>
              <w:rPr>
                <w:rFonts w:ascii="Calibri" w:hAnsi="Calibri" w:cs="Calibri"/>
                <w:b/>
                <w:bCs/>
                <w:sz w:val="16"/>
                <w:szCs w:val="20"/>
              </w:rPr>
              <w:t>21</w:t>
            </w: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>$)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365DF" w:rsidRPr="00AF126A" w:rsidP="0014654D" w14:paraId="5C4DBDA5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>Benefits Loading Factor (4)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365DF" w:rsidRPr="00AF126A" w:rsidP="0014654D" w14:paraId="2D714579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>Overhead Loading Factor (5)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hideMark/>
          </w:tcPr>
          <w:p w:rsidR="000365DF" w:rsidRPr="00AF126A" w:rsidP="0014654D" w14:paraId="6D830753" w14:textId="795CA92C">
            <w:pPr>
              <w:jc w:val="center"/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>Loaded Hourly Rates Used in ICRs (20</w:t>
            </w:r>
            <w:r>
              <w:rPr>
                <w:rFonts w:ascii="Calibri" w:hAnsi="Calibri" w:cs="Calibri"/>
                <w:b/>
                <w:bCs/>
                <w:sz w:val="16"/>
                <w:szCs w:val="20"/>
              </w:rPr>
              <w:t>21</w:t>
            </w: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>$)(</w:t>
            </w:r>
            <w:r w:rsidR="00DD25DD">
              <w:rPr>
                <w:rFonts w:ascii="Calibri" w:hAnsi="Calibri" w:cs="Calibri"/>
                <w:b/>
                <w:bCs/>
                <w:sz w:val="16"/>
                <w:szCs w:val="20"/>
              </w:rPr>
              <w:t>7)</w:t>
            </w:r>
          </w:p>
        </w:tc>
      </w:tr>
      <w:tr w14:paraId="207972A7" w14:textId="77777777" w:rsidTr="0014654D">
        <w:tblPrEx>
          <w:tblW w:w="0" w:type="auto"/>
          <w:tblLook w:val="04A0"/>
        </w:tblPrEx>
        <w:trPr>
          <w:trHeight w:val="37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365DF" w:rsidRPr="00AF126A" w:rsidP="0014654D" w14:paraId="284C031B" w14:textId="41DA285A">
            <w:pPr>
              <w:jc w:val="center"/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>All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hideMark/>
          </w:tcPr>
          <w:p w:rsidR="000365DF" w:rsidRPr="00AF126A" w:rsidP="0014654D" w14:paraId="071FDCA8" w14:textId="08E0A9E5">
            <w:pPr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>Technical</w:t>
            </w:r>
            <w:r w:rsidR="00DD25DD">
              <w:rPr>
                <w:rFonts w:ascii="Calibri" w:hAnsi="Calibri" w:cs="Calibri"/>
                <w:b/>
                <w:bCs/>
                <w:sz w:val="16"/>
                <w:szCs w:val="20"/>
              </w:rPr>
              <w:t>(</w:t>
            </w:r>
            <w:r w:rsidR="00DD25DD">
              <w:rPr>
                <w:rFonts w:ascii="Calibri" w:hAnsi="Calibri" w:cs="Calibri"/>
                <w:b/>
                <w:bCs/>
                <w:sz w:val="16"/>
                <w:szCs w:val="20"/>
              </w:rPr>
              <w:t>2)</w:t>
            </w: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3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5DF" w:rsidRPr="00AF126A" w:rsidP="0014654D" w14:paraId="6C60D532" w14:textId="77777777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SOC  17-2112 (Industrial Engineer), top-level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5DF" w:rsidRPr="00AF126A" w:rsidP="0014654D" w14:paraId="59DFD9E5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</w:rPr>
              <w:t>45.77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65DF" w:rsidRPr="00AF126A" w:rsidP="0014654D" w14:paraId="7BB71468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</w:rPr>
              <w:t>0.443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5DF" w:rsidRPr="00AF126A" w:rsidP="0014654D" w14:paraId="3996E167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0.17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65DF" w:rsidRPr="00AF126A" w:rsidP="0014654D" w14:paraId="6C51FD90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$</w:t>
            </w:r>
            <w:r>
              <w:rPr>
                <w:rFonts w:ascii="Calibri" w:hAnsi="Calibri" w:cs="Calibri"/>
                <w:color w:val="000000"/>
                <w:sz w:val="16"/>
                <w:szCs w:val="20"/>
              </w:rPr>
              <w:t>73.83</w:t>
            </w:r>
          </w:p>
        </w:tc>
      </w:tr>
      <w:tr w14:paraId="558BCB6A" w14:textId="77777777" w:rsidTr="0014654D">
        <w:tblPrEx>
          <w:tblW w:w="0" w:type="auto"/>
          <w:tblLook w:val="04A0"/>
        </w:tblPrEx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DF" w:rsidRPr="00AF126A" w:rsidP="0014654D" w14:paraId="6E303586" w14:textId="77777777">
            <w:pPr>
              <w:rPr>
                <w:rFonts w:ascii="Calibri" w:hAnsi="Calibri" w:cs="Calibri"/>
                <w:b/>
                <w:bCs/>
                <w:sz w:val="16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hideMark/>
          </w:tcPr>
          <w:p w:rsidR="000365DF" w:rsidRPr="00AF126A" w:rsidP="0014654D" w14:paraId="4A82531C" w14:textId="225F1118">
            <w:pPr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>Managerial</w:t>
            </w:r>
            <w:r w:rsidR="00DD25DD">
              <w:rPr>
                <w:rFonts w:ascii="Calibri" w:hAnsi="Calibri" w:cs="Calibri"/>
                <w:b/>
                <w:bCs/>
                <w:sz w:val="16"/>
                <w:szCs w:val="20"/>
              </w:rPr>
              <w:t>(</w:t>
            </w:r>
            <w:r w:rsidR="00DD25DD">
              <w:rPr>
                <w:rFonts w:ascii="Calibri" w:hAnsi="Calibri" w:cs="Calibri"/>
                <w:b/>
                <w:bCs/>
                <w:sz w:val="16"/>
                <w:szCs w:val="20"/>
              </w:rPr>
              <w:t>2)</w:t>
            </w:r>
          </w:p>
        </w:tc>
        <w:tc>
          <w:tcPr>
            <w:tcW w:w="3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5DF" w:rsidRPr="00AF126A" w:rsidP="0014654D" w14:paraId="04BB35B6" w14:textId="77777777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SOC 11-3051 (Industrial Production Manager), top-level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5DF" w:rsidRPr="00AF126A" w:rsidP="0014654D" w14:paraId="1D08471C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$</w:t>
            </w:r>
            <w:r>
              <w:rPr>
                <w:rFonts w:ascii="Calibri" w:hAnsi="Calibri" w:cs="Calibri"/>
                <w:color w:val="000000"/>
                <w:sz w:val="16"/>
                <w:szCs w:val="20"/>
              </w:rPr>
              <w:t>56.62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65DF" w:rsidRPr="00AF126A" w:rsidP="0014654D" w14:paraId="619CB54B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</w:rPr>
              <w:t>0.443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5DF" w:rsidRPr="00AF126A" w:rsidP="0014654D" w14:paraId="53E3D9F5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0.17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65DF" w:rsidRPr="00AF126A" w:rsidP="0014654D" w14:paraId="672D726E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$</w:t>
            </w:r>
            <w:r>
              <w:rPr>
                <w:rFonts w:ascii="Calibri" w:hAnsi="Calibri" w:cs="Calibri"/>
                <w:color w:val="000000"/>
                <w:sz w:val="16"/>
                <w:szCs w:val="20"/>
              </w:rPr>
              <w:t>91.33</w:t>
            </w:r>
          </w:p>
        </w:tc>
      </w:tr>
      <w:tr w14:paraId="66477F03" w14:textId="77777777" w:rsidTr="0014654D">
        <w:tblPrEx>
          <w:tblW w:w="0" w:type="auto"/>
          <w:tblLook w:val="04A0"/>
        </w:tblPrEx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DF" w:rsidRPr="00AF126A" w:rsidP="0014654D" w14:paraId="6F077919" w14:textId="77777777">
            <w:pPr>
              <w:rPr>
                <w:rFonts w:ascii="Calibri" w:hAnsi="Calibri" w:cs="Calibri"/>
                <w:b/>
                <w:bCs/>
                <w:sz w:val="16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hideMark/>
          </w:tcPr>
          <w:p w:rsidR="000365DF" w:rsidRPr="00AF126A" w:rsidP="0014654D" w14:paraId="0CBD9AE3" w14:textId="77777777">
            <w:pPr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20"/>
              </w:rPr>
              <w:t>Administrative Support</w:t>
            </w: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(3)</w:t>
            </w:r>
          </w:p>
        </w:tc>
        <w:tc>
          <w:tcPr>
            <w:tcW w:w="3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DF" w:rsidRPr="00AF126A" w:rsidP="0014654D" w14:paraId="60EBB208" w14:textId="532F6BA7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Office and Administrative </w:t>
            </w:r>
            <w:r>
              <w:rPr>
                <w:rFonts w:ascii="Calibri" w:hAnsi="Calibri" w:cs="Calibri"/>
                <w:color w:val="000000"/>
                <w:sz w:val="16"/>
                <w:szCs w:val="20"/>
              </w:rPr>
              <w:t>Support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5DF" w:rsidRPr="00AF126A" w:rsidP="0014654D" w14:paraId="4D19C641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$</w:t>
            </w:r>
            <w:r>
              <w:rPr>
                <w:rFonts w:ascii="Calibri" w:hAnsi="Calibri" w:cs="Calibri"/>
                <w:color w:val="000000"/>
                <w:sz w:val="16"/>
                <w:szCs w:val="20"/>
              </w:rPr>
              <w:t>20.85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65DF" w:rsidRPr="00AF126A" w:rsidP="0014654D" w14:paraId="70D79449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</w:rPr>
              <w:t>0.465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5DF" w:rsidRPr="00AF126A" w:rsidP="0014654D" w14:paraId="1960AB35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0.17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65DF" w:rsidRPr="00AF126A" w:rsidP="0014654D" w14:paraId="2C94DF4E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$</w:t>
            </w:r>
            <w:r>
              <w:rPr>
                <w:rFonts w:ascii="Calibri" w:hAnsi="Calibri" w:cs="Calibri"/>
                <w:color w:val="000000"/>
                <w:sz w:val="16"/>
                <w:szCs w:val="20"/>
              </w:rPr>
              <w:t>34.09</w:t>
            </w:r>
          </w:p>
        </w:tc>
      </w:tr>
      <w:tr w14:paraId="197E47D4" w14:textId="77777777" w:rsidTr="0014654D">
        <w:tblPrEx>
          <w:tblW w:w="0" w:type="auto"/>
          <w:tblLook w:val="04A0"/>
        </w:tblPrEx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DF" w:rsidRPr="00AF126A" w:rsidP="0014654D" w14:paraId="5FE08176" w14:textId="77777777">
            <w:pPr>
              <w:rPr>
                <w:rFonts w:ascii="Calibri" w:hAnsi="Calibri" w:cs="Calibri"/>
                <w:b/>
                <w:bCs/>
                <w:sz w:val="16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hideMark/>
          </w:tcPr>
          <w:p w:rsidR="000365DF" w:rsidRPr="00AF126A" w:rsidP="0014654D" w14:paraId="42D370DF" w14:textId="519307DA">
            <w:pPr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>Legal</w:t>
            </w:r>
            <w:r w:rsidR="00DD25DD">
              <w:rPr>
                <w:rFonts w:ascii="Calibri" w:hAnsi="Calibri" w:cs="Calibri"/>
                <w:b/>
                <w:bCs/>
                <w:sz w:val="16"/>
                <w:szCs w:val="20"/>
              </w:rPr>
              <w:t>(</w:t>
            </w:r>
            <w:r w:rsidR="00DD25DD">
              <w:rPr>
                <w:rFonts w:ascii="Calibri" w:hAnsi="Calibri" w:cs="Calibri"/>
                <w:b/>
                <w:bCs/>
                <w:sz w:val="16"/>
                <w:szCs w:val="20"/>
              </w:rPr>
              <w:t>2)</w:t>
            </w: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3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5DF" w:rsidRPr="00AF126A" w:rsidP="0014654D" w14:paraId="449DEF28" w14:textId="4C0FA990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SOC 23-1011 (Lawyer)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5DF" w:rsidRPr="00AF126A" w:rsidP="0014654D" w14:paraId="79ECAAB1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$</w:t>
            </w:r>
            <w:r>
              <w:rPr>
                <w:rFonts w:ascii="Calibri" w:hAnsi="Calibri" w:cs="Calibri"/>
                <w:color w:val="000000"/>
                <w:sz w:val="16"/>
                <w:szCs w:val="20"/>
              </w:rPr>
              <w:t>71.17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65DF" w:rsidRPr="00AF126A" w:rsidP="0014654D" w14:paraId="075D4E5A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</w:rPr>
              <w:t>0.443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5DF" w:rsidRPr="00AF126A" w:rsidP="0014654D" w14:paraId="21938486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0.17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65DF" w:rsidRPr="00AF126A" w:rsidP="0014654D" w14:paraId="334FDA81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$</w:t>
            </w:r>
            <w:r>
              <w:rPr>
                <w:rFonts w:ascii="Calibri" w:hAnsi="Calibri" w:cs="Calibri"/>
                <w:color w:val="000000"/>
                <w:sz w:val="16"/>
                <w:szCs w:val="20"/>
              </w:rPr>
              <w:t>114.80</w:t>
            </w:r>
          </w:p>
        </w:tc>
      </w:tr>
      <w:tr w14:paraId="6F3B8D29" w14:textId="77777777" w:rsidTr="0014654D">
        <w:tblPrEx>
          <w:tblW w:w="0" w:type="auto"/>
          <w:tblLook w:val="04A0"/>
        </w:tblPrEx>
        <w:trPr>
          <w:trHeight w:val="48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365DF" w:rsidRPr="00AF126A" w:rsidP="0014654D" w14:paraId="1C965600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bookmarkStart w:id="0" w:name="_Hlk522710327"/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>W and RR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</w:tcPr>
          <w:p w:rsidR="000365DF" w:rsidRPr="00AF126A" w:rsidP="0014654D" w14:paraId="4E6E0A80" w14:textId="4977B77D">
            <w:pPr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>Legal</w:t>
            </w:r>
            <w:r w:rsidR="00DD25DD">
              <w:rPr>
                <w:rFonts w:ascii="Calibri" w:hAnsi="Calibri" w:cs="Calibri"/>
                <w:b/>
                <w:bCs/>
                <w:sz w:val="16"/>
                <w:szCs w:val="20"/>
              </w:rPr>
              <w:t>(</w:t>
            </w:r>
            <w:r w:rsidR="00DD25DD">
              <w:rPr>
                <w:rFonts w:ascii="Calibri" w:hAnsi="Calibri" w:cs="Calibri"/>
                <w:b/>
                <w:bCs/>
                <w:sz w:val="16"/>
                <w:szCs w:val="20"/>
              </w:rPr>
              <w:t>2)</w:t>
            </w: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3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5DF" w:rsidRPr="00AF126A" w:rsidP="0014654D" w14:paraId="6E95BBCB" w14:textId="0FE8E849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SOC 23-1011 (Lawyer)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5DF" w:rsidRPr="00AF126A" w:rsidP="0014654D" w14:paraId="01525F26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$</w:t>
            </w:r>
            <w:r>
              <w:rPr>
                <w:rFonts w:ascii="Calibri" w:hAnsi="Calibri" w:cs="Calibri"/>
                <w:color w:val="000000"/>
                <w:sz w:val="16"/>
                <w:szCs w:val="20"/>
              </w:rPr>
              <w:t>71.17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65DF" w:rsidRPr="00AF126A" w:rsidP="0014654D" w14:paraId="5018E6C8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</w:rPr>
              <w:t>0.443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5DF" w:rsidRPr="00AF126A" w:rsidP="0014654D" w14:paraId="665A666A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0.17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365DF" w:rsidRPr="00AF126A" w:rsidP="0014654D" w14:paraId="3517DB0F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$</w:t>
            </w:r>
            <w:r>
              <w:rPr>
                <w:rFonts w:ascii="Calibri" w:hAnsi="Calibri" w:cs="Calibri"/>
                <w:color w:val="000000"/>
                <w:sz w:val="16"/>
                <w:szCs w:val="20"/>
              </w:rPr>
              <w:t>114.80</w:t>
            </w:r>
          </w:p>
        </w:tc>
      </w:tr>
      <w:tr w14:paraId="3CEDF805" w14:textId="77777777" w:rsidTr="0014654D">
        <w:tblPrEx>
          <w:tblW w:w="0" w:type="auto"/>
          <w:tblLook w:val="04A0"/>
        </w:tblPrEx>
        <w:trPr>
          <w:trHeight w:val="48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365DF" w:rsidRPr="00AF126A" w:rsidP="0014654D" w14:paraId="5AA35F5F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hideMark/>
          </w:tcPr>
          <w:p w:rsidR="000365DF" w:rsidRPr="00AF126A" w:rsidP="0014654D" w14:paraId="488E948E" w14:textId="117F1A47">
            <w:pPr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Middle </w:t>
            </w: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>Manager</w:t>
            </w:r>
            <w:r w:rsidR="00DD25DD">
              <w:rPr>
                <w:rFonts w:ascii="Calibri" w:hAnsi="Calibri" w:cs="Calibri"/>
                <w:b/>
                <w:bCs/>
                <w:sz w:val="16"/>
                <w:szCs w:val="20"/>
              </w:rPr>
              <w:t>(</w:t>
            </w:r>
            <w:r w:rsidR="00DD25DD">
              <w:rPr>
                <w:rFonts w:ascii="Calibri" w:hAnsi="Calibri" w:cs="Calibri"/>
                <w:b/>
                <w:bCs/>
                <w:sz w:val="16"/>
                <w:szCs w:val="20"/>
              </w:rPr>
              <w:t>6)</w:t>
            </w:r>
          </w:p>
        </w:tc>
        <w:tc>
          <w:tcPr>
            <w:tcW w:w="3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5DF" w:rsidRPr="00AF126A" w:rsidP="0014654D" w14:paraId="20E5EBA5" w14:textId="3F918989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NAICS 211</w:t>
            </w:r>
            <w:r w:rsidR="00DD25DD">
              <w:rPr>
                <w:rFonts w:ascii="Calibri" w:hAnsi="Calibri" w:cs="Calibri"/>
                <w:color w:val="000000"/>
                <w:sz w:val="16"/>
                <w:szCs w:val="20"/>
              </w:rPr>
              <w:t>100</w:t>
            </w: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(Oil and Gas Extraction); SOC 11-</w:t>
            </w:r>
            <w:r w:rsidR="00DD25DD">
              <w:rPr>
                <w:rFonts w:ascii="Calibri" w:hAnsi="Calibri" w:cs="Calibri"/>
                <w:color w:val="000000"/>
                <w:sz w:val="16"/>
                <w:szCs w:val="20"/>
              </w:rPr>
              <w:t>102</w:t>
            </w: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1 (</w:t>
            </w:r>
            <w:r w:rsidR="00DD25DD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General and Operations </w:t>
            </w: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Managers)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5DF" w:rsidRPr="00AF126A" w:rsidP="0014654D" w14:paraId="2F8DED89" w14:textId="285EE2EF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$</w:t>
            </w:r>
            <w:r>
              <w:rPr>
                <w:rFonts w:ascii="Calibri" w:hAnsi="Calibri" w:cs="Calibri"/>
                <w:color w:val="000000"/>
                <w:sz w:val="16"/>
                <w:szCs w:val="20"/>
              </w:rPr>
              <w:t>76.54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65DF" w:rsidRPr="00AF126A" w:rsidP="0014654D" w14:paraId="72DE7D61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</w:rPr>
              <w:t>0.443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5DF" w:rsidRPr="00AF126A" w:rsidP="0014654D" w14:paraId="5C7CDF8F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0.17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65DF" w:rsidRPr="00AF126A" w:rsidP="0014654D" w14:paraId="3D994B63" w14:textId="4C3B4E3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$</w:t>
            </w:r>
            <w:r>
              <w:rPr>
                <w:rFonts w:ascii="Calibri" w:hAnsi="Calibri" w:cs="Calibri"/>
                <w:color w:val="000000"/>
                <w:sz w:val="16"/>
                <w:szCs w:val="20"/>
              </w:rPr>
              <w:t>123.46</w:t>
            </w:r>
          </w:p>
        </w:tc>
      </w:tr>
      <w:tr w14:paraId="3404CD85" w14:textId="77777777" w:rsidTr="0014654D">
        <w:tblPrEx>
          <w:tblW w:w="0" w:type="auto"/>
          <w:tblLook w:val="04A0"/>
        </w:tblPrEx>
        <w:trPr>
          <w:trHeight w:val="44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365DF" w:rsidRPr="00AF126A" w:rsidP="0014654D" w14:paraId="1050B69B" w14:textId="77777777">
            <w:pPr>
              <w:rPr>
                <w:rFonts w:ascii="Calibri" w:hAnsi="Calibri" w:cs="Calibri"/>
                <w:b/>
                <w:bCs/>
                <w:sz w:val="16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hideMark/>
          </w:tcPr>
          <w:p w:rsidR="000365DF" w:rsidRPr="00AF126A" w:rsidP="0014654D" w14:paraId="037A032C" w14:textId="0EFD450A">
            <w:pPr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Senior </w:t>
            </w: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>Manager</w:t>
            </w:r>
            <w:r w:rsidR="00DD25DD">
              <w:rPr>
                <w:rFonts w:ascii="Calibri" w:hAnsi="Calibri" w:cs="Calibri"/>
                <w:b/>
                <w:bCs/>
                <w:sz w:val="16"/>
                <w:szCs w:val="20"/>
              </w:rPr>
              <w:t>(</w:t>
            </w:r>
            <w:r w:rsidR="00DD25DD">
              <w:rPr>
                <w:rFonts w:ascii="Calibri" w:hAnsi="Calibri" w:cs="Calibri"/>
                <w:b/>
                <w:bCs/>
                <w:sz w:val="16"/>
                <w:szCs w:val="20"/>
              </w:rPr>
              <w:t>6)</w:t>
            </w:r>
          </w:p>
        </w:tc>
        <w:tc>
          <w:tcPr>
            <w:tcW w:w="3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5DF" w:rsidRPr="00AF126A" w:rsidP="0014654D" w14:paraId="7AD85E90" w14:textId="3D092391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NAICS 21</w:t>
            </w:r>
            <w:r w:rsidR="00DD25DD">
              <w:rPr>
                <w:rFonts w:ascii="Calibri" w:hAnsi="Calibri" w:cs="Calibri"/>
                <w:color w:val="000000"/>
                <w:sz w:val="16"/>
                <w:szCs w:val="20"/>
              </w:rPr>
              <w:t>1100</w:t>
            </w: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(Oil and Gas Extraction); SOC 11-</w:t>
            </w:r>
            <w:r w:rsidR="00DD25DD">
              <w:rPr>
                <w:rFonts w:ascii="Calibri" w:hAnsi="Calibri" w:cs="Calibri"/>
                <w:color w:val="000000"/>
                <w:sz w:val="16"/>
                <w:szCs w:val="20"/>
              </w:rPr>
              <w:t>305</w:t>
            </w: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1 (</w:t>
            </w:r>
            <w:r w:rsidR="00DD25DD">
              <w:rPr>
                <w:rFonts w:ascii="Calibri" w:hAnsi="Calibri" w:cs="Calibri"/>
                <w:color w:val="000000"/>
                <w:sz w:val="16"/>
                <w:szCs w:val="20"/>
              </w:rPr>
              <w:t>Industrial Production managers</w:t>
            </w: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5DF" w:rsidRPr="00AF126A" w:rsidP="0014654D" w14:paraId="59B0A143" w14:textId="3937A53A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$</w:t>
            </w:r>
            <w:r>
              <w:rPr>
                <w:rFonts w:ascii="Calibri" w:hAnsi="Calibri" w:cs="Calibri"/>
                <w:color w:val="000000"/>
                <w:sz w:val="16"/>
                <w:szCs w:val="20"/>
              </w:rPr>
              <w:t>82.03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65DF" w:rsidRPr="00AF126A" w:rsidP="0014654D" w14:paraId="6827775B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</w:rPr>
              <w:t>0.443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5DF" w:rsidRPr="00AF126A" w:rsidP="0014654D" w14:paraId="4D1ACD1A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0.17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65DF" w:rsidRPr="00AF126A" w:rsidP="0014654D" w14:paraId="183B3FA1" w14:textId="2ABA3CE5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$</w:t>
            </w:r>
            <w:r>
              <w:rPr>
                <w:rFonts w:ascii="Calibri" w:hAnsi="Calibri" w:cs="Calibri"/>
                <w:color w:val="000000"/>
                <w:sz w:val="16"/>
                <w:szCs w:val="20"/>
              </w:rPr>
              <w:t>132.31</w:t>
            </w:r>
          </w:p>
        </w:tc>
      </w:tr>
      <w:tr w14:paraId="497B6EE9" w14:textId="77777777" w:rsidTr="0014654D">
        <w:tblPrEx>
          <w:tblW w:w="0" w:type="auto"/>
          <w:tblLook w:val="04A0"/>
        </w:tblPrEx>
        <w:trPr>
          <w:trHeight w:val="503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365DF" w:rsidRPr="00AF126A" w:rsidP="0014654D" w14:paraId="374D2C7A" w14:textId="77777777">
            <w:pPr>
              <w:rPr>
                <w:rFonts w:ascii="Calibri" w:hAnsi="Calibri" w:cs="Calibri"/>
                <w:b/>
                <w:bCs/>
                <w:sz w:val="16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hideMark/>
          </w:tcPr>
          <w:p w:rsidR="000365DF" w:rsidRPr="00AF126A" w:rsidP="0014654D" w14:paraId="26B010E6" w14:textId="37CCEFB3">
            <w:pPr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>Engineers</w:t>
            </w:r>
            <w:r w:rsidR="00DD25DD">
              <w:rPr>
                <w:rFonts w:ascii="Calibri" w:hAnsi="Calibri" w:cs="Calibri"/>
                <w:b/>
                <w:bCs/>
                <w:sz w:val="16"/>
                <w:szCs w:val="20"/>
              </w:rPr>
              <w:t>(</w:t>
            </w:r>
            <w:r w:rsidR="00DD25D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6)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5DF" w:rsidRPr="00AF126A" w:rsidP="0014654D" w14:paraId="4B851375" w14:textId="3D6706E8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NAICS 211</w:t>
            </w:r>
            <w:r w:rsidR="00DD25DD">
              <w:rPr>
                <w:rFonts w:ascii="Calibri" w:hAnsi="Calibri" w:cs="Calibri"/>
                <w:color w:val="000000"/>
                <w:sz w:val="16"/>
                <w:szCs w:val="20"/>
              </w:rPr>
              <w:t>1</w:t>
            </w: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00 (Oil and Gas Extraction); SOC 17-2112 (Ind</w:t>
            </w:r>
            <w:r w:rsidR="00DD25DD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ustrial </w:t>
            </w: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Engineers)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5DF" w:rsidRPr="00AF126A" w:rsidP="0014654D" w14:paraId="4B48496B" w14:textId="7478E53B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$</w:t>
            </w:r>
            <w:r>
              <w:rPr>
                <w:rFonts w:ascii="Calibri" w:hAnsi="Calibri" w:cs="Calibri"/>
                <w:color w:val="000000"/>
                <w:sz w:val="16"/>
                <w:szCs w:val="20"/>
              </w:rPr>
              <w:t>68.30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65DF" w:rsidRPr="00AF126A" w:rsidP="0014654D" w14:paraId="2F356683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</w:rPr>
              <w:t>0.443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5DF" w:rsidRPr="00AF126A" w:rsidP="0014654D" w14:paraId="2EAA84DC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0.17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65DF" w:rsidRPr="00AF126A" w:rsidP="0014654D" w14:paraId="5EB7BA85" w14:textId="5021253D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$</w:t>
            </w:r>
            <w:r>
              <w:rPr>
                <w:rFonts w:ascii="Calibri" w:hAnsi="Calibri" w:cs="Calibri"/>
                <w:color w:val="000000"/>
                <w:sz w:val="16"/>
                <w:szCs w:val="20"/>
              </w:rPr>
              <w:t>110.17</w:t>
            </w:r>
          </w:p>
        </w:tc>
      </w:tr>
      <w:tr w14:paraId="4BBDB4F3" w14:textId="77777777" w:rsidTr="0014654D">
        <w:tblPrEx>
          <w:tblW w:w="0" w:type="auto"/>
          <w:tblLook w:val="04A0"/>
        </w:tblPrEx>
        <w:trPr>
          <w:trHeight w:val="503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DF" w:rsidRPr="00AF126A" w:rsidP="0014654D" w14:paraId="1F5ABE62" w14:textId="77777777">
            <w:pPr>
              <w:rPr>
                <w:rFonts w:ascii="Calibri" w:hAnsi="Calibri" w:cs="Calibri"/>
                <w:b/>
                <w:bCs/>
                <w:sz w:val="16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hideMark/>
          </w:tcPr>
          <w:p w:rsidR="000365DF" w:rsidRPr="00AF126A" w:rsidP="0014654D" w14:paraId="774671FE" w14:textId="4134E03E">
            <w:pPr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r w:rsidRPr="00AF126A">
              <w:rPr>
                <w:rFonts w:ascii="Calibri" w:hAnsi="Calibri" w:cs="Calibri"/>
                <w:b/>
                <w:bCs/>
                <w:sz w:val="16"/>
                <w:szCs w:val="20"/>
              </w:rPr>
              <w:t>Technicians</w:t>
            </w:r>
            <w:r w:rsidR="00DD25DD">
              <w:rPr>
                <w:rFonts w:ascii="Calibri" w:hAnsi="Calibri" w:cs="Calibri"/>
                <w:b/>
                <w:bCs/>
                <w:sz w:val="16"/>
                <w:szCs w:val="20"/>
              </w:rPr>
              <w:t>(</w:t>
            </w:r>
            <w:r w:rsidR="00DD25DD">
              <w:rPr>
                <w:rFonts w:ascii="Calibri" w:hAnsi="Calibri" w:cs="Calibri"/>
                <w:b/>
                <w:bCs/>
                <w:sz w:val="16"/>
                <w:szCs w:val="20"/>
              </w:rPr>
              <w:t>6)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5DF" w:rsidRPr="00AF126A" w:rsidP="0014654D" w14:paraId="6490068C" w14:textId="4EB316F3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NAICS 211</w:t>
            </w:r>
            <w:r w:rsidR="00DD25DD">
              <w:rPr>
                <w:rFonts w:ascii="Calibri" w:hAnsi="Calibri" w:cs="Calibri"/>
                <w:color w:val="000000"/>
                <w:sz w:val="16"/>
                <w:szCs w:val="20"/>
              </w:rPr>
              <w:t>1</w:t>
            </w: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00 (Oil and Gas Extraction); SOC 17-3024 (Electro-Mechanical </w:t>
            </w:r>
            <w:r w:rsidR="00DD25DD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and Mechatronics Technologists and </w:t>
            </w: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Technicians)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5DF" w:rsidRPr="00AF126A" w:rsidP="0014654D" w14:paraId="04580AA5" w14:textId="6530C5CA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$</w:t>
            </w:r>
            <w:r>
              <w:rPr>
                <w:rFonts w:ascii="Calibri" w:hAnsi="Calibri" w:cs="Calibri"/>
                <w:color w:val="000000"/>
                <w:sz w:val="16"/>
                <w:szCs w:val="20"/>
              </w:rPr>
              <w:t>48.35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65DF" w:rsidRPr="00AF126A" w:rsidP="0014654D" w14:paraId="409D10FE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</w:rPr>
              <w:t>0.443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5DF" w:rsidRPr="00AF126A" w:rsidP="0014654D" w14:paraId="64A1AAD3" w14:textId="77777777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0.17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65DF" w:rsidRPr="00AF126A" w:rsidP="0014654D" w14:paraId="29235697" w14:textId="1DE751FB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AF126A">
              <w:rPr>
                <w:rFonts w:ascii="Calibri" w:hAnsi="Calibri" w:cs="Calibri"/>
                <w:color w:val="000000"/>
                <w:sz w:val="16"/>
                <w:szCs w:val="20"/>
              </w:rPr>
              <w:t>$</w:t>
            </w:r>
            <w:r w:rsidR="00064C6D">
              <w:rPr>
                <w:rFonts w:ascii="Calibri" w:hAnsi="Calibri" w:cs="Calibri"/>
                <w:color w:val="000000"/>
                <w:sz w:val="16"/>
                <w:szCs w:val="20"/>
              </w:rPr>
              <w:t>77.99</w:t>
            </w:r>
          </w:p>
        </w:tc>
      </w:tr>
      <w:bookmarkEnd w:id="0"/>
    </w:tbl>
    <w:p w:rsidR="000365DF" w:rsidRPr="00B47A80" w:rsidP="000365DF" w14:paraId="47D39CCD" w14:textId="77777777">
      <w:pPr>
        <w:autoSpaceDE w:val="0"/>
        <w:autoSpaceDN w:val="0"/>
        <w:adjustRightInd w:val="0"/>
        <w:ind w:firstLine="720"/>
        <w:jc w:val="center"/>
        <w:rPr>
          <w:rFonts w:asciiTheme="majorBidi" w:hAnsiTheme="majorBidi" w:cstheme="majorBidi"/>
          <w:b/>
          <w:bCs/>
          <w:sz w:val="12"/>
          <w:szCs w:val="42"/>
        </w:rPr>
      </w:pPr>
    </w:p>
    <w:p w:rsidR="000365DF" w:rsidP="000365DF" w14:paraId="1C334C1A" w14:textId="35F9945A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Theme="majorBidi" w:hAnsiTheme="majorBidi" w:cstheme="majorBidi"/>
          <w:sz w:val="18"/>
          <w:szCs w:val="18"/>
        </w:rPr>
      </w:pPr>
      <w:r w:rsidRPr="00AA2820">
        <w:rPr>
          <w:rFonts w:asciiTheme="majorBidi" w:hAnsiTheme="majorBidi" w:cstheme="majorBidi"/>
          <w:sz w:val="18"/>
          <w:szCs w:val="18"/>
        </w:rPr>
        <w:t>Technical, Manager</w:t>
      </w:r>
      <w:r>
        <w:rPr>
          <w:rFonts w:asciiTheme="majorBidi" w:hAnsiTheme="majorBidi" w:cstheme="majorBidi"/>
          <w:sz w:val="18"/>
          <w:szCs w:val="18"/>
        </w:rPr>
        <w:t>ial</w:t>
      </w:r>
      <w:r w:rsidRPr="00AA2820">
        <w:rPr>
          <w:rFonts w:asciiTheme="majorBidi" w:hAnsiTheme="majorBidi" w:cstheme="majorBidi"/>
          <w:sz w:val="18"/>
          <w:szCs w:val="18"/>
        </w:rPr>
        <w:t>, Administrative Support, and Legal are used for all subparts. In addition to these rates, specialized rates are used for subparts W and RR.</w:t>
      </w:r>
    </w:p>
    <w:p w:rsidR="005472A9" w:rsidRPr="00AA2820" w:rsidP="005472A9" w14:paraId="42BD0DA6" w14:textId="77777777">
      <w:pPr>
        <w:pStyle w:val="ListParagraph"/>
        <w:autoSpaceDE w:val="0"/>
        <w:autoSpaceDN w:val="0"/>
        <w:adjustRightInd w:val="0"/>
        <w:ind w:left="360"/>
        <w:rPr>
          <w:rFonts w:asciiTheme="majorBidi" w:hAnsiTheme="majorBidi" w:cstheme="majorBidi"/>
          <w:sz w:val="18"/>
          <w:szCs w:val="18"/>
        </w:rPr>
      </w:pPr>
    </w:p>
    <w:p w:rsidR="00652018" w:rsidRPr="00652018" w:rsidP="00652018" w14:paraId="2DEF3DC6" w14:textId="63E1DCC2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Theme="majorBidi" w:hAnsiTheme="majorBidi" w:cstheme="majorBidi"/>
          <w:sz w:val="18"/>
          <w:szCs w:val="18"/>
        </w:rPr>
      </w:pPr>
      <w:r w:rsidRPr="00652018">
        <w:rPr>
          <w:rFonts w:asciiTheme="majorBidi" w:hAnsiTheme="majorBidi" w:cstheme="majorBidi"/>
          <w:sz w:val="18"/>
          <w:szCs w:val="18"/>
        </w:rPr>
        <w:t>The base hourly wages &amp; salaries (not including benefits &amp; overhead) for all categories except administrative support are from</w:t>
      </w:r>
      <w:r w:rsidRPr="00652018">
        <w:rPr>
          <w:rFonts w:asciiTheme="majorBidi" w:hAnsiTheme="majorBidi" w:cstheme="majorBidi"/>
          <w:sz w:val="18"/>
          <w:szCs w:val="18"/>
        </w:rPr>
        <w:t>:</w:t>
      </w:r>
      <w:r w:rsidR="005472A9">
        <w:rPr>
          <w:rFonts w:asciiTheme="majorBidi" w:hAnsiTheme="majorBidi" w:cstheme="majorBidi"/>
          <w:sz w:val="18"/>
          <w:szCs w:val="18"/>
        </w:rPr>
        <w:t xml:space="preserve"> Bls.gov/</w:t>
      </w:r>
      <w:r w:rsidR="005472A9">
        <w:rPr>
          <w:rFonts w:asciiTheme="majorBidi" w:hAnsiTheme="majorBidi" w:cstheme="majorBidi"/>
          <w:sz w:val="18"/>
          <w:szCs w:val="18"/>
        </w:rPr>
        <w:t>oes</w:t>
      </w:r>
      <w:r w:rsidR="005472A9">
        <w:rPr>
          <w:rFonts w:asciiTheme="majorBidi" w:hAnsiTheme="majorBidi" w:cstheme="majorBidi"/>
          <w:sz w:val="18"/>
          <w:szCs w:val="18"/>
        </w:rPr>
        <w:t>/current/oes_nat.htm.</w:t>
      </w:r>
    </w:p>
    <w:p w:rsidR="000365DF" w:rsidP="00212702" w14:paraId="76FB3CEF" w14:textId="3F8D6221">
      <w:pPr>
        <w:autoSpaceDE w:val="0"/>
        <w:autoSpaceDN w:val="0"/>
        <w:adjustRightInd w:val="0"/>
        <w:ind w:left="36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U.S. </w:t>
      </w:r>
      <w:r w:rsidRPr="00652018">
        <w:rPr>
          <w:rFonts w:asciiTheme="majorBidi" w:hAnsiTheme="majorBidi" w:cstheme="majorBidi"/>
          <w:sz w:val="18"/>
          <w:szCs w:val="18"/>
        </w:rPr>
        <w:t xml:space="preserve">Bureau of Labor Statistics (BLS) </w:t>
      </w:r>
      <w:r>
        <w:rPr>
          <w:rFonts w:asciiTheme="majorBidi" w:hAnsiTheme="majorBidi" w:cstheme="majorBidi"/>
          <w:sz w:val="18"/>
          <w:szCs w:val="18"/>
        </w:rPr>
        <w:t>– Occupational Employment and</w:t>
      </w:r>
      <w:r w:rsidR="00F14B12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>Wage Statistics</w:t>
      </w:r>
      <w:r w:rsidR="00212702">
        <w:rPr>
          <w:rFonts w:asciiTheme="majorBidi" w:hAnsiTheme="majorBidi" w:cstheme="majorBidi"/>
          <w:sz w:val="18"/>
          <w:szCs w:val="18"/>
        </w:rPr>
        <w:t xml:space="preserve"> - </w:t>
      </w:r>
      <w:r w:rsidRPr="00652018">
        <w:rPr>
          <w:rFonts w:asciiTheme="majorBidi" w:hAnsiTheme="majorBidi" w:cstheme="majorBidi"/>
          <w:sz w:val="18"/>
          <w:szCs w:val="18"/>
        </w:rPr>
        <w:t xml:space="preserve">May 2021 National </w:t>
      </w:r>
      <w:r w:rsidR="00212702">
        <w:rPr>
          <w:rFonts w:asciiTheme="majorBidi" w:hAnsiTheme="majorBidi" w:cstheme="majorBidi"/>
          <w:sz w:val="18"/>
          <w:szCs w:val="18"/>
        </w:rPr>
        <w:t xml:space="preserve">Occupational Employment and Wage Estimates – United States.  17-0000 Architecture and Engineering Occupations. Wages found under Major Occupation Group 17-0000 Architecture and Engineering Occupations.    </w:t>
      </w:r>
    </w:p>
    <w:p w:rsidR="005472A9" w:rsidRPr="00652018" w:rsidP="00212702" w14:paraId="60624B8F" w14:textId="77777777">
      <w:pPr>
        <w:autoSpaceDE w:val="0"/>
        <w:autoSpaceDN w:val="0"/>
        <w:adjustRightInd w:val="0"/>
        <w:ind w:left="360"/>
        <w:rPr>
          <w:rFonts w:asciiTheme="majorBidi" w:hAnsiTheme="majorBidi" w:cstheme="majorBidi"/>
          <w:sz w:val="18"/>
          <w:szCs w:val="18"/>
        </w:rPr>
      </w:pPr>
    </w:p>
    <w:p w:rsidR="007F3C87" w:rsidP="000365DF" w14:paraId="700DA894" w14:textId="43D5780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Theme="majorBidi" w:hAnsiTheme="majorBidi" w:cstheme="majorBidi"/>
          <w:sz w:val="18"/>
          <w:szCs w:val="18"/>
        </w:rPr>
      </w:pPr>
      <w:r w:rsidRPr="00AA2820">
        <w:rPr>
          <w:rFonts w:asciiTheme="majorBidi" w:hAnsiTheme="majorBidi" w:cstheme="majorBidi"/>
          <w:sz w:val="18"/>
          <w:szCs w:val="18"/>
        </w:rPr>
        <w:t xml:space="preserve">The base hourly wages &amp; salaries (not including benefits &amp; overhead) for administrative support </w:t>
      </w:r>
      <w:r w:rsidR="00B92C29">
        <w:rPr>
          <w:rFonts w:asciiTheme="majorBidi" w:hAnsiTheme="majorBidi" w:cstheme="majorBidi"/>
          <w:sz w:val="18"/>
          <w:szCs w:val="18"/>
        </w:rPr>
        <w:t>are</w:t>
      </w:r>
      <w:r w:rsidRPr="00AA2820">
        <w:rPr>
          <w:rFonts w:asciiTheme="majorBidi" w:hAnsiTheme="majorBidi" w:cstheme="majorBidi"/>
          <w:sz w:val="18"/>
          <w:szCs w:val="18"/>
        </w:rPr>
        <w:t xml:space="preserve"> from</w:t>
      </w:r>
      <w:r w:rsidR="005472A9">
        <w:rPr>
          <w:rFonts w:asciiTheme="majorBidi" w:hAnsiTheme="majorBidi" w:cstheme="majorBidi"/>
          <w:sz w:val="18"/>
          <w:szCs w:val="18"/>
        </w:rPr>
        <w:t xml:space="preserve"> https://www.bls.gov/web/ecec/ececqrtn.pdf.</w:t>
      </w:r>
    </w:p>
    <w:p w:rsidR="007F3C87" w:rsidP="007F3C87" w14:paraId="2AACE4A7" w14:textId="406DB0BF">
      <w:pPr>
        <w:pStyle w:val="ListParagraph"/>
        <w:autoSpaceDE w:val="0"/>
        <w:autoSpaceDN w:val="0"/>
        <w:adjustRightInd w:val="0"/>
        <w:ind w:left="36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BLS’s </w:t>
      </w:r>
      <w:r>
        <w:rPr>
          <w:rFonts w:asciiTheme="majorBidi" w:hAnsiTheme="majorBidi" w:cstheme="majorBidi"/>
          <w:sz w:val="18"/>
          <w:szCs w:val="18"/>
        </w:rPr>
        <w:t>“Employer Costs for Employee Compensation – Historical Listing – National Compensation Survey – March 2004 – September 2021, page 668</w:t>
      </w:r>
      <w:r w:rsidR="00B92C29">
        <w:rPr>
          <w:rFonts w:asciiTheme="majorBidi" w:hAnsiTheme="majorBidi" w:cstheme="majorBidi"/>
          <w:sz w:val="18"/>
          <w:szCs w:val="18"/>
        </w:rPr>
        <w:t>:</w:t>
      </w:r>
      <w:r>
        <w:rPr>
          <w:rFonts w:asciiTheme="majorBidi" w:hAnsiTheme="majorBidi" w:cstheme="majorBidi"/>
          <w:sz w:val="18"/>
          <w:szCs w:val="18"/>
        </w:rPr>
        <w:t xml:space="preserve"> Table 19. Private Industry workers, full-time by occupational group: employer costs per hour worked for employee compensation and costs as a percentage of total compensation – Continued – Office and administrative support occupations – wages and salaries – 2021, “Cost per hour worked” column – September 2021. </w:t>
      </w:r>
    </w:p>
    <w:p w:rsidR="000365DF" w:rsidRPr="007F3C87" w:rsidP="007F3C87" w14:paraId="1F5DA592" w14:textId="74137FD0">
      <w:pPr>
        <w:pStyle w:val="ListParagraph"/>
        <w:autoSpaceDE w:val="0"/>
        <w:autoSpaceDN w:val="0"/>
        <w:adjustRightInd w:val="0"/>
        <w:ind w:left="360"/>
        <w:rPr>
          <w:rFonts w:asciiTheme="majorBidi" w:hAnsiTheme="majorBidi" w:cstheme="majorBidi"/>
          <w:sz w:val="18"/>
          <w:szCs w:val="18"/>
        </w:rPr>
      </w:pPr>
      <w:r w:rsidRPr="007F3C87">
        <w:rPr>
          <w:rFonts w:asciiTheme="majorBidi" w:hAnsiTheme="majorBidi" w:cstheme="majorBidi"/>
          <w:sz w:val="18"/>
          <w:szCs w:val="18"/>
        </w:rPr>
        <w:t xml:space="preserve"> </w:t>
      </w:r>
    </w:p>
    <w:p w:rsidR="000365DF" w:rsidRPr="00FE307C" w:rsidP="75D2E1F6" w14:paraId="66A5988B" w14:textId="09F0C40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Theme="majorBidi" w:hAnsiTheme="majorBidi" w:cstheme="majorBidi"/>
          <w:sz w:val="18"/>
          <w:szCs w:val="18"/>
        </w:rPr>
      </w:pPr>
      <w:r w:rsidRPr="75D2E1F6">
        <w:rPr>
          <w:rFonts w:asciiTheme="majorBidi" w:hAnsiTheme="majorBidi" w:cstheme="majorBidi"/>
          <w:sz w:val="18"/>
          <w:szCs w:val="18"/>
        </w:rPr>
        <w:t>The benefits loading factor is calculated using data f</w:t>
      </w:r>
      <w:r w:rsidRPr="75D2E1F6">
        <w:rPr>
          <w:rFonts w:asciiTheme="majorBidi" w:hAnsiTheme="majorBidi" w:cstheme="majorBidi"/>
          <w:sz w:val="18"/>
          <w:szCs w:val="18"/>
        </w:rPr>
        <w:t>rom</w:t>
      </w:r>
      <w:r w:rsidRPr="75D2E1F6" w:rsidR="005472A9">
        <w:rPr>
          <w:rFonts w:asciiTheme="majorBidi" w:hAnsiTheme="majorBidi" w:cstheme="majorBidi"/>
          <w:sz w:val="18"/>
          <w:szCs w:val="18"/>
        </w:rPr>
        <w:t xml:space="preserve">: https://www.bls.gov/web/ecec/ececqrtn.pdf. </w:t>
      </w:r>
      <w:r w:rsidRPr="75D2E1F6">
        <w:rPr>
          <w:rFonts w:asciiTheme="majorBidi" w:hAnsiTheme="majorBidi" w:cstheme="majorBidi"/>
          <w:sz w:val="18"/>
          <w:szCs w:val="18"/>
        </w:rPr>
        <w:t xml:space="preserve"> BLS's E</w:t>
      </w:r>
      <w:r w:rsidRPr="75D2E1F6">
        <w:rPr>
          <w:rFonts w:asciiTheme="majorBidi" w:hAnsiTheme="majorBidi" w:cstheme="majorBidi"/>
          <w:sz w:val="18"/>
          <w:szCs w:val="18"/>
        </w:rPr>
        <w:t>mployer Costs for Employee Compensation – Historical Listing – National Compensation Survey</w:t>
      </w:r>
      <w:r w:rsidRPr="75D2E1F6" w:rsidR="005472A9">
        <w:rPr>
          <w:rFonts w:asciiTheme="majorBidi" w:hAnsiTheme="majorBidi" w:cstheme="majorBidi"/>
          <w:sz w:val="18"/>
          <w:szCs w:val="18"/>
        </w:rPr>
        <w:t xml:space="preserve"> – March 2004 – September 2021, page 653:</w:t>
      </w:r>
      <w:r w:rsidRPr="75D2E1F6" w:rsidR="0081219B">
        <w:rPr>
          <w:rFonts w:asciiTheme="majorBidi" w:hAnsiTheme="majorBidi" w:cstheme="majorBidi"/>
          <w:sz w:val="18"/>
          <w:szCs w:val="18"/>
        </w:rPr>
        <w:t xml:space="preserve"> Table 19. Private Industry workers, full-time by occupational group: employer costs per hour worked for employee compensation and costs as a percentage of total compensation – Continued – Management, professional, and related occupations</w:t>
      </w:r>
      <w:r w:rsidRPr="75D2E1F6" w:rsidR="006436C2">
        <w:rPr>
          <w:rFonts w:asciiTheme="majorBidi" w:hAnsiTheme="majorBidi" w:cstheme="majorBidi"/>
          <w:sz w:val="18"/>
          <w:szCs w:val="18"/>
        </w:rPr>
        <w:t xml:space="preserve"> – “Cost per hour worked” column.</w:t>
      </w:r>
      <w:r w:rsidRPr="75D2E1F6" w:rsidR="0081219B">
        <w:rPr>
          <w:rFonts w:asciiTheme="majorBidi" w:hAnsiTheme="majorBidi" w:cstheme="majorBidi"/>
          <w:sz w:val="18"/>
          <w:szCs w:val="18"/>
        </w:rPr>
        <w:t xml:space="preserve">  To calculate the benefits loading factor </w:t>
      </w:r>
      <w:r w:rsidRPr="75D2E1F6" w:rsidR="006436C2">
        <w:rPr>
          <w:rFonts w:asciiTheme="majorBidi" w:hAnsiTheme="majorBidi" w:cstheme="majorBidi"/>
          <w:sz w:val="18"/>
          <w:szCs w:val="18"/>
        </w:rPr>
        <w:t xml:space="preserve">for Technical, Managerial, Legal, Middle Manager, Senior Manager, Engineers, and Technicians, </w:t>
      </w:r>
      <w:r w:rsidRPr="75D2E1F6" w:rsidR="0081219B">
        <w:rPr>
          <w:rFonts w:asciiTheme="majorBidi" w:hAnsiTheme="majorBidi" w:cstheme="majorBidi"/>
          <w:sz w:val="18"/>
          <w:szCs w:val="18"/>
        </w:rPr>
        <w:t>we used</w:t>
      </w:r>
      <w:r w:rsidRPr="75D2E1F6">
        <w:rPr>
          <w:rFonts w:asciiTheme="majorBidi" w:hAnsiTheme="majorBidi" w:cstheme="majorBidi"/>
          <w:sz w:val="18"/>
          <w:szCs w:val="18"/>
        </w:rPr>
        <w:t xml:space="preserve"> the ratio of </w:t>
      </w:r>
      <w:r w:rsidRPr="75D2E1F6" w:rsidR="0081219B">
        <w:rPr>
          <w:rFonts w:asciiTheme="majorBidi" w:hAnsiTheme="majorBidi" w:cstheme="majorBidi"/>
          <w:sz w:val="18"/>
          <w:szCs w:val="18"/>
        </w:rPr>
        <w:t>“Total benefits” (20.28) and “</w:t>
      </w:r>
      <w:r w:rsidRPr="75D2E1F6">
        <w:rPr>
          <w:rFonts w:asciiTheme="majorBidi" w:hAnsiTheme="majorBidi" w:cstheme="majorBidi"/>
          <w:sz w:val="18"/>
          <w:szCs w:val="18"/>
        </w:rPr>
        <w:t>wages</w:t>
      </w:r>
      <w:r w:rsidRPr="75D2E1F6" w:rsidR="0081219B">
        <w:rPr>
          <w:rFonts w:asciiTheme="majorBidi" w:hAnsiTheme="majorBidi" w:cstheme="majorBidi"/>
          <w:sz w:val="18"/>
          <w:szCs w:val="18"/>
        </w:rPr>
        <w:t xml:space="preserve"> and salaries” (45.81) for September 2021: 20.28/45.81 = 0.4426, rounded to 0.443</w:t>
      </w:r>
      <w:r w:rsidRPr="75D2E1F6" w:rsidR="00FE307C">
        <w:rPr>
          <w:rFonts w:asciiTheme="majorBidi" w:hAnsiTheme="majorBidi" w:cstheme="majorBidi"/>
          <w:sz w:val="18"/>
          <w:szCs w:val="18"/>
        </w:rPr>
        <w:t xml:space="preserve">.  </w:t>
      </w:r>
      <w:r w:rsidRPr="75D2E1F6" w:rsidR="006436C2">
        <w:rPr>
          <w:rFonts w:asciiTheme="majorBidi" w:hAnsiTheme="majorBidi" w:cstheme="majorBidi"/>
          <w:sz w:val="18"/>
          <w:szCs w:val="18"/>
        </w:rPr>
        <w:t xml:space="preserve">To calculate the benefits loading factor for </w:t>
      </w:r>
      <w:r w:rsidRPr="75D2E1F6">
        <w:rPr>
          <w:rFonts w:asciiTheme="majorBidi" w:hAnsiTheme="majorBidi" w:cstheme="majorBidi"/>
          <w:sz w:val="18"/>
          <w:szCs w:val="18"/>
        </w:rPr>
        <w:t xml:space="preserve">Administrative Support, </w:t>
      </w:r>
      <w:r w:rsidRPr="75D2E1F6" w:rsidR="006436C2">
        <w:rPr>
          <w:rFonts w:asciiTheme="majorBidi" w:hAnsiTheme="majorBidi" w:cstheme="majorBidi"/>
          <w:sz w:val="18"/>
          <w:szCs w:val="18"/>
        </w:rPr>
        <w:t xml:space="preserve">we </w:t>
      </w:r>
      <w:r w:rsidRPr="75D2E1F6">
        <w:rPr>
          <w:rFonts w:asciiTheme="majorBidi" w:hAnsiTheme="majorBidi" w:cstheme="majorBidi"/>
          <w:sz w:val="18"/>
          <w:szCs w:val="18"/>
        </w:rPr>
        <w:t>used “Office and administrative support occupations”</w:t>
      </w:r>
      <w:r w:rsidRPr="75D2E1F6" w:rsidR="006436C2">
        <w:rPr>
          <w:rFonts w:asciiTheme="majorBidi" w:hAnsiTheme="majorBidi" w:cstheme="majorBidi"/>
          <w:sz w:val="18"/>
          <w:szCs w:val="18"/>
        </w:rPr>
        <w:t>, page 668</w:t>
      </w:r>
      <w:r w:rsidRPr="75D2E1F6" w:rsidR="00211DB3">
        <w:rPr>
          <w:rFonts w:asciiTheme="majorBidi" w:hAnsiTheme="majorBidi" w:cstheme="majorBidi"/>
          <w:sz w:val="18"/>
          <w:szCs w:val="18"/>
        </w:rPr>
        <w:t xml:space="preserve"> - Table 19. Private Industry workers, full-time by occupational group: employer </w:t>
      </w:r>
      <w:r w:rsidRPr="75D2E1F6" w:rsidR="00211DB3">
        <w:rPr>
          <w:rFonts w:asciiTheme="majorBidi" w:hAnsiTheme="majorBidi" w:cstheme="majorBidi"/>
          <w:sz w:val="18"/>
          <w:szCs w:val="18"/>
        </w:rPr>
        <w:t>costs per hour worked for employee compensation and costs as a percentage of total compensation – Continued – Office and administrative support occupations. Total benefits, 2021 (9.70), and Wages and salaries (20.85).  9.70/20.85 = 0.4</w:t>
      </w:r>
      <w:r w:rsidRPr="75D2E1F6" w:rsidR="00FE307C">
        <w:rPr>
          <w:rFonts w:asciiTheme="majorBidi" w:hAnsiTheme="majorBidi" w:cstheme="majorBidi"/>
          <w:sz w:val="18"/>
          <w:szCs w:val="18"/>
        </w:rPr>
        <w:t>652, rounded to 0.465.</w:t>
      </w:r>
    </w:p>
    <w:p w:rsidR="00211DB3" w:rsidRPr="00AA2820" w:rsidP="006436C2" w14:paraId="30A9AA70" w14:textId="77777777">
      <w:pPr>
        <w:pStyle w:val="ListParagraph"/>
        <w:autoSpaceDE w:val="0"/>
        <w:autoSpaceDN w:val="0"/>
        <w:adjustRightInd w:val="0"/>
        <w:ind w:left="360"/>
        <w:rPr>
          <w:rFonts w:asciiTheme="majorBidi" w:hAnsiTheme="majorBidi" w:cstheme="majorBidi"/>
          <w:sz w:val="18"/>
          <w:szCs w:val="18"/>
        </w:rPr>
      </w:pPr>
    </w:p>
    <w:p w:rsidR="005472A9" w:rsidP="005472A9" w14:paraId="207CE126" w14:textId="7A733083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Theme="majorBidi" w:hAnsiTheme="majorBidi" w:cstheme="majorBidi"/>
          <w:sz w:val="18"/>
          <w:szCs w:val="18"/>
        </w:rPr>
      </w:pPr>
      <w:r w:rsidRPr="00AA2820">
        <w:rPr>
          <w:rFonts w:asciiTheme="majorBidi" w:hAnsiTheme="majorBidi" w:cstheme="majorBidi"/>
          <w:sz w:val="18"/>
          <w:szCs w:val="18"/>
        </w:rPr>
        <w:t>The overhead loading factor</w:t>
      </w:r>
      <w:r w:rsidR="00E75D75">
        <w:rPr>
          <w:rFonts w:asciiTheme="majorBidi" w:hAnsiTheme="majorBidi" w:cstheme="majorBidi"/>
          <w:sz w:val="18"/>
          <w:szCs w:val="18"/>
        </w:rPr>
        <w:t xml:space="preserve"> of 17 % (0.17)</w:t>
      </w:r>
      <w:r w:rsidRPr="00AA2820">
        <w:rPr>
          <w:rFonts w:asciiTheme="majorBidi" w:hAnsiTheme="majorBidi" w:cstheme="majorBidi"/>
          <w:sz w:val="18"/>
          <w:szCs w:val="18"/>
        </w:rPr>
        <w:t xml:space="preserve"> is from</w:t>
      </w:r>
      <w:r>
        <w:rPr>
          <w:rFonts w:asciiTheme="majorBidi" w:hAnsiTheme="majorBidi" w:cstheme="majorBidi"/>
          <w:sz w:val="18"/>
          <w:szCs w:val="18"/>
        </w:rPr>
        <w:t xml:space="preserve"> </w:t>
      </w:r>
      <w:r w:rsidRPr="005472A9">
        <w:rPr>
          <w:rFonts w:asciiTheme="majorBidi" w:hAnsiTheme="majorBidi" w:cstheme="majorBidi"/>
          <w:sz w:val="18"/>
          <w:szCs w:val="18"/>
        </w:rPr>
        <w:t>EPA-HQ-OPPT-2010-0572-0061_content.pdf</w:t>
      </w:r>
      <w:r>
        <w:rPr>
          <w:rFonts w:asciiTheme="majorBidi" w:hAnsiTheme="majorBidi" w:cstheme="majorBidi"/>
          <w:sz w:val="18"/>
          <w:szCs w:val="18"/>
        </w:rPr>
        <w:t xml:space="preserve">: </w:t>
      </w:r>
      <w:r w:rsidRPr="00AA2820">
        <w:rPr>
          <w:rFonts w:asciiTheme="majorBidi" w:hAnsiTheme="majorBidi" w:cstheme="majorBidi"/>
          <w:sz w:val="18"/>
          <w:szCs w:val="18"/>
        </w:rPr>
        <w:t xml:space="preserve"> Rice, Cody 2002. "Wage Rates for Economic Analyses of the Toxics Release Inventory Program,” Analytical Support Branch, Environmental Analysis Division, Office of Environmental Information, U.S. EPA, </w:t>
      </w:r>
      <w:r w:rsidR="00E75D75">
        <w:rPr>
          <w:rFonts w:asciiTheme="majorBidi" w:hAnsiTheme="majorBidi" w:cstheme="majorBidi"/>
          <w:sz w:val="18"/>
          <w:szCs w:val="18"/>
        </w:rPr>
        <w:t>April 11</w:t>
      </w:r>
      <w:r w:rsidRPr="00AA2820">
        <w:rPr>
          <w:rFonts w:asciiTheme="majorBidi" w:hAnsiTheme="majorBidi" w:cstheme="majorBidi"/>
          <w:sz w:val="18"/>
          <w:szCs w:val="18"/>
        </w:rPr>
        <w:t>, 2002</w:t>
      </w:r>
      <w:r w:rsidR="00E75D75">
        <w:rPr>
          <w:rFonts w:asciiTheme="majorBidi" w:hAnsiTheme="majorBidi" w:cstheme="majorBidi"/>
          <w:sz w:val="18"/>
          <w:szCs w:val="18"/>
        </w:rPr>
        <w:t>, page 3</w:t>
      </w:r>
      <w:r>
        <w:rPr>
          <w:rFonts w:asciiTheme="majorBidi" w:hAnsiTheme="majorBidi" w:cstheme="majorBidi"/>
          <w:sz w:val="18"/>
          <w:szCs w:val="18"/>
        </w:rPr>
        <w:t xml:space="preserve">. </w:t>
      </w:r>
    </w:p>
    <w:p w:rsidR="005472A9" w:rsidRPr="005472A9" w:rsidP="005472A9" w14:paraId="4BB876E8" w14:textId="77777777">
      <w:pPr>
        <w:pStyle w:val="ListParagraph"/>
        <w:rPr>
          <w:rFonts w:asciiTheme="majorBidi" w:hAnsiTheme="majorBidi" w:cstheme="majorBidi"/>
          <w:sz w:val="18"/>
          <w:szCs w:val="18"/>
        </w:rPr>
      </w:pPr>
    </w:p>
    <w:p w:rsidR="005472A9" w:rsidP="005472A9" w14:paraId="30190A9A" w14:textId="33421D8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The mean hourly wage and salaries for middle manager, senior manager, engineer, and technician, for subparts W and RR, are from </w:t>
      </w:r>
      <w:hyperlink r:id="rId8" w:history="1">
        <w:r w:rsidRPr="00EB5222" w:rsidR="00F12D6F">
          <w:rPr>
            <w:rStyle w:val="Hyperlink"/>
            <w:rFonts w:asciiTheme="majorBidi" w:hAnsiTheme="majorBidi" w:cstheme="majorBidi"/>
            <w:sz w:val="18"/>
            <w:szCs w:val="18"/>
          </w:rPr>
          <w:t>https://www.bls.gov/oes/current/naics4_211100.htm</w:t>
        </w:r>
      </w:hyperlink>
      <w:r w:rsidR="002F22D8">
        <w:rPr>
          <w:rFonts w:asciiTheme="majorBidi" w:hAnsiTheme="majorBidi" w:cstheme="majorBidi"/>
          <w:sz w:val="18"/>
          <w:szCs w:val="18"/>
        </w:rPr>
        <w:t>: U.S. Bureau of Labor Statistics – Occupational Employment and Wage Statistics – May 2021 National Industry-Specific Occupational Employment and Wage Estimates – NAICS 211</w:t>
      </w:r>
      <w:r w:rsidR="00F9541A">
        <w:rPr>
          <w:rFonts w:asciiTheme="majorBidi" w:hAnsiTheme="majorBidi" w:cstheme="majorBidi"/>
          <w:sz w:val="18"/>
          <w:szCs w:val="18"/>
        </w:rPr>
        <w:t>1</w:t>
      </w:r>
      <w:r w:rsidR="002F22D8">
        <w:rPr>
          <w:rFonts w:asciiTheme="majorBidi" w:hAnsiTheme="majorBidi" w:cstheme="majorBidi"/>
          <w:sz w:val="18"/>
          <w:szCs w:val="18"/>
        </w:rPr>
        <w:t>00 – Oil and Gas Extraction.</w:t>
      </w:r>
    </w:p>
    <w:p w:rsidR="005472A9" w:rsidRPr="005472A9" w:rsidP="005472A9" w14:paraId="5EA1ADF4" w14:textId="77777777">
      <w:pPr>
        <w:autoSpaceDE w:val="0"/>
        <w:autoSpaceDN w:val="0"/>
        <w:adjustRightInd w:val="0"/>
        <w:rPr>
          <w:rFonts w:asciiTheme="majorBidi" w:hAnsiTheme="majorBidi" w:cstheme="majorBidi"/>
          <w:sz w:val="18"/>
          <w:szCs w:val="18"/>
        </w:rPr>
      </w:pPr>
    </w:p>
    <w:p w:rsidR="00886211" w:rsidRPr="00886211" w:rsidP="000365DF" w14:paraId="7BC8ED26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Theme="majorBidi" w:hAnsiTheme="majorBidi" w:cstheme="majorBidi"/>
          <w:sz w:val="18"/>
          <w:szCs w:val="22"/>
        </w:rPr>
      </w:pPr>
      <w:r w:rsidRPr="00DE5BF2">
        <w:rPr>
          <w:rFonts w:asciiTheme="majorBidi" w:hAnsiTheme="majorBidi" w:cstheme="majorBidi"/>
          <w:sz w:val="18"/>
          <w:szCs w:val="18"/>
        </w:rPr>
        <w:t>The loaded hourly rate = Wages &amp; Salaries + (Wages &amp; Salaries * Benefits Loading Factor) + (Wages &amp; Salaries * Overhead Loading Factor).</w:t>
      </w:r>
      <w:r>
        <w:rPr>
          <w:rFonts w:asciiTheme="majorBidi" w:hAnsiTheme="majorBidi" w:cstheme="majorBidi"/>
          <w:sz w:val="18"/>
          <w:szCs w:val="18"/>
        </w:rPr>
        <w:t xml:space="preserve"> </w:t>
      </w:r>
    </w:p>
    <w:p w:rsidR="00886211" w:rsidRPr="00886211" w:rsidP="00886211" w14:paraId="663ED100" w14:textId="77777777">
      <w:pPr>
        <w:pStyle w:val="ListParagraph"/>
        <w:rPr>
          <w:rFonts w:asciiTheme="majorBidi" w:hAnsiTheme="majorBidi" w:cstheme="majorBidi"/>
          <w:sz w:val="18"/>
          <w:szCs w:val="22"/>
        </w:rPr>
      </w:pPr>
    </w:p>
    <w:p w:rsidR="000365DF" w:rsidP="00886211" w14:paraId="3CB5E5BE" w14:textId="6AAC1341">
      <w:pPr>
        <w:autoSpaceDE w:val="0"/>
        <w:autoSpaceDN w:val="0"/>
        <w:adjustRightInd w:val="0"/>
        <w:rPr>
          <w:rFonts w:asciiTheme="majorBidi" w:hAnsiTheme="majorBidi" w:cstheme="majorBidi"/>
          <w:sz w:val="18"/>
          <w:szCs w:val="22"/>
        </w:rPr>
      </w:pPr>
    </w:p>
    <w:p w:rsidR="00886211" w:rsidRPr="00886211" w:rsidP="00886211" w14:paraId="666B86B1" w14:textId="77777777">
      <w:pPr>
        <w:autoSpaceDE w:val="0"/>
        <w:autoSpaceDN w:val="0"/>
        <w:adjustRightInd w:val="0"/>
        <w:rPr>
          <w:rFonts w:asciiTheme="majorBidi" w:hAnsiTheme="majorBidi" w:cstheme="majorBidi"/>
          <w:sz w:val="18"/>
          <w:szCs w:val="22"/>
        </w:rPr>
      </w:pPr>
    </w:p>
    <w:p w:rsidR="000365DF" w:rsidP="000365DF" w14:paraId="293B8AC2" w14:textId="7777777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42"/>
        </w:rPr>
      </w:pPr>
      <w:r w:rsidRPr="00B67901">
        <w:rPr>
          <w:rFonts w:asciiTheme="majorBidi" w:hAnsiTheme="majorBidi" w:cstheme="majorBidi"/>
          <w:b/>
          <w:bCs/>
          <w:sz w:val="28"/>
          <w:szCs w:val="42"/>
        </w:rPr>
        <w:t>Appendix D-2. EPA Labor Rates</w:t>
      </w:r>
    </w:p>
    <w:p w:rsidR="000365DF" w:rsidP="000365DF" w14:paraId="6C46FB0E" w14:textId="77777777">
      <w:pPr>
        <w:autoSpaceDE w:val="0"/>
        <w:autoSpaceDN w:val="0"/>
        <w:adjustRightInd w:val="0"/>
        <w:rPr>
          <w:rFonts w:asciiTheme="majorBidi" w:hAnsiTheme="majorBidi" w:cstheme="majorBidi"/>
          <w:sz w:val="18"/>
          <w:szCs w:val="22"/>
        </w:rPr>
      </w:pPr>
    </w:p>
    <w:tbl>
      <w:tblPr>
        <w:tblW w:w="9080" w:type="dxa"/>
        <w:tblLook w:val="04A0"/>
      </w:tblPr>
      <w:tblGrid>
        <w:gridCol w:w="2074"/>
        <w:gridCol w:w="1516"/>
        <w:gridCol w:w="1800"/>
        <w:gridCol w:w="1620"/>
        <w:gridCol w:w="2070"/>
      </w:tblGrid>
      <w:tr w14:paraId="3FE92704" w14:textId="77777777" w:rsidTr="0014654D">
        <w:tblPrEx>
          <w:tblW w:w="9080" w:type="dxa"/>
          <w:tblLook w:val="04A0"/>
        </w:tblPrEx>
        <w:trPr>
          <w:trHeight w:val="300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0365DF" w:rsidRPr="003058F5" w:rsidP="0014654D" w14:paraId="7A1A4C55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58F5">
              <w:rPr>
                <w:rFonts w:ascii="Calibri" w:hAnsi="Calibri" w:cs="Calibri"/>
                <w:b/>
                <w:bCs/>
                <w:sz w:val="20"/>
                <w:szCs w:val="20"/>
              </w:rPr>
              <w:t>ICR Labor Category</w:t>
            </w:r>
          </w:p>
        </w:tc>
        <w:tc>
          <w:tcPr>
            <w:tcW w:w="70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FF"/>
            <w:hideMark/>
          </w:tcPr>
          <w:p w:rsidR="000365DF" w:rsidRPr="003058F5" w:rsidP="0014654D" w14:paraId="5DEF49A5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58F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Labor Rates for the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2024</w:t>
            </w:r>
            <w:r w:rsidRPr="003058F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Renewal ICR</w:t>
            </w:r>
          </w:p>
        </w:tc>
      </w:tr>
      <w:tr w14:paraId="6A59A111" w14:textId="77777777" w:rsidTr="0014654D">
        <w:tblPrEx>
          <w:tblW w:w="9080" w:type="dxa"/>
          <w:tblLook w:val="04A0"/>
        </w:tblPrEx>
        <w:trPr>
          <w:trHeight w:val="583"/>
        </w:trPr>
        <w:tc>
          <w:tcPr>
            <w:tcW w:w="20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365DF" w:rsidRPr="003058F5" w:rsidP="0014654D" w14:paraId="6E8AA9C1" w14:textId="7777777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365DF" w:rsidRPr="003058F5" w:rsidP="0014654D" w14:paraId="589F4121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58F5">
              <w:rPr>
                <w:rFonts w:ascii="Calibri" w:hAnsi="Calibri" w:cs="Calibri"/>
                <w:b/>
                <w:bCs/>
                <w:sz w:val="20"/>
                <w:szCs w:val="20"/>
              </w:rPr>
              <w:t>OPM Designation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365DF" w:rsidRPr="003058F5" w:rsidP="0014654D" w14:paraId="70927E1B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58F5">
              <w:rPr>
                <w:rFonts w:ascii="Calibri" w:hAnsi="Calibri" w:cs="Calibri"/>
                <w:b/>
                <w:bCs/>
                <w:sz w:val="20"/>
                <w:szCs w:val="20"/>
              </w:rPr>
              <w:t>Wages &amp; Salaries (20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  <w:r w:rsidRPr="003058F5">
              <w:rPr>
                <w:rFonts w:ascii="Calibri" w:hAnsi="Calibri" w:cs="Calibri"/>
                <w:b/>
                <w:bCs/>
                <w:sz w:val="20"/>
                <w:szCs w:val="20"/>
              </w:rPr>
              <w:t>$) (1)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365DF" w:rsidRPr="003058F5" w:rsidP="0014654D" w14:paraId="3EFCB9F6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58F5">
              <w:rPr>
                <w:rFonts w:ascii="Calibri" w:hAnsi="Calibri" w:cs="Calibri"/>
                <w:b/>
                <w:bCs/>
                <w:sz w:val="20"/>
                <w:szCs w:val="20"/>
              </w:rPr>
              <w:t>Benefits Loading Factor (2)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hideMark/>
          </w:tcPr>
          <w:p w:rsidR="000365DF" w:rsidRPr="003058F5" w:rsidP="0014654D" w14:paraId="0076D86E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58F5">
              <w:rPr>
                <w:rFonts w:ascii="Calibri" w:hAnsi="Calibri" w:cs="Calibri"/>
                <w:b/>
                <w:bCs/>
                <w:sz w:val="20"/>
                <w:szCs w:val="20"/>
              </w:rPr>
              <w:t>Loaded Hourly Rates Used in ICRs (20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  <w:r w:rsidRPr="003058F5">
              <w:rPr>
                <w:rFonts w:ascii="Calibri" w:hAnsi="Calibri" w:cs="Calibri"/>
                <w:b/>
                <w:bCs/>
                <w:sz w:val="20"/>
                <w:szCs w:val="20"/>
              </w:rPr>
              <w:t>$)</w:t>
            </w:r>
          </w:p>
        </w:tc>
      </w:tr>
      <w:tr w14:paraId="3C0C4C83" w14:textId="77777777" w:rsidTr="0014654D">
        <w:tblPrEx>
          <w:tblW w:w="9080" w:type="dxa"/>
          <w:tblLook w:val="04A0"/>
        </w:tblPrEx>
        <w:trPr>
          <w:trHeight w:val="300"/>
        </w:trPr>
        <w:tc>
          <w:tcPr>
            <w:tcW w:w="2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hideMark/>
          </w:tcPr>
          <w:p w:rsidR="000365DF" w:rsidRPr="003058F5" w:rsidP="0014654D" w14:paraId="0B84F05B" w14:textId="7777777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58F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Technical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5DF" w:rsidRPr="009E770B" w:rsidP="0014654D" w14:paraId="06059693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770B">
              <w:rPr>
                <w:rFonts w:asciiTheme="minorHAnsi" w:hAnsiTheme="minorHAnsi" w:cstheme="minorHAnsi"/>
                <w:sz w:val="20"/>
                <w:szCs w:val="20"/>
              </w:rPr>
              <w:t>GS-12, Step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5DF" w:rsidRPr="009E770B" w:rsidP="0014654D" w14:paraId="1F6E2BC5" w14:textId="7777777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770B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36.29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65DF" w:rsidRPr="009E770B" w:rsidP="0014654D" w14:paraId="6091D80A" w14:textId="7777777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770B">
              <w:rPr>
                <w:rFonts w:asciiTheme="minorHAnsi" w:hAnsiTheme="minorHAnsi" w:cstheme="minorHAnsi"/>
                <w:sz w:val="20"/>
                <w:szCs w:val="20"/>
              </w:rPr>
              <w:t>0.600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65DF" w:rsidRPr="009E770B" w:rsidP="0014654D" w14:paraId="5619EFAB" w14:textId="7777777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770B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58.06</w:t>
            </w:r>
          </w:p>
        </w:tc>
      </w:tr>
      <w:tr w14:paraId="28DFF6D8" w14:textId="77777777" w:rsidTr="0014654D">
        <w:tblPrEx>
          <w:tblW w:w="9080" w:type="dxa"/>
          <w:tblLook w:val="04A0"/>
        </w:tblPrEx>
        <w:trPr>
          <w:trHeight w:val="300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hideMark/>
          </w:tcPr>
          <w:p w:rsidR="000365DF" w:rsidRPr="003058F5" w:rsidP="0014654D" w14:paraId="3EE00BD1" w14:textId="7777777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58F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Managerial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5DF" w:rsidRPr="009E770B" w:rsidP="0014654D" w14:paraId="34321CAE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770B">
              <w:rPr>
                <w:rFonts w:asciiTheme="minorHAnsi" w:hAnsiTheme="minorHAnsi" w:cstheme="minorHAnsi"/>
                <w:sz w:val="20"/>
                <w:szCs w:val="20"/>
              </w:rPr>
              <w:t>GS-13, Step 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5DF" w:rsidRPr="009E770B" w:rsidP="0014654D" w14:paraId="01830B31" w14:textId="7777777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770B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38.08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65DF" w:rsidRPr="009E770B" w:rsidP="0014654D" w14:paraId="1B511153" w14:textId="7777777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770B">
              <w:rPr>
                <w:rFonts w:asciiTheme="minorHAnsi" w:hAnsiTheme="minorHAnsi" w:cstheme="minorHAnsi"/>
                <w:sz w:val="20"/>
                <w:szCs w:val="20"/>
              </w:rPr>
              <w:t>0.600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65DF" w:rsidRPr="009E770B" w:rsidP="0014654D" w14:paraId="10124B50" w14:textId="7777777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770B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60.93</w:t>
            </w:r>
          </w:p>
        </w:tc>
      </w:tr>
      <w:tr w14:paraId="676F0B96" w14:textId="77777777" w:rsidTr="0014654D">
        <w:tblPrEx>
          <w:tblW w:w="9080" w:type="dxa"/>
          <w:tblLook w:val="04A0"/>
        </w:tblPrEx>
        <w:trPr>
          <w:trHeight w:val="315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hideMark/>
          </w:tcPr>
          <w:p w:rsidR="000365DF" w:rsidRPr="003058F5" w:rsidP="0014654D" w14:paraId="330D9632" w14:textId="7777777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58F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Clerical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365DF" w:rsidRPr="009E770B" w:rsidP="0014654D" w14:paraId="2B47D691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770B">
              <w:rPr>
                <w:rFonts w:asciiTheme="minorHAnsi" w:hAnsiTheme="minorHAnsi" w:cstheme="minorHAnsi"/>
                <w:sz w:val="20"/>
                <w:szCs w:val="20"/>
              </w:rPr>
              <w:t>GS-6, Step 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5DF" w:rsidRPr="009E770B" w:rsidP="0014654D" w14:paraId="7DFF4510" w14:textId="7777777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770B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17.73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365DF" w:rsidRPr="009E770B" w:rsidP="0014654D" w14:paraId="45096AD7" w14:textId="7777777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770B">
              <w:rPr>
                <w:rFonts w:asciiTheme="minorHAnsi" w:hAnsiTheme="minorHAnsi" w:cstheme="minorHAnsi"/>
                <w:sz w:val="20"/>
                <w:szCs w:val="20"/>
              </w:rPr>
              <w:t>0.600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65DF" w:rsidRPr="009E770B" w:rsidP="0014654D" w14:paraId="15548B41" w14:textId="7777777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770B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28.37</w:t>
            </w:r>
          </w:p>
        </w:tc>
      </w:tr>
    </w:tbl>
    <w:p w:rsidR="000365DF" w:rsidRPr="00C15424" w:rsidP="75D2E1F6" w14:paraId="3FB0854C" w14:textId="5FB0D53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Theme="majorBidi" w:eastAsiaTheme="majorBidi" w:hAnsiTheme="majorBidi" w:cstheme="majorBidi"/>
        </w:rPr>
      </w:pPr>
      <w:r w:rsidRPr="75D2E1F6">
        <w:rPr>
          <w:rFonts w:asciiTheme="majorBidi" w:hAnsiTheme="majorBidi" w:cstheme="majorBidi"/>
          <w:sz w:val="18"/>
          <w:szCs w:val="18"/>
        </w:rPr>
        <w:t xml:space="preserve">These rates are from the Office of Personnel Management (OPM), 2021 General Schedule, which excludes locality rates of pay. </w:t>
      </w:r>
    </w:p>
    <w:p w:rsidR="000365DF" w:rsidRPr="00C15424" w:rsidP="658B4133" w14:paraId="2A1C6491" w14:textId="166226C7">
      <w:pPr>
        <w:tabs>
          <w:tab w:val="left" w:pos="360"/>
        </w:tabs>
        <w:autoSpaceDE w:val="0"/>
        <w:autoSpaceDN w:val="0"/>
        <w:adjustRightInd w:val="0"/>
        <w:ind w:firstLine="720"/>
      </w:pPr>
      <w:r w:rsidRPr="658B4133">
        <w:rPr>
          <w:rFonts w:asciiTheme="majorBidi" w:hAnsiTheme="majorBidi" w:cstheme="majorBidi"/>
          <w:sz w:val="18"/>
          <w:szCs w:val="18"/>
        </w:rPr>
        <w:t xml:space="preserve">See </w:t>
      </w:r>
      <w:r w:rsidRPr="658B4133">
        <w:rPr>
          <w:sz w:val="18"/>
          <w:szCs w:val="18"/>
        </w:rPr>
        <w:t>https://www.opm.gov/policy-data-oversight/pay-leave/salaries-wages/salary-tables/pdf/2021/GS_h.pdf</w:t>
      </w:r>
      <w:r w:rsidRPr="658B4133">
        <w:rPr>
          <w:rFonts w:asciiTheme="majorBidi" w:hAnsiTheme="majorBidi" w:cstheme="majorBidi"/>
          <w:sz w:val="18"/>
          <w:szCs w:val="18"/>
        </w:rPr>
        <w:t>.</w:t>
      </w:r>
    </w:p>
    <w:p w:rsidR="000365DF" w:rsidRPr="001962CB" w:rsidP="001962CB" w14:paraId="1E4AD7CF" w14:textId="186C63A5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Theme="majorBidi" w:hAnsiTheme="majorBidi" w:cstheme="majorBidi"/>
          <w:sz w:val="18"/>
          <w:szCs w:val="18"/>
        </w:rPr>
      </w:pPr>
      <w:r w:rsidRPr="001962CB">
        <w:rPr>
          <w:rFonts w:asciiTheme="majorBidi" w:hAnsiTheme="majorBidi" w:cstheme="majorBidi"/>
          <w:sz w:val="18"/>
          <w:szCs w:val="18"/>
        </w:rPr>
        <w:t xml:space="preserve">The rates have been increased by 60% </w:t>
      </w:r>
      <w:r w:rsidRPr="001962CB" w:rsidR="003E3908">
        <w:rPr>
          <w:rFonts w:asciiTheme="majorBidi" w:hAnsiTheme="majorBidi" w:cstheme="majorBidi"/>
          <w:sz w:val="18"/>
          <w:szCs w:val="18"/>
        </w:rPr>
        <w:t xml:space="preserve">(benefits loading factor = 0.6) </w:t>
      </w:r>
      <w:r w:rsidRPr="001962CB">
        <w:rPr>
          <w:rFonts w:asciiTheme="majorBidi" w:hAnsiTheme="majorBidi" w:cstheme="majorBidi"/>
          <w:sz w:val="18"/>
          <w:szCs w:val="18"/>
        </w:rPr>
        <w:t>to account for the benefit packages available to government employees.</w:t>
      </w:r>
    </w:p>
    <w:p w:rsidR="007F4E76" w14:paraId="5F64C5A4" w14:textId="3C96AF58"/>
    <w:p w:rsidR="000365DF" w14:paraId="7BD1868D" w14:textId="3023C948"/>
    <w:p w:rsidR="000365DF" w14:paraId="67EDA4F2" w14:textId="77777777"/>
    <w:sectPr w:rsidSect="000365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5E119C"/>
    <w:multiLevelType w:val="hybridMultilevel"/>
    <w:tmpl w:val="A010333C"/>
    <w:lvl w:ilvl="0">
      <w:start w:val="1"/>
      <w:numFmt w:val="decimal"/>
      <w:lvlText w:val="(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D387A"/>
    <w:multiLevelType w:val="hybridMultilevel"/>
    <w:tmpl w:val="901CE60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D39F5"/>
    <w:multiLevelType w:val="hybridMultilevel"/>
    <w:tmpl w:val="8DF698A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644373">
    <w:abstractNumId w:val="1"/>
  </w:num>
  <w:num w:numId="2" w16cid:durableId="160244288">
    <w:abstractNumId w:val="2"/>
  </w:num>
  <w:num w:numId="3" w16cid:durableId="86575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DF"/>
    <w:rsid w:val="00032483"/>
    <w:rsid w:val="000365DF"/>
    <w:rsid w:val="00051EA2"/>
    <w:rsid w:val="00064C6D"/>
    <w:rsid w:val="00114FE6"/>
    <w:rsid w:val="0014654D"/>
    <w:rsid w:val="001962CB"/>
    <w:rsid w:val="00211DB3"/>
    <w:rsid w:val="00212702"/>
    <w:rsid w:val="002F22D8"/>
    <w:rsid w:val="003058F5"/>
    <w:rsid w:val="003E3908"/>
    <w:rsid w:val="005472A9"/>
    <w:rsid w:val="005D2A3D"/>
    <w:rsid w:val="006436C2"/>
    <w:rsid w:val="00652018"/>
    <w:rsid w:val="007B0526"/>
    <w:rsid w:val="007F3C87"/>
    <w:rsid w:val="007F4E76"/>
    <w:rsid w:val="0081219B"/>
    <w:rsid w:val="0081457B"/>
    <w:rsid w:val="00886211"/>
    <w:rsid w:val="008943EB"/>
    <w:rsid w:val="008F78FA"/>
    <w:rsid w:val="009A490A"/>
    <w:rsid w:val="009E770B"/>
    <w:rsid w:val="00A16F26"/>
    <w:rsid w:val="00AA2820"/>
    <w:rsid w:val="00AF126A"/>
    <w:rsid w:val="00B47A80"/>
    <w:rsid w:val="00B67901"/>
    <w:rsid w:val="00B92C29"/>
    <w:rsid w:val="00C15424"/>
    <w:rsid w:val="00CE7C6D"/>
    <w:rsid w:val="00D5168D"/>
    <w:rsid w:val="00DB24A2"/>
    <w:rsid w:val="00DC5968"/>
    <w:rsid w:val="00DD25DD"/>
    <w:rsid w:val="00DE5BF2"/>
    <w:rsid w:val="00E75D75"/>
    <w:rsid w:val="00EB5222"/>
    <w:rsid w:val="00EE036D"/>
    <w:rsid w:val="00F12D6F"/>
    <w:rsid w:val="00F14B12"/>
    <w:rsid w:val="00F9541A"/>
    <w:rsid w:val="00FE307C"/>
    <w:rsid w:val="15956886"/>
    <w:rsid w:val="3B203493"/>
    <w:rsid w:val="3D95BA62"/>
    <w:rsid w:val="658B4133"/>
    <w:rsid w:val="72509BDE"/>
    <w:rsid w:val="75D2E1F6"/>
    <w:rsid w:val="7A232B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E926C0"/>
  <w15:chartTrackingRefBased/>
  <w15:docId w15:val="{A9F335A0-51BC-44E8-8630-6FB7FBD4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6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5D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365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2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naics4_211100.ht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2347C3E16B44487FB416AC8C18764" ma:contentTypeVersion="38" ma:contentTypeDescription="Create a new document." ma:contentTypeScope="" ma:versionID="79a406fcb3383cedef111a311120882f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7d8dd676-26ca-4e08-b90f-b4e0026a58ac" xmlns:ns6="b5536db3-f794-4651-9300-744cba5f619d" targetNamespace="http://schemas.microsoft.com/office/2006/metadata/properties" ma:root="true" ma:fieldsID="1fb875f0d57c2f8c0e61c66522ae80c7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7d8dd676-26ca-4e08-b90f-b4e0026a58ac"/>
    <xsd:import namespace="b5536db3-f794-4651-9300-744cba5f619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EventHashCode" minOccurs="0"/>
                <xsd:element ref="ns6:MediaServiceGenerationTime" minOccurs="0"/>
                <xsd:element ref="ns6:MediaServiceAutoTags" minOccurs="0"/>
                <xsd:element ref="ns6:MediaServiceOCR" minOccurs="0"/>
                <xsd:element ref="ns1:_ip_UnifiedCompliancePolicyProperties" minOccurs="0"/>
                <xsd:element ref="ns1:_ip_UnifiedCompliancePolicyUIAction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lcf76f155ced4ddcb4097134ff3c332f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aec54597-794d-48fd-aaaa-4eaa50f4ff1d}" ma:internalName="TaxCatchAllLabel" ma:readOnly="true" ma:showField="CatchAllDataLabel" ma:web="7d8dd676-26ca-4e08-b90f-b4e0026a5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aec54597-794d-48fd-aaaa-4eaa50f4ff1d}" ma:internalName="TaxCatchAll" ma:showField="CatchAllData" ma:web="7d8dd676-26ca-4e08-b90f-b4e0026a5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d676-26ca-4e08-b90f-b4e0026a58ac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36db3-f794-4651-9300-744cba5f6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_ip_UnifiedCompliancePolicyUIAction xmlns="http://schemas.microsoft.com/sharepoint/v3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_ip_UnifiedCompliancePolicyProperties xmlns="http://schemas.microsoft.com/sharepoint/v3" xsi:nil="true"/>
    <lcf76f155ced4ddcb4097134ff3c332f xmlns="b5536db3-f794-4651-9300-744cba5f619d">
      <Terms xmlns="http://schemas.microsoft.com/office/infopath/2007/PartnerControls"/>
    </lcf76f155ced4ddcb4097134ff3c332f>
    <Rights xmlns="4ffa91fb-a0ff-4ac5-b2db-65c790d184a4" xsi:nil="true"/>
    <Document_x0020_Creation_x0020_Date xmlns="4ffa91fb-a0ff-4ac5-b2db-65c790d184a4">2022-10-05T14:22:42+00:00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Props1.xml><?xml version="1.0" encoding="utf-8"?>
<ds:datastoreItem xmlns:ds="http://schemas.openxmlformats.org/officeDocument/2006/customXml" ds:itemID="{C27FE603-1905-4506-942C-A0AEEE77A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7d8dd676-26ca-4e08-b90f-b4e0026a58ac"/>
    <ds:schemaRef ds:uri="b5536db3-f794-4651-9300-744cba5f6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F44BE-3449-46A5-AA37-D6401636DBD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EE0F6B4-15DE-41E2-B52C-AE0183BF0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655A93-534E-4C91-ACB8-847FE4D9741B}">
  <ds:schemaRefs>
    <ds:schemaRef ds:uri="http://www.w3.org/XML/1998/namespace"/>
    <ds:schemaRef ds:uri="http://purl.org/dc/elements/1.1/"/>
    <ds:schemaRef ds:uri="4ffa91fb-a0ff-4ac5-b2db-65c790d184a4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5536db3-f794-4651-9300-744cba5f619d"/>
    <ds:schemaRef ds:uri="7d8dd676-26ca-4e08-b90f-b4e0026a58ac"/>
    <ds:schemaRef ds:uri="http://schemas.microsoft.com/sharepoint/v3/fields"/>
    <ds:schemaRef ds:uri="http://purl.org/dc/dcmitype/"/>
    <ds:schemaRef ds:uri="http://schemas.microsoft.com/sharepoint.v3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Ford, Joe</dc:creator>
  <cp:lastModifiedBy>Ford, Joe</cp:lastModifiedBy>
  <cp:revision>2</cp:revision>
  <dcterms:created xsi:type="dcterms:W3CDTF">2023-11-20T22:43:00Z</dcterms:created>
  <dcterms:modified xsi:type="dcterms:W3CDTF">2023-11-20T22:43:00Z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0x0101000A72347C3E16B44487FB416AC8C18764</vt:lpwstr>
  </property>
  <property fmtid="{D5CDD505-2E9C-101B-9397-08002B2CF9AE}" pid="3" name="Document Type">
    <vt:lpwstr/>
  </property>
  <property fmtid="{D5CDD505-2E9C-101B-9397-08002B2CF9AE}" pid="4" name="EPA Subject">
    <vt:lpwstr/>
  </property>
  <property fmtid="{D5CDD505-2E9C-101B-9397-08002B2CF9AE}" pid="5" name="MediaServiceImageTags">
    <vt:lpwstr/>
  </property>
  <property fmtid="{D5CDD505-2E9C-101B-9397-08002B2CF9AE}" pid="6" name="TaxKeyword">
    <vt:lpwstr/>
  </property>
</Properties>
</file>