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E0029A" w14:paraId="52A65580" w14:textId="77777777">
          <w:r>
            <w:rPr>
              <w:noProof/>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6192" fillcolor="#0c95d3" stroked="f" strokecolor="#f2f2f2" strokeweight="3pt">
                    <v:shadow color="#50191f" opacity="0.5" offset="1pt"/>
                    <w10:wrap type="through"/>
                  </v:rect>
                </w:pict>
              </mc:Fallback>
            </mc:AlternateContent>
          </w:r>
        </w:p>
      </w:sdtContent>
    </w:sdt>
    <w:p w:rsidR="00E0029A" w14:paraId="522AF314" w14:textId="77777777"/>
    <w:sdt>
      <w:sdtPr>
        <w:rPr>
          <w:rStyle w:val="Heading1Char"/>
        </w:rPr>
        <w:alias w:val="Title"/>
        <w:id w:val="1705557852"/>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p w:rsidR="00E0029A" w14:paraId="54BC2F77" w14:textId="77777777">
          <w:pPr>
            <w:spacing w:line="240" w:lineRule="auto"/>
            <w:ind w:left="90"/>
            <w:rPr>
              <w:rFonts w:ascii="Times New Roman" w:hAnsi="Times New Roman" w:cs="Times New Roman"/>
              <w:color w:val="139CD8"/>
              <w:sz w:val="56"/>
              <w:szCs w:val="52"/>
            </w:rPr>
          </w:pPr>
          <w:r>
            <w:rPr>
              <w:rStyle w:val="Heading1Char"/>
            </w:rPr>
            <w:t>Supporting Statement for Programs for Improving Energy Efficiency in Buildings</w:t>
          </w:r>
        </w:p>
      </w:sdtContent>
    </w:sdt>
    <w:p w:rsidR="00E0029A" w14:paraId="5275C2F8" w14:textId="77777777">
      <w:pPr>
        <w:pStyle w:val="Heading1"/>
      </w:pPr>
      <w:bookmarkStart w:id="0" w:name="_Toc466046933"/>
      <w:r>
        <w:t>Part B: Collections of Information Employing Statistical Methods</w:t>
      </w:r>
      <w:bookmarkEnd w:id="0"/>
    </w:p>
    <w:p w:rsidR="00E0029A" w14:paraId="0AC57CAA" w14:textId="680E1ADB">
      <w:pPr>
        <w:rPr>
          <w:b/>
          <w:sz w:val="36"/>
          <w:szCs w:val="36"/>
        </w:rPr>
      </w:pPr>
      <w:r>
        <w:rPr>
          <w:noProof/>
        </w:rPr>
        <mc:AlternateContent>
          <mc:Choice Requires="wps">
            <w:drawing>
              <wp:anchor distT="0" distB="0" distL="114300" distR="114300" simplePos="0" relativeHeight="251671552" behindDoc="0" locked="0" layoutInCell="1" allowOverlap="1">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086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029A" w14:paraId="7891C4C1" w14:textId="77777777">
                            <w:pPr>
                              <w:rPr>
                                <w:i/>
                                <w:sz w:val="28"/>
                                <w:szCs w:val="28"/>
                              </w:rPr>
                            </w:pPr>
                            <w:r>
                              <w:rPr>
                                <w:i/>
                                <w:sz w:val="28"/>
                                <w:szCs w:val="28"/>
                              </w:rPr>
                              <w:t xml:space="preserve">DOE HQ F 413.4, Zero Energy Ready Home Program </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43pt;margin-top:255.7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2576" filled="f" stroked="f">
                <v:textbox inset="0">
                  <w:txbxContent>
                    <w:p w:rsidR="00E0029A" w14:paraId="2A5DA4A4" w14:textId="77777777">
                      <w:pPr>
                        <w:rPr>
                          <w:i/>
                          <w:sz w:val="28"/>
                          <w:szCs w:val="28"/>
                        </w:rPr>
                      </w:pPr>
                      <w:r>
                        <w:rPr>
                          <w:i/>
                          <w:sz w:val="28"/>
                          <w:szCs w:val="28"/>
                        </w:rPr>
                        <w:t xml:space="preserve">DOE HQ F 413.4, Zero Energy Ready Home Program </w:t>
                      </w:r>
                    </w:p>
                  </w:txbxContent>
                </v:textbox>
                <w10:wrap type="square"/>
              </v:shape>
            </w:pict>
          </mc:Fallback>
        </mc:AlternateContent>
      </w:r>
      <w:r>
        <w:rPr>
          <w:rFonts w:ascii="Times New Roman" w:hAnsi="Times New Roman" w:cs="Times New Roman"/>
          <w:b/>
          <w:sz w:val="36"/>
          <w:szCs w:val="36"/>
        </w:rPr>
        <w:t>OMB No. 19</w:t>
      </w:r>
      <w:r w:rsidR="00F80EEB">
        <w:rPr>
          <w:rFonts w:ascii="Times New Roman" w:hAnsi="Times New Roman" w:cs="Times New Roman"/>
          <w:b/>
          <w:sz w:val="36"/>
          <w:szCs w:val="36"/>
        </w:rPr>
        <w:t>10</w:t>
      </w:r>
      <w:r>
        <w:rPr>
          <w:rFonts w:ascii="Times New Roman" w:hAnsi="Times New Roman" w:cs="Times New Roman"/>
          <w:b/>
          <w:sz w:val="36"/>
          <w:szCs w:val="36"/>
        </w:rPr>
        <w:t>-5184</w:t>
      </w:r>
    </w:p>
    <w:p w:rsidR="00E0029A" w14:paraId="554C2DB2" w14:textId="77777777">
      <w:pPr>
        <w:rPr>
          <w:i/>
          <w:sz w:val="28"/>
          <w:szCs w:val="28"/>
        </w:rPr>
      </w:pPr>
      <w:r>
        <w:rPr>
          <w:noProof/>
        </w:rPr>
        <mc:AlternateContent>
          <mc:Choice Requires="wps">
            <w:drawing>
              <wp:anchor distT="0" distB="0" distL="114300" distR="114300" simplePos="0" relativeHeight="251665408" behindDoc="1" locked="0" layoutInCell="1" allowOverlap="1">
                <wp:simplePos x="0" y="0"/>
                <wp:positionH relativeFrom="column">
                  <wp:posOffset>-450850</wp:posOffset>
                </wp:positionH>
                <wp:positionV relativeFrom="paragraph">
                  <wp:posOffset>4558030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58.9pt;margin-left:-35.5pt;mso-height-percent:0;mso-height-relative:page;mso-width-percent:0;mso-width-relative:page;mso-wrap-distance-bottom:0;mso-wrap-distance-left:9pt;mso-wrap-distance-right:9pt;mso-wrap-distance-top:0;mso-wrap-style:square;position:absolute;visibility:visible;v-text-anchor:top;z-index:-251650048" fillcolor="#0c95d3" stroked="f" strokecolor="#f2f2f2" strokeweight="3pt">
                <v:shadow color="#50191f" opacity="0.5" offset="1pt"/>
                <w10:wrap type="through"/>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029A" w14:textId="45BE2A12">
                            <w:pPr>
                              <w:rPr>
                                <w:color w:val="A6A6A6" w:themeColor="background1" w:themeShade="A6"/>
                                <w:sz w:val="36"/>
                              </w:rPr>
                            </w:pPr>
                            <w:r>
                              <w:rPr>
                                <w:color w:val="A6A6A6" w:themeColor="background1" w:themeShade="A6"/>
                                <w:sz w:val="36"/>
                              </w:rPr>
                              <w:t>April 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4384" filled="f" stroked="f">
                <v:textbox style="mso-fit-shape-to-text:t" inset="0">
                  <w:txbxContent>
                    <w:p w:rsidR="00E0029A" w14:paraId="3634F897" w14:textId="45BE2A12">
                      <w:pPr>
                        <w:rPr>
                          <w:color w:val="A6A6A6" w:themeColor="background1" w:themeShade="A6"/>
                          <w:sz w:val="36"/>
                        </w:rPr>
                      </w:pPr>
                      <w:r>
                        <w:rPr>
                          <w:color w:val="A6A6A6" w:themeColor="background1" w:themeShade="A6"/>
                          <w:sz w:val="36"/>
                        </w:rPr>
                        <w:t>April 2024</w:t>
                      </w:r>
                    </w:p>
                  </w:txbxContent>
                </v:textbox>
                <w10:wrap type="square"/>
              </v:shape>
            </w:pict>
          </mc:Fallback>
        </mc:AlternateContent>
      </w:r>
      <w:r>
        <w:rPr>
          <w:noProof/>
        </w:rPr>
        <w:t xml:space="preserve"> </w:t>
      </w:r>
      <w:r>
        <w:rPr>
          <w:noProof/>
        </w:rPr>
        <mc:AlternateContent>
          <mc:Choice Requires="wps">
            <w:drawing>
              <wp:anchor distT="0" distB="0" distL="114300" distR="114300" simplePos="0" relativeHeight="251661312"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029A" w14:paraId="6D31AFB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2336" filled="f" stroked="f">
                <v:textbox inset="0">
                  <w:txbxContent>
                    <w:p w:rsidR="00E0029A" w14:paraId="740B4248" w14:textId="77777777">
                      <w:pPr>
                        <w:spacing w:line="240" w:lineRule="auto"/>
                        <w:ind w:left="90"/>
                        <w:rPr>
                          <w:sz w:val="52"/>
                          <w:szCs w:val="52"/>
                        </w:rPr>
                      </w:pPr>
                    </w:p>
                  </w:txbxContent>
                </v:textbox>
                <w10:wrap anchorx="margin"/>
              </v:shape>
            </w:pict>
          </mc:Fallback>
        </mc:AlternateContent>
      </w:r>
      <w:r>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0" cstate="print"/>
                    <a:stretch>
                      <a:fillRect/>
                    </a:stretch>
                  </pic:blipFill>
                  <pic:spPr>
                    <a:xfrm>
                      <a:off x="0" y="0"/>
                      <a:ext cx="6343650" cy="647700"/>
                    </a:xfrm>
                    <a:prstGeom prst="rect">
                      <a:avLst/>
                    </a:prstGeom>
                  </pic:spPr>
                </pic:pic>
              </a:graphicData>
            </a:graphic>
          </wp:anchor>
        </w:drawing>
      </w:r>
      <w:r>
        <w:rPr>
          <w:noProof/>
          <w:color w:val="A6A6A6" w:themeColor="background1" w:themeShade="A6"/>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029A" w14:paraId="63784D84" w14:textId="77777777">
                            <w:pPr>
                              <w:kinsoku w:val="0"/>
                              <w:overflowPunct w:val="0"/>
                              <w:spacing w:after="0"/>
                              <w:rPr>
                                <w:rFonts w:eastAsia="Times New Roman"/>
                                <w:color w:val="808080" w:themeColor="background1" w:themeShade="80"/>
                                <w:sz w:val="20"/>
                              </w:rPr>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0">
                  <w:txbxContent>
                    <w:p w:rsidR="00E0029A" w14:paraId="2351E5EF" w14:textId="77777777">
                      <w:pPr>
                        <w:kinsoku w:val="0"/>
                        <w:overflowPunct w:val="0"/>
                        <w:spacing w:after="0"/>
                        <w:rPr>
                          <w:rFonts w:eastAsia="Times New Roman"/>
                          <w:color w:val="808080" w:themeColor="background1" w:themeShade="80"/>
                          <w:sz w:val="20"/>
                        </w:rPr>
                      </w:pPr>
                    </w:p>
                  </w:txbxContent>
                </v:textbox>
                <w10:wrap type="square"/>
              </v:shape>
            </w:pict>
          </mc:Fallback>
        </mc:AlternateContent>
      </w:r>
      <w:r>
        <w:rPr>
          <w:noProof/>
          <w:color w:val="A6A6A6" w:themeColor="background1" w:themeShade="A6"/>
        </w:rPr>
        <mc:AlternateContent>
          <mc:Choice Requires="wps">
            <w:drawing>
              <wp:anchor distT="0" distB="0" distL="114300" distR="114300" simplePos="0" relativeHeight="251669504"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029A" w14:paraId="30329621"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E0029A" w14:paraId="1FB632D4"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0528" filled="f" stroked="f">
                <v:textbox inset="0">
                  <w:txbxContent>
                    <w:p w:rsidR="00E0029A" w14:paraId="3C211779"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E0029A" w14:paraId="5C8E4AF5"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v:textbox>
                <w10:wrap type="square"/>
              </v:shape>
            </w:pict>
          </mc:Fallback>
        </mc:AlternateContent>
      </w:r>
      <w:r>
        <w:br w:type="page"/>
      </w:r>
    </w:p>
    <w:p w:rsidR="00E0029A" w14:paraId="6681D862" w14:textId="77777777">
      <w:pPr>
        <w:sectPr>
          <w:head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E0029A" w14:paraId="1E5715D3" w14:textId="77777777">
          <w:pPr>
            <w:pStyle w:val="TOCHeading"/>
          </w:pPr>
          <w:r>
            <w:t>Table of Contents</w:t>
          </w:r>
        </w:p>
        <w:p w:rsidR="00E0029A" w14:paraId="0DECFA8D" w14:textId="77777777">
          <w:pPr>
            <w:pStyle w:val="TOC1"/>
            <w:rPr>
              <w:rFonts w:eastAsiaTheme="minorEastAsia"/>
              <w:noProof/>
              <w:color w:val="auto"/>
            </w:rPr>
          </w:pPr>
          <w:r>
            <w:fldChar w:fldCharType="begin"/>
          </w:r>
          <w:r>
            <w:instrText xml:space="preserve"> TOC \o "1-3" \h \z \u </w:instrText>
          </w:r>
          <w:r>
            <w:fldChar w:fldCharType="separate"/>
          </w:r>
          <w:hyperlink w:anchor="_Toc466046933" w:history="1">
            <w:r>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_Toc466046933 \h </w:instrText>
            </w:r>
            <w:r>
              <w:rPr>
                <w:noProof/>
                <w:webHidden/>
              </w:rPr>
              <w:fldChar w:fldCharType="separate"/>
            </w:r>
            <w:r>
              <w:rPr>
                <w:noProof/>
                <w:webHidden/>
              </w:rPr>
              <w:t>i</w:t>
            </w:r>
            <w:r>
              <w:rPr>
                <w:noProof/>
                <w:webHidden/>
              </w:rPr>
              <w:fldChar w:fldCharType="end"/>
            </w:r>
          </w:hyperlink>
        </w:p>
        <w:p w:rsidR="00E0029A" w14:paraId="57549DDB" w14:textId="77777777">
          <w:pPr>
            <w:pStyle w:val="TOC2"/>
            <w:rPr>
              <w:rFonts w:eastAsiaTheme="minorEastAsia"/>
              <w:noProof/>
              <w:color w:val="auto"/>
            </w:rPr>
          </w:pPr>
          <w:hyperlink w:anchor="_Toc466046934" w:history="1">
            <w:r w:rsidR="001C6773">
              <w:rPr>
                <w:rStyle w:val="Hyperlink"/>
                <w:noProof/>
              </w:rPr>
              <w:t>B.1. Respondent Universe</w:t>
            </w:r>
            <w:r w:rsidR="001C6773">
              <w:rPr>
                <w:noProof/>
                <w:webHidden/>
              </w:rPr>
              <w:tab/>
            </w:r>
            <w:r w:rsidR="001C6773">
              <w:rPr>
                <w:noProof/>
                <w:webHidden/>
              </w:rPr>
              <w:fldChar w:fldCharType="begin"/>
            </w:r>
            <w:r w:rsidR="001C6773">
              <w:rPr>
                <w:noProof/>
                <w:webHidden/>
              </w:rPr>
              <w:instrText xml:space="preserve"> PAGEREF _Toc466046934 \h </w:instrText>
            </w:r>
            <w:r w:rsidR="001C6773">
              <w:rPr>
                <w:noProof/>
                <w:webHidden/>
              </w:rPr>
              <w:fldChar w:fldCharType="separate"/>
            </w:r>
            <w:r w:rsidR="001C6773">
              <w:rPr>
                <w:noProof/>
                <w:webHidden/>
              </w:rPr>
              <w:t>2</w:t>
            </w:r>
            <w:r w:rsidR="001C6773">
              <w:rPr>
                <w:noProof/>
                <w:webHidden/>
              </w:rPr>
              <w:fldChar w:fldCharType="end"/>
            </w:r>
          </w:hyperlink>
        </w:p>
        <w:p w:rsidR="00E0029A" w14:paraId="6438C1F5" w14:textId="77777777">
          <w:pPr>
            <w:pStyle w:val="TOC2"/>
            <w:rPr>
              <w:rFonts w:eastAsiaTheme="minorEastAsia"/>
              <w:noProof/>
              <w:color w:val="auto"/>
            </w:rPr>
          </w:pPr>
          <w:hyperlink w:anchor="_Toc466046935" w:history="1">
            <w:r w:rsidR="001C6773">
              <w:rPr>
                <w:rStyle w:val="Hyperlink"/>
                <w:noProof/>
              </w:rPr>
              <w:t>B.2. Statistical Methods</w:t>
            </w:r>
            <w:r w:rsidR="001C6773">
              <w:rPr>
                <w:noProof/>
                <w:webHidden/>
              </w:rPr>
              <w:tab/>
            </w:r>
            <w:r w:rsidR="001C6773">
              <w:rPr>
                <w:noProof/>
                <w:webHidden/>
              </w:rPr>
              <w:fldChar w:fldCharType="begin"/>
            </w:r>
            <w:r w:rsidR="001C6773">
              <w:rPr>
                <w:noProof/>
                <w:webHidden/>
              </w:rPr>
              <w:instrText xml:space="preserve"> PAGEREF _Toc466046935 \h </w:instrText>
            </w:r>
            <w:r w:rsidR="001C6773">
              <w:rPr>
                <w:noProof/>
                <w:webHidden/>
              </w:rPr>
              <w:fldChar w:fldCharType="separate"/>
            </w:r>
            <w:r w:rsidR="001C6773">
              <w:rPr>
                <w:noProof/>
                <w:webHidden/>
              </w:rPr>
              <w:t>2</w:t>
            </w:r>
            <w:r w:rsidR="001C6773">
              <w:rPr>
                <w:noProof/>
                <w:webHidden/>
              </w:rPr>
              <w:fldChar w:fldCharType="end"/>
            </w:r>
          </w:hyperlink>
        </w:p>
        <w:p w:rsidR="00E0029A" w14:paraId="7075C751" w14:textId="77777777">
          <w:pPr>
            <w:pStyle w:val="TOC2"/>
            <w:rPr>
              <w:rFonts w:eastAsiaTheme="minorEastAsia"/>
              <w:noProof/>
              <w:color w:val="auto"/>
            </w:rPr>
          </w:pPr>
          <w:hyperlink w:anchor="_Toc466046936" w:history="1">
            <w:r w:rsidR="001C6773">
              <w:rPr>
                <w:rStyle w:val="Hyperlink"/>
                <w:noProof/>
              </w:rPr>
              <w:t>B.3. Maximizing Response Rates</w:t>
            </w:r>
            <w:r w:rsidR="001C6773">
              <w:rPr>
                <w:noProof/>
                <w:webHidden/>
              </w:rPr>
              <w:tab/>
            </w:r>
            <w:r w:rsidR="001C6773">
              <w:rPr>
                <w:noProof/>
                <w:webHidden/>
              </w:rPr>
              <w:fldChar w:fldCharType="begin"/>
            </w:r>
            <w:r w:rsidR="001C6773">
              <w:rPr>
                <w:noProof/>
                <w:webHidden/>
              </w:rPr>
              <w:instrText xml:space="preserve"> PAGEREF _Toc466046936 \h </w:instrText>
            </w:r>
            <w:r w:rsidR="001C6773">
              <w:rPr>
                <w:noProof/>
                <w:webHidden/>
              </w:rPr>
              <w:fldChar w:fldCharType="separate"/>
            </w:r>
            <w:r w:rsidR="001C6773">
              <w:rPr>
                <w:noProof/>
                <w:webHidden/>
              </w:rPr>
              <w:t>3</w:t>
            </w:r>
            <w:r w:rsidR="001C6773">
              <w:rPr>
                <w:noProof/>
                <w:webHidden/>
              </w:rPr>
              <w:fldChar w:fldCharType="end"/>
            </w:r>
          </w:hyperlink>
        </w:p>
        <w:p w:rsidR="00E0029A" w14:paraId="716C5D2B" w14:textId="77777777">
          <w:pPr>
            <w:pStyle w:val="TOC2"/>
            <w:rPr>
              <w:rFonts w:eastAsiaTheme="minorEastAsia"/>
              <w:noProof/>
              <w:color w:val="auto"/>
            </w:rPr>
          </w:pPr>
          <w:hyperlink w:anchor="_Toc466046937" w:history="1">
            <w:r w:rsidR="001C6773">
              <w:rPr>
                <w:rStyle w:val="Hyperlink"/>
                <w:noProof/>
              </w:rPr>
              <w:t>B.4. Test Procedures and Form Consultations</w:t>
            </w:r>
            <w:r w:rsidR="001C6773">
              <w:rPr>
                <w:noProof/>
                <w:webHidden/>
              </w:rPr>
              <w:tab/>
            </w:r>
            <w:r w:rsidR="001C6773">
              <w:rPr>
                <w:noProof/>
                <w:webHidden/>
              </w:rPr>
              <w:fldChar w:fldCharType="begin"/>
            </w:r>
            <w:r w:rsidR="001C6773">
              <w:rPr>
                <w:noProof/>
                <w:webHidden/>
              </w:rPr>
              <w:instrText xml:space="preserve"> PAGEREF _Toc466046937 \h </w:instrText>
            </w:r>
            <w:r w:rsidR="001C6773">
              <w:rPr>
                <w:noProof/>
                <w:webHidden/>
              </w:rPr>
              <w:fldChar w:fldCharType="separate"/>
            </w:r>
            <w:r w:rsidR="001C6773">
              <w:rPr>
                <w:noProof/>
                <w:webHidden/>
              </w:rPr>
              <w:t>3</w:t>
            </w:r>
            <w:r w:rsidR="001C6773">
              <w:rPr>
                <w:noProof/>
                <w:webHidden/>
              </w:rPr>
              <w:fldChar w:fldCharType="end"/>
            </w:r>
          </w:hyperlink>
        </w:p>
        <w:p w:rsidR="00E0029A" w14:paraId="653F2671" w14:textId="77777777">
          <w:pPr>
            <w:pStyle w:val="TOC2"/>
            <w:rPr>
              <w:rFonts w:eastAsiaTheme="minorEastAsia"/>
              <w:noProof/>
              <w:color w:val="auto"/>
            </w:rPr>
          </w:pPr>
          <w:hyperlink w:anchor="_Toc466046938" w:history="1">
            <w:r w:rsidR="001C6773">
              <w:rPr>
                <w:rStyle w:val="Hyperlink"/>
                <w:noProof/>
              </w:rPr>
              <w:t>B.5. Statistical Consultations</w:t>
            </w:r>
            <w:r w:rsidR="001C6773">
              <w:rPr>
                <w:noProof/>
                <w:webHidden/>
              </w:rPr>
              <w:tab/>
            </w:r>
            <w:r w:rsidR="001C6773">
              <w:rPr>
                <w:noProof/>
                <w:webHidden/>
              </w:rPr>
              <w:fldChar w:fldCharType="begin"/>
            </w:r>
            <w:r w:rsidR="001C6773">
              <w:rPr>
                <w:noProof/>
                <w:webHidden/>
              </w:rPr>
              <w:instrText xml:space="preserve"> PAGEREF _Toc466046938 \h </w:instrText>
            </w:r>
            <w:r w:rsidR="001C6773">
              <w:rPr>
                <w:noProof/>
                <w:webHidden/>
              </w:rPr>
              <w:fldChar w:fldCharType="separate"/>
            </w:r>
            <w:r w:rsidR="001C6773">
              <w:rPr>
                <w:noProof/>
                <w:webHidden/>
              </w:rPr>
              <w:t>3</w:t>
            </w:r>
            <w:r w:rsidR="001C6773">
              <w:rPr>
                <w:noProof/>
                <w:webHidden/>
              </w:rPr>
              <w:fldChar w:fldCharType="end"/>
            </w:r>
          </w:hyperlink>
        </w:p>
        <w:p w:rsidR="00E0029A" w14:paraId="42B2A593" w14:textId="77777777">
          <w:r>
            <w:rPr>
              <w:b/>
              <w:bCs/>
              <w:noProof/>
            </w:rPr>
            <w:fldChar w:fldCharType="end"/>
          </w:r>
        </w:p>
      </w:sdtContent>
    </w:sdt>
    <w:p w:rsidR="00E0029A" w14:paraId="5A86E127" w14:textId="77777777"/>
    <w:p w:rsidR="00E0029A" w14:paraId="03786C77" w14:textId="77777777">
      <w:pPr>
        <w:sectPr>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E0029A" w14:paraId="3DE5B5CC" w14:textId="77777777">
      <w:pPr>
        <w:spacing w:line="240" w:lineRule="auto"/>
        <w:sectPr>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p>
    <w:p w:rsidR="00E0029A" w14:paraId="307C1F2A" w14:textId="3A7184E9">
      <w:pPr>
        <w:rPr>
          <w:iCs/>
        </w:rPr>
      </w:pPr>
      <w:r>
        <w:rPr>
          <w:iCs/>
        </w:rPr>
        <w:t xml:space="preserve">This specific collection is used to track the number of homes participating in the DOE Zero Energy Ready Home program.  These homes participate by using and validating DOE-researched innovative building techniques and technologies to build homes that meet specific prescriptive and performance requirements.  They are </w:t>
      </w:r>
      <w:r w:rsidR="00F80EEB">
        <w:rPr>
          <w:iCs/>
        </w:rPr>
        <w:t xml:space="preserve">third </w:t>
      </w:r>
      <w:r>
        <w:rPr>
          <w:iCs/>
        </w:rPr>
        <w:t xml:space="preserve">party inspected and verified to meet the voluntary program requirements of the DOE Zero Energy Ready Home program.  Respondents do not send any information directly to DOE.  Rather, DOE uses existing industry inspection and rating processes and data managed by the </w:t>
      </w:r>
      <w:r w:rsidR="006A0D6C">
        <w:rPr>
          <w:iCs/>
        </w:rPr>
        <w:t>industry-run Home Certification Organizations (HCOs)</w:t>
      </w:r>
      <w:r>
        <w:rPr>
          <w:iCs/>
        </w:rPr>
        <w:t xml:space="preserve">.  Ratings and inspections performed by verifiers are conducted in the housing industry for numerous purposes, including a </w:t>
      </w:r>
      <w:r w:rsidR="006A0D6C">
        <w:rPr>
          <w:iCs/>
        </w:rPr>
        <w:t>home energy rating or an Energy Rating Index (ERI) calculation</w:t>
      </w:r>
      <w:r>
        <w:rPr>
          <w:iCs/>
        </w:rPr>
        <w:t>, which is used by builders across the country to measure the energy performance of their homes</w:t>
      </w:r>
      <w:r w:rsidR="006A0D6C">
        <w:rPr>
          <w:iCs/>
        </w:rPr>
        <w:t xml:space="preserve"> and for code compliance</w:t>
      </w:r>
      <w:r>
        <w:rPr>
          <w:iCs/>
        </w:rPr>
        <w:t xml:space="preserve">.  In addition to this, the </w:t>
      </w:r>
      <w:r w:rsidR="00D469A9">
        <w:rPr>
          <w:iCs/>
        </w:rPr>
        <w:t xml:space="preserve">energy </w:t>
      </w:r>
      <w:r>
        <w:rPr>
          <w:iCs/>
        </w:rPr>
        <w:t xml:space="preserve">rating process is used by other federal programs such as EPA’s Energy Star Certified New Homes program and Indoor </w:t>
      </w:r>
      <w:r>
        <w:rPr>
          <w:iCs/>
        </w:rPr>
        <w:t>airPLUS</w:t>
      </w:r>
      <w:r>
        <w:rPr>
          <w:iCs/>
        </w:rPr>
        <w:t xml:space="preserve"> program.  The DOE Zero Energy Ready Home program requires the same inspections as these other efforts to meet a specific performance threshold.  </w:t>
      </w:r>
    </w:p>
    <w:p w:rsidR="00E0029A" w14:paraId="24C44FBF" w14:textId="3004B304">
      <w:pPr>
        <w:rPr>
          <w:iCs/>
        </w:rPr>
      </w:pPr>
      <w:r>
        <w:rPr>
          <w:iCs/>
        </w:rPr>
        <w:t>In addition, the program requires an inspection on hot water delivery efficiency as well as an inspection on solar ready features</w:t>
      </w:r>
      <w:r w:rsidR="00D469A9">
        <w:rPr>
          <w:iCs/>
        </w:rPr>
        <w:t>, heat pump ready features, heat pump water heater ready features, and electric vehicle ready features</w:t>
      </w:r>
      <w:r>
        <w:rPr>
          <w:iCs/>
        </w:rPr>
        <w:t xml:space="preserve"> that may, or may not be performed as part of a basic </w:t>
      </w:r>
      <w:r w:rsidR="00D469A9">
        <w:rPr>
          <w:iCs/>
        </w:rPr>
        <w:t xml:space="preserve">energy </w:t>
      </w:r>
      <w:r>
        <w:rPr>
          <w:iCs/>
        </w:rPr>
        <w:t xml:space="preserve">rating inspection.  Rather than collecting reports directly from program participants, DOE collects data from </w:t>
      </w:r>
      <w:r w:rsidR="00D469A9">
        <w:rPr>
          <w:iCs/>
        </w:rPr>
        <w:t>HCOs</w:t>
      </w:r>
      <w:r>
        <w:rPr>
          <w:iCs/>
        </w:rPr>
        <w:t>, which provide access to</w:t>
      </w:r>
      <w:r w:rsidR="00472E4F">
        <w:rPr>
          <w:iCs/>
        </w:rPr>
        <w:t xml:space="preserve"> </w:t>
      </w:r>
      <w:r w:rsidR="00D469A9">
        <w:rPr>
          <w:iCs/>
        </w:rPr>
        <w:t>their</w:t>
      </w:r>
      <w:r>
        <w:rPr>
          <w:iCs/>
        </w:rPr>
        <w:t xml:space="preserve"> database</w:t>
      </w:r>
      <w:r w:rsidR="00472E4F">
        <w:rPr>
          <w:iCs/>
        </w:rPr>
        <w:t xml:space="preserve"> </w:t>
      </w:r>
      <w:r>
        <w:rPr>
          <w:iCs/>
        </w:rPr>
        <w:t>for all homes that receive a</w:t>
      </w:r>
      <w:r w:rsidR="00D469A9">
        <w:rPr>
          <w:iCs/>
        </w:rPr>
        <w:t>n energy</w:t>
      </w:r>
      <w:r>
        <w:rPr>
          <w:iCs/>
        </w:rPr>
        <w:t xml:space="preserve"> rating.  Certification data is downloaded monthly</w:t>
      </w:r>
      <w:r w:rsidR="00D469A9">
        <w:rPr>
          <w:iCs/>
        </w:rPr>
        <w:t xml:space="preserve"> or quarterly</w:t>
      </w:r>
      <w:r>
        <w:rPr>
          <w:iCs/>
        </w:rPr>
        <w:t xml:space="preserve"> from the </w:t>
      </w:r>
      <w:r w:rsidR="00D469A9">
        <w:rPr>
          <w:iCs/>
        </w:rPr>
        <w:t>HCOs</w:t>
      </w:r>
      <w:r>
        <w:rPr>
          <w:iCs/>
        </w:rPr>
        <w:t xml:space="preserve"> via a custom query established within their database.  No effort is required by participants in the transfer of the data.  The time burden estimate for this collection is entirely an estimate of the additional time needed to perform the additional inspections beyond a basic rating, Energy Star Certified New Homes verification, and Indoor </w:t>
      </w:r>
      <w:r>
        <w:rPr>
          <w:iCs/>
        </w:rPr>
        <w:t>airPLUS</w:t>
      </w:r>
      <w:r>
        <w:rPr>
          <w:iCs/>
        </w:rPr>
        <w:t xml:space="preserve"> verification.  </w:t>
      </w:r>
      <w:r w:rsidR="00711350">
        <w:rPr>
          <w:iCs/>
        </w:rPr>
        <w:t>Most i</w:t>
      </w:r>
      <w:r>
        <w:rPr>
          <w:iCs/>
        </w:rPr>
        <w:t xml:space="preserve">nformation in the collection is automatically entered into the </w:t>
      </w:r>
      <w:r w:rsidR="00D469A9">
        <w:rPr>
          <w:iCs/>
        </w:rPr>
        <w:t>HCO Database</w:t>
      </w:r>
      <w:r>
        <w:rPr>
          <w:iCs/>
        </w:rPr>
        <w:t xml:space="preserve"> as it is entered and/or generated by software during the </w:t>
      </w:r>
      <w:r w:rsidR="00D469A9">
        <w:rPr>
          <w:iCs/>
        </w:rPr>
        <w:t xml:space="preserve">energy rating </w:t>
      </w:r>
      <w:r>
        <w:rPr>
          <w:iCs/>
        </w:rPr>
        <w:t>process</w:t>
      </w:r>
      <w:r w:rsidR="00711350">
        <w:rPr>
          <w:iCs/>
        </w:rPr>
        <w:t>.  HCOs use their own reporting processes, some of which may include manually entered data in addition to automatically entered data</w:t>
      </w:r>
      <w:r>
        <w:rPr>
          <w:iCs/>
        </w:rPr>
        <w:t>.</w:t>
      </w:r>
    </w:p>
    <w:p w:rsidR="00E0029A" w14:paraId="1A3422CA" w14:textId="77777777">
      <w:pPr>
        <w:pStyle w:val="Heading2"/>
      </w:pPr>
      <w:bookmarkStart w:id="1" w:name="_Toc466046934"/>
      <w:r>
        <w:t>B.1. Respondent Universe</w:t>
      </w:r>
      <w:bookmarkEnd w:id="1"/>
    </w:p>
    <w:p w:rsidR="00E0029A" w14:paraId="5D274F09" w14:textId="77777777">
      <w:r>
        <w:rPr>
          <w:b/>
          <w:bCs/>
        </w:rPr>
        <w:t>Describe (including a numerical estimate) the potential respondent universe and any sampling or other respondent selection methods to be used.</w:t>
      </w:r>
      <w:r>
        <w:t xml:space="preserve"> </w:t>
      </w:r>
    </w:p>
    <w:p w:rsidR="00E0029A" w14:paraId="480FFA30" w14:textId="77777777">
      <w:r>
        <w:rPr>
          <w:iCs/>
        </w:rPr>
        <w:t>There are currently 4 HCOs involved in the collection of</w:t>
      </w:r>
      <w:r w:rsidR="001C6773">
        <w:rPr>
          <w:iCs/>
        </w:rPr>
        <w:t xml:space="preserve"> Zero Energy Ready Home certification data.  The response universe for this request includes all homes that are built and certified to the DOE Zero Energy Ready Home program requirements.  Any home built using the innovative building techniques and technologies required by the DOE Zero Energy Ready Home program must be certified using a 3</w:t>
      </w:r>
      <w:r w:rsidR="001C6773">
        <w:rPr>
          <w:iCs/>
          <w:vertAlign w:val="superscript"/>
        </w:rPr>
        <w:t>rd</w:t>
      </w:r>
      <w:r w:rsidR="001C6773">
        <w:rPr>
          <w:iCs/>
        </w:rPr>
        <w:t xml:space="preserve"> party verifier.  Because participation in this program is voluntary, there is no way to know the exact universe of participants except through the reporting in this collection.  Based on current program participation growth rates under the previous information collection request, we estimate that this universe will include approximately </w:t>
      </w:r>
      <w:r>
        <w:rPr>
          <w:iCs/>
        </w:rPr>
        <w:t xml:space="preserve">5000 </w:t>
      </w:r>
      <w:r w:rsidR="001C6773">
        <w:rPr>
          <w:iCs/>
        </w:rPr>
        <w:t xml:space="preserve">homes per year during the period covered by this information collection request.  These homes could be located in any US State or Territory and could be built by for-profit builders, not-for-profit builders, or local housing authorities.  </w:t>
      </w:r>
    </w:p>
    <w:p w:rsidR="00E0029A" w14:paraId="27FDEF30" w14:textId="77777777">
      <w:pPr>
        <w:pStyle w:val="Heading2"/>
      </w:pPr>
      <w:bookmarkStart w:id="2" w:name="_Toc466046935"/>
      <w:r>
        <w:t>B.2. Statistical Methods</w:t>
      </w:r>
      <w:bookmarkEnd w:id="2"/>
    </w:p>
    <w:p w:rsidR="00E0029A" w14:paraId="53CDBF8E" w14:textId="77777777">
      <w:r>
        <w:rPr>
          <w:b/>
          <w:bCs/>
        </w:rPr>
        <w:t xml:space="preserve">Describe the procedures for the collection of information. </w:t>
      </w:r>
    </w:p>
    <w:p w:rsidR="00E0029A" w14:paraId="173A907E" w14:textId="3F546829">
      <w:r>
        <w:rPr>
          <w:iCs/>
        </w:rPr>
        <w:t xml:space="preserve">Because of the voluntary nature of participation, the only way to know how many builders and homes are participating in the program is to track the reporting of each home in the participant universe to </w:t>
      </w:r>
      <w:r w:rsidR="00755EF0">
        <w:rPr>
          <w:iCs/>
        </w:rPr>
        <w:t>HCOs</w:t>
      </w:r>
      <w:r>
        <w:rPr>
          <w:iCs/>
        </w:rPr>
        <w:t>.  The Purpose of the information collection is to determine the universe of program participation.  Because we only know the universe size through this information collection, collecting only a sample of homes would not help us understand the total participation.  There exists no other data source that could help determine the universe of participants.  The National Association of Home Builders estimates that there were 1.</w:t>
      </w:r>
      <w:r w:rsidR="00711350">
        <w:rPr>
          <w:iCs/>
        </w:rPr>
        <w:t xml:space="preserve">553 </w:t>
      </w:r>
      <w:r w:rsidR="00857C7E">
        <w:rPr>
          <w:iCs/>
        </w:rPr>
        <w:t>m</w:t>
      </w:r>
      <w:r>
        <w:rPr>
          <w:iCs/>
        </w:rPr>
        <w:t xml:space="preserve">illion housing starts in </w:t>
      </w:r>
      <w:r w:rsidR="00711350">
        <w:rPr>
          <w:iCs/>
        </w:rPr>
        <w:t>2022</w:t>
      </w:r>
      <w:r>
        <w:rPr>
          <w:iCs/>
        </w:rPr>
        <w:t>.</w:t>
      </w:r>
      <w:r>
        <w:rPr>
          <w:rStyle w:val="FootnoteReference"/>
          <w:iCs/>
        </w:rPr>
        <w:footnoteReference w:id="2"/>
      </w:r>
      <w:r>
        <w:rPr>
          <w:iCs/>
        </w:rPr>
        <w:t xml:space="preserve">  Assuming the program achieved the estimate of </w:t>
      </w:r>
      <w:r w:rsidR="00711350">
        <w:rPr>
          <w:iCs/>
        </w:rPr>
        <w:t xml:space="preserve">5000 </w:t>
      </w:r>
      <w:r>
        <w:rPr>
          <w:iCs/>
        </w:rPr>
        <w:t>homes annually, it would only represent 0.</w:t>
      </w:r>
      <w:r w:rsidR="00711350">
        <w:rPr>
          <w:iCs/>
        </w:rPr>
        <w:t>3</w:t>
      </w:r>
      <w:r>
        <w:rPr>
          <w:iCs/>
        </w:rPr>
        <w:t xml:space="preserve">% of the market.  </w:t>
      </w:r>
      <w:r>
        <w:rPr>
          <w:iCs/>
        </w:rPr>
        <w:t>In order to</w:t>
      </w:r>
      <w:r>
        <w:rPr>
          <w:iCs/>
        </w:rPr>
        <w:t xml:space="preserve"> accurately count those </w:t>
      </w:r>
      <w:r w:rsidR="00711350">
        <w:rPr>
          <w:iCs/>
        </w:rPr>
        <w:t xml:space="preserve">5000 </w:t>
      </w:r>
      <w:r>
        <w:rPr>
          <w:iCs/>
        </w:rPr>
        <w:t xml:space="preserve">homes, our universe of participants would need to be much higher and the collection burden much heavier were we to try to determine participation numbers through a sampled approach.  In fact, the program is so small relative to all homes that a random sample may not identify any DOE Zero Energy Ready Homes. </w:t>
      </w:r>
    </w:p>
    <w:p w:rsidR="00E0029A" w14:paraId="3CC5E673" w14:textId="77777777">
      <w:pPr>
        <w:pStyle w:val="Heading2"/>
      </w:pPr>
      <w:bookmarkStart w:id="3" w:name="_Toc466046936"/>
      <w:r>
        <w:t>B.3. Maximizing Response Rates</w:t>
      </w:r>
      <w:bookmarkEnd w:id="3"/>
    </w:p>
    <w:p w:rsidR="00E0029A" w14:paraId="0F2697DB" w14:textId="77777777">
      <w:r>
        <w:rPr>
          <w:b/>
          <w:bCs/>
        </w:rPr>
        <w:t xml:space="preserve">Describe methods to maximize response rates and to deal with issues of non-response. </w:t>
      </w:r>
    </w:p>
    <w:p w:rsidR="00E0029A" w14:paraId="569C6A60" w14:textId="77777777">
      <w:pPr>
        <w:rPr>
          <w:iCs/>
        </w:rPr>
      </w:pPr>
      <w:r>
        <w:rPr>
          <w:iCs/>
        </w:rPr>
        <w:t xml:space="preserve">Response rates are maximized by collecting the aggregate information directly from </w:t>
      </w:r>
      <w:r w:rsidR="00711350">
        <w:rPr>
          <w:iCs/>
        </w:rPr>
        <w:t>HCO databases</w:t>
      </w:r>
      <w:r>
        <w:rPr>
          <w:iCs/>
        </w:rPr>
        <w:t xml:space="preserve"> rather than from individual respondents.  The certification process cannot be completed without the </w:t>
      </w:r>
      <w:r w:rsidR="00711350">
        <w:rPr>
          <w:iCs/>
        </w:rPr>
        <w:t>energy r</w:t>
      </w:r>
      <w:r>
        <w:rPr>
          <w:iCs/>
        </w:rPr>
        <w:t xml:space="preserve">ating data being sent to </w:t>
      </w:r>
      <w:r w:rsidR="00711350">
        <w:rPr>
          <w:iCs/>
        </w:rPr>
        <w:t>HCOs</w:t>
      </w:r>
      <w:r>
        <w:rPr>
          <w:iCs/>
        </w:rPr>
        <w:t xml:space="preserve">.  The Certificate is generated using the </w:t>
      </w:r>
      <w:r w:rsidR="00711350">
        <w:rPr>
          <w:iCs/>
        </w:rPr>
        <w:t xml:space="preserve">energy </w:t>
      </w:r>
      <w:r>
        <w:rPr>
          <w:iCs/>
        </w:rPr>
        <w:t xml:space="preserve">rating software.  In this way, any home that is certified as a DOE Zero Energy Ready Home will get reported automatically.  </w:t>
      </w:r>
    </w:p>
    <w:p w:rsidR="00E0029A" w14:paraId="49A9B918" w14:textId="77777777">
      <w:pPr>
        <w:pStyle w:val="Heading2"/>
      </w:pPr>
      <w:bookmarkStart w:id="4" w:name="_Toc466046937"/>
      <w:r>
        <w:t>B.4. Test Procedures and Form Consultations</w:t>
      </w:r>
      <w:bookmarkEnd w:id="4"/>
    </w:p>
    <w:p w:rsidR="00E0029A" w14:paraId="0F2EADDB" w14:textId="77777777">
      <w:r>
        <w:rPr>
          <w:b/>
          <w:bCs/>
        </w:rPr>
        <w:t xml:space="preserve">Describe any tests of procedures or methods to be undertaken. </w:t>
      </w:r>
    </w:p>
    <w:p w:rsidR="00E0029A" w14:paraId="0CD05FC3" w14:textId="77777777">
      <w:r>
        <w:t xml:space="preserve">All tests used in the certification process are already developed by other industry organizations.  In many cases, they used published consensus standards.  For example, the </w:t>
      </w:r>
      <w:r w:rsidR="00711350">
        <w:t>energy</w:t>
      </w:r>
      <w:r>
        <w:t xml:space="preserve"> rating process itself is now an ANSI standard.  Likewise, tests for building envelope air leakage and duct leakage both use ASTM or RESNET consensus test standards.  The hot water delivery test required by DOE Zero Energy Ready Home was developed by the EPA </w:t>
      </w:r>
      <w:r>
        <w:t>WaterSense</w:t>
      </w:r>
      <w:r>
        <w:t xml:space="preserve"> program.  We create no new tests for this information collection.  </w:t>
      </w:r>
    </w:p>
    <w:p w:rsidR="00E0029A" w14:paraId="30F66DF8" w14:textId="77777777">
      <w:pPr>
        <w:pStyle w:val="Heading2"/>
      </w:pPr>
      <w:bookmarkStart w:id="5" w:name="_Toc466046938"/>
      <w:r>
        <w:t>B.5. Statistical Consultations</w:t>
      </w:r>
      <w:bookmarkEnd w:id="5"/>
    </w:p>
    <w:p w:rsidR="00E0029A" w14:paraId="78E58A6C" w14:textId="77777777">
      <w:r>
        <w:rPr>
          <w:b/>
          <w:bCs/>
        </w:rPr>
        <w:t>Provide the name and telephone number of individuals consulted on statistical aspects of the design and the name of the agency unit, contractor(s), grantee(s</w:t>
      </w:r>
      <w:r>
        <w:rPr>
          <w:b/>
          <w:bCs/>
        </w:rPr>
        <w:t>)</w:t>
      </w:r>
      <w:r>
        <w:rPr>
          <w:b/>
          <w:bCs/>
        </w:rPr>
        <w:t xml:space="preserve"> or other person(s) who will actually collect and/or analyze the information for the agency. </w:t>
      </w:r>
    </w:p>
    <w:p w:rsidR="00E0029A" w14:paraId="18FC4E7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external individuals consulted on statistical aspects of this information collection.  All data analysis and reporting will be conducted by DOE staff.</w:t>
      </w:r>
    </w:p>
    <w:p w:rsidR="00E0029A" w14:paraId="225A0C9C" w14:textId="77777777">
      <w:pPr>
        <w:rPr>
          <w:i/>
          <w:iCs/>
        </w:rPr>
      </w:pPr>
      <w:r>
        <w:rPr>
          <w:rFonts w:ascii="Times New Roman" w:eastAsia="Times New Roman" w:hAnsi="Times New Roman" w:cs="Times New Roman"/>
          <w:sz w:val="24"/>
          <w:szCs w:val="24"/>
        </w:rPr>
        <w:t>Questions on this information collection should be directed to the collection manager, Chris Early.</w:t>
      </w:r>
    </w:p>
    <w:p w:rsidR="00E0029A" w14:paraId="73A2820D" w14:textId="77777777"/>
    <w:sectPr>
      <w:headerReference w:type="even" r:id="rId14"/>
      <w:headerReference w:type="default" r:id="rId15"/>
      <w:footerReference w:type="even"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29A" w14:paraId="1143D001" w14:textId="77777777">
    <w:pPr>
      <w:pStyle w:val="Footer"/>
    </w:pPr>
    <w:sdt>
      <w:sdtPr>
        <w:id w:val="37707256"/>
        <w:docPartObj>
          <w:docPartGallery w:val="Page Numbers (Bottom of Page)"/>
          <w:docPartUnique/>
        </w:docPartObj>
      </w:sdtPr>
      <w:sdtContent>
        <w:r w:rsidR="001C6773">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rsidR="001C6773">
              <w:t>Improving the Quality and Scope of EIA Data</w:t>
            </w:r>
          </w:sdtContent>
        </w:sdt>
        <w:r w:rsidR="001C6773">
          <w:tab/>
        </w:r>
      </w:sdtContent>
    </w:sdt>
    <w:r w:rsidR="001C6773">
      <w:t xml:space="preserve"> </w:t>
    </w:r>
    <w:r w:rsidR="001C6773">
      <w:fldChar w:fldCharType="begin"/>
    </w:r>
    <w:r w:rsidR="001C6773">
      <w:instrText xml:space="preserve"> PAGE   \* MERGEFORMAT </w:instrText>
    </w:r>
    <w:r w:rsidR="001C6773">
      <w:fldChar w:fldCharType="separate"/>
    </w:r>
    <w:r w:rsidR="001C6773">
      <w:rPr>
        <w:noProof/>
      </w:rPr>
      <w:t>i</w:t>
    </w:r>
    <w:r w:rsidR="001C6773">
      <w:rPr>
        <w:noProof/>
      </w:rPr>
      <w:fldChar w:fldCharType="end"/>
    </w:r>
  </w:p>
  <w:p w:rsidR="00E0029A" w14:paraId="718F70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29A" w14:paraId="4FBC9BD7" w14:textId="77777777">
    <w:pPr>
      <w:pStyle w:val="Footer"/>
    </w:pPr>
    <w:sdt>
      <w:sdtPr>
        <w:id w:val="1300337987"/>
        <w:docPartObj>
          <w:docPartGallery w:val="Page Numbers (Bottom of Page)"/>
          <w:docPartUnique/>
        </w:docPartObj>
      </w:sdtPr>
      <w:sdtContent>
        <w:r w:rsidR="001C6773">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Content>
            <w:r w:rsidR="001C6773">
              <w:t>Improving the Quality and Scope of EIA Data</w:t>
            </w:r>
          </w:sdtContent>
        </w:sdt>
        <w:r w:rsidR="001C6773">
          <w:tab/>
        </w:r>
      </w:sdtContent>
    </w:sdt>
    <w:r w:rsidR="001C6773">
      <w:t xml:space="preserve"> </w:t>
    </w:r>
    <w:r w:rsidR="001C6773">
      <w:fldChar w:fldCharType="begin"/>
    </w:r>
    <w:r w:rsidR="001C6773">
      <w:instrText xml:space="preserve"> PAGE   \* MERGEFORMAT </w:instrText>
    </w:r>
    <w:r w:rsidR="001C6773">
      <w:fldChar w:fldCharType="separate"/>
    </w:r>
    <w:r w:rsidR="001C6773">
      <w:rPr>
        <w:noProof/>
      </w:rPr>
      <w:t>ii</w:t>
    </w:r>
    <w:r w:rsidR="001C6773">
      <w:rPr>
        <w:noProof/>
      </w:rPr>
      <w:fldChar w:fldCharType="end"/>
    </w:r>
  </w:p>
  <w:p w:rsidR="00E0029A" w14:paraId="11B377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5557895"/>
      <w:docPartObj>
        <w:docPartGallery w:val="Page Numbers (Bottom of Page)"/>
        <w:docPartUnique/>
      </w:docPartObj>
    </w:sdtPr>
    <w:sdtContent>
      <w:p w:rsidR="00E0029A" w14:paraId="2FBF8D72"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U.S. Energy Information Administration   |   Improving the Quality and Scope of EIA Data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29A" w14:paraId="1E1754FC" w14:textId="77777777">
    <w:pPr>
      <w:pStyle w:val="Footer"/>
    </w:pPr>
    <w:sdt>
      <w:sdtPr>
        <w:id w:val="1705557553"/>
        <w:docPartObj>
          <w:docPartGallery w:val="Page Numbers (Bottom of Page)"/>
          <w:docPartUnique/>
        </w:docPartObj>
      </w:sdtPr>
      <w:sdtContent>
        <w:r w:rsidR="001C6773">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rsidR="001C6773">
              <w:t>Improving the Quality and Scope of EIA Data</w:t>
            </w:r>
          </w:sdtContent>
        </w:sdt>
        <w:r w:rsidR="001C6773">
          <w:tab/>
        </w:r>
      </w:sdtContent>
    </w:sdt>
    <w:r w:rsidR="001C6773">
      <w:t xml:space="preserve"> </w:t>
    </w:r>
    <w:r w:rsidR="001C6773">
      <w:fldChar w:fldCharType="begin"/>
    </w:r>
    <w:r w:rsidR="001C6773">
      <w:instrText xml:space="preserve"> PAGE   \* MERGEFORMAT </w:instrText>
    </w:r>
    <w:r w:rsidR="001C6773">
      <w:fldChar w:fldCharType="separate"/>
    </w:r>
    <w:r w:rsidR="001C6773">
      <w:rPr>
        <w:noProof/>
      </w:rPr>
      <w:t>1</w:t>
    </w:r>
    <w:r w:rsidR="001C6773">
      <w:rPr>
        <w:noProof/>
      </w:rPr>
      <w:fldChar w:fldCharType="end"/>
    </w:r>
  </w:p>
  <w:p w:rsidR="00E0029A" w14:paraId="002400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05BC" w14:paraId="6C973A8E" w14:textId="77777777">
      <w:pPr>
        <w:spacing w:after="0" w:line="240" w:lineRule="auto"/>
      </w:pPr>
      <w:r>
        <w:separator/>
      </w:r>
    </w:p>
  </w:footnote>
  <w:footnote w:type="continuationSeparator" w:id="1">
    <w:p w:rsidR="003D05BC" w14:paraId="3C0DA840" w14:textId="77777777">
      <w:pPr>
        <w:spacing w:after="0" w:line="240" w:lineRule="auto"/>
      </w:pPr>
      <w:r>
        <w:continuationSeparator/>
      </w:r>
    </w:p>
  </w:footnote>
  <w:footnote w:id="2">
    <w:p w:rsidR="00E0029A" w:rsidP="00711350" w14:paraId="1EE400B5" w14:textId="77777777">
      <w:pPr>
        <w:pStyle w:val="FootnoteText"/>
      </w:pPr>
      <w:r>
        <w:rPr>
          <w:rStyle w:val="FootnoteReference"/>
        </w:rPr>
        <w:footnoteRef/>
      </w:r>
      <w:r w:rsidRPr="00711350" w:rsidR="00711350">
        <w:t>https://www.nahb.org/-/media/NAHB/news-and-economics/docs/housing-economics/starts-and-permits/housing-starts.pdf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29A" w14:paraId="31FE9C48"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29A" w14:paraId="4BF05AA0" w14:textId="77777777">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29A" w14:paraId="2A600020" w14:textId="6386CB6C">
    <w:pPr>
      <w:pStyle w:val="Header"/>
    </w:pPr>
    <w:r>
      <w:t>November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29A" w14:paraId="7ED5BAFA"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612081279">
    <w:abstractNumId w:val="10"/>
  </w:num>
  <w:num w:numId="2" w16cid:durableId="459302183">
    <w:abstractNumId w:val="9"/>
  </w:num>
  <w:num w:numId="3" w16cid:durableId="1069810991">
    <w:abstractNumId w:val="7"/>
  </w:num>
  <w:num w:numId="4" w16cid:durableId="1483545549">
    <w:abstractNumId w:val="6"/>
  </w:num>
  <w:num w:numId="5" w16cid:durableId="1159615841">
    <w:abstractNumId w:val="5"/>
  </w:num>
  <w:num w:numId="6" w16cid:durableId="2004123521">
    <w:abstractNumId w:val="4"/>
  </w:num>
  <w:num w:numId="7" w16cid:durableId="1670910999">
    <w:abstractNumId w:val="8"/>
  </w:num>
  <w:num w:numId="8" w16cid:durableId="1182433025">
    <w:abstractNumId w:val="3"/>
  </w:num>
  <w:num w:numId="9" w16cid:durableId="2079472236">
    <w:abstractNumId w:val="2"/>
  </w:num>
  <w:num w:numId="10" w16cid:durableId="973680624">
    <w:abstractNumId w:val="1"/>
  </w:num>
  <w:num w:numId="11" w16cid:durableId="1825513732">
    <w:abstractNumId w:val="0"/>
  </w:num>
  <w:num w:numId="12" w16cid:durableId="501775107">
    <w:abstractNumId w:val="16"/>
  </w:num>
  <w:num w:numId="13" w16cid:durableId="926690959">
    <w:abstractNumId w:val="12"/>
  </w:num>
  <w:num w:numId="14" w16cid:durableId="2030795650">
    <w:abstractNumId w:val="13"/>
  </w:num>
  <w:num w:numId="15" w16cid:durableId="1578786491">
    <w:abstractNumId w:val="15"/>
  </w:num>
  <w:num w:numId="16" w16cid:durableId="2037538655">
    <w:abstractNumId w:val="10"/>
  </w:num>
  <w:num w:numId="17" w16cid:durableId="545870365">
    <w:abstractNumId w:val="10"/>
  </w:num>
  <w:num w:numId="18" w16cid:durableId="697466573">
    <w:abstractNumId w:val="14"/>
  </w:num>
  <w:num w:numId="19" w16cid:durableId="16034136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224755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815293699">
    <w:abstractNumId w:val="10"/>
  </w:num>
  <w:num w:numId="22" w16cid:durableId="638606296">
    <w:abstractNumId w:val="10"/>
  </w:num>
  <w:num w:numId="23" w16cid:durableId="636297907">
    <w:abstractNumId w:val="10"/>
  </w:num>
  <w:num w:numId="24" w16cid:durableId="1909223584">
    <w:abstractNumId w:val="10"/>
  </w:num>
  <w:num w:numId="25" w16cid:durableId="804200839">
    <w:abstractNumId w:val="10"/>
  </w:num>
  <w:num w:numId="26" w16cid:durableId="812257692">
    <w:abstractNumId w:val="17"/>
  </w:num>
  <w:num w:numId="27" w16cid:durableId="1461142505">
    <w:abstractNumId w:val="10"/>
  </w:num>
  <w:num w:numId="28" w16cid:durableId="1615136795">
    <w:abstractNumId w:val="17"/>
  </w:num>
  <w:num w:numId="29" w16cid:durableId="769130748">
    <w:abstractNumId w:val="17"/>
  </w:num>
  <w:num w:numId="30" w16cid:durableId="1595629318">
    <w:abstractNumId w:val="17"/>
  </w:num>
  <w:num w:numId="31" w16cid:durableId="1839610821">
    <w:abstractNumId w:val="10"/>
  </w:num>
  <w:num w:numId="32" w16cid:durableId="1091707944">
    <w:abstractNumId w:val="10"/>
  </w:num>
  <w:num w:numId="33" w16cid:durableId="1350180487">
    <w:abstractNumId w:val="10"/>
  </w:num>
  <w:num w:numId="34" w16cid:durableId="1438863368">
    <w:abstractNumId w:val="9"/>
  </w:num>
  <w:num w:numId="35" w16cid:durableId="1609191141">
    <w:abstractNumId w:val="7"/>
  </w:num>
  <w:num w:numId="36" w16cid:durableId="206839673">
    <w:abstractNumId w:val="6"/>
  </w:num>
  <w:num w:numId="37" w16cid:durableId="659239758">
    <w:abstractNumId w:val="5"/>
  </w:num>
  <w:num w:numId="38" w16cid:durableId="1721973366">
    <w:abstractNumId w:val="12"/>
  </w:num>
  <w:num w:numId="39" w16cid:durableId="2090349578">
    <w:abstractNumId w:val="17"/>
  </w:num>
  <w:num w:numId="40" w16cid:durableId="235437133">
    <w:abstractNumId w:val="17"/>
  </w:num>
  <w:num w:numId="41" w16cid:durableId="1421366477">
    <w:abstractNumId w:val="17"/>
  </w:num>
  <w:num w:numId="42" w16cid:durableId="1431193708">
    <w:abstractNumId w:val="12"/>
  </w:num>
  <w:num w:numId="43" w16cid:durableId="1017922156">
    <w:abstractNumId w:val="12"/>
  </w:num>
  <w:num w:numId="44" w16cid:durableId="376129505">
    <w:abstractNumId w:val="12"/>
  </w:num>
  <w:num w:numId="45" w16cid:durableId="324548667">
    <w:abstractNumId w:val="12"/>
  </w:num>
  <w:num w:numId="46" w16cid:durableId="443306793">
    <w:abstractNumId w:val="11"/>
  </w:num>
  <w:num w:numId="47" w16cid:durableId="1632398152">
    <w:abstractNumId w:val="18"/>
  </w:num>
  <w:num w:numId="48" w16cid:durableId="18088599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9A"/>
    <w:rsid w:val="001C6773"/>
    <w:rsid w:val="00290255"/>
    <w:rsid w:val="003D05BC"/>
    <w:rsid w:val="00472E4F"/>
    <w:rsid w:val="004A5E35"/>
    <w:rsid w:val="006A0D6C"/>
    <w:rsid w:val="00711350"/>
    <w:rsid w:val="00755EF0"/>
    <w:rsid w:val="007C320B"/>
    <w:rsid w:val="00844BD2"/>
    <w:rsid w:val="00857C7E"/>
    <w:rsid w:val="00AA5C01"/>
    <w:rsid w:val="00CB11DD"/>
    <w:rsid w:val="00D21231"/>
    <w:rsid w:val="00D469A9"/>
    <w:rsid w:val="00E0029A"/>
    <w:rsid w:val="00E5106E"/>
    <w:rsid w:val="00F80E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789A7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pPr>
      <w:numPr>
        <w:numId w:val="13"/>
      </w:numPr>
      <w:ind w:left="720"/>
      <w:contextualSpacing/>
    </w:p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711350"/>
    <w:pPr>
      <w:spacing w:after="0" w:line="240" w:lineRule="atLeast"/>
      <w:contextualSpacing/>
    </w:pPr>
    <w:rPr>
      <w:sz w:val="18"/>
    </w:rPr>
  </w:style>
  <w:style w:type="character" w:customStyle="1" w:styleId="FootnoteTextChar">
    <w:name w:val="Footnote Text Char"/>
    <w:basedOn w:val="DefaultParagraphFont"/>
    <w:link w:val="FootnoteText"/>
    <w:uiPriority w:val="7"/>
    <w:rsid w:val="00711350"/>
    <w:rPr>
      <w:sz w:val="18"/>
    </w:rPr>
  </w:style>
  <w:style w:type="character" w:styleId="FootnoteReference">
    <w:name w:val="footnote reference"/>
    <w:basedOn w:val="DefaultParagraphFont"/>
    <w:uiPriority w:val="8"/>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34"/>
      </w:numPr>
      <w:contextualSpacing/>
    </w:pPr>
  </w:style>
  <w:style w:type="paragraph" w:styleId="ListBullet2">
    <w:name w:val="List Bullet 2"/>
    <w:basedOn w:val="Normal"/>
    <w:uiPriority w:val="99"/>
    <w:semiHidden/>
    <w:locked/>
    <w:pPr>
      <w:numPr>
        <w:numId w:val="35"/>
      </w:numPr>
      <w:contextualSpacing/>
    </w:pPr>
  </w:style>
  <w:style w:type="paragraph" w:styleId="ListBullet3">
    <w:name w:val="List Bullet 3"/>
    <w:basedOn w:val="Normal"/>
    <w:uiPriority w:val="99"/>
    <w:semiHidden/>
    <w:locked/>
    <w:pPr>
      <w:numPr>
        <w:numId w:val="36"/>
      </w:numPr>
      <w:contextualSpacing/>
    </w:pPr>
  </w:style>
  <w:style w:type="paragraph" w:styleId="ListBullet4">
    <w:name w:val="List Bullet 4"/>
    <w:basedOn w:val="Normal"/>
    <w:uiPriority w:val="99"/>
    <w:semiHidden/>
    <w:locked/>
    <w:pPr>
      <w:numPr>
        <w:numId w:val="3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7"/>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6A0D6C"/>
    <w:pPr>
      <w:spacing w:after="0"/>
    </w:pPr>
  </w:style>
  <w:style w:type="character" w:styleId="FollowedHyperlink">
    <w:name w:val="FollowedHyperlink"/>
    <w:basedOn w:val="DefaultParagraphFont"/>
    <w:uiPriority w:val="99"/>
    <w:semiHidden/>
    <w:unhideWhenUsed/>
    <w:locked/>
    <w:rsid w:val="00755EF0"/>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924f42-02d1-4809-ad80-a81cfd50ee5d" xsi:nil="true"/>
    <lcf76f155ced4ddcb4097134ff3c332f xmlns="3c2b199b-ae0d-40d1-a25b-4aecafb99e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EBBCFB58BCF04BAF95C55C6BEC5FEA" ma:contentTypeVersion="20" ma:contentTypeDescription="Create a new document." ma:contentTypeScope="" ma:versionID="3c562a2f165dab2a57f75783c8a25bd8">
  <xsd:schema xmlns:xsd="http://www.w3.org/2001/XMLSchema" xmlns:xs="http://www.w3.org/2001/XMLSchema" xmlns:p="http://schemas.microsoft.com/office/2006/metadata/properties" xmlns:ns2="3e924f42-02d1-4809-ad80-a81cfd50ee5d" xmlns:ns3="3c2b199b-ae0d-40d1-a25b-4aecafb99e9c" targetNamespace="http://schemas.microsoft.com/office/2006/metadata/properties" ma:root="true" ma:fieldsID="de544e0f6211d440f7e3110d7ed4f4d7" ns2:_="" ns3:_="">
    <xsd:import namespace="3e924f42-02d1-4809-ad80-a81cfd50ee5d"/>
    <xsd:import namespace="3c2b199b-ae0d-40d1-a25b-4aecafb99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24f42-02d1-4809-ad80-a81cfd50ee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8af59db4-35de-453a-81b5-a645fe29d0d8}" ma:internalName="TaxCatchAll" ma:showField="CatchAllData" ma:web="3e924f42-02d1-4809-ad80-a81cfd50ee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2b199b-ae0d-40d1-a25b-4aecafb99e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bf6f33-0d16-43c1-a20a-7fca5642e19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175C60-3A80-4215-A555-27B1D342C9E8}">
  <ds:schemaRefs>
    <ds:schemaRef ds:uri="http://schemas.microsoft.com/sharepoint/v3/contenttype/forms"/>
  </ds:schemaRefs>
</ds:datastoreItem>
</file>

<file path=customXml/itemProps3.xml><?xml version="1.0" encoding="utf-8"?>
<ds:datastoreItem xmlns:ds="http://schemas.openxmlformats.org/officeDocument/2006/customXml" ds:itemID="{2235DBFD-F6D8-409C-9CA2-F5DA8D3CA5BA}">
  <ds:schemaRefs>
    <ds:schemaRef ds:uri="http://schemas.microsoft.com/office/2006/metadata/properties"/>
    <ds:schemaRef ds:uri="http://schemas.microsoft.com/office/infopath/2007/PartnerControls"/>
    <ds:schemaRef ds:uri="3e924f42-02d1-4809-ad80-a81cfd50ee5d"/>
    <ds:schemaRef ds:uri="3c2b199b-ae0d-40d1-a25b-4aecafb99e9c"/>
  </ds:schemaRefs>
</ds:datastoreItem>
</file>

<file path=customXml/itemProps4.xml><?xml version="1.0" encoding="utf-8"?>
<ds:datastoreItem xmlns:ds="http://schemas.openxmlformats.org/officeDocument/2006/customXml" ds:itemID="{95B42242-1D24-4CE1-8FCD-9A3986584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24f42-02d1-4809-ad80-a81cfd50ee5d"/>
    <ds:schemaRef ds:uri="3c2b199b-ae0d-40d1-a25b-4aecafb99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791255-5E2E-47BD-9C11-BCDE7B47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Programs for Improving Energy Efficiency in Buildings</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Programs for Improving Energy Efficiency in Buildings</dc:title>
  <dc:subject>Improving the Quality and Scope of EIA Data</dc:subject>
  <dc:creator>Stroud, Lawrence</dc:creator>
  <cp:lastModifiedBy>Oparah, Alexus (CONTR)</cp:lastModifiedBy>
  <cp:revision>2</cp:revision>
  <cp:lastPrinted>2011-12-12T20:42:00Z</cp:lastPrinted>
  <dcterms:created xsi:type="dcterms:W3CDTF">2024-04-02T13:44:00Z</dcterms:created>
  <dcterms:modified xsi:type="dcterms:W3CDTF">2024-04-02T13:44:00Z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0x0101004FEBBCFB58BCF04BAF95C55C6BEC5FEA</vt:lpwstr>
  </property>
</Properties>
</file>