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55B" w:rsidRPr="000F7553" w:rsidP="009C34B1" w14:paraId="40D804CB" w14:textId="03D13636">
      <w:pPr>
        <w:tabs>
          <w:tab w:val="center" w:pos="4680"/>
        </w:tabs>
        <w:spacing w:after="0" w:line="259" w:lineRule="auto"/>
        <w:ind w:left="356" w:firstLine="0"/>
        <w:jc w:val="center"/>
        <w:rPr>
          <w:b/>
          <w:bCs/>
        </w:rPr>
      </w:pPr>
      <w:r w:rsidRPr="000F7553">
        <w:rPr>
          <w:b/>
          <w:bCs/>
        </w:rPr>
        <w:t xml:space="preserve">Supporting Statement </w:t>
      </w:r>
      <w:r w:rsidR="00660037">
        <w:rPr>
          <w:b/>
          <w:bCs/>
        </w:rPr>
        <w:t>for</w:t>
      </w:r>
    </w:p>
    <w:p w:rsidR="00034FC0" w:rsidRPr="00A408A0" w:rsidP="00CE7745" w14:paraId="7326D6D5" w14:textId="50BF7495">
      <w:pPr>
        <w:tabs>
          <w:tab w:val="center" w:pos="4680"/>
        </w:tabs>
        <w:spacing w:after="0" w:line="259" w:lineRule="auto"/>
        <w:ind w:left="0" w:firstLine="0"/>
        <w:jc w:val="center"/>
      </w:pPr>
    </w:p>
    <w:p w:rsidR="00034FC0" w:rsidRPr="00A408A0" w:rsidP="00034FC0" w14:paraId="70FCD74D" w14:textId="2E0B0DA7">
      <w:pPr>
        <w:tabs>
          <w:tab w:val="center" w:pos="4680"/>
        </w:tabs>
        <w:jc w:val="center"/>
        <w:rPr>
          <w:b/>
        </w:rPr>
      </w:pPr>
      <w:r w:rsidRPr="00A408A0">
        <w:rPr>
          <w:b/>
        </w:rPr>
        <w:t>FERC-516A (Standardization of Small Generator</w:t>
      </w:r>
    </w:p>
    <w:p w:rsidR="00034FC0" w:rsidP="00034FC0" w14:paraId="2EDC9F55" w14:textId="77777777">
      <w:pPr>
        <w:tabs>
          <w:tab w:val="center" w:pos="4680"/>
        </w:tabs>
        <w:jc w:val="center"/>
        <w:rPr>
          <w:b/>
        </w:rPr>
      </w:pPr>
      <w:r w:rsidRPr="00A408A0">
        <w:rPr>
          <w:b/>
        </w:rPr>
        <w:t>Interconnection Agreements and Procedures)</w:t>
      </w:r>
    </w:p>
    <w:p w:rsidR="000F7553" w:rsidRPr="00A408A0" w:rsidP="00034FC0" w14:paraId="69170909" w14:textId="66039819">
      <w:pPr>
        <w:tabs>
          <w:tab w:val="center" w:pos="4680"/>
        </w:tabs>
        <w:jc w:val="center"/>
        <w:rPr>
          <w:b/>
        </w:rPr>
      </w:pPr>
      <w:r>
        <w:rPr>
          <w:b/>
        </w:rPr>
        <w:t>Modification</w:t>
      </w:r>
      <w:r w:rsidR="00660037">
        <w:rPr>
          <w:b/>
        </w:rPr>
        <w:t xml:space="preserve"> </w:t>
      </w:r>
      <w:r w:rsidR="00660037">
        <w:rPr>
          <w:b/>
          <w:bCs/>
        </w:rPr>
        <w:t>in accordance with</w:t>
      </w:r>
      <w:r w:rsidRPr="000F7553" w:rsidR="00660037">
        <w:rPr>
          <w:b/>
          <w:bCs/>
        </w:rPr>
        <w:t xml:space="preserve"> RM22-14-001</w:t>
      </w:r>
    </w:p>
    <w:p w:rsidR="00DD755B" w:rsidRPr="00A408A0" w14:paraId="541CF329" w14:textId="43A5D5E5">
      <w:pPr>
        <w:spacing w:after="0" w:line="259" w:lineRule="auto"/>
        <w:ind w:left="590" w:firstLine="0"/>
        <w:jc w:val="center"/>
        <w:outlineLvl w:val="4"/>
      </w:pPr>
      <w:r w:rsidRPr="00A408A0">
        <w:rPr>
          <w:b/>
        </w:rPr>
        <w:t xml:space="preserve"> </w:t>
      </w:r>
    </w:p>
    <w:p w:rsidR="00DD755B" w:rsidRPr="00A408A0" w:rsidP="00D55A35" w14:paraId="75A94B93" w14:textId="16A2201D">
      <w:pPr>
        <w:suppressAutoHyphens/>
        <w:spacing w:after="0" w:line="240" w:lineRule="auto"/>
        <w:ind w:left="0" w:firstLine="0"/>
        <w:contextualSpacing/>
      </w:pPr>
      <w:r w:rsidRPr="00A408A0">
        <w:t xml:space="preserve">The Federal Energy Regulatory Commission (Commission or FERC) requests that the Office of Management and Budget (OMB) </w:t>
      </w:r>
      <w:r w:rsidRPr="00A408A0" w:rsidR="00661677">
        <w:t xml:space="preserve">review and </w:t>
      </w:r>
      <w:r w:rsidRPr="00A408A0">
        <w:t>approve the</w:t>
      </w:r>
      <w:r w:rsidRPr="00A408A0" w:rsidR="004000AC">
        <w:t xml:space="preserve"> modification of the</w:t>
      </w:r>
      <w:r w:rsidRPr="00A408A0">
        <w:t xml:space="preserve"> information collection requirements in </w:t>
      </w:r>
      <w:r w:rsidRPr="00791546" w:rsidR="00034FC0">
        <w:rPr>
          <w:i/>
          <w:iCs/>
          <w:color w:val="auto"/>
        </w:rPr>
        <w:t>FERC-516A Standardization of Small Generator Interconnection Agreements and Procedures</w:t>
      </w:r>
      <w:r w:rsidRPr="00791546" w:rsidR="003C7B1C">
        <w:rPr>
          <w:i/>
          <w:iCs/>
          <w:color w:val="auto"/>
        </w:rPr>
        <w:t xml:space="preserve"> </w:t>
      </w:r>
      <w:r w:rsidRPr="00A408A0" w:rsidR="003C7B1C">
        <w:rPr>
          <w:color w:val="auto"/>
        </w:rPr>
        <w:t>(</w:t>
      </w:r>
      <w:r w:rsidR="00B92B70">
        <w:rPr>
          <w:color w:val="auto"/>
        </w:rPr>
        <w:t>OMB Control No. 1902-</w:t>
      </w:r>
      <w:r w:rsidR="00791546">
        <w:rPr>
          <w:color w:val="auto"/>
        </w:rPr>
        <w:t xml:space="preserve">0203, </w:t>
      </w:r>
      <w:r w:rsidR="00B92B70">
        <w:rPr>
          <w:color w:val="auto"/>
        </w:rPr>
        <w:t>e</w:t>
      </w:r>
      <w:r w:rsidRPr="00A408A0" w:rsidR="003C7B1C">
        <w:rPr>
          <w:color w:val="auto"/>
        </w:rPr>
        <w:t xml:space="preserve">xpires </w:t>
      </w:r>
      <w:r w:rsidRPr="00A408A0" w:rsidR="00091260">
        <w:rPr>
          <w:color w:val="auto"/>
        </w:rPr>
        <w:t>11</w:t>
      </w:r>
      <w:r w:rsidRPr="00A408A0" w:rsidR="003C7B1C">
        <w:rPr>
          <w:color w:val="auto"/>
        </w:rPr>
        <w:t>/3</w:t>
      </w:r>
      <w:r w:rsidRPr="00A408A0" w:rsidR="00234CA5">
        <w:rPr>
          <w:color w:val="auto"/>
        </w:rPr>
        <w:t>0</w:t>
      </w:r>
      <w:r w:rsidRPr="00A408A0" w:rsidR="003C7B1C">
        <w:rPr>
          <w:color w:val="auto"/>
        </w:rPr>
        <w:t>/202</w:t>
      </w:r>
      <w:r w:rsidRPr="00A408A0" w:rsidR="00234CA5">
        <w:rPr>
          <w:color w:val="auto"/>
        </w:rPr>
        <w:t>6</w:t>
      </w:r>
      <w:r w:rsidRPr="00A408A0" w:rsidR="003C7B1C">
        <w:rPr>
          <w:color w:val="auto"/>
        </w:rPr>
        <w:t>)</w:t>
      </w:r>
      <w:r w:rsidRPr="00A408A0" w:rsidR="00034FC0">
        <w:rPr>
          <w:color w:val="auto"/>
        </w:rPr>
        <w:t>,</w:t>
      </w:r>
      <w:r w:rsidRPr="00A408A0" w:rsidR="00661677">
        <w:t xml:space="preserve"> for a three-year period.  </w:t>
      </w:r>
      <w:r w:rsidR="00F23560">
        <w:t>This</w:t>
      </w:r>
      <w:r w:rsidRPr="00A408A0" w:rsidR="00F23560">
        <w:t xml:space="preserve"> </w:t>
      </w:r>
      <w:r w:rsidRPr="00A408A0" w:rsidR="00034FC0">
        <w:t>collection</w:t>
      </w:r>
      <w:r w:rsidRPr="00A408A0" w:rsidR="00661677">
        <w:t xml:space="preserve"> </w:t>
      </w:r>
      <w:r w:rsidR="00F23560">
        <w:t>is</w:t>
      </w:r>
      <w:r w:rsidRPr="00A408A0" w:rsidR="00DE7B4F">
        <w:t xml:space="preserve"> </w:t>
      </w:r>
      <w:r w:rsidRPr="00A408A0" w:rsidR="00661677">
        <w:t>an existing information collection</w:t>
      </w:r>
      <w:r w:rsidRPr="00A408A0" w:rsidR="001C36DF">
        <w:t xml:space="preserve"> and </w:t>
      </w:r>
      <w:r w:rsidR="00F23560">
        <w:t>is</w:t>
      </w:r>
      <w:r w:rsidRPr="00A408A0" w:rsidR="001C36DF">
        <w:t xml:space="preserve"> being modified by the </w:t>
      </w:r>
      <w:r w:rsidRPr="00A408A0" w:rsidR="00CC4771">
        <w:t>order on rehearing</w:t>
      </w:r>
      <w:r w:rsidRPr="00A408A0" w:rsidR="001C36DF">
        <w:t xml:space="preserve"> in Dock</w:t>
      </w:r>
      <w:r w:rsidRPr="00A408A0" w:rsidR="001B297D">
        <w:t>et No. RM22-14-00</w:t>
      </w:r>
      <w:r w:rsidRPr="00A408A0">
        <w:t>1</w:t>
      </w:r>
      <w:r w:rsidRPr="00A408A0" w:rsidR="001B297D">
        <w:t xml:space="preserve">. </w:t>
      </w:r>
    </w:p>
    <w:p w:rsidR="00DD755B" w:rsidRPr="00A408A0" w:rsidP="00D55A35" w14:paraId="7AC544E1" w14:textId="77777777">
      <w:pPr>
        <w:suppressAutoHyphens/>
        <w:spacing w:after="0" w:line="240" w:lineRule="auto"/>
        <w:ind w:left="0" w:firstLine="0"/>
        <w:rPr>
          <w:b/>
        </w:rPr>
      </w:pPr>
      <w:r w:rsidRPr="00A408A0">
        <w:rPr>
          <w:b/>
        </w:rPr>
        <w:t xml:space="preserve"> </w:t>
      </w:r>
    </w:p>
    <w:p w:rsidR="00241151" w:rsidRPr="00A408A0" w:rsidP="00D55A35" w14:paraId="3B74F72B" w14:textId="1121B7CB">
      <w:pPr>
        <w:pStyle w:val="Heading1"/>
        <w:suppressAutoHyphens/>
      </w:pPr>
      <w:r w:rsidRPr="00A408A0">
        <w:t xml:space="preserve">CIRCUMSTANCES THAT MAKE THE COLLECTION OF INFORMATION NECESSARY </w:t>
      </w:r>
    </w:p>
    <w:p w:rsidR="00661677" w:rsidRPr="00A408A0" w:rsidP="00D55A35" w14:paraId="745ED8B1" w14:textId="19560F53">
      <w:pPr>
        <w:pStyle w:val="FERCparanumber"/>
        <w:numPr>
          <w:ilvl w:val="0"/>
          <w:numId w:val="0"/>
        </w:numPr>
        <w:suppressAutoHyphens/>
        <w:spacing w:line="240" w:lineRule="auto"/>
        <w:rPr>
          <w:sz w:val="24"/>
        </w:rPr>
      </w:pPr>
    </w:p>
    <w:p w:rsidR="004B5423" w:rsidRPr="00A408A0" w:rsidP="00D55A35" w14:paraId="621BCB1A" w14:textId="5407695A">
      <w:pPr>
        <w:pStyle w:val="FERCparanumber"/>
        <w:numPr>
          <w:ilvl w:val="0"/>
          <w:numId w:val="0"/>
        </w:numPr>
        <w:suppressAutoHyphens/>
        <w:spacing w:line="240" w:lineRule="auto"/>
        <w:rPr>
          <w:sz w:val="24"/>
        </w:rPr>
      </w:pPr>
      <w:r w:rsidRPr="00A408A0">
        <w:rPr>
          <w:sz w:val="24"/>
        </w:rPr>
        <w:t>S</w:t>
      </w:r>
      <w:r w:rsidRPr="00A408A0" w:rsidR="00B559E5">
        <w:rPr>
          <w:sz w:val="24"/>
        </w:rPr>
        <w:t xml:space="preserve">ection 206 of the </w:t>
      </w:r>
      <w:r w:rsidRPr="00A408A0">
        <w:rPr>
          <w:sz w:val="24"/>
        </w:rPr>
        <w:t>Federal Power Act (FPA)</w:t>
      </w:r>
      <w:r w:rsidRPr="00A408A0" w:rsidR="002A1C15">
        <w:rPr>
          <w:sz w:val="24"/>
        </w:rPr>
        <w:t>, 16 U.S.C. 824e,</w:t>
      </w:r>
      <w:r w:rsidRPr="00A408A0" w:rsidR="00B559E5">
        <w:rPr>
          <w:sz w:val="24"/>
        </w:rPr>
        <w:t xml:space="preserve"> obligates the Commission to remedy unjust</w:t>
      </w:r>
      <w:r w:rsidRPr="00A408A0" w:rsidR="00C54642">
        <w:rPr>
          <w:sz w:val="24"/>
        </w:rPr>
        <w:t>,</w:t>
      </w:r>
      <w:r w:rsidRPr="00A408A0" w:rsidR="00E55012">
        <w:rPr>
          <w:sz w:val="24"/>
        </w:rPr>
        <w:t xml:space="preserve"> </w:t>
      </w:r>
      <w:r w:rsidRPr="00A408A0" w:rsidR="00B559E5">
        <w:rPr>
          <w:sz w:val="24"/>
        </w:rPr>
        <w:t xml:space="preserve">unreasonable, </w:t>
      </w:r>
      <w:r w:rsidRPr="00A408A0" w:rsidR="00516B80">
        <w:rPr>
          <w:sz w:val="24"/>
        </w:rPr>
        <w:t>and</w:t>
      </w:r>
      <w:r w:rsidRPr="00A408A0" w:rsidR="00B559E5">
        <w:rPr>
          <w:sz w:val="24"/>
        </w:rPr>
        <w:t xml:space="preserve"> unduly discriminatory or preferential rates, terms, and conditions of transmission service.  </w:t>
      </w:r>
      <w:r w:rsidRPr="00A408A0" w:rsidR="002171A1">
        <w:rPr>
          <w:sz w:val="24"/>
        </w:rPr>
        <w:t>Generator i</w:t>
      </w:r>
      <w:r w:rsidRPr="00A408A0">
        <w:rPr>
          <w:sz w:val="24"/>
        </w:rPr>
        <w:t>nterconnection</w:t>
      </w:r>
      <w:r w:rsidR="008E0BFF">
        <w:rPr>
          <w:sz w:val="24"/>
        </w:rPr>
        <w:t>, which is the subject of RM22-14-001</w:t>
      </w:r>
      <w:r w:rsidR="000F7D04">
        <w:rPr>
          <w:sz w:val="24"/>
        </w:rPr>
        <w:t>,</w:t>
      </w:r>
      <w:r w:rsidRPr="00A408A0">
        <w:rPr>
          <w:sz w:val="24"/>
        </w:rPr>
        <w:t xml:space="preserve"> is a critical component of open access transmission service.</w:t>
      </w:r>
    </w:p>
    <w:p w:rsidR="00FC4057" w:rsidRPr="00A408A0" w:rsidP="00D55A35" w14:paraId="3E486391" w14:textId="291D3F8D">
      <w:pPr>
        <w:pStyle w:val="FERCparanumber"/>
        <w:numPr>
          <w:ilvl w:val="0"/>
          <w:numId w:val="0"/>
        </w:numPr>
        <w:suppressAutoHyphens/>
        <w:spacing w:line="240" w:lineRule="auto"/>
        <w:rPr>
          <w:sz w:val="24"/>
        </w:rPr>
      </w:pPr>
    </w:p>
    <w:p w:rsidR="00FC4057" w:rsidRPr="00A408A0" w:rsidP="00D55A35" w14:paraId="5CF439FB" w14:textId="651B21CE">
      <w:pPr>
        <w:pStyle w:val="FERCparanumber"/>
        <w:numPr>
          <w:ilvl w:val="0"/>
          <w:numId w:val="0"/>
        </w:numPr>
        <w:suppressAutoHyphens/>
        <w:spacing w:line="240" w:lineRule="auto"/>
        <w:rPr>
          <w:sz w:val="24"/>
        </w:rPr>
      </w:pPr>
      <w:r w:rsidRPr="00A408A0">
        <w:rPr>
          <w:sz w:val="24"/>
        </w:rPr>
        <w:t xml:space="preserve">This information collection request involves Commission implementation of </w:t>
      </w:r>
      <w:r w:rsidRPr="00A408A0" w:rsidR="005E63B7">
        <w:rPr>
          <w:sz w:val="24"/>
        </w:rPr>
        <w:t xml:space="preserve">FPA </w:t>
      </w:r>
      <w:r w:rsidRPr="00A408A0">
        <w:rPr>
          <w:sz w:val="24"/>
        </w:rPr>
        <w:t>section 206 via:</w:t>
      </w:r>
    </w:p>
    <w:p w:rsidR="00FC4057" w:rsidRPr="00A408A0" w:rsidP="00D55A35" w14:paraId="0973B904" w14:textId="3F20C384">
      <w:pPr>
        <w:pStyle w:val="NormalWeb"/>
        <w:numPr>
          <w:ilvl w:val="0"/>
          <w:numId w:val="34"/>
        </w:numPr>
        <w:tabs>
          <w:tab w:val="left" w:pos="360"/>
        </w:tabs>
        <w:suppressAutoHyphens/>
        <w:spacing w:before="0" w:beforeAutospacing="0" w:after="0" w:afterAutospacing="0" w:line="240" w:lineRule="auto"/>
        <w:rPr>
          <w:color w:val="000000"/>
        </w:rPr>
      </w:pPr>
      <w:r w:rsidRPr="00A408A0">
        <w:rPr>
          <w:color w:val="000000"/>
        </w:rPr>
        <w:t>18 CFR 35.28 (“Non-Discriminatory Open Access Transmission Tariff”</w:t>
      </w:r>
      <w:r w:rsidRPr="00A408A0">
        <w:rPr>
          <w:color w:val="000000"/>
        </w:rPr>
        <w:t>);</w:t>
      </w:r>
    </w:p>
    <w:p w:rsidR="00FC4057" w:rsidRPr="00A408A0" w:rsidP="00D55A35" w14:paraId="5536D7E3" w14:textId="457F127B">
      <w:pPr>
        <w:pStyle w:val="NormalWeb"/>
        <w:numPr>
          <w:ilvl w:val="0"/>
          <w:numId w:val="34"/>
        </w:numPr>
        <w:tabs>
          <w:tab w:val="left" w:pos="360"/>
        </w:tabs>
        <w:suppressAutoHyphens/>
        <w:spacing w:before="0" w:beforeAutospacing="0" w:after="0" w:afterAutospacing="0" w:line="240" w:lineRule="auto"/>
        <w:rPr>
          <w:color w:val="000000"/>
        </w:rPr>
      </w:pPr>
      <w:r w:rsidRPr="00A408A0">
        <w:rPr>
          <w:color w:val="000000"/>
        </w:rPr>
        <w:t xml:space="preserve">The </w:t>
      </w:r>
      <w:r w:rsidRPr="00A408A0">
        <w:rPr>
          <w:i/>
          <w:iCs/>
          <w:color w:val="000000"/>
        </w:rPr>
        <w:t>pro forma</w:t>
      </w:r>
      <w:r w:rsidRPr="00A408A0">
        <w:rPr>
          <w:b/>
          <w:bCs/>
          <w:i/>
          <w:iCs/>
          <w:color w:val="000000"/>
        </w:rPr>
        <w:t xml:space="preserve"> </w:t>
      </w:r>
      <w:r w:rsidRPr="00A408A0">
        <w:rPr>
          <w:color w:val="000000"/>
        </w:rPr>
        <w:t>Small Generator Interconnection Procedures (SGIP); and</w:t>
      </w:r>
    </w:p>
    <w:p w:rsidR="00FC4057" w:rsidRPr="00A408A0" w:rsidP="00D55A35" w14:paraId="34050B23" w14:textId="392EEF6F">
      <w:pPr>
        <w:pStyle w:val="NormalWeb"/>
        <w:numPr>
          <w:ilvl w:val="0"/>
          <w:numId w:val="34"/>
        </w:numPr>
        <w:tabs>
          <w:tab w:val="left" w:pos="360"/>
        </w:tabs>
        <w:suppressAutoHyphens/>
        <w:spacing w:before="0" w:beforeAutospacing="0" w:after="0" w:afterAutospacing="0" w:line="240" w:lineRule="auto"/>
        <w:rPr>
          <w:color w:val="000000"/>
        </w:rPr>
      </w:pPr>
      <w:r w:rsidRPr="00A408A0">
        <w:rPr>
          <w:color w:val="000000"/>
        </w:rPr>
        <w:t xml:space="preserve">The </w:t>
      </w:r>
      <w:r w:rsidRPr="00A408A0">
        <w:rPr>
          <w:i/>
          <w:iCs/>
          <w:color w:val="000000"/>
        </w:rPr>
        <w:t>pro forma</w:t>
      </w:r>
      <w:r w:rsidRPr="00A408A0">
        <w:rPr>
          <w:b/>
          <w:bCs/>
          <w:i/>
          <w:iCs/>
          <w:color w:val="000000"/>
        </w:rPr>
        <w:t xml:space="preserve"> </w:t>
      </w:r>
      <w:r w:rsidRPr="00A408A0">
        <w:rPr>
          <w:color w:val="000000"/>
        </w:rPr>
        <w:t>Small Generator Interconnection Agreement (SGIA).</w:t>
      </w:r>
    </w:p>
    <w:p w:rsidR="00B559E5" w:rsidRPr="00A408A0" w:rsidP="00D55A35" w14:paraId="47088FC8" w14:textId="77777777">
      <w:pPr>
        <w:pStyle w:val="FERCparanumber"/>
        <w:numPr>
          <w:ilvl w:val="0"/>
          <w:numId w:val="0"/>
        </w:numPr>
        <w:suppressAutoHyphens/>
        <w:spacing w:line="240" w:lineRule="auto"/>
        <w:rPr>
          <w:sz w:val="24"/>
        </w:rPr>
      </w:pPr>
    </w:p>
    <w:p w:rsidR="00FC4057" w:rsidRPr="00A408A0" w:rsidP="00D55A35" w14:paraId="2906EF69" w14:textId="3D65B9BC">
      <w:pPr>
        <w:pStyle w:val="FERCparanumber"/>
        <w:numPr>
          <w:ilvl w:val="0"/>
          <w:numId w:val="0"/>
        </w:numPr>
        <w:suppressAutoHyphens/>
        <w:spacing w:line="240" w:lineRule="auto"/>
        <w:rPr>
          <w:sz w:val="24"/>
        </w:rPr>
      </w:pPr>
      <w:r w:rsidRPr="00A408A0">
        <w:rPr>
          <w:sz w:val="24"/>
        </w:rPr>
        <w:t xml:space="preserve">The Commission’s regulations at 18 CFR 35.28 </w:t>
      </w:r>
      <w:r w:rsidRPr="00A408A0" w:rsidR="006F1AE1">
        <w:rPr>
          <w:sz w:val="24"/>
        </w:rPr>
        <w:t>(202</w:t>
      </w:r>
      <w:r w:rsidRPr="00A408A0" w:rsidR="00687EFC">
        <w:rPr>
          <w:sz w:val="24"/>
        </w:rPr>
        <w:t>3</w:t>
      </w:r>
      <w:r w:rsidRPr="00A408A0" w:rsidR="006F1AE1">
        <w:rPr>
          <w:sz w:val="24"/>
        </w:rPr>
        <w:t>)</w:t>
      </w:r>
      <w:r w:rsidRPr="00A408A0">
        <w:rPr>
          <w:sz w:val="24"/>
        </w:rPr>
        <w:t xml:space="preserve"> require certain types of entities to have on file an Open Access Transmission Tariff (OATT) that contains minimum terms and conditions of non-discriminatory </w:t>
      </w:r>
      <w:r w:rsidRPr="00A408A0" w:rsidR="004B5423">
        <w:rPr>
          <w:sz w:val="24"/>
        </w:rPr>
        <w:t xml:space="preserve">transmission </w:t>
      </w:r>
      <w:r w:rsidRPr="00A408A0">
        <w:rPr>
          <w:sz w:val="24"/>
        </w:rPr>
        <w:t>service.  This requirement applies to all public utilities</w:t>
      </w:r>
      <w:r>
        <w:rPr>
          <w:b/>
          <w:sz w:val="24"/>
          <w:vertAlign w:val="superscript"/>
        </w:rPr>
        <w:footnoteReference w:id="3"/>
      </w:r>
      <w:r w:rsidRPr="00A408A0">
        <w:rPr>
          <w:sz w:val="24"/>
        </w:rPr>
        <w:t xml:space="preserve"> that own, control, or operate facilities used for transmitting electric energy in interstate commerce.  Public utilities that are required to have an OATT on file with the Commission must include </w:t>
      </w:r>
      <w:r w:rsidRPr="00A408A0" w:rsidR="002171A1">
        <w:rPr>
          <w:sz w:val="24"/>
        </w:rPr>
        <w:t xml:space="preserve">the </w:t>
      </w:r>
      <w:r w:rsidRPr="00A408A0" w:rsidR="00350594">
        <w:rPr>
          <w:i/>
          <w:sz w:val="24"/>
        </w:rPr>
        <w:t xml:space="preserve">pro forma </w:t>
      </w:r>
      <w:r w:rsidRPr="00A408A0" w:rsidR="00350594">
        <w:rPr>
          <w:sz w:val="24"/>
        </w:rPr>
        <w:t xml:space="preserve">SGIP, and </w:t>
      </w:r>
      <w:r w:rsidRPr="000F7D04" w:rsidR="00350594">
        <w:rPr>
          <w:i/>
          <w:sz w:val="24"/>
        </w:rPr>
        <w:t xml:space="preserve">pro forma </w:t>
      </w:r>
      <w:r w:rsidRPr="000F7D04" w:rsidR="00350594">
        <w:rPr>
          <w:sz w:val="24"/>
        </w:rPr>
        <w:t>SGIA</w:t>
      </w:r>
      <w:r w:rsidRPr="00A408A0" w:rsidR="00350594">
        <w:rPr>
          <w:sz w:val="24"/>
        </w:rPr>
        <w:t xml:space="preserve"> </w:t>
      </w:r>
      <w:r w:rsidRPr="00A408A0" w:rsidR="00924972">
        <w:rPr>
          <w:sz w:val="24"/>
        </w:rPr>
        <w:t>in their OATT</w:t>
      </w:r>
      <w:r w:rsidRPr="00A408A0">
        <w:rPr>
          <w:sz w:val="24"/>
        </w:rPr>
        <w:t xml:space="preserve">.  Other </w:t>
      </w:r>
      <w:r w:rsidRPr="00A408A0" w:rsidR="00043D50">
        <w:rPr>
          <w:sz w:val="24"/>
        </w:rPr>
        <w:t xml:space="preserve">provisions </w:t>
      </w:r>
      <w:r w:rsidRPr="00A408A0">
        <w:rPr>
          <w:sz w:val="24"/>
        </w:rPr>
        <w:t xml:space="preserve">in section 35.28 apply to non-public utilities, but only if they seek voluntary compliance with jurisdictional transmission tariff reciprocity conditions.  Non-public utilities are not affected by this information collection request.  </w:t>
      </w:r>
    </w:p>
    <w:p w:rsidR="00FC4057" w:rsidRPr="00A408A0" w:rsidP="00D55A35" w14:paraId="68F344F9" w14:textId="77777777">
      <w:pPr>
        <w:pStyle w:val="FERCparanumber"/>
        <w:numPr>
          <w:ilvl w:val="0"/>
          <w:numId w:val="0"/>
        </w:numPr>
        <w:suppressAutoHyphens/>
        <w:spacing w:line="240" w:lineRule="auto"/>
        <w:rPr>
          <w:sz w:val="24"/>
        </w:rPr>
      </w:pPr>
    </w:p>
    <w:p w:rsidR="00E3494F" w:rsidRPr="00A408A0" w:rsidP="00D55A35" w14:paraId="73F34267" w14:textId="589C5B4F">
      <w:pPr>
        <w:suppressAutoHyphens/>
        <w:autoSpaceDE w:val="0"/>
        <w:autoSpaceDN w:val="0"/>
        <w:adjustRightInd w:val="0"/>
        <w:spacing w:after="0" w:line="240" w:lineRule="auto"/>
        <w:ind w:left="0" w:firstLine="0"/>
        <w:rPr>
          <w:color w:val="auto"/>
        </w:rPr>
      </w:pPr>
      <w:r w:rsidRPr="00A408A0">
        <w:t>The</w:t>
      </w:r>
      <w:r w:rsidRPr="00A408A0" w:rsidR="00C16F7C">
        <w:t xml:space="preserve"> Commission originally developed the</w:t>
      </w:r>
      <w:r w:rsidRPr="00A408A0">
        <w:t xml:space="preserve"> </w:t>
      </w:r>
      <w:r w:rsidRPr="00A408A0">
        <w:rPr>
          <w:i/>
        </w:rPr>
        <w:t>pro forma</w:t>
      </w:r>
      <w:r w:rsidRPr="00A408A0">
        <w:t xml:space="preserve"> </w:t>
      </w:r>
      <w:r w:rsidRPr="00843E73" w:rsidR="00843E73">
        <w:t>Large Generator Interconnection Procedures</w:t>
      </w:r>
      <w:r w:rsidRPr="00A408A0" w:rsidR="009F57FC">
        <w:t xml:space="preserve"> and </w:t>
      </w:r>
      <w:r w:rsidRPr="00A408A0" w:rsidR="007F13F1">
        <w:rPr>
          <w:i/>
        </w:rPr>
        <w:t xml:space="preserve">pro forma </w:t>
      </w:r>
      <w:r w:rsidRPr="00D817CE" w:rsidR="00D817CE">
        <w:t>Large Generator Interconnection Agreement</w:t>
      </w:r>
      <w:r w:rsidRPr="00A408A0" w:rsidR="00463FE8">
        <w:t xml:space="preserve"> in</w:t>
      </w:r>
      <w:r w:rsidRPr="00A408A0">
        <w:t xml:space="preserve"> Order No. 2003</w:t>
      </w:r>
      <w:r w:rsidRPr="00A408A0" w:rsidR="007F3D40">
        <w:t xml:space="preserve">, </w:t>
      </w:r>
      <w:r w:rsidRPr="00A408A0" w:rsidR="007F3D40">
        <w:t>determining that</w:t>
      </w:r>
      <w:r>
        <w:rPr>
          <w:rStyle w:val="FootnoteReference"/>
          <w:sz w:val="24"/>
        </w:rPr>
        <w:footnoteReference w:id="4"/>
      </w:r>
      <w:r w:rsidRPr="00A408A0" w:rsidR="00C450D2">
        <w:t xml:space="preserve"> </w:t>
      </w:r>
      <w:r w:rsidRPr="00A408A0">
        <w:t>standard interconnection procedures</w:t>
      </w:r>
      <w:r w:rsidRPr="00A408A0" w:rsidR="00DE03B3">
        <w:t xml:space="preserve"> and agreements</w:t>
      </w:r>
      <w:r w:rsidRPr="00A408A0">
        <w:t xml:space="preserve"> are needed in order to</w:t>
      </w:r>
      <w:r w:rsidRPr="00A408A0" w:rsidR="007F13F1">
        <w:t>:</w:t>
      </w:r>
      <w:r w:rsidRPr="00A408A0" w:rsidR="009F57FC">
        <w:t xml:space="preserve"> </w:t>
      </w:r>
      <w:r w:rsidRPr="00A408A0" w:rsidR="00516B80">
        <w:t xml:space="preserve"> </w:t>
      </w:r>
      <w:r w:rsidRPr="00A408A0" w:rsidR="009F57FC">
        <w:t>(1) l</w:t>
      </w:r>
      <w:r w:rsidRPr="00A408A0">
        <w:t xml:space="preserve">imit opportunities for </w:t>
      </w:r>
      <w:r w:rsidRPr="00A408A0" w:rsidR="00C16F7C">
        <w:t>t</w:t>
      </w:r>
      <w:r w:rsidRPr="00A408A0">
        <w:t xml:space="preserve">ransmission </w:t>
      </w:r>
      <w:r w:rsidRPr="00A408A0" w:rsidR="00C16F7C">
        <w:t>p</w:t>
      </w:r>
      <w:r w:rsidRPr="00A408A0">
        <w:t>roviders to favor their own generation;</w:t>
      </w:r>
      <w:r w:rsidRPr="00A408A0" w:rsidR="009F57FC">
        <w:t xml:space="preserve"> (2) f</w:t>
      </w:r>
      <w:r w:rsidRPr="00A408A0">
        <w:t>acilitate market entry for generation competitors by reducing interconnection costs and time; and</w:t>
      </w:r>
      <w:r w:rsidRPr="00A408A0" w:rsidR="009F57FC">
        <w:t xml:space="preserve"> (3) e</w:t>
      </w:r>
      <w:r w:rsidRPr="00A408A0">
        <w:t>ncourage needed investment in generation and transmission infrastructure.</w:t>
      </w:r>
      <w:r>
        <w:rPr>
          <w:rStyle w:val="FootnoteReference"/>
          <w:sz w:val="24"/>
        </w:rPr>
        <w:footnoteReference w:id="5"/>
      </w:r>
      <w:bookmarkStart w:id="0" w:name="_bmk3"/>
      <w:bookmarkEnd w:id="0"/>
      <w:r w:rsidRPr="00A408A0" w:rsidR="00612A6E">
        <w:t xml:space="preserve">  </w:t>
      </w:r>
      <w:r w:rsidRPr="00A408A0" w:rsidR="005142EA">
        <w:rPr>
          <w:color w:val="auto"/>
        </w:rPr>
        <w:t xml:space="preserve">Similarly, the Commission </w:t>
      </w:r>
      <w:r w:rsidRPr="00A408A0" w:rsidR="008F2E09">
        <w:rPr>
          <w:color w:val="auto"/>
        </w:rPr>
        <w:t xml:space="preserve">adopted </w:t>
      </w:r>
      <w:r w:rsidRPr="00A408A0" w:rsidR="005142EA">
        <w:rPr>
          <w:color w:val="auto"/>
        </w:rPr>
        <w:t>standard procedures and agreement</w:t>
      </w:r>
      <w:r w:rsidRPr="00A408A0" w:rsidR="00B974EF">
        <w:rPr>
          <w:color w:val="auto"/>
        </w:rPr>
        <w:t>s</w:t>
      </w:r>
      <w:r w:rsidRPr="00A408A0" w:rsidR="005142EA">
        <w:rPr>
          <w:color w:val="auto"/>
        </w:rPr>
        <w:t xml:space="preserve"> for </w:t>
      </w:r>
      <w:r w:rsidRPr="00A408A0" w:rsidR="007F13F1">
        <w:rPr>
          <w:color w:val="auto"/>
        </w:rPr>
        <w:t>interconnecting generators</w:t>
      </w:r>
      <w:r w:rsidRPr="00A408A0" w:rsidR="005142EA">
        <w:rPr>
          <w:color w:val="auto"/>
        </w:rPr>
        <w:t xml:space="preserve"> with a capacity of 20 MW or less in Order No. 2006.</w:t>
      </w:r>
      <w:r>
        <w:rPr>
          <w:rStyle w:val="FootnoteReference"/>
          <w:color w:val="auto"/>
          <w:sz w:val="24"/>
        </w:rPr>
        <w:footnoteReference w:id="6"/>
      </w:r>
      <w:r w:rsidRPr="00A408A0" w:rsidR="005142EA">
        <w:rPr>
          <w:color w:val="auto"/>
        </w:rPr>
        <w:t xml:space="preserve">  </w:t>
      </w:r>
      <w:r w:rsidRPr="00A408A0" w:rsidR="007F3D40">
        <w:t>Order No. 2006 required all public utilities that own, control, or operate facilities used for transmitting electric energy in interstate commerce to have OATTs</w:t>
      </w:r>
      <w:r w:rsidRPr="00A408A0" w:rsidR="0087186B">
        <w:t xml:space="preserve"> on file</w:t>
      </w:r>
      <w:r w:rsidRPr="00A408A0" w:rsidR="007F3D40">
        <w:t xml:space="preserve"> that include standard procedures and a standard agreement </w:t>
      </w:r>
      <w:r w:rsidRPr="00A408A0" w:rsidR="000C54D7">
        <w:t xml:space="preserve">(SGIP and SGIA) </w:t>
      </w:r>
      <w:r w:rsidRPr="00A408A0" w:rsidR="007F3D40">
        <w:t>for interconnecting generators</w:t>
      </w:r>
      <w:r w:rsidRPr="00A408A0" w:rsidR="00F901E9">
        <w:t xml:space="preserve"> of</w:t>
      </w:r>
      <w:r w:rsidRPr="00A408A0" w:rsidR="007F3D40">
        <w:t xml:space="preserve"> 20 megawatts (MW)</w:t>
      </w:r>
      <w:r w:rsidRPr="00A408A0" w:rsidR="000C54D7">
        <w:t xml:space="preserve"> and smaller</w:t>
      </w:r>
      <w:r w:rsidRPr="00A408A0" w:rsidR="007F3D40">
        <w:t>.</w:t>
      </w:r>
    </w:p>
    <w:p w:rsidR="00E3494F" w:rsidRPr="00A408A0" w:rsidP="00D55A35" w14:paraId="124FCB95" w14:textId="6DCAB06C">
      <w:pPr>
        <w:suppressAutoHyphens/>
        <w:autoSpaceDE w:val="0"/>
        <w:autoSpaceDN w:val="0"/>
        <w:adjustRightInd w:val="0"/>
        <w:spacing w:after="0" w:line="240" w:lineRule="auto"/>
        <w:ind w:left="0" w:firstLine="0"/>
        <w:rPr>
          <w:color w:val="auto"/>
        </w:rPr>
      </w:pPr>
    </w:p>
    <w:p w:rsidR="00212585" w:rsidRPr="00A408A0" w:rsidP="00D55A35" w14:paraId="3782B2A9" w14:textId="4B082C02">
      <w:pPr>
        <w:widowControl w:val="0"/>
        <w:tabs>
          <w:tab w:val="left" w:pos="-1440"/>
        </w:tabs>
        <w:suppressAutoHyphens/>
        <w:autoSpaceDE w:val="0"/>
        <w:autoSpaceDN w:val="0"/>
        <w:adjustRightInd w:val="0"/>
        <w:spacing w:after="0" w:line="240" w:lineRule="auto"/>
        <w:ind w:left="0" w:firstLine="0"/>
        <w:rPr>
          <w:rFonts w:eastAsia="Arial Unicode MS"/>
          <w:color w:val="auto"/>
        </w:rPr>
      </w:pPr>
      <w:r w:rsidRPr="00A408A0">
        <w:rPr>
          <w:rFonts w:eastAsia="Arial Unicode MS"/>
          <w:color w:val="auto"/>
        </w:rPr>
        <w:t>Since the issuance of Order No</w:t>
      </w:r>
      <w:r w:rsidRPr="00A408A0" w:rsidR="005142EA">
        <w:rPr>
          <w:rFonts w:eastAsia="Arial Unicode MS"/>
          <w:color w:val="auto"/>
        </w:rPr>
        <w:t>s</w:t>
      </w:r>
      <w:r w:rsidRPr="00A408A0">
        <w:rPr>
          <w:rFonts w:eastAsia="Arial Unicode MS"/>
          <w:color w:val="auto"/>
        </w:rPr>
        <w:t>.</w:t>
      </w:r>
      <w:r w:rsidRPr="00A408A0" w:rsidR="005142EA">
        <w:rPr>
          <w:rFonts w:eastAsia="Arial Unicode MS"/>
          <w:color w:val="auto"/>
        </w:rPr>
        <w:t xml:space="preserve"> 2003</w:t>
      </w:r>
      <w:r w:rsidRPr="00A408A0">
        <w:rPr>
          <w:rFonts w:eastAsia="Arial Unicode MS"/>
          <w:color w:val="auto"/>
        </w:rPr>
        <w:t xml:space="preserve"> </w:t>
      </w:r>
      <w:r w:rsidRPr="00A408A0" w:rsidR="005142EA">
        <w:rPr>
          <w:rFonts w:eastAsia="Arial Unicode MS"/>
          <w:color w:val="auto"/>
        </w:rPr>
        <w:t xml:space="preserve">and </w:t>
      </w:r>
      <w:r w:rsidRPr="00A408A0">
        <w:rPr>
          <w:rFonts w:eastAsia="Arial Unicode MS"/>
          <w:color w:val="auto"/>
        </w:rPr>
        <w:t>2006, the electricity se</w:t>
      </w:r>
      <w:r w:rsidRPr="00A408A0" w:rsidR="00F17509">
        <w:rPr>
          <w:rFonts w:eastAsia="Arial Unicode MS"/>
          <w:color w:val="auto"/>
        </w:rPr>
        <w:t>c</w:t>
      </w:r>
      <w:r w:rsidRPr="00A408A0">
        <w:rPr>
          <w:rFonts w:eastAsia="Arial Unicode MS"/>
          <w:color w:val="auto"/>
        </w:rPr>
        <w:t xml:space="preserve">tor has transformed significantly.  The growth of new resources seeking to interconnect to the transmission system and the differing characteristics of those resources have created new challenges for the generator interconnection process.  These new challenges are creating large </w:t>
      </w:r>
      <w:r w:rsidRPr="00A408A0" w:rsidR="007E42C8">
        <w:rPr>
          <w:rFonts w:eastAsia="Arial Unicode MS"/>
          <w:color w:val="auto"/>
        </w:rPr>
        <w:t xml:space="preserve">backlogs in the queues of </w:t>
      </w:r>
      <w:r w:rsidRPr="00A408A0">
        <w:rPr>
          <w:rFonts w:eastAsia="Arial Unicode MS"/>
          <w:color w:val="auto"/>
        </w:rPr>
        <w:t xml:space="preserve">interconnection </w:t>
      </w:r>
      <w:r w:rsidRPr="00A408A0" w:rsidR="007E42C8">
        <w:rPr>
          <w:rFonts w:eastAsia="Arial Unicode MS"/>
          <w:color w:val="auto"/>
        </w:rPr>
        <w:t xml:space="preserve">customers awaiting service (interconnection queues) </w:t>
      </w:r>
      <w:r w:rsidRPr="00A408A0">
        <w:rPr>
          <w:rFonts w:eastAsia="Arial Unicode MS"/>
          <w:color w:val="auto"/>
        </w:rPr>
        <w:t xml:space="preserve">and uncertainty regarding the cost and timing of interconnecting to the transmission system, increasing costs for consumers.  Backlogs in the generator interconnection process, in turn, can create reliability issues as needed new generating facilities are unable to come online in an efficient and timely manner.  Therefore, </w:t>
      </w:r>
      <w:r w:rsidRPr="00A408A0" w:rsidR="00E37FD2">
        <w:rPr>
          <w:rFonts w:eastAsia="Arial Unicode MS"/>
          <w:color w:val="auto"/>
        </w:rPr>
        <w:t xml:space="preserve">the Commission </w:t>
      </w:r>
      <w:r w:rsidRPr="00CE0C1A" w:rsidR="00CE0C1A">
        <w:rPr>
          <w:rFonts w:eastAsia="Arial Unicode MS"/>
          <w:color w:val="auto"/>
        </w:rPr>
        <w:t>issued Order No. 2023</w:t>
      </w:r>
      <w:r>
        <w:rPr>
          <w:rFonts w:eastAsia="Arial Unicode MS"/>
          <w:b/>
          <w:color w:val="auto"/>
          <w:vertAlign w:val="superscript"/>
        </w:rPr>
        <w:footnoteReference w:id="7"/>
      </w:r>
      <w:r w:rsidRPr="00CE0C1A" w:rsidR="00CE0C1A">
        <w:rPr>
          <w:rFonts w:eastAsia="Arial Unicode MS"/>
          <w:color w:val="auto"/>
        </w:rPr>
        <w:t xml:space="preserve"> on July 28, 2023 </w:t>
      </w:r>
      <w:r w:rsidRPr="00A408A0">
        <w:rPr>
          <w:rFonts w:eastAsia="Arial Unicode MS"/>
          <w:color w:val="auto"/>
        </w:rPr>
        <w:t xml:space="preserve">to reform the Commission’s standard </w:t>
      </w:r>
      <w:r w:rsidRPr="00A408A0" w:rsidR="007E794D">
        <w:rPr>
          <w:rFonts w:eastAsia="Arial Unicode MS"/>
          <w:color w:val="auto"/>
        </w:rPr>
        <w:t xml:space="preserve">generator </w:t>
      </w:r>
      <w:r w:rsidRPr="00A408A0">
        <w:rPr>
          <w:rFonts w:eastAsia="Arial Unicode MS"/>
          <w:color w:val="auto"/>
        </w:rPr>
        <w:t xml:space="preserve">interconnection procedures and </w:t>
      </w:r>
      <w:r w:rsidR="001438EC">
        <w:rPr>
          <w:rFonts w:eastAsia="Arial Unicode MS"/>
          <w:color w:val="auto"/>
        </w:rPr>
        <w:t xml:space="preserve">standard generation interconnection </w:t>
      </w:r>
      <w:r w:rsidRPr="00A408A0">
        <w:rPr>
          <w:rFonts w:eastAsia="Arial Unicode MS"/>
          <w:color w:val="auto"/>
        </w:rPr>
        <w:t>agreement to ensure that interconnection customers are able to interconnect to the transmission system in a reliable, efficient, transparent, and timely manner</w:t>
      </w:r>
      <w:r w:rsidRPr="00A408A0" w:rsidR="008D6B56">
        <w:rPr>
          <w:rFonts w:eastAsia="Arial Unicode MS"/>
          <w:color w:val="auto"/>
        </w:rPr>
        <w:t>,</w:t>
      </w:r>
      <w:r w:rsidRPr="00A408A0" w:rsidR="00DE2AF5">
        <w:rPr>
          <w:rFonts w:eastAsia="Arial Unicode MS"/>
          <w:color w:val="auto"/>
        </w:rPr>
        <w:t xml:space="preserve"> </w:t>
      </w:r>
      <w:r w:rsidRPr="00A408A0" w:rsidR="008D6B56">
        <w:rPr>
          <w:rFonts w:eastAsia="Arial Unicode MS"/>
          <w:color w:val="auto"/>
        </w:rPr>
        <w:t>t</w:t>
      </w:r>
      <w:r w:rsidRPr="00A408A0" w:rsidR="00DE2AF5">
        <w:rPr>
          <w:rFonts w:eastAsia="Arial Unicode MS"/>
          <w:color w:val="auto"/>
        </w:rPr>
        <w:t>h</w:t>
      </w:r>
      <w:r w:rsidRPr="00A408A0">
        <w:rPr>
          <w:rFonts w:eastAsia="Arial Unicode MS"/>
          <w:color w:val="auto"/>
        </w:rPr>
        <w:t xml:space="preserve">ereby ensuring that rates, terms, and conditions for Commission-jurisdictional services </w:t>
      </w:r>
      <w:r w:rsidRPr="00A408A0" w:rsidR="00F36D2E">
        <w:rPr>
          <w:rFonts w:eastAsia="Arial Unicode MS"/>
          <w:color w:val="auto"/>
        </w:rPr>
        <w:t xml:space="preserve">are </w:t>
      </w:r>
      <w:r w:rsidRPr="00A408A0">
        <w:rPr>
          <w:rFonts w:eastAsia="Arial Unicode MS"/>
          <w:color w:val="auto"/>
        </w:rPr>
        <w:t>just and reasonable and not unduly discriminatory or preferential.</w:t>
      </w:r>
      <w:r>
        <w:rPr>
          <w:rFonts w:eastAsia="Arial Unicode MS"/>
          <w:b/>
          <w:color w:val="auto"/>
          <w:vertAlign w:val="superscript"/>
        </w:rPr>
        <w:footnoteReference w:id="8"/>
      </w:r>
      <w:r w:rsidRPr="00F74C71" w:rsidR="00F74C71">
        <w:rPr>
          <w:rFonts w:eastAsia="Arial Unicode MS"/>
          <w:color w:val="auto"/>
        </w:rPr>
        <w:t xml:space="preserve">  In response to requests for rehearing and/or clarification, and as permitted by section 313(a) of the FPA,</w:t>
      </w:r>
      <w:r>
        <w:rPr>
          <w:rFonts w:eastAsia="Arial Unicode MS"/>
          <w:b/>
          <w:color w:val="auto"/>
          <w:vertAlign w:val="superscript"/>
        </w:rPr>
        <w:footnoteReference w:id="9"/>
      </w:r>
      <w:r w:rsidRPr="00F74C71" w:rsidR="00F74C71">
        <w:rPr>
          <w:rFonts w:eastAsia="Arial Unicode MS"/>
          <w:color w:val="auto"/>
        </w:rPr>
        <w:t xml:space="preserve"> the Commission is modifying the discussion in Order No. 2023, setting aside the order, in part, and clarifying the order.</w:t>
      </w:r>
      <w:r w:rsidRPr="00A408A0">
        <w:rPr>
          <w:rFonts w:eastAsia="Arial Unicode MS"/>
          <w:color w:val="auto"/>
        </w:rPr>
        <w:t xml:space="preserve">   </w:t>
      </w:r>
    </w:p>
    <w:p w:rsidR="007B54E6" w:rsidRPr="00A408A0" w:rsidP="00D55A35" w14:paraId="66B6E41F" w14:textId="28EB333B">
      <w:pPr>
        <w:widowControl w:val="0"/>
        <w:tabs>
          <w:tab w:val="left" w:pos="-1440"/>
        </w:tabs>
        <w:suppressAutoHyphens/>
        <w:autoSpaceDE w:val="0"/>
        <w:autoSpaceDN w:val="0"/>
        <w:adjustRightInd w:val="0"/>
        <w:spacing w:after="0" w:line="240" w:lineRule="auto"/>
        <w:ind w:left="0" w:firstLine="0"/>
      </w:pPr>
    </w:p>
    <w:p w:rsidR="00DD755B" w:rsidRPr="00A408A0" w:rsidP="00D55A35" w14:paraId="4B011505" w14:textId="1E3D4B49">
      <w:pPr>
        <w:pStyle w:val="Heading1"/>
        <w:suppressAutoHyphens/>
      </w:pPr>
      <w:bookmarkStart w:id="1" w:name="_Hlk106707794"/>
      <w:r w:rsidRPr="00A408A0">
        <w:t xml:space="preserve">HOW, BY WHOM, AND FOR WHAT PURPOSE THE INFORMATION IS TO BE </w:t>
      </w:r>
      <w:r w:rsidRPr="00A408A0" w:rsidR="00CD17A0">
        <w:t>U</w:t>
      </w:r>
      <w:r w:rsidRPr="00A408A0">
        <w:t xml:space="preserve">SED AND THE CONSEQUENCES OF NOT COLLECTING THE INFORMATION </w:t>
      </w:r>
      <w:bookmarkEnd w:id="1"/>
    </w:p>
    <w:p w:rsidR="00875A3E" w:rsidRPr="00A408A0" w:rsidP="00875A3E" w14:paraId="16405E07" w14:textId="77777777">
      <w:pPr>
        <w:ind w:left="0" w:firstLine="0"/>
      </w:pPr>
    </w:p>
    <w:p w:rsidR="00726981" w:rsidP="00875A3E" w14:paraId="2C30385C" w14:textId="42F7CAC9">
      <w:pPr>
        <w:ind w:left="0" w:firstLine="0"/>
      </w:pPr>
      <w:r w:rsidRPr="00A408A0">
        <w:t xml:space="preserve">The </w:t>
      </w:r>
      <w:r w:rsidRPr="00A408A0">
        <w:t>rehearings</w:t>
      </w:r>
      <w:r w:rsidRPr="00A408A0">
        <w:t xml:space="preserve"> and clarifications granted in this order on rehearing continue to ensure that interconnection customers </w:t>
      </w:r>
      <w:r w:rsidRPr="00A408A0">
        <w:t>are able to</w:t>
      </w:r>
      <w:r w:rsidRPr="00A408A0">
        <w:t xml:space="preserve"> interconnect to the electric transmission system in a reliable, efficient, transparent, and timely manner.  The order on rehearing requires all public utilities to modify their tariffs and jurisdictional agreements to comply with the Commission’s revised </w:t>
      </w:r>
      <w:r w:rsidRPr="001438EC">
        <w:t>standard</w:t>
      </w:r>
      <w:r w:rsidRPr="00A408A0">
        <w:t xml:space="preserve"> generator interconnection procedures and agreements.  </w:t>
      </w:r>
      <w:r w:rsidRPr="006E7A2A" w:rsidR="006E7A2A">
        <w:t>The revisions would result in one-time information collection activities related to changing public utilities’ tariffs and jurisdictional agreements in Year 1, as relevant to FERC-516</w:t>
      </w:r>
      <w:r w:rsidR="006E7A2A">
        <w:t>A</w:t>
      </w:r>
      <w:r w:rsidRPr="006E7A2A" w:rsidR="006E7A2A">
        <w:t>.  The Commission estimates no ongoing information collection burden resulting from the requirement of this order on rehearing.</w:t>
      </w:r>
      <w:r w:rsidRPr="00A408A0">
        <w:t xml:space="preserve">  </w:t>
      </w:r>
    </w:p>
    <w:p w:rsidR="001B4D07" w:rsidP="00875A3E" w14:paraId="733C61DB" w14:textId="77777777">
      <w:pPr>
        <w:ind w:left="0" w:firstLine="0"/>
      </w:pPr>
    </w:p>
    <w:p w:rsidR="001B4D07" w:rsidRPr="00A408A0" w:rsidP="001B4D07" w14:paraId="24671E33" w14:textId="6490A00E">
      <w:pPr>
        <w:ind w:left="0" w:firstLine="0"/>
        <w:rPr>
          <w:u w:val="single"/>
        </w:rPr>
      </w:pPr>
      <w:r w:rsidRPr="00A408A0">
        <w:rPr>
          <w:u w:val="single"/>
        </w:rPr>
        <w:t>One-Time Activities Due to Revisions to Standard</w:t>
      </w:r>
      <w:r w:rsidR="000F7D04">
        <w:rPr>
          <w:u w:val="single"/>
        </w:rPr>
        <w:t xml:space="preserve"> Small</w:t>
      </w:r>
      <w:r w:rsidRPr="00A408A0">
        <w:rPr>
          <w:u w:val="single"/>
        </w:rPr>
        <w:t xml:space="preserve"> Generator Interconnection Procedures and Agreements</w:t>
      </w:r>
      <w:r w:rsidR="00DF6136">
        <w:rPr>
          <w:u w:val="single"/>
        </w:rPr>
        <w:t xml:space="preserve"> in Docket No. RM22-14-001</w:t>
      </w:r>
    </w:p>
    <w:p w:rsidR="001B4D07" w:rsidP="00875A3E" w14:paraId="55F55259" w14:textId="77777777">
      <w:pPr>
        <w:ind w:left="0" w:firstLine="0"/>
      </w:pPr>
    </w:p>
    <w:p w:rsidR="00726981" w:rsidRPr="00726981" w:rsidP="00726981" w14:paraId="624571FF" w14:textId="0CA75E5B">
      <w:pPr>
        <w:ind w:left="0" w:firstLine="0"/>
      </w:pPr>
      <w:r w:rsidRPr="00726981">
        <w:t>The following modifications will result in one-time information collection activities related to FERC-516</w:t>
      </w:r>
      <w:r w:rsidR="00280CA0">
        <w:t>A</w:t>
      </w:r>
      <w:r w:rsidRPr="00726981">
        <w:t>:</w:t>
      </w:r>
    </w:p>
    <w:p w:rsidR="00726981" w:rsidP="00875A3E" w14:paraId="0B1523F1" w14:textId="77777777">
      <w:pPr>
        <w:ind w:left="0" w:firstLine="0"/>
      </w:pPr>
    </w:p>
    <w:p w:rsidR="004830E4" w:rsidRPr="00E33185" w:rsidP="0053284E" w14:paraId="3D97E80E" w14:textId="232F782A">
      <w:pPr>
        <w:numPr>
          <w:ilvl w:val="0"/>
          <w:numId w:val="38"/>
        </w:numPr>
      </w:pPr>
      <w:r w:rsidRPr="004830E4">
        <w:rPr>
          <w:b/>
        </w:rPr>
        <w:t>Incorporating Enumerated Alternative Transmission Technologies into the Generator Interconnection Process:</w:t>
      </w:r>
      <w:r w:rsidRPr="004830E4">
        <w:t xml:space="preserve">  Adopt tariff revisions to clarify the performance standards to which transmission providers must conduct evaluations of alternative transmission technologies.</w:t>
      </w:r>
    </w:p>
    <w:p w:rsidR="00BC408A" w:rsidRPr="00A408A0" w:rsidP="008A5E52" w14:paraId="528B47B7" w14:textId="6365A72A">
      <w:pPr>
        <w:numPr>
          <w:ilvl w:val="0"/>
          <w:numId w:val="38"/>
        </w:numPr>
      </w:pPr>
      <w:r w:rsidRPr="00BC408A">
        <w:rPr>
          <w:b/>
        </w:rPr>
        <w:t xml:space="preserve">Ride Through Requirements:  </w:t>
      </w:r>
      <w:r w:rsidR="00B4630D">
        <w:rPr>
          <w:bCs/>
        </w:rPr>
        <w:t xml:space="preserve">Clarify </w:t>
      </w:r>
      <w:r w:rsidRPr="00BC408A">
        <w:rPr>
          <w:bCs/>
        </w:rPr>
        <w:t>disturbance ride</w:t>
      </w:r>
      <w:r w:rsidR="001F09B7">
        <w:rPr>
          <w:bCs/>
        </w:rPr>
        <w:t xml:space="preserve"> </w:t>
      </w:r>
      <w:r w:rsidRPr="00BC408A">
        <w:rPr>
          <w:bCs/>
        </w:rPr>
        <w:t>through requirements for inverter-based resources.</w:t>
      </w:r>
    </w:p>
    <w:p w:rsidR="00600CA2" w:rsidRPr="00A408A0" w:rsidP="009B0C21" w14:paraId="18E4E38D" w14:textId="05904780">
      <w:pPr>
        <w:ind w:left="0" w:firstLine="0"/>
      </w:pPr>
    </w:p>
    <w:p w:rsidR="00DD755B" w:rsidRPr="00A408A0" w:rsidP="00D55A35" w14:paraId="3E54150A" w14:textId="34D360DF">
      <w:pPr>
        <w:pStyle w:val="Heading1"/>
        <w:suppressAutoHyphens/>
        <w:spacing w:line="250" w:lineRule="auto"/>
      </w:pPr>
      <w:r w:rsidRPr="00A408A0">
        <w:t xml:space="preserve">DESCRIBE ANY CONSIDERATION OF THE USE OF IMPROVED TECHNOLOGY TO REDUCE BURDEN AND TECHNICAL OR LEGAL OBSTACLES TO REDUCING BURDEN.  </w:t>
      </w:r>
    </w:p>
    <w:p w:rsidR="00AC43FD" w:rsidRPr="00A408A0" w:rsidP="00D55A35" w14:paraId="180BC21E" w14:textId="2EB09245">
      <w:pPr>
        <w:suppressAutoHyphens/>
        <w:spacing w:after="13" w:line="250" w:lineRule="auto"/>
        <w:ind w:left="0" w:firstLine="0"/>
      </w:pPr>
    </w:p>
    <w:p w:rsidR="009B0C21" w:rsidRPr="00A408A0" w:rsidP="00D55A35" w14:paraId="1670BE8D" w14:textId="1599E637">
      <w:pPr>
        <w:suppressAutoHyphens/>
        <w:spacing w:line="250" w:lineRule="auto"/>
        <w:ind w:left="0" w:firstLine="0"/>
      </w:pPr>
      <w:r w:rsidRPr="00A408A0">
        <w:t xml:space="preserve">Commission staff expects </w:t>
      </w:r>
      <w:r w:rsidRPr="00A408A0" w:rsidR="00901F77">
        <w:t xml:space="preserve">that public utilities will revise their tariffs in accordance </w:t>
      </w:r>
      <w:r w:rsidRPr="00A408A0" w:rsidR="002657A1">
        <w:t>with the</w:t>
      </w:r>
      <w:r w:rsidRPr="00A408A0" w:rsidR="00901F77">
        <w:t xml:space="preserve"> </w:t>
      </w:r>
      <w:r w:rsidRPr="00A408A0" w:rsidR="00B952F9">
        <w:t>order on rehearing</w:t>
      </w:r>
      <w:r w:rsidRPr="00A408A0" w:rsidR="00901F77">
        <w:t xml:space="preserve"> in this docket by filing electronically</w:t>
      </w:r>
      <w:r w:rsidR="008975B7">
        <w:t>,</w:t>
      </w:r>
      <w:r w:rsidRPr="00A408A0" w:rsidR="00901F77">
        <w:t xml:space="preserve"> using </w:t>
      </w:r>
      <w:r w:rsidRPr="00A408A0" w:rsidR="00901F77">
        <w:t>eTariff</w:t>
      </w:r>
      <w:r w:rsidRPr="00A408A0">
        <w:t xml:space="preserve"> (described at</w:t>
      </w:r>
      <w:r w:rsidRPr="00A408A0" w:rsidR="002861EE">
        <w:t xml:space="preserve"> </w:t>
      </w:r>
      <w:hyperlink r:id="rId10" w:history="1">
        <w:r w:rsidRPr="00445E8E" w:rsidR="00EA3D98">
          <w:rPr>
            <w:rStyle w:val="Hyperlink"/>
          </w:rPr>
          <w:t>https://www.ferc.gov/ferc-online/etariff</w:t>
        </w:r>
      </w:hyperlink>
      <w:r w:rsidRPr="00A408A0">
        <w:t>)</w:t>
      </w:r>
      <w:r w:rsidRPr="00A408A0" w:rsidR="00901F77">
        <w:t>.</w:t>
      </w:r>
      <w:r w:rsidRPr="00A408A0" w:rsidR="002861EE">
        <w:t xml:space="preserve"> </w:t>
      </w:r>
      <w:r w:rsidRPr="00A408A0">
        <w:t xml:space="preserve"> </w:t>
      </w:r>
      <w:r w:rsidRPr="00A408A0" w:rsidR="00901F77">
        <w:t>The tariffs</w:t>
      </w:r>
      <w:r w:rsidRPr="00A408A0">
        <w:t xml:space="preserve"> are available to the public on the internet through </w:t>
      </w:r>
      <w:r w:rsidRPr="00A408A0" w:rsidR="0044574A">
        <w:t>the Commission’s</w:t>
      </w:r>
      <w:r w:rsidRPr="00A408A0">
        <w:t xml:space="preserve"> </w:t>
      </w:r>
      <w:r w:rsidRPr="00A408A0">
        <w:t>eTariff</w:t>
      </w:r>
      <w:r w:rsidRPr="00A408A0">
        <w:t xml:space="preserve"> viewer.  The compliance filings and agency action on the filings are also </w:t>
      </w:r>
      <w:r w:rsidRPr="00A408A0" w:rsidR="00DF0CC6">
        <w:t xml:space="preserve">publicly </w:t>
      </w:r>
      <w:r w:rsidRPr="00A408A0">
        <w:t xml:space="preserve">available on ferc.gov in </w:t>
      </w:r>
      <w:r w:rsidRPr="00A408A0">
        <w:t>eLibrary</w:t>
      </w:r>
      <w:r w:rsidRPr="00A408A0">
        <w:t>.</w:t>
      </w:r>
    </w:p>
    <w:p w:rsidR="009B0C21" w:rsidRPr="00A408A0" w:rsidP="009B0C21" w14:paraId="29481EF4" w14:textId="77777777">
      <w:pPr>
        <w:spacing w:after="0" w:line="259" w:lineRule="auto"/>
        <w:ind w:left="0" w:firstLine="0"/>
        <w:rPr>
          <w:b/>
        </w:rPr>
      </w:pPr>
    </w:p>
    <w:p w:rsidR="00DD755B" w:rsidRPr="00A408A0" w:rsidP="00D55A35" w14:paraId="7823335F" w14:textId="4788834D">
      <w:pPr>
        <w:pStyle w:val="Heading1"/>
        <w:suppressAutoHyphens/>
      </w:pPr>
      <w:r w:rsidRPr="00A408A0">
        <w:t>DESCRIBE EFFORTS TO IDENTIFY DUPLICATION AND SHOW SPECIFICALLY WHY ANY SIMILAR INFORMATION ALREADY AVAILABLE CANNOT BE USED OR MODIFIED FOR USE FOR THE PURPOSE(S) DESCRIBED IN INSTRUCTION NO. 2.</w:t>
      </w:r>
    </w:p>
    <w:p w:rsidR="00A0739A" w:rsidRPr="00A408A0" w:rsidP="00D55A35" w14:paraId="16998981" w14:textId="77777777">
      <w:pPr>
        <w:suppressAutoHyphens/>
        <w:spacing w:after="0" w:line="240" w:lineRule="auto"/>
        <w:ind w:left="0" w:firstLine="0"/>
        <w:rPr>
          <w:b/>
        </w:rPr>
      </w:pPr>
    </w:p>
    <w:p w:rsidR="00DD755B" w:rsidRPr="00A408A0" w:rsidP="00D55A35" w14:paraId="7976B9AC" w14:textId="2306C8EB">
      <w:pPr>
        <w:suppressAutoHyphens/>
        <w:spacing w:after="0" w:line="240" w:lineRule="auto"/>
        <w:ind w:left="0" w:firstLine="0"/>
      </w:pPr>
      <w:r w:rsidRPr="00A408A0">
        <w:t xml:space="preserve">The Commission periodically reviews filing requirements concurrent with OMB review or as the Commission deems necessary to eliminate duplicative filings and to minimize the filing burden.  </w:t>
      </w:r>
      <w:r w:rsidRPr="00A408A0">
        <w:t>The Commission is unaware of any other source of this information</w:t>
      </w:r>
      <w:r w:rsidRPr="00A408A0" w:rsidR="00CF21FA">
        <w:t xml:space="preserve"> that </w:t>
      </w:r>
      <w:r w:rsidRPr="00A408A0" w:rsidR="00C333CF">
        <w:t xml:space="preserve">is </w:t>
      </w:r>
      <w:r w:rsidRPr="00A408A0" w:rsidR="00CF21FA">
        <w:t>readily available. Therefore, no duplicate information is available that would serve as a substitute for this information and for performing oversight and review responsibilities under applicable legislation</w:t>
      </w:r>
      <w:r w:rsidRPr="00A408A0" w:rsidR="006205B4">
        <w:t>.</w:t>
      </w:r>
    </w:p>
    <w:p w:rsidR="009B0C21" w:rsidRPr="00A408A0" w:rsidP="00D55A35" w14:paraId="49A48525" w14:textId="77777777">
      <w:pPr>
        <w:suppressAutoHyphens/>
        <w:spacing w:after="0" w:line="240" w:lineRule="auto"/>
        <w:ind w:left="0" w:firstLine="0"/>
      </w:pPr>
    </w:p>
    <w:p w:rsidR="00DD755B" w:rsidRPr="00A408A0" w:rsidP="00D55A35" w14:paraId="169254C5" w14:textId="4D4F71CB">
      <w:pPr>
        <w:pStyle w:val="Heading1"/>
        <w:suppressAutoHyphens/>
        <w:spacing w:line="250" w:lineRule="auto"/>
      </w:pPr>
      <w:r w:rsidRPr="00A408A0">
        <w:t xml:space="preserve">METHODS USED TO MINIMIZE BURDEN IN COLLECTION OF INFORMATION INVOLVING SMALL ENTITIES </w:t>
      </w:r>
    </w:p>
    <w:p w:rsidR="00EE395C" w:rsidRPr="00A408A0" w:rsidP="00D55A35" w14:paraId="3652EE11" w14:textId="77777777">
      <w:pPr>
        <w:keepNext/>
        <w:suppressAutoHyphens/>
        <w:spacing w:line="250" w:lineRule="auto"/>
        <w:ind w:left="0" w:firstLine="0"/>
      </w:pPr>
    </w:p>
    <w:p w:rsidR="00DF0CC6" w:rsidRPr="00A408A0" w:rsidP="00D55A35" w14:paraId="27C0501F" w14:textId="7109C232">
      <w:pPr>
        <w:suppressAutoHyphens/>
        <w:ind w:left="0" w:firstLine="0"/>
      </w:pPr>
      <w:r w:rsidRPr="00A408A0">
        <w:t xml:space="preserve">The collection of this data imposes the least possible burden for small and large entities while collecting the information </w:t>
      </w:r>
      <w:r w:rsidRPr="00A408A0" w:rsidR="006205B4">
        <w:t>the Commission deems necessary to perform its statutory responsibilities</w:t>
      </w:r>
      <w:r w:rsidRPr="00A408A0">
        <w:t>.</w:t>
      </w:r>
    </w:p>
    <w:p w:rsidR="00BA7ECF" w:rsidRPr="00A408A0" w:rsidP="00BA7ECF" w14:paraId="69D33D5B" w14:textId="77777777">
      <w:pPr>
        <w:pStyle w:val="FERCparanumber"/>
        <w:numPr>
          <w:ilvl w:val="0"/>
          <w:numId w:val="0"/>
        </w:numPr>
        <w:suppressAutoHyphens/>
        <w:spacing w:line="240" w:lineRule="auto"/>
        <w:rPr>
          <w:sz w:val="24"/>
        </w:rPr>
      </w:pPr>
    </w:p>
    <w:p w:rsidR="00BA7ECF" w:rsidRPr="00A408A0" w:rsidP="003A5DD2" w14:paraId="28132E01" w14:textId="450A948D">
      <w:pPr>
        <w:pStyle w:val="FERCparanumber"/>
        <w:numPr>
          <w:ilvl w:val="0"/>
          <w:numId w:val="0"/>
        </w:numPr>
        <w:suppressAutoHyphens/>
        <w:spacing w:line="240" w:lineRule="auto"/>
        <w:rPr>
          <w:sz w:val="24"/>
        </w:rPr>
      </w:pPr>
      <w:r w:rsidRPr="00A408A0">
        <w:rPr>
          <w:sz w:val="24"/>
        </w:rPr>
        <w:t>In RM22-14</w:t>
      </w:r>
      <w:r w:rsidRPr="00A408A0" w:rsidR="00374117">
        <w:rPr>
          <w:sz w:val="24"/>
        </w:rPr>
        <w:t>-001</w:t>
      </w:r>
      <w:r w:rsidRPr="00A408A0">
        <w:rPr>
          <w:sz w:val="24"/>
        </w:rPr>
        <w:t xml:space="preserve">, </w:t>
      </w:r>
      <w:r w:rsidR="00F359DC">
        <w:rPr>
          <w:sz w:val="24"/>
        </w:rPr>
        <w:t>u</w:t>
      </w:r>
      <w:r w:rsidRPr="00A408A0">
        <w:rPr>
          <w:sz w:val="24"/>
        </w:rPr>
        <w:t>nder SBA’s size standards,</w:t>
      </w:r>
      <w:r>
        <w:rPr>
          <w:b/>
          <w:sz w:val="24"/>
          <w:vertAlign w:val="superscript"/>
        </w:rPr>
        <w:footnoteReference w:id="10"/>
      </w:r>
      <w:r w:rsidRPr="00A408A0">
        <w:rPr>
          <w:b/>
          <w:bCs/>
          <w:sz w:val="24"/>
        </w:rPr>
        <w:t xml:space="preserve"> </w:t>
      </w:r>
      <w:r w:rsidRPr="00A408A0">
        <w:rPr>
          <w:sz w:val="24"/>
        </w:rPr>
        <w:t>transmission providers</w:t>
      </w:r>
      <w:r w:rsidR="008E1F48">
        <w:rPr>
          <w:sz w:val="24"/>
        </w:rPr>
        <w:t>, including Regional Transmission Organizations and Independent System Operators (RTOs/ISOs),</w:t>
      </w:r>
      <w:r w:rsidRPr="00A408A0">
        <w:rPr>
          <w:sz w:val="24"/>
        </w:rPr>
        <w:t xml:space="preserve"> fall under the category of Electric Bulk Power Transmission and Control (NAICS code 221121)</w:t>
      </w:r>
      <w:r w:rsidRPr="00A408A0" w:rsidR="00687EFC">
        <w:rPr>
          <w:sz w:val="24"/>
        </w:rPr>
        <w:t>.  In that category, the threshold for a small entity</w:t>
      </w:r>
      <w:r w:rsidRPr="00A408A0">
        <w:rPr>
          <w:sz w:val="24"/>
        </w:rPr>
        <w:t xml:space="preserve"> </w:t>
      </w:r>
      <w:r w:rsidRPr="00A408A0" w:rsidR="00687EFC">
        <w:rPr>
          <w:sz w:val="24"/>
        </w:rPr>
        <w:t>is</w:t>
      </w:r>
      <w:r w:rsidRPr="00A408A0">
        <w:rPr>
          <w:sz w:val="24"/>
        </w:rPr>
        <w:t xml:space="preserve"> under 950 employees (including the entity and its associates).</w:t>
      </w:r>
      <w:r>
        <w:rPr>
          <w:b/>
          <w:sz w:val="24"/>
          <w:vertAlign w:val="superscript"/>
        </w:rPr>
        <w:footnoteReference w:id="11"/>
      </w:r>
      <w:r w:rsidRPr="00A408A0">
        <w:rPr>
          <w:b/>
          <w:bCs/>
          <w:sz w:val="24"/>
        </w:rPr>
        <w:t xml:space="preserve"> </w:t>
      </w:r>
      <w:r w:rsidRPr="00A408A0">
        <w:rPr>
          <w:sz w:val="24"/>
        </w:rPr>
        <w:t xml:space="preserve"> </w:t>
      </w:r>
    </w:p>
    <w:p w:rsidR="00BA7ECF" w:rsidRPr="00A408A0" w:rsidP="00BA7ECF" w14:paraId="3D0EB982" w14:textId="77777777">
      <w:pPr>
        <w:pStyle w:val="FERCparanumber"/>
        <w:numPr>
          <w:ilvl w:val="0"/>
          <w:numId w:val="0"/>
        </w:numPr>
        <w:suppressAutoHyphens/>
        <w:spacing w:line="240" w:lineRule="auto"/>
        <w:rPr>
          <w:sz w:val="24"/>
        </w:rPr>
      </w:pPr>
    </w:p>
    <w:p w:rsidR="00BA7ECF" w:rsidRPr="00A408A0" w:rsidP="003A5DD2" w14:paraId="02D8924E" w14:textId="01FA3CE5">
      <w:pPr>
        <w:pStyle w:val="FERCparanumber"/>
        <w:numPr>
          <w:ilvl w:val="0"/>
          <w:numId w:val="0"/>
        </w:numPr>
        <w:suppressAutoHyphens/>
        <w:spacing w:line="240" w:lineRule="auto"/>
        <w:rPr>
          <w:sz w:val="24"/>
        </w:rPr>
      </w:pPr>
      <w:r w:rsidRPr="00A408A0">
        <w:rPr>
          <w:sz w:val="24"/>
        </w:rPr>
        <w:t xml:space="preserve">We estimate that there are 44 transmission providers affected by the reforms proposed in this </w:t>
      </w:r>
      <w:r w:rsidR="009E3B36">
        <w:rPr>
          <w:sz w:val="24"/>
        </w:rPr>
        <w:t>order on rehearing</w:t>
      </w:r>
      <w:r w:rsidRPr="00A408A0">
        <w:rPr>
          <w:sz w:val="24"/>
        </w:rPr>
        <w:t>.</w:t>
      </w:r>
      <w:r w:rsidR="00FC08A9">
        <w:rPr>
          <w:sz w:val="24"/>
        </w:rPr>
        <w:t xml:space="preserve"> </w:t>
      </w:r>
      <w:r w:rsidRPr="00A408A0">
        <w:rPr>
          <w:sz w:val="24"/>
        </w:rPr>
        <w:t xml:space="preserve"> Furthermore, we estimate that 6 of the 44 total transmission providers, approximately 14% (rounded), are small entities.</w:t>
      </w:r>
    </w:p>
    <w:p w:rsidR="00BA7ECF" w:rsidRPr="00A408A0" w:rsidP="003A5DD2" w14:paraId="14365876" w14:textId="77777777">
      <w:pPr>
        <w:pStyle w:val="FERCparanumber"/>
        <w:numPr>
          <w:ilvl w:val="0"/>
          <w:numId w:val="0"/>
        </w:numPr>
        <w:suppressAutoHyphens/>
        <w:spacing w:line="240" w:lineRule="auto"/>
        <w:rPr>
          <w:sz w:val="24"/>
        </w:rPr>
      </w:pPr>
    </w:p>
    <w:p w:rsidR="00BA7ECF" w:rsidRPr="00A408A0" w:rsidP="003A5DD2" w14:paraId="49717C89" w14:textId="75447DED">
      <w:pPr>
        <w:pStyle w:val="FERCparanumber"/>
        <w:numPr>
          <w:ilvl w:val="0"/>
          <w:numId w:val="0"/>
        </w:numPr>
        <w:suppressAutoHyphens/>
        <w:spacing w:line="240" w:lineRule="auto"/>
        <w:rPr>
          <w:sz w:val="24"/>
        </w:rPr>
      </w:pPr>
      <w:r w:rsidRPr="00A408A0">
        <w:rPr>
          <w:sz w:val="24"/>
        </w:rPr>
        <w:t xml:space="preserve">We estimate that one-time costs (in Year 1) associated with the reforms required by this </w:t>
      </w:r>
      <w:r w:rsidR="0033792F">
        <w:rPr>
          <w:sz w:val="24"/>
        </w:rPr>
        <w:t>order on rehearing</w:t>
      </w:r>
      <w:r w:rsidRPr="00A408A0" w:rsidR="00B612E0">
        <w:rPr>
          <w:sz w:val="24"/>
        </w:rPr>
        <w:t xml:space="preserve"> relevant to information collection </w:t>
      </w:r>
      <w:r w:rsidRPr="00A408A0" w:rsidR="002174F6">
        <w:rPr>
          <w:sz w:val="24"/>
        </w:rPr>
        <w:t>FERC-</w:t>
      </w:r>
      <w:r w:rsidRPr="00A408A0" w:rsidR="00B612E0">
        <w:rPr>
          <w:sz w:val="24"/>
        </w:rPr>
        <w:t>516</w:t>
      </w:r>
      <w:r w:rsidRPr="00A408A0" w:rsidR="00813AA2">
        <w:rPr>
          <w:sz w:val="24"/>
        </w:rPr>
        <w:t>A</w:t>
      </w:r>
      <w:r w:rsidRPr="00A408A0">
        <w:rPr>
          <w:sz w:val="24"/>
        </w:rPr>
        <w:t xml:space="preserve"> for one transmission provider would be $</w:t>
      </w:r>
      <w:r w:rsidRPr="00A408A0" w:rsidR="00B612E0">
        <w:rPr>
          <w:sz w:val="24"/>
        </w:rPr>
        <w:t>200</w:t>
      </w:r>
      <w:r w:rsidRPr="00A408A0">
        <w:rPr>
          <w:sz w:val="24"/>
        </w:rPr>
        <w:t xml:space="preserve">.  Following Year 1, we estimate </w:t>
      </w:r>
      <w:r w:rsidRPr="00A408A0" w:rsidR="00B00DF2">
        <w:rPr>
          <w:sz w:val="24"/>
        </w:rPr>
        <w:t>no</w:t>
      </w:r>
      <w:r w:rsidRPr="00A408A0">
        <w:rPr>
          <w:sz w:val="24"/>
        </w:rPr>
        <w:t xml:space="preserve"> annual ongoing costs.</w:t>
      </w:r>
      <w:r w:rsidRPr="00A408A0">
        <w:rPr>
          <w:b/>
          <w:bCs/>
          <w:sz w:val="24"/>
        </w:rPr>
        <w:t xml:space="preserve">  </w:t>
      </w:r>
      <w:r w:rsidRPr="00A408A0">
        <w:rPr>
          <w:sz w:val="24"/>
        </w:rPr>
        <w:t>According to SBA guidance, the determination of significance of impact “should be seen as relative to the size of the business, the size of the competitor’s business, and the impact the regulation has on larger competitors.”</w:t>
      </w:r>
      <w:r>
        <w:rPr>
          <w:b/>
          <w:sz w:val="24"/>
          <w:vertAlign w:val="superscript"/>
        </w:rPr>
        <w:footnoteReference w:id="12"/>
      </w:r>
      <w:r w:rsidRPr="00A408A0">
        <w:rPr>
          <w:b/>
          <w:bCs/>
          <w:sz w:val="24"/>
        </w:rPr>
        <w:t xml:space="preserve"> </w:t>
      </w:r>
      <w:r w:rsidRPr="00A408A0">
        <w:rPr>
          <w:sz w:val="24"/>
        </w:rPr>
        <w:t xml:space="preserve"> We do not consider the estimated cost to be a significant economic impact.  </w:t>
      </w:r>
    </w:p>
    <w:p w:rsidR="00BA7ECF" w:rsidRPr="00A408A0" w:rsidP="00D55A35" w14:paraId="5486948D" w14:textId="21C36CD4">
      <w:pPr>
        <w:pStyle w:val="FERCparanumber"/>
        <w:numPr>
          <w:ilvl w:val="0"/>
          <w:numId w:val="0"/>
        </w:numPr>
        <w:suppressAutoHyphens/>
        <w:spacing w:line="240" w:lineRule="auto"/>
        <w:rPr>
          <w:sz w:val="24"/>
        </w:rPr>
      </w:pPr>
    </w:p>
    <w:p w:rsidR="00DD755B" w:rsidRPr="00A408A0" w:rsidP="004E443E" w14:paraId="52648953" w14:textId="6DDAB59F">
      <w:pPr>
        <w:pStyle w:val="Heading1"/>
        <w:suppressAutoHyphens/>
        <w:spacing w:line="250" w:lineRule="auto"/>
      </w:pPr>
      <w:r w:rsidRPr="00A408A0">
        <w:t xml:space="preserve">CONSEQUENCE TO FEDERAL PROGRAM IF COLLECTION WERE CONDUCTED LESS FREQUENTLY </w:t>
      </w:r>
    </w:p>
    <w:p w:rsidR="009B0C21" w:rsidRPr="00A408A0" w:rsidP="004E443E" w14:paraId="15050C84" w14:textId="77777777">
      <w:pPr>
        <w:keepNext/>
        <w:suppressAutoHyphens/>
        <w:spacing w:line="250" w:lineRule="auto"/>
        <w:ind w:left="0" w:firstLine="0"/>
        <w:rPr>
          <w:b/>
        </w:rPr>
      </w:pPr>
    </w:p>
    <w:p w:rsidR="000079E5" w:rsidRPr="00A408A0" w:rsidP="00D55A35" w14:paraId="1B0D8B5A" w14:textId="61B406F2">
      <w:pPr>
        <w:suppressAutoHyphens/>
        <w:spacing w:after="0" w:line="259" w:lineRule="auto"/>
        <w:ind w:left="0" w:firstLine="0"/>
      </w:pPr>
      <w:r w:rsidRPr="00A408A0">
        <w:t>If the Commission</w:t>
      </w:r>
      <w:r w:rsidRPr="00A408A0" w:rsidR="00383548">
        <w:t xml:space="preserve"> conduct</w:t>
      </w:r>
      <w:r w:rsidRPr="00A408A0">
        <w:t>ed</w:t>
      </w:r>
      <w:r w:rsidRPr="00A408A0" w:rsidR="00383548">
        <w:t xml:space="preserve"> these </w:t>
      </w:r>
      <w:r w:rsidRPr="00A408A0">
        <w:t xml:space="preserve">collections </w:t>
      </w:r>
      <w:r w:rsidRPr="00A408A0" w:rsidR="00383548">
        <w:t xml:space="preserve">less frequently </w:t>
      </w:r>
      <w:r w:rsidRPr="00A408A0">
        <w:t xml:space="preserve">or </w:t>
      </w:r>
      <w:r w:rsidRPr="00A408A0" w:rsidR="00AD1D60">
        <w:t xml:space="preserve">did </w:t>
      </w:r>
      <w:r w:rsidRPr="00A408A0" w:rsidR="00383548">
        <w:t xml:space="preserve">not </w:t>
      </w:r>
      <w:r w:rsidRPr="00A408A0" w:rsidR="00AD1D60">
        <w:t xml:space="preserve">conduct </w:t>
      </w:r>
      <w:r w:rsidRPr="00A408A0" w:rsidR="00383548">
        <w:t>them at all, the Commission would be unable to fulfill its statutory obligation to ensure that rates</w:t>
      </w:r>
      <w:r w:rsidRPr="00A408A0" w:rsidR="00F646FE">
        <w:t>, terms, and conditions of Commission-</w:t>
      </w:r>
      <w:r w:rsidRPr="00A408A0" w:rsidR="00325A3F">
        <w:t>jurisdictional</w:t>
      </w:r>
      <w:r w:rsidRPr="00A408A0" w:rsidR="00F646FE">
        <w:t xml:space="preserve"> services </w:t>
      </w:r>
      <w:r w:rsidRPr="00A408A0" w:rsidR="00383548">
        <w:t xml:space="preserve">are just and reasonable and not unduly discriminatory or preferential.  </w:t>
      </w:r>
    </w:p>
    <w:p w:rsidR="00DE1748" w:rsidRPr="00A408A0" w:rsidP="00D55A35" w14:paraId="527B6800" w14:textId="61E95A68">
      <w:pPr>
        <w:suppressAutoHyphens/>
        <w:spacing w:after="0" w:line="259" w:lineRule="auto"/>
        <w:ind w:left="0" w:firstLine="0"/>
      </w:pPr>
    </w:p>
    <w:p w:rsidR="00DE1748" w:rsidRPr="00A408A0" w:rsidP="00D55A35" w14:paraId="503E3853" w14:textId="5FDD22FC">
      <w:pPr>
        <w:suppressAutoHyphens/>
        <w:spacing w:after="0" w:line="259" w:lineRule="auto"/>
        <w:ind w:left="0" w:firstLine="0"/>
      </w:pPr>
      <w:r>
        <w:t xml:space="preserve">The </w:t>
      </w:r>
      <w:r w:rsidR="00007832">
        <w:t>re</w:t>
      </w:r>
      <w:r w:rsidR="00A03FCB">
        <w:t>visions</w:t>
      </w:r>
      <w:r w:rsidR="00007832">
        <w:t xml:space="preserve"> adopted by</w:t>
      </w:r>
      <w:r>
        <w:t xml:space="preserve"> this </w:t>
      </w:r>
      <w:r w:rsidR="00823189">
        <w:t>order on rehearing</w:t>
      </w:r>
      <w:r w:rsidR="0CE914A6">
        <w:t xml:space="preserve"> </w:t>
      </w:r>
      <w:r>
        <w:t xml:space="preserve">are </w:t>
      </w:r>
      <w:r w:rsidR="00007832">
        <w:t>necessary because, absent reform, the current interconnection process will continue to cause interconnection queue backlogs, longer development timelines, and increased uncertainty regarding the cost and timing of interconnecting to the transmission system.  These backlogs and delays, and the resulting timing and cost uncertainty, hinder the timely development of new generation and thereby stifle competition in the wholesale electric markets</w:t>
      </w:r>
      <w:r w:rsidR="005C4508">
        <w:t>,</w:t>
      </w:r>
      <w:r w:rsidR="00007832">
        <w:t xml:space="preserve"> resulting in rates, terms, and conditions that are unjust</w:t>
      </w:r>
      <w:r w:rsidR="65B77F8F">
        <w:t>,</w:t>
      </w:r>
      <w:r w:rsidR="00007832">
        <w:t xml:space="preserve"> unreasonable</w:t>
      </w:r>
      <w:r w:rsidR="69582B1D">
        <w:t>,</w:t>
      </w:r>
      <w:r w:rsidR="00007832">
        <w:t xml:space="preserve"> and unduly discriminatory or preferential</w:t>
      </w:r>
      <w:r w:rsidR="008167D6">
        <w:t>.</w:t>
      </w:r>
    </w:p>
    <w:p w:rsidR="009B0C21" w:rsidRPr="00A408A0" w:rsidP="00D55A35" w14:paraId="1C77F93C" w14:textId="12EBF9D1">
      <w:pPr>
        <w:suppressAutoHyphens/>
        <w:spacing w:after="0" w:line="259" w:lineRule="auto"/>
        <w:ind w:left="0" w:firstLine="0"/>
        <w:rPr>
          <w:b/>
        </w:rPr>
      </w:pPr>
    </w:p>
    <w:p w:rsidR="00DD755B" w:rsidRPr="00A408A0" w:rsidP="00D55A35" w14:paraId="3C6F33EB" w14:textId="62B72BDA">
      <w:pPr>
        <w:pStyle w:val="Heading1"/>
        <w:suppressAutoHyphens/>
      </w:pPr>
      <w:r w:rsidRPr="00A408A0">
        <w:t xml:space="preserve">EXPLAIN ANY SPECIAL CIRCUMSTANCES RELATING TO THE INFORMATION COLLECTION </w:t>
      </w:r>
    </w:p>
    <w:p w:rsidR="00DF0CC6" w:rsidRPr="00A408A0" w14:paraId="1D12DCFB" w14:textId="77777777">
      <w:pPr>
        <w:ind w:left="0" w:firstLine="0"/>
      </w:pPr>
    </w:p>
    <w:p w:rsidR="00DD755B" w:rsidRPr="00A408A0" w:rsidP="00D40913" w14:paraId="386011C5" w14:textId="11719FAE">
      <w:pPr>
        <w:spacing w:after="0" w:line="259" w:lineRule="auto"/>
        <w:ind w:left="0" w:firstLine="0"/>
      </w:pPr>
      <w:r w:rsidRPr="00A408A0">
        <w:t>This collection contains no special circumstances.</w:t>
      </w:r>
      <w:r w:rsidRPr="00A408A0" w:rsidR="00383548">
        <w:t xml:space="preserve"> </w:t>
      </w:r>
    </w:p>
    <w:p w:rsidR="00076115" w:rsidRPr="00A408A0" w14:paraId="324118F7" w14:textId="77777777">
      <w:pPr>
        <w:spacing w:after="0" w:line="259" w:lineRule="auto"/>
        <w:ind w:left="360" w:firstLine="0"/>
      </w:pPr>
    </w:p>
    <w:p w:rsidR="00DD755B" w:rsidRPr="00A408A0" w:rsidP="00A0739A" w14:paraId="58969027" w14:textId="19FF6E63">
      <w:pPr>
        <w:pStyle w:val="Heading1"/>
      </w:pPr>
      <w:r w:rsidRPr="00A408A0">
        <w:t xml:space="preserve">DESCRIBE EFFORTS TO CONSULT OUTSIDE THE AGENCY: </w:t>
      </w:r>
      <w:r w:rsidRPr="00A408A0" w:rsidR="002F1C41">
        <w:t xml:space="preserve"> </w:t>
      </w:r>
      <w:r w:rsidRPr="00A408A0">
        <w:t xml:space="preserve">SUMMARIZE </w:t>
      </w:r>
    </w:p>
    <w:p w:rsidR="00DD755B" w:rsidRPr="00A408A0" w:rsidP="008B2C5F" w14:paraId="5D0A4110" w14:textId="58F5FFA2">
      <w:pPr>
        <w:spacing w:after="0" w:line="238" w:lineRule="auto"/>
        <w:ind w:left="0" w:right="54" w:firstLine="0"/>
        <w:jc w:val="right"/>
      </w:pPr>
      <w:r w:rsidRPr="00A408A0">
        <w:rPr>
          <w:b/>
        </w:rPr>
        <w:t>PUBLIC COMMENTS AND THE AGENCY</w:t>
      </w:r>
      <w:r w:rsidRPr="00A408A0" w:rsidR="00665736">
        <w:rPr>
          <w:b/>
        </w:rPr>
        <w:t>’</w:t>
      </w:r>
      <w:r w:rsidRPr="00A408A0">
        <w:rPr>
          <w:b/>
        </w:rPr>
        <w:t>S RESPONSE TO THESE COMMENTS</w:t>
      </w:r>
      <w:r w:rsidRPr="00A408A0">
        <w:t xml:space="preserve"> </w:t>
      </w:r>
    </w:p>
    <w:p w:rsidR="00DF0CC6" w:rsidRPr="00A408A0" w:rsidP="0090586F" w14:paraId="11A14DA2" w14:textId="77777777">
      <w:pPr>
        <w:spacing w:after="0" w:line="259" w:lineRule="auto"/>
        <w:ind w:left="0" w:firstLine="0"/>
      </w:pPr>
    </w:p>
    <w:p w:rsidR="00F646FE" w:rsidRPr="00A408A0" w:rsidP="00D55A35" w14:paraId="33337F56" w14:textId="1C801C47">
      <w:pPr>
        <w:suppressAutoHyphens/>
        <w:spacing w:after="0" w:line="259" w:lineRule="auto"/>
        <w:ind w:left="0" w:firstLine="0"/>
      </w:pPr>
      <w:r w:rsidRPr="00A408A0">
        <w:t xml:space="preserve">The Commission’s proposed and </w:t>
      </w:r>
      <w:r w:rsidRPr="00A408A0" w:rsidR="00272595">
        <w:t>final rule</w:t>
      </w:r>
      <w:r w:rsidRPr="00A408A0">
        <w:t>s</w:t>
      </w:r>
      <w:r w:rsidRPr="00A408A0" w:rsidR="00B746BD">
        <w:t>, and orders on rehearing,</w:t>
      </w:r>
      <w:r w:rsidRPr="00A408A0">
        <w:t xml:space="preserve"> are published in the Federal Register, thereby providing the public, including public utilities and licensees, state commissions, and Federal agencies, an opportunity to submit data, views, </w:t>
      </w:r>
      <w:r w:rsidRPr="00A408A0">
        <w:t>comments</w:t>
      </w:r>
      <w:r w:rsidRPr="00A408A0">
        <w:t xml:space="preserve"> or suggestions concerning the proposed collections of data.</w:t>
      </w:r>
    </w:p>
    <w:p w:rsidR="00F646FE" w:rsidRPr="00A408A0" w:rsidP="00D55A35" w14:paraId="5B160167" w14:textId="77777777">
      <w:pPr>
        <w:suppressAutoHyphens/>
        <w:spacing w:after="0" w:line="259" w:lineRule="auto"/>
        <w:ind w:left="0" w:firstLine="0"/>
      </w:pPr>
    </w:p>
    <w:p w:rsidR="003B6E7C" w:rsidP="00D55A35" w14:paraId="72E46587" w14:textId="6CB27595">
      <w:pPr>
        <w:suppressAutoHyphens/>
        <w:spacing w:after="0" w:line="259" w:lineRule="auto"/>
        <w:ind w:left="0" w:firstLine="0"/>
      </w:pPr>
      <w:r w:rsidRPr="00A408A0">
        <w:t>On June 16, 2022, the Commissio</w:t>
      </w:r>
      <w:r w:rsidRPr="00A408A0" w:rsidR="000C2ABB">
        <w:t>n</w:t>
      </w:r>
      <w:r w:rsidRPr="00A408A0">
        <w:t xml:space="preserve"> published the </w:t>
      </w:r>
      <w:r w:rsidRPr="00A408A0" w:rsidR="00DD10F9">
        <w:t>Notice of Proposed Rulemaking (</w:t>
      </w:r>
      <w:r w:rsidRPr="00A408A0">
        <w:t>NOPR</w:t>
      </w:r>
      <w:r w:rsidRPr="00A408A0" w:rsidR="00DD10F9">
        <w:t>)</w:t>
      </w:r>
      <w:r w:rsidRPr="00A408A0">
        <w:t xml:space="preserve"> on </w:t>
      </w:r>
      <w:r w:rsidRPr="00A408A0">
        <w:t>eLib</w:t>
      </w:r>
      <w:r w:rsidRPr="00A408A0" w:rsidR="00A40842">
        <w:t>r</w:t>
      </w:r>
      <w:r w:rsidRPr="00A408A0">
        <w:t>ary</w:t>
      </w:r>
      <w:r w:rsidRPr="00A408A0">
        <w:t xml:space="preserve">. </w:t>
      </w:r>
      <w:r w:rsidRPr="00A408A0" w:rsidR="00FA0ADE">
        <w:t xml:space="preserve"> </w:t>
      </w:r>
      <w:r w:rsidRPr="00A408A0">
        <w:t>T</w:t>
      </w:r>
      <w:r w:rsidRPr="00A408A0" w:rsidR="0090586F">
        <w:t xml:space="preserve">he </w:t>
      </w:r>
      <w:r w:rsidRPr="00A408A0" w:rsidR="00586DD3">
        <w:t>Offic</w:t>
      </w:r>
      <w:r w:rsidRPr="00A408A0" w:rsidR="001269A0">
        <w:t xml:space="preserve">e of the Federal Register </w:t>
      </w:r>
      <w:r w:rsidRPr="00A408A0" w:rsidR="0090586F">
        <w:t xml:space="preserve">published </w:t>
      </w:r>
      <w:r w:rsidRPr="00A408A0">
        <w:t>the NOPR in the Federal Register</w:t>
      </w:r>
      <w:r w:rsidRPr="00A408A0" w:rsidR="00731639">
        <w:t xml:space="preserve"> on Ju</w:t>
      </w:r>
      <w:r w:rsidRPr="00A408A0" w:rsidR="007F33B8">
        <w:t>ly 5</w:t>
      </w:r>
      <w:r w:rsidRPr="00A408A0" w:rsidR="00731639">
        <w:t>, 2022</w:t>
      </w:r>
      <w:r w:rsidRPr="00A408A0" w:rsidR="009231ED">
        <w:t>.</w:t>
      </w:r>
      <w:r>
        <w:rPr>
          <w:rStyle w:val="FootnoteReference"/>
          <w:sz w:val="24"/>
        </w:rPr>
        <w:footnoteReference w:id="13"/>
      </w:r>
      <w:r w:rsidRPr="00A408A0" w:rsidR="00766D10">
        <w:t xml:space="preserve"> </w:t>
      </w:r>
      <w:r w:rsidRPr="00A408A0" w:rsidR="00FA0ADE">
        <w:t xml:space="preserve"> </w:t>
      </w:r>
      <w:r w:rsidRPr="00A408A0" w:rsidR="00766D10">
        <w:t xml:space="preserve">Numerous comments from the </w:t>
      </w:r>
      <w:r w:rsidRPr="00A408A0" w:rsidR="006D3CF5">
        <w:t xml:space="preserve">public were received, as </w:t>
      </w:r>
      <w:r w:rsidRPr="00A408A0" w:rsidR="006D3CF5">
        <w:t>summarized</w:t>
      </w:r>
      <w:r w:rsidRPr="00A408A0" w:rsidR="006D3CF5">
        <w:t xml:space="preserve"> and addressed in </w:t>
      </w:r>
      <w:r w:rsidR="00AC5078">
        <w:t>Order No. 2023</w:t>
      </w:r>
      <w:r w:rsidRPr="00A408A0" w:rsidR="00C74B88">
        <w:t xml:space="preserve">. </w:t>
      </w:r>
      <w:r w:rsidRPr="00A408A0" w:rsidR="002F7A1B">
        <w:t xml:space="preserve"> </w:t>
      </w:r>
      <w:r w:rsidRPr="00A408A0" w:rsidR="00C439F4">
        <w:t xml:space="preserve">The </w:t>
      </w:r>
      <w:r w:rsidRPr="00A408A0" w:rsidR="005121EC">
        <w:t>Commission</w:t>
      </w:r>
      <w:r w:rsidRPr="00A408A0" w:rsidR="00C439F4">
        <w:t>’s</w:t>
      </w:r>
      <w:r w:rsidRPr="00A408A0" w:rsidR="005121EC">
        <w:t xml:space="preserve"> responses to commenter</w:t>
      </w:r>
      <w:r w:rsidRPr="00A408A0" w:rsidR="00C439F4">
        <w:t xml:space="preserve">s’ suggestions and arguments are provided in the </w:t>
      </w:r>
      <w:r w:rsidRPr="00A408A0" w:rsidR="00AA448D">
        <w:t xml:space="preserve">Commission Determination subsections of </w:t>
      </w:r>
      <w:r>
        <w:t>Order No. 2023</w:t>
      </w:r>
      <w:r w:rsidRPr="00A408A0" w:rsidR="00AA448D">
        <w:t>, organized topically.</w:t>
      </w:r>
      <w:r w:rsidRPr="00A408A0" w:rsidR="00466941">
        <w:t xml:space="preserve">  </w:t>
      </w:r>
    </w:p>
    <w:p w:rsidR="003B6E7C" w:rsidP="00D55A35" w14:paraId="4E1CFD94" w14:textId="77777777">
      <w:pPr>
        <w:suppressAutoHyphens/>
        <w:spacing w:after="0" w:line="259" w:lineRule="auto"/>
        <w:ind w:left="0" w:firstLine="0"/>
      </w:pPr>
    </w:p>
    <w:p w:rsidR="00DF11C3" w:rsidRPr="00A408A0" w:rsidP="00D55A35" w14:paraId="72F529D5" w14:textId="1F4BF3A9">
      <w:pPr>
        <w:suppressAutoHyphens/>
        <w:spacing w:after="0" w:line="259" w:lineRule="auto"/>
        <w:ind w:left="0" w:firstLine="0"/>
      </w:pPr>
      <w:r w:rsidRPr="00A408A0">
        <w:t>The Office of the Federal Regist</w:t>
      </w:r>
      <w:r w:rsidRPr="00A408A0" w:rsidR="001E74A0">
        <w:t>e</w:t>
      </w:r>
      <w:r w:rsidRPr="00A408A0">
        <w:t>r published Order No. 2023 in the Federal Regist</w:t>
      </w:r>
      <w:r w:rsidRPr="00A408A0" w:rsidR="001E74A0">
        <w:t>e</w:t>
      </w:r>
      <w:r w:rsidRPr="00A408A0">
        <w:t xml:space="preserve">r on </w:t>
      </w:r>
      <w:r w:rsidRPr="00A408A0" w:rsidR="001E74A0">
        <w:t>September 6, 2023.</w:t>
      </w:r>
      <w:r>
        <w:rPr>
          <w:rStyle w:val="FootnoteReference"/>
          <w:sz w:val="24"/>
        </w:rPr>
        <w:footnoteReference w:id="14"/>
      </w:r>
      <w:r w:rsidR="00722179">
        <w:t xml:space="preserve">  </w:t>
      </w:r>
      <w:r w:rsidRPr="00A408A0">
        <w:t xml:space="preserve">Numerous requests for rehearing and clarification were received, as </w:t>
      </w:r>
      <w:r w:rsidRPr="00A408A0">
        <w:t>summarized</w:t>
      </w:r>
      <w:r w:rsidRPr="00A408A0">
        <w:t xml:space="preserve"> and addressed in th</w:t>
      </w:r>
      <w:r w:rsidR="00B352BC">
        <w:t>e</w:t>
      </w:r>
      <w:r w:rsidRPr="00A408A0">
        <w:t xml:space="preserve"> order on rehearing.  The Commission’s responses to those requests are provided in the Commission Determination subsections of the order on rehearing</w:t>
      </w:r>
      <w:r w:rsidR="008D1783">
        <w:t xml:space="preserve"> (at </w:t>
      </w:r>
      <w:r w:rsidR="008D1783">
        <w:t>Docket no. RM22-14-000)</w:t>
      </w:r>
      <w:r w:rsidRPr="00A408A0">
        <w:t>, organized topically. None of the requests for rehearing or clarification commented on this specific information collection.</w:t>
      </w:r>
      <w:r w:rsidRPr="00A408A0" w:rsidR="00AA448D">
        <w:t xml:space="preserve"> </w:t>
      </w:r>
    </w:p>
    <w:p w:rsidR="00AC12F7" w:rsidRPr="00A408A0" w:rsidP="0090586F" w14:paraId="36464AB2" w14:textId="77777777">
      <w:pPr>
        <w:spacing w:after="0" w:line="259" w:lineRule="auto"/>
        <w:ind w:left="0" w:firstLine="0"/>
      </w:pPr>
    </w:p>
    <w:p w:rsidR="00DD755B" w:rsidRPr="00A408A0" w:rsidP="00A0739A" w14:paraId="00B3A600" w14:textId="1E6BA616">
      <w:pPr>
        <w:pStyle w:val="Heading1"/>
      </w:pPr>
      <w:r w:rsidRPr="00A408A0">
        <w:t xml:space="preserve">EXPLAIN ANY PAYMENT OR GIFTS TO RESPONDENTS  </w:t>
      </w:r>
    </w:p>
    <w:p w:rsidR="00B84FAE" w:rsidRPr="00A408A0" w14:paraId="5609C993" w14:textId="77777777">
      <w:pPr>
        <w:ind w:left="0" w:firstLine="0"/>
      </w:pPr>
    </w:p>
    <w:p w:rsidR="00DD755B" w:rsidRPr="00A408A0" w14:paraId="06F3F9FD" w14:textId="7C68A834">
      <w:pPr>
        <w:ind w:left="0" w:firstLine="0"/>
      </w:pPr>
      <w:r w:rsidRPr="00A408A0">
        <w:t>The Commission makes n</w:t>
      </w:r>
      <w:r w:rsidRPr="00A408A0" w:rsidR="00383548">
        <w:t>o payments or gifts to respondents</w:t>
      </w:r>
      <w:r w:rsidRPr="00A408A0">
        <w:t xml:space="preserve"> as part of this collection</w:t>
      </w:r>
      <w:r w:rsidRPr="00A408A0" w:rsidR="00383548">
        <w:t xml:space="preserve">. </w:t>
      </w:r>
    </w:p>
    <w:p w:rsidR="00DD755B" w:rsidRPr="00A408A0" w14:paraId="58CA03ED" w14:textId="77777777">
      <w:pPr>
        <w:spacing w:after="0" w:line="259" w:lineRule="auto"/>
        <w:ind w:left="360" w:firstLine="0"/>
      </w:pPr>
      <w:r w:rsidRPr="00A408A0">
        <w:t xml:space="preserve"> </w:t>
      </w:r>
    </w:p>
    <w:p w:rsidR="00DD755B" w:rsidRPr="00A408A0" w:rsidP="00A0739A" w14:paraId="41907AE4" w14:textId="08B025AE">
      <w:pPr>
        <w:pStyle w:val="Heading1"/>
      </w:pPr>
      <w:r w:rsidRPr="00A408A0">
        <w:t xml:space="preserve">DESCRIBE ANY ASSURANCE OF CONFIDENTIALITY PROVIDED TO RESPONDENTS  </w:t>
      </w:r>
    </w:p>
    <w:p w:rsidR="00B84FAE" w:rsidRPr="00A408A0" w:rsidP="00E335D4" w14:paraId="665D7A9A" w14:textId="77777777">
      <w:pPr>
        <w:ind w:left="10"/>
      </w:pPr>
    </w:p>
    <w:p w:rsidR="005561A3" w:rsidRPr="00A408A0" w:rsidP="00E335D4" w14:paraId="029B004A" w14:textId="508701D0">
      <w:pPr>
        <w:ind w:left="10"/>
      </w:pPr>
      <w:r w:rsidRPr="00A408A0">
        <w:t xml:space="preserve">The Commission does not consider the information collected to be confidential.  </w:t>
      </w:r>
    </w:p>
    <w:p w:rsidR="005561A3" w:rsidRPr="00A408A0" w:rsidP="00E335D4" w14:paraId="7C8E0E55" w14:textId="58C704B2">
      <w:pPr>
        <w:ind w:left="10"/>
      </w:pPr>
    </w:p>
    <w:p w:rsidR="005561A3" w:rsidRPr="00A408A0" w:rsidP="005561A3" w14:paraId="753253F4" w14:textId="682596C2">
      <w:pPr>
        <w:ind w:left="10"/>
      </w:pPr>
      <w:r w:rsidRPr="00A408A0">
        <w:t>If an entity chooses to seek confidential treatment of the information, it must submit a request for the Commission to treat this information as confidential and non-public, consistent with 18 CFR 388.112.</w:t>
      </w:r>
    </w:p>
    <w:p w:rsidR="005561A3" w:rsidRPr="00A408A0" w:rsidP="00E335D4" w14:paraId="753FFF2A" w14:textId="77777777">
      <w:pPr>
        <w:ind w:left="10"/>
      </w:pPr>
    </w:p>
    <w:p w:rsidR="00DD755B" w:rsidRPr="00A408A0" w:rsidP="00A0739A" w14:paraId="19EAEFEE" w14:textId="64055511">
      <w:pPr>
        <w:pStyle w:val="Heading1"/>
      </w:pPr>
      <w:r w:rsidRPr="00A408A0">
        <w:t xml:space="preserve">PROVIDE ADDITIONAL JUSTIFICATION FOR ANY QUESTIONS OF A SENSITIVE NATURE, SUCH AS SEXUAL BEHAVIOR AND ATTITUDES, RELIGIOUS BELIEFS, AND OTHER MATTERS THAT ARE COMMONLY CONSIDERED PRIVATE </w:t>
      </w:r>
    </w:p>
    <w:p w:rsidR="00B84FAE" w:rsidRPr="00A408A0" w:rsidP="0066792E" w14:paraId="377D756E" w14:textId="77777777">
      <w:pPr>
        <w:spacing w:after="0"/>
        <w:ind w:left="0" w:firstLine="0"/>
      </w:pPr>
    </w:p>
    <w:p w:rsidR="00DD755B" w:rsidRPr="00A408A0" w14:paraId="65033787" w14:textId="2B355152">
      <w:pPr>
        <w:spacing w:after="197"/>
        <w:ind w:left="0" w:firstLine="0"/>
      </w:pPr>
      <w:r w:rsidRPr="00A408A0">
        <w:t>The collection</w:t>
      </w:r>
      <w:r w:rsidRPr="00A408A0" w:rsidR="005F5745">
        <w:t xml:space="preserve"> </w:t>
      </w:r>
      <w:r w:rsidRPr="00A408A0">
        <w:t>do</w:t>
      </w:r>
      <w:r w:rsidRPr="00A408A0" w:rsidR="005F5745">
        <w:t>es</w:t>
      </w:r>
      <w:r w:rsidRPr="00A408A0">
        <w:t xml:space="preserve"> not contain any questions of a sensitive nature. </w:t>
      </w:r>
    </w:p>
    <w:p w:rsidR="00DD755B" w:rsidRPr="00A408A0" w:rsidP="00A0739A" w14:paraId="1BBB8FB1" w14:textId="0EA2B2B5">
      <w:pPr>
        <w:pStyle w:val="Heading1"/>
      </w:pPr>
      <w:r w:rsidRPr="00A408A0">
        <w:t xml:space="preserve">ESTIMATED BURDEN OF COLLECTION OF INFORMATION </w:t>
      </w:r>
    </w:p>
    <w:p w:rsidR="00B84FAE" w:rsidRPr="00A408A0" w:rsidP="00113231" w14:paraId="4A78D1F9" w14:textId="77777777">
      <w:pPr>
        <w:tabs>
          <w:tab w:val="num" w:pos="720"/>
        </w:tabs>
        <w:spacing w:after="0" w:line="240" w:lineRule="auto"/>
        <w:ind w:left="0" w:firstLine="0"/>
        <w:rPr>
          <w:rFonts w:eastAsia="Calibri"/>
          <w:color w:val="auto"/>
        </w:rPr>
      </w:pPr>
    </w:p>
    <w:p w:rsidR="00113231" w:rsidRPr="00A408A0" w:rsidP="00113231" w14:paraId="47BC1B98" w14:textId="15C50CBD">
      <w:pPr>
        <w:tabs>
          <w:tab w:val="num" w:pos="720"/>
        </w:tabs>
        <w:spacing w:after="0" w:line="240" w:lineRule="auto"/>
        <w:ind w:left="0" w:firstLine="0"/>
        <w:rPr>
          <w:rFonts w:eastAsia="Calibri"/>
          <w:color w:val="auto"/>
        </w:rPr>
      </w:pPr>
      <w:r w:rsidRPr="00A408A0">
        <w:rPr>
          <w:rFonts w:eastAsia="Calibri"/>
          <w:color w:val="auto"/>
        </w:rPr>
        <w:t>The currently approved information collection burden is:</w:t>
      </w:r>
    </w:p>
    <w:p w:rsidR="00731639" w:rsidRPr="00A408A0" w:rsidP="00113231" w14:paraId="6B3B08A7" w14:textId="04711179">
      <w:pPr>
        <w:tabs>
          <w:tab w:val="num" w:pos="720"/>
        </w:tabs>
        <w:spacing w:after="0" w:line="240" w:lineRule="auto"/>
        <w:ind w:left="0" w:firstLine="0"/>
        <w:rPr>
          <w:rFonts w:eastAsia="Calibri"/>
          <w:b/>
          <w:color w:val="auto"/>
        </w:rPr>
      </w:pPr>
      <w:r w:rsidRPr="00A408A0">
        <w:rPr>
          <w:rFonts w:eastAsia="Calibri"/>
          <w:b/>
          <w:color w:val="auto"/>
        </w:rPr>
        <w:t>FERC-516A:</w:t>
      </w:r>
    </w:p>
    <w:p w:rsidR="00731639" w:rsidRPr="00A408A0" w:rsidP="00113231" w14:paraId="00B8085B" w14:textId="7C40F670">
      <w:pPr>
        <w:tabs>
          <w:tab w:val="num" w:pos="720"/>
        </w:tabs>
        <w:spacing w:after="0" w:line="240" w:lineRule="auto"/>
        <w:ind w:left="0" w:firstLine="0"/>
        <w:rPr>
          <w:rFonts w:eastAsia="Calibri"/>
          <w:color w:val="auto"/>
        </w:rPr>
      </w:pPr>
      <w:r w:rsidRPr="00A408A0">
        <w:rPr>
          <w:rFonts w:eastAsia="Calibri"/>
          <w:color w:val="auto"/>
        </w:rPr>
        <w:t xml:space="preserve">Number of responses: </w:t>
      </w:r>
      <w:r w:rsidRPr="00A408A0" w:rsidR="00197206">
        <w:rPr>
          <w:rFonts w:eastAsia="Calibri"/>
          <w:color w:val="auto"/>
        </w:rPr>
        <w:t xml:space="preserve"> </w:t>
      </w:r>
      <w:r w:rsidRPr="00A408A0" w:rsidR="002B386A">
        <w:rPr>
          <w:rFonts w:eastAsia="Calibri"/>
          <w:color w:val="auto"/>
        </w:rPr>
        <w:t>3,337</w:t>
      </w:r>
    </w:p>
    <w:p w:rsidR="00731639" w:rsidRPr="00A408A0" w:rsidP="00113231" w14:paraId="79379BEC" w14:textId="31EB7B48">
      <w:pPr>
        <w:tabs>
          <w:tab w:val="num" w:pos="720"/>
        </w:tabs>
        <w:spacing w:after="0" w:line="240" w:lineRule="auto"/>
        <w:ind w:left="0" w:firstLine="0"/>
        <w:rPr>
          <w:rFonts w:eastAsia="Calibri"/>
          <w:color w:val="auto"/>
        </w:rPr>
      </w:pPr>
      <w:r w:rsidRPr="00A408A0">
        <w:rPr>
          <w:rFonts w:eastAsia="Calibri"/>
          <w:color w:val="auto"/>
        </w:rPr>
        <w:t xml:space="preserve">Hourly Burden: </w:t>
      </w:r>
      <w:r w:rsidRPr="00A408A0" w:rsidR="00197206">
        <w:rPr>
          <w:rFonts w:eastAsia="Calibri"/>
          <w:color w:val="auto"/>
        </w:rPr>
        <w:t xml:space="preserve"> </w:t>
      </w:r>
      <w:r w:rsidRPr="00A408A0" w:rsidR="002B386A">
        <w:rPr>
          <w:rFonts w:eastAsia="Calibri"/>
          <w:color w:val="auto"/>
        </w:rPr>
        <w:t>17,642</w:t>
      </w:r>
    </w:p>
    <w:p w:rsidR="00731639" w:rsidRPr="00A408A0" w:rsidP="00113231" w14:paraId="2478E482" w14:textId="77777777">
      <w:pPr>
        <w:tabs>
          <w:tab w:val="num" w:pos="720"/>
        </w:tabs>
        <w:spacing w:after="0" w:line="240" w:lineRule="auto"/>
        <w:ind w:left="0" w:firstLine="0"/>
        <w:rPr>
          <w:rFonts w:eastAsia="Calibri"/>
          <w:color w:val="auto"/>
        </w:rPr>
      </w:pPr>
    </w:p>
    <w:p w:rsidR="003960AC" w:rsidRPr="00A408A0" w:rsidP="00D55A35" w14:paraId="0B81F367" w14:textId="3EDCAC24">
      <w:pPr>
        <w:tabs>
          <w:tab w:val="num" w:pos="720"/>
        </w:tabs>
        <w:suppressAutoHyphens/>
        <w:spacing w:after="0" w:line="240" w:lineRule="auto"/>
        <w:ind w:left="0" w:firstLine="0"/>
        <w:rPr>
          <w:rFonts w:eastAsia="Calibri"/>
          <w:color w:val="auto"/>
        </w:rPr>
      </w:pPr>
      <w:r w:rsidRPr="00A408A0">
        <w:rPr>
          <w:rFonts w:eastAsia="Calibri"/>
          <w:color w:val="auto"/>
        </w:rPr>
        <w:t xml:space="preserve">The </w:t>
      </w:r>
      <w:r w:rsidRPr="00A408A0" w:rsidR="000C2ABB">
        <w:rPr>
          <w:rFonts w:eastAsia="Calibri"/>
          <w:color w:val="auto"/>
        </w:rPr>
        <w:t xml:space="preserve">information collection </w:t>
      </w:r>
      <w:r w:rsidRPr="00A408A0">
        <w:rPr>
          <w:rFonts w:eastAsia="Calibri"/>
          <w:color w:val="auto"/>
        </w:rPr>
        <w:t xml:space="preserve">burden </w:t>
      </w:r>
      <w:r w:rsidRPr="00A408A0" w:rsidR="000C2ABB">
        <w:rPr>
          <w:rFonts w:eastAsia="Calibri"/>
          <w:color w:val="auto"/>
        </w:rPr>
        <w:t>of the re</w:t>
      </w:r>
      <w:r w:rsidRPr="00A408A0" w:rsidR="006A2F78">
        <w:rPr>
          <w:rFonts w:eastAsia="Calibri"/>
          <w:color w:val="auto"/>
        </w:rPr>
        <w:t>visions</w:t>
      </w:r>
      <w:r w:rsidRPr="00A408A0" w:rsidR="000C2ABB">
        <w:rPr>
          <w:rFonts w:eastAsia="Calibri"/>
          <w:color w:val="auto"/>
        </w:rPr>
        <w:t xml:space="preserve"> </w:t>
      </w:r>
      <w:r w:rsidRPr="00A408A0" w:rsidR="009B1873">
        <w:rPr>
          <w:rFonts w:eastAsia="Calibri"/>
          <w:color w:val="auto"/>
        </w:rPr>
        <w:t xml:space="preserve">adopted </w:t>
      </w:r>
      <w:r w:rsidRPr="00A408A0" w:rsidR="000C2ABB">
        <w:rPr>
          <w:rFonts w:eastAsia="Calibri"/>
          <w:color w:val="auto"/>
        </w:rPr>
        <w:t>in th</w:t>
      </w:r>
      <w:r w:rsidR="00534BF7">
        <w:rPr>
          <w:rFonts w:eastAsia="Calibri"/>
          <w:color w:val="auto"/>
        </w:rPr>
        <w:t>e</w:t>
      </w:r>
      <w:r w:rsidRPr="00A408A0" w:rsidR="000C2ABB">
        <w:rPr>
          <w:rFonts w:eastAsia="Calibri"/>
          <w:color w:val="auto"/>
        </w:rPr>
        <w:t xml:space="preserve"> </w:t>
      </w:r>
      <w:r w:rsidRPr="00A408A0" w:rsidR="00FA6B90">
        <w:rPr>
          <w:rFonts w:eastAsia="Calibri"/>
          <w:color w:val="auto"/>
        </w:rPr>
        <w:t>order on rehearing</w:t>
      </w:r>
      <w:r w:rsidRPr="00A408A0" w:rsidR="000C2ABB">
        <w:rPr>
          <w:rFonts w:eastAsia="Calibri"/>
          <w:color w:val="auto"/>
        </w:rPr>
        <w:t xml:space="preserve"> </w:t>
      </w:r>
      <w:r w:rsidRPr="00A408A0">
        <w:rPr>
          <w:rFonts w:eastAsia="Calibri"/>
          <w:color w:val="auto"/>
        </w:rPr>
        <w:t>is explained in further detail in the following table</w:t>
      </w:r>
      <w:r w:rsidRPr="00A408A0" w:rsidR="00120E54">
        <w:rPr>
          <w:rFonts w:eastAsia="Calibri"/>
          <w:color w:val="auto"/>
        </w:rPr>
        <w:t xml:space="preserve">, </w:t>
      </w:r>
      <w:r w:rsidRPr="00A408A0" w:rsidR="005E773B">
        <w:rPr>
          <w:rFonts w:eastAsia="Calibri"/>
          <w:color w:val="auto"/>
        </w:rPr>
        <w:t>which includes agency adjustments to</w:t>
      </w:r>
      <w:r w:rsidRPr="00A408A0" w:rsidR="00120E54">
        <w:rPr>
          <w:rFonts w:eastAsia="Calibri"/>
          <w:color w:val="auto"/>
        </w:rPr>
        <w:t xml:space="preserve"> number of respon</w:t>
      </w:r>
      <w:r w:rsidR="00010CA2">
        <w:rPr>
          <w:rFonts w:eastAsia="Calibri"/>
          <w:color w:val="auto"/>
        </w:rPr>
        <w:t>ses</w:t>
      </w:r>
      <w:r w:rsidRPr="00A408A0" w:rsidR="00120E54">
        <w:rPr>
          <w:rFonts w:eastAsia="Calibri"/>
          <w:color w:val="auto"/>
        </w:rPr>
        <w:t xml:space="preserve"> and hourly burden</w:t>
      </w:r>
      <w:r w:rsidRPr="00A408A0" w:rsidR="005E773B">
        <w:rPr>
          <w:rFonts w:eastAsia="Calibri"/>
          <w:color w:val="auto"/>
        </w:rPr>
        <w:t xml:space="preserve"> (as described in question 15</w:t>
      </w:r>
      <w:r w:rsidRPr="00A408A0" w:rsidR="006E3E6A">
        <w:rPr>
          <w:rFonts w:eastAsia="Calibri"/>
          <w:color w:val="auto"/>
        </w:rPr>
        <w:t>)</w:t>
      </w:r>
      <w:r w:rsidRPr="00A408A0" w:rsidR="00383548">
        <w:rPr>
          <w:rFonts w:eastAsia="Calibri"/>
          <w:color w:val="auto"/>
        </w:rPr>
        <w:t>:</w:t>
      </w:r>
      <w:r w:rsidRPr="00A408A0">
        <w:rPr>
          <w:rFonts w:eastAsia="Calibri"/>
          <w:color w:val="auto"/>
        </w:rPr>
        <w:t xml:space="preserve"> </w:t>
      </w:r>
    </w:p>
    <w:p w:rsidR="00A227E5" w:rsidRPr="00A408A0" w:rsidP="00D55A35" w14:paraId="30365961" w14:textId="77777777">
      <w:pPr>
        <w:tabs>
          <w:tab w:val="num" w:pos="720"/>
        </w:tabs>
        <w:suppressAutoHyphens/>
        <w:spacing w:after="0" w:line="240" w:lineRule="auto"/>
        <w:ind w:left="0" w:firstLine="0"/>
        <w:rPr>
          <w:rFonts w:eastAsia="Calibri"/>
          <w:color w:val="auto"/>
        </w:rPr>
      </w:pPr>
    </w:p>
    <w:p w:rsidR="00A227E5" w:rsidRPr="00A408A0" w:rsidP="00D55A35" w14:paraId="050F63C1" w14:textId="41513CA0">
      <w:pPr>
        <w:tabs>
          <w:tab w:val="num" w:pos="720"/>
        </w:tabs>
        <w:suppressAutoHyphens/>
        <w:spacing w:after="0" w:line="240" w:lineRule="auto"/>
        <w:ind w:left="0" w:firstLine="0"/>
      </w:pPr>
      <w:r w:rsidRPr="00A408A0">
        <w:t xml:space="preserve">Our estimate of the number of reporting entities </w:t>
      </w:r>
      <w:r w:rsidR="007413AD">
        <w:t xml:space="preserve">for the order on rehearing is </w:t>
      </w:r>
      <w:r w:rsidRPr="00A408A0" w:rsidR="003A4D5E">
        <w:t>the same as that estimated in Order No. 2023</w:t>
      </w:r>
      <w:r w:rsidR="00971BD0">
        <w:t>.</w:t>
      </w:r>
      <w:r w:rsidRPr="00A408A0" w:rsidR="003A4D5E">
        <w:t xml:space="preserve">  </w:t>
      </w:r>
      <w:r w:rsidRPr="00A408A0">
        <w:t xml:space="preserve">As such, we estimate that 44 transmission providers, including </w:t>
      </w:r>
      <w:r w:rsidRPr="00A408A0" w:rsidR="00E85405">
        <w:t>regional transmission organizations and independent system operators</w:t>
      </w:r>
      <w:r w:rsidRPr="00A408A0">
        <w:t xml:space="preserve">, will be subject to </w:t>
      </w:r>
      <w:r w:rsidR="008254E8">
        <w:t xml:space="preserve">both </w:t>
      </w:r>
      <w:r w:rsidRPr="00A408A0">
        <w:t>th</w:t>
      </w:r>
      <w:r w:rsidR="009228A9">
        <w:t>e</w:t>
      </w:r>
      <w:r w:rsidRPr="00A408A0">
        <w:t xml:space="preserve"> rulemaking</w:t>
      </w:r>
      <w:r w:rsidR="008254E8">
        <w:t xml:space="preserve"> and the rehearing order</w:t>
      </w:r>
      <w:r w:rsidRPr="00A408A0">
        <w:t>.  The burden</w:t>
      </w:r>
      <w:bookmarkStart w:id="2" w:name="_Ref138164767"/>
      <w:r>
        <w:rPr>
          <w:b/>
          <w:bCs/>
          <w:vertAlign w:val="superscript"/>
        </w:rPr>
        <w:footnoteReference w:id="15"/>
      </w:r>
      <w:bookmarkEnd w:id="2"/>
      <w:r w:rsidRPr="00A408A0">
        <w:rPr>
          <w:b/>
          <w:bCs/>
        </w:rPr>
        <w:t xml:space="preserve"> </w:t>
      </w:r>
      <w:r w:rsidRPr="00A408A0">
        <w:t xml:space="preserve">and cost estimates below are based on the initial need for transmission providers </w:t>
      </w:r>
      <w:r w:rsidR="00BF34DA">
        <w:t xml:space="preserve">to </w:t>
      </w:r>
      <w:r w:rsidRPr="00BF34DA" w:rsidR="00BF34DA">
        <w:t xml:space="preserve">modify their tariffs and jurisdictional agreements </w:t>
      </w:r>
      <w:r w:rsidR="00BF34DA">
        <w:t xml:space="preserve">in Year 1 </w:t>
      </w:r>
      <w:r w:rsidRPr="00BF34DA" w:rsidR="00BF34DA">
        <w:t xml:space="preserve">to comply with the Commission’s revised </w:t>
      </w:r>
      <w:r w:rsidRPr="001438EC" w:rsidR="00BF34DA">
        <w:t>standard</w:t>
      </w:r>
      <w:r w:rsidRPr="00BF34DA" w:rsidR="00BF34DA">
        <w:t xml:space="preserve"> generator interconnection procedures </w:t>
      </w:r>
      <w:r w:rsidRPr="00BF34DA" w:rsidR="00BF34DA">
        <w:t>and agreements</w:t>
      </w:r>
      <w:r w:rsidRPr="00A408A0">
        <w:t xml:space="preserve">.  For </w:t>
      </w:r>
      <w:r w:rsidRPr="00A408A0" w:rsidR="000D7D49">
        <w:t>each of these revisions</w:t>
      </w:r>
      <w:r w:rsidRPr="00A408A0">
        <w:t>, we estimate no ongoing information collection burden because there is either no information collection aspect of the reform</w:t>
      </w:r>
      <w:r w:rsidRPr="00A408A0" w:rsidR="00BF4866">
        <w:t>,</w:t>
      </w:r>
      <w:r w:rsidRPr="00A408A0">
        <w:t xml:space="preserve"> or the requirements would merely supplant existing ones</w:t>
      </w:r>
      <w:r w:rsidRPr="00A408A0" w:rsidR="007432FF">
        <w:t>.</w:t>
      </w:r>
    </w:p>
    <w:p w:rsidR="003960AC" w:rsidRPr="00A408A0" w:rsidP="00D55A35" w14:paraId="73C4C2F1" w14:textId="5D73D9FF">
      <w:pPr>
        <w:tabs>
          <w:tab w:val="num" w:pos="720"/>
        </w:tabs>
        <w:suppressAutoHyphens/>
        <w:spacing w:after="0" w:line="240" w:lineRule="auto"/>
        <w:ind w:left="0" w:firstLine="0"/>
      </w:pPr>
    </w:p>
    <w:p w:rsidR="00BC1265" w:rsidRPr="00A408A0" w:rsidP="00F34284" w14:paraId="2A4E9ED5" w14:textId="6EAAE187">
      <w:pPr>
        <w:pStyle w:val="FERCparanumber"/>
        <w:numPr>
          <w:ilvl w:val="0"/>
          <w:numId w:val="0"/>
        </w:numPr>
        <w:suppressAutoHyphens/>
        <w:spacing w:after="60" w:line="240" w:lineRule="auto"/>
        <w:rPr>
          <w:sz w:val="24"/>
        </w:rPr>
      </w:pPr>
      <w:r w:rsidRPr="00A408A0">
        <w:rPr>
          <w:sz w:val="24"/>
        </w:rPr>
        <w:t xml:space="preserve">We estimate that the reforms in this </w:t>
      </w:r>
      <w:r w:rsidR="001863AD">
        <w:rPr>
          <w:sz w:val="24"/>
        </w:rPr>
        <w:t>o</w:t>
      </w:r>
      <w:r w:rsidR="00A66CD5">
        <w:rPr>
          <w:sz w:val="24"/>
        </w:rPr>
        <w:t>r</w:t>
      </w:r>
      <w:r w:rsidR="001863AD">
        <w:rPr>
          <w:sz w:val="24"/>
        </w:rPr>
        <w:t>der on rehearing</w:t>
      </w:r>
      <w:r w:rsidRPr="00A408A0" w:rsidR="00153921">
        <w:rPr>
          <w:sz w:val="24"/>
        </w:rPr>
        <w:t xml:space="preserve"> </w:t>
      </w:r>
      <w:r w:rsidRPr="00A408A0">
        <w:rPr>
          <w:sz w:val="24"/>
        </w:rPr>
        <w:t xml:space="preserve">would affect the burden and cost </w:t>
      </w:r>
      <w:r w:rsidRPr="00A408A0">
        <w:rPr>
          <w:sz w:val="24"/>
        </w:rPr>
        <w:t>of  FERC</w:t>
      </w:r>
      <w:r w:rsidRPr="00A408A0">
        <w:rPr>
          <w:sz w:val="24"/>
        </w:rPr>
        <w:t xml:space="preserve">-516A as follows.  </w:t>
      </w:r>
    </w:p>
    <w:p w:rsidR="00411696" w:rsidRPr="00A408A0" w:rsidP="00BC1265" w14:paraId="0B5B3DE1" w14:textId="77777777">
      <w:pPr>
        <w:pStyle w:val="FERCparanumber"/>
        <w:numPr>
          <w:ilvl w:val="0"/>
          <w:numId w:val="0"/>
        </w:numPr>
        <w:suppressAutoHyphens/>
        <w:spacing w:after="60" w:line="240" w:lineRule="auto"/>
        <w:rPr>
          <w:sz w:val="24"/>
        </w:rPr>
      </w:pPr>
    </w:p>
    <w:tbl>
      <w:tblPr>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777"/>
        <w:gridCol w:w="1527"/>
        <w:gridCol w:w="175"/>
        <w:gridCol w:w="1352"/>
        <w:gridCol w:w="158"/>
        <w:gridCol w:w="1370"/>
        <w:gridCol w:w="1710"/>
        <w:gridCol w:w="90"/>
        <w:gridCol w:w="1800"/>
      </w:tblGrid>
      <w:tr w14:paraId="21486D00" w14:textId="77777777" w:rsidTr="009C2E4E">
        <w:tblPrEx>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Ex>
        <w:trPr>
          <w:cantSplit/>
          <w:tblHeader/>
        </w:trPr>
        <w:tc>
          <w:tcPr>
            <w:tcW w:w="9959" w:type="dxa"/>
            <w:gridSpan w:val="9"/>
            <w:shd w:val="clear" w:color="auto" w:fill="BFBFBF"/>
            <w:vAlign w:val="bottom"/>
          </w:tcPr>
          <w:p w:rsidR="009C2E4E" w:rsidRPr="00A408A0" w:rsidP="009C2E4E" w14:paraId="682CFF3B" w14:textId="77777777">
            <w:pPr>
              <w:keepNext/>
              <w:spacing w:after="0" w:line="480" w:lineRule="auto"/>
              <w:ind w:left="187" w:firstLine="0"/>
              <w:jc w:val="center"/>
              <w:rPr>
                <w:rFonts w:eastAsia="Symbol"/>
                <w:b/>
                <w:color w:val="auto"/>
                <w:kern w:val="32"/>
              </w:rPr>
            </w:pPr>
            <w:r w:rsidRPr="00A408A0">
              <w:rPr>
                <w:rFonts w:eastAsia="Symbol"/>
                <w:b/>
                <w:color w:val="auto"/>
                <w:kern w:val="32"/>
              </w:rPr>
              <w:t>Changes Due to Order on Rehearing in Docket No. RM22-14-001</w:t>
            </w:r>
          </w:p>
        </w:tc>
      </w:tr>
      <w:tr w14:paraId="04A20805" w14:textId="77777777" w:rsidTr="009C2E4E">
        <w:tblPrEx>
          <w:tblW w:w="9959" w:type="dxa"/>
          <w:tblInd w:w="23" w:type="dxa"/>
          <w:tblLayout w:type="fixed"/>
          <w:tblCellMar>
            <w:left w:w="0" w:type="dxa"/>
            <w:right w:w="0" w:type="dxa"/>
          </w:tblCellMar>
          <w:tblLook w:val="0020"/>
        </w:tblPrEx>
        <w:trPr>
          <w:cantSplit/>
          <w:tblHeader/>
        </w:trPr>
        <w:tc>
          <w:tcPr>
            <w:tcW w:w="1777" w:type="dxa"/>
            <w:shd w:val="clear" w:color="auto" w:fill="BFBFBF"/>
            <w:vAlign w:val="bottom"/>
          </w:tcPr>
          <w:p w:rsidR="009C2E4E" w:rsidRPr="00A408A0" w:rsidP="009C2E4E" w14:paraId="728A686C"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Reforms</w:t>
            </w:r>
          </w:p>
        </w:tc>
        <w:tc>
          <w:tcPr>
            <w:tcW w:w="1702" w:type="dxa"/>
            <w:gridSpan w:val="2"/>
            <w:shd w:val="clear" w:color="auto" w:fill="BFBFBF"/>
            <w:vAlign w:val="bottom"/>
          </w:tcPr>
          <w:p w:rsidR="009C2E4E" w:rsidRPr="00A408A0" w:rsidP="009C2E4E" w14:paraId="42D4E5C1"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Number of Respondents</w:t>
            </w:r>
          </w:p>
          <w:p w:rsidR="009C2E4E" w:rsidRPr="00A408A0" w:rsidP="009C2E4E" w14:paraId="7C7EF3F4"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(1)</w:t>
            </w:r>
          </w:p>
        </w:tc>
        <w:tc>
          <w:tcPr>
            <w:tcW w:w="1510" w:type="dxa"/>
            <w:gridSpan w:val="2"/>
            <w:shd w:val="clear" w:color="auto" w:fill="BFBFBF"/>
            <w:vAlign w:val="bottom"/>
          </w:tcPr>
          <w:p w:rsidR="009C2E4E" w:rsidRPr="00A408A0" w:rsidP="009C2E4E" w14:paraId="2D61C57D"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Annual Number of Responses Per Respondent</w:t>
            </w:r>
          </w:p>
          <w:p w:rsidR="009C2E4E" w:rsidRPr="00A408A0" w:rsidP="009C2E4E" w14:paraId="1AE20AFA"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(2)</w:t>
            </w:r>
          </w:p>
        </w:tc>
        <w:tc>
          <w:tcPr>
            <w:tcW w:w="1370" w:type="dxa"/>
            <w:shd w:val="clear" w:color="auto" w:fill="BFBFBF"/>
            <w:vAlign w:val="bottom"/>
          </w:tcPr>
          <w:p w:rsidR="009C2E4E" w:rsidRPr="00A408A0" w:rsidP="009C2E4E" w14:paraId="6CCBE5FE"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Total Number of Responses (Rounded)</w:t>
            </w:r>
          </w:p>
          <w:p w:rsidR="009C2E4E" w:rsidRPr="00A408A0" w:rsidP="009C2E4E" w14:paraId="654344EC"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(1) * (2) = (3)</w:t>
            </w:r>
          </w:p>
        </w:tc>
        <w:tc>
          <w:tcPr>
            <w:tcW w:w="1710" w:type="dxa"/>
            <w:shd w:val="clear" w:color="auto" w:fill="BFBFBF"/>
            <w:vAlign w:val="bottom"/>
          </w:tcPr>
          <w:p w:rsidR="009C2E4E" w:rsidRPr="00A408A0" w:rsidP="009C2E4E" w14:paraId="60B7F11E"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bCs/>
              </w:rPr>
              <w:t>Average Burden (Hr.) &amp; Cost ($) Per Response</w:t>
            </w:r>
            <w:r>
              <w:rPr>
                <w:rFonts w:eastAsia="Calibri"/>
                <w:b/>
                <w:color w:val="auto"/>
                <w:vertAlign w:val="superscript"/>
              </w:rPr>
              <w:footnoteReference w:id="16"/>
            </w:r>
          </w:p>
          <w:p w:rsidR="009C2E4E" w:rsidRPr="00A408A0" w:rsidP="009C2E4E" w14:paraId="0BA9EE82"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(4)</w:t>
            </w:r>
          </w:p>
        </w:tc>
        <w:tc>
          <w:tcPr>
            <w:tcW w:w="1890" w:type="dxa"/>
            <w:gridSpan w:val="2"/>
            <w:shd w:val="clear" w:color="auto" w:fill="BFBFBF"/>
            <w:vAlign w:val="bottom"/>
          </w:tcPr>
          <w:p w:rsidR="009C2E4E" w:rsidRPr="00A408A0" w:rsidP="009C2E4E" w14:paraId="112FA634"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Total Annual Burden Hours &amp; Total Annual Cost ($) (Rounded)</w:t>
            </w:r>
          </w:p>
          <w:p w:rsidR="009C2E4E" w:rsidRPr="00A408A0" w:rsidP="009C2E4E" w14:paraId="6C07DC79"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ind w:left="0" w:firstLine="0"/>
              <w:jc w:val="center"/>
              <w:rPr>
                <w:rFonts w:eastAsia="Calibri Light"/>
                <w:b/>
              </w:rPr>
            </w:pPr>
            <w:r w:rsidRPr="00A408A0">
              <w:rPr>
                <w:rFonts w:eastAsia="Calibri Light"/>
                <w:b/>
              </w:rPr>
              <w:t>(3) * (4) = (5)</w:t>
            </w:r>
          </w:p>
        </w:tc>
      </w:tr>
      <w:tr w14:paraId="4CE8DDBF" w14:textId="77777777" w:rsidTr="009C2E4E">
        <w:tblPrEx>
          <w:tblW w:w="9959" w:type="dxa"/>
          <w:tblInd w:w="23" w:type="dxa"/>
          <w:tblLayout w:type="fixed"/>
          <w:tblCellMar>
            <w:left w:w="0" w:type="dxa"/>
            <w:right w:w="0" w:type="dxa"/>
          </w:tblCellMar>
          <w:tblLook w:val="0000"/>
        </w:tblPrEx>
        <w:trPr>
          <w:cantSplit/>
          <w:trHeight w:val="259"/>
        </w:trPr>
        <w:tc>
          <w:tcPr>
            <w:tcW w:w="9959" w:type="dxa"/>
            <w:gridSpan w:val="9"/>
            <w:shd w:val="clear" w:color="auto" w:fill="BFBFBF"/>
          </w:tcPr>
          <w:p w:rsidR="009C2E4E" w:rsidRPr="00A408A0" w:rsidP="009C2E4E" w14:paraId="4F034E8A" w14:textId="77777777">
            <w:pPr>
              <w:keepNext/>
              <w:keepLines/>
              <w:widowControl w:val="0"/>
              <w:spacing w:after="0" w:line="240" w:lineRule="auto"/>
              <w:ind w:left="0" w:firstLine="0"/>
              <w:contextualSpacing/>
              <w:jc w:val="center"/>
              <w:rPr>
                <w:rFonts w:eastAsia="Calibri Light"/>
                <w:b/>
                <w:bCs/>
              </w:rPr>
            </w:pPr>
            <w:r w:rsidRPr="00A408A0">
              <w:rPr>
                <w:rFonts w:eastAsia="Calibri Light"/>
                <w:b/>
                <w:bCs/>
              </w:rPr>
              <w:t>FERC-516A</w:t>
            </w:r>
          </w:p>
        </w:tc>
      </w:tr>
      <w:tr w14:paraId="51B897AF" w14:textId="77777777" w:rsidTr="0077594F">
        <w:tblPrEx>
          <w:tblW w:w="9959" w:type="dxa"/>
          <w:tblInd w:w="23" w:type="dxa"/>
          <w:tblLayout w:type="fixed"/>
          <w:tblCellMar>
            <w:left w:w="0" w:type="dxa"/>
            <w:right w:w="0" w:type="dxa"/>
          </w:tblCellMar>
          <w:tblLook w:val="0000"/>
        </w:tblPrEx>
        <w:trPr>
          <w:cantSplit/>
          <w:trHeight w:val="795"/>
        </w:trPr>
        <w:tc>
          <w:tcPr>
            <w:tcW w:w="1777" w:type="dxa"/>
            <w:vAlign w:val="center"/>
          </w:tcPr>
          <w:p w:rsidR="009C2E4E" w:rsidRPr="00A408A0" w:rsidP="009C2E4E" w14:paraId="1C8FCB85" w14:textId="77777777">
            <w:pPr>
              <w:widowControl w:val="0"/>
              <w:spacing w:after="0" w:line="240" w:lineRule="auto"/>
              <w:ind w:left="0" w:firstLine="0"/>
              <w:rPr>
                <w:rFonts w:eastAsia="Calibri Light"/>
                <w:bCs/>
                <w:color w:val="auto"/>
              </w:rPr>
            </w:pPr>
            <w:r w:rsidRPr="00A408A0">
              <w:rPr>
                <w:rFonts w:eastAsia="Calibri Light"/>
                <w:bCs/>
                <w:color w:val="auto"/>
              </w:rPr>
              <w:t>Ride Through Requirements</w:t>
            </w:r>
          </w:p>
        </w:tc>
        <w:tc>
          <w:tcPr>
            <w:tcW w:w="1527" w:type="dxa"/>
            <w:shd w:val="clear" w:color="auto" w:fill="auto"/>
            <w:vAlign w:val="bottom"/>
          </w:tcPr>
          <w:p w:rsidR="009C2E4E" w:rsidRPr="00A408A0" w:rsidP="009C2E4E" w14:paraId="537F6CB4" w14:textId="77777777">
            <w:pPr>
              <w:keepNext/>
              <w:keepLines/>
              <w:widowControl w:val="0"/>
              <w:spacing w:after="0" w:line="240" w:lineRule="auto"/>
              <w:ind w:left="0" w:firstLine="0"/>
              <w:jc w:val="right"/>
              <w:rPr>
                <w:rFonts w:eastAsia="Calibri Light"/>
                <w:b/>
                <w:bCs/>
              </w:rPr>
            </w:pPr>
            <w:r w:rsidRPr="00A408A0">
              <w:rPr>
                <w:rFonts w:eastAsia="Calibri Light"/>
              </w:rPr>
              <w:t>44 (TPs)</w:t>
            </w:r>
          </w:p>
        </w:tc>
        <w:tc>
          <w:tcPr>
            <w:tcW w:w="1527" w:type="dxa"/>
            <w:gridSpan w:val="2"/>
            <w:shd w:val="clear" w:color="auto" w:fill="auto"/>
            <w:vAlign w:val="bottom"/>
          </w:tcPr>
          <w:p w:rsidR="009C2E4E" w:rsidRPr="00A408A0" w:rsidP="009C2E4E" w14:paraId="5A7A28DB" w14:textId="77777777">
            <w:pPr>
              <w:keepNext/>
              <w:keepLines/>
              <w:widowControl w:val="0"/>
              <w:spacing w:after="0" w:line="240" w:lineRule="auto"/>
              <w:ind w:left="0" w:firstLine="0"/>
              <w:jc w:val="right"/>
              <w:rPr>
                <w:rFonts w:eastAsia="Calibri"/>
                <w:color w:val="auto"/>
              </w:rPr>
            </w:pPr>
            <w:r w:rsidRPr="00A408A0">
              <w:rPr>
                <w:rFonts w:eastAsia="Calibri Light"/>
                <w:color w:val="auto"/>
              </w:rPr>
              <w:t>Year 1: 1</w:t>
            </w:r>
          </w:p>
          <w:p w:rsidR="009C2E4E" w:rsidRPr="00A408A0" w:rsidP="009C2E4E" w14:paraId="1B7E2FE1" w14:textId="77777777">
            <w:pPr>
              <w:keepNext/>
              <w:keepLines/>
              <w:widowControl w:val="0"/>
              <w:spacing w:after="0" w:line="240" w:lineRule="auto"/>
              <w:ind w:left="0" w:firstLine="0"/>
              <w:jc w:val="right"/>
              <w:rPr>
                <w:rFonts w:eastAsia="Calibri Light"/>
                <w:b/>
                <w:bCs/>
              </w:rPr>
            </w:pPr>
            <w:r w:rsidRPr="00A408A0">
              <w:rPr>
                <w:rFonts w:eastAsia="Calibri Light"/>
                <w:color w:val="auto"/>
              </w:rPr>
              <w:t>Ongoing: 0</w:t>
            </w:r>
          </w:p>
        </w:tc>
        <w:tc>
          <w:tcPr>
            <w:tcW w:w="1528" w:type="dxa"/>
            <w:gridSpan w:val="2"/>
            <w:shd w:val="clear" w:color="auto" w:fill="auto"/>
            <w:vAlign w:val="bottom"/>
          </w:tcPr>
          <w:p w:rsidR="009C2E4E" w:rsidRPr="00A408A0" w:rsidP="009C2E4E" w14:paraId="52FF87CE" w14:textId="77777777">
            <w:pPr>
              <w:keepNext/>
              <w:keepLines/>
              <w:widowControl w:val="0"/>
              <w:spacing w:after="0" w:line="240" w:lineRule="auto"/>
              <w:ind w:left="0" w:firstLine="0"/>
              <w:jc w:val="right"/>
              <w:rPr>
                <w:rFonts w:eastAsia="Calibri"/>
                <w:color w:val="auto"/>
              </w:rPr>
            </w:pPr>
            <w:r w:rsidRPr="00A408A0">
              <w:rPr>
                <w:rFonts w:eastAsia="Calibri Light"/>
              </w:rPr>
              <w:t>Year 1: 44</w:t>
            </w:r>
          </w:p>
          <w:p w:rsidR="009C2E4E" w:rsidRPr="00A408A0" w:rsidP="009C2E4E" w14:paraId="3009C51A" w14:textId="77777777">
            <w:pPr>
              <w:keepNext/>
              <w:keepLines/>
              <w:widowControl w:val="0"/>
              <w:spacing w:after="0" w:line="240" w:lineRule="auto"/>
              <w:ind w:left="0" w:firstLine="0"/>
              <w:jc w:val="right"/>
              <w:rPr>
                <w:rFonts w:eastAsia="Calibri Light"/>
                <w:b/>
                <w:bCs/>
              </w:rPr>
            </w:pPr>
            <w:r w:rsidRPr="00A408A0">
              <w:rPr>
                <w:rFonts w:eastAsia="Calibri Light"/>
              </w:rPr>
              <w:t>Ongoing: 0</w:t>
            </w:r>
          </w:p>
        </w:tc>
        <w:tc>
          <w:tcPr>
            <w:tcW w:w="1800" w:type="dxa"/>
            <w:gridSpan w:val="2"/>
            <w:shd w:val="clear" w:color="auto" w:fill="auto"/>
            <w:vAlign w:val="bottom"/>
          </w:tcPr>
          <w:p w:rsidR="009C2E4E" w:rsidRPr="00A408A0" w:rsidP="009C2E4E" w14:paraId="01DB3311" w14:textId="77777777">
            <w:pPr>
              <w:keepNext/>
              <w:keepLines/>
              <w:widowControl w:val="0"/>
              <w:spacing w:after="0" w:line="240" w:lineRule="auto"/>
              <w:ind w:left="0" w:firstLine="0"/>
              <w:jc w:val="right"/>
              <w:rPr>
                <w:rFonts w:eastAsia="Calibri Light"/>
              </w:rPr>
            </w:pPr>
            <w:r w:rsidRPr="00A408A0">
              <w:rPr>
                <w:rFonts w:eastAsia="Calibri Light"/>
              </w:rPr>
              <w:t xml:space="preserve">Year 1: 1 </w:t>
            </w:r>
            <w:r w:rsidRPr="00A408A0">
              <w:rPr>
                <w:rFonts w:eastAsia="Calibri Light"/>
              </w:rPr>
              <w:t>hr</w:t>
            </w:r>
            <w:r w:rsidRPr="00A408A0">
              <w:rPr>
                <w:rFonts w:eastAsia="Calibri Light"/>
              </w:rPr>
              <w:t>; $</w:t>
            </w:r>
            <w:r w:rsidRPr="00A408A0">
              <w:rPr>
                <w:rFonts w:eastAsia="Calibri Light"/>
                <w:color w:val="auto"/>
              </w:rPr>
              <w:t>100</w:t>
            </w:r>
          </w:p>
          <w:p w:rsidR="009C2E4E" w:rsidRPr="00A408A0" w:rsidP="009C2E4E" w14:paraId="5142C4A1" w14:textId="77777777">
            <w:pPr>
              <w:keepNext/>
              <w:keepLines/>
              <w:widowControl w:val="0"/>
              <w:spacing w:after="0" w:line="240" w:lineRule="auto"/>
              <w:ind w:left="0" w:firstLine="0"/>
              <w:jc w:val="right"/>
              <w:rPr>
                <w:rFonts w:eastAsia="Calibri Light"/>
                <w:b/>
                <w:bCs/>
              </w:rPr>
            </w:pPr>
            <w:r w:rsidRPr="00A408A0">
              <w:rPr>
                <w:rFonts w:eastAsia="Calibri Light"/>
              </w:rPr>
              <w:t>Ongoing: 0</w:t>
            </w:r>
          </w:p>
        </w:tc>
        <w:tc>
          <w:tcPr>
            <w:tcW w:w="1800" w:type="dxa"/>
            <w:shd w:val="clear" w:color="auto" w:fill="auto"/>
            <w:vAlign w:val="bottom"/>
          </w:tcPr>
          <w:p w:rsidR="009C2E4E" w:rsidRPr="00A408A0" w:rsidP="009C2E4E" w14:paraId="097E29D6" w14:textId="77777777">
            <w:pPr>
              <w:keepNext/>
              <w:keepLines/>
              <w:widowControl w:val="0"/>
              <w:spacing w:after="0" w:line="240" w:lineRule="auto"/>
              <w:ind w:left="0" w:firstLine="0"/>
              <w:jc w:val="right"/>
              <w:rPr>
                <w:rFonts w:eastAsia="Calibri Light"/>
              </w:rPr>
            </w:pPr>
            <w:r w:rsidRPr="00A408A0">
              <w:rPr>
                <w:rFonts w:eastAsia="Calibri Light"/>
              </w:rPr>
              <w:t xml:space="preserve">Year 1: 44 </w:t>
            </w:r>
            <w:r w:rsidRPr="00A408A0">
              <w:rPr>
                <w:rFonts w:eastAsia="Calibri Light"/>
              </w:rPr>
              <w:t>hr</w:t>
            </w:r>
            <w:r w:rsidRPr="00A408A0">
              <w:rPr>
                <w:rFonts w:eastAsia="Calibri Light"/>
              </w:rPr>
              <w:t>; $4,400</w:t>
            </w:r>
          </w:p>
          <w:p w:rsidR="009C2E4E" w:rsidRPr="00A408A0" w:rsidP="009C2E4E" w14:paraId="4817BCF3" w14:textId="77777777">
            <w:pPr>
              <w:keepNext/>
              <w:keepLines/>
              <w:widowControl w:val="0"/>
              <w:spacing w:after="0" w:line="240" w:lineRule="auto"/>
              <w:ind w:left="0" w:firstLine="0"/>
              <w:jc w:val="right"/>
              <w:rPr>
                <w:rFonts w:eastAsia="Calibri Light"/>
                <w:b/>
                <w:bCs/>
              </w:rPr>
            </w:pPr>
            <w:r w:rsidRPr="00A408A0">
              <w:rPr>
                <w:rFonts w:eastAsia="Calibri Light"/>
              </w:rPr>
              <w:t>Ongoing: 0</w:t>
            </w:r>
          </w:p>
        </w:tc>
      </w:tr>
      <w:tr w14:paraId="2DD5DC7B" w14:textId="77777777" w:rsidTr="0077594F">
        <w:tblPrEx>
          <w:tblW w:w="9959" w:type="dxa"/>
          <w:tblInd w:w="23" w:type="dxa"/>
          <w:tblLayout w:type="fixed"/>
          <w:tblCellMar>
            <w:left w:w="0" w:type="dxa"/>
            <w:right w:w="0" w:type="dxa"/>
          </w:tblCellMar>
          <w:tblLook w:val="0000"/>
        </w:tblPrEx>
        <w:trPr>
          <w:cantSplit/>
          <w:trHeight w:val="795"/>
        </w:trPr>
        <w:tc>
          <w:tcPr>
            <w:tcW w:w="1777" w:type="dxa"/>
            <w:vAlign w:val="center"/>
          </w:tcPr>
          <w:p w:rsidR="009C2E4E" w:rsidRPr="00A408A0" w:rsidP="009C2E4E" w14:paraId="604DA162" w14:textId="3C3539AE">
            <w:pPr>
              <w:widowControl w:val="0"/>
              <w:spacing w:after="0" w:line="240" w:lineRule="auto"/>
              <w:ind w:left="0" w:firstLine="0"/>
              <w:rPr>
                <w:rFonts w:eastAsia="Calibri Light"/>
                <w:bCs/>
                <w:color w:val="auto"/>
              </w:rPr>
            </w:pPr>
            <w:r w:rsidRPr="00A408A0">
              <w:rPr>
                <w:rFonts w:eastAsia="Calibri Light"/>
                <w:bCs/>
                <w:color w:val="auto"/>
              </w:rPr>
              <w:t>Incorporating Enumerated Alternative Transmission Technologies into the Generator Interconnection Process</w:t>
            </w:r>
          </w:p>
        </w:tc>
        <w:tc>
          <w:tcPr>
            <w:tcW w:w="1527" w:type="dxa"/>
            <w:shd w:val="clear" w:color="auto" w:fill="auto"/>
            <w:vAlign w:val="bottom"/>
          </w:tcPr>
          <w:p w:rsidR="009C2E4E" w:rsidRPr="00A408A0" w:rsidP="009C2E4E" w14:paraId="1D3520AB" w14:textId="77777777">
            <w:pPr>
              <w:keepNext/>
              <w:keepLines/>
              <w:widowControl w:val="0"/>
              <w:spacing w:after="0" w:line="240" w:lineRule="auto"/>
              <w:ind w:left="0" w:firstLine="0"/>
              <w:jc w:val="right"/>
              <w:rPr>
                <w:rFonts w:eastAsia="Calibri Light"/>
                <w:b/>
                <w:bCs/>
              </w:rPr>
            </w:pPr>
            <w:r w:rsidRPr="00A408A0">
              <w:rPr>
                <w:rFonts w:eastAsia="Calibri Light"/>
              </w:rPr>
              <w:t>44 (TPs)</w:t>
            </w:r>
          </w:p>
        </w:tc>
        <w:tc>
          <w:tcPr>
            <w:tcW w:w="1527" w:type="dxa"/>
            <w:gridSpan w:val="2"/>
            <w:shd w:val="clear" w:color="auto" w:fill="auto"/>
            <w:vAlign w:val="bottom"/>
          </w:tcPr>
          <w:p w:rsidR="009C2E4E" w:rsidRPr="00A408A0" w:rsidP="009C2E4E" w14:paraId="1A330176" w14:textId="77777777">
            <w:pPr>
              <w:keepNext/>
              <w:keepLines/>
              <w:widowControl w:val="0"/>
              <w:spacing w:after="0" w:line="240" w:lineRule="auto"/>
              <w:ind w:left="0" w:firstLine="0"/>
              <w:jc w:val="right"/>
              <w:rPr>
                <w:rFonts w:eastAsia="Calibri"/>
                <w:color w:val="auto"/>
              </w:rPr>
            </w:pPr>
            <w:r w:rsidRPr="00A408A0">
              <w:rPr>
                <w:rFonts w:eastAsia="Calibri Light"/>
                <w:color w:val="auto"/>
              </w:rPr>
              <w:t>Year 1: 1</w:t>
            </w:r>
          </w:p>
          <w:p w:rsidR="009C2E4E" w:rsidRPr="00A408A0" w:rsidP="009C2E4E" w14:paraId="31CBCE54" w14:textId="77777777">
            <w:pPr>
              <w:keepNext/>
              <w:keepLines/>
              <w:widowControl w:val="0"/>
              <w:spacing w:after="0" w:line="240" w:lineRule="auto"/>
              <w:ind w:left="0" w:firstLine="0"/>
              <w:jc w:val="right"/>
              <w:rPr>
                <w:rFonts w:eastAsia="Calibri Light"/>
                <w:b/>
                <w:bCs/>
              </w:rPr>
            </w:pPr>
            <w:r w:rsidRPr="00A408A0">
              <w:rPr>
                <w:rFonts w:eastAsia="Calibri Light"/>
                <w:color w:val="auto"/>
              </w:rPr>
              <w:t>Ongoing: 0</w:t>
            </w:r>
          </w:p>
        </w:tc>
        <w:tc>
          <w:tcPr>
            <w:tcW w:w="1528" w:type="dxa"/>
            <w:gridSpan w:val="2"/>
            <w:shd w:val="clear" w:color="auto" w:fill="auto"/>
            <w:vAlign w:val="bottom"/>
          </w:tcPr>
          <w:p w:rsidR="009C2E4E" w:rsidRPr="00A408A0" w:rsidP="009C2E4E" w14:paraId="72B74AC6" w14:textId="77777777">
            <w:pPr>
              <w:keepNext/>
              <w:keepLines/>
              <w:widowControl w:val="0"/>
              <w:spacing w:after="0" w:line="240" w:lineRule="auto"/>
              <w:ind w:left="0" w:firstLine="0"/>
              <w:jc w:val="right"/>
              <w:rPr>
                <w:rFonts w:eastAsia="Calibri"/>
                <w:color w:val="auto"/>
              </w:rPr>
            </w:pPr>
            <w:r w:rsidRPr="00A408A0">
              <w:rPr>
                <w:rFonts w:eastAsia="Calibri Light"/>
              </w:rPr>
              <w:t>Year 1: 44</w:t>
            </w:r>
          </w:p>
          <w:p w:rsidR="009C2E4E" w:rsidRPr="00A408A0" w:rsidP="009C2E4E" w14:paraId="7CBC7B19" w14:textId="77777777">
            <w:pPr>
              <w:keepNext/>
              <w:keepLines/>
              <w:widowControl w:val="0"/>
              <w:spacing w:after="0" w:line="240" w:lineRule="auto"/>
              <w:ind w:left="0" w:firstLine="0"/>
              <w:jc w:val="right"/>
              <w:rPr>
                <w:rFonts w:eastAsia="Calibri Light"/>
                <w:b/>
                <w:bCs/>
              </w:rPr>
            </w:pPr>
            <w:r w:rsidRPr="00A408A0">
              <w:rPr>
                <w:rFonts w:eastAsia="Calibri Light"/>
              </w:rPr>
              <w:t>Ongoing: 0</w:t>
            </w:r>
          </w:p>
        </w:tc>
        <w:tc>
          <w:tcPr>
            <w:tcW w:w="1800" w:type="dxa"/>
            <w:gridSpan w:val="2"/>
            <w:shd w:val="clear" w:color="auto" w:fill="auto"/>
            <w:vAlign w:val="bottom"/>
          </w:tcPr>
          <w:p w:rsidR="009C2E4E" w:rsidRPr="00A408A0" w:rsidP="009C2E4E" w14:paraId="65CB60F2" w14:textId="77777777">
            <w:pPr>
              <w:keepNext/>
              <w:keepLines/>
              <w:widowControl w:val="0"/>
              <w:spacing w:after="0" w:line="240" w:lineRule="auto"/>
              <w:ind w:left="0" w:firstLine="0"/>
              <w:jc w:val="right"/>
              <w:rPr>
                <w:rFonts w:eastAsia="Calibri Light"/>
              </w:rPr>
            </w:pPr>
            <w:r w:rsidRPr="00A408A0">
              <w:rPr>
                <w:rFonts w:eastAsia="Calibri Light"/>
              </w:rPr>
              <w:t xml:space="preserve">Year 1: 1 </w:t>
            </w:r>
            <w:r w:rsidRPr="00A408A0">
              <w:rPr>
                <w:rFonts w:eastAsia="Calibri Light"/>
              </w:rPr>
              <w:t>hr</w:t>
            </w:r>
            <w:r w:rsidRPr="00A408A0">
              <w:rPr>
                <w:rFonts w:eastAsia="Calibri Light"/>
              </w:rPr>
              <w:t>;</w:t>
            </w:r>
            <w:r w:rsidRPr="00A408A0">
              <w:rPr>
                <w:rFonts w:eastAsia="Calibri Light"/>
              </w:rPr>
              <w:t xml:space="preserve"> </w:t>
            </w:r>
          </w:p>
          <w:p w:rsidR="009C2E4E" w:rsidRPr="00A408A0" w:rsidP="009C2E4E" w14:paraId="46530F49" w14:textId="77777777">
            <w:pPr>
              <w:keepNext/>
              <w:keepLines/>
              <w:widowControl w:val="0"/>
              <w:spacing w:after="0" w:line="240" w:lineRule="auto"/>
              <w:ind w:left="0" w:firstLine="0"/>
              <w:jc w:val="right"/>
              <w:rPr>
                <w:rFonts w:eastAsia="Calibri Light"/>
              </w:rPr>
            </w:pPr>
            <w:r w:rsidRPr="00A408A0">
              <w:rPr>
                <w:rFonts w:eastAsia="Calibri Light"/>
              </w:rPr>
              <w:t>$</w:t>
            </w:r>
            <w:r w:rsidRPr="00A408A0">
              <w:rPr>
                <w:rFonts w:eastAsia="Calibri Light"/>
                <w:color w:val="auto"/>
              </w:rPr>
              <w:t>100</w:t>
            </w:r>
          </w:p>
          <w:p w:rsidR="009C2E4E" w:rsidRPr="00A408A0" w:rsidP="009C2E4E" w14:paraId="7B7E4885" w14:textId="77777777">
            <w:pPr>
              <w:keepNext/>
              <w:keepLines/>
              <w:widowControl w:val="0"/>
              <w:spacing w:after="0" w:line="240" w:lineRule="auto"/>
              <w:ind w:left="0" w:firstLine="0"/>
              <w:jc w:val="right"/>
              <w:rPr>
                <w:rFonts w:eastAsia="Calibri Light"/>
                <w:b/>
                <w:bCs/>
              </w:rPr>
            </w:pPr>
            <w:r w:rsidRPr="00A408A0">
              <w:rPr>
                <w:rFonts w:eastAsia="Calibri Light"/>
              </w:rPr>
              <w:t>Ongoing: 0</w:t>
            </w:r>
          </w:p>
        </w:tc>
        <w:tc>
          <w:tcPr>
            <w:tcW w:w="1800" w:type="dxa"/>
            <w:shd w:val="clear" w:color="auto" w:fill="auto"/>
            <w:vAlign w:val="bottom"/>
          </w:tcPr>
          <w:p w:rsidR="009C2E4E" w:rsidRPr="00A408A0" w:rsidP="009C2E4E" w14:paraId="36B110D3" w14:textId="77777777">
            <w:pPr>
              <w:keepNext/>
              <w:keepLines/>
              <w:widowControl w:val="0"/>
              <w:spacing w:after="0" w:line="240" w:lineRule="auto"/>
              <w:ind w:left="0" w:firstLine="0"/>
              <w:jc w:val="right"/>
              <w:rPr>
                <w:rFonts w:eastAsia="Calibri Light"/>
              </w:rPr>
            </w:pPr>
            <w:r w:rsidRPr="00A408A0">
              <w:rPr>
                <w:rFonts w:eastAsia="Calibri Light"/>
              </w:rPr>
              <w:t xml:space="preserve">Year 1: 44 </w:t>
            </w:r>
            <w:r w:rsidRPr="00A408A0">
              <w:rPr>
                <w:rFonts w:eastAsia="Calibri Light"/>
              </w:rPr>
              <w:t>hr</w:t>
            </w:r>
            <w:r w:rsidRPr="00A408A0">
              <w:rPr>
                <w:rFonts w:eastAsia="Calibri Light"/>
              </w:rPr>
              <w:t>; $4,400</w:t>
            </w:r>
          </w:p>
          <w:p w:rsidR="009C2E4E" w:rsidRPr="00A408A0" w:rsidP="009C2E4E" w14:paraId="41DF47E4" w14:textId="77777777">
            <w:pPr>
              <w:keepNext/>
              <w:keepLines/>
              <w:widowControl w:val="0"/>
              <w:spacing w:after="0" w:line="240" w:lineRule="auto"/>
              <w:ind w:left="0" w:firstLine="0"/>
              <w:jc w:val="right"/>
              <w:rPr>
                <w:rFonts w:eastAsia="Calibri Light"/>
                <w:b/>
                <w:bCs/>
              </w:rPr>
            </w:pPr>
            <w:r w:rsidRPr="00A408A0">
              <w:rPr>
                <w:rFonts w:eastAsia="Calibri Light"/>
              </w:rPr>
              <w:t>Ongoing: 0</w:t>
            </w:r>
          </w:p>
        </w:tc>
      </w:tr>
      <w:tr w14:paraId="5C5B189C" w14:textId="77777777" w:rsidTr="0077594F">
        <w:tblPrEx>
          <w:tblW w:w="9959" w:type="dxa"/>
          <w:tblInd w:w="23" w:type="dxa"/>
          <w:tblLayout w:type="fixed"/>
          <w:tblCellMar>
            <w:left w:w="0" w:type="dxa"/>
            <w:right w:w="0" w:type="dxa"/>
          </w:tblCellMar>
          <w:tblLook w:val="0000"/>
        </w:tblPrEx>
        <w:trPr>
          <w:cantSplit/>
          <w:trHeight w:val="795"/>
        </w:trPr>
        <w:tc>
          <w:tcPr>
            <w:tcW w:w="1777" w:type="dxa"/>
            <w:vAlign w:val="center"/>
          </w:tcPr>
          <w:p w:rsidR="009C2E4E" w:rsidRPr="00A408A0" w:rsidP="009C2E4E" w14:paraId="00782EAF" w14:textId="0201160F">
            <w:pPr>
              <w:widowControl w:val="0"/>
              <w:spacing w:after="0" w:line="240" w:lineRule="auto"/>
              <w:ind w:left="0" w:firstLine="0"/>
              <w:rPr>
                <w:rFonts w:eastAsia="Calibri Light"/>
                <w:bCs/>
                <w:color w:val="auto"/>
              </w:rPr>
            </w:pPr>
            <w:r w:rsidRPr="00A408A0">
              <w:rPr>
                <w:rFonts w:eastAsia="Calibri Light"/>
                <w:b/>
                <w:color w:val="auto"/>
              </w:rPr>
              <w:t>Total New Burden for FERC-516A (due to Docket No. RM22-14-001)</w:t>
            </w:r>
            <w:r>
              <w:rPr>
                <w:rStyle w:val="FootnoteReference"/>
                <w:rFonts w:eastAsia="Calibri Light"/>
                <w:b w:val="0"/>
                <w:color w:val="auto"/>
              </w:rPr>
              <w:footnoteReference w:id="17"/>
            </w:r>
          </w:p>
        </w:tc>
        <w:tc>
          <w:tcPr>
            <w:tcW w:w="4582" w:type="dxa"/>
            <w:gridSpan w:val="5"/>
            <w:shd w:val="clear" w:color="auto" w:fill="auto"/>
            <w:vAlign w:val="bottom"/>
          </w:tcPr>
          <w:p w:rsidR="009C2E4E" w:rsidRPr="00A408A0" w:rsidP="009C2E4E" w14:paraId="1DA39471" w14:textId="77777777">
            <w:pPr>
              <w:keepNext/>
              <w:keepLines/>
              <w:widowControl w:val="0"/>
              <w:spacing w:after="0" w:line="240" w:lineRule="auto"/>
              <w:ind w:left="0" w:firstLine="0"/>
              <w:jc w:val="right"/>
              <w:rPr>
                <w:rFonts w:eastAsia="Calibri Light"/>
                <w:b/>
                <w:bCs/>
              </w:rPr>
            </w:pPr>
            <w:r w:rsidRPr="00A408A0">
              <w:rPr>
                <w:rFonts w:eastAsia="Calibri Light"/>
                <w:b/>
                <w:bCs/>
              </w:rPr>
              <w:t>Year 1: 88 responses</w:t>
            </w:r>
          </w:p>
          <w:p w:rsidR="009C2E4E" w:rsidRPr="00A408A0" w:rsidP="009C2E4E" w14:paraId="2782749E" w14:textId="77777777">
            <w:pPr>
              <w:keepNext/>
              <w:keepLines/>
              <w:widowControl w:val="0"/>
              <w:spacing w:after="0" w:line="240" w:lineRule="auto"/>
              <w:ind w:left="0" w:firstLine="0"/>
              <w:jc w:val="right"/>
              <w:rPr>
                <w:rFonts w:eastAsia="Calibri Light"/>
                <w:b/>
                <w:bCs/>
              </w:rPr>
            </w:pPr>
            <w:r w:rsidRPr="00A408A0">
              <w:rPr>
                <w:rFonts w:eastAsia="Calibri Light"/>
                <w:b/>
                <w:bCs/>
              </w:rPr>
              <w:t>Ongoing: 0</w:t>
            </w:r>
          </w:p>
        </w:tc>
        <w:tc>
          <w:tcPr>
            <w:tcW w:w="3600" w:type="dxa"/>
            <w:gridSpan w:val="3"/>
            <w:shd w:val="clear" w:color="auto" w:fill="auto"/>
            <w:vAlign w:val="bottom"/>
          </w:tcPr>
          <w:p w:rsidR="009C2E4E" w:rsidRPr="00A408A0" w:rsidP="009C2E4E" w14:paraId="52C08DE7" w14:textId="77777777">
            <w:pPr>
              <w:keepNext/>
              <w:keepLines/>
              <w:widowControl w:val="0"/>
              <w:spacing w:after="0" w:line="240" w:lineRule="auto"/>
              <w:ind w:left="0" w:firstLine="0"/>
              <w:jc w:val="right"/>
              <w:rPr>
                <w:rFonts w:eastAsia="Calibri Light"/>
                <w:b/>
                <w:bCs/>
              </w:rPr>
            </w:pPr>
            <w:r w:rsidRPr="00A408A0">
              <w:rPr>
                <w:rFonts w:eastAsia="Calibri Light"/>
                <w:b/>
                <w:bCs/>
              </w:rPr>
              <w:t xml:space="preserve">Year 1: 88 </w:t>
            </w:r>
            <w:r w:rsidRPr="00A408A0">
              <w:rPr>
                <w:rFonts w:eastAsia="Calibri Light"/>
                <w:b/>
                <w:bCs/>
              </w:rPr>
              <w:t>hr</w:t>
            </w:r>
            <w:r w:rsidRPr="00A408A0">
              <w:rPr>
                <w:rFonts w:eastAsia="Calibri Light"/>
                <w:b/>
                <w:bCs/>
              </w:rPr>
              <w:t>; $8,800</w:t>
            </w:r>
          </w:p>
          <w:p w:rsidR="009C2E4E" w:rsidRPr="00A408A0" w:rsidP="009C2E4E" w14:paraId="4010B777" w14:textId="77777777">
            <w:pPr>
              <w:keepNext/>
              <w:keepLines/>
              <w:widowControl w:val="0"/>
              <w:spacing w:after="0" w:line="240" w:lineRule="auto"/>
              <w:ind w:left="0" w:firstLine="0"/>
              <w:jc w:val="right"/>
              <w:rPr>
                <w:rFonts w:eastAsia="Calibri Light"/>
                <w:b/>
                <w:bCs/>
              </w:rPr>
            </w:pPr>
            <w:r w:rsidRPr="00A408A0">
              <w:rPr>
                <w:rFonts w:eastAsia="Calibri Light"/>
                <w:b/>
                <w:bCs/>
              </w:rPr>
              <w:t xml:space="preserve">Ongoing: 0 </w:t>
            </w:r>
          </w:p>
        </w:tc>
      </w:tr>
    </w:tbl>
    <w:p w:rsidR="00D72067" w:rsidRPr="00A408A0" w:rsidP="00D55A35" w14:paraId="4C244822" w14:textId="77777777">
      <w:pPr>
        <w:pStyle w:val="FERCparanumber"/>
        <w:numPr>
          <w:ilvl w:val="0"/>
          <w:numId w:val="0"/>
        </w:numPr>
        <w:suppressAutoHyphens/>
        <w:spacing w:line="240" w:lineRule="auto"/>
        <w:rPr>
          <w:sz w:val="24"/>
        </w:rPr>
      </w:pPr>
    </w:p>
    <w:p w:rsidR="00113231" w:rsidRPr="00A408A0" w:rsidP="00411696" w14:paraId="407EFE34" w14:textId="398083E8">
      <w:pPr>
        <w:tabs>
          <w:tab w:val="num" w:pos="720"/>
        </w:tabs>
        <w:spacing w:after="0" w:line="240" w:lineRule="auto"/>
        <w:ind w:left="0" w:firstLine="0"/>
      </w:pPr>
    </w:p>
    <w:p w:rsidR="00DD755B" w:rsidRPr="00A408A0" w:rsidP="00B84FAE" w14:paraId="04AA4D5D" w14:textId="4744F9B7">
      <w:pPr>
        <w:pStyle w:val="Heading1"/>
      </w:pPr>
      <w:r w:rsidRPr="00A408A0">
        <w:t xml:space="preserve">ESTIMATE OF THE TOTAL ANNUAL COST BURDEN TO RESPONDENTS </w:t>
      </w:r>
    </w:p>
    <w:p w:rsidR="00950074" w14:paraId="59FB1AC5" w14:textId="77777777">
      <w:pPr>
        <w:spacing w:after="0" w:line="259" w:lineRule="auto"/>
        <w:ind w:left="0" w:firstLine="0"/>
      </w:pPr>
    </w:p>
    <w:p w:rsidR="00DD755B" w:rsidRPr="00A408A0" w14:paraId="1466A063" w14:textId="10E5C674">
      <w:pPr>
        <w:spacing w:after="0" w:line="259" w:lineRule="auto"/>
        <w:ind w:left="0" w:firstLine="0"/>
      </w:pPr>
      <w:r w:rsidRPr="00A408A0">
        <w:t xml:space="preserve">There are no </w:t>
      </w:r>
      <w:r w:rsidRPr="00A408A0" w:rsidR="005561A3">
        <w:t xml:space="preserve">non-labor </w:t>
      </w:r>
      <w:r w:rsidRPr="00A408A0">
        <w:t>start-up or other non-labor costs.</w:t>
      </w:r>
    </w:p>
    <w:p w:rsidR="00DD755B" w:rsidRPr="00A408A0" w14:paraId="4023A0E6" w14:textId="77777777">
      <w:pPr>
        <w:spacing w:after="0" w:line="259" w:lineRule="auto"/>
        <w:ind w:left="360" w:firstLine="0"/>
      </w:pPr>
    </w:p>
    <w:p w:rsidR="00DD755B" w:rsidRPr="00A408A0" w14:paraId="31E07478" w14:textId="5A5864DC">
      <w:pPr>
        <w:spacing w:after="0" w:line="259" w:lineRule="auto"/>
        <w:ind w:left="720" w:firstLine="0"/>
      </w:pPr>
      <w:r w:rsidRPr="00A408A0">
        <w:t xml:space="preserve">Total Capital and Start-up </w:t>
      </w:r>
      <w:r w:rsidRPr="00A408A0" w:rsidR="00711591">
        <w:t>C</w:t>
      </w:r>
      <w:r w:rsidRPr="00A408A0">
        <w:t xml:space="preserve">ost: </w:t>
      </w:r>
      <w:r w:rsidRPr="00A408A0" w:rsidR="00711591">
        <w:t xml:space="preserve"> </w:t>
      </w:r>
      <w:r w:rsidRPr="00A408A0">
        <w:t>$0</w:t>
      </w:r>
    </w:p>
    <w:p w:rsidR="00DD755B" w:rsidRPr="00A408A0" w14:paraId="0AE0DC10" w14:textId="5BAF2223">
      <w:pPr>
        <w:spacing w:after="0" w:line="259" w:lineRule="auto"/>
        <w:ind w:left="720" w:firstLine="0"/>
      </w:pPr>
      <w:r w:rsidRPr="00A408A0">
        <w:t xml:space="preserve">Total Operation, Maintenance, and Purchase of Services: </w:t>
      </w:r>
      <w:r w:rsidRPr="00A408A0" w:rsidR="00711591">
        <w:t xml:space="preserve"> </w:t>
      </w:r>
      <w:r w:rsidRPr="00A408A0">
        <w:t>$0</w:t>
      </w:r>
    </w:p>
    <w:p w:rsidR="00DD755B" w:rsidRPr="00A408A0" w14:paraId="6F671BB0" w14:textId="77777777">
      <w:pPr>
        <w:spacing w:after="0" w:line="259" w:lineRule="auto"/>
        <w:ind w:left="360" w:firstLine="0"/>
      </w:pPr>
    </w:p>
    <w:p w:rsidR="00DD755B" w:rsidRPr="00A408A0" w14:paraId="619E32E2" w14:textId="218EC59B">
      <w:pPr>
        <w:spacing w:after="0" w:line="259" w:lineRule="auto"/>
        <w:ind w:left="0" w:firstLine="0"/>
      </w:pPr>
      <w:r w:rsidRPr="00A408A0">
        <w:t>All of</w:t>
      </w:r>
      <w:r w:rsidRPr="00A408A0">
        <w:t xml:space="preserve"> the costs associated with burden hours (labor) a</w:t>
      </w:r>
      <w:r w:rsidRPr="00A408A0" w:rsidR="00863A4D">
        <w:t>re</w:t>
      </w:r>
      <w:r w:rsidRPr="00A408A0">
        <w:t xml:space="preserve"> described in Questions #12 and #15 in this supporting statement.</w:t>
      </w:r>
    </w:p>
    <w:p w:rsidR="00DD755B" w:rsidRPr="00A408A0" w14:paraId="0D13035D" w14:textId="77777777">
      <w:pPr>
        <w:spacing w:after="0" w:line="259" w:lineRule="auto"/>
        <w:ind w:left="360" w:firstLine="0"/>
      </w:pPr>
    </w:p>
    <w:p w:rsidR="00DD755B" w:rsidRPr="00A408A0" w:rsidP="00B84FAE" w14:paraId="70F25B54" w14:textId="6910CCAE">
      <w:pPr>
        <w:pStyle w:val="Heading1"/>
      </w:pPr>
      <w:r w:rsidRPr="00A408A0">
        <w:t xml:space="preserve">ESTIMATED ANNUALIZED COST TO FEDERAL GOVERNMENT </w:t>
      </w:r>
    </w:p>
    <w:p w:rsidR="00B84FAE" w:rsidRPr="00A408A0" w14:paraId="773328CF" w14:textId="77777777">
      <w:pPr>
        <w:spacing w:after="0" w:line="240" w:lineRule="auto"/>
        <w:ind w:left="0" w:firstLine="0"/>
        <w:rPr>
          <w:rFonts w:eastAsiaTheme="minorHAnsi"/>
          <w:color w:val="auto"/>
        </w:rPr>
      </w:pPr>
    </w:p>
    <w:p w:rsidR="00DD755B" w:rsidRPr="00A408A0" w:rsidP="00D55A35" w14:paraId="1CA6A7BE" w14:textId="49665E0E">
      <w:pPr>
        <w:suppressAutoHyphens/>
        <w:spacing w:after="0" w:line="240" w:lineRule="auto"/>
        <w:ind w:left="0" w:firstLine="0"/>
        <w:rPr>
          <w:rFonts w:eastAsiaTheme="minorHAnsi"/>
          <w:color w:val="auto"/>
        </w:rPr>
      </w:pPr>
      <w:r w:rsidRPr="00A408A0">
        <w:rPr>
          <w:rFonts w:eastAsiaTheme="minorHAnsi"/>
          <w:color w:val="auto"/>
        </w:rPr>
        <w:t xml:space="preserve">The estimates of the cost for analysis and processing of filings are based on salaries and benefits for professional and clerical support.  The </w:t>
      </w:r>
      <w:r w:rsidRPr="00A408A0" w:rsidR="00863A4D">
        <w:rPr>
          <w:rFonts w:eastAsiaTheme="minorHAnsi"/>
          <w:color w:val="auto"/>
        </w:rPr>
        <w:t xml:space="preserve">estimated </w:t>
      </w:r>
      <w:r w:rsidRPr="00A408A0">
        <w:rPr>
          <w:rFonts w:eastAsiaTheme="minorHAnsi"/>
          <w:color w:val="auto"/>
        </w:rPr>
        <w:t>cost represents staff analysis, decision-making, and review of any actual filings submitted in response to the information collection.</w:t>
      </w:r>
    </w:p>
    <w:p w:rsidR="00DD755B" w:rsidRPr="00A408A0" w:rsidP="00D55A35" w14:paraId="407DF22D" w14:textId="77777777">
      <w:pPr>
        <w:suppressAutoHyphens/>
        <w:spacing w:after="0" w:line="240" w:lineRule="auto"/>
        <w:ind w:left="0" w:firstLine="0"/>
        <w:rPr>
          <w:rFonts w:eastAsiaTheme="minorHAnsi"/>
          <w:color w:val="auto"/>
        </w:rPr>
      </w:pPr>
    </w:p>
    <w:p w:rsidR="00DD755B" w:rsidRPr="00A408A0" w:rsidP="00726076" w14:paraId="3AC06D22" w14:textId="385BE620">
      <w:pPr>
        <w:suppressAutoHyphens/>
        <w:spacing w:after="0" w:line="240" w:lineRule="auto"/>
        <w:ind w:left="0" w:firstLine="0"/>
        <w:rPr>
          <w:rFonts w:eastAsiaTheme="minorHAnsi"/>
          <w:color w:val="auto"/>
        </w:rPr>
      </w:pPr>
      <w:r w:rsidRPr="00A408A0">
        <w:rPr>
          <w:rFonts w:eastAsiaTheme="minorHAnsi"/>
          <w:color w:val="auto"/>
        </w:rPr>
        <w:t>The PRA Administrative Cost is a Federal Cost associated with preparing, issuing, and submitting materials necessary to comply with the Paperwork Reduction Act (PRA)</w:t>
      </w:r>
      <w:r>
        <w:rPr>
          <w:rStyle w:val="FootnoteReference"/>
          <w:rFonts w:eastAsiaTheme="minorHAnsi"/>
          <w:color w:val="auto"/>
          <w:sz w:val="24"/>
        </w:rPr>
        <w:footnoteReference w:id="18"/>
      </w:r>
      <w:r w:rsidRPr="00A408A0">
        <w:rPr>
          <w:rFonts w:eastAsiaTheme="minorHAnsi"/>
          <w:color w:val="auto"/>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ED0044" w:rsidRPr="00A408A0" w:rsidP="00D55A35" w14:paraId="73D86657" w14:textId="35A2FABE">
      <w:pPr>
        <w:suppressAutoHyphens/>
        <w:spacing w:after="0" w:line="240" w:lineRule="auto"/>
        <w:ind w:left="0" w:firstLine="0"/>
        <w:rPr>
          <w:rFonts w:eastAsiaTheme="minorHAnsi"/>
          <w:color w:val="auto"/>
        </w:rPr>
      </w:pPr>
    </w:p>
    <w:p w:rsidR="00ED0044" w:rsidRPr="00A408A0" w:rsidP="00D55A35" w14:paraId="487A0CE3" w14:textId="2F21A390">
      <w:pPr>
        <w:suppressAutoHyphens/>
        <w:spacing w:after="0" w:line="240" w:lineRule="auto"/>
        <w:ind w:left="0" w:firstLine="0"/>
        <w:rPr>
          <w:rFonts w:eastAsiaTheme="minorHAnsi"/>
          <w:color w:val="auto"/>
        </w:rPr>
      </w:pPr>
      <w:r w:rsidRPr="00A408A0">
        <w:rPr>
          <w:rFonts w:eastAsiaTheme="minorHAnsi"/>
          <w:color w:val="auto"/>
        </w:rPr>
        <w:t xml:space="preserve">The chart below represents the existing estimated annualized cost to </w:t>
      </w:r>
      <w:r w:rsidRPr="00A408A0" w:rsidR="00760CB2">
        <w:rPr>
          <w:rFonts w:eastAsiaTheme="minorHAnsi"/>
          <w:color w:val="auto"/>
        </w:rPr>
        <w:t xml:space="preserve">the </w:t>
      </w:r>
      <w:r w:rsidRPr="00A408A0">
        <w:rPr>
          <w:rFonts w:eastAsiaTheme="minorHAnsi"/>
          <w:color w:val="auto"/>
        </w:rPr>
        <w:t xml:space="preserve">federal government for FERC-516A.  </w:t>
      </w:r>
    </w:p>
    <w:p w:rsidR="009213B4" w:rsidRPr="00A408A0" w14:paraId="6C13C0EB" w14:textId="77777777">
      <w:pPr>
        <w:spacing w:after="0" w:line="240" w:lineRule="auto"/>
        <w:ind w:left="0" w:firstLine="0"/>
        <w:rPr>
          <w:rFonts w:eastAsiaTheme="minorHAnsi"/>
          <w:color w:val="auto"/>
        </w:rPr>
      </w:pPr>
    </w:p>
    <w:p w:rsidR="00DD755B" w:rsidRPr="00A408A0" w14:paraId="7BF2B46F" w14:textId="45DD76C3">
      <w:pPr>
        <w:spacing w:after="0" w:line="259" w:lineRule="auto"/>
        <w:ind w:left="0" w:firstLine="0"/>
        <w:rPr>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DDE146A" w14:textId="77777777" w:rsidTr="001104E2">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1104E2" w:rsidRPr="00A408A0" w:rsidP="00FD6897" w14:paraId="4A691C2B" w14:textId="77777777">
            <w:pPr>
              <w:keepNext/>
              <w:spacing w:line="250" w:lineRule="auto"/>
              <w:ind w:left="374" w:hanging="14"/>
              <w:jc w:val="center"/>
              <w:rPr>
                <w:b/>
                <w:color w:val="auto"/>
              </w:rPr>
            </w:pPr>
          </w:p>
          <w:p w:rsidR="001104E2" w:rsidRPr="00A408A0" w:rsidP="00FD6897" w14:paraId="64E3C6BC" w14:textId="5374FF0B">
            <w:pPr>
              <w:keepNext/>
              <w:spacing w:line="250" w:lineRule="auto"/>
              <w:ind w:left="374" w:hanging="14"/>
              <w:jc w:val="center"/>
              <w:rPr>
                <w:b/>
                <w:color w:val="auto"/>
              </w:rPr>
            </w:pPr>
            <w:r w:rsidRPr="00A408A0">
              <w:rPr>
                <w:b/>
                <w:color w:val="auto"/>
              </w:rPr>
              <w:t>FERC-516A</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104E2" w:rsidRPr="00A408A0" w:rsidP="00FD6897" w14:paraId="114C12EF" w14:textId="7FF1F966">
            <w:pPr>
              <w:keepNext/>
              <w:spacing w:line="250" w:lineRule="auto"/>
              <w:ind w:left="374" w:hanging="14"/>
              <w:jc w:val="center"/>
              <w:rPr>
                <w:b/>
              </w:rPr>
            </w:pPr>
            <w:r w:rsidRPr="00A408A0">
              <w:rPr>
                <w:rFonts w:eastAsiaTheme="minorHAnsi"/>
                <w:b/>
                <w:color w:val="auto"/>
              </w:rPr>
              <w:t>Number of Employees (Full-Time Equivalents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104E2" w:rsidRPr="00A408A0" w:rsidP="00FD6897" w14:paraId="2E7F1F3C" w14:textId="77777777">
            <w:pPr>
              <w:keepNext/>
              <w:suppressAutoHyphens/>
              <w:spacing w:line="250" w:lineRule="auto"/>
              <w:ind w:left="374" w:hanging="14"/>
              <w:jc w:val="center"/>
              <w:rPr>
                <w:b/>
              </w:rPr>
            </w:pPr>
            <w:r w:rsidRPr="00A408A0">
              <w:rPr>
                <w:b/>
              </w:rPr>
              <w:t>Estimated Annual Federal Cost</w:t>
            </w:r>
          </w:p>
        </w:tc>
      </w:tr>
      <w:tr w14:paraId="6719CF25" w14:textId="77777777" w:rsidTr="001104E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104E2" w:rsidRPr="00A408A0" w14:paraId="2BC21B9F" w14:textId="2990B42F">
            <w:r w:rsidRPr="00A408A0">
              <w:t xml:space="preserve">Analysis and Processing of </w:t>
            </w:r>
            <w:r w:rsidRPr="00A408A0" w:rsidR="00DF428C">
              <w:t>F</w:t>
            </w:r>
            <w:r w:rsidRPr="00A408A0">
              <w:t>ilings</w:t>
            </w:r>
            <w:r>
              <w:rPr>
                <w:rStyle w:val="FootnoteReference"/>
                <w:sz w:val="24"/>
              </w:rPr>
              <w:footnoteReference w:id="19"/>
            </w:r>
          </w:p>
        </w:tc>
        <w:tc>
          <w:tcPr>
            <w:tcW w:w="3201" w:type="dxa"/>
            <w:tcBorders>
              <w:top w:val="single" w:sz="4" w:space="0" w:color="auto"/>
              <w:left w:val="single" w:sz="4" w:space="0" w:color="auto"/>
              <w:bottom w:val="single" w:sz="4" w:space="0" w:color="auto"/>
              <w:right w:val="single" w:sz="4" w:space="0" w:color="auto"/>
            </w:tcBorders>
            <w:vAlign w:val="center"/>
            <w:hideMark/>
          </w:tcPr>
          <w:p w:rsidR="001104E2" w:rsidRPr="00A408A0" w14:paraId="50AA78EE" w14:textId="2E071351">
            <w:pPr>
              <w:jc w:val="right"/>
            </w:pPr>
            <w:r w:rsidRPr="00A408A0">
              <w:t>0</w:t>
            </w:r>
            <w:r w:rsidRPr="00A408A0" w:rsidR="000A200F">
              <w:t>.</w:t>
            </w:r>
            <w:r w:rsidRPr="00A408A0" w:rsidR="008F6D09">
              <w:t>8</w:t>
            </w:r>
            <w:r w:rsidRPr="00A408A0" w:rsidR="00324A65">
              <w:t>4</w:t>
            </w:r>
            <w:r>
              <w:rPr>
                <w:rStyle w:val="FootnoteReference"/>
                <w:sz w:val="24"/>
              </w:rPr>
              <w:footnoteReference w:id="20"/>
            </w:r>
          </w:p>
        </w:tc>
        <w:tc>
          <w:tcPr>
            <w:tcW w:w="2995" w:type="dxa"/>
            <w:tcBorders>
              <w:top w:val="single" w:sz="4" w:space="0" w:color="auto"/>
              <w:left w:val="single" w:sz="4" w:space="0" w:color="auto"/>
              <w:bottom w:val="single" w:sz="4" w:space="0" w:color="auto"/>
              <w:right w:val="single" w:sz="4" w:space="0" w:color="auto"/>
            </w:tcBorders>
            <w:vAlign w:val="center"/>
            <w:hideMark/>
          </w:tcPr>
          <w:p w:rsidR="001104E2" w:rsidRPr="00A408A0" w14:paraId="36EE17F4" w14:textId="43706E70">
            <w:pPr>
              <w:jc w:val="right"/>
            </w:pPr>
            <w:r w:rsidRPr="00A408A0">
              <w:t>$</w:t>
            </w:r>
            <w:r w:rsidRPr="00A408A0" w:rsidR="00480BA1">
              <w:t>174,540.24</w:t>
            </w:r>
          </w:p>
        </w:tc>
      </w:tr>
      <w:tr w14:paraId="76BF8BB7" w14:textId="77777777" w:rsidTr="001104E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104E2" w:rsidRPr="00A408A0" w14:paraId="642CA0AC" w14:textId="4CD5BE73">
            <w:r w:rsidRPr="00A408A0">
              <w:t>PRA</w:t>
            </w:r>
            <w:r>
              <w:rPr>
                <w:rStyle w:val="FootnoteReference"/>
                <w:sz w:val="24"/>
              </w:rPr>
              <w:footnoteReference w:id="21"/>
            </w:r>
            <w:r w:rsidRPr="00A408A0">
              <w:t xml:space="preserve"> Administrative Cost</w:t>
            </w:r>
            <w:r>
              <w:rPr>
                <w:rStyle w:val="FootnoteReference"/>
                <w:sz w:val="24"/>
              </w:rPr>
              <w:footnoteReference w:id="22"/>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104E2" w:rsidRPr="00A408A0" w14:paraId="1F1CC559" w14:textId="77777777">
            <w:pPr>
              <w:jc w:val="right"/>
            </w:pPr>
          </w:p>
        </w:tc>
        <w:tc>
          <w:tcPr>
            <w:tcW w:w="2995" w:type="dxa"/>
            <w:tcBorders>
              <w:top w:val="single" w:sz="4" w:space="0" w:color="auto"/>
              <w:left w:val="single" w:sz="4" w:space="0" w:color="auto"/>
              <w:bottom w:val="single" w:sz="4" w:space="0" w:color="auto"/>
              <w:right w:val="single" w:sz="4" w:space="0" w:color="auto"/>
            </w:tcBorders>
            <w:vAlign w:val="center"/>
            <w:hideMark/>
          </w:tcPr>
          <w:p w:rsidR="001104E2" w:rsidRPr="00A408A0" w14:paraId="2DCB9929" w14:textId="573F2473">
            <w:pPr>
              <w:jc w:val="right"/>
            </w:pPr>
            <w:r w:rsidRPr="00A408A0">
              <w:rPr>
                <w:rFonts w:eastAsiaTheme="minorHAnsi"/>
                <w:color w:val="auto"/>
              </w:rPr>
              <w:t>$</w:t>
            </w:r>
            <w:r w:rsidRPr="00A408A0" w:rsidR="008A7090">
              <w:rPr>
                <w:rFonts w:eastAsiaTheme="minorHAnsi"/>
                <w:color w:val="auto"/>
              </w:rPr>
              <w:t>8,396</w:t>
            </w:r>
          </w:p>
        </w:tc>
      </w:tr>
      <w:tr w14:paraId="45B8F497" w14:textId="77777777" w:rsidTr="001104E2">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104E2" w:rsidRPr="00A408A0" w14:paraId="2D5FD2CF" w14:textId="77777777">
            <w:pPr>
              <w:rPr>
                <w:b/>
              </w:rPr>
            </w:pPr>
            <w:r w:rsidRPr="00A408A0">
              <w:rPr>
                <w:b/>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04E2" w:rsidRPr="00A408A0" w14:paraId="50271542" w14:textId="77777777"/>
        </w:tc>
        <w:tc>
          <w:tcPr>
            <w:tcW w:w="2995" w:type="dxa"/>
            <w:tcBorders>
              <w:top w:val="single" w:sz="4" w:space="0" w:color="auto"/>
              <w:left w:val="single" w:sz="4" w:space="0" w:color="auto"/>
              <w:bottom w:val="single" w:sz="4" w:space="0" w:color="auto"/>
              <w:right w:val="single" w:sz="4" w:space="0" w:color="auto"/>
            </w:tcBorders>
            <w:vAlign w:val="center"/>
            <w:hideMark/>
          </w:tcPr>
          <w:p w:rsidR="001104E2" w:rsidRPr="00A408A0" w14:paraId="06675873" w14:textId="4893195A">
            <w:pPr>
              <w:jc w:val="right"/>
            </w:pPr>
            <w:r w:rsidRPr="00A408A0">
              <w:t>$</w:t>
            </w:r>
            <w:r w:rsidRPr="00A408A0" w:rsidR="00682AC6">
              <w:t>182,936.24</w:t>
            </w:r>
          </w:p>
        </w:tc>
      </w:tr>
    </w:tbl>
    <w:p w:rsidR="001104E2" w:rsidRPr="00A408A0" w14:paraId="5C21EAFC" w14:textId="77777777">
      <w:pPr>
        <w:spacing w:after="0" w:line="259" w:lineRule="auto"/>
        <w:ind w:left="0" w:firstLine="0"/>
        <w:rPr>
          <w:b/>
        </w:rPr>
      </w:pPr>
    </w:p>
    <w:p w:rsidR="00DD755B" w:rsidRPr="00A408A0" w:rsidP="00B84FAE" w14:paraId="2689C49F" w14:textId="7173CDDD">
      <w:pPr>
        <w:pStyle w:val="Heading1"/>
      </w:pPr>
      <w:r w:rsidRPr="00A408A0">
        <w:t xml:space="preserve">REASONS FOR CHANGES IN BURDEN INCLUDING THE NEED FOR ANY INCREASE </w:t>
      </w:r>
      <w:r w:rsidRPr="00A408A0" w:rsidR="00E66532">
        <w:t xml:space="preserve"> </w:t>
      </w:r>
    </w:p>
    <w:p w:rsidR="00144DE0" w:rsidRPr="00A408A0" w14:paraId="05B7F034" w14:textId="426EA1C6">
      <w:pPr>
        <w:widowControl w:val="0"/>
        <w:suppressAutoHyphens/>
        <w:autoSpaceDE w:val="0"/>
        <w:autoSpaceDN w:val="0"/>
        <w:adjustRightInd w:val="0"/>
        <w:spacing w:after="0" w:line="240" w:lineRule="auto"/>
        <w:ind w:left="0" w:firstLine="0"/>
        <w:rPr>
          <w:color w:val="auto"/>
        </w:rPr>
      </w:pPr>
    </w:p>
    <w:p w:rsidR="000118CE" w:rsidRPr="00A408A0" w:rsidP="00D55A35" w14:paraId="6C6D60BF" w14:textId="116EFBBD">
      <w:pPr>
        <w:widowControl w:val="0"/>
        <w:suppressAutoHyphens/>
        <w:autoSpaceDE w:val="0"/>
        <w:autoSpaceDN w:val="0"/>
        <w:adjustRightInd w:val="0"/>
        <w:spacing w:after="0" w:line="240" w:lineRule="auto"/>
        <w:ind w:left="0" w:firstLine="0"/>
        <w:rPr>
          <w:color w:val="auto"/>
        </w:rPr>
      </w:pPr>
      <w:r w:rsidRPr="00A408A0">
        <w:rPr>
          <w:color w:val="auto"/>
        </w:rPr>
        <w:t>All of</w:t>
      </w:r>
      <w:r w:rsidRPr="00A408A0">
        <w:rPr>
          <w:color w:val="auto"/>
        </w:rPr>
        <w:t xml:space="preserve"> the PRA activities resulting from the </w:t>
      </w:r>
      <w:r w:rsidRPr="00A408A0" w:rsidR="003707F9">
        <w:rPr>
          <w:color w:val="auto"/>
        </w:rPr>
        <w:t>revisions in this order on rehearing</w:t>
      </w:r>
      <w:r w:rsidRPr="00A408A0" w:rsidR="0087430A">
        <w:rPr>
          <w:color w:val="auto"/>
        </w:rPr>
        <w:t xml:space="preserve"> </w:t>
      </w:r>
      <w:r w:rsidRPr="00A408A0">
        <w:rPr>
          <w:color w:val="auto"/>
        </w:rPr>
        <w:t>would be program changes that the Commission has determined will assist in fulfilling its statutory obligations under FPA section 206.</w:t>
      </w:r>
      <w:r w:rsidRPr="00A408A0" w:rsidR="003C4AE1">
        <w:rPr>
          <w:color w:val="auto"/>
        </w:rPr>
        <w:t xml:space="preserve">  The </w:t>
      </w:r>
      <w:r w:rsidRPr="00A408A0" w:rsidR="00BB7015">
        <w:rPr>
          <w:color w:val="auto"/>
        </w:rPr>
        <w:t>revisions</w:t>
      </w:r>
      <w:r w:rsidRPr="00A408A0" w:rsidR="003C4AE1">
        <w:rPr>
          <w:color w:val="auto"/>
        </w:rPr>
        <w:t xml:space="preserve"> </w:t>
      </w:r>
      <w:r w:rsidRPr="00A408A0" w:rsidR="00663688">
        <w:rPr>
          <w:color w:val="auto"/>
        </w:rPr>
        <w:t xml:space="preserve">in the </w:t>
      </w:r>
      <w:r w:rsidRPr="00A408A0" w:rsidR="00DD4647">
        <w:rPr>
          <w:color w:val="auto"/>
        </w:rPr>
        <w:t>order on rehearing</w:t>
      </w:r>
      <w:r w:rsidRPr="00A408A0" w:rsidR="003C4AE1">
        <w:rPr>
          <w:color w:val="auto"/>
        </w:rPr>
        <w:t xml:space="preserve"> are intended to remedy </w:t>
      </w:r>
      <w:r w:rsidRPr="00A408A0" w:rsidR="00FF39C1">
        <w:rPr>
          <w:color w:val="auto"/>
        </w:rPr>
        <w:t xml:space="preserve">issues with the Commission’s standard </w:t>
      </w:r>
      <w:r w:rsidRPr="00A408A0" w:rsidR="007E794D">
        <w:rPr>
          <w:color w:val="auto"/>
        </w:rPr>
        <w:t xml:space="preserve">generator </w:t>
      </w:r>
      <w:r w:rsidRPr="00A408A0" w:rsidR="00FF39C1">
        <w:rPr>
          <w:color w:val="auto"/>
        </w:rPr>
        <w:t xml:space="preserve">interconnection procedures and agreements such that interconnection customers </w:t>
      </w:r>
      <w:r w:rsidRPr="00A408A0" w:rsidR="00FF39C1">
        <w:rPr>
          <w:color w:val="auto"/>
        </w:rPr>
        <w:t>are able to</w:t>
      </w:r>
      <w:r w:rsidRPr="00A408A0" w:rsidR="00FF39C1">
        <w:rPr>
          <w:color w:val="auto"/>
        </w:rPr>
        <w:t xml:space="preserve"> interconnect to the transmission system in a reliable, </w:t>
      </w:r>
      <w:r w:rsidRPr="00A408A0" w:rsidR="009E4141">
        <w:rPr>
          <w:color w:val="auto"/>
        </w:rPr>
        <w:t>efficient,</w:t>
      </w:r>
      <w:r w:rsidRPr="00A408A0" w:rsidR="00FF39C1">
        <w:rPr>
          <w:color w:val="auto"/>
        </w:rPr>
        <w:t xml:space="preserve"> transparent, and timely manner, thereby ensuring that rates, terms, and conditions for Commission-jurisdictional services remain just and reasonable and not unduly discriminatory or preferential.   </w:t>
      </w:r>
    </w:p>
    <w:p w:rsidR="000118CE" w:rsidRPr="00A408A0" w:rsidP="00D55A35" w14:paraId="3B2566F0" w14:textId="3E904D70">
      <w:pPr>
        <w:widowControl w:val="0"/>
        <w:suppressAutoHyphens/>
        <w:autoSpaceDE w:val="0"/>
        <w:autoSpaceDN w:val="0"/>
        <w:adjustRightInd w:val="0"/>
        <w:spacing w:after="0" w:line="240" w:lineRule="auto"/>
        <w:ind w:left="0" w:firstLine="0"/>
        <w:rPr>
          <w:color w:val="auto"/>
        </w:rPr>
      </w:pPr>
    </w:p>
    <w:p w:rsidR="00C312B2" w:rsidRPr="00A408A0" w:rsidP="00D55A35" w14:paraId="02DC5814" w14:textId="6E8D98E2">
      <w:pPr>
        <w:widowControl w:val="0"/>
        <w:suppressAutoHyphens/>
        <w:autoSpaceDE w:val="0"/>
        <w:autoSpaceDN w:val="0"/>
        <w:adjustRightInd w:val="0"/>
        <w:spacing w:after="0" w:line="240" w:lineRule="auto"/>
        <w:ind w:left="0" w:firstLine="0"/>
        <w:rPr>
          <w:b/>
          <w:bCs/>
          <w:color w:val="auto"/>
        </w:rPr>
      </w:pPr>
      <w:r w:rsidRPr="00A408A0">
        <w:rPr>
          <w:b/>
          <w:bCs/>
          <w:color w:val="auto"/>
        </w:rPr>
        <w:t>FERC 516A</w:t>
      </w:r>
    </w:p>
    <w:p w:rsidR="00C312B2" w:rsidRPr="00A408A0" w:rsidP="000118CE" w14:paraId="59981D4E" w14:textId="3D7AE263">
      <w:pPr>
        <w:widowControl w:val="0"/>
        <w:autoSpaceDE w:val="0"/>
        <w:autoSpaceDN w:val="0"/>
        <w:adjustRightInd w:val="0"/>
        <w:spacing w:after="0" w:line="240" w:lineRule="auto"/>
        <w:ind w:left="0" w:firstLine="0"/>
        <w:rPr>
          <w:color w:val="auto"/>
        </w:rPr>
      </w:pPr>
    </w:p>
    <w:p w:rsidR="00175D36" w:rsidRPr="00A408A0" w:rsidP="00175D36" w14:paraId="2003FB77" w14:textId="56733186">
      <w:pPr>
        <w:widowControl w:val="0"/>
        <w:suppressAutoHyphens/>
        <w:autoSpaceDE w:val="0"/>
        <w:autoSpaceDN w:val="0"/>
        <w:adjustRightInd w:val="0"/>
        <w:spacing w:after="0" w:line="240" w:lineRule="auto"/>
        <w:ind w:left="0" w:firstLine="0"/>
        <w:rPr>
          <w:color w:val="auto"/>
        </w:rPr>
      </w:pPr>
      <w:r w:rsidRPr="10CFE613">
        <w:rPr>
          <w:color w:val="auto"/>
        </w:rPr>
        <w:t xml:space="preserve">The PRA activities in the </w:t>
      </w:r>
      <w:r w:rsidRPr="10CFE613" w:rsidR="00EA5DA7">
        <w:rPr>
          <w:color w:val="auto"/>
        </w:rPr>
        <w:t>order on rehearing</w:t>
      </w:r>
      <w:r w:rsidRPr="10CFE613" w:rsidR="5A7C7985">
        <w:rPr>
          <w:color w:val="auto"/>
        </w:rPr>
        <w:t xml:space="preserve"> </w:t>
      </w:r>
      <w:r w:rsidRPr="10CFE613" w:rsidR="00C95A0A">
        <w:rPr>
          <w:color w:val="auto"/>
        </w:rPr>
        <w:t>in Docket No. RM22-14-00</w:t>
      </w:r>
      <w:r w:rsidRPr="10CFE613" w:rsidR="00E417DA">
        <w:rPr>
          <w:color w:val="auto"/>
        </w:rPr>
        <w:t>1</w:t>
      </w:r>
      <w:r w:rsidRPr="10CFE613" w:rsidR="00C95A0A">
        <w:rPr>
          <w:color w:val="auto"/>
        </w:rPr>
        <w:t xml:space="preserve"> result in an increase in</w:t>
      </w:r>
      <w:r w:rsidR="001239D9">
        <w:rPr>
          <w:color w:val="auto"/>
        </w:rPr>
        <w:t xml:space="preserve"> the total burden of FERC-516A by 88 responses and 88 hours</w:t>
      </w:r>
      <w:r w:rsidR="006A71CE">
        <w:rPr>
          <w:color w:val="auto"/>
        </w:rPr>
        <w:t>.</w:t>
      </w:r>
      <w:r w:rsidRPr="00742E28" w:rsidR="00742E28">
        <w:rPr>
          <w:color w:val="auto"/>
        </w:rPr>
        <w:t xml:space="preserve">  The burden hours are increasing due to the requirement for public utilities to update their tariffs and jurisdictional agreements to comply with the Commission’s revised standard generator interconnection procedures and agreements. </w:t>
      </w:r>
      <w:r w:rsidR="00AE00C2">
        <w:rPr>
          <w:color w:val="auto"/>
        </w:rPr>
        <w:t xml:space="preserve"> </w:t>
      </w:r>
      <w:r w:rsidRPr="10CFE613" w:rsidR="00575ED6">
        <w:rPr>
          <w:color w:val="auto"/>
        </w:rPr>
        <w:t xml:space="preserve">To account for </w:t>
      </w:r>
      <w:r w:rsidR="00CD42F6">
        <w:rPr>
          <w:color w:val="auto"/>
        </w:rPr>
        <w:t xml:space="preserve">the </w:t>
      </w:r>
      <w:r w:rsidRPr="10CFE613" w:rsidR="00575ED6">
        <w:rPr>
          <w:color w:val="auto"/>
        </w:rPr>
        <w:t>ad</w:t>
      </w:r>
      <w:r w:rsidR="00562963">
        <w:rPr>
          <w:color w:val="auto"/>
        </w:rPr>
        <w:t>o</w:t>
      </w:r>
      <w:r w:rsidRPr="10CFE613" w:rsidR="00575ED6">
        <w:rPr>
          <w:color w:val="auto"/>
        </w:rPr>
        <w:t xml:space="preserve">ption of the new </w:t>
      </w:r>
      <w:r w:rsidRPr="10CFE613" w:rsidR="003A000C">
        <w:rPr>
          <w:color w:val="auto"/>
        </w:rPr>
        <w:t xml:space="preserve">requirements, there is a new </w:t>
      </w:r>
      <w:r w:rsidR="00CD42F6">
        <w:rPr>
          <w:color w:val="auto"/>
        </w:rPr>
        <w:t>information collection</w:t>
      </w:r>
      <w:r w:rsidRPr="10CFE613" w:rsidR="00575ED6">
        <w:rPr>
          <w:color w:val="auto"/>
        </w:rPr>
        <w:t xml:space="preserve"> </w:t>
      </w:r>
      <w:r w:rsidRPr="10CFE613" w:rsidR="003A000C">
        <w:rPr>
          <w:color w:val="auto"/>
        </w:rPr>
        <w:t xml:space="preserve">that captures the one-time costs </w:t>
      </w:r>
      <w:r w:rsidRPr="10CFE613">
        <w:rPr>
          <w:color w:val="auto"/>
        </w:rPr>
        <w:t>associated with updating the procedures and agreements</w:t>
      </w:r>
      <w:r w:rsidR="00B320B4">
        <w:rPr>
          <w:color w:val="auto"/>
        </w:rPr>
        <w:t xml:space="preserve"> and submitting the compliance filing.</w:t>
      </w:r>
      <w:r w:rsidRPr="10CFE613">
        <w:rPr>
          <w:color w:val="auto"/>
        </w:rPr>
        <w:t xml:space="preserve"> </w:t>
      </w:r>
      <w:r w:rsidRPr="10CFE613" w:rsidR="005372B7">
        <w:rPr>
          <w:color w:val="auto"/>
        </w:rPr>
        <w:t xml:space="preserve"> </w:t>
      </w:r>
    </w:p>
    <w:p w:rsidR="000118CE" w:rsidRPr="00A408A0" w14:paraId="5C44845F" w14:textId="57A0D06D">
      <w:pPr>
        <w:widowControl w:val="0"/>
        <w:autoSpaceDE w:val="0"/>
        <w:autoSpaceDN w:val="0"/>
        <w:adjustRightInd w:val="0"/>
        <w:spacing w:after="0" w:line="240" w:lineRule="auto"/>
        <w:ind w:left="0" w:firstLine="0"/>
        <w:rPr>
          <w:color w:val="auto"/>
        </w:rPr>
      </w:pPr>
    </w:p>
    <w:p w:rsidR="001104E2" w:rsidRPr="00A408A0" w:rsidP="001104E2" w14:paraId="31AA9429" w14:textId="7802C521">
      <w:pPr>
        <w:ind w:left="0" w:firstLine="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1893"/>
        <w:gridCol w:w="2152"/>
        <w:gridCol w:w="1545"/>
        <w:gridCol w:w="1978"/>
      </w:tblGrid>
      <w:tr w14:paraId="1D53EB31" w14:textId="77777777" w:rsidTr="00C84A28">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8"/>
        </w:trPr>
        <w:tc>
          <w:tcPr>
            <w:tcW w:w="179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A408A0" w:rsidP="00B84FAE" w14:paraId="5E040151" w14:textId="77777777">
            <w:pPr>
              <w:keepNext/>
              <w:spacing w:line="250" w:lineRule="auto"/>
              <w:ind w:left="374" w:hanging="14"/>
              <w:jc w:val="center"/>
              <w:rPr>
                <w:b/>
                <w:color w:val="auto"/>
              </w:rPr>
            </w:pPr>
            <w:r w:rsidRPr="00A408A0">
              <w:rPr>
                <w:b/>
              </w:rPr>
              <w:t>FERC-516A</w:t>
            </w:r>
          </w:p>
        </w:tc>
        <w:tc>
          <w:tcPr>
            <w:tcW w:w="189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A408A0" w:rsidP="00B84FAE" w14:paraId="5AB365CD" w14:textId="77777777">
            <w:pPr>
              <w:keepNext/>
              <w:spacing w:line="250" w:lineRule="auto"/>
              <w:ind w:left="67" w:hanging="14"/>
              <w:jc w:val="center"/>
              <w:rPr>
                <w:b/>
              </w:rPr>
            </w:pPr>
            <w:r w:rsidRPr="00A408A0">
              <w:rPr>
                <w:b/>
              </w:rPr>
              <w:t>Total Request</w:t>
            </w:r>
          </w:p>
        </w:tc>
        <w:tc>
          <w:tcPr>
            <w:tcW w:w="21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A408A0" w:rsidP="00B84FAE" w14:paraId="2F556076" w14:textId="77777777">
            <w:pPr>
              <w:keepNext/>
              <w:spacing w:line="250" w:lineRule="auto"/>
              <w:ind w:left="151" w:hanging="14"/>
              <w:jc w:val="center"/>
              <w:rPr>
                <w:b/>
              </w:rPr>
            </w:pPr>
            <w:r w:rsidRPr="00A408A0">
              <w:rPr>
                <w:b/>
              </w:rPr>
              <w:t>Previously Approved</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A408A0" w:rsidP="00B84FAE" w14:paraId="7962536C" w14:textId="39276162">
            <w:pPr>
              <w:keepNext/>
              <w:spacing w:line="250" w:lineRule="auto"/>
              <w:ind w:left="0" w:hanging="14"/>
              <w:jc w:val="center"/>
              <w:rPr>
                <w:b/>
              </w:rPr>
            </w:pPr>
            <w:r w:rsidRPr="00A408A0">
              <w:rPr>
                <w:b/>
              </w:rPr>
              <w:t xml:space="preserve">Change </w:t>
            </w:r>
            <w:r w:rsidRPr="00A408A0" w:rsidR="001A6536">
              <w:rPr>
                <w:b/>
              </w:rPr>
              <w:t>D</w:t>
            </w:r>
            <w:r w:rsidRPr="00A408A0">
              <w:rPr>
                <w:b/>
              </w:rPr>
              <w:t>ue to Adjustment in Estimate</w:t>
            </w:r>
          </w:p>
        </w:tc>
        <w:tc>
          <w:tcPr>
            <w:tcW w:w="197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1104E2" w:rsidRPr="00A408A0" w:rsidP="00B84FAE" w14:paraId="4C275E27" w14:textId="77777777">
            <w:pPr>
              <w:keepNext/>
              <w:spacing w:line="250" w:lineRule="auto"/>
              <w:ind w:left="0" w:hanging="14"/>
              <w:jc w:val="center"/>
              <w:rPr>
                <w:b/>
              </w:rPr>
            </w:pPr>
            <w:r w:rsidRPr="00A408A0">
              <w:rPr>
                <w:b/>
              </w:rPr>
              <w:t>Change Due to Agency Discretion</w:t>
            </w:r>
          </w:p>
        </w:tc>
      </w:tr>
      <w:tr w14:paraId="0E4EE7FC" w14:textId="77777777" w:rsidTr="00E81A0D">
        <w:tblPrEx>
          <w:tblW w:w="9360" w:type="dxa"/>
          <w:tblInd w:w="-5" w:type="dxa"/>
          <w:tblLook w:val="01E0"/>
        </w:tblPrEx>
        <w:trPr>
          <w:trHeight w:val="597"/>
        </w:trPr>
        <w:tc>
          <w:tcPr>
            <w:tcW w:w="1792"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3772754B" w14:textId="36CFCA0A">
            <w:pPr>
              <w:widowControl w:val="0"/>
              <w:suppressAutoHyphens/>
              <w:autoSpaceDE w:val="0"/>
              <w:autoSpaceDN w:val="0"/>
              <w:adjustRightInd w:val="0"/>
              <w:spacing w:after="0" w:line="257" w:lineRule="auto"/>
              <w:ind w:left="0" w:firstLine="0"/>
            </w:pPr>
            <w:r w:rsidRPr="00A408A0">
              <w:t>Annual Number of Responses</w:t>
            </w:r>
          </w:p>
        </w:tc>
        <w:tc>
          <w:tcPr>
            <w:tcW w:w="1893" w:type="dxa"/>
            <w:tcBorders>
              <w:top w:val="single" w:sz="4" w:space="0" w:color="auto"/>
              <w:left w:val="single" w:sz="4" w:space="0" w:color="auto"/>
              <w:bottom w:val="single" w:sz="4" w:space="0" w:color="auto"/>
              <w:right w:val="single" w:sz="4" w:space="0" w:color="auto"/>
            </w:tcBorders>
            <w:vAlign w:val="bottom"/>
          </w:tcPr>
          <w:p w:rsidR="00720B86" w:rsidRPr="00A408A0" w:rsidP="00720B86" w14:paraId="3D0A8474" w14:textId="70D3DA64">
            <w:pPr>
              <w:jc w:val="right"/>
            </w:pPr>
            <w:r w:rsidRPr="00627897">
              <w:rPr>
                <w:color w:val="auto"/>
              </w:rPr>
              <w:t>3,425</w:t>
            </w:r>
          </w:p>
        </w:tc>
        <w:tc>
          <w:tcPr>
            <w:tcW w:w="2152"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5788378C" w14:textId="0A6E2910">
            <w:pPr>
              <w:jc w:val="right"/>
            </w:pPr>
            <w:r w:rsidRPr="00A408A0">
              <w:rPr>
                <w:color w:val="auto"/>
              </w:rPr>
              <w:t>3,337</w:t>
            </w:r>
          </w:p>
        </w:tc>
        <w:tc>
          <w:tcPr>
            <w:tcW w:w="1545"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1FC7D4CC" w14:textId="77777777">
            <w:pPr>
              <w:jc w:val="right"/>
            </w:pPr>
            <w:r w:rsidRPr="00A408A0">
              <w:t>0</w:t>
            </w:r>
          </w:p>
        </w:tc>
        <w:tc>
          <w:tcPr>
            <w:tcW w:w="1978"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503B4EE8" w14:textId="074CDA08">
            <w:pPr>
              <w:jc w:val="right"/>
            </w:pPr>
            <w:r>
              <w:t>+</w:t>
            </w:r>
            <w:r w:rsidR="00B320B4">
              <w:t>88</w:t>
            </w:r>
          </w:p>
        </w:tc>
      </w:tr>
      <w:tr w14:paraId="5CDB7640" w14:textId="77777777" w:rsidTr="00E81A0D">
        <w:tblPrEx>
          <w:tblW w:w="9360" w:type="dxa"/>
          <w:tblInd w:w="-5" w:type="dxa"/>
          <w:tblLook w:val="01E0"/>
        </w:tblPrEx>
        <w:trPr>
          <w:trHeight w:val="581"/>
        </w:trPr>
        <w:tc>
          <w:tcPr>
            <w:tcW w:w="1792"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04266FE3" w14:textId="098B69DB">
            <w:pPr>
              <w:widowControl w:val="0"/>
              <w:suppressAutoHyphens/>
              <w:autoSpaceDE w:val="0"/>
              <w:autoSpaceDN w:val="0"/>
              <w:adjustRightInd w:val="0"/>
              <w:spacing w:after="0" w:line="257" w:lineRule="auto"/>
              <w:ind w:left="0" w:firstLine="0"/>
            </w:pPr>
            <w:r w:rsidRPr="00A408A0">
              <w:t>Annual Time Burden (Hr.)</w:t>
            </w:r>
          </w:p>
        </w:tc>
        <w:tc>
          <w:tcPr>
            <w:tcW w:w="1893" w:type="dxa"/>
            <w:tcBorders>
              <w:top w:val="single" w:sz="4" w:space="0" w:color="auto"/>
              <w:left w:val="single" w:sz="4" w:space="0" w:color="auto"/>
              <w:bottom w:val="single" w:sz="4" w:space="0" w:color="auto"/>
              <w:right w:val="single" w:sz="4" w:space="0" w:color="auto"/>
            </w:tcBorders>
            <w:vAlign w:val="bottom"/>
          </w:tcPr>
          <w:p w:rsidR="00720B86" w:rsidRPr="00A408A0" w:rsidP="00720B86" w14:paraId="519F19ED" w14:textId="4C1B0B61">
            <w:pPr>
              <w:jc w:val="right"/>
            </w:pPr>
            <w:r w:rsidRPr="007A1435">
              <w:t>17,730</w:t>
            </w:r>
          </w:p>
        </w:tc>
        <w:tc>
          <w:tcPr>
            <w:tcW w:w="2152"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5FB2775B" w14:textId="4490593C">
            <w:pPr>
              <w:jc w:val="right"/>
            </w:pPr>
            <w:r w:rsidRPr="00A408A0">
              <w:tab/>
              <w:t xml:space="preserve">  17,642</w:t>
            </w:r>
          </w:p>
        </w:tc>
        <w:tc>
          <w:tcPr>
            <w:tcW w:w="1545"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5C99CB3A" w14:textId="77777777">
            <w:pPr>
              <w:jc w:val="right"/>
            </w:pPr>
            <w:r w:rsidRPr="00A408A0">
              <w:t>0</w:t>
            </w:r>
          </w:p>
        </w:tc>
        <w:tc>
          <w:tcPr>
            <w:tcW w:w="1978" w:type="dxa"/>
            <w:tcBorders>
              <w:top w:val="single" w:sz="4" w:space="0" w:color="auto"/>
              <w:left w:val="single" w:sz="4" w:space="0" w:color="auto"/>
              <w:bottom w:val="single" w:sz="4" w:space="0" w:color="auto"/>
              <w:right w:val="single" w:sz="4" w:space="0" w:color="auto"/>
            </w:tcBorders>
            <w:vAlign w:val="bottom"/>
            <w:hideMark/>
          </w:tcPr>
          <w:p w:rsidR="00720B86" w:rsidRPr="00A408A0" w:rsidP="00720B86" w14:paraId="131662DD" w14:textId="024C9891">
            <w:pPr>
              <w:jc w:val="right"/>
            </w:pPr>
            <w:r>
              <w:t>+</w:t>
            </w:r>
            <w:r w:rsidR="00B320B4">
              <w:t>88</w:t>
            </w:r>
          </w:p>
        </w:tc>
      </w:tr>
      <w:tr w14:paraId="34771410" w14:textId="77777777" w:rsidTr="00CB5C2C">
        <w:tblPrEx>
          <w:tblW w:w="9360" w:type="dxa"/>
          <w:tblInd w:w="-5" w:type="dxa"/>
          <w:tblLook w:val="01E0"/>
        </w:tblPrEx>
        <w:trPr>
          <w:trHeight w:val="298"/>
        </w:trPr>
        <w:tc>
          <w:tcPr>
            <w:tcW w:w="1792" w:type="dxa"/>
            <w:tcBorders>
              <w:top w:val="single" w:sz="4" w:space="0" w:color="auto"/>
              <w:left w:val="single" w:sz="4" w:space="0" w:color="auto"/>
              <w:bottom w:val="single" w:sz="4" w:space="0" w:color="auto"/>
              <w:right w:val="single" w:sz="4" w:space="0" w:color="auto"/>
            </w:tcBorders>
            <w:vAlign w:val="bottom"/>
            <w:hideMark/>
          </w:tcPr>
          <w:p w:rsidR="001104E2" w:rsidRPr="00A408A0" w:rsidP="00D90730" w14:paraId="6A545767" w14:textId="77777777">
            <w:pPr>
              <w:widowControl w:val="0"/>
              <w:suppressAutoHyphens/>
              <w:autoSpaceDE w:val="0"/>
              <w:autoSpaceDN w:val="0"/>
              <w:adjustRightInd w:val="0"/>
              <w:spacing w:after="0" w:line="257" w:lineRule="auto"/>
              <w:ind w:left="0" w:firstLine="0"/>
            </w:pPr>
            <w:r w:rsidRPr="00A408A0">
              <w:t>Annual Cost Burden ($)</w:t>
            </w:r>
          </w:p>
        </w:tc>
        <w:tc>
          <w:tcPr>
            <w:tcW w:w="1893" w:type="dxa"/>
            <w:tcBorders>
              <w:top w:val="single" w:sz="4" w:space="0" w:color="auto"/>
              <w:left w:val="single" w:sz="4" w:space="0" w:color="auto"/>
              <w:bottom w:val="single" w:sz="4" w:space="0" w:color="auto"/>
              <w:right w:val="single" w:sz="4" w:space="0" w:color="auto"/>
            </w:tcBorders>
            <w:vAlign w:val="bottom"/>
            <w:hideMark/>
          </w:tcPr>
          <w:p w:rsidR="001104E2" w:rsidRPr="00A408A0" w14:paraId="40AA08AC" w14:textId="77777777">
            <w:pPr>
              <w:jc w:val="right"/>
            </w:pPr>
            <w:r w:rsidRPr="00A408A0">
              <w:t>0</w:t>
            </w:r>
          </w:p>
        </w:tc>
        <w:tc>
          <w:tcPr>
            <w:tcW w:w="2152" w:type="dxa"/>
            <w:tcBorders>
              <w:top w:val="single" w:sz="4" w:space="0" w:color="auto"/>
              <w:left w:val="single" w:sz="4" w:space="0" w:color="auto"/>
              <w:bottom w:val="single" w:sz="4" w:space="0" w:color="auto"/>
              <w:right w:val="single" w:sz="4" w:space="0" w:color="auto"/>
            </w:tcBorders>
            <w:vAlign w:val="bottom"/>
            <w:hideMark/>
          </w:tcPr>
          <w:p w:rsidR="001104E2" w:rsidRPr="00A408A0" w14:paraId="561B8ACC" w14:textId="77777777">
            <w:pPr>
              <w:jc w:val="right"/>
            </w:pPr>
            <w:r w:rsidRPr="00A408A0">
              <w:t>0</w:t>
            </w:r>
          </w:p>
        </w:tc>
        <w:tc>
          <w:tcPr>
            <w:tcW w:w="1545" w:type="dxa"/>
            <w:tcBorders>
              <w:top w:val="single" w:sz="4" w:space="0" w:color="auto"/>
              <w:left w:val="single" w:sz="4" w:space="0" w:color="auto"/>
              <w:bottom w:val="single" w:sz="4" w:space="0" w:color="auto"/>
              <w:right w:val="single" w:sz="4" w:space="0" w:color="auto"/>
            </w:tcBorders>
            <w:vAlign w:val="bottom"/>
            <w:hideMark/>
          </w:tcPr>
          <w:p w:rsidR="001104E2" w:rsidRPr="00A408A0" w14:paraId="79A8858E" w14:textId="77777777">
            <w:pPr>
              <w:jc w:val="right"/>
            </w:pPr>
            <w:r w:rsidRPr="00A408A0">
              <w:t>0</w:t>
            </w:r>
          </w:p>
        </w:tc>
        <w:tc>
          <w:tcPr>
            <w:tcW w:w="1978" w:type="dxa"/>
            <w:tcBorders>
              <w:top w:val="single" w:sz="4" w:space="0" w:color="auto"/>
              <w:left w:val="single" w:sz="4" w:space="0" w:color="auto"/>
              <w:bottom w:val="single" w:sz="4" w:space="0" w:color="auto"/>
              <w:right w:val="single" w:sz="4" w:space="0" w:color="auto"/>
            </w:tcBorders>
            <w:vAlign w:val="bottom"/>
            <w:hideMark/>
          </w:tcPr>
          <w:p w:rsidR="001104E2" w:rsidRPr="00A408A0" w14:paraId="5118836F" w14:textId="77777777">
            <w:pPr>
              <w:jc w:val="right"/>
            </w:pPr>
            <w:r w:rsidRPr="00A408A0">
              <w:t>0</w:t>
            </w:r>
          </w:p>
        </w:tc>
      </w:tr>
    </w:tbl>
    <w:p w:rsidR="001104E2" w:rsidRPr="00A408A0" w:rsidP="001104E2" w14:paraId="1D5173D5" w14:textId="61331050">
      <w:pPr>
        <w:ind w:left="0" w:firstLine="0"/>
      </w:pPr>
    </w:p>
    <w:p w:rsidR="00DD755B" w:rsidP="00B84FAE" w14:paraId="7051309E" w14:textId="0296EB62">
      <w:pPr>
        <w:pStyle w:val="Heading1"/>
      </w:pPr>
      <w:r w:rsidRPr="00A408A0">
        <w:t xml:space="preserve">TIME SCHEDULE FOR THE PUBLICATION OF DATA </w:t>
      </w:r>
    </w:p>
    <w:p w:rsidR="003A403F" w:rsidRPr="003A403F" w:rsidP="003A403F" w14:paraId="1C19C07B" w14:textId="77777777"/>
    <w:p w:rsidR="00DD755B" w:rsidRPr="00A408A0" w14:paraId="75C31E0D" w14:textId="5C86A883">
      <w:pPr>
        <w:spacing w:line="240" w:lineRule="auto"/>
        <w:ind w:left="0" w:firstLine="0"/>
      </w:pPr>
      <w:r w:rsidRPr="00A408A0">
        <w:t xml:space="preserve">There are no publication plans for the collection of information.  </w:t>
      </w:r>
      <w:r w:rsidRPr="00A408A0" w:rsidR="00D944DB">
        <w:t>Although</w:t>
      </w:r>
      <w:r w:rsidRPr="00A408A0" w:rsidR="001E5B44">
        <w:t xml:space="preserve"> some reforms require the posting of information, this will not be done by the Commission.</w:t>
      </w:r>
    </w:p>
    <w:p w:rsidR="00DD755B" w:rsidRPr="00A408A0" w14:paraId="5964C4D8" w14:textId="77777777">
      <w:pPr>
        <w:spacing w:after="0" w:line="240" w:lineRule="auto"/>
        <w:ind w:left="360" w:firstLine="0"/>
      </w:pPr>
      <w:r w:rsidRPr="00A408A0">
        <w:t xml:space="preserve"> </w:t>
      </w:r>
    </w:p>
    <w:p w:rsidR="00DD755B" w:rsidP="00B84FAE" w14:paraId="0248DD22" w14:textId="3C5D51C0">
      <w:pPr>
        <w:pStyle w:val="Heading1"/>
      </w:pPr>
      <w:r w:rsidRPr="00A408A0">
        <w:t xml:space="preserve">DISPLAY OF THE EXPIRATION DATE  </w:t>
      </w:r>
    </w:p>
    <w:p w:rsidR="003A403F" w:rsidRPr="003A403F" w:rsidP="003A403F" w14:paraId="04586D98" w14:textId="77777777"/>
    <w:p w:rsidR="00DD755B" w:rsidRPr="00A408A0" w:rsidP="00D55A35" w14:paraId="405813C7" w14:textId="7B612E73">
      <w:pPr>
        <w:suppressAutoHyphens/>
        <w:spacing w:after="0" w:line="240" w:lineRule="auto"/>
        <w:ind w:left="0" w:firstLine="0"/>
      </w:pPr>
      <w:r w:rsidRPr="00A408A0">
        <w:t>The OMB expiration dates are posted on</w:t>
      </w:r>
      <w:r w:rsidRPr="00A408A0" w:rsidR="00A02CC7">
        <w:t xml:space="preserve"> </w:t>
      </w:r>
      <w:hyperlink r:id="rId11" w:history="1">
        <w:r w:rsidRPr="00A408A0" w:rsidR="006E3E6A">
          <w:rPr>
            <w:rStyle w:val="Hyperlink"/>
          </w:rPr>
          <w:t>https://www.ferc.gov/enforcement-legal/legal/information-collections</w:t>
        </w:r>
      </w:hyperlink>
      <w:r w:rsidRPr="00A408A0" w:rsidR="00E87F71">
        <w:rPr>
          <w:rStyle w:val="Hyperlink"/>
        </w:rPr>
        <w:t>.</w:t>
      </w:r>
    </w:p>
    <w:p w:rsidR="00DD755B" w:rsidRPr="00A408A0" w14:paraId="0DFB9C81" w14:textId="77777777">
      <w:pPr>
        <w:spacing w:after="0" w:line="240" w:lineRule="auto"/>
        <w:ind w:left="360" w:firstLine="0"/>
      </w:pPr>
    </w:p>
    <w:p w:rsidR="00DD755B" w:rsidP="00B84FAE" w14:paraId="582D5933" w14:textId="5D5B8C24">
      <w:pPr>
        <w:pStyle w:val="Heading1"/>
      </w:pPr>
      <w:r w:rsidRPr="00A408A0">
        <w:t xml:space="preserve">EXCEPTIONS TO THE CERTIFICATION STATEMENT </w:t>
      </w:r>
    </w:p>
    <w:p w:rsidR="003A403F" w:rsidRPr="003A403F" w:rsidP="003A403F" w14:paraId="4E7BAE13" w14:textId="77777777"/>
    <w:p w:rsidR="00544EEF" w:rsidRPr="00A408A0" w:rsidP="00AF0ED3" w14:paraId="767E2506" w14:textId="37906574">
      <w:pPr>
        <w:spacing w:line="240" w:lineRule="auto"/>
        <w:ind w:left="0" w:firstLine="0"/>
      </w:pPr>
      <w:r w:rsidRPr="00A408A0">
        <w:t>There are no exceptions.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A6BBC" w14:paraId="2750D06D" w14:textId="77777777">
      <w:pPr>
        <w:spacing w:after="0" w:line="240" w:lineRule="auto"/>
      </w:pPr>
      <w:r>
        <w:separator/>
      </w:r>
    </w:p>
  </w:endnote>
  <w:endnote w:type="continuationSeparator" w:id="1">
    <w:p w:rsidR="00AA6BBC" w14:paraId="7DE0C975" w14:textId="77777777">
      <w:pPr>
        <w:spacing w:after="0" w:line="240" w:lineRule="auto"/>
      </w:pPr>
      <w:r>
        <w:continuationSeparator/>
      </w:r>
    </w:p>
  </w:endnote>
  <w:endnote w:type="continuationNotice" w:id="2">
    <w:p w:rsidR="00AA6BBC" w14:paraId="3C21A3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0E572FAC"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41CC9906" w14:textId="77777777">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5753706B"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6050E15A"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19E222D3" w14:textId="77777777">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BBC" w14:paraId="69C83174" w14:textId="77777777">
      <w:pPr>
        <w:spacing w:after="0"/>
        <w:ind w:left="360" w:firstLine="720"/>
      </w:pPr>
      <w:r>
        <w:separator/>
      </w:r>
    </w:p>
  </w:footnote>
  <w:footnote w:type="continuationSeparator" w:id="1">
    <w:p w:rsidR="00AA6BBC" w14:paraId="5C3FABDD" w14:textId="77777777">
      <w:pPr>
        <w:spacing w:after="0"/>
        <w:ind w:left="360" w:firstLine="720"/>
      </w:pPr>
      <w:r>
        <w:continuationSeparator/>
      </w:r>
    </w:p>
  </w:footnote>
  <w:footnote w:type="continuationNotice" w:id="2">
    <w:p w:rsidR="00AA6BBC" w14:paraId="50FF21BD" w14:textId="77777777">
      <w:pPr>
        <w:spacing w:after="0" w:line="240" w:lineRule="auto"/>
      </w:pPr>
    </w:p>
  </w:footnote>
  <w:footnote w:id="3">
    <w:p w:rsidR="00144DE0" w:rsidRPr="002F0197" w:rsidP="00830CF6" w14:paraId="3C547974" w14:textId="0B5C9844">
      <w:pPr>
        <w:pStyle w:val="FootnoteText"/>
        <w:ind w:left="0" w:hanging="14"/>
        <w:rPr>
          <w:sz w:val="24"/>
          <w:szCs w:val="24"/>
        </w:rPr>
      </w:pPr>
      <w:r w:rsidRPr="002F0197">
        <w:rPr>
          <w:rStyle w:val="FootnoteReference"/>
          <w:sz w:val="24"/>
          <w:szCs w:val="24"/>
        </w:rPr>
        <w:footnoteRef/>
      </w:r>
      <w:r w:rsidRPr="002F0197">
        <w:rPr>
          <w:sz w:val="24"/>
          <w:szCs w:val="24"/>
        </w:rPr>
        <w:t xml:space="preserve"> As defined at 16 U.S.C. 824(e), a “public utility” is any person who owns or operates facilities subject to the jurisdiction of the Commission under Subchapters II and III of the FPA.</w:t>
      </w:r>
    </w:p>
    <w:p w:rsidR="00144DE0" w:rsidRPr="002F0197" w:rsidP="00830CF6" w14:paraId="0FC42405" w14:textId="77777777">
      <w:pPr>
        <w:pStyle w:val="FootnoteText"/>
        <w:spacing w:after="80"/>
        <w:ind w:left="0"/>
        <w:rPr>
          <w:sz w:val="24"/>
          <w:szCs w:val="24"/>
        </w:rPr>
      </w:pPr>
    </w:p>
  </w:footnote>
  <w:footnote w:id="4">
    <w:p w:rsidR="002E1956" w:rsidRPr="002F0197" w:rsidP="00830CF6" w14:paraId="3F1521E9" w14:textId="7999EA0A">
      <w:pPr>
        <w:pStyle w:val="FootnoteText"/>
        <w:ind w:left="14" w:hanging="14"/>
        <w:rPr>
          <w:sz w:val="24"/>
          <w:szCs w:val="24"/>
        </w:rPr>
      </w:pPr>
      <w:r w:rsidRPr="002F0197">
        <w:rPr>
          <w:rStyle w:val="FootnoteReference"/>
          <w:sz w:val="24"/>
          <w:szCs w:val="24"/>
        </w:rPr>
        <w:footnoteRef/>
      </w:r>
      <w:r w:rsidRPr="002F0197">
        <w:rPr>
          <w:sz w:val="24"/>
          <w:szCs w:val="24"/>
        </w:rPr>
        <w:t xml:space="preserve"> </w:t>
      </w:r>
      <w:r w:rsidRPr="002F0197">
        <w:rPr>
          <w:i/>
          <w:sz w:val="24"/>
          <w:szCs w:val="24"/>
        </w:rPr>
        <w:t>Standardization of Generator Interconnection Agreements &amp; Procs.</w:t>
      </w:r>
      <w:r w:rsidRPr="002F0197">
        <w:rPr>
          <w:sz w:val="24"/>
          <w:szCs w:val="24"/>
        </w:rPr>
        <w:t xml:space="preserve">, Order No. 2003, 104 FERC ¶ 61,103 (2003), </w:t>
      </w:r>
      <w:r w:rsidRPr="002F0197">
        <w:rPr>
          <w:i/>
          <w:sz w:val="24"/>
          <w:szCs w:val="24"/>
        </w:rPr>
        <w:t>order on reh’g</w:t>
      </w:r>
      <w:r w:rsidRPr="002F0197">
        <w:rPr>
          <w:sz w:val="24"/>
          <w:szCs w:val="24"/>
        </w:rPr>
        <w:t xml:space="preserve">, Order No. 2003-A, 106 FERC ¶ 61,220, </w:t>
      </w:r>
      <w:r w:rsidRPr="002F0197">
        <w:rPr>
          <w:i/>
          <w:sz w:val="24"/>
          <w:szCs w:val="24"/>
        </w:rPr>
        <w:t>order on reh’g</w:t>
      </w:r>
      <w:r w:rsidRPr="002F0197">
        <w:rPr>
          <w:sz w:val="24"/>
          <w:szCs w:val="24"/>
        </w:rPr>
        <w:t xml:space="preserve">, Order No. 2003-B, 109 FERC ¶ 61,287 (2004), </w:t>
      </w:r>
      <w:r w:rsidRPr="002F0197">
        <w:rPr>
          <w:i/>
          <w:sz w:val="24"/>
          <w:szCs w:val="24"/>
        </w:rPr>
        <w:t>order on reh’g</w:t>
      </w:r>
      <w:r w:rsidRPr="002F0197">
        <w:rPr>
          <w:sz w:val="24"/>
          <w:szCs w:val="24"/>
        </w:rPr>
        <w:t xml:space="preserve">, Order No. 2003-C, 111 FERC ¶ 61,401 (2005), </w:t>
      </w:r>
      <w:r w:rsidRPr="002F0197">
        <w:rPr>
          <w:i/>
          <w:sz w:val="24"/>
          <w:szCs w:val="24"/>
        </w:rPr>
        <w:t xml:space="preserve">aff’d sub nom. </w:t>
      </w:r>
      <w:r w:rsidRPr="002F0197">
        <w:rPr>
          <w:i/>
          <w:sz w:val="24"/>
          <w:szCs w:val="24"/>
        </w:rPr>
        <w:t>Nat’l</w:t>
      </w:r>
      <w:r w:rsidRPr="002F0197">
        <w:rPr>
          <w:i/>
          <w:sz w:val="24"/>
          <w:szCs w:val="24"/>
        </w:rPr>
        <w:t xml:space="preserve"> </w:t>
      </w:r>
      <w:r w:rsidRPr="002F0197">
        <w:rPr>
          <w:i/>
          <w:sz w:val="24"/>
          <w:szCs w:val="24"/>
        </w:rPr>
        <w:t>Ass’n</w:t>
      </w:r>
      <w:r w:rsidRPr="002F0197">
        <w:rPr>
          <w:i/>
          <w:sz w:val="24"/>
          <w:szCs w:val="24"/>
        </w:rPr>
        <w:t xml:space="preserve"> of </w:t>
      </w:r>
      <w:r w:rsidRPr="002F0197">
        <w:rPr>
          <w:i/>
          <w:sz w:val="24"/>
          <w:szCs w:val="24"/>
        </w:rPr>
        <w:t>Regul</w:t>
      </w:r>
      <w:r w:rsidRPr="002F0197">
        <w:rPr>
          <w:i/>
          <w:sz w:val="24"/>
          <w:szCs w:val="24"/>
        </w:rPr>
        <w:t>. Util. Comm’rs v. FERC</w:t>
      </w:r>
      <w:r w:rsidRPr="002F0197">
        <w:rPr>
          <w:sz w:val="24"/>
          <w:szCs w:val="24"/>
        </w:rPr>
        <w:t>, 475 F.3d 1277 (D.C. Cir. 2007).</w:t>
      </w:r>
    </w:p>
  </w:footnote>
  <w:footnote w:id="5">
    <w:p w:rsidR="00715EA5" w:rsidRPr="002F0197" w:rsidP="00830CF6" w14:paraId="4A387317" w14:textId="3E2F6CDB">
      <w:pPr>
        <w:pStyle w:val="FootnoteText"/>
        <w:ind w:left="14" w:hanging="14"/>
        <w:rPr>
          <w:sz w:val="24"/>
          <w:szCs w:val="24"/>
        </w:rPr>
      </w:pPr>
      <w:r w:rsidRPr="002F0197">
        <w:rPr>
          <w:rStyle w:val="FootnoteReference"/>
          <w:sz w:val="24"/>
          <w:szCs w:val="24"/>
        </w:rPr>
        <w:footnoteRef/>
      </w:r>
      <w:r w:rsidRPr="002F0197">
        <w:rPr>
          <w:sz w:val="24"/>
          <w:szCs w:val="24"/>
        </w:rPr>
        <w:t xml:space="preserve"> Order No. 2003, 104 FERC ¶ 61,103 at P 12.</w:t>
      </w:r>
    </w:p>
  </w:footnote>
  <w:footnote w:id="6">
    <w:p w:rsidR="002D7C03" w:rsidRPr="002F0197" w:rsidP="00830CF6" w14:paraId="7A7604A4" w14:textId="6875E53B">
      <w:pPr>
        <w:pStyle w:val="FootnoteText"/>
        <w:ind w:left="14" w:hanging="14"/>
        <w:rPr>
          <w:sz w:val="24"/>
          <w:szCs w:val="24"/>
        </w:rPr>
      </w:pPr>
      <w:r w:rsidRPr="002F0197">
        <w:rPr>
          <w:rStyle w:val="FootnoteReference"/>
          <w:sz w:val="24"/>
          <w:szCs w:val="24"/>
        </w:rPr>
        <w:footnoteRef/>
      </w:r>
      <w:r w:rsidRPr="002F0197">
        <w:rPr>
          <w:sz w:val="24"/>
          <w:szCs w:val="24"/>
        </w:rPr>
        <w:t xml:space="preserve"> </w:t>
      </w:r>
      <w:r w:rsidRPr="002F0197">
        <w:rPr>
          <w:i/>
          <w:sz w:val="24"/>
          <w:szCs w:val="24"/>
        </w:rPr>
        <w:t>Standardization of Small Generator Interconnection Agreements &amp; Procs.</w:t>
      </w:r>
      <w:r w:rsidRPr="002F0197">
        <w:rPr>
          <w:sz w:val="24"/>
          <w:szCs w:val="24"/>
        </w:rPr>
        <w:t xml:space="preserve">, Order No. 2006, 111 FERC ¶ 61,220, </w:t>
      </w:r>
      <w:r w:rsidRPr="002F0197">
        <w:rPr>
          <w:i/>
          <w:sz w:val="24"/>
          <w:szCs w:val="24"/>
        </w:rPr>
        <w:t>order on</w:t>
      </w:r>
      <w:r w:rsidRPr="002F0197">
        <w:rPr>
          <w:sz w:val="24"/>
          <w:szCs w:val="24"/>
        </w:rPr>
        <w:t xml:space="preserve"> </w:t>
      </w:r>
      <w:r w:rsidRPr="002F0197">
        <w:rPr>
          <w:i/>
          <w:sz w:val="24"/>
          <w:szCs w:val="24"/>
        </w:rPr>
        <w:t>reh’g</w:t>
      </w:r>
      <w:r w:rsidRPr="002F0197">
        <w:rPr>
          <w:sz w:val="24"/>
          <w:szCs w:val="24"/>
        </w:rPr>
        <w:t xml:space="preserve">, Order No. 2006-A, 113 FERC ¶ 61,195 (2005), </w:t>
      </w:r>
      <w:r w:rsidRPr="002F0197">
        <w:rPr>
          <w:i/>
          <w:sz w:val="24"/>
          <w:szCs w:val="24"/>
        </w:rPr>
        <w:t>order granting clarification</w:t>
      </w:r>
      <w:r w:rsidRPr="002F0197">
        <w:rPr>
          <w:sz w:val="24"/>
          <w:szCs w:val="24"/>
        </w:rPr>
        <w:t>, Order No. 2006-B, 116 FERC ¶ 61,046 (2006).</w:t>
      </w:r>
    </w:p>
  </w:footnote>
  <w:footnote w:id="7">
    <w:p w:rsidR="00CE0C1A" w:rsidRPr="002F0197" w:rsidP="00830CF6" w14:paraId="68D31A8E" w14:textId="77777777">
      <w:pPr>
        <w:pStyle w:val="FootnoteText"/>
        <w:ind w:left="0"/>
        <w:rPr>
          <w:sz w:val="24"/>
          <w:szCs w:val="24"/>
        </w:rPr>
      </w:pPr>
      <w:r w:rsidRPr="002F0197">
        <w:rPr>
          <w:rStyle w:val="FootnoteReference"/>
          <w:sz w:val="24"/>
          <w:szCs w:val="24"/>
        </w:rPr>
        <w:footnoteRef/>
      </w:r>
      <w:r w:rsidRPr="002F0197">
        <w:rPr>
          <w:sz w:val="24"/>
          <w:szCs w:val="24"/>
        </w:rPr>
        <w:t xml:space="preserve"> </w:t>
      </w:r>
      <w:r w:rsidRPr="002F0197">
        <w:rPr>
          <w:i/>
          <w:iCs/>
          <w:sz w:val="24"/>
          <w:szCs w:val="24"/>
        </w:rPr>
        <w:t>Improvements to Generator Interconnection Procs. and Agreements</w:t>
      </w:r>
      <w:r w:rsidRPr="002F0197">
        <w:rPr>
          <w:sz w:val="24"/>
          <w:szCs w:val="24"/>
        </w:rPr>
        <w:t xml:space="preserve">, Order No. 2023, 184 FERC ¶ 61,054 (2023). </w:t>
      </w:r>
    </w:p>
  </w:footnote>
  <w:footnote w:id="8">
    <w:p w:rsidR="00F74C71" w:rsidRPr="002F0197" w:rsidP="00830CF6" w14:paraId="2DAA96CA" w14:textId="77777777">
      <w:pPr>
        <w:pStyle w:val="FootnoteText"/>
        <w:ind w:left="0"/>
        <w:rPr>
          <w:sz w:val="24"/>
          <w:szCs w:val="24"/>
        </w:rPr>
      </w:pPr>
      <w:r w:rsidRPr="002F0197">
        <w:rPr>
          <w:rStyle w:val="FootnoteReference"/>
          <w:sz w:val="24"/>
          <w:szCs w:val="24"/>
        </w:rPr>
        <w:footnoteRef/>
      </w:r>
      <w:r w:rsidRPr="002F0197">
        <w:rPr>
          <w:sz w:val="24"/>
          <w:szCs w:val="24"/>
        </w:rPr>
        <w:t xml:space="preserve"> Order No. 2023 also added new section (f)(1) to 18 CFR section 35.28.</w:t>
      </w:r>
    </w:p>
  </w:footnote>
  <w:footnote w:id="9">
    <w:p w:rsidR="00F74C71" w:rsidRPr="002F0197" w:rsidP="00830CF6" w14:paraId="0467888C" w14:textId="70756315">
      <w:pPr>
        <w:pStyle w:val="FootnoteText"/>
        <w:ind w:left="0"/>
        <w:rPr>
          <w:sz w:val="24"/>
          <w:szCs w:val="24"/>
        </w:rPr>
      </w:pPr>
      <w:r w:rsidRPr="002F0197">
        <w:rPr>
          <w:rStyle w:val="FootnoteReference"/>
          <w:sz w:val="24"/>
          <w:szCs w:val="24"/>
        </w:rPr>
        <w:footnoteRef/>
      </w:r>
      <w:r w:rsidRPr="002F0197">
        <w:rPr>
          <w:sz w:val="24"/>
          <w:szCs w:val="24"/>
        </w:rPr>
        <w:t xml:space="preserve"> 16 U</w:t>
      </w:r>
      <w:r w:rsidR="00CA079F">
        <w:rPr>
          <w:sz w:val="24"/>
          <w:szCs w:val="24"/>
        </w:rPr>
        <w:t>.</w:t>
      </w:r>
      <w:r w:rsidRPr="002F0197">
        <w:rPr>
          <w:sz w:val="24"/>
          <w:szCs w:val="24"/>
        </w:rPr>
        <w:t>S</w:t>
      </w:r>
      <w:r w:rsidR="00CA079F">
        <w:rPr>
          <w:sz w:val="24"/>
          <w:szCs w:val="24"/>
        </w:rPr>
        <w:t>.</w:t>
      </w:r>
      <w:r w:rsidRPr="002F0197">
        <w:rPr>
          <w:sz w:val="24"/>
          <w:szCs w:val="24"/>
        </w:rPr>
        <w:t>C</w:t>
      </w:r>
      <w:r w:rsidR="00CA079F">
        <w:rPr>
          <w:sz w:val="24"/>
          <w:szCs w:val="24"/>
        </w:rPr>
        <w:t>.</w:t>
      </w:r>
      <w:r w:rsidRPr="002F0197">
        <w:rPr>
          <w:sz w:val="24"/>
          <w:szCs w:val="24"/>
        </w:rPr>
        <w:t xml:space="preserve"> 825(a)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10">
    <w:p w:rsidR="00BA7ECF" w:rsidRPr="002F0197" w:rsidP="00830CF6" w14:paraId="6132B3AA" w14:textId="77777777">
      <w:pPr>
        <w:pStyle w:val="FootnoteText"/>
        <w:ind w:left="0"/>
        <w:rPr>
          <w:sz w:val="24"/>
          <w:szCs w:val="24"/>
        </w:rPr>
      </w:pPr>
      <w:r w:rsidRPr="002F0197">
        <w:rPr>
          <w:rStyle w:val="FootnoteReference"/>
          <w:sz w:val="24"/>
          <w:szCs w:val="24"/>
        </w:rPr>
        <w:footnoteRef/>
      </w:r>
      <w:r w:rsidRPr="002F0197">
        <w:rPr>
          <w:sz w:val="24"/>
          <w:szCs w:val="24"/>
        </w:rPr>
        <w:t xml:space="preserve"> </w:t>
      </w:r>
      <w:r w:rsidRPr="002F0197">
        <w:rPr>
          <w:rFonts w:eastAsia="Wingdings"/>
          <w:sz w:val="24"/>
          <w:szCs w:val="24"/>
        </w:rPr>
        <w:t>13 CFR 121.201 (2022).</w:t>
      </w:r>
    </w:p>
  </w:footnote>
  <w:footnote w:id="11">
    <w:p w:rsidR="00BA7ECF" w:rsidRPr="002F0197" w:rsidP="00830CF6" w14:paraId="712378DD" w14:textId="626709DF">
      <w:pPr>
        <w:pStyle w:val="FootnoteText"/>
        <w:ind w:left="0"/>
        <w:rPr>
          <w:sz w:val="24"/>
          <w:szCs w:val="24"/>
        </w:rPr>
      </w:pPr>
      <w:r w:rsidRPr="002F0197">
        <w:rPr>
          <w:rStyle w:val="FootnoteReference"/>
          <w:sz w:val="24"/>
          <w:szCs w:val="24"/>
        </w:rPr>
        <w:footnoteRef/>
      </w:r>
      <w:r w:rsidRPr="002F0197">
        <w:rPr>
          <w:sz w:val="24"/>
          <w:szCs w:val="24"/>
        </w:rPr>
        <w:t xml:space="preserve"> The RFA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define the threshold for a small Electric Bulk Power Transmission and Control entity (NAICS code 221121) to be 950 employees (“the maximum allowed for a concern and its affiliates to be considered small”).  </w:t>
      </w:r>
      <w:r w:rsidRPr="002F0197">
        <w:rPr>
          <w:i/>
          <w:sz w:val="24"/>
          <w:szCs w:val="24"/>
        </w:rPr>
        <w:t>See</w:t>
      </w:r>
      <w:r w:rsidRPr="002F0197">
        <w:rPr>
          <w:sz w:val="24"/>
          <w:szCs w:val="24"/>
        </w:rPr>
        <w:t xml:space="preserve"> 13 CFR 121.201 (2022); </w:t>
      </w:r>
      <w:r w:rsidRPr="002F0197">
        <w:rPr>
          <w:i/>
          <w:sz w:val="24"/>
          <w:szCs w:val="24"/>
        </w:rPr>
        <w:t>see also</w:t>
      </w:r>
      <w:r w:rsidRPr="002F0197">
        <w:rPr>
          <w:sz w:val="24"/>
          <w:szCs w:val="24"/>
        </w:rPr>
        <w:t xml:space="preserve"> 5 U.S.C. 601(3) (citing to Section 3 of the Small Business Act, 15 U.S.C. 632).</w:t>
      </w:r>
    </w:p>
  </w:footnote>
  <w:footnote w:id="12">
    <w:p w:rsidR="00BA7ECF" w:rsidRPr="002F0197" w:rsidP="00830CF6" w14:paraId="78E0BD01" w14:textId="77777777">
      <w:pPr>
        <w:pStyle w:val="FootnoteText"/>
        <w:ind w:left="0"/>
        <w:rPr>
          <w:sz w:val="24"/>
          <w:szCs w:val="24"/>
        </w:rPr>
      </w:pPr>
      <w:r w:rsidRPr="002F0197">
        <w:rPr>
          <w:rStyle w:val="FootnoteReference"/>
          <w:sz w:val="24"/>
          <w:szCs w:val="24"/>
        </w:rPr>
        <w:footnoteRef/>
      </w:r>
      <w:r w:rsidRPr="002F0197">
        <w:rPr>
          <w:sz w:val="24"/>
          <w:szCs w:val="24"/>
        </w:rPr>
        <w:t xml:space="preserve"> U.S. Small Business Administration, </w:t>
      </w:r>
      <w:r w:rsidRPr="002F0197">
        <w:rPr>
          <w:i/>
          <w:sz w:val="24"/>
          <w:szCs w:val="24"/>
        </w:rPr>
        <w:t>A Guide for Government Agencies How to Comply with the Regulatory Flexibility Act</w:t>
      </w:r>
      <w:r w:rsidRPr="002F0197">
        <w:rPr>
          <w:sz w:val="24"/>
          <w:szCs w:val="24"/>
        </w:rPr>
        <w:t xml:space="preserve">, at 18 (Aug. 2017), https://cdn.advocacy.sba.gov/wp-content/uploads/2019/06/21110349/How-to-Comply-with-the-RFA.pdf. </w:t>
      </w:r>
    </w:p>
  </w:footnote>
  <w:footnote w:id="13">
    <w:p w:rsidR="00EE4549" w:rsidRPr="002F0197" w:rsidP="00830CF6" w14:paraId="0DAE2E05" w14:textId="12D2CA59">
      <w:pPr>
        <w:pStyle w:val="FootnoteText"/>
        <w:ind w:left="14" w:hanging="14"/>
        <w:rPr>
          <w:sz w:val="24"/>
          <w:szCs w:val="24"/>
        </w:rPr>
      </w:pPr>
      <w:r w:rsidRPr="002F0197">
        <w:rPr>
          <w:rStyle w:val="FootnoteReference"/>
          <w:sz w:val="24"/>
          <w:szCs w:val="24"/>
        </w:rPr>
        <w:footnoteRef/>
      </w:r>
      <w:r w:rsidRPr="002F0197">
        <w:rPr>
          <w:sz w:val="24"/>
          <w:szCs w:val="24"/>
        </w:rPr>
        <w:t xml:space="preserve"> 87 FR 39934</w:t>
      </w:r>
      <w:r w:rsidRPr="002F0197" w:rsidR="00DD3A10">
        <w:rPr>
          <w:sz w:val="24"/>
          <w:szCs w:val="24"/>
        </w:rPr>
        <w:t>.</w:t>
      </w:r>
    </w:p>
  </w:footnote>
  <w:footnote w:id="14">
    <w:p w:rsidR="001E74A0" w:rsidRPr="002F0197" w:rsidP="00830CF6" w14:paraId="62EB5D8E" w14:textId="77777777">
      <w:pPr>
        <w:spacing w:after="0" w:line="250" w:lineRule="auto"/>
        <w:ind w:left="14" w:hanging="14"/>
      </w:pPr>
      <w:r w:rsidRPr="002F0197">
        <w:rPr>
          <w:rStyle w:val="FootnoteReference"/>
          <w:sz w:val="24"/>
        </w:rPr>
        <w:footnoteRef/>
      </w:r>
      <w:r w:rsidRPr="002F0197">
        <w:t xml:space="preserve"> 88 FR 61014.</w:t>
      </w:r>
    </w:p>
  </w:footnote>
  <w:footnote w:id="15">
    <w:p w:rsidR="00A227E5" w:rsidRPr="002F0197" w:rsidP="00830CF6" w14:paraId="568B20ED" w14:textId="6A93C174">
      <w:pPr>
        <w:pStyle w:val="FootnoteText"/>
        <w:ind w:left="14" w:hanging="14"/>
        <w:rPr>
          <w:sz w:val="24"/>
          <w:szCs w:val="24"/>
        </w:rPr>
      </w:pPr>
      <w:r w:rsidRPr="002F0197">
        <w:rPr>
          <w:rStyle w:val="FootnoteReference"/>
          <w:sz w:val="24"/>
          <w:szCs w:val="24"/>
        </w:rPr>
        <w:footnoteRef/>
      </w:r>
      <w:r w:rsidRPr="002F0197">
        <w:rPr>
          <w:sz w:val="24"/>
          <w:szCs w:val="24"/>
        </w:rPr>
        <w:t xml:space="preserve"> “Burden” is the total time, effort, or financial resources expended by persons to generate, maintain, retain, or disclose or provide information to or for a </w:t>
      </w:r>
      <w:r w:rsidRPr="002F0197">
        <w:rPr>
          <w:sz w:val="24"/>
          <w:szCs w:val="24"/>
        </w:rPr>
        <w:t>Federal</w:t>
      </w:r>
      <w:r w:rsidRPr="002F0197">
        <w:rPr>
          <w:sz w:val="24"/>
          <w:szCs w:val="24"/>
        </w:rPr>
        <w:t xml:space="preserve"> agency. </w:t>
      </w:r>
      <w:r w:rsidRPr="002F0197" w:rsidR="00985A0A">
        <w:rPr>
          <w:sz w:val="24"/>
          <w:szCs w:val="24"/>
        </w:rPr>
        <w:t xml:space="preserve"> </w:t>
      </w:r>
      <w:r w:rsidRPr="002F0197">
        <w:rPr>
          <w:sz w:val="24"/>
          <w:szCs w:val="24"/>
        </w:rPr>
        <w:t>For further explanation of what is included in the information collection burden, refer to 5 CFR 1320.3.</w:t>
      </w:r>
    </w:p>
  </w:footnote>
  <w:footnote w:id="16">
    <w:p w:rsidR="009C2E4E" w:rsidRPr="002F0197" w:rsidP="00830CF6" w14:paraId="6A0FCE07" w14:textId="77777777">
      <w:pPr>
        <w:pStyle w:val="FootnoteText"/>
        <w:ind w:left="0"/>
        <w:rPr>
          <w:sz w:val="24"/>
          <w:szCs w:val="24"/>
        </w:rPr>
      </w:pPr>
      <w:r w:rsidRPr="002F0197">
        <w:rPr>
          <w:rStyle w:val="FootnoteReference"/>
          <w:sz w:val="24"/>
          <w:szCs w:val="24"/>
        </w:rPr>
        <w:footnoteRef/>
      </w:r>
      <w:r w:rsidRPr="002F0197">
        <w:rPr>
          <w:sz w:val="24"/>
          <w:szCs w:val="24"/>
        </w:rPr>
        <w:t xml:space="preserve"> Commission staff estimate that respondents’ hourly wages plus benefits are comparable to those of FERC employees (2024).  Therefore, the 2024 FERC hourly cost estimate in this analysis is $100 per hour ($207,786</w:t>
      </w:r>
      <w:r w:rsidRPr="002F0197">
        <w:rPr>
          <w:b/>
          <w:bCs/>
          <w:sz w:val="24"/>
          <w:szCs w:val="24"/>
        </w:rPr>
        <w:t xml:space="preserve"> </w:t>
      </w:r>
      <w:r w:rsidRPr="002F0197">
        <w:rPr>
          <w:sz w:val="24"/>
          <w:szCs w:val="24"/>
        </w:rPr>
        <w:t>per year).</w:t>
      </w:r>
    </w:p>
  </w:footnote>
  <w:footnote w:id="17">
    <w:p w:rsidR="00B07D11" w:rsidP="00830CF6" w14:paraId="7EB7FFFB" w14:textId="1D5608A4">
      <w:pPr>
        <w:pStyle w:val="FootnoteText"/>
        <w:ind w:left="0"/>
      </w:pPr>
      <w:r>
        <w:rPr>
          <w:rStyle w:val="FootnoteReference"/>
        </w:rPr>
        <w:footnoteRef/>
      </w:r>
      <w:r>
        <w:t xml:space="preserve"> </w:t>
      </w:r>
      <w:r w:rsidRPr="00B07D11">
        <w:rPr>
          <w:sz w:val="24"/>
          <w:szCs w:val="24"/>
        </w:rPr>
        <w:t>This one-time burden associated with the compliance filing was divided by 3 in OMB’s ROCIS system since the request for approval is for 3 years.</w:t>
      </w:r>
    </w:p>
  </w:footnote>
  <w:footnote w:id="18">
    <w:p w:rsidR="00073223" w:rsidRPr="002F0197" w:rsidP="00830CF6" w14:paraId="38981C89" w14:textId="109EEBB9">
      <w:pPr>
        <w:pStyle w:val="FootnoteText"/>
        <w:ind w:left="144" w:hanging="144"/>
        <w:rPr>
          <w:sz w:val="24"/>
          <w:szCs w:val="24"/>
        </w:rPr>
      </w:pPr>
      <w:r w:rsidRPr="002F0197">
        <w:rPr>
          <w:rStyle w:val="FootnoteReference"/>
          <w:sz w:val="24"/>
          <w:szCs w:val="24"/>
        </w:rPr>
        <w:footnoteRef/>
      </w:r>
      <w:r w:rsidR="00751C7D">
        <w:rPr>
          <w:sz w:val="24"/>
          <w:szCs w:val="24"/>
        </w:rPr>
        <w:t xml:space="preserve"> </w:t>
      </w:r>
      <w:r w:rsidRPr="002F0197" w:rsidR="00CE30BC">
        <w:rPr>
          <w:sz w:val="24"/>
          <w:szCs w:val="24"/>
        </w:rPr>
        <w:t>5 CFR 1320.</w:t>
      </w:r>
    </w:p>
  </w:footnote>
  <w:footnote w:id="19">
    <w:p w:rsidR="00144DE0" w:rsidRPr="002F0197" w:rsidP="00830CF6" w14:paraId="1231BC73" w14:textId="47DC5533">
      <w:pPr>
        <w:pStyle w:val="FootnoteText"/>
        <w:ind w:left="0" w:hanging="14"/>
        <w:rPr>
          <w:sz w:val="24"/>
          <w:szCs w:val="24"/>
        </w:rPr>
      </w:pPr>
      <w:r w:rsidRPr="002F0197">
        <w:rPr>
          <w:rStyle w:val="FootnoteReference"/>
          <w:sz w:val="24"/>
          <w:szCs w:val="24"/>
        </w:rPr>
        <w:footnoteRef/>
      </w:r>
      <w:r w:rsidRPr="002F0197">
        <w:rPr>
          <w:sz w:val="24"/>
          <w:szCs w:val="24"/>
        </w:rPr>
        <w:t xml:space="preserve"> </w:t>
      </w:r>
      <w:r w:rsidRPr="002F0197" w:rsidR="00CA14DC">
        <w:rPr>
          <w:sz w:val="24"/>
          <w:szCs w:val="24"/>
        </w:rPr>
        <w:t>FERC’s 202</w:t>
      </w:r>
      <w:r w:rsidRPr="002F0197" w:rsidR="008A7090">
        <w:rPr>
          <w:sz w:val="24"/>
          <w:szCs w:val="24"/>
        </w:rPr>
        <w:t>4</w:t>
      </w:r>
      <w:r w:rsidRPr="002F0197" w:rsidR="00CA14DC">
        <w:rPr>
          <w:sz w:val="24"/>
          <w:szCs w:val="24"/>
        </w:rPr>
        <w:t xml:space="preserve"> average wages plus benefits for one FTE (full-time equivalent) is $</w:t>
      </w:r>
      <w:r w:rsidRPr="002F0197" w:rsidR="008A7090">
        <w:rPr>
          <w:sz w:val="24"/>
          <w:szCs w:val="24"/>
        </w:rPr>
        <w:t>207</w:t>
      </w:r>
      <w:r w:rsidRPr="002F0197" w:rsidR="00CA14DC">
        <w:rPr>
          <w:sz w:val="24"/>
          <w:szCs w:val="24"/>
        </w:rPr>
        <w:t>,</w:t>
      </w:r>
      <w:r w:rsidRPr="002F0197" w:rsidR="008A7090">
        <w:rPr>
          <w:sz w:val="24"/>
          <w:szCs w:val="24"/>
        </w:rPr>
        <w:t>786</w:t>
      </w:r>
      <w:r w:rsidRPr="002F0197" w:rsidR="00CA14DC">
        <w:rPr>
          <w:sz w:val="24"/>
          <w:szCs w:val="24"/>
        </w:rPr>
        <w:t xml:space="preserve"> per year.</w:t>
      </w:r>
    </w:p>
  </w:footnote>
  <w:footnote w:id="20">
    <w:p w:rsidR="00D040D6" w:rsidRPr="002F0197" w:rsidP="00830CF6" w14:paraId="15F03E8E" w14:textId="78AAC9EB">
      <w:pPr>
        <w:pStyle w:val="FootnoteText"/>
        <w:ind w:left="0"/>
        <w:rPr>
          <w:sz w:val="24"/>
          <w:szCs w:val="24"/>
        </w:rPr>
      </w:pPr>
      <w:r w:rsidRPr="002F0197">
        <w:rPr>
          <w:rStyle w:val="FootnoteReference"/>
          <w:sz w:val="24"/>
          <w:szCs w:val="24"/>
        </w:rPr>
        <w:footnoteRef/>
      </w:r>
      <w:r w:rsidRPr="002F0197">
        <w:rPr>
          <w:sz w:val="24"/>
          <w:szCs w:val="24"/>
        </w:rPr>
        <w:t xml:space="preserve"> </w:t>
      </w:r>
      <w:r w:rsidRPr="002F0197" w:rsidR="002C354C">
        <w:rPr>
          <w:sz w:val="24"/>
          <w:szCs w:val="24"/>
        </w:rPr>
        <w:t>An FTE is 2</w:t>
      </w:r>
      <w:r w:rsidRPr="002F0197" w:rsidR="003B76E5">
        <w:rPr>
          <w:sz w:val="24"/>
          <w:szCs w:val="24"/>
        </w:rPr>
        <w:t>,</w:t>
      </w:r>
      <w:r w:rsidRPr="002F0197" w:rsidR="002C354C">
        <w:rPr>
          <w:sz w:val="24"/>
          <w:szCs w:val="24"/>
        </w:rPr>
        <w:t>080 hours</w:t>
      </w:r>
      <w:r w:rsidRPr="002F0197" w:rsidR="003A70CE">
        <w:rPr>
          <w:sz w:val="24"/>
          <w:szCs w:val="24"/>
        </w:rPr>
        <w:t>, estimating</w:t>
      </w:r>
      <w:r w:rsidRPr="002F0197" w:rsidR="00831992">
        <w:rPr>
          <w:sz w:val="24"/>
          <w:szCs w:val="24"/>
        </w:rPr>
        <w:t xml:space="preserve"> 1</w:t>
      </w:r>
      <w:r w:rsidRPr="002F0197" w:rsidR="003B76E5">
        <w:rPr>
          <w:sz w:val="24"/>
          <w:szCs w:val="24"/>
        </w:rPr>
        <w:t>,</w:t>
      </w:r>
      <w:r w:rsidRPr="002F0197" w:rsidR="00831992">
        <w:rPr>
          <w:sz w:val="24"/>
          <w:szCs w:val="24"/>
        </w:rPr>
        <w:t>750 hours</w:t>
      </w:r>
      <w:r w:rsidRPr="002F0197" w:rsidR="00052F19">
        <w:rPr>
          <w:sz w:val="24"/>
          <w:szCs w:val="24"/>
        </w:rPr>
        <w:t xml:space="preserve"> to complete</w:t>
      </w:r>
      <w:r w:rsidRPr="002F0197" w:rsidR="00831992">
        <w:rPr>
          <w:sz w:val="24"/>
          <w:szCs w:val="24"/>
        </w:rPr>
        <w:t xml:space="preserve"> </w:t>
      </w:r>
      <w:r w:rsidR="009B1BD7">
        <w:rPr>
          <w:sz w:val="24"/>
          <w:szCs w:val="24"/>
        </w:rPr>
        <w:t>A</w:t>
      </w:r>
      <w:r w:rsidR="00C10D68">
        <w:rPr>
          <w:sz w:val="24"/>
          <w:szCs w:val="24"/>
        </w:rPr>
        <w:t>naly</w:t>
      </w:r>
      <w:r w:rsidR="009B1BD7">
        <w:rPr>
          <w:sz w:val="24"/>
          <w:szCs w:val="24"/>
        </w:rPr>
        <w:t xml:space="preserve">sis and Processing of Filings </w:t>
      </w:r>
      <w:r w:rsidRPr="002F0197" w:rsidR="00831992">
        <w:rPr>
          <w:sz w:val="24"/>
          <w:szCs w:val="24"/>
        </w:rPr>
        <w:t>(1</w:t>
      </w:r>
      <w:r w:rsidRPr="002F0197" w:rsidR="009F03F5">
        <w:rPr>
          <w:sz w:val="24"/>
          <w:szCs w:val="24"/>
        </w:rPr>
        <w:t>,</w:t>
      </w:r>
      <w:r w:rsidRPr="002F0197" w:rsidR="00831992">
        <w:rPr>
          <w:sz w:val="24"/>
          <w:szCs w:val="24"/>
        </w:rPr>
        <w:t>750/2</w:t>
      </w:r>
      <w:r w:rsidRPr="002F0197" w:rsidR="009F03F5">
        <w:rPr>
          <w:sz w:val="24"/>
          <w:szCs w:val="24"/>
        </w:rPr>
        <w:t>,</w:t>
      </w:r>
      <w:r w:rsidRPr="002F0197" w:rsidR="00831992">
        <w:rPr>
          <w:sz w:val="24"/>
          <w:szCs w:val="24"/>
        </w:rPr>
        <w:t>080</w:t>
      </w:r>
      <w:r w:rsidRPr="002F0197" w:rsidR="003F063F">
        <w:rPr>
          <w:sz w:val="24"/>
          <w:szCs w:val="24"/>
        </w:rPr>
        <w:t xml:space="preserve"> = 0.84</w:t>
      </w:r>
      <w:r w:rsidRPr="002F0197" w:rsidR="00831992">
        <w:rPr>
          <w:sz w:val="24"/>
          <w:szCs w:val="24"/>
        </w:rPr>
        <w:t>)</w:t>
      </w:r>
      <w:r w:rsidRPr="002F0197" w:rsidR="00885D52">
        <w:rPr>
          <w:sz w:val="24"/>
          <w:szCs w:val="24"/>
        </w:rPr>
        <w:t>.</w:t>
      </w:r>
    </w:p>
  </w:footnote>
  <w:footnote w:id="21">
    <w:p w:rsidR="00144DE0" w:rsidRPr="002F0197" w:rsidP="00830CF6" w14:paraId="2DCA0172" w14:textId="2BE5C57E">
      <w:pPr>
        <w:pStyle w:val="FootnoteText"/>
        <w:ind w:left="0" w:firstLine="0"/>
        <w:rPr>
          <w:sz w:val="24"/>
          <w:szCs w:val="24"/>
        </w:rPr>
      </w:pPr>
      <w:r w:rsidRPr="002F0197">
        <w:rPr>
          <w:rStyle w:val="FootnoteReference"/>
          <w:sz w:val="24"/>
          <w:szCs w:val="24"/>
        </w:rPr>
        <w:footnoteRef/>
      </w:r>
      <w:r w:rsidRPr="002F0197">
        <w:rPr>
          <w:sz w:val="24"/>
          <w:szCs w:val="24"/>
        </w:rPr>
        <w:t xml:space="preserve"> Paperwork Reduction Act of 1995 (PRA).</w:t>
      </w:r>
    </w:p>
  </w:footnote>
  <w:footnote w:id="22">
    <w:p w:rsidR="00AD34D5" w:rsidRPr="002F0197" w:rsidP="00830CF6" w14:paraId="21C174A0" w14:textId="0D76E0A5">
      <w:pPr>
        <w:ind w:left="0"/>
      </w:pPr>
      <w:r w:rsidRPr="002F0197">
        <w:rPr>
          <w:rStyle w:val="FootnoteReference"/>
          <w:sz w:val="24"/>
        </w:rPr>
        <w:footnoteRef/>
      </w:r>
      <w:r w:rsidRPr="002F0197">
        <w:t xml:space="preserve"> The PRA Administrative Cost is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other changes to the collection, and required publications in the Federal Register</w:t>
      </w:r>
      <w:r w:rsidR="00DA58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616DC79" w14:textId="77777777">
    <w:pPr>
      <w:spacing w:after="0" w:line="259" w:lineRule="auto"/>
      <w:ind w:left="360" w:firstLine="0"/>
    </w:pPr>
    <w:r>
      <w:t xml:space="preserve">FERC-516 &amp; FERC-730 (OMB Control Nos. 1902-0096 and 1902-0239)  </w:t>
    </w:r>
  </w:p>
  <w:p w:rsidR="00144DE0" w14:paraId="66150936" w14:textId="53A2574E">
    <w:pPr>
      <w:spacing w:after="0" w:line="259" w:lineRule="auto"/>
      <w:ind w:left="360" w:firstLine="0"/>
    </w:pPr>
    <w:r>
      <w:t xml:space="preserve">Proposed Rule, issued </w:t>
    </w:r>
    <w:r>
      <w:rPr>
        <w:shd w:val="clear" w:color="auto" w:fill="FFFF00"/>
      </w:rPr>
      <w:t>DATE</w:t>
    </w:r>
    <w:r>
      <w:t xml:space="preserve">), Docket RM20-10-000 </w:t>
    </w:r>
  </w:p>
  <w:p w:rsidR="00144DE0" w14:paraId="500F552D" w14:textId="77777777">
    <w:pPr>
      <w:spacing w:after="0" w:line="259" w:lineRule="auto"/>
      <w:ind w:left="360" w:firstLine="0"/>
    </w:pPr>
    <w:r>
      <w:t>RIN: 1902-</w:t>
    </w:r>
    <w:r>
      <w:rPr>
        <w:shd w:val="clear" w:color="auto" w:fill="FFFF00"/>
      </w:rPr>
      <w:t>XXXX</w:t>
    </w:r>
    <w:r>
      <w:t xml:space="preserve"> </w:t>
    </w:r>
  </w:p>
  <w:p w:rsidR="00144DE0" w14:paraId="77438326" w14:textId="77777777">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rsidRPr="00A0739A" w:rsidP="00034FC0" w14:paraId="7F846926" w14:textId="5DFA0DC1">
    <w:pPr>
      <w:widowControl w:val="0"/>
      <w:tabs>
        <w:tab w:val="left" w:pos="-1440"/>
      </w:tabs>
      <w:autoSpaceDE w:val="0"/>
      <w:autoSpaceDN w:val="0"/>
      <w:adjustRightInd w:val="0"/>
      <w:spacing w:after="0" w:line="240" w:lineRule="auto"/>
      <w:ind w:left="0" w:firstLine="0"/>
      <w:rPr>
        <w:color w:val="auto"/>
      </w:rPr>
    </w:pPr>
    <w:r w:rsidRPr="00A0739A">
      <w:rPr>
        <w:color w:val="auto"/>
      </w:rPr>
      <w:t>FERC-516A (OMB Control No. 1902-0203)</w:t>
    </w:r>
  </w:p>
  <w:p w:rsidR="00144DE0" w:rsidP="008F25E0" w14:paraId="32AAB99E" w14:textId="0833BA1C">
    <w:pPr>
      <w:spacing w:after="0" w:line="259" w:lineRule="auto"/>
      <w:ind w:left="0" w:firstLine="0"/>
    </w:pPr>
    <w:r w:rsidRPr="004D68BE">
      <w:t>Docket No. RM22-14-00</w:t>
    </w:r>
    <w:r w:rsidR="005E6514">
      <w:t>1</w:t>
    </w:r>
  </w:p>
  <w:p w:rsidR="00324A65" w:rsidP="008F25E0" w14:paraId="7E4475D7" w14:textId="4339E7C3">
    <w:pPr>
      <w:spacing w:after="0" w:line="259" w:lineRule="auto"/>
      <w:ind w:left="0" w:firstLine="0"/>
    </w:pPr>
    <w:r w:rsidRPr="00D73BEC">
      <w:t>RIN # 1902-AG00</w:t>
    </w:r>
  </w:p>
  <w:p w:rsidR="00144DE0" w:rsidRPr="004D68BE" w:rsidP="008F25E0" w14:paraId="06776D3D"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9F1CFF0" w14:textId="77777777">
    <w:pPr>
      <w:spacing w:after="0" w:line="259" w:lineRule="auto"/>
      <w:ind w:left="360" w:firstLine="0"/>
    </w:pPr>
    <w:r>
      <w:t xml:space="preserve">FERC-516 &amp; FERC-730 (OMB Control Nos. 1902-0096 and 1902-0239)  </w:t>
    </w:r>
  </w:p>
  <w:p w:rsidR="00144DE0" w14:paraId="4CC330AF" w14:textId="06D46DE2">
    <w:pPr>
      <w:spacing w:after="0" w:line="259" w:lineRule="auto"/>
      <w:ind w:left="360" w:firstLine="0"/>
    </w:pPr>
    <w:r>
      <w:t xml:space="preserve">Proposed Rule, issued </w:t>
    </w:r>
    <w:r>
      <w:rPr>
        <w:shd w:val="clear" w:color="auto" w:fill="FFFF00"/>
      </w:rPr>
      <w:t>DATE</w:t>
    </w:r>
    <w:r>
      <w:t xml:space="preserve">), Docket RM20-10-000 </w:t>
    </w:r>
  </w:p>
  <w:p w:rsidR="00144DE0" w14:paraId="772F8535" w14:textId="77777777">
    <w:pPr>
      <w:spacing w:after="0" w:line="259" w:lineRule="auto"/>
      <w:ind w:left="360" w:firstLine="0"/>
    </w:pPr>
    <w:r>
      <w:t>RIN: 1902-</w:t>
    </w:r>
    <w:r>
      <w:rPr>
        <w:shd w:val="clear" w:color="auto" w:fill="FFFF00"/>
      </w:rPr>
      <w:t>XXXX</w:t>
    </w:r>
    <w:r>
      <w:t xml:space="preserve"> </w:t>
    </w:r>
  </w:p>
  <w:p w:rsidR="00144DE0" w14:paraId="75164813" w14:textId="77777777">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5E86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E76DF"/>
    <w:multiLevelType w:val="hybridMultilevel"/>
    <w:tmpl w:val="3C169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960B5"/>
    <w:multiLevelType w:val="hybridMultilevel"/>
    <w:tmpl w:val="AAA61D7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26B498C"/>
    <w:multiLevelType w:val="hybridMultilevel"/>
    <w:tmpl w:val="63D2F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B39CF"/>
    <w:multiLevelType w:val="hybridMultilevel"/>
    <w:tmpl w:val="15E8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BF37B7"/>
    <w:multiLevelType w:val="hybridMultilevel"/>
    <w:tmpl w:val="70E8D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B7C92"/>
    <w:multiLevelType w:val="hybridMultilevel"/>
    <w:tmpl w:val="754A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70FF6"/>
    <w:multiLevelType w:val="hybridMultilevel"/>
    <w:tmpl w:val="F594C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5E07DD"/>
    <w:multiLevelType w:val="hybridMultilevel"/>
    <w:tmpl w:val="73BED954"/>
    <w:lvl w:ilvl="0">
      <w:start w:val="1"/>
      <w:numFmt w:val="decimal"/>
      <w:pStyle w:val="Heading1"/>
      <w:lvlText w:val="%1."/>
      <w:lvlJc w:val="left"/>
      <w:pPr>
        <w:ind w:left="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DB2C2A"/>
    <w:multiLevelType w:val="hybridMultilevel"/>
    <w:tmpl w:val="EE8C18AC"/>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10">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007742"/>
    <w:multiLevelType w:val="hybridMultilevel"/>
    <w:tmpl w:val="CDA4A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0A6A08"/>
    <w:multiLevelType w:val="hybridMultilevel"/>
    <w:tmpl w:val="F4842288"/>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7975499"/>
    <w:multiLevelType w:val="hybridMultilevel"/>
    <w:tmpl w:val="8458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5C2D27"/>
    <w:multiLevelType w:val="hybridMultilevel"/>
    <w:tmpl w:val="14C2B324"/>
    <w:lvl w:ilvl="0">
      <w:start w:val="1"/>
      <w:numFmt w:val="bullet"/>
      <w:pStyle w:val="FERCpara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C32227"/>
    <w:multiLevelType w:val="hybridMultilevel"/>
    <w:tmpl w:val="E17E6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E440D6"/>
    <w:multiLevelType w:val="hybridMultilevel"/>
    <w:tmpl w:val="08E82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9836C1"/>
    <w:multiLevelType w:val="hybridMultilevel"/>
    <w:tmpl w:val="7B54AC36"/>
    <w:lvl w:ilvl="0">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45104008"/>
    <w:multiLevelType w:val="hybridMultilevel"/>
    <w:tmpl w:val="558AE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5CC78B3"/>
    <w:multiLevelType w:val="hybridMultilevel"/>
    <w:tmpl w:val="98C64E7C"/>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20">
    <w:nsid w:val="465C6DB2"/>
    <w:multiLevelType w:val="hybridMultilevel"/>
    <w:tmpl w:val="5A668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EA291B"/>
    <w:multiLevelType w:val="hybridMultilevel"/>
    <w:tmpl w:val="77C2E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3E3710"/>
    <w:multiLevelType w:val="hybridMultilevel"/>
    <w:tmpl w:val="E1506C12"/>
    <w:lvl w:ilvl="0">
      <w:start w:val="2"/>
      <w:numFmt w:val="decimal"/>
      <w:lvlText w:val="%1)"/>
      <w:lvlJc w:val="left"/>
      <w:pPr>
        <w:ind w:left="2516" w:hanging="360"/>
      </w:pPr>
      <w:rPr>
        <w:rFonts w:hint="default"/>
      </w:rPr>
    </w:lvl>
    <w:lvl w:ilvl="1" w:tentative="1">
      <w:start w:val="1"/>
      <w:numFmt w:val="lowerLetter"/>
      <w:lvlText w:val="%2."/>
      <w:lvlJc w:val="left"/>
      <w:pPr>
        <w:ind w:left="3236" w:hanging="360"/>
      </w:pPr>
    </w:lvl>
    <w:lvl w:ilvl="2" w:tentative="1">
      <w:start w:val="1"/>
      <w:numFmt w:val="lowerRoman"/>
      <w:lvlText w:val="%3."/>
      <w:lvlJc w:val="right"/>
      <w:pPr>
        <w:ind w:left="3956" w:hanging="180"/>
      </w:pPr>
    </w:lvl>
    <w:lvl w:ilvl="3" w:tentative="1">
      <w:start w:val="1"/>
      <w:numFmt w:val="decimal"/>
      <w:lvlText w:val="%4."/>
      <w:lvlJc w:val="left"/>
      <w:pPr>
        <w:ind w:left="4676" w:hanging="360"/>
      </w:pPr>
    </w:lvl>
    <w:lvl w:ilvl="4" w:tentative="1">
      <w:start w:val="1"/>
      <w:numFmt w:val="lowerLetter"/>
      <w:lvlText w:val="%5."/>
      <w:lvlJc w:val="left"/>
      <w:pPr>
        <w:ind w:left="5396" w:hanging="360"/>
      </w:pPr>
    </w:lvl>
    <w:lvl w:ilvl="5" w:tentative="1">
      <w:start w:val="1"/>
      <w:numFmt w:val="lowerRoman"/>
      <w:lvlText w:val="%6."/>
      <w:lvlJc w:val="right"/>
      <w:pPr>
        <w:ind w:left="6116" w:hanging="180"/>
      </w:pPr>
    </w:lvl>
    <w:lvl w:ilvl="6" w:tentative="1">
      <w:start w:val="1"/>
      <w:numFmt w:val="decimal"/>
      <w:lvlText w:val="%7."/>
      <w:lvlJc w:val="left"/>
      <w:pPr>
        <w:ind w:left="6836" w:hanging="360"/>
      </w:pPr>
    </w:lvl>
    <w:lvl w:ilvl="7" w:tentative="1">
      <w:start w:val="1"/>
      <w:numFmt w:val="lowerLetter"/>
      <w:lvlText w:val="%8."/>
      <w:lvlJc w:val="left"/>
      <w:pPr>
        <w:ind w:left="7556" w:hanging="360"/>
      </w:pPr>
    </w:lvl>
    <w:lvl w:ilvl="8" w:tentative="1">
      <w:start w:val="1"/>
      <w:numFmt w:val="lowerRoman"/>
      <w:lvlText w:val="%9."/>
      <w:lvlJc w:val="right"/>
      <w:pPr>
        <w:ind w:left="8276" w:hanging="180"/>
      </w:pPr>
    </w:lvl>
  </w:abstractNum>
  <w:abstractNum w:abstractNumId="23">
    <w:nsid w:val="497560E7"/>
    <w:multiLevelType w:val="hybridMultilevel"/>
    <w:tmpl w:val="6D12EE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BDD1B71"/>
    <w:multiLevelType w:val="hybridMultilevel"/>
    <w:tmpl w:val="C4C203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4A79D9"/>
    <w:multiLevelType w:val="hybridMultilevel"/>
    <w:tmpl w:val="0B341360"/>
    <w:lvl w:ilvl="0">
      <w:start w:val="1"/>
      <w:numFmt w:val="low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6">
    <w:nsid w:val="50546A19"/>
    <w:multiLevelType w:val="hybridMultilevel"/>
    <w:tmpl w:val="0282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A60FC5"/>
    <w:multiLevelType w:val="hybridMultilevel"/>
    <w:tmpl w:val="4AB67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4270E3"/>
    <w:multiLevelType w:val="hybridMultilevel"/>
    <w:tmpl w:val="2114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0346D7"/>
    <w:multiLevelType w:val="hybridMultilevel"/>
    <w:tmpl w:val="C1AC9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452027"/>
    <w:multiLevelType w:val="hybridMultilevel"/>
    <w:tmpl w:val="E2C2E29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F56119"/>
    <w:multiLevelType w:val="hybridMultilevel"/>
    <w:tmpl w:val="940E59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1E11E7"/>
    <w:multiLevelType w:val="hybridMultilevel"/>
    <w:tmpl w:val="009A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EA3400"/>
    <w:multiLevelType w:val="hybridMultilevel"/>
    <w:tmpl w:val="F6FEF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361D7B"/>
    <w:multiLevelType w:val="hybridMultilevel"/>
    <w:tmpl w:val="5F9E928A"/>
    <w:lvl w:ilvl="0">
      <w:start w:val="1"/>
      <w:numFmt w:val="decimal"/>
      <w:lvlText w:val="%1."/>
      <w:lvlJc w:val="left"/>
      <w:pPr>
        <w:ind w:left="1076" w:hanging="360"/>
      </w:pPr>
    </w:lvl>
    <w:lvl w:ilvl="1" w:tentative="1">
      <w:start w:val="1"/>
      <w:numFmt w:val="lowerLetter"/>
      <w:lvlText w:val="%2."/>
      <w:lvlJc w:val="left"/>
      <w:pPr>
        <w:ind w:left="1796" w:hanging="360"/>
      </w:pPr>
    </w:lvl>
    <w:lvl w:ilvl="2" w:tentative="1">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36">
    <w:nsid w:val="6E9B7C6F"/>
    <w:multiLevelType w:val="hybridMultilevel"/>
    <w:tmpl w:val="139803C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6FF72274"/>
    <w:multiLevelType w:val="hybridMultilevel"/>
    <w:tmpl w:val="C9D22D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0D85F1B"/>
    <w:multiLevelType w:val="hybridMultilevel"/>
    <w:tmpl w:val="BB66AD9A"/>
    <w:lvl w:ilvl="0">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nsid w:val="73C9493C"/>
    <w:multiLevelType w:val="hybridMultilevel"/>
    <w:tmpl w:val="93386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227796"/>
    <w:multiLevelType w:val="hybridMultilevel"/>
    <w:tmpl w:val="2FD21864"/>
    <w:lvl w:ilvl="0">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1">
    <w:nsid w:val="7AF729A4"/>
    <w:multiLevelType w:val="hybridMultilevel"/>
    <w:tmpl w:val="F3C09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954430"/>
    <w:multiLevelType w:val="hybridMultilevel"/>
    <w:tmpl w:val="57BAE4FE"/>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D3B09D3"/>
    <w:multiLevelType w:val="hybridMultilevel"/>
    <w:tmpl w:val="18B42A1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6359657">
    <w:abstractNumId w:val="37"/>
  </w:num>
  <w:num w:numId="2" w16cid:durableId="685407832">
    <w:abstractNumId w:val="8"/>
  </w:num>
  <w:num w:numId="3" w16cid:durableId="114956277">
    <w:abstractNumId w:val="40"/>
  </w:num>
  <w:num w:numId="4" w16cid:durableId="1761222491">
    <w:abstractNumId w:val="36"/>
  </w:num>
  <w:num w:numId="5" w16cid:durableId="1453137627">
    <w:abstractNumId w:val="31"/>
  </w:num>
  <w:num w:numId="6" w16cid:durableId="774402071">
    <w:abstractNumId w:val="20"/>
  </w:num>
  <w:num w:numId="7" w16cid:durableId="515924746">
    <w:abstractNumId w:val="17"/>
  </w:num>
  <w:num w:numId="8" w16cid:durableId="51463270">
    <w:abstractNumId w:val="2"/>
  </w:num>
  <w:num w:numId="9" w16cid:durableId="953294865">
    <w:abstractNumId w:val="6"/>
  </w:num>
  <w:num w:numId="10" w16cid:durableId="468282546">
    <w:abstractNumId w:val="25"/>
  </w:num>
  <w:num w:numId="11" w16cid:durableId="1433671117">
    <w:abstractNumId w:val="5"/>
  </w:num>
  <w:num w:numId="12" w16cid:durableId="1512261575">
    <w:abstractNumId w:val="19"/>
  </w:num>
  <w:num w:numId="13" w16cid:durableId="1730113176">
    <w:abstractNumId w:val="12"/>
  </w:num>
  <w:num w:numId="14" w16cid:durableId="371348756">
    <w:abstractNumId w:val="41"/>
  </w:num>
  <w:num w:numId="15" w16cid:durableId="1514609001">
    <w:abstractNumId w:val="24"/>
  </w:num>
  <w:num w:numId="16" w16cid:durableId="1725331497">
    <w:abstractNumId w:val="43"/>
  </w:num>
  <w:num w:numId="17" w16cid:durableId="790899132">
    <w:abstractNumId w:val="14"/>
  </w:num>
  <w:num w:numId="18" w16cid:durableId="573248329">
    <w:abstractNumId w:val="22"/>
  </w:num>
  <w:num w:numId="19" w16cid:durableId="987128043">
    <w:abstractNumId w:val="13"/>
  </w:num>
  <w:num w:numId="20" w16cid:durableId="1724794119">
    <w:abstractNumId w:val="7"/>
  </w:num>
  <w:num w:numId="21" w16cid:durableId="708528025">
    <w:abstractNumId w:val="33"/>
  </w:num>
  <w:num w:numId="22" w16cid:durableId="760226638">
    <w:abstractNumId w:val="35"/>
  </w:num>
  <w:num w:numId="23" w16cid:durableId="2016178343">
    <w:abstractNumId w:val="38"/>
  </w:num>
  <w:num w:numId="24" w16cid:durableId="108480142">
    <w:abstractNumId w:val="28"/>
  </w:num>
  <w:num w:numId="25" w16cid:durableId="594167499">
    <w:abstractNumId w:val="29"/>
  </w:num>
  <w:num w:numId="26" w16cid:durableId="380249060">
    <w:abstractNumId w:val="9"/>
  </w:num>
  <w:num w:numId="27" w16cid:durableId="354774109">
    <w:abstractNumId w:val="26"/>
  </w:num>
  <w:num w:numId="28" w16cid:durableId="1026717628">
    <w:abstractNumId w:val="23"/>
  </w:num>
  <w:num w:numId="29" w16cid:durableId="913661945">
    <w:abstractNumId w:val="4"/>
  </w:num>
  <w:num w:numId="30" w16cid:durableId="1427729622">
    <w:abstractNumId w:val="3"/>
  </w:num>
  <w:num w:numId="31" w16cid:durableId="1803113494">
    <w:abstractNumId w:val="34"/>
  </w:num>
  <w:num w:numId="32" w16cid:durableId="1435398970">
    <w:abstractNumId w:val="11"/>
  </w:num>
  <w:num w:numId="33" w16cid:durableId="214662096">
    <w:abstractNumId w:val="39"/>
  </w:num>
  <w:num w:numId="34" w16cid:durableId="1177117127">
    <w:abstractNumId w:val="16"/>
  </w:num>
  <w:num w:numId="35" w16cid:durableId="105009566">
    <w:abstractNumId w:val="32"/>
  </w:num>
  <w:num w:numId="36" w16cid:durableId="1752922323">
    <w:abstractNumId w:val="27"/>
  </w:num>
  <w:num w:numId="37" w16cid:durableId="1822040377">
    <w:abstractNumId w:val="18"/>
  </w:num>
  <w:num w:numId="38" w16cid:durableId="705568089">
    <w:abstractNumId w:val="15"/>
  </w:num>
  <w:num w:numId="39" w16cid:durableId="1624573100">
    <w:abstractNumId w:val="10"/>
  </w:num>
  <w:num w:numId="40" w16cid:durableId="967470376">
    <w:abstractNumId w:val="42"/>
  </w:num>
  <w:num w:numId="41" w16cid:durableId="48312329">
    <w:abstractNumId w:val="0"/>
  </w:num>
  <w:num w:numId="42" w16cid:durableId="27020840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03427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0947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0480099">
    <w:abstractNumId w:val="1"/>
  </w:num>
  <w:num w:numId="46" w16cid:durableId="1776318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099D"/>
    <w:rsid w:val="000013A3"/>
    <w:rsid w:val="0000170D"/>
    <w:rsid w:val="00001A5D"/>
    <w:rsid w:val="00002434"/>
    <w:rsid w:val="00002539"/>
    <w:rsid w:val="00004BBB"/>
    <w:rsid w:val="00006003"/>
    <w:rsid w:val="0000779C"/>
    <w:rsid w:val="00007832"/>
    <w:rsid w:val="000079E5"/>
    <w:rsid w:val="00007E94"/>
    <w:rsid w:val="00010466"/>
    <w:rsid w:val="00010478"/>
    <w:rsid w:val="0001087B"/>
    <w:rsid w:val="00010CA2"/>
    <w:rsid w:val="000116C7"/>
    <w:rsid w:val="000118CE"/>
    <w:rsid w:val="00011A20"/>
    <w:rsid w:val="00011B01"/>
    <w:rsid w:val="00012F33"/>
    <w:rsid w:val="00013FD2"/>
    <w:rsid w:val="00015B0E"/>
    <w:rsid w:val="000163A9"/>
    <w:rsid w:val="0001692B"/>
    <w:rsid w:val="00017681"/>
    <w:rsid w:val="00020FBF"/>
    <w:rsid w:val="00021048"/>
    <w:rsid w:val="000218C9"/>
    <w:rsid w:val="00022435"/>
    <w:rsid w:val="0002513D"/>
    <w:rsid w:val="000255FC"/>
    <w:rsid w:val="00025C9F"/>
    <w:rsid w:val="00026207"/>
    <w:rsid w:val="00026B1C"/>
    <w:rsid w:val="00027C12"/>
    <w:rsid w:val="0003049B"/>
    <w:rsid w:val="00031C77"/>
    <w:rsid w:val="000321ED"/>
    <w:rsid w:val="00034FC0"/>
    <w:rsid w:val="000367B9"/>
    <w:rsid w:val="00036C9F"/>
    <w:rsid w:val="000378C8"/>
    <w:rsid w:val="00041D2F"/>
    <w:rsid w:val="000420B8"/>
    <w:rsid w:val="00043D50"/>
    <w:rsid w:val="00044066"/>
    <w:rsid w:val="00044836"/>
    <w:rsid w:val="000450AE"/>
    <w:rsid w:val="00045373"/>
    <w:rsid w:val="00045A95"/>
    <w:rsid w:val="00047C5E"/>
    <w:rsid w:val="00051B41"/>
    <w:rsid w:val="00051C6D"/>
    <w:rsid w:val="00052817"/>
    <w:rsid w:val="00052C23"/>
    <w:rsid w:val="00052F19"/>
    <w:rsid w:val="000553F3"/>
    <w:rsid w:val="00061304"/>
    <w:rsid w:val="00062065"/>
    <w:rsid w:val="000642C8"/>
    <w:rsid w:val="0006667D"/>
    <w:rsid w:val="00070804"/>
    <w:rsid w:val="0007224A"/>
    <w:rsid w:val="00073223"/>
    <w:rsid w:val="00073684"/>
    <w:rsid w:val="000738DD"/>
    <w:rsid w:val="00074C08"/>
    <w:rsid w:val="000755AE"/>
    <w:rsid w:val="00075A6C"/>
    <w:rsid w:val="00076115"/>
    <w:rsid w:val="00076D6C"/>
    <w:rsid w:val="00077BC0"/>
    <w:rsid w:val="000804B3"/>
    <w:rsid w:val="000807E7"/>
    <w:rsid w:val="00082554"/>
    <w:rsid w:val="00082CF0"/>
    <w:rsid w:val="000835F5"/>
    <w:rsid w:val="0008472A"/>
    <w:rsid w:val="00086494"/>
    <w:rsid w:val="00087796"/>
    <w:rsid w:val="00090CC1"/>
    <w:rsid w:val="00091260"/>
    <w:rsid w:val="0009158D"/>
    <w:rsid w:val="000947DE"/>
    <w:rsid w:val="00096204"/>
    <w:rsid w:val="00097D38"/>
    <w:rsid w:val="000A200F"/>
    <w:rsid w:val="000A230E"/>
    <w:rsid w:val="000A243F"/>
    <w:rsid w:val="000A2AE3"/>
    <w:rsid w:val="000A350F"/>
    <w:rsid w:val="000A363A"/>
    <w:rsid w:val="000A5FF7"/>
    <w:rsid w:val="000B11F4"/>
    <w:rsid w:val="000B2419"/>
    <w:rsid w:val="000B2856"/>
    <w:rsid w:val="000B51D2"/>
    <w:rsid w:val="000B65E1"/>
    <w:rsid w:val="000C1594"/>
    <w:rsid w:val="000C1731"/>
    <w:rsid w:val="000C1DDA"/>
    <w:rsid w:val="000C2ABB"/>
    <w:rsid w:val="000C4094"/>
    <w:rsid w:val="000C54D7"/>
    <w:rsid w:val="000C5F3D"/>
    <w:rsid w:val="000C62BD"/>
    <w:rsid w:val="000C7809"/>
    <w:rsid w:val="000C7D82"/>
    <w:rsid w:val="000D172F"/>
    <w:rsid w:val="000D20C6"/>
    <w:rsid w:val="000D41B5"/>
    <w:rsid w:val="000D521A"/>
    <w:rsid w:val="000D58F2"/>
    <w:rsid w:val="000D64BD"/>
    <w:rsid w:val="000D66BF"/>
    <w:rsid w:val="000D6914"/>
    <w:rsid w:val="000D6DC2"/>
    <w:rsid w:val="000D78CD"/>
    <w:rsid w:val="000D7D49"/>
    <w:rsid w:val="000D7FF1"/>
    <w:rsid w:val="000E073B"/>
    <w:rsid w:val="000E0CFD"/>
    <w:rsid w:val="000E1735"/>
    <w:rsid w:val="000E25EF"/>
    <w:rsid w:val="000E2701"/>
    <w:rsid w:val="000E28D4"/>
    <w:rsid w:val="000E296E"/>
    <w:rsid w:val="000E29EE"/>
    <w:rsid w:val="000E49E6"/>
    <w:rsid w:val="000E78C6"/>
    <w:rsid w:val="000E7A64"/>
    <w:rsid w:val="000E7CFE"/>
    <w:rsid w:val="000F0E08"/>
    <w:rsid w:val="000F0F61"/>
    <w:rsid w:val="000F124F"/>
    <w:rsid w:val="000F23BF"/>
    <w:rsid w:val="000F2CB3"/>
    <w:rsid w:val="000F2E90"/>
    <w:rsid w:val="000F5F51"/>
    <w:rsid w:val="000F7553"/>
    <w:rsid w:val="000F78FA"/>
    <w:rsid w:val="000F7D04"/>
    <w:rsid w:val="000F7E49"/>
    <w:rsid w:val="001005BB"/>
    <w:rsid w:val="001006A7"/>
    <w:rsid w:val="00100A80"/>
    <w:rsid w:val="00100E21"/>
    <w:rsid w:val="0010176A"/>
    <w:rsid w:val="00101FF6"/>
    <w:rsid w:val="00102BFE"/>
    <w:rsid w:val="00105019"/>
    <w:rsid w:val="001056E3"/>
    <w:rsid w:val="00105897"/>
    <w:rsid w:val="001068FA"/>
    <w:rsid w:val="00107A97"/>
    <w:rsid w:val="00110032"/>
    <w:rsid w:val="001104E2"/>
    <w:rsid w:val="00111722"/>
    <w:rsid w:val="00113231"/>
    <w:rsid w:val="00113914"/>
    <w:rsid w:val="00113E1C"/>
    <w:rsid w:val="00114A0A"/>
    <w:rsid w:val="00115811"/>
    <w:rsid w:val="0011720C"/>
    <w:rsid w:val="00120557"/>
    <w:rsid w:val="00120E54"/>
    <w:rsid w:val="00121834"/>
    <w:rsid w:val="00122021"/>
    <w:rsid w:val="00122D69"/>
    <w:rsid w:val="00123522"/>
    <w:rsid w:val="001239D9"/>
    <w:rsid w:val="001243E0"/>
    <w:rsid w:val="001245B6"/>
    <w:rsid w:val="00124BF2"/>
    <w:rsid w:val="00124E0D"/>
    <w:rsid w:val="0012526F"/>
    <w:rsid w:val="00125633"/>
    <w:rsid w:val="00126187"/>
    <w:rsid w:val="001269A0"/>
    <w:rsid w:val="00127F87"/>
    <w:rsid w:val="00130A95"/>
    <w:rsid w:val="00130B5A"/>
    <w:rsid w:val="00130D1B"/>
    <w:rsid w:val="00131570"/>
    <w:rsid w:val="001320E3"/>
    <w:rsid w:val="00134501"/>
    <w:rsid w:val="00134A65"/>
    <w:rsid w:val="00136ADA"/>
    <w:rsid w:val="00137E7C"/>
    <w:rsid w:val="00140C98"/>
    <w:rsid w:val="001414E4"/>
    <w:rsid w:val="001438EC"/>
    <w:rsid w:val="00144DE0"/>
    <w:rsid w:val="0014519A"/>
    <w:rsid w:val="00145D44"/>
    <w:rsid w:val="001472DB"/>
    <w:rsid w:val="00147354"/>
    <w:rsid w:val="001475F3"/>
    <w:rsid w:val="001500D5"/>
    <w:rsid w:val="00150169"/>
    <w:rsid w:val="00153114"/>
    <w:rsid w:val="00153921"/>
    <w:rsid w:val="0015414D"/>
    <w:rsid w:val="001558CC"/>
    <w:rsid w:val="00155D7B"/>
    <w:rsid w:val="00155F8D"/>
    <w:rsid w:val="00156051"/>
    <w:rsid w:val="00156174"/>
    <w:rsid w:val="0015679A"/>
    <w:rsid w:val="00161283"/>
    <w:rsid w:val="00164758"/>
    <w:rsid w:val="00165DBC"/>
    <w:rsid w:val="00165F11"/>
    <w:rsid w:val="001673C5"/>
    <w:rsid w:val="001709E0"/>
    <w:rsid w:val="00171168"/>
    <w:rsid w:val="00172918"/>
    <w:rsid w:val="0017331B"/>
    <w:rsid w:val="001734AF"/>
    <w:rsid w:val="00173A96"/>
    <w:rsid w:val="00174A20"/>
    <w:rsid w:val="0017518A"/>
    <w:rsid w:val="00175296"/>
    <w:rsid w:val="00175743"/>
    <w:rsid w:val="00175BC2"/>
    <w:rsid w:val="00175D36"/>
    <w:rsid w:val="00177DF8"/>
    <w:rsid w:val="00180A5A"/>
    <w:rsid w:val="00180FE6"/>
    <w:rsid w:val="0018118A"/>
    <w:rsid w:val="001811E6"/>
    <w:rsid w:val="00182DB7"/>
    <w:rsid w:val="00184294"/>
    <w:rsid w:val="001846A3"/>
    <w:rsid w:val="001863AD"/>
    <w:rsid w:val="00190015"/>
    <w:rsid w:val="001900C8"/>
    <w:rsid w:val="00190BEF"/>
    <w:rsid w:val="001920BF"/>
    <w:rsid w:val="001934C2"/>
    <w:rsid w:val="00193926"/>
    <w:rsid w:val="00193E04"/>
    <w:rsid w:val="00194FE7"/>
    <w:rsid w:val="0019504D"/>
    <w:rsid w:val="00195193"/>
    <w:rsid w:val="00195D7D"/>
    <w:rsid w:val="00196ACA"/>
    <w:rsid w:val="00196BB4"/>
    <w:rsid w:val="00197206"/>
    <w:rsid w:val="00197838"/>
    <w:rsid w:val="001A1C09"/>
    <w:rsid w:val="001A42D5"/>
    <w:rsid w:val="001A6536"/>
    <w:rsid w:val="001B0967"/>
    <w:rsid w:val="001B1273"/>
    <w:rsid w:val="001B297D"/>
    <w:rsid w:val="001B3545"/>
    <w:rsid w:val="001B425D"/>
    <w:rsid w:val="001B4D07"/>
    <w:rsid w:val="001B5E10"/>
    <w:rsid w:val="001B6472"/>
    <w:rsid w:val="001B7588"/>
    <w:rsid w:val="001B7C6B"/>
    <w:rsid w:val="001C02B7"/>
    <w:rsid w:val="001C02F8"/>
    <w:rsid w:val="001C11FD"/>
    <w:rsid w:val="001C1367"/>
    <w:rsid w:val="001C1F50"/>
    <w:rsid w:val="001C25F4"/>
    <w:rsid w:val="001C2A92"/>
    <w:rsid w:val="001C36DF"/>
    <w:rsid w:val="001C5768"/>
    <w:rsid w:val="001C5A5F"/>
    <w:rsid w:val="001C6350"/>
    <w:rsid w:val="001C6373"/>
    <w:rsid w:val="001C66AF"/>
    <w:rsid w:val="001C6AD5"/>
    <w:rsid w:val="001D0EDD"/>
    <w:rsid w:val="001D2FC6"/>
    <w:rsid w:val="001D3888"/>
    <w:rsid w:val="001D44C1"/>
    <w:rsid w:val="001D559E"/>
    <w:rsid w:val="001D5E7A"/>
    <w:rsid w:val="001D7642"/>
    <w:rsid w:val="001D7D53"/>
    <w:rsid w:val="001E1B4C"/>
    <w:rsid w:val="001E27B9"/>
    <w:rsid w:val="001E30F3"/>
    <w:rsid w:val="001E428D"/>
    <w:rsid w:val="001E596C"/>
    <w:rsid w:val="001E5AED"/>
    <w:rsid w:val="001E5B44"/>
    <w:rsid w:val="001E6177"/>
    <w:rsid w:val="001E66F0"/>
    <w:rsid w:val="001E6CFB"/>
    <w:rsid w:val="001E74A0"/>
    <w:rsid w:val="001F09B7"/>
    <w:rsid w:val="001F0C13"/>
    <w:rsid w:val="001F0FF2"/>
    <w:rsid w:val="001F13F1"/>
    <w:rsid w:val="001F1814"/>
    <w:rsid w:val="001F2FD1"/>
    <w:rsid w:val="001F3988"/>
    <w:rsid w:val="001F3B6A"/>
    <w:rsid w:val="001F3DBB"/>
    <w:rsid w:val="001F4248"/>
    <w:rsid w:val="001F767B"/>
    <w:rsid w:val="001F7B5A"/>
    <w:rsid w:val="001F7C32"/>
    <w:rsid w:val="001F7D1C"/>
    <w:rsid w:val="0020035A"/>
    <w:rsid w:val="00201471"/>
    <w:rsid w:val="00201822"/>
    <w:rsid w:val="002022C6"/>
    <w:rsid w:val="0020324E"/>
    <w:rsid w:val="00203D3D"/>
    <w:rsid w:val="0020414A"/>
    <w:rsid w:val="00205AF7"/>
    <w:rsid w:val="00205DB3"/>
    <w:rsid w:val="00206834"/>
    <w:rsid w:val="00211241"/>
    <w:rsid w:val="00211945"/>
    <w:rsid w:val="00212585"/>
    <w:rsid w:val="0021263B"/>
    <w:rsid w:val="00213FE1"/>
    <w:rsid w:val="002140FB"/>
    <w:rsid w:val="00214E33"/>
    <w:rsid w:val="00215025"/>
    <w:rsid w:val="00215492"/>
    <w:rsid w:val="0021622E"/>
    <w:rsid w:val="00216747"/>
    <w:rsid w:val="002168BD"/>
    <w:rsid w:val="002171A1"/>
    <w:rsid w:val="002174F6"/>
    <w:rsid w:val="00217591"/>
    <w:rsid w:val="00217F24"/>
    <w:rsid w:val="00220C14"/>
    <w:rsid w:val="00220E36"/>
    <w:rsid w:val="002223D2"/>
    <w:rsid w:val="002223E7"/>
    <w:rsid w:val="00222B9F"/>
    <w:rsid w:val="00224FA6"/>
    <w:rsid w:val="0023042C"/>
    <w:rsid w:val="002305A5"/>
    <w:rsid w:val="00232F93"/>
    <w:rsid w:val="00234CA5"/>
    <w:rsid w:val="00235545"/>
    <w:rsid w:val="0023618A"/>
    <w:rsid w:val="00236CF2"/>
    <w:rsid w:val="0023750D"/>
    <w:rsid w:val="002403E0"/>
    <w:rsid w:val="0024040D"/>
    <w:rsid w:val="00240676"/>
    <w:rsid w:val="00241151"/>
    <w:rsid w:val="002418C0"/>
    <w:rsid w:val="002422B1"/>
    <w:rsid w:val="0024262E"/>
    <w:rsid w:val="00242CE3"/>
    <w:rsid w:val="00243432"/>
    <w:rsid w:val="00243775"/>
    <w:rsid w:val="00246D57"/>
    <w:rsid w:val="00247D58"/>
    <w:rsid w:val="00250554"/>
    <w:rsid w:val="002506FE"/>
    <w:rsid w:val="00250BCF"/>
    <w:rsid w:val="00250F57"/>
    <w:rsid w:val="00250F74"/>
    <w:rsid w:val="00251A12"/>
    <w:rsid w:val="00252BC0"/>
    <w:rsid w:val="00253221"/>
    <w:rsid w:val="002549F7"/>
    <w:rsid w:val="00255874"/>
    <w:rsid w:val="002559AF"/>
    <w:rsid w:val="00255AE0"/>
    <w:rsid w:val="002568C0"/>
    <w:rsid w:val="00256DA6"/>
    <w:rsid w:val="002621DD"/>
    <w:rsid w:val="00262DE0"/>
    <w:rsid w:val="00264530"/>
    <w:rsid w:val="00264868"/>
    <w:rsid w:val="00264A9E"/>
    <w:rsid w:val="00264F0C"/>
    <w:rsid w:val="002657A1"/>
    <w:rsid w:val="00266A42"/>
    <w:rsid w:val="00267214"/>
    <w:rsid w:val="00267745"/>
    <w:rsid w:val="0027058A"/>
    <w:rsid w:val="00270B39"/>
    <w:rsid w:val="00271DBF"/>
    <w:rsid w:val="00271FBA"/>
    <w:rsid w:val="00272457"/>
    <w:rsid w:val="00272595"/>
    <w:rsid w:val="002729A4"/>
    <w:rsid w:val="00272A61"/>
    <w:rsid w:val="00273022"/>
    <w:rsid w:val="002749D6"/>
    <w:rsid w:val="00274C86"/>
    <w:rsid w:val="00276220"/>
    <w:rsid w:val="002768DF"/>
    <w:rsid w:val="0027766E"/>
    <w:rsid w:val="00277941"/>
    <w:rsid w:val="00277FDC"/>
    <w:rsid w:val="00280882"/>
    <w:rsid w:val="00280CA0"/>
    <w:rsid w:val="002817A0"/>
    <w:rsid w:val="0028328A"/>
    <w:rsid w:val="00283403"/>
    <w:rsid w:val="002835E6"/>
    <w:rsid w:val="002842C3"/>
    <w:rsid w:val="0028519C"/>
    <w:rsid w:val="002861EE"/>
    <w:rsid w:val="00290D8A"/>
    <w:rsid w:val="00293036"/>
    <w:rsid w:val="00293609"/>
    <w:rsid w:val="0029442A"/>
    <w:rsid w:val="00295724"/>
    <w:rsid w:val="00295D7E"/>
    <w:rsid w:val="00295E3A"/>
    <w:rsid w:val="00296F50"/>
    <w:rsid w:val="002A0A18"/>
    <w:rsid w:val="002A14CA"/>
    <w:rsid w:val="002A167D"/>
    <w:rsid w:val="002A1C15"/>
    <w:rsid w:val="002A3F3C"/>
    <w:rsid w:val="002A4634"/>
    <w:rsid w:val="002A62E6"/>
    <w:rsid w:val="002B36DE"/>
    <w:rsid w:val="002B386A"/>
    <w:rsid w:val="002B3CB3"/>
    <w:rsid w:val="002B3D82"/>
    <w:rsid w:val="002B4094"/>
    <w:rsid w:val="002B4E0F"/>
    <w:rsid w:val="002B68F1"/>
    <w:rsid w:val="002C0C18"/>
    <w:rsid w:val="002C103D"/>
    <w:rsid w:val="002C1843"/>
    <w:rsid w:val="002C354C"/>
    <w:rsid w:val="002C3C5F"/>
    <w:rsid w:val="002C6358"/>
    <w:rsid w:val="002C6C59"/>
    <w:rsid w:val="002C7642"/>
    <w:rsid w:val="002D4209"/>
    <w:rsid w:val="002D4378"/>
    <w:rsid w:val="002D51F4"/>
    <w:rsid w:val="002D5CAA"/>
    <w:rsid w:val="002D6058"/>
    <w:rsid w:val="002D7071"/>
    <w:rsid w:val="002D7C03"/>
    <w:rsid w:val="002D7E48"/>
    <w:rsid w:val="002E0337"/>
    <w:rsid w:val="002E1956"/>
    <w:rsid w:val="002E1AA4"/>
    <w:rsid w:val="002E225A"/>
    <w:rsid w:val="002E2384"/>
    <w:rsid w:val="002E29E9"/>
    <w:rsid w:val="002E2FA4"/>
    <w:rsid w:val="002E3996"/>
    <w:rsid w:val="002E4DDA"/>
    <w:rsid w:val="002E4EB6"/>
    <w:rsid w:val="002E5C84"/>
    <w:rsid w:val="002E7A0D"/>
    <w:rsid w:val="002F0197"/>
    <w:rsid w:val="002F0A7A"/>
    <w:rsid w:val="002F16B0"/>
    <w:rsid w:val="002F197B"/>
    <w:rsid w:val="002F1C41"/>
    <w:rsid w:val="002F205B"/>
    <w:rsid w:val="002F2E9F"/>
    <w:rsid w:val="002F3062"/>
    <w:rsid w:val="002F393D"/>
    <w:rsid w:val="002F3B4D"/>
    <w:rsid w:val="002F3DDF"/>
    <w:rsid w:val="002F4489"/>
    <w:rsid w:val="002F47B4"/>
    <w:rsid w:val="002F4CB4"/>
    <w:rsid w:val="002F5134"/>
    <w:rsid w:val="002F5849"/>
    <w:rsid w:val="002F6496"/>
    <w:rsid w:val="002F64C9"/>
    <w:rsid w:val="002F7A1B"/>
    <w:rsid w:val="0030054A"/>
    <w:rsid w:val="00300A06"/>
    <w:rsid w:val="00301481"/>
    <w:rsid w:val="003021A6"/>
    <w:rsid w:val="0030342C"/>
    <w:rsid w:val="00303665"/>
    <w:rsid w:val="00303893"/>
    <w:rsid w:val="003038A9"/>
    <w:rsid w:val="0030405A"/>
    <w:rsid w:val="00305801"/>
    <w:rsid w:val="003070E4"/>
    <w:rsid w:val="00310A64"/>
    <w:rsid w:val="00310B74"/>
    <w:rsid w:val="00310B8D"/>
    <w:rsid w:val="00311BE5"/>
    <w:rsid w:val="00314BA7"/>
    <w:rsid w:val="003161B4"/>
    <w:rsid w:val="0031682F"/>
    <w:rsid w:val="003177E2"/>
    <w:rsid w:val="003200ED"/>
    <w:rsid w:val="00320C43"/>
    <w:rsid w:val="00321FE9"/>
    <w:rsid w:val="003229C4"/>
    <w:rsid w:val="00323431"/>
    <w:rsid w:val="00324A65"/>
    <w:rsid w:val="00325443"/>
    <w:rsid w:val="00325A3F"/>
    <w:rsid w:val="0032689C"/>
    <w:rsid w:val="00327699"/>
    <w:rsid w:val="00330701"/>
    <w:rsid w:val="00331788"/>
    <w:rsid w:val="003327A2"/>
    <w:rsid w:val="00332953"/>
    <w:rsid w:val="00332BC6"/>
    <w:rsid w:val="00333BF6"/>
    <w:rsid w:val="00334330"/>
    <w:rsid w:val="00334B75"/>
    <w:rsid w:val="00334CFF"/>
    <w:rsid w:val="00335C3D"/>
    <w:rsid w:val="00336342"/>
    <w:rsid w:val="003374F7"/>
    <w:rsid w:val="0033792F"/>
    <w:rsid w:val="003420B1"/>
    <w:rsid w:val="00343726"/>
    <w:rsid w:val="0034451E"/>
    <w:rsid w:val="00344E67"/>
    <w:rsid w:val="00346090"/>
    <w:rsid w:val="00346598"/>
    <w:rsid w:val="0034718E"/>
    <w:rsid w:val="003474DB"/>
    <w:rsid w:val="0034752C"/>
    <w:rsid w:val="00347984"/>
    <w:rsid w:val="00347E60"/>
    <w:rsid w:val="00350358"/>
    <w:rsid w:val="00350594"/>
    <w:rsid w:val="003520D1"/>
    <w:rsid w:val="00352972"/>
    <w:rsid w:val="00353487"/>
    <w:rsid w:val="00354C02"/>
    <w:rsid w:val="00355349"/>
    <w:rsid w:val="003563E1"/>
    <w:rsid w:val="00356BA5"/>
    <w:rsid w:val="00357430"/>
    <w:rsid w:val="0036111B"/>
    <w:rsid w:val="0036181F"/>
    <w:rsid w:val="00362464"/>
    <w:rsid w:val="00363E9E"/>
    <w:rsid w:val="003640CA"/>
    <w:rsid w:val="0036428F"/>
    <w:rsid w:val="00365452"/>
    <w:rsid w:val="00365916"/>
    <w:rsid w:val="00366096"/>
    <w:rsid w:val="00367002"/>
    <w:rsid w:val="00367321"/>
    <w:rsid w:val="00370127"/>
    <w:rsid w:val="003707F9"/>
    <w:rsid w:val="003719EF"/>
    <w:rsid w:val="00372071"/>
    <w:rsid w:val="00374117"/>
    <w:rsid w:val="003745F9"/>
    <w:rsid w:val="00374B94"/>
    <w:rsid w:val="00374D78"/>
    <w:rsid w:val="003761EE"/>
    <w:rsid w:val="0037665C"/>
    <w:rsid w:val="00376933"/>
    <w:rsid w:val="003772C8"/>
    <w:rsid w:val="00377427"/>
    <w:rsid w:val="00377F9D"/>
    <w:rsid w:val="003800F0"/>
    <w:rsid w:val="00380A55"/>
    <w:rsid w:val="00380AEA"/>
    <w:rsid w:val="0038246A"/>
    <w:rsid w:val="0038340A"/>
    <w:rsid w:val="00383548"/>
    <w:rsid w:val="0038359C"/>
    <w:rsid w:val="00383782"/>
    <w:rsid w:val="00383CEA"/>
    <w:rsid w:val="00384964"/>
    <w:rsid w:val="00385A93"/>
    <w:rsid w:val="0038680F"/>
    <w:rsid w:val="0038787A"/>
    <w:rsid w:val="00387A8B"/>
    <w:rsid w:val="00387B81"/>
    <w:rsid w:val="00390407"/>
    <w:rsid w:val="00390628"/>
    <w:rsid w:val="003908DA"/>
    <w:rsid w:val="00391855"/>
    <w:rsid w:val="00391AD9"/>
    <w:rsid w:val="0039209D"/>
    <w:rsid w:val="00392E09"/>
    <w:rsid w:val="003943D3"/>
    <w:rsid w:val="003951F6"/>
    <w:rsid w:val="003953D0"/>
    <w:rsid w:val="003960AC"/>
    <w:rsid w:val="00396F31"/>
    <w:rsid w:val="00397241"/>
    <w:rsid w:val="003974CE"/>
    <w:rsid w:val="00397F49"/>
    <w:rsid w:val="003A000C"/>
    <w:rsid w:val="003A13DE"/>
    <w:rsid w:val="003A2A41"/>
    <w:rsid w:val="003A403F"/>
    <w:rsid w:val="003A4D5E"/>
    <w:rsid w:val="003A5DD2"/>
    <w:rsid w:val="003A5E69"/>
    <w:rsid w:val="003A70AF"/>
    <w:rsid w:val="003A70CE"/>
    <w:rsid w:val="003A7E1C"/>
    <w:rsid w:val="003B004B"/>
    <w:rsid w:val="003B1F78"/>
    <w:rsid w:val="003B2FA8"/>
    <w:rsid w:val="003B3FEB"/>
    <w:rsid w:val="003B4D84"/>
    <w:rsid w:val="003B527D"/>
    <w:rsid w:val="003B6374"/>
    <w:rsid w:val="003B6BE2"/>
    <w:rsid w:val="003B6E7C"/>
    <w:rsid w:val="003B6EC3"/>
    <w:rsid w:val="003B7220"/>
    <w:rsid w:val="003B76E5"/>
    <w:rsid w:val="003B774F"/>
    <w:rsid w:val="003C0571"/>
    <w:rsid w:val="003C0EC5"/>
    <w:rsid w:val="003C127E"/>
    <w:rsid w:val="003C28AD"/>
    <w:rsid w:val="003C2EA3"/>
    <w:rsid w:val="003C4AE1"/>
    <w:rsid w:val="003C4F7D"/>
    <w:rsid w:val="003C58CD"/>
    <w:rsid w:val="003C7B1C"/>
    <w:rsid w:val="003D059F"/>
    <w:rsid w:val="003D21B2"/>
    <w:rsid w:val="003D2EF8"/>
    <w:rsid w:val="003D4844"/>
    <w:rsid w:val="003D622A"/>
    <w:rsid w:val="003D71F8"/>
    <w:rsid w:val="003D787A"/>
    <w:rsid w:val="003E010A"/>
    <w:rsid w:val="003E1165"/>
    <w:rsid w:val="003E1656"/>
    <w:rsid w:val="003E316D"/>
    <w:rsid w:val="003E50F5"/>
    <w:rsid w:val="003E5254"/>
    <w:rsid w:val="003E690F"/>
    <w:rsid w:val="003F063F"/>
    <w:rsid w:val="003F215C"/>
    <w:rsid w:val="003F3EDB"/>
    <w:rsid w:val="003F49F5"/>
    <w:rsid w:val="003F4FD2"/>
    <w:rsid w:val="003F5230"/>
    <w:rsid w:val="003F7C1E"/>
    <w:rsid w:val="004000AC"/>
    <w:rsid w:val="00400742"/>
    <w:rsid w:val="00401529"/>
    <w:rsid w:val="004044A1"/>
    <w:rsid w:val="00405EA7"/>
    <w:rsid w:val="004102BE"/>
    <w:rsid w:val="00410AD3"/>
    <w:rsid w:val="004112AE"/>
    <w:rsid w:val="00411696"/>
    <w:rsid w:val="0041244F"/>
    <w:rsid w:val="00412787"/>
    <w:rsid w:val="004128A6"/>
    <w:rsid w:val="00413679"/>
    <w:rsid w:val="00413A7D"/>
    <w:rsid w:val="0041516C"/>
    <w:rsid w:val="00416D17"/>
    <w:rsid w:val="004200CA"/>
    <w:rsid w:val="004208B1"/>
    <w:rsid w:val="00421FD4"/>
    <w:rsid w:val="00422983"/>
    <w:rsid w:val="00422992"/>
    <w:rsid w:val="00423A55"/>
    <w:rsid w:val="00424E24"/>
    <w:rsid w:val="00424F21"/>
    <w:rsid w:val="00425FAC"/>
    <w:rsid w:val="00426EC5"/>
    <w:rsid w:val="00430619"/>
    <w:rsid w:val="004312D7"/>
    <w:rsid w:val="0043169B"/>
    <w:rsid w:val="00434EA7"/>
    <w:rsid w:val="00434F3F"/>
    <w:rsid w:val="004364C8"/>
    <w:rsid w:val="0043667C"/>
    <w:rsid w:val="004414F1"/>
    <w:rsid w:val="004425C1"/>
    <w:rsid w:val="00442838"/>
    <w:rsid w:val="00443F57"/>
    <w:rsid w:val="00444173"/>
    <w:rsid w:val="0044574A"/>
    <w:rsid w:val="00445E8E"/>
    <w:rsid w:val="004466FF"/>
    <w:rsid w:val="0044744C"/>
    <w:rsid w:val="004513FF"/>
    <w:rsid w:val="00451CE7"/>
    <w:rsid w:val="00454403"/>
    <w:rsid w:val="00454E62"/>
    <w:rsid w:val="00456F83"/>
    <w:rsid w:val="00457621"/>
    <w:rsid w:val="004608D0"/>
    <w:rsid w:val="004617AA"/>
    <w:rsid w:val="00461DEE"/>
    <w:rsid w:val="0046309C"/>
    <w:rsid w:val="00463FE8"/>
    <w:rsid w:val="00465888"/>
    <w:rsid w:val="004660A5"/>
    <w:rsid w:val="00466941"/>
    <w:rsid w:val="0047094B"/>
    <w:rsid w:val="0047216D"/>
    <w:rsid w:val="00472A8E"/>
    <w:rsid w:val="00472DAC"/>
    <w:rsid w:val="00473A0C"/>
    <w:rsid w:val="00473D54"/>
    <w:rsid w:val="00473E48"/>
    <w:rsid w:val="00474740"/>
    <w:rsid w:val="004757FF"/>
    <w:rsid w:val="00477163"/>
    <w:rsid w:val="00477B2E"/>
    <w:rsid w:val="0048089A"/>
    <w:rsid w:val="00480BA1"/>
    <w:rsid w:val="00481B97"/>
    <w:rsid w:val="00481CE2"/>
    <w:rsid w:val="00481F3C"/>
    <w:rsid w:val="004830E4"/>
    <w:rsid w:val="00484762"/>
    <w:rsid w:val="00485797"/>
    <w:rsid w:val="00486A92"/>
    <w:rsid w:val="00486BFB"/>
    <w:rsid w:val="004874CC"/>
    <w:rsid w:val="0049264D"/>
    <w:rsid w:val="0049274E"/>
    <w:rsid w:val="00494910"/>
    <w:rsid w:val="004968C6"/>
    <w:rsid w:val="0049795D"/>
    <w:rsid w:val="004A11FD"/>
    <w:rsid w:val="004A1239"/>
    <w:rsid w:val="004A3963"/>
    <w:rsid w:val="004A3D6A"/>
    <w:rsid w:val="004A60A5"/>
    <w:rsid w:val="004A73E4"/>
    <w:rsid w:val="004B0A51"/>
    <w:rsid w:val="004B0F06"/>
    <w:rsid w:val="004B21F0"/>
    <w:rsid w:val="004B43CC"/>
    <w:rsid w:val="004B451E"/>
    <w:rsid w:val="004B5423"/>
    <w:rsid w:val="004B6A83"/>
    <w:rsid w:val="004C005A"/>
    <w:rsid w:val="004C0E5E"/>
    <w:rsid w:val="004C0E7D"/>
    <w:rsid w:val="004C151D"/>
    <w:rsid w:val="004C1B9D"/>
    <w:rsid w:val="004C2D7C"/>
    <w:rsid w:val="004C3F35"/>
    <w:rsid w:val="004C4FAF"/>
    <w:rsid w:val="004C6143"/>
    <w:rsid w:val="004C723D"/>
    <w:rsid w:val="004D22A6"/>
    <w:rsid w:val="004D23A4"/>
    <w:rsid w:val="004D2AD9"/>
    <w:rsid w:val="004D3530"/>
    <w:rsid w:val="004D45C2"/>
    <w:rsid w:val="004D54FF"/>
    <w:rsid w:val="004D5756"/>
    <w:rsid w:val="004D5CC7"/>
    <w:rsid w:val="004D68BE"/>
    <w:rsid w:val="004D6A9E"/>
    <w:rsid w:val="004E091C"/>
    <w:rsid w:val="004E15CF"/>
    <w:rsid w:val="004E1CC3"/>
    <w:rsid w:val="004E3F9A"/>
    <w:rsid w:val="004E443E"/>
    <w:rsid w:val="004E4A03"/>
    <w:rsid w:val="004E57E2"/>
    <w:rsid w:val="004E5A36"/>
    <w:rsid w:val="004E61D9"/>
    <w:rsid w:val="004E72E2"/>
    <w:rsid w:val="004E7B9B"/>
    <w:rsid w:val="004E7CFB"/>
    <w:rsid w:val="004F0B7B"/>
    <w:rsid w:val="004F18D0"/>
    <w:rsid w:val="004F1C29"/>
    <w:rsid w:val="004F28A2"/>
    <w:rsid w:val="004F35D3"/>
    <w:rsid w:val="004F45CC"/>
    <w:rsid w:val="004F4D9A"/>
    <w:rsid w:val="004F5A63"/>
    <w:rsid w:val="004F645E"/>
    <w:rsid w:val="004F7296"/>
    <w:rsid w:val="004F7343"/>
    <w:rsid w:val="004F77AE"/>
    <w:rsid w:val="004F7C9B"/>
    <w:rsid w:val="004F7FF9"/>
    <w:rsid w:val="00500129"/>
    <w:rsid w:val="00501C06"/>
    <w:rsid w:val="00501CE6"/>
    <w:rsid w:val="00501E19"/>
    <w:rsid w:val="005030E2"/>
    <w:rsid w:val="00504075"/>
    <w:rsid w:val="00506085"/>
    <w:rsid w:val="00507A01"/>
    <w:rsid w:val="00507F9F"/>
    <w:rsid w:val="00510AAA"/>
    <w:rsid w:val="005121EC"/>
    <w:rsid w:val="0051351B"/>
    <w:rsid w:val="005142EA"/>
    <w:rsid w:val="0051445E"/>
    <w:rsid w:val="0051509F"/>
    <w:rsid w:val="00516B80"/>
    <w:rsid w:val="00516F12"/>
    <w:rsid w:val="00517198"/>
    <w:rsid w:val="005224BA"/>
    <w:rsid w:val="00522B85"/>
    <w:rsid w:val="00523427"/>
    <w:rsid w:val="00527317"/>
    <w:rsid w:val="00527865"/>
    <w:rsid w:val="00527F9E"/>
    <w:rsid w:val="00530ECD"/>
    <w:rsid w:val="00532706"/>
    <w:rsid w:val="0053284E"/>
    <w:rsid w:val="0053293F"/>
    <w:rsid w:val="00533455"/>
    <w:rsid w:val="00534489"/>
    <w:rsid w:val="00534BF7"/>
    <w:rsid w:val="00534D19"/>
    <w:rsid w:val="00534DB7"/>
    <w:rsid w:val="005358E5"/>
    <w:rsid w:val="00535DBE"/>
    <w:rsid w:val="00535FF9"/>
    <w:rsid w:val="00536F08"/>
    <w:rsid w:val="005372B7"/>
    <w:rsid w:val="00537541"/>
    <w:rsid w:val="00541283"/>
    <w:rsid w:val="005420C3"/>
    <w:rsid w:val="00542111"/>
    <w:rsid w:val="00542D47"/>
    <w:rsid w:val="00543099"/>
    <w:rsid w:val="00543CF3"/>
    <w:rsid w:val="00544A44"/>
    <w:rsid w:val="00544EEF"/>
    <w:rsid w:val="005452BE"/>
    <w:rsid w:val="00545EC9"/>
    <w:rsid w:val="00546D42"/>
    <w:rsid w:val="00552A21"/>
    <w:rsid w:val="00552AC1"/>
    <w:rsid w:val="00554F64"/>
    <w:rsid w:val="0055612A"/>
    <w:rsid w:val="005561A3"/>
    <w:rsid w:val="00556ADE"/>
    <w:rsid w:val="005571F3"/>
    <w:rsid w:val="00557376"/>
    <w:rsid w:val="005576B4"/>
    <w:rsid w:val="00562963"/>
    <w:rsid w:val="00563042"/>
    <w:rsid w:val="00564181"/>
    <w:rsid w:val="00564274"/>
    <w:rsid w:val="00565165"/>
    <w:rsid w:val="00565C8D"/>
    <w:rsid w:val="00566DE7"/>
    <w:rsid w:val="00566E7E"/>
    <w:rsid w:val="005670ED"/>
    <w:rsid w:val="00570237"/>
    <w:rsid w:val="005710F8"/>
    <w:rsid w:val="005724CB"/>
    <w:rsid w:val="00572C9B"/>
    <w:rsid w:val="00572CE8"/>
    <w:rsid w:val="00574089"/>
    <w:rsid w:val="005745A2"/>
    <w:rsid w:val="00575ED6"/>
    <w:rsid w:val="00576815"/>
    <w:rsid w:val="00576EF8"/>
    <w:rsid w:val="00580BC8"/>
    <w:rsid w:val="00581F72"/>
    <w:rsid w:val="005822A6"/>
    <w:rsid w:val="0058286C"/>
    <w:rsid w:val="0058298E"/>
    <w:rsid w:val="00582FED"/>
    <w:rsid w:val="0058359C"/>
    <w:rsid w:val="00583AA0"/>
    <w:rsid w:val="00583AF3"/>
    <w:rsid w:val="005851FA"/>
    <w:rsid w:val="00585F02"/>
    <w:rsid w:val="00586DD3"/>
    <w:rsid w:val="00586E11"/>
    <w:rsid w:val="00586EBF"/>
    <w:rsid w:val="00591E22"/>
    <w:rsid w:val="00591FD9"/>
    <w:rsid w:val="00592437"/>
    <w:rsid w:val="00592A0D"/>
    <w:rsid w:val="00592CBB"/>
    <w:rsid w:val="00593A45"/>
    <w:rsid w:val="005949CB"/>
    <w:rsid w:val="00594A55"/>
    <w:rsid w:val="0059532E"/>
    <w:rsid w:val="005964A5"/>
    <w:rsid w:val="00596E07"/>
    <w:rsid w:val="005975B7"/>
    <w:rsid w:val="005A283D"/>
    <w:rsid w:val="005A28FC"/>
    <w:rsid w:val="005A2B42"/>
    <w:rsid w:val="005A2F69"/>
    <w:rsid w:val="005A4C81"/>
    <w:rsid w:val="005A5995"/>
    <w:rsid w:val="005A5B96"/>
    <w:rsid w:val="005A68A8"/>
    <w:rsid w:val="005B018A"/>
    <w:rsid w:val="005B0B92"/>
    <w:rsid w:val="005B0CAB"/>
    <w:rsid w:val="005B12E9"/>
    <w:rsid w:val="005B3148"/>
    <w:rsid w:val="005B3BCF"/>
    <w:rsid w:val="005B40F3"/>
    <w:rsid w:val="005B4513"/>
    <w:rsid w:val="005B4D91"/>
    <w:rsid w:val="005B586B"/>
    <w:rsid w:val="005B5B2D"/>
    <w:rsid w:val="005B5DE1"/>
    <w:rsid w:val="005B67E7"/>
    <w:rsid w:val="005B6988"/>
    <w:rsid w:val="005C03C9"/>
    <w:rsid w:val="005C16EA"/>
    <w:rsid w:val="005C1C29"/>
    <w:rsid w:val="005C34F8"/>
    <w:rsid w:val="005C3C1C"/>
    <w:rsid w:val="005C4508"/>
    <w:rsid w:val="005C4D46"/>
    <w:rsid w:val="005C562A"/>
    <w:rsid w:val="005D1382"/>
    <w:rsid w:val="005D2932"/>
    <w:rsid w:val="005D29FB"/>
    <w:rsid w:val="005D397D"/>
    <w:rsid w:val="005D4346"/>
    <w:rsid w:val="005D48F4"/>
    <w:rsid w:val="005D4A6E"/>
    <w:rsid w:val="005D7CD7"/>
    <w:rsid w:val="005E051E"/>
    <w:rsid w:val="005E0CDA"/>
    <w:rsid w:val="005E2293"/>
    <w:rsid w:val="005E254B"/>
    <w:rsid w:val="005E2E82"/>
    <w:rsid w:val="005E3990"/>
    <w:rsid w:val="005E3C04"/>
    <w:rsid w:val="005E5503"/>
    <w:rsid w:val="005E5C4C"/>
    <w:rsid w:val="005E63B7"/>
    <w:rsid w:val="005E640C"/>
    <w:rsid w:val="005E6514"/>
    <w:rsid w:val="005E773B"/>
    <w:rsid w:val="005F1ECA"/>
    <w:rsid w:val="005F22CF"/>
    <w:rsid w:val="005F3EE3"/>
    <w:rsid w:val="005F49E4"/>
    <w:rsid w:val="005F55D3"/>
    <w:rsid w:val="005F5745"/>
    <w:rsid w:val="005F5F47"/>
    <w:rsid w:val="005F7D92"/>
    <w:rsid w:val="006000EC"/>
    <w:rsid w:val="00600CA2"/>
    <w:rsid w:val="00600CB8"/>
    <w:rsid w:val="00602C11"/>
    <w:rsid w:val="0060308C"/>
    <w:rsid w:val="00606203"/>
    <w:rsid w:val="00606DBB"/>
    <w:rsid w:val="00610011"/>
    <w:rsid w:val="006105CA"/>
    <w:rsid w:val="00611245"/>
    <w:rsid w:val="00612A6E"/>
    <w:rsid w:val="00612F07"/>
    <w:rsid w:val="00615396"/>
    <w:rsid w:val="006171D2"/>
    <w:rsid w:val="00617308"/>
    <w:rsid w:val="00617482"/>
    <w:rsid w:val="0062056E"/>
    <w:rsid w:val="006205B4"/>
    <w:rsid w:val="00620FE7"/>
    <w:rsid w:val="00621681"/>
    <w:rsid w:val="006218B6"/>
    <w:rsid w:val="00622277"/>
    <w:rsid w:val="00622AFF"/>
    <w:rsid w:val="006257B7"/>
    <w:rsid w:val="00626330"/>
    <w:rsid w:val="00627897"/>
    <w:rsid w:val="006304F4"/>
    <w:rsid w:val="006312D2"/>
    <w:rsid w:val="00631DE8"/>
    <w:rsid w:val="00632D73"/>
    <w:rsid w:val="006331D9"/>
    <w:rsid w:val="00633BBB"/>
    <w:rsid w:val="00634788"/>
    <w:rsid w:val="00634A64"/>
    <w:rsid w:val="00636E55"/>
    <w:rsid w:val="00637ACE"/>
    <w:rsid w:val="00637CB9"/>
    <w:rsid w:val="00640ADC"/>
    <w:rsid w:val="00640BB5"/>
    <w:rsid w:val="00641181"/>
    <w:rsid w:val="00643998"/>
    <w:rsid w:val="00643D77"/>
    <w:rsid w:val="00644374"/>
    <w:rsid w:val="00644703"/>
    <w:rsid w:val="00646544"/>
    <w:rsid w:val="00647440"/>
    <w:rsid w:val="00647D34"/>
    <w:rsid w:val="00650128"/>
    <w:rsid w:val="006509A7"/>
    <w:rsid w:val="0065136C"/>
    <w:rsid w:val="00651772"/>
    <w:rsid w:val="00651B58"/>
    <w:rsid w:val="00652054"/>
    <w:rsid w:val="00652452"/>
    <w:rsid w:val="00652C76"/>
    <w:rsid w:val="00653732"/>
    <w:rsid w:val="006543CB"/>
    <w:rsid w:val="00655EE0"/>
    <w:rsid w:val="0065618E"/>
    <w:rsid w:val="00656F5C"/>
    <w:rsid w:val="006578BA"/>
    <w:rsid w:val="00660037"/>
    <w:rsid w:val="00660229"/>
    <w:rsid w:val="00660EFC"/>
    <w:rsid w:val="00661677"/>
    <w:rsid w:val="0066202A"/>
    <w:rsid w:val="006621F8"/>
    <w:rsid w:val="00663688"/>
    <w:rsid w:val="00665695"/>
    <w:rsid w:val="00665736"/>
    <w:rsid w:val="00665D7F"/>
    <w:rsid w:val="0066715D"/>
    <w:rsid w:val="006671E9"/>
    <w:rsid w:val="0066792E"/>
    <w:rsid w:val="00667CC7"/>
    <w:rsid w:val="00670A06"/>
    <w:rsid w:val="00670F85"/>
    <w:rsid w:val="0067234F"/>
    <w:rsid w:val="00672C1D"/>
    <w:rsid w:val="0067433F"/>
    <w:rsid w:val="00676308"/>
    <w:rsid w:val="00677680"/>
    <w:rsid w:val="00680C74"/>
    <w:rsid w:val="006824D0"/>
    <w:rsid w:val="0068278B"/>
    <w:rsid w:val="00682AC6"/>
    <w:rsid w:val="00683444"/>
    <w:rsid w:val="00684D17"/>
    <w:rsid w:val="0068597E"/>
    <w:rsid w:val="00685A0D"/>
    <w:rsid w:val="006870E5"/>
    <w:rsid w:val="00687224"/>
    <w:rsid w:val="006874DD"/>
    <w:rsid w:val="00687A4B"/>
    <w:rsid w:val="00687CFD"/>
    <w:rsid w:val="00687EFC"/>
    <w:rsid w:val="00691243"/>
    <w:rsid w:val="00692816"/>
    <w:rsid w:val="00692860"/>
    <w:rsid w:val="0069293E"/>
    <w:rsid w:val="00692960"/>
    <w:rsid w:val="0069332F"/>
    <w:rsid w:val="00693E33"/>
    <w:rsid w:val="00694607"/>
    <w:rsid w:val="00694D06"/>
    <w:rsid w:val="00694E9C"/>
    <w:rsid w:val="006951CF"/>
    <w:rsid w:val="00695278"/>
    <w:rsid w:val="00695648"/>
    <w:rsid w:val="0069615E"/>
    <w:rsid w:val="00696AF5"/>
    <w:rsid w:val="006979E2"/>
    <w:rsid w:val="006A2F78"/>
    <w:rsid w:val="006A31BC"/>
    <w:rsid w:val="006A33AC"/>
    <w:rsid w:val="006A42F8"/>
    <w:rsid w:val="006A4EC9"/>
    <w:rsid w:val="006A6688"/>
    <w:rsid w:val="006A6F4D"/>
    <w:rsid w:val="006A71CE"/>
    <w:rsid w:val="006A7810"/>
    <w:rsid w:val="006A7C10"/>
    <w:rsid w:val="006B062E"/>
    <w:rsid w:val="006B12BB"/>
    <w:rsid w:val="006B1913"/>
    <w:rsid w:val="006B48C4"/>
    <w:rsid w:val="006B5132"/>
    <w:rsid w:val="006B598B"/>
    <w:rsid w:val="006B667A"/>
    <w:rsid w:val="006B7A55"/>
    <w:rsid w:val="006B7A82"/>
    <w:rsid w:val="006C0622"/>
    <w:rsid w:val="006C1777"/>
    <w:rsid w:val="006C4257"/>
    <w:rsid w:val="006C4709"/>
    <w:rsid w:val="006C4B93"/>
    <w:rsid w:val="006C54FD"/>
    <w:rsid w:val="006C6179"/>
    <w:rsid w:val="006C7C01"/>
    <w:rsid w:val="006C7D49"/>
    <w:rsid w:val="006D1B7E"/>
    <w:rsid w:val="006D1F74"/>
    <w:rsid w:val="006D2891"/>
    <w:rsid w:val="006D3132"/>
    <w:rsid w:val="006D3CF5"/>
    <w:rsid w:val="006D4D8E"/>
    <w:rsid w:val="006D59FE"/>
    <w:rsid w:val="006D5BEA"/>
    <w:rsid w:val="006D62A6"/>
    <w:rsid w:val="006D6409"/>
    <w:rsid w:val="006D6748"/>
    <w:rsid w:val="006D78ED"/>
    <w:rsid w:val="006E097C"/>
    <w:rsid w:val="006E273C"/>
    <w:rsid w:val="006E2FD7"/>
    <w:rsid w:val="006E35B1"/>
    <w:rsid w:val="006E3E6A"/>
    <w:rsid w:val="006E56D0"/>
    <w:rsid w:val="006E5FB8"/>
    <w:rsid w:val="006E7A2A"/>
    <w:rsid w:val="006E7CBF"/>
    <w:rsid w:val="006F0EDB"/>
    <w:rsid w:val="006F1A61"/>
    <w:rsid w:val="006F1AE1"/>
    <w:rsid w:val="006F431E"/>
    <w:rsid w:val="006F4A43"/>
    <w:rsid w:val="006F5E1C"/>
    <w:rsid w:val="006F66FA"/>
    <w:rsid w:val="006F7A53"/>
    <w:rsid w:val="006F7B89"/>
    <w:rsid w:val="00700C23"/>
    <w:rsid w:val="00701978"/>
    <w:rsid w:val="00702FD8"/>
    <w:rsid w:val="00703E73"/>
    <w:rsid w:val="00703F87"/>
    <w:rsid w:val="007052DC"/>
    <w:rsid w:val="00705680"/>
    <w:rsid w:val="00705A71"/>
    <w:rsid w:val="00706290"/>
    <w:rsid w:val="00711591"/>
    <w:rsid w:val="0071191A"/>
    <w:rsid w:val="00712270"/>
    <w:rsid w:val="00712614"/>
    <w:rsid w:val="00713364"/>
    <w:rsid w:val="0071427F"/>
    <w:rsid w:val="00715306"/>
    <w:rsid w:val="007154E0"/>
    <w:rsid w:val="00715EA5"/>
    <w:rsid w:val="00717C56"/>
    <w:rsid w:val="0072091F"/>
    <w:rsid w:val="00720B86"/>
    <w:rsid w:val="0072179C"/>
    <w:rsid w:val="00721BCE"/>
    <w:rsid w:val="00722179"/>
    <w:rsid w:val="007221FF"/>
    <w:rsid w:val="00722499"/>
    <w:rsid w:val="00722A76"/>
    <w:rsid w:val="007235D0"/>
    <w:rsid w:val="00723DF6"/>
    <w:rsid w:val="0072416D"/>
    <w:rsid w:val="00724B78"/>
    <w:rsid w:val="0072569A"/>
    <w:rsid w:val="007256DE"/>
    <w:rsid w:val="00725AFE"/>
    <w:rsid w:val="00725CBE"/>
    <w:rsid w:val="00726076"/>
    <w:rsid w:val="00726981"/>
    <w:rsid w:val="00727AC0"/>
    <w:rsid w:val="00730282"/>
    <w:rsid w:val="007308A2"/>
    <w:rsid w:val="00731639"/>
    <w:rsid w:val="00732AEC"/>
    <w:rsid w:val="00734886"/>
    <w:rsid w:val="007355E5"/>
    <w:rsid w:val="007362B2"/>
    <w:rsid w:val="00737953"/>
    <w:rsid w:val="007413AD"/>
    <w:rsid w:val="007420EB"/>
    <w:rsid w:val="007428C5"/>
    <w:rsid w:val="00742E28"/>
    <w:rsid w:val="007432FF"/>
    <w:rsid w:val="0074441F"/>
    <w:rsid w:val="00744422"/>
    <w:rsid w:val="007450DD"/>
    <w:rsid w:val="00746FEF"/>
    <w:rsid w:val="00750B49"/>
    <w:rsid w:val="00750D66"/>
    <w:rsid w:val="00751229"/>
    <w:rsid w:val="00751C7D"/>
    <w:rsid w:val="00753CEE"/>
    <w:rsid w:val="00754E0A"/>
    <w:rsid w:val="00755502"/>
    <w:rsid w:val="0075566F"/>
    <w:rsid w:val="007567CA"/>
    <w:rsid w:val="00756804"/>
    <w:rsid w:val="00760CB2"/>
    <w:rsid w:val="007619C0"/>
    <w:rsid w:val="007619EB"/>
    <w:rsid w:val="00762D5D"/>
    <w:rsid w:val="00763FFF"/>
    <w:rsid w:val="00764594"/>
    <w:rsid w:val="00765158"/>
    <w:rsid w:val="00765924"/>
    <w:rsid w:val="0076594A"/>
    <w:rsid w:val="00766820"/>
    <w:rsid w:val="00766D10"/>
    <w:rsid w:val="0077097A"/>
    <w:rsid w:val="00772021"/>
    <w:rsid w:val="007730E4"/>
    <w:rsid w:val="0077556C"/>
    <w:rsid w:val="0077594F"/>
    <w:rsid w:val="00775EE8"/>
    <w:rsid w:val="00776581"/>
    <w:rsid w:val="00776735"/>
    <w:rsid w:val="00776F8D"/>
    <w:rsid w:val="007773CE"/>
    <w:rsid w:val="0078033F"/>
    <w:rsid w:val="007806DA"/>
    <w:rsid w:val="007815EB"/>
    <w:rsid w:val="00782178"/>
    <w:rsid w:val="00782735"/>
    <w:rsid w:val="00783839"/>
    <w:rsid w:val="0078387B"/>
    <w:rsid w:val="00784AAE"/>
    <w:rsid w:val="00785BD8"/>
    <w:rsid w:val="00786CBA"/>
    <w:rsid w:val="00786F24"/>
    <w:rsid w:val="00790A31"/>
    <w:rsid w:val="00791546"/>
    <w:rsid w:val="00791A27"/>
    <w:rsid w:val="0079260D"/>
    <w:rsid w:val="00792CF7"/>
    <w:rsid w:val="0079342E"/>
    <w:rsid w:val="0079469E"/>
    <w:rsid w:val="00794814"/>
    <w:rsid w:val="007952F8"/>
    <w:rsid w:val="00795864"/>
    <w:rsid w:val="00796FED"/>
    <w:rsid w:val="00797676"/>
    <w:rsid w:val="007A00F8"/>
    <w:rsid w:val="007A072E"/>
    <w:rsid w:val="007A081B"/>
    <w:rsid w:val="007A1435"/>
    <w:rsid w:val="007A1689"/>
    <w:rsid w:val="007A2344"/>
    <w:rsid w:val="007A262F"/>
    <w:rsid w:val="007A2902"/>
    <w:rsid w:val="007A37EC"/>
    <w:rsid w:val="007A46C3"/>
    <w:rsid w:val="007A4FB9"/>
    <w:rsid w:val="007A532E"/>
    <w:rsid w:val="007A560D"/>
    <w:rsid w:val="007A5AF2"/>
    <w:rsid w:val="007A60C8"/>
    <w:rsid w:val="007A640A"/>
    <w:rsid w:val="007A6414"/>
    <w:rsid w:val="007A70FA"/>
    <w:rsid w:val="007A7CC2"/>
    <w:rsid w:val="007B0F8C"/>
    <w:rsid w:val="007B14F6"/>
    <w:rsid w:val="007B18E0"/>
    <w:rsid w:val="007B3D3F"/>
    <w:rsid w:val="007B4339"/>
    <w:rsid w:val="007B51BC"/>
    <w:rsid w:val="007B54E6"/>
    <w:rsid w:val="007B6CA9"/>
    <w:rsid w:val="007C41A8"/>
    <w:rsid w:val="007C5520"/>
    <w:rsid w:val="007C6186"/>
    <w:rsid w:val="007C6E57"/>
    <w:rsid w:val="007C7406"/>
    <w:rsid w:val="007D0615"/>
    <w:rsid w:val="007D21B3"/>
    <w:rsid w:val="007D37AA"/>
    <w:rsid w:val="007D4275"/>
    <w:rsid w:val="007D4682"/>
    <w:rsid w:val="007D4719"/>
    <w:rsid w:val="007D59D3"/>
    <w:rsid w:val="007E08A6"/>
    <w:rsid w:val="007E3242"/>
    <w:rsid w:val="007E343E"/>
    <w:rsid w:val="007E42C8"/>
    <w:rsid w:val="007E4792"/>
    <w:rsid w:val="007E5CF3"/>
    <w:rsid w:val="007E6ECB"/>
    <w:rsid w:val="007E794D"/>
    <w:rsid w:val="007E7D67"/>
    <w:rsid w:val="007F049E"/>
    <w:rsid w:val="007F0878"/>
    <w:rsid w:val="007F0C68"/>
    <w:rsid w:val="007F13F1"/>
    <w:rsid w:val="007F2ACF"/>
    <w:rsid w:val="007F2AF8"/>
    <w:rsid w:val="007F33B8"/>
    <w:rsid w:val="007F34E7"/>
    <w:rsid w:val="007F3714"/>
    <w:rsid w:val="007F3D40"/>
    <w:rsid w:val="007F427B"/>
    <w:rsid w:val="007F4D17"/>
    <w:rsid w:val="007F5C28"/>
    <w:rsid w:val="007F6B72"/>
    <w:rsid w:val="00800C60"/>
    <w:rsid w:val="00801B67"/>
    <w:rsid w:val="00801C21"/>
    <w:rsid w:val="008022CC"/>
    <w:rsid w:val="00803B70"/>
    <w:rsid w:val="00803C01"/>
    <w:rsid w:val="00804FF3"/>
    <w:rsid w:val="00805863"/>
    <w:rsid w:val="008070DE"/>
    <w:rsid w:val="00807F7D"/>
    <w:rsid w:val="00810A01"/>
    <w:rsid w:val="008128DD"/>
    <w:rsid w:val="00813AA2"/>
    <w:rsid w:val="008140EE"/>
    <w:rsid w:val="00814E8F"/>
    <w:rsid w:val="00815648"/>
    <w:rsid w:val="00816231"/>
    <w:rsid w:val="008167D6"/>
    <w:rsid w:val="00817ADE"/>
    <w:rsid w:val="00820829"/>
    <w:rsid w:val="0082102A"/>
    <w:rsid w:val="00823189"/>
    <w:rsid w:val="008237D4"/>
    <w:rsid w:val="00824583"/>
    <w:rsid w:val="00824681"/>
    <w:rsid w:val="00824F9E"/>
    <w:rsid w:val="008252B1"/>
    <w:rsid w:val="008254E8"/>
    <w:rsid w:val="008255D6"/>
    <w:rsid w:val="00825DBC"/>
    <w:rsid w:val="00827B56"/>
    <w:rsid w:val="0083005A"/>
    <w:rsid w:val="0083015F"/>
    <w:rsid w:val="0083035D"/>
    <w:rsid w:val="00830A05"/>
    <w:rsid w:val="00830CF6"/>
    <w:rsid w:val="00831992"/>
    <w:rsid w:val="00832278"/>
    <w:rsid w:val="00833A75"/>
    <w:rsid w:val="00835B38"/>
    <w:rsid w:val="00840F63"/>
    <w:rsid w:val="00841BE5"/>
    <w:rsid w:val="008420F6"/>
    <w:rsid w:val="00842CD9"/>
    <w:rsid w:val="00843E73"/>
    <w:rsid w:val="00844289"/>
    <w:rsid w:val="00844683"/>
    <w:rsid w:val="00844F83"/>
    <w:rsid w:val="008450D5"/>
    <w:rsid w:val="0084518A"/>
    <w:rsid w:val="008455BB"/>
    <w:rsid w:val="008459BA"/>
    <w:rsid w:val="00845E33"/>
    <w:rsid w:val="00845E79"/>
    <w:rsid w:val="0084625C"/>
    <w:rsid w:val="00850609"/>
    <w:rsid w:val="00851CBB"/>
    <w:rsid w:val="00852473"/>
    <w:rsid w:val="00852AB7"/>
    <w:rsid w:val="00852AE3"/>
    <w:rsid w:val="00854449"/>
    <w:rsid w:val="00854BDD"/>
    <w:rsid w:val="008565B6"/>
    <w:rsid w:val="00856C39"/>
    <w:rsid w:val="00857381"/>
    <w:rsid w:val="00860FC1"/>
    <w:rsid w:val="00861677"/>
    <w:rsid w:val="00861F37"/>
    <w:rsid w:val="00862155"/>
    <w:rsid w:val="008628AD"/>
    <w:rsid w:val="00863277"/>
    <w:rsid w:val="00863A4D"/>
    <w:rsid w:val="0086569B"/>
    <w:rsid w:val="0087186B"/>
    <w:rsid w:val="00871BF5"/>
    <w:rsid w:val="00871E78"/>
    <w:rsid w:val="00871F95"/>
    <w:rsid w:val="008727A3"/>
    <w:rsid w:val="00872906"/>
    <w:rsid w:val="0087430A"/>
    <w:rsid w:val="008759DF"/>
    <w:rsid w:val="00875A3E"/>
    <w:rsid w:val="008768D6"/>
    <w:rsid w:val="008774D7"/>
    <w:rsid w:val="00884FB3"/>
    <w:rsid w:val="00885D52"/>
    <w:rsid w:val="00886F4C"/>
    <w:rsid w:val="00887A98"/>
    <w:rsid w:val="0089023E"/>
    <w:rsid w:val="00890659"/>
    <w:rsid w:val="00891761"/>
    <w:rsid w:val="00891A15"/>
    <w:rsid w:val="00891ED8"/>
    <w:rsid w:val="0089521E"/>
    <w:rsid w:val="00895C93"/>
    <w:rsid w:val="0089682D"/>
    <w:rsid w:val="008975B7"/>
    <w:rsid w:val="00897766"/>
    <w:rsid w:val="008A18DA"/>
    <w:rsid w:val="008A2426"/>
    <w:rsid w:val="008A3BC8"/>
    <w:rsid w:val="008A5013"/>
    <w:rsid w:val="008A5E52"/>
    <w:rsid w:val="008A656A"/>
    <w:rsid w:val="008A7090"/>
    <w:rsid w:val="008A73A7"/>
    <w:rsid w:val="008B10FC"/>
    <w:rsid w:val="008B1E84"/>
    <w:rsid w:val="008B2415"/>
    <w:rsid w:val="008B2C5F"/>
    <w:rsid w:val="008B567B"/>
    <w:rsid w:val="008B5770"/>
    <w:rsid w:val="008B5D36"/>
    <w:rsid w:val="008B62BD"/>
    <w:rsid w:val="008B6844"/>
    <w:rsid w:val="008B6C4D"/>
    <w:rsid w:val="008B6CFD"/>
    <w:rsid w:val="008B7B8E"/>
    <w:rsid w:val="008B7E86"/>
    <w:rsid w:val="008C222C"/>
    <w:rsid w:val="008C306E"/>
    <w:rsid w:val="008C39EB"/>
    <w:rsid w:val="008C3E10"/>
    <w:rsid w:val="008C5423"/>
    <w:rsid w:val="008C5C3E"/>
    <w:rsid w:val="008C5F3B"/>
    <w:rsid w:val="008C6493"/>
    <w:rsid w:val="008C71EE"/>
    <w:rsid w:val="008C7456"/>
    <w:rsid w:val="008C778B"/>
    <w:rsid w:val="008D12FF"/>
    <w:rsid w:val="008D1783"/>
    <w:rsid w:val="008D37C2"/>
    <w:rsid w:val="008D3DC2"/>
    <w:rsid w:val="008D4141"/>
    <w:rsid w:val="008D48C9"/>
    <w:rsid w:val="008D4FBD"/>
    <w:rsid w:val="008D4FFA"/>
    <w:rsid w:val="008D5E05"/>
    <w:rsid w:val="008D6B56"/>
    <w:rsid w:val="008D7F5D"/>
    <w:rsid w:val="008E0BFF"/>
    <w:rsid w:val="008E0E49"/>
    <w:rsid w:val="008E1F48"/>
    <w:rsid w:val="008E37F2"/>
    <w:rsid w:val="008E4A3A"/>
    <w:rsid w:val="008E6B0A"/>
    <w:rsid w:val="008E6E41"/>
    <w:rsid w:val="008E71A5"/>
    <w:rsid w:val="008E7A5B"/>
    <w:rsid w:val="008E7FCC"/>
    <w:rsid w:val="008F0265"/>
    <w:rsid w:val="008F08F3"/>
    <w:rsid w:val="008F0F47"/>
    <w:rsid w:val="008F104A"/>
    <w:rsid w:val="008F18ED"/>
    <w:rsid w:val="008F195E"/>
    <w:rsid w:val="008F1A5D"/>
    <w:rsid w:val="008F25E0"/>
    <w:rsid w:val="008F2E09"/>
    <w:rsid w:val="008F340C"/>
    <w:rsid w:val="008F6D09"/>
    <w:rsid w:val="008F7F83"/>
    <w:rsid w:val="00900898"/>
    <w:rsid w:val="00901D6A"/>
    <w:rsid w:val="00901F77"/>
    <w:rsid w:val="00902DFB"/>
    <w:rsid w:val="0090303E"/>
    <w:rsid w:val="0090387F"/>
    <w:rsid w:val="00904698"/>
    <w:rsid w:val="0090533B"/>
    <w:rsid w:val="009055DA"/>
    <w:rsid w:val="0090586F"/>
    <w:rsid w:val="0090634B"/>
    <w:rsid w:val="00907007"/>
    <w:rsid w:val="009076DB"/>
    <w:rsid w:val="009078B5"/>
    <w:rsid w:val="0090792F"/>
    <w:rsid w:val="00907D85"/>
    <w:rsid w:val="00910263"/>
    <w:rsid w:val="00911042"/>
    <w:rsid w:val="009115B8"/>
    <w:rsid w:val="00911EB9"/>
    <w:rsid w:val="0091273A"/>
    <w:rsid w:val="009138A9"/>
    <w:rsid w:val="00914D7D"/>
    <w:rsid w:val="00915006"/>
    <w:rsid w:val="009213B4"/>
    <w:rsid w:val="00921445"/>
    <w:rsid w:val="009221F0"/>
    <w:rsid w:val="009228A9"/>
    <w:rsid w:val="009231ED"/>
    <w:rsid w:val="00923C78"/>
    <w:rsid w:val="0092448A"/>
    <w:rsid w:val="009247B3"/>
    <w:rsid w:val="00924972"/>
    <w:rsid w:val="00924C92"/>
    <w:rsid w:val="00926966"/>
    <w:rsid w:val="00927ABF"/>
    <w:rsid w:val="009302D2"/>
    <w:rsid w:val="0093033E"/>
    <w:rsid w:val="009318C6"/>
    <w:rsid w:val="00931C0D"/>
    <w:rsid w:val="00931F26"/>
    <w:rsid w:val="009339F7"/>
    <w:rsid w:val="00934C51"/>
    <w:rsid w:val="0093550D"/>
    <w:rsid w:val="009358A0"/>
    <w:rsid w:val="00935CF3"/>
    <w:rsid w:val="009400CF"/>
    <w:rsid w:val="00942FA0"/>
    <w:rsid w:val="009433EB"/>
    <w:rsid w:val="0094444A"/>
    <w:rsid w:val="00944FDA"/>
    <w:rsid w:val="009459A1"/>
    <w:rsid w:val="00945BD6"/>
    <w:rsid w:val="00945FD8"/>
    <w:rsid w:val="00946E11"/>
    <w:rsid w:val="009473BE"/>
    <w:rsid w:val="00947831"/>
    <w:rsid w:val="00950074"/>
    <w:rsid w:val="00951CF5"/>
    <w:rsid w:val="0095428B"/>
    <w:rsid w:val="00954293"/>
    <w:rsid w:val="00954AC8"/>
    <w:rsid w:val="009551B3"/>
    <w:rsid w:val="00955F5D"/>
    <w:rsid w:val="00956B69"/>
    <w:rsid w:val="00957838"/>
    <w:rsid w:val="0096163A"/>
    <w:rsid w:val="00962367"/>
    <w:rsid w:val="00962D1C"/>
    <w:rsid w:val="0096309E"/>
    <w:rsid w:val="00963299"/>
    <w:rsid w:val="00963970"/>
    <w:rsid w:val="009655AB"/>
    <w:rsid w:val="00965E19"/>
    <w:rsid w:val="009665AA"/>
    <w:rsid w:val="00967C7A"/>
    <w:rsid w:val="00971BD0"/>
    <w:rsid w:val="00972239"/>
    <w:rsid w:val="0097389A"/>
    <w:rsid w:val="00973FF5"/>
    <w:rsid w:val="009741A4"/>
    <w:rsid w:val="00975666"/>
    <w:rsid w:val="00975A0E"/>
    <w:rsid w:val="00975B3D"/>
    <w:rsid w:val="009778CF"/>
    <w:rsid w:val="0098120E"/>
    <w:rsid w:val="0098235A"/>
    <w:rsid w:val="0098240F"/>
    <w:rsid w:val="009830B1"/>
    <w:rsid w:val="00985A0A"/>
    <w:rsid w:val="0099277F"/>
    <w:rsid w:val="00994107"/>
    <w:rsid w:val="00997B68"/>
    <w:rsid w:val="00997BF5"/>
    <w:rsid w:val="00997EC6"/>
    <w:rsid w:val="009A0CF6"/>
    <w:rsid w:val="009A18AB"/>
    <w:rsid w:val="009A2389"/>
    <w:rsid w:val="009A3D6F"/>
    <w:rsid w:val="009A3DBF"/>
    <w:rsid w:val="009A3E12"/>
    <w:rsid w:val="009A4470"/>
    <w:rsid w:val="009A5344"/>
    <w:rsid w:val="009A56C6"/>
    <w:rsid w:val="009A7A62"/>
    <w:rsid w:val="009B035D"/>
    <w:rsid w:val="009B03C5"/>
    <w:rsid w:val="009B0C21"/>
    <w:rsid w:val="009B0DD8"/>
    <w:rsid w:val="009B1856"/>
    <w:rsid w:val="009B1873"/>
    <w:rsid w:val="009B1BD7"/>
    <w:rsid w:val="009B2034"/>
    <w:rsid w:val="009B2EB1"/>
    <w:rsid w:val="009B3742"/>
    <w:rsid w:val="009B3A22"/>
    <w:rsid w:val="009B485C"/>
    <w:rsid w:val="009B63BE"/>
    <w:rsid w:val="009B6F91"/>
    <w:rsid w:val="009B7E06"/>
    <w:rsid w:val="009C0408"/>
    <w:rsid w:val="009C1F51"/>
    <w:rsid w:val="009C2589"/>
    <w:rsid w:val="009C2E4E"/>
    <w:rsid w:val="009C34B1"/>
    <w:rsid w:val="009C3BEF"/>
    <w:rsid w:val="009C4A0F"/>
    <w:rsid w:val="009C534D"/>
    <w:rsid w:val="009C5414"/>
    <w:rsid w:val="009C57F6"/>
    <w:rsid w:val="009C59B3"/>
    <w:rsid w:val="009C66F8"/>
    <w:rsid w:val="009C6B1B"/>
    <w:rsid w:val="009C6CE0"/>
    <w:rsid w:val="009C7300"/>
    <w:rsid w:val="009C739B"/>
    <w:rsid w:val="009C794D"/>
    <w:rsid w:val="009D0385"/>
    <w:rsid w:val="009D078B"/>
    <w:rsid w:val="009D0B5A"/>
    <w:rsid w:val="009D0CBD"/>
    <w:rsid w:val="009D21DD"/>
    <w:rsid w:val="009D323B"/>
    <w:rsid w:val="009D75CD"/>
    <w:rsid w:val="009D7AF3"/>
    <w:rsid w:val="009E3B36"/>
    <w:rsid w:val="009E4141"/>
    <w:rsid w:val="009E5501"/>
    <w:rsid w:val="009E56EF"/>
    <w:rsid w:val="009E5DD6"/>
    <w:rsid w:val="009E62CD"/>
    <w:rsid w:val="009E75BD"/>
    <w:rsid w:val="009E7A92"/>
    <w:rsid w:val="009F03F5"/>
    <w:rsid w:val="009F1FA1"/>
    <w:rsid w:val="009F26BD"/>
    <w:rsid w:val="009F2954"/>
    <w:rsid w:val="009F366A"/>
    <w:rsid w:val="009F57FC"/>
    <w:rsid w:val="009F6A93"/>
    <w:rsid w:val="009F6EF4"/>
    <w:rsid w:val="009F7194"/>
    <w:rsid w:val="009F7590"/>
    <w:rsid w:val="00A0092D"/>
    <w:rsid w:val="00A00AC8"/>
    <w:rsid w:val="00A014F5"/>
    <w:rsid w:val="00A01E93"/>
    <w:rsid w:val="00A02CC7"/>
    <w:rsid w:val="00A03274"/>
    <w:rsid w:val="00A038C5"/>
    <w:rsid w:val="00A03991"/>
    <w:rsid w:val="00A03FCB"/>
    <w:rsid w:val="00A04163"/>
    <w:rsid w:val="00A05FEA"/>
    <w:rsid w:val="00A06483"/>
    <w:rsid w:val="00A06550"/>
    <w:rsid w:val="00A0687B"/>
    <w:rsid w:val="00A068C3"/>
    <w:rsid w:val="00A0739A"/>
    <w:rsid w:val="00A0776F"/>
    <w:rsid w:val="00A1085B"/>
    <w:rsid w:val="00A10C3B"/>
    <w:rsid w:val="00A11318"/>
    <w:rsid w:val="00A1338F"/>
    <w:rsid w:val="00A15536"/>
    <w:rsid w:val="00A155A7"/>
    <w:rsid w:val="00A1645C"/>
    <w:rsid w:val="00A16637"/>
    <w:rsid w:val="00A16992"/>
    <w:rsid w:val="00A17995"/>
    <w:rsid w:val="00A20853"/>
    <w:rsid w:val="00A20DE7"/>
    <w:rsid w:val="00A210BD"/>
    <w:rsid w:val="00A227E5"/>
    <w:rsid w:val="00A22C22"/>
    <w:rsid w:val="00A22F2E"/>
    <w:rsid w:val="00A24D68"/>
    <w:rsid w:val="00A25BD8"/>
    <w:rsid w:val="00A25C64"/>
    <w:rsid w:val="00A25F82"/>
    <w:rsid w:val="00A262A4"/>
    <w:rsid w:val="00A264C1"/>
    <w:rsid w:val="00A26BF8"/>
    <w:rsid w:val="00A27608"/>
    <w:rsid w:val="00A27864"/>
    <w:rsid w:val="00A27B94"/>
    <w:rsid w:val="00A3127A"/>
    <w:rsid w:val="00A3235C"/>
    <w:rsid w:val="00A3389B"/>
    <w:rsid w:val="00A350F3"/>
    <w:rsid w:val="00A35362"/>
    <w:rsid w:val="00A35377"/>
    <w:rsid w:val="00A354C0"/>
    <w:rsid w:val="00A35603"/>
    <w:rsid w:val="00A36D96"/>
    <w:rsid w:val="00A371AF"/>
    <w:rsid w:val="00A37AEE"/>
    <w:rsid w:val="00A400A4"/>
    <w:rsid w:val="00A40290"/>
    <w:rsid w:val="00A40842"/>
    <w:rsid w:val="00A408A0"/>
    <w:rsid w:val="00A410BF"/>
    <w:rsid w:val="00A4228C"/>
    <w:rsid w:val="00A43B62"/>
    <w:rsid w:val="00A442A2"/>
    <w:rsid w:val="00A45F3D"/>
    <w:rsid w:val="00A475EC"/>
    <w:rsid w:val="00A47BBA"/>
    <w:rsid w:val="00A47E38"/>
    <w:rsid w:val="00A50EC1"/>
    <w:rsid w:val="00A50F11"/>
    <w:rsid w:val="00A5345B"/>
    <w:rsid w:val="00A53AA0"/>
    <w:rsid w:val="00A553A3"/>
    <w:rsid w:val="00A56017"/>
    <w:rsid w:val="00A57831"/>
    <w:rsid w:val="00A57861"/>
    <w:rsid w:val="00A60B1C"/>
    <w:rsid w:val="00A6124C"/>
    <w:rsid w:val="00A6212B"/>
    <w:rsid w:val="00A628A4"/>
    <w:rsid w:val="00A63730"/>
    <w:rsid w:val="00A643AD"/>
    <w:rsid w:val="00A646BE"/>
    <w:rsid w:val="00A66909"/>
    <w:rsid w:val="00A66CD5"/>
    <w:rsid w:val="00A6736E"/>
    <w:rsid w:val="00A678D8"/>
    <w:rsid w:val="00A70156"/>
    <w:rsid w:val="00A71618"/>
    <w:rsid w:val="00A745A7"/>
    <w:rsid w:val="00A75FDD"/>
    <w:rsid w:val="00A76C39"/>
    <w:rsid w:val="00A76E2F"/>
    <w:rsid w:val="00A776A7"/>
    <w:rsid w:val="00A77A7B"/>
    <w:rsid w:val="00A77DAB"/>
    <w:rsid w:val="00A807A3"/>
    <w:rsid w:val="00A81BE9"/>
    <w:rsid w:val="00A82953"/>
    <w:rsid w:val="00A8325A"/>
    <w:rsid w:val="00A8367B"/>
    <w:rsid w:val="00A83D55"/>
    <w:rsid w:val="00A84D3A"/>
    <w:rsid w:val="00A84E4A"/>
    <w:rsid w:val="00A85749"/>
    <w:rsid w:val="00A8669C"/>
    <w:rsid w:val="00A8791C"/>
    <w:rsid w:val="00A9015C"/>
    <w:rsid w:val="00A90896"/>
    <w:rsid w:val="00A913BF"/>
    <w:rsid w:val="00A91CB0"/>
    <w:rsid w:val="00A946E0"/>
    <w:rsid w:val="00A97FC7"/>
    <w:rsid w:val="00AA2064"/>
    <w:rsid w:val="00AA2C8E"/>
    <w:rsid w:val="00AA2F73"/>
    <w:rsid w:val="00AA30EB"/>
    <w:rsid w:val="00AA38AF"/>
    <w:rsid w:val="00AA448D"/>
    <w:rsid w:val="00AA55F8"/>
    <w:rsid w:val="00AA5C7F"/>
    <w:rsid w:val="00AA6A6D"/>
    <w:rsid w:val="00AA6BBC"/>
    <w:rsid w:val="00AA76BC"/>
    <w:rsid w:val="00AA7D04"/>
    <w:rsid w:val="00AB0C79"/>
    <w:rsid w:val="00AB4266"/>
    <w:rsid w:val="00AB63B5"/>
    <w:rsid w:val="00AC0936"/>
    <w:rsid w:val="00AC0E5B"/>
    <w:rsid w:val="00AC0F40"/>
    <w:rsid w:val="00AC12F7"/>
    <w:rsid w:val="00AC1DBB"/>
    <w:rsid w:val="00AC2EDF"/>
    <w:rsid w:val="00AC3380"/>
    <w:rsid w:val="00AC3749"/>
    <w:rsid w:val="00AC388C"/>
    <w:rsid w:val="00AC3E10"/>
    <w:rsid w:val="00AC43FD"/>
    <w:rsid w:val="00AC5078"/>
    <w:rsid w:val="00AC5C95"/>
    <w:rsid w:val="00AC5E69"/>
    <w:rsid w:val="00AC6B7D"/>
    <w:rsid w:val="00AC707D"/>
    <w:rsid w:val="00AC7A8C"/>
    <w:rsid w:val="00AC7BB3"/>
    <w:rsid w:val="00AD1C25"/>
    <w:rsid w:val="00AD1D60"/>
    <w:rsid w:val="00AD34D5"/>
    <w:rsid w:val="00AD48B3"/>
    <w:rsid w:val="00AD4D8A"/>
    <w:rsid w:val="00AD59A1"/>
    <w:rsid w:val="00AE0030"/>
    <w:rsid w:val="00AE00C2"/>
    <w:rsid w:val="00AE0491"/>
    <w:rsid w:val="00AE1CDB"/>
    <w:rsid w:val="00AE2DD8"/>
    <w:rsid w:val="00AE3409"/>
    <w:rsid w:val="00AE6061"/>
    <w:rsid w:val="00AE6B81"/>
    <w:rsid w:val="00AE72AE"/>
    <w:rsid w:val="00AE7753"/>
    <w:rsid w:val="00AF09C4"/>
    <w:rsid w:val="00AF0ED3"/>
    <w:rsid w:val="00AF123C"/>
    <w:rsid w:val="00AF220A"/>
    <w:rsid w:val="00AF2966"/>
    <w:rsid w:val="00AF40B5"/>
    <w:rsid w:val="00AF6E96"/>
    <w:rsid w:val="00AF7759"/>
    <w:rsid w:val="00B00900"/>
    <w:rsid w:val="00B00DF2"/>
    <w:rsid w:val="00B00F47"/>
    <w:rsid w:val="00B031E8"/>
    <w:rsid w:val="00B038F0"/>
    <w:rsid w:val="00B0458D"/>
    <w:rsid w:val="00B04D80"/>
    <w:rsid w:val="00B04F05"/>
    <w:rsid w:val="00B05E2F"/>
    <w:rsid w:val="00B06501"/>
    <w:rsid w:val="00B07AF6"/>
    <w:rsid w:val="00B07D11"/>
    <w:rsid w:val="00B11FA2"/>
    <w:rsid w:val="00B120D6"/>
    <w:rsid w:val="00B12370"/>
    <w:rsid w:val="00B12646"/>
    <w:rsid w:val="00B13FD4"/>
    <w:rsid w:val="00B16277"/>
    <w:rsid w:val="00B20337"/>
    <w:rsid w:val="00B21718"/>
    <w:rsid w:val="00B22347"/>
    <w:rsid w:val="00B22537"/>
    <w:rsid w:val="00B22E1F"/>
    <w:rsid w:val="00B23C6A"/>
    <w:rsid w:val="00B243AC"/>
    <w:rsid w:val="00B243EF"/>
    <w:rsid w:val="00B24907"/>
    <w:rsid w:val="00B24979"/>
    <w:rsid w:val="00B273C6"/>
    <w:rsid w:val="00B27BB2"/>
    <w:rsid w:val="00B320B4"/>
    <w:rsid w:val="00B33EEC"/>
    <w:rsid w:val="00B347C1"/>
    <w:rsid w:val="00B3497F"/>
    <w:rsid w:val="00B352BC"/>
    <w:rsid w:val="00B362EA"/>
    <w:rsid w:val="00B36472"/>
    <w:rsid w:val="00B417E0"/>
    <w:rsid w:val="00B4389F"/>
    <w:rsid w:val="00B43CC3"/>
    <w:rsid w:val="00B4630D"/>
    <w:rsid w:val="00B46924"/>
    <w:rsid w:val="00B46B8D"/>
    <w:rsid w:val="00B50E6C"/>
    <w:rsid w:val="00B521E8"/>
    <w:rsid w:val="00B52AB8"/>
    <w:rsid w:val="00B52C30"/>
    <w:rsid w:val="00B53F5D"/>
    <w:rsid w:val="00B54246"/>
    <w:rsid w:val="00B54507"/>
    <w:rsid w:val="00B54BCF"/>
    <w:rsid w:val="00B558E1"/>
    <w:rsid w:val="00B559E5"/>
    <w:rsid w:val="00B57217"/>
    <w:rsid w:val="00B612E0"/>
    <w:rsid w:val="00B61D64"/>
    <w:rsid w:val="00B642D2"/>
    <w:rsid w:val="00B64A9D"/>
    <w:rsid w:val="00B64F0B"/>
    <w:rsid w:val="00B65688"/>
    <w:rsid w:val="00B66770"/>
    <w:rsid w:val="00B67AE7"/>
    <w:rsid w:val="00B702CD"/>
    <w:rsid w:val="00B70B98"/>
    <w:rsid w:val="00B720FC"/>
    <w:rsid w:val="00B728D0"/>
    <w:rsid w:val="00B73D13"/>
    <w:rsid w:val="00B746BD"/>
    <w:rsid w:val="00B7529D"/>
    <w:rsid w:val="00B75D85"/>
    <w:rsid w:val="00B76183"/>
    <w:rsid w:val="00B76DD7"/>
    <w:rsid w:val="00B76F45"/>
    <w:rsid w:val="00B7759F"/>
    <w:rsid w:val="00B775DC"/>
    <w:rsid w:val="00B804EF"/>
    <w:rsid w:val="00B80968"/>
    <w:rsid w:val="00B82575"/>
    <w:rsid w:val="00B826FB"/>
    <w:rsid w:val="00B831C4"/>
    <w:rsid w:val="00B84FAE"/>
    <w:rsid w:val="00B85305"/>
    <w:rsid w:val="00B85604"/>
    <w:rsid w:val="00B86188"/>
    <w:rsid w:val="00B86702"/>
    <w:rsid w:val="00B8716F"/>
    <w:rsid w:val="00B92B70"/>
    <w:rsid w:val="00B930EE"/>
    <w:rsid w:val="00B93D57"/>
    <w:rsid w:val="00B93E56"/>
    <w:rsid w:val="00B94BA3"/>
    <w:rsid w:val="00B952F9"/>
    <w:rsid w:val="00B957DD"/>
    <w:rsid w:val="00B95A86"/>
    <w:rsid w:val="00B9694B"/>
    <w:rsid w:val="00B974EF"/>
    <w:rsid w:val="00B975BF"/>
    <w:rsid w:val="00B97BE0"/>
    <w:rsid w:val="00BA2859"/>
    <w:rsid w:val="00BA2FBE"/>
    <w:rsid w:val="00BA447C"/>
    <w:rsid w:val="00BA456E"/>
    <w:rsid w:val="00BA4750"/>
    <w:rsid w:val="00BA7AF3"/>
    <w:rsid w:val="00BA7B7E"/>
    <w:rsid w:val="00BA7C3B"/>
    <w:rsid w:val="00BA7ECF"/>
    <w:rsid w:val="00BB0C7D"/>
    <w:rsid w:val="00BB0D8A"/>
    <w:rsid w:val="00BB1770"/>
    <w:rsid w:val="00BB21D3"/>
    <w:rsid w:val="00BB2A1A"/>
    <w:rsid w:val="00BB4AAB"/>
    <w:rsid w:val="00BB5020"/>
    <w:rsid w:val="00BB68DF"/>
    <w:rsid w:val="00BB7015"/>
    <w:rsid w:val="00BC1211"/>
    <w:rsid w:val="00BC1265"/>
    <w:rsid w:val="00BC22DE"/>
    <w:rsid w:val="00BC2B3C"/>
    <w:rsid w:val="00BC3172"/>
    <w:rsid w:val="00BC322B"/>
    <w:rsid w:val="00BC395C"/>
    <w:rsid w:val="00BC3C85"/>
    <w:rsid w:val="00BC408A"/>
    <w:rsid w:val="00BC4600"/>
    <w:rsid w:val="00BC4D72"/>
    <w:rsid w:val="00BC6568"/>
    <w:rsid w:val="00BC6C93"/>
    <w:rsid w:val="00BC6DF3"/>
    <w:rsid w:val="00BD0B64"/>
    <w:rsid w:val="00BD1B55"/>
    <w:rsid w:val="00BD259F"/>
    <w:rsid w:val="00BD29E4"/>
    <w:rsid w:val="00BD2B32"/>
    <w:rsid w:val="00BD2DFB"/>
    <w:rsid w:val="00BD2EF5"/>
    <w:rsid w:val="00BD39DA"/>
    <w:rsid w:val="00BD3A4F"/>
    <w:rsid w:val="00BD6044"/>
    <w:rsid w:val="00BD622D"/>
    <w:rsid w:val="00BD6C95"/>
    <w:rsid w:val="00BD6D46"/>
    <w:rsid w:val="00BD7693"/>
    <w:rsid w:val="00BD76D3"/>
    <w:rsid w:val="00BE056C"/>
    <w:rsid w:val="00BE123B"/>
    <w:rsid w:val="00BE14E9"/>
    <w:rsid w:val="00BE16FB"/>
    <w:rsid w:val="00BE2236"/>
    <w:rsid w:val="00BE236A"/>
    <w:rsid w:val="00BE275C"/>
    <w:rsid w:val="00BE33B8"/>
    <w:rsid w:val="00BE493C"/>
    <w:rsid w:val="00BE4F0F"/>
    <w:rsid w:val="00BE5503"/>
    <w:rsid w:val="00BE6159"/>
    <w:rsid w:val="00BF0388"/>
    <w:rsid w:val="00BF1217"/>
    <w:rsid w:val="00BF34DA"/>
    <w:rsid w:val="00BF3983"/>
    <w:rsid w:val="00BF4866"/>
    <w:rsid w:val="00BF57B0"/>
    <w:rsid w:val="00BF6DD2"/>
    <w:rsid w:val="00BF7F77"/>
    <w:rsid w:val="00C01114"/>
    <w:rsid w:val="00C01E6F"/>
    <w:rsid w:val="00C0216D"/>
    <w:rsid w:val="00C0235E"/>
    <w:rsid w:val="00C02740"/>
    <w:rsid w:val="00C03654"/>
    <w:rsid w:val="00C04A7D"/>
    <w:rsid w:val="00C05B0C"/>
    <w:rsid w:val="00C06E94"/>
    <w:rsid w:val="00C077ED"/>
    <w:rsid w:val="00C07809"/>
    <w:rsid w:val="00C105DD"/>
    <w:rsid w:val="00C10D68"/>
    <w:rsid w:val="00C12218"/>
    <w:rsid w:val="00C13B4A"/>
    <w:rsid w:val="00C15772"/>
    <w:rsid w:val="00C15C78"/>
    <w:rsid w:val="00C16135"/>
    <w:rsid w:val="00C1679C"/>
    <w:rsid w:val="00C16F7C"/>
    <w:rsid w:val="00C204EF"/>
    <w:rsid w:val="00C206A2"/>
    <w:rsid w:val="00C21478"/>
    <w:rsid w:val="00C22523"/>
    <w:rsid w:val="00C23B12"/>
    <w:rsid w:val="00C24027"/>
    <w:rsid w:val="00C24E05"/>
    <w:rsid w:val="00C24E0E"/>
    <w:rsid w:val="00C25B7B"/>
    <w:rsid w:val="00C2634A"/>
    <w:rsid w:val="00C27197"/>
    <w:rsid w:val="00C30179"/>
    <w:rsid w:val="00C304B1"/>
    <w:rsid w:val="00C30D72"/>
    <w:rsid w:val="00C312B2"/>
    <w:rsid w:val="00C315AF"/>
    <w:rsid w:val="00C31FCC"/>
    <w:rsid w:val="00C333CF"/>
    <w:rsid w:val="00C3382F"/>
    <w:rsid w:val="00C34916"/>
    <w:rsid w:val="00C3634A"/>
    <w:rsid w:val="00C36BD0"/>
    <w:rsid w:val="00C37259"/>
    <w:rsid w:val="00C374F2"/>
    <w:rsid w:val="00C375AC"/>
    <w:rsid w:val="00C41333"/>
    <w:rsid w:val="00C42681"/>
    <w:rsid w:val="00C42E0F"/>
    <w:rsid w:val="00C438CC"/>
    <w:rsid w:val="00C439F4"/>
    <w:rsid w:val="00C43D9B"/>
    <w:rsid w:val="00C43E96"/>
    <w:rsid w:val="00C446D6"/>
    <w:rsid w:val="00C44A4C"/>
    <w:rsid w:val="00C44B9E"/>
    <w:rsid w:val="00C450D2"/>
    <w:rsid w:val="00C47685"/>
    <w:rsid w:val="00C504FC"/>
    <w:rsid w:val="00C50B3C"/>
    <w:rsid w:val="00C51824"/>
    <w:rsid w:val="00C51E23"/>
    <w:rsid w:val="00C5352E"/>
    <w:rsid w:val="00C5354E"/>
    <w:rsid w:val="00C5363B"/>
    <w:rsid w:val="00C53E32"/>
    <w:rsid w:val="00C54105"/>
    <w:rsid w:val="00C54642"/>
    <w:rsid w:val="00C575CE"/>
    <w:rsid w:val="00C61C92"/>
    <w:rsid w:val="00C6218B"/>
    <w:rsid w:val="00C63ADB"/>
    <w:rsid w:val="00C63CFB"/>
    <w:rsid w:val="00C64DD5"/>
    <w:rsid w:val="00C655B4"/>
    <w:rsid w:val="00C66C4F"/>
    <w:rsid w:val="00C66CEC"/>
    <w:rsid w:val="00C66F8C"/>
    <w:rsid w:val="00C71941"/>
    <w:rsid w:val="00C72003"/>
    <w:rsid w:val="00C730F7"/>
    <w:rsid w:val="00C73258"/>
    <w:rsid w:val="00C7385B"/>
    <w:rsid w:val="00C74084"/>
    <w:rsid w:val="00C74824"/>
    <w:rsid w:val="00C74B88"/>
    <w:rsid w:val="00C752F7"/>
    <w:rsid w:val="00C756F7"/>
    <w:rsid w:val="00C76AE9"/>
    <w:rsid w:val="00C779BF"/>
    <w:rsid w:val="00C80263"/>
    <w:rsid w:val="00C80560"/>
    <w:rsid w:val="00C8060F"/>
    <w:rsid w:val="00C81B72"/>
    <w:rsid w:val="00C81EC5"/>
    <w:rsid w:val="00C8214E"/>
    <w:rsid w:val="00C83F77"/>
    <w:rsid w:val="00C845A9"/>
    <w:rsid w:val="00C84A28"/>
    <w:rsid w:val="00C84C25"/>
    <w:rsid w:val="00C85268"/>
    <w:rsid w:val="00C85758"/>
    <w:rsid w:val="00C859B5"/>
    <w:rsid w:val="00C85D2E"/>
    <w:rsid w:val="00C86DE9"/>
    <w:rsid w:val="00C86F56"/>
    <w:rsid w:val="00C8705B"/>
    <w:rsid w:val="00C92C5B"/>
    <w:rsid w:val="00C9554E"/>
    <w:rsid w:val="00C95A0A"/>
    <w:rsid w:val="00C978F8"/>
    <w:rsid w:val="00C97C8B"/>
    <w:rsid w:val="00CA079F"/>
    <w:rsid w:val="00CA14DC"/>
    <w:rsid w:val="00CA21D1"/>
    <w:rsid w:val="00CA2926"/>
    <w:rsid w:val="00CA2CCA"/>
    <w:rsid w:val="00CA31D0"/>
    <w:rsid w:val="00CA372B"/>
    <w:rsid w:val="00CA4B74"/>
    <w:rsid w:val="00CA72A8"/>
    <w:rsid w:val="00CA79CB"/>
    <w:rsid w:val="00CB128B"/>
    <w:rsid w:val="00CB46B9"/>
    <w:rsid w:val="00CB477C"/>
    <w:rsid w:val="00CB4D1E"/>
    <w:rsid w:val="00CB5C2C"/>
    <w:rsid w:val="00CB60FD"/>
    <w:rsid w:val="00CC106D"/>
    <w:rsid w:val="00CC230C"/>
    <w:rsid w:val="00CC24E8"/>
    <w:rsid w:val="00CC3266"/>
    <w:rsid w:val="00CC3BC8"/>
    <w:rsid w:val="00CC3C7A"/>
    <w:rsid w:val="00CC4771"/>
    <w:rsid w:val="00CC59F2"/>
    <w:rsid w:val="00CC6870"/>
    <w:rsid w:val="00CC6B4D"/>
    <w:rsid w:val="00CC6D09"/>
    <w:rsid w:val="00CC7078"/>
    <w:rsid w:val="00CC75AA"/>
    <w:rsid w:val="00CC78E0"/>
    <w:rsid w:val="00CD07DD"/>
    <w:rsid w:val="00CD17A0"/>
    <w:rsid w:val="00CD281E"/>
    <w:rsid w:val="00CD42F6"/>
    <w:rsid w:val="00CD4371"/>
    <w:rsid w:val="00CD6914"/>
    <w:rsid w:val="00CD6D53"/>
    <w:rsid w:val="00CD78E4"/>
    <w:rsid w:val="00CE0C1A"/>
    <w:rsid w:val="00CE16CE"/>
    <w:rsid w:val="00CE2A2E"/>
    <w:rsid w:val="00CE30BC"/>
    <w:rsid w:val="00CE33A9"/>
    <w:rsid w:val="00CE34AA"/>
    <w:rsid w:val="00CE362A"/>
    <w:rsid w:val="00CE3AFC"/>
    <w:rsid w:val="00CE4624"/>
    <w:rsid w:val="00CE4F7B"/>
    <w:rsid w:val="00CE522D"/>
    <w:rsid w:val="00CE5898"/>
    <w:rsid w:val="00CE5CBE"/>
    <w:rsid w:val="00CE701E"/>
    <w:rsid w:val="00CE7745"/>
    <w:rsid w:val="00CF03E5"/>
    <w:rsid w:val="00CF086F"/>
    <w:rsid w:val="00CF0D46"/>
    <w:rsid w:val="00CF0E08"/>
    <w:rsid w:val="00CF20F0"/>
    <w:rsid w:val="00CF21FA"/>
    <w:rsid w:val="00CF24DB"/>
    <w:rsid w:val="00CF50B2"/>
    <w:rsid w:val="00D009E8"/>
    <w:rsid w:val="00D02608"/>
    <w:rsid w:val="00D02884"/>
    <w:rsid w:val="00D040D6"/>
    <w:rsid w:val="00D04452"/>
    <w:rsid w:val="00D0481E"/>
    <w:rsid w:val="00D0546F"/>
    <w:rsid w:val="00D05C54"/>
    <w:rsid w:val="00D06D69"/>
    <w:rsid w:val="00D1110B"/>
    <w:rsid w:val="00D1146C"/>
    <w:rsid w:val="00D12949"/>
    <w:rsid w:val="00D12985"/>
    <w:rsid w:val="00D1356D"/>
    <w:rsid w:val="00D13A81"/>
    <w:rsid w:val="00D14A59"/>
    <w:rsid w:val="00D14C2B"/>
    <w:rsid w:val="00D15136"/>
    <w:rsid w:val="00D153F5"/>
    <w:rsid w:val="00D16910"/>
    <w:rsid w:val="00D17EF3"/>
    <w:rsid w:val="00D2056B"/>
    <w:rsid w:val="00D210C1"/>
    <w:rsid w:val="00D22142"/>
    <w:rsid w:val="00D23965"/>
    <w:rsid w:val="00D23973"/>
    <w:rsid w:val="00D243DE"/>
    <w:rsid w:val="00D26142"/>
    <w:rsid w:val="00D26374"/>
    <w:rsid w:val="00D26FD3"/>
    <w:rsid w:val="00D278BC"/>
    <w:rsid w:val="00D27A81"/>
    <w:rsid w:val="00D27EFB"/>
    <w:rsid w:val="00D3199B"/>
    <w:rsid w:val="00D333DF"/>
    <w:rsid w:val="00D35901"/>
    <w:rsid w:val="00D37081"/>
    <w:rsid w:val="00D37F3A"/>
    <w:rsid w:val="00D40913"/>
    <w:rsid w:val="00D40988"/>
    <w:rsid w:val="00D41366"/>
    <w:rsid w:val="00D42228"/>
    <w:rsid w:val="00D4281D"/>
    <w:rsid w:val="00D46193"/>
    <w:rsid w:val="00D46B37"/>
    <w:rsid w:val="00D46CCE"/>
    <w:rsid w:val="00D471CE"/>
    <w:rsid w:val="00D47780"/>
    <w:rsid w:val="00D51309"/>
    <w:rsid w:val="00D5216B"/>
    <w:rsid w:val="00D548DB"/>
    <w:rsid w:val="00D54A68"/>
    <w:rsid w:val="00D54E1F"/>
    <w:rsid w:val="00D55710"/>
    <w:rsid w:val="00D55A35"/>
    <w:rsid w:val="00D57001"/>
    <w:rsid w:val="00D607E3"/>
    <w:rsid w:val="00D60C59"/>
    <w:rsid w:val="00D61CDB"/>
    <w:rsid w:val="00D633C6"/>
    <w:rsid w:val="00D63514"/>
    <w:rsid w:val="00D6366B"/>
    <w:rsid w:val="00D64173"/>
    <w:rsid w:val="00D64671"/>
    <w:rsid w:val="00D6549A"/>
    <w:rsid w:val="00D65884"/>
    <w:rsid w:val="00D67137"/>
    <w:rsid w:val="00D67618"/>
    <w:rsid w:val="00D67D34"/>
    <w:rsid w:val="00D703B3"/>
    <w:rsid w:val="00D7070A"/>
    <w:rsid w:val="00D70E42"/>
    <w:rsid w:val="00D72067"/>
    <w:rsid w:val="00D73055"/>
    <w:rsid w:val="00D73B41"/>
    <w:rsid w:val="00D73BEC"/>
    <w:rsid w:val="00D74850"/>
    <w:rsid w:val="00D76560"/>
    <w:rsid w:val="00D8048D"/>
    <w:rsid w:val="00D817CE"/>
    <w:rsid w:val="00D8187C"/>
    <w:rsid w:val="00D81B38"/>
    <w:rsid w:val="00D82E86"/>
    <w:rsid w:val="00D82FFD"/>
    <w:rsid w:val="00D837B8"/>
    <w:rsid w:val="00D83B5D"/>
    <w:rsid w:val="00D8511D"/>
    <w:rsid w:val="00D85486"/>
    <w:rsid w:val="00D857D9"/>
    <w:rsid w:val="00D8581B"/>
    <w:rsid w:val="00D86C9A"/>
    <w:rsid w:val="00D90730"/>
    <w:rsid w:val="00D9087A"/>
    <w:rsid w:val="00D9377A"/>
    <w:rsid w:val="00D94483"/>
    <w:rsid w:val="00D944DB"/>
    <w:rsid w:val="00D946CF"/>
    <w:rsid w:val="00D94DB0"/>
    <w:rsid w:val="00D9547E"/>
    <w:rsid w:val="00D95646"/>
    <w:rsid w:val="00D95797"/>
    <w:rsid w:val="00D9612A"/>
    <w:rsid w:val="00D973F8"/>
    <w:rsid w:val="00DA091F"/>
    <w:rsid w:val="00DA2C1D"/>
    <w:rsid w:val="00DA2EB3"/>
    <w:rsid w:val="00DA5873"/>
    <w:rsid w:val="00DA62EB"/>
    <w:rsid w:val="00DA63F1"/>
    <w:rsid w:val="00DB355C"/>
    <w:rsid w:val="00DB40BA"/>
    <w:rsid w:val="00DB4DAE"/>
    <w:rsid w:val="00DB4FA2"/>
    <w:rsid w:val="00DB55B1"/>
    <w:rsid w:val="00DB5AFA"/>
    <w:rsid w:val="00DB6352"/>
    <w:rsid w:val="00DB6F3A"/>
    <w:rsid w:val="00DC080E"/>
    <w:rsid w:val="00DC18DA"/>
    <w:rsid w:val="00DC2824"/>
    <w:rsid w:val="00DC5493"/>
    <w:rsid w:val="00DC6576"/>
    <w:rsid w:val="00DC6AE2"/>
    <w:rsid w:val="00DC7121"/>
    <w:rsid w:val="00DD0774"/>
    <w:rsid w:val="00DD10F9"/>
    <w:rsid w:val="00DD1DCD"/>
    <w:rsid w:val="00DD282D"/>
    <w:rsid w:val="00DD2DFB"/>
    <w:rsid w:val="00DD3A10"/>
    <w:rsid w:val="00DD3EB1"/>
    <w:rsid w:val="00DD4647"/>
    <w:rsid w:val="00DD5F45"/>
    <w:rsid w:val="00DD755B"/>
    <w:rsid w:val="00DE03B3"/>
    <w:rsid w:val="00DE1748"/>
    <w:rsid w:val="00DE2487"/>
    <w:rsid w:val="00DE25DC"/>
    <w:rsid w:val="00DE2AF5"/>
    <w:rsid w:val="00DE3759"/>
    <w:rsid w:val="00DE46E3"/>
    <w:rsid w:val="00DE5817"/>
    <w:rsid w:val="00DE6D02"/>
    <w:rsid w:val="00DE7B4F"/>
    <w:rsid w:val="00DF007F"/>
    <w:rsid w:val="00DF0CC6"/>
    <w:rsid w:val="00DF11C3"/>
    <w:rsid w:val="00DF32CD"/>
    <w:rsid w:val="00DF4059"/>
    <w:rsid w:val="00DF4225"/>
    <w:rsid w:val="00DF428C"/>
    <w:rsid w:val="00DF4655"/>
    <w:rsid w:val="00DF4703"/>
    <w:rsid w:val="00DF546F"/>
    <w:rsid w:val="00DF5650"/>
    <w:rsid w:val="00DF591D"/>
    <w:rsid w:val="00DF6136"/>
    <w:rsid w:val="00DF68D0"/>
    <w:rsid w:val="00DF6C2D"/>
    <w:rsid w:val="00DF7114"/>
    <w:rsid w:val="00DF71B0"/>
    <w:rsid w:val="00DF7F68"/>
    <w:rsid w:val="00E00298"/>
    <w:rsid w:val="00E01CDB"/>
    <w:rsid w:val="00E0291F"/>
    <w:rsid w:val="00E02C53"/>
    <w:rsid w:val="00E036BA"/>
    <w:rsid w:val="00E03989"/>
    <w:rsid w:val="00E03CB5"/>
    <w:rsid w:val="00E04E9A"/>
    <w:rsid w:val="00E05F2F"/>
    <w:rsid w:val="00E06A90"/>
    <w:rsid w:val="00E10795"/>
    <w:rsid w:val="00E117AB"/>
    <w:rsid w:val="00E13276"/>
    <w:rsid w:val="00E14512"/>
    <w:rsid w:val="00E15948"/>
    <w:rsid w:val="00E15A57"/>
    <w:rsid w:val="00E16DF2"/>
    <w:rsid w:val="00E17372"/>
    <w:rsid w:val="00E205FE"/>
    <w:rsid w:val="00E20BAA"/>
    <w:rsid w:val="00E22112"/>
    <w:rsid w:val="00E2244F"/>
    <w:rsid w:val="00E232BC"/>
    <w:rsid w:val="00E23AD4"/>
    <w:rsid w:val="00E23F93"/>
    <w:rsid w:val="00E246A7"/>
    <w:rsid w:val="00E24867"/>
    <w:rsid w:val="00E2486A"/>
    <w:rsid w:val="00E24F60"/>
    <w:rsid w:val="00E30C41"/>
    <w:rsid w:val="00E3112C"/>
    <w:rsid w:val="00E32E0A"/>
    <w:rsid w:val="00E33185"/>
    <w:rsid w:val="00E335D4"/>
    <w:rsid w:val="00E33831"/>
    <w:rsid w:val="00E3494F"/>
    <w:rsid w:val="00E35032"/>
    <w:rsid w:val="00E35924"/>
    <w:rsid w:val="00E35E21"/>
    <w:rsid w:val="00E361F0"/>
    <w:rsid w:val="00E37DFE"/>
    <w:rsid w:val="00E37FD2"/>
    <w:rsid w:val="00E401D7"/>
    <w:rsid w:val="00E417DA"/>
    <w:rsid w:val="00E4341F"/>
    <w:rsid w:val="00E4348C"/>
    <w:rsid w:val="00E43824"/>
    <w:rsid w:val="00E44186"/>
    <w:rsid w:val="00E45F37"/>
    <w:rsid w:val="00E46148"/>
    <w:rsid w:val="00E51432"/>
    <w:rsid w:val="00E5200E"/>
    <w:rsid w:val="00E5204B"/>
    <w:rsid w:val="00E52513"/>
    <w:rsid w:val="00E52B3D"/>
    <w:rsid w:val="00E52BCE"/>
    <w:rsid w:val="00E52E74"/>
    <w:rsid w:val="00E5340B"/>
    <w:rsid w:val="00E546C4"/>
    <w:rsid w:val="00E55012"/>
    <w:rsid w:val="00E555CB"/>
    <w:rsid w:val="00E563E6"/>
    <w:rsid w:val="00E571EE"/>
    <w:rsid w:val="00E57A27"/>
    <w:rsid w:val="00E57E9C"/>
    <w:rsid w:val="00E60333"/>
    <w:rsid w:val="00E61742"/>
    <w:rsid w:val="00E61D4D"/>
    <w:rsid w:val="00E6205F"/>
    <w:rsid w:val="00E63285"/>
    <w:rsid w:val="00E654B8"/>
    <w:rsid w:val="00E65D85"/>
    <w:rsid w:val="00E66218"/>
    <w:rsid w:val="00E66532"/>
    <w:rsid w:val="00E66FF9"/>
    <w:rsid w:val="00E700A9"/>
    <w:rsid w:val="00E702C0"/>
    <w:rsid w:val="00E7117A"/>
    <w:rsid w:val="00E71A4B"/>
    <w:rsid w:val="00E72438"/>
    <w:rsid w:val="00E7259E"/>
    <w:rsid w:val="00E72CFD"/>
    <w:rsid w:val="00E7372E"/>
    <w:rsid w:val="00E744C1"/>
    <w:rsid w:val="00E76B94"/>
    <w:rsid w:val="00E7731B"/>
    <w:rsid w:val="00E776F9"/>
    <w:rsid w:val="00E8127C"/>
    <w:rsid w:val="00E81A0D"/>
    <w:rsid w:val="00E82C48"/>
    <w:rsid w:val="00E836D7"/>
    <w:rsid w:val="00E85102"/>
    <w:rsid w:val="00E85359"/>
    <w:rsid w:val="00E85405"/>
    <w:rsid w:val="00E87D61"/>
    <w:rsid w:val="00E87F71"/>
    <w:rsid w:val="00E91396"/>
    <w:rsid w:val="00E92434"/>
    <w:rsid w:val="00E9389D"/>
    <w:rsid w:val="00E93D90"/>
    <w:rsid w:val="00E957E2"/>
    <w:rsid w:val="00E95836"/>
    <w:rsid w:val="00E95AD7"/>
    <w:rsid w:val="00E976DB"/>
    <w:rsid w:val="00EA0BD8"/>
    <w:rsid w:val="00EA0BDB"/>
    <w:rsid w:val="00EA0DBA"/>
    <w:rsid w:val="00EA1B61"/>
    <w:rsid w:val="00EA2A99"/>
    <w:rsid w:val="00EA3D98"/>
    <w:rsid w:val="00EA45C9"/>
    <w:rsid w:val="00EA5DA7"/>
    <w:rsid w:val="00EA6B4D"/>
    <w:rsid w:val="00EB0840"/>
    <w:rsid w:val="00EB0E1B"/>
    <w:rsid w:val="00EB321F"/>
    <w:rsid w:val="00EB3B4D"/>
    <w:rsid w:val="00EB563A"/>
    <w:rsid w:val="00EB575F"/>
    <w:rsid w:val="00EB5A87"/>
    <w:rsid w:val="00EB6086"/>
    <w:rsid w:val="00EB66D0"/>
    <w:rsid w:val="00EB6A48"/>
    <w:rsid w:val="00EB6AE1"/>
    <w:rsid w:val="00EB6EAB"/>
    <w:rsid w:val="00EC0C58"/>
    <w:rsid w:val="00EC0ED1"/>
    <w:rsid w:val="00EC1917"/>
    <w:rsid w:val="00EC2793"/>
    <w:rsid w:val="00EC3EA7"/>
    <w:rsid w:val="00EC57F9"/>
    <w:rsid w:val="00EC70B3"/>
    <w:rsid w:val="00EC74A0"/>
    <w:rsid w:val="00EC7F92"/>
    <w:rsid w:val="00ED0044"/>
    <w:rsid w:val="00ED0428"/>
    <w:rsid w:val="00ED128D"/>
    <w:rsid w:val="00ED36FF"/>
    <w:rsid w:val="00ED5088"/>
    <w:rsid w:val="00ED565B"/>
    <w:rsid w:val="00ED6639"/>
    <w:rsid w:val="00ED6FE8"/>
    <w:rsid w:val="00EE0565"/>
    <w:rsid w:val="00EE1618"/>
    <w:rsid w:val="00EE1958"/>
    <w:rsid w:val="00EE26B9"/>
    <w:rsid w:val="00EE395C"/>
    <w:rsid w:val="00EE3BB0"/>
    <w:rsid w:val="00EE453B"/>
    <w:rsid w:val="00EE4549"/>
    <w:rsid w:val="00EE68F1"/>
    <w:rsid w:val="00EE7577"/>
    <w:rsid w:val="00EF0411"/>
    <w:rsid w:val="00EF0593"/>
    <w:rsid w:val="00EF0D4C"/>
    <w:rsid w:val="00EF1B06"/>
    <w:rsid w:val="00EF1BF9"/>
    <w:rsid w:val="00EF3591"/>
    <w:rsid w:val="00EF393A"/>
    <w:rsid w:val="00EF3E9E"/>
    <w:rsid w:val="00EF4F02"/>
    <w:rsid w:val="00EF5B5A"/>
    <w:rsid w:val="00EF6108"/>
    <w:rsid w:val="00F00D0F"/>
    <w:rsid w:val="00F03237"/>
    <w:rsid w:val="00F03650"/>
    <w:rsid w:val="00F03833"/>
    <w:rsid w:val="00F042F7"/>
    <w:rsid w:val="00F04D04"/>
    <w:rsid w:val="00F0525E"/>
    <w:rsid w:val="00F05D17"/>
    <w:rsid w:val="00F05E5A"/>
    <w:rsid w:val="00F062A3"/>
    <w:rsid w:val="00F07325"/>
    <w:rsid w:val="00F07E43"/>
    <w:rsid w:val="00F10891"/>
    <w:rsid w:val="00F11807"/>
    <w:rsid w:val="00F11827"/>
    <w:rsid w:val="00F12C10"/>
    <w:rsid w:val="00F13116"/>
    <w:rsid w:val="00F13C4A"/>
    <w:rsid w:val="00F14F4A"/>
    <w:rsid w:val="00F17509"/>
    <w:rsid w:val="00F202EC"/>
    <w:rsid w:val="00F204B1"/>
    <w:rsid w:val="00F20A04"/>
    <w:rsid w:val="00F20D7E"/>
    <w:rsid w:val="00F21152"/>
    <w:rsid w:val="00F2292B"/>
    <w:rsid w:val="00F22A5A"/>
    <w:rsid w:val="00F23560"/>
    <w:rsid w:val="00F252EF"/>
    <w:rsid w:val="00F26268"/>
    <w:rsid w:val="00F26506"/>
    <w:rsid w:val="00F268CF"/>
    <w:rsid w:val="00F26DB6"/>
    <w:rsid w:val="00F277AA"/>
    <w:rsid w:val="00F278AE"/>
    <w:rsid w:val="00F27B63"/>
    <w:rsid w:val="00F27D8A"/>
    <w:rsid w:val="00F31853"/>
    <w:rsid w:val="00F31B4C"/>
    <w:rsid w:val="00F31FD2"/>
    <w:rsid w:val="00F3298B"/>
    <w:rsid w:val="00F341ED"/>
    <w:rsid w:val="00F34284"/>
    <w:rsid w:val="00F34BA0"/>
    <w:rsid w:val="00F351B9"/>
    <w:rsid w:val="00F353DB"/>
    <w:rsid w:val="00F359DC"/>
    <w:rsid w:val="00F3648B"/>
    <w:rsid w:val="00F36C6E"/>
    <w:rsid w:val="00F36D2E"/>
    <w:rsid w:val="00F37C43"/>
    <w:rsid w:val="00F406C5"/>
    <w:rsid w:val="00F4124D"/>
    <w:rsid w:val="00F417B0"/>
    <w:rsid w:val="00F41923"/>
    <w:rsid w:val="00F42A44"/>
    <w:rsid w:val="00F43B93"/>
    <w:rsid w:val="00F44A0B"/>
    <w:rsid w:val="00F4698D"/>
    <w:rsid w:val="00F50EFB"/>
    <w:rsid w:val="00F515DF"/>
    <w:rsid w:val="00F522F5"/>
    <w:rsid w:val="00F5387D"/>
    <w:rsid w:val="00F53DBC"/>
    <w:rsid w:val="00F53EB6"/>
    <w:rsid w:val="00F5588E"/>
    <w:rsid w:val="00F55AEE"/>
    <w:rsid w:val="00F57804"/>
    <w:rsid w:val="00F62DBD"/>
    <w:rsid w:val="00F63D20"/>
    <w:rsid w:val="00F63E18"/>
    <w:rsid w:val="00F64128"/>
    <w:rsid w:val="00F646FE"/>
    <w:rsid w:val="00F65A30"/>
    <w:rsid w:val="00F67FCF"/>
    <w:rsid w:val="00F70DA4"/>
    <w:rsid w:val="00F715FA"/>
    <w:rsid w:val="00F71797"/>
    <w:rsid w:val="00F73ADF"/>
    <w:rsid w:val="00F73CA6"/>
    <w:rsid w:val="00F7455D"/>
    <w:rsid w:val="00F74C71"/>
    <w:rsid w:val="00F75924"/>
    <w:rsid w:val="00F76D9D"/>
    <w:rsid w:val="00F77114"/>
    <w:rsid w:val="00F80983"/>
    <w:rsid w:val="00F80D7D"/>
    <w:rsid w:val="00F810C8"/>
    <w:rsid w:val="00F8288A"/>
    <w:rsid w:val="00F82DDA"/>
    <w:rsid w:val="00F8498C"/>
    <w:rsid w:val="00F8681A"/>
    <w:rsid w:val="00F90174"/>
    <w:rsid w:val="00F901E9"/>
    <w:rsid w:val="00F902DD"/>
    <w:rsid w:val="00F909A0"/>
    <w:rsid w:val="00F90C0E"/>
    <w:rsid w:val="00F91E99"/>
    <w:rsid w:val="00F92526"/>
    <w:rsid w:val="00F93E79"/>
    <w:rsid w:val="00F94D28"/>
    <w:rsid w:val="00F94E6D"/>
    <w:rsid w:val="00F9535D"/>
    <w:rsid w:val="00F9654B"/>
    <w:rsid w:val="00F9678E"/>
    <w:rsid w:val="00FA0511"/>
    <w:rsid w:val="00FA0ADE"/>
    <w:rsid w:val="00FA2748"/>
    <w:rsid w:val="00FA2D86"/>
    <w:rsid w:val="00FA3037"/>
    <w:rsid w:val="00FA3FCB"/>
    <w:rsid w:val="00FA4E7E"/>
    <w:rsid w:val="00FA4E7F"/>
    <w:rsid w:val="00FA5C47"/>
    <w:rsid w:val="00FA6B90"/>
    <w:rsid w:val="00FA72EB"/>
    <w:rsid w:val="00FB03B8"/>
    <w:rsid w:val="00FB0F0C"/>
    <w:rsid w:val="00FB0F60"/>
    <w:rsid w:val="00FB1636"/>
    <w:rsid w:val="00FB27B3"/>
    <w:rsid w:val="00FB3817"/>
    <w:rsid w:val="00FB3D4C"/>
    <w:rsid w:val="00FB3FB0"/>
    <w:rsid w:val="00FB478C"/>
    <w:rsid w:val="00FB5DDB"/>
    <w:rsid w:val="00FB6A51"/>
    <w:rsid w:val="00FB6C1B"/>
    <w:rsid w:val="00FB729E"/>
    <w:rsid w:val="00FC0305"/>
    <w:rsid w:val="00FC08A9"/>
    <w:rsid w:val="00FC0D90"/>
    <w:rsid w:val="00FC2A46"/>
    <w:rsid w:val="00FC2BEE"/>
    <w:rsid w:val="00FC4057"/>
    <w:rsid w:val="00FC460B"/>
    <w:rsid w:val="00FC4F8E"/>
    <w:rsid w:val="00FC519E"/>
    <w:rsid w:val="00FC5C1A"/>
    <w:rsid w:val="00FC696C"/>
    <w:rsid w:val="00FC6DED"/>
    <w:rsid w:val="00FD1CFE"/>
    <w:rsid w:val="00FD4707"/>
    <w:rsid w:val="00FD493B"/>
    <w:rsid w:val="00FD6154"/>
    <w:rsid w:val="00FD6897"/>
    <w:rsid w:val="00FE0A71"/>
    <w:rsid w:val="00FE1091"/>
    <w:rsid w:val="00FE2CF5"/>
    <w:rsid w:val="00FE364F"/>
    <w:rsid w:val="00FE4998"/>
    <w:rsid w:val="00FE5A50"/>
    <w:rsid w:val="00FE6424"/>
    <w:rsid w:val="00FE71F9"/>
    <w:rsid w:val="00FE7B28"/>
    <w:rsid w:val="00FF20D6"/>
    <w:rsid w:val="00FF263C"/>
    <w:rsid w:val="00FF3375"/>
    <w:rsid w:val="00FF3954"/>
    <w:rsid w:val="00FF39C1"/>
    <w:rsid w:val="00FF3D42"/>
    <w:rsid w:val="00FF5AAE"/>
    <w:rsid w:val="00FF60E7"/>
    <w:rsid w:val="00FF6136"/>
    <w:rsid w:val="00FF620E"/>
    <w:rsid w:val="00FF75F5"/>
    <w:rsid w:val="0CE914A6"/>
    <w:rsid w:val="10CFE613"/>
    <w:rsid w:val="190F7AA9"/>
    <w:rsid w:val="1D397C9D"/>
    <w:rsid w:val="3506C412"/>
    <w:rsid w:val="3948412A"/>
    <w:rsid w:val="3D5EC89E"/>
    <w:rsid w:val="47032530"/>
    <w:rsid w:val="523BB549"/>
    <w:rsid w:val="5A7C7985"/>
    <w:rsid w:val="62691450"/>
    <w:rsid w:val="65B77F8F"/>
    <w:rsid w:val="686AF3EF"/>
    <w:rsid w:val="69582B1D"/>
    <w:rsid w:val="6F6D0B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D98021"/>
  <w15:docId w15:val="{DA4B0EF2-A910-49A1-8F3C-B83221DE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6" w:hanging="10"/>
    </w:pPr>
  </w:style>
  <w:style w:type="paragraph" w:styleId="Heading1">
    <w:name w:val="heading 1"/>
    <w:next w:val="Normal"/>
    <w:link w:val="Heading1Char"/>
    <w:uiPriority w:val="9"/>
    <w:qFormat/>
    <w:rsid w:val="00924972"/>
    <w:pPr>
      <w:keepNext/>
      <w:keepLines/>
      <w:numPr>
        <w:numId w:val="2"/>
      </w:numPr>
      <w:spacing w:after="13" w:line="249" w:lineRule="auto"/>
      <w:outlineLvl w:val="0"/>
    </w:pPr>
    <w:rPr>
      <w:rFonts w:eastAsia="Times New Roman"/>
      <w:b/>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AC4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eastAsia="Times New Roman"/>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sid w:val="00924972"/>
    <w:rPr>
      <w:rFonts w:ascii="Times New Roman" w:eastAsia="Times New Roman" w:hAnsi="Times New Roman" w:cs="Times New Roman"/>
      <w:b/>
      <w:color w:val="000000"/>
      <w:sz w:val="24"/>
      <w:szCs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Footnote Text Char1 Char Char Char1 Char,Footnote Text Char1 Char1,Footnote Text Char2 Char Char,c Char,f Char"/>
    <w:basedOn w:val="DefaultParagraphFont"/>
    <w:link w:val="FootnoteText"/>
    <w:uiPriority w:val="99"/>
    <w:rPr>
      <w:rFonts w:ascii="Times New Roman" w:eastAsia="Times New Roman" w:hAnsi="Times New Roman" w:cs="Times New Roman"/>
      <w:color w:val="000000"/>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hAnsi="Arial" w:eastAsiaTheme="minorHAnsi" w:cs="Arial"/>
      <w:color w:val="auto"/>
      <w:sz w:val="20"/>
      <w:szCs w:val="20"/>
    </w:rPr>
  </w:style>
  <w:style w:type="character" w:customStyle="1" w:styleId="CommentTextChar">
    <w:name w:val="Comment Text Char"/>
    <w:basedOn w:val="DefaultParagraphFont"/>
    <w:link w:val="CommentText"/>
    <w:uiPriority w:val="99"/>
    <w:rPr>
      <w:rFonts w:ascii="Arial" w:hAnsi="Arial" w:eastAsiaTheme="minorHAnsi" w:cs="Arial"/>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eastAsia="Times New Roman"/>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unhideWhenUsed/>
    <w:rsid w:val="00082554"/>
    <w:rPr>
      <w:color w:val="605E5C"/>
      <w:shd w:val="clear" w:color="auto" w:fill="E1DFDD"/>
    </w:rPr>
  </w:style>
  <w:style w:type="table" w:customStyle="1" w:styleId="TableGrid11">
    <w:name w:val="Table Grid11"/>
    <w:basedOn w:val="TableNormal"/>
    <w:next w:val="TableNormal"/>
    <w:uiPriority w:val="39"/>
    <w:rsid w:val="001132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C43F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unhideWhenUsed/>
    <w:rsid w:val="00FC4057"/>
    <w:pPr>
      <w:spacing w:before="100" w:beforeAutospacing="1" w:after="100" w:afterAutospacing="1" w:line="276" w:lineRule="auto"/>
      <w:ind w:left="0" w:firstLine="0"/>
    </w:pPr>
    <w:rPr>
      <w:color w:val="auto"/>
    </w:rPr>
  </w:style>
  <w:style w:type="character" w:styleId="Mention">
    <w:name w:val="Mention"/>
    <w:basedOn w:val="DefaultParagraphFont"/>
    <w:uiPriority w:val="99"/>
    <w:unhideWhenUsed/>
    <w:rsid w:val="007C41A8"/>
    <w:rPr>
      <w:color w:val="2B579A"/>
      <w:shd w:val="clear" w:color="auto" w:fill="E1DFDD"/>
    </w:rPr>
  </w:style>
  <w:style w:type="paragraph" w:customStyle="1" w:styleId="FERCNopara">
    <w:name w:val="FERC Nopara"/>
    <w:basedOn w:val="Normal"/>
    <w:qFormat/>
    <w:rsid w:val="00D14C2B"/>
    <w:pPr>
      <w:spacing w:after="260" w:line="240" w:lineRule="auto"/>
      <w:ind w:left="0" w:firstLine="720"/>
    </w:pPr>
    <w:rPr>
      <w:rFonts w:eastAsiaTheme="minorHAnsi"/>
      <w:color w:val="auto"/>
      <w:sz w:val="26"/>
      <w:szCs w:val="22"/>
    </w:rPr>
  </w:style>
  <w:style w:type="table" w:customStyle="1" w:styleId="TableGrid0">
    <w:name w:val="Table Grid0"/>
    <w:basedOn w:val="TableNormal"/>
    <w:uiPriority w:val="39"/>
    <w:rsid w:val="0000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94D06"/>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online/etariff" TargetMode="External" /><Relationship Id="rId11" Type="http://schemas.openxmlformats.org/officeDocument/2006/relationships/hyperlink" Target="https://www.ferc.gov/enforcement-legal/legal/information-collection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a7c6213-c3f8-4376-93f2-dc58e5c51d54" xsi:nil="true"/>
    <lcf76f155ced4ddcb4097134ff3c332f xmlns="e029e753-062b-49ce-baa7-feb352134f8f">
      <Terms xmlns="http://schemas.microsoft.com/office/infopath/2007/PartnerControls"/>
    </lcf76f155ced4ddcb4097134ff3c332f>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customXml/itemProps2.xml><?xml version="1.0" encoding="utf-8"?>
<ds:datastoreItem xmlns:ds="http://schemas.openxmlformats.org/officeDocument/2006/customXml" ds:itemID="{709BD5E9-6322-4225-8BCB-FF512B735564}">
  <ds:schemaRefs>
    <ds:schemaRef ds:uri="http://schemas.microsoft.com/office/2006/documentManagement/types"/>
    <ds:schemaRef ds:uri="d6eefc7d-9817-4fa6-84d5-3bc009be21b8"/>
    <ds:schemaRef ds:uri="http://purl.org/dc/elements/1.1/"/>
    <ds:schemaRef ds:uri="http://schemas.openxmlformats.org/package/2006/metadata/core-properties"/>
    <ds:schemaRef ds:uri="http://schemas.microsoft.com/office/infopath/2007/PartnerControls"/>
    <ds:schemaRef ds:uri="e029e753-062b-49ce-baa7-feb352134f8f"/>
    <ds:schemaRef ds:uri="5a7c6213-c3f8-4376-93f2-dc58e5c51d54"/>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4.xml><?xml version="1.0" encoding="utf-8"?>
<ds:datastoreItem xmlns:ds="http://schemas.openxmlformats.org/officeDocument/2006/customXml" ds:itemID="{81205862-235B-4CE6-806B-A3C8637C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2676</Words>
  <Characters>15259</Characters>
  <Application>Microsoft Office Word</Application>
  <DocSecurity>0</DocSecurity>
  <Lines>127</Lines>
  <Paragraphs>35</Paragraphs>
  <ScaleCrop>false</ScaleCrop>
  <Company>Federal Energy Regulatory Commission</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creator>anthony.may@ferc.gov</dc:creator>
  <cp:lastModifiedBy>Christopher Kozler</cp:lastModifiedBy>
  <cp:revision>2</cp:revision>
  <dcterms:created xsi:type="dcterms:W3CDTF">2024-04-16T17:07:00Z</dcterms:created>
  <dcterms:modified xsi:type="dcterms:W3CDTF">2024-04-16T17:07:00Z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4af7b95f-bf52-4fcc-a844-265254dc3eb6</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2022-06-21T16:02:53Z</vt:lpwstr>
  </property>
  <property fmtid="{D5CDD505-2E9C-101B-9397-08002B2CF9AE}" pid="10" name="MSIP_Label_6155a89b-0f08-4a93-8ea2-8a916d6643b5_SiteId">
    <vt:lpwstr>19caa9e9-04ff-43fa-885f-d77fac387903</vt:lpwstr>
  </property>
</Properties>
</file>