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721F" w:rsidP="00F83A73" w14:paraId="707FC5A0" w14:textId="77777777">
      <w:pPr>
        <w:rPr>
          <w:sz w:val="24"/>
          <w:szCs w:val="24"/>
          <w:highlight w:val="yellow"/>
        </w:rPr>
      </w:pPr>
    </w:p>
    <w:p w:rsidR="00E34845" w:rsidRPr="00AB14FE" w:rsidP="00E34845" w14:paraId="70CD8BA0" w14:textId="77777777">
      <w:pPr>
        <w:rPr>
          <w:b/>
          <w:sz w:val="24"/>
          <w:szCs w:val="24"/>
        </w:rPr>
      </w:pPr>
      <w:r w:rsidRPr="00F259B6">
        <w:rPr>
          <w:b/>
          <w:sz w:val="24"/>
          <w:szCs w:val="24"/>
        </w:rPr>
        <w:t>§ 99.35(a)(3</w:t>
      </w:r>
      <w:r w:rsidRPr="00AB14FE">
        <w:rPr>
          <w:b/>
          <w:sz w:val="24"/>
          <w:szCs w:val="24"/>
        </w:rPr>
        <w:t>)</w:t>
      </w:r>
    </w:p>
    <w:p w:rsidR="00565C40" w:rsidP="00E34845" w14:paraId="187266BF" w14:textId="77777777">
      <w:pPr>
        <w:rPr>
          <w:sz w:val="24"/>
          <w:szCs w:val="24"/>
          <w:highlight w:val="yellow"/>
        </w:rPr>
      </w:pPr>
    </w:p>
    <w:p w:rsidR="00102792" w:rsidP="00E136ED" w14:paraId="77DC7D55" w14:textId="77777777">
      <w:pPr>
        <w:rPr>
          <w:sz w:val="24"/>
          <w:szCs w:val="24"/>
        </w:rPr>
      </w:pPr>
      <w:r>
        <w:rPr>
          <w:sz w:val="24"/>
          <w:szCs w:val="24"/>
        </w:rPr>
        <w:t xml:space="preserve">The </w:t>
      </w:r>
      <w:r w:rsidR="00565C40">
        <w:rPr>
          <w:sz w:val="24"/>
          <w:szCs w:val="24"/>
        </w:rPr>
        <w:t xml:space="preserve">final regulation </w:t>
      </w:r>
      <w:r>
        <w:rPr>
          <w:sz w:val="24"/>
          <w:szCs w:val="24"/>
        </w:rPr>
        <w:t>add</w:t>
      </w:r>
      <w:r>
        <w:rPr>
          <w:sz w:val="24"/>
          <w:szCs w:val="24"/>
        </w:rPr>
        <w:t xml:space="preserve"> a new requirement under § 99.35(a)(3) that requires </w:t>
      </w:r>
      <w:r w:rsidR="00565C40">
        <w:rPr>
          <w:sz w:val="24"/>
          <w:szCs w:val="24"/>
        </w:rPr>
        <w:t>an</w:t>
      </w:r>
      <w:r>
        <w:rPr>
          <w:sz w:val="24"/>
          <w:szCs w:val="24"/>
        </w:rPr>
        <w:t xml:space="preserve"> agency headed by an official listed in § 99.31(a)(3) to use a written agreement to designate any authorized representative other than an agency employee.  The written agreement must:  </w:t>
      </w:r>
      <w:r w:rsidRPr="004903D2" w:rsidR="00565C40">
        <w:rPr>
          <w:color w:val="000000"/>
          <w:sz w:val="24"/>
          <w:szCs w:val="24"/>
        </w:rPr>
        <w:t xml:space="preserve">(1) designate the individual or entity as an authorized representative; (2) specify the PII from education records to be disclosed; (3) specify that the purpose for which the PII from education records is disclosed to the authorized representative is to carry out an audit or evaluation of Federal- or State-supported education programs, or to enforce or to comply with Federal legal requirements that relate to those programs; (4) describe the activity to make clear that it legitimately fits within the exception of §99.31; (5) require the authorized representative to destroy PII from education records when the information is no longer needed for the purpose specified; (6) specify the time period in which the PII from education records must be destroyed; and (7) establish policies and procedures, consistent with FERPA and other Federal and State confidentiality and privacy provisions, to protect PII from education records from further disclosure (except back to the disclosing entity) and unauthorized use.  </w:t>
      </w:r>
      <w:r>
        <w:rPr>
          <w:sz w:val="24"/>
          <w:szCs w:val="24"/>
        </w:rPr>
        <w:t xml:space="preserve">We estimate that the burden for States is estimated at 40 hours annually for each educational authority (one for K-12 and one for postsecondary). </w:t>
      </w:r>
      <w:r>
        <w:rPr>
          <w:sz w:val="24"/>
          <w:szCs w:val="24"/>
        </w:rPr>
        <w:t>This</w:t>
      </w:r>
      <w:r w:rsidR="00AB14FE">
        <w:rPr>
          <w:sz w:val="24"/>
          <w:szCs w:val="24"/>
        </w:rPr>
        <w:t xml:space="preserve"> </w:t>
      </w:r>
      <w:r>
        <w:rPr>
          <w:sz w:val="24"/>
          <w:szCs w:val="24"/>
        </w:rPr>
        <w:t>40 hours of burden</w:t>
      </w:r>
      <w:r>
        <w:rPr>
          <w:sz w:val="24"/>
          <w:szCs w:val="24"/>
        </w:rPr>
        <w:t xml:space="preserve"> was reached by estimating that 103 State authorities may handle the agreements up to 10 times per year with an estimated time of 4 hours per agreement.</w:t>
      </w:r>
      <w:r w:rsidR="00792FC7">
        <w:rPr>
          <w:sz w:val="24"/>
          <w:szCs w:val="24"/>
        </w:rPr>
        <w:t xml:space="preserve">  Total anticipated increase in annual burden would be 4,120 hours for this new requirement.</w:t>
      </w:r>
    </w:p>
    <w:p w:rsidR="0027594A" w:rsidP="00E136ED" w14:paraId="60C11ED0" w14:textId="77777777">
      <w:pPr>
        <w:rPr>
          <w:sz w:val="24"/>
          <w:szCs w:val="24"/>
        </w:rPr>
      </w:pPr>
    </w:p>
    <w:p w:rsidR="0027594A" w:rsidRPr="0027594A" w:rsidP="0027594A" w14:paraId="6BC7F1FE" w14:textId="77777777">
      <w:pPr>
        <w:autoSpaceDE w:val="0"/>
        <w:autoSpaceDN w:val="0"/>
        <w:adjustRightInd w:val="0"/>
        <w:rPr>
          <w:color w:val="000000"/>
          <w:sz w:val="24"/>
          <w:szCs w:val="24"/>
        </w:rPr>
      </w:pPr>
      <w:r w:rsidRPr="0027594A">
        <w:rPr>
          <w:color w:val="000000"/>
          <w:sz w:val="24"/>
          <w:szCs w:val="24"/>
        </w:rPr>
        <w:t xml:space="preserve">In addition, the burden for large LEAs and postsecondary institutions (1,452 educational agencies and institutions with a student population of over 10,000) is estimated to be 4 hours annually.  Assuming each large LEA and postsecondary institution handles the agreements up to 1 time per year with an estimated 4 hours per agreement, the total anticipated increase in annual burden for large LEAs and postsecondary institutions would be 5,808 hours for this requirement.  </w:t>
      </w:r>
    </w:p>
    <w:p w:rsidR="0027594A" w:rsidRPr="0027594A" w:rsidP="00E136ED" w14:paraId="709B94B5" w14:textId="77777777">
      <w:pPr>
        <w:rPr>
          <w:sz w:val="24"/>
          <w:szCs w:val="24"/>
        </w:rPr>
      </w:pPr>
      <w:r w:rsidRPr="0027594A">
        <w:rPr>
          <w:color w:val="000000"/>
          <w:sz w:val="24"/>
          <w:szCs w:val="24"/>
        </w:rPr>
        <w:t>The total estimated burden under this provision is 9,928 hours.</w:t>
      </w:r>
    </w:p>
    <w:p w:rsidR="00207E6C" w:rsidRPr="0027594A" w:rsidP="00E34845" w14:paraId="1BA4D247" w14:textId="77777777">
      <w:pPr>
        <w:rPr>
          <w:sz w:val="24"/>
          <w:szCs w:val="24"/>
          <w:highlight w:val="yellow"/>
        </w:rPr>
      </w:pPr>
    </w:p>
    <w:p w:rsidR="003418AF" w:rsidRPr="005F1991" w:rsidP="003418AF" w14:paraId="1D239E46" w14:textId="77777777">
      <w:pPr>
        <w:ind w:firstLine="720"/>
        <w:rPr>
          <w:sz w:val="24"/>
          <w:szCs w:val="24"/>
        </w:rPr>
      </w:pPr>
      <w:r w:rsidRPr="005F1991">
        <w:rPr>
          <w:sz w:val="24"/>
          <w:szCs w:val="24"/>
        </w:rPr>
        <w:t>No. of St. &amp; Fed. Edu. Authorities:</w:t>
      </w:r>
      <w:r w:rsidRPr="005F1991">
        <w:rPr>
          <w:sz w:val="24"/>
          <w:szCs w:val="24"/>
        </w:rPr>
        <w:tab/>
        <w:t>103</w:t>
      </w:r>
    </w:p>
    <w:p w:rsidR="003418AF" w:rsidRPr="005F1991" w:rsidP="003418AF" w14:paraId="7A7BAAE8" w14:textId="77777777">
      <w:pPr>
        <w:ind w:firstLine="720"/>
        <w:rPr>
          <w:sz w:val="24"/>
          <w:szCs w:val="24"/>
          <w:u w:val="single"/>
        </w:rPr>
      </w:pPr>
      <w:r w:rsidRPr="005F1991">
        <w:rPr>
          <w:sz w:val="24"/>
          <w:szCs w:val="24"/>
          <w:u w:val="single"/>
        </w:rPr>
        <w:t>Average No. of Disclosures:      x</w:t>
      </w:r>
      <w:r w:rsidRPr="005F1991">
        <w:rPr>
          <w:sz w:val="24"/>
          <w:szCs w:val="24"/>
          <w:u w:val="single"/>
        </w:rPr>
        <w:tab/>
        <w:t xml:space="preserve">  </w:t>
      </w:r>
      <w:r>
        <w:rPr>
          <w:sz w:val="24"/>
          <w:szCs w:val="24"/>
          <w:u w:val="single"/>
        </w:rPr>
        <w:t>10</w:t>
      </w:r>
    </w:p>
    <w:p w:rsidR="003418AF" w:rsidRPr="005F1991" w:rsidP="003418AF" w14:paraId="7558916C"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Pr>
          <w:sz w:val="24"/>
          <w:szCs w:val="24"/>
        </w:rPr>
        <w:t xml:space="preserve">         1,030</w:t>
      </w:r>
    </w:p>
    <w:p w:rsidR="003418AF" w:rsidRPr="00D62D7B" w:rsidP="003418AF" w14:paraId="61CFC1E9" w14:textId="77777777">
      <w:pPr>
        <w:ind w:firstLine="720"/>
        <w:rPr>
          <w:sz w:val="24"/>
          <w:szCs w:val="24"/>
          <w:highlight w:val="yellow"/>
          <w:u w:val="single"/>
        </w:rPr>
      </w:pPr>
    </w:p>
    <w:p w:rsidR="003418AF" w:rsidRPr="005F1991" w:rsidP="003418AF" w14:paraId="7A4EF436"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sidRPr="005F1991">
        <w:rPr>
          <w:sz w:val="24"/>
          <w:szCs w:val="24"/>
          <w:u w:val="single"/>
        </w:rPr>
        <w:tab/>
      </w:r>
      <w:r>
        <w:rPr>
          <w:sz w:val="24"/>
          <w:szCs w:val="24"/>
          <w:u w:val="single"/>
        </w:rPr>
        <w:t xml:space="preserve">4__   </w:t>
      </w:r>
    </w:p>
    <w:p w:rsidR="003418AF" w:rsidRPr="00D62D7B" w:rsidP="003418AF" w14:paraId="41FBC363" w14:textId="77777777">
      <w:pPr>
        <w:ind w:firstLine="720"/>
        <w:rPr>
          <w:sz w:val="24"/>
          <w:szCs w:val="24"/>
          <w:highlight w:val="yellow"/>
        </w:rPr>
      </w:pPr>
    </w:p>
    <w:p w:rsidR="003418AF" w:rsidRPr="005F1991" w:rsidP="003418AF" w14:paraId="72838BE5"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Pr>
          <w:sz w:val="24"/>
          <w:szCs w:val="24"/>
        </w:rPr>
        <w:t xml:space="preserve">         4,120</w:t>
      </w:r>
      <w:r w:rsidRPr="005F1991">
        <w:rPr>
          <w:sz w:val="24"/>
          <w:szCs w:val="24"/>
        </w:rPr>
        <w:tab/>
      </w:r>
    </w:p>
    <w:p w:rsidR="003418AF" w:rsidP="003418AF" w14:paraId="3B9AD5B7" w14:textId="77777777">
      <w:pPr>
        <w:rPr>
          <w:sz w:val="24"/>
          <w:szCs w:val="24"/>
          <w:highlight w:val="yellow"/>
        </w:rPr>
      </w:pPr>
    </w:p>
    <w:p w:rsidR="003418AF" w:rsidP="003418AF" w14:paraId="3E059B55" w14:textId="77777777"/>
    <w:p w:rsidR="003418AF" w:rsidP="003418AF" w14:paraId="7824DB26" w14:textId="77777777"/>
    <w:p w:rsidR="003418AF" w:rsidRPr="005F1991" w:rsidP="003418AF" w14:paraId="38F847C0" w14:textId="77777777">
      <w:pPr>
        <w:ind w:firstLine="720"/>
        <w:rPr>
          <w:sz w:val="24"/>
          <w:szCs w:val="24"/>
        </w:rPr>
      </w:pPr>
      <w:r w:rsidRPr="005F1991">
        <w:rPr>
          <w:sz w:val="24"/>
          <w:szCs w:val="24"/>
        </w:rPr>
        <w:t xml:space="preserve">No. of </w:t>
      </w:r>
      <w:r>
        <w:rPr>
          <w:sz w:val="24"/>
          <w:szCs w:val="24"/>
        </w:rPr>
        <w:t>Large LEAs &amp; Post. Inst</w:t>
      </w:r>
      <w:r w:rsidRPr="005F1991">
        <w:rPr>
          <w:sz w:val="24"/>
          <w:szCs w:val="24"/>
        </w:rPr>
        <w:t>:</w:t>
      </w:r>
      <w:r>
        <w:rPr>
          <w:sz w:val="24"/>
          <w:szCs w:val="24"/>
        </w:rPr>
        <w:t xml:space="preserve">     1,452</w:t>
      </w:r>
      <w:r w:rsidRPr="005F1991">
        <w:rPr>
          <w:sz w:val="24"/>
          <w:szCs w:val="24"/>
        </w:rPr>
        <w:tab/>
      </w:r>
    </w:p>
    <w:p w:rsidR="003418AF" w:rsidRPr="005F1991" w:rsidP="003418AF" w14:paraId="27E56FD6" w14:textId="77777777">
      <w:pPr>
        <w:ind w:firstLine="720"/>
        <w:rPr>
          <w:sz w:val="24"/>
          <w:szCs w:val="24"/>
          <w:u w:val="single"/>
        </w:rPr>
      </w:pPr>
      <w:r w:rsidRPr="005F1991">
        <w:rPr>
          <w:sz w:val="24"/>
          <w:szCs w:val="24"/>
          <w:u w:val="single"/>
        </w:rPr>
        <w:t>Average No. of Disclosures:      x</w:t>
      </w:r>
      <w:r w:rsidRPr="005F1991">
        <w:rPr>
          <w:sz w:val="24"/>
          <w:szCs w:val="24"/>
          <w:u w:val="single"/>
        </w:rPr>
        <w:tab/>
        <w:t xml:space="preserve">   </w:t>
      </w:r>
      <w:r>
        <w:rPr>
          <w:sz w:val="24"/>
          <w:szCs w:val="24"/>
          <w:u w:val="single"/>
        </w:rPr>
        <w:t>1</w:t>
      </w:r>
      <w:r w:rsidRPr="005F1991">
        <w:rPr>
          <w:sz w:val="24"/>
          <w:szCs w:val="24"/>
          <w:u w:val="single"/>
        </w:rPr>
        <w:t xml:space="preserve"> </w:t>
      </w:r>
    </w:p>
    <w:p w:rsidR="003418AF" w:rsidRPr="005F1991" w:rsidP="003418AF" w14:paraId="28002B7A"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Pr>
          <w:sz w:val="24"/>
          <w:szCs w:val="24"/>
        </w:rPr>
        <w:t xml:space="preserve">         1,452</w:t>
      </w:r>
    </w:p>
    <w:p w:rsidR="003418AF" w:rsidRPr="00D62D7B" w:rsidP="003418AF" w14:paraId="2990ACC8" w14:textId="77777777">
      <w:pPr>
        <w:ind w:firstLine="720"/>
        <w:rPr>
          <w:sz w:val="24"/>
          <w:szCs w:val="24"/>
          <w:highlight w:val="yellow"/>
          <w:u w:val="single"/>
        </w:rPr>
      </w:pPr>
    </w:p>
    <w:p w:rsidR="003418AF" w:rsidRPr="005F1991" w:rsidP="003418AF" w14:paraId="2E4136BF"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Pr>
          <w:sz w:val="24"/>
          <w:szCs w:val="24"/>
          <w:u w:val="single"/>
        </w:rPr>
        <w:t xml:space="preserve">              4_</w:t>
      </w:r>
    </w:p>
    <w:p w:rsidR="003418AF" w:rsidRPr="00D62D7B" w:rsidP="003418AF" w14:paraId="16DDF8CF" w14:textId="77777777">
      <w:pPr>
        <w:ind w:firstLine="720"/>
        <w:rPr>
          <w:sz w:val="24"/>
          <w:szCs w:val="24"/>
          <w:highlight w:val="yellow"/>
        </w:rPr>
      </w:pPr>
    </w:p>
    <w:p w:rsidR="003418AF" w:rsidP="003418AF" w14:paraId="5C9ED23F"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Pr>
          <w:sz w:val="24"/>
          <w:szCs w:val="24"/>
        </w:rPr>
        <w:t xml:space="preserve">         5,808</w:t>
      </w:r>
      <w:r w:rsidRPr="005F1991">
        <w:rPr>
          <w:sz w:val="24"/>
          <w:szCs w:val="24"/>
        </w:rPr>
        <w:tab/>
      </w:r>
    </w:p>
    <w:p w:rsidR="003418AF" w:rsidP="003418AF" w14:paraId="53F4ABCE" w14:textId="77777777">
      <w:pPr>
        <w:ind w:firstLine="720"/>
        <w:rPr>
          <w:sz w:val="24"/>
          <w:szCs w:val="24"/>
        </w:rPr>
      </w:pPr>
    </w:p>
    <w:p w:rsidR="003418AF" w:rsidP="003418AF" w14:paraId="6C6FCD68" w14:textId="77777777">
      <w:pPr>
        <w:ind w:firstLine="720"/>
        <w:rPr>
          <w:sz w:val="24"/>
          <w:szCs w:val="24"/>
        </w:rPr>
      </w:pPr>
    </w:p>
    <w:p w:rsidR="003418AF" w:rsidP="003418AF" w14:paraId="18280B3D" w14:textId="77777777">
      <w:pPr>
        <w:ind w:firstLine="720"/>
        <w:rPr>
          <w:sz w:val="24"/>
          <w:szCs w:val="24"/>
        </w:rPr>
      </w:pPr>
      <w:r>
        <w:rPr>
          <w:sz w:val="24"/>
          <w:szCs w:val="24"/>
        </w:rPr>
        <w:t>State &amp; Fed. Burden Hours:</w:t>
      </w:r>
      <w:r>
        <w:rPr>
          <w:sz w:val="24"/>
          <w:szCs w:val="24"/>
        </w:rPr>
        <w:tab/>
        <w:t xml:space="preserve">         4,120</w:t>
      </w:r>
    </w:p>
    <w:p w:rsidR="003418AF" w:rsidRPr="00F523E3" w:rsidP="003418AF" w14:paraId="5343F1C2" w14:textId="77777777">
      <w:pPr>
        <w:ind w:firstLine="720"/>
        <w:rPr>
          <w:sz w:val="24"/>
          <w:szCs w:val="24"/>
          <w:u w:val="single"/>
        </w:rPr>
      </w:pPr>
      <w:r w:rsidRPr="00F523E3">
        <w:rPr>
          <w:sz w:val="24"/>
          <w:szCs w:val="24"/>
          <w:u w:val="single"/>
        </w:rPr>
        <w:t>School Burden Hours:</w:t>
      </w:r>
      <w:r w:rsidRPr="00F523E3">
        <w:rPr>
          <w:sz w:val="24"/>
          <w:szCs w:val="24"/>
          <w:u w:val="single"/>
        </w:rPr>
        <w:tab/>
        <w:t xml:space="preserve">                     5,808   </w:t>
      </w:r>
    </w:p>
    <w:p w:rsidR="003418AF" w:rsidRPr="00F523E3" w:rsidP="003418AF" w14:paraId="709E8E11" w14:textId="77777777">
      <w:pPr>
        <w:rPr>
          <w:sz w:val="24"/>
          <w:szCs w:val="24"/>
        </w:rPr>
      </w:pPr>
      <w:r w:rsidRPr="00F523E3">
        <w:rPr>
          <w:sz w:val="24"/>
          <w:szCs w:val="24"/>
        </w:rPr>
        <w:t xml:space="preserve">         </w:t>
      </w:r>
      <w:r w:rsidRPr="00F523E3">
        <w:rPr>
          <w:sz w:val="24"/>
          <w:szCs w:val="24"/>
        </w:rPr>
        <w:tab/>
        <w:t xml:space="preserve">Total Burden Hours for </w:t>
      </w:r>
    </w:p>
    <w:p w:rsidR="003418AF" w:rsidRPr="00F523E3" w:rsidP="003418AF" w14:paraId="0DBD2647" w14:textId="77777777">
      <w:pPr>
        <w:rPr>
          <w:sz w:val="24"/>
          <w:szCs w:val="24"/>
        </w:rPr>
      </w:pPr>
      <w:r w:rsidRPr="00F523E3">
        <w:rPr>
          <w:sz w:val="24"/>
          <w:szCs w:val="24"/>
        </w:rPr>
        <w:tab/>
        <w:t xml:space="preserve">   Written Agreements:</w:t>
      </w:r>
      <w:r w:rsidRPr="00F523E3">
        <w:rPr>
          <w:sz w:val="24"/>
          <w:szCs w:val="24"/>
        </w:rPr>
        <w:tab/>
        <w:t xml:space="preserve">         9,928</w:t>
      </w:r>
    </w:p>
    <w:p w:rsidR="003418AF" w:rsidP="003418AF" w14:paraId="2C722E43" w14:textId="77777777"/>
    <w:p w:rsidR="0027594A" w:rsidRPr="00D62D7B" w:rsidP="00E34845" w14:paraId="33658A38" w14:textId="77777777">
      <w:pPr>
        <w:rPr>
          <w:sz w:val="24"/>
          <w:szCs w:val="24"/>
          <w:highlight w:val="yellow"/>
        </w:rPr>
      </w:pPr>
    </w:p>
    <w:sectPr>
      <w:footerReference w:type="even" r:id="rId4"/>
      <w:footerReference w:type="default" r:id="rId5"/>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3C9" w14:paraId="44DECC0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63C9" w14:paraId="3245E3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63C9" w14:paraId="0EFA49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4FE">
      <w:rPr>
        <w:rStyle w:val="PageNumber"/>
        <w:noProof/>
      </w:rPr>
      <w:t>2</w:t>
    </w:r>
    <w:r>
      <w:rPr>
        <w:rStyle w:val="PageNumber"/>
      </w:rPr>
      <w:fldChar w:fldCharType="end"/>
    </w:r>
  </w:p>
  <w:p w:rsidR="000C63C9" w14:paraId="32DF32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E5CA0"/>
    <w:multiLevelType w:val="singleLevel"/>
    <w:tmpl w:val="31B4139E"/>
    <w:lvl w:ilvl="0">
      <w:start w:val="4"/>
      <w:numFmt w:val="decimal"/>
      <w:lvlText w:val="%1."/>
      <w:lvlJc w:val="left"/>
      <w:pPr>
        <w:tabs>
          <w:tab w:val="num" w:pos="360"/>
        </w:tabs>
        <w:ind w:left="360" w:hanging="360"/>
      </w:pPr>
    </w:lvl>
  </w:abstractNum>
  <w:abstractNum w:abstractNumId="1">
    <w:nsid w:val="02233131"/>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9886A07"/>
    <w:multiLevelType w:val="hybridMultilevel"/>
    <w:tmpl w:val="EC2291F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9F4DA3"/>
    <w:multiLevelType w:val="hybridMultilevel"/>
    <w:tmpl w:val="E7E4A3DA"/>
    <w:lvl w:ilvl="0">
      <w:start w:val="2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A450F5"/>
    <w:multiLevelType w:val="singleLevel"/>
    <w:tmpl w:val="C4C8B494"/>
    <w:lvl w:ilvl="0">
      <w:start w:val="1"/>
      <w:numFmt w:val="decimal"/>
      <w:lvlText w:val="%1."/>
      <w:lvlJc w:val="left"/>
      <w:pPr>
        <w:tabs>
          <w:tab w:val="num" w:pos="360"/>
        </w:tabs>
        <w:ind w:left="360" w:hanging="360"/>
      </w:pPr>
    </w:lvl>
  </w:abstractNum>
  <w:abstractNum w:abstractNumId="5">
    <w:nsid w:val="3E771810"/>
    <w:multiLevelType w:val="singleLevel"/>
    <w:tmpl w:val="5FD83982"/>
    <w:lvl w:ilvl="0">
      <w:start w:val="13"/>
      <w:numFmt w:val="decimal"/>
      <w:lvlText w:val="%1."/>
      <w:lvlJc w:val="left"/>
      <w:pPr>
        <w:tabs>
          <w:tab w:val="num" w:pos="360"/>
        </w:tabs>
        <w:ind w:left="360" w:hanging="360"/>
      </w:pPr>
    </w:lvl>
  </w:abstractNum>
  <w:abstractNum w:abstractNumId="6">
    <w:nsid w:val="4E573314"/>
    <w:multiLevelType w:val="hybridMultilevel"/>
    <w:tmpl w:val="822AEDC8"/>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cs="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cs="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cs="Courier New" w:hint="default"/>
      </w:rPr>
    </w:lvl>
    <w:lvl w:ilvl="8" w:tentative="1">
      <w:start w:val="1"/>
      <w:numFmt w:val="bullet"/>
      <w:lvlText w:val=""/>
      <w:lvlJc w:val="left"/>
      <w:pPr>
        <w:tabs>
          <w:tab w:val="num" w:pos="6630"/>
        </w:tabs>
        <w:ind w:left="663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97"/>
    <w:rsid w:val="00033190"/>
    <w:rsid w:val="00051108"/>
    <w:rsid w:val="00053399"/>
    <w:rsid w:val="00055812"/>
    <w:rsid w:val="000631F9"/>
    <w:rsid w:val="000813B5"/>
    <w:rsid w:val="000A5838"/>
    <w:rsid w:val="000C63C9"/>
    <w:rsid w:val="000E1587"/>
    <w:rsid w:val="000E7453"/>
    <w:rsid w:val="000F27E4"/>
    <w:rsid w:val="00102792"/>
    <w:rsid w:val="00133C28"/>
    <w:rsid w:val="001407A2"/>
    <w:rsid w:val="00141230"/>
    <w:rsid w:val="0014472A"/>
    <w:rsid w:val="00181704"/>
    <w:rsid w:val="00184421"/>
    <w:rsid w:val="001A2383"/>
    <w:rsid w:val="001A7FA0"/>
    <w:rsid w:val="001B4C59"/>
    <w:rsid w:val="001C11FE"/>
    <w:rsid w:val="001E7030"/>
    <w:rsid w:val="001F0999"/>
    <w:rsid w:val="002013B6"/>
    <w:rsid w:val="00205FE0"/>
    <w:rsid w:val="00207E6C"/>
    <w:rsid w:val="002312BA"/>
    <w:rsid w:val="00236B52"/>
    <w:rsid w:val="00240534"/>
    <w:rsid w:val="00241275"/>
    <w:rsid w:val="0025467D"/>
    <w:rsid w:val="00262213"/>
    <w:rsid w:val="00266C75"/>
    <w:rsid w:val="00270B92"/>
    <w:rsid w:val="0027594A"/>
    <w:rsid w:val="00282533"/>
    <w:rsid w:val="00287826"/>
    <w:rsid w:val="002A0C1A"/>
    <w:rsid w:val="002A1303"/>
    <w:rsid w:val="002B25E8"/>
    <w:rsid w:val="002B6422"/>
    <w:rsid w:val="002C35C3"/>
    <w:rsid w:val="002D3117"/>
    <w:rsid w:val="002E4DFD"/>
    <w:rsid w:val="0030379E"/>
    <w:rsid w:val="003242CE"/>
    <w:rsid w:val="00325C67"/>
    <w:rsid w:val="00340797"/>
    <w:rsid w:val="00340C7A"/>
    <w:rsid w:val="003418AF"/>
    <w:rsid w:val="00355D02"/>
    <w:rsid w:val="0035717B"/>
    <w:rsid w:val="00362A77"/>
    <w:rsid w:val="0037279B"/>
    <w:rsid w:val="00396C2F"/>
    <w:rsid w:val="003A0F58"/>
    <w:rsid w:val="003B3ACB"/>
    <w:rsid w:val="003B4A95"/>
    <w:rsid w:val="003B4EDB"/>
    <w:rsid w:val="003C3216"/>
    <w:rsid w:val="003D5895"/>
    <w:rsid w:val="003E2A42"/>
    <w:rsid w:val="003E4E2E"/>
    <w:rsid w:val="003F05DC"/>
    <w:rsid w:val="004044E6"/>
    <w:rsid w:val="00411A85"/>
    <w:rsid w:val="00422B4D"/>
    <w:rsid w:val="00441990"/>
    <w:rsid w:val="00446A20"/>
    <w:rsid w:val="00462D17"/>
    <w:rsid w:val="004903D2"/>
    <w:rsid w:val="004927AF"/>
    <w:rsid w:val="00494F2F"/>
    <w:rsid w:val="00497015"/>
    <w:rsid w:val="004A7051"/>
    <w:rsid w:val="004A7542"/>
    <w:rsid w:val="004B2DD5"/>
    <w:rsid w:val="004B333F"/>
    <w:rsid w:val="004E0E2E"/>
    <w:rsid w:val="004E65A3"/>
    <w:rsid w:val="0050377E"/>
    <w:rsid w:val="00521CC9"/>
    <w:rsid w:val="00522A94"/>
    <w:rsid w:val="00523ACC"/>
    <w:rsid w:val="00565C40"/>
    <w:rsid w:val="0057222C"/>
    <w:rsid w:val="00580C3B"/>
    <w:rsid w:val="005A0936"/>
    <w:rsid w:val="005B07A0"/>
    <w:rsid w:val="005B0EC2"/>
    <w:rsid w:val="005B5429"/>
    <w:rsid w:val="005C5DBA"/>
    <w:rsid w:val="005D19FE"/>
    <w:rsid w:val="005E3C00"/>
    <w:rsid w:val="005F1991"/>
    <w:rsid w:val="00603F7C"/>
    <w:rsid w:val="00621305"/>
    <w:rsid w:val="0064216C"/>
    <w:rsid w:val="00653B1C"/>
    <w:rsid w:val="006641B2"/>
    <w:rsid w:val="0068676C"/>
    <w:rsid w:val="006925DD"/>
    <w:rsid w:val="006B6087"/>
    <w:rsid w:val="006C7B3C"/>
    <w:rsid w:val="006E08E3"/>
    <w:rsid w:val="006E37CF"/>
    <w:rsid w:val="006F1755"/>
    <w:rsid w:val="006F21AC"/>
    <w:rsid w:val="0070052E"/>
    <w:rsid w:val="0070199A"/>
    <w:rsid w:val="00721B78"/>
    <w:rsid w:val="0072570C"/>
    <w:rsid w:val="00741EB1"/>
    <w:rsid w:val="00750E4E"/>
    <w:rsid w:val="00760287"/>
    <w:rsid w:val="00783045"/>
    <w:rsid w:val="00790403"/>
    <w:rsid w:val="0079231C"/>
    <w:rsid w:val="00792FC7"/>
    <w:rsid w:val="007B195D"/>
    <w:rsid w:val="007B262F"/>
    <w:rsid w:val="007B7F49"/>
    <w:rsid w:val="007C0BEC"/>
    <w:rsid w:val="007C53CB"/>
    <w:rsid w:val="007D21F4"/>
    <w:rsid w:val="007D4B81"/>
    <w:rsid w:val="007E04A5"/>
    <w:rsid w:val="007E089C"/>
    <w:rsid w:val="007F265A"/>
    <w:rsid w:val="007F5C26"/>
    <w:rsid w:val="007F6FB9"/>
    <w:rsid w:val="00844BCA"/>
    <w:rsid w:val="008569C6"/>
    <w:rsid w:val="008575D7"/>
    <w:rsid w:val="00861F26"/>
    <w:rsid w:val="00866883"/>
    <w:rsid w:val="00871AC9"/>
    <w:rsid w:val="00883CCF"/>
    <w:rsid w:val="0088422C"/>
    <w:rsid w:val="0089599F"/>
    <w:rsid w:val="008A28B6"/>
    <w:rsid w:val="008A612B"/>
    <w:rsid w:val="008C6621"/>
    <w:rsid w:val="008D0B0C"/>
    <w:rsid w:val="008D5C8C"/>
    <w:rsid w:val="008F6168"/>
    <w:rsid w:val="009259A4"/>
    <w:rsid w:val="00941C9B"/>
    <w:rsid w:val="0096726C"/>
    <w:rsid w:val="009740C0"/>
    <w:rsid w:val="009752D5"/>
    <w:rsid w:val="00975D3D"/>
    <w:rsid w:val="009A3433"/>
    <w:rsid w:val="009A493B"/>
    <w:rsid w:val="009C1CD4"/>
    <w:rsid w:val="009C60A2"/>
    <w:rsid w:val="009C6859"/>
    <w:rsid w:val="009D42F1"/>
    <w:rsid w:val="009E7257"/>
    <w:rsid w:val="009F28E6"/>
    <w:rsid w:val="00A01223"/>
    <w:rsid w:val="00A315DB"/>
    <w:rsid w:val="00A3533D"/>
    <w:rsid w:val="00A36728"/>
    <w:rsid w:val="00A5657C"/>
    <w:rsid w:val="00A5760D"/>
    <w:rsid w:val="00A64EFF"/>
    <w:rsid w:val="00A80FC2"/>
    <w:rsid w:val="00A82D73"/>
    <w:rsid w:val="00A863C9"/>
    <w:rsid w:val="00A924AC"/>
    <w:rsid w:val="00A9436B"/>
    <w:rsid w:val="00A94BD6"/>
    <w:rsid w:val="00AA0755"/>
    <w:rsid w:val="00AB14FE"/>
    <w:rsid w:val="00AB5C67"/>
    <w:rsid w:val="00AC164A"/>
    <w:rsid w:val="00AC3605"/>
    <w:rsid w:val="00AE5924"/>
    <w:rsid w:val="00AF5B16"/>
    <w:rsid w:val="00B00B28"/>
    <w:rsid w:val="00B12869"/>
    <w:rsid w:val="00B237B0"/>
    <w:rsid w:val="00B252E8"/>
    <w:rsid w:val="00B330F9"/>
    <w:rsid w:val="00B35246"/>
    <w:rsid w:val="00B35C92"/>
    <w:rsid w:val="00B46155"/>
    <w:rsid w:val="00B534D0"/>
    <w:rsid w:val="00B54459"/>
    <w:rsid w:val="00B64AC2"/>
    <w:rsid w:val="00B751F7"/>
    <w:rsid w:val="00B81814"/>
    <w:rsid w:val="00BE439F"/>
    <w:rsid w:val="00BF3DB7"/>
    <w:rsid w:val="00C00B27"/>
    <w:rsid w:val="00C13223"/>
    <w:rsid w:val="00C13391"/>
    <w:rsid w:val="00C14192"/>
    <w:rsid w:val="00C14284"/>
    <w:rsid w:val="00C14DD5"/>
    <w:rsid w:val="00C23A97"/>
    <w:rsid w:val="00C3009D"/>
    <w:rsid w:val="00C4215D"/>
    <w:rsid w:val="00C4684D"/>
    <w:rsid w:val="00CB7DF4"/>
    <w:rsid w:val="00CC2D19"/>
    <w:rsid w:val="00CD027E"/>
    <w:rsid w:val="00CD7874"/>
    <w:rsid w:val="00CF3B24"/>
    <w:rsid w:val="00D00BFC"/>
    <w:rsid w:val="00D42E28"/>
    <w:rsid w:val="00D5523E"/>
    <w:rsid w:val="00D62D7B"/>
    <w:rsid w:val="00D67B23"/>
    <w:rsid w:val="00D67BC5"/>
    <w:rsid w:val="00DB4010"/>
    <w:rsid w:val="00DC6872"/>
    <w:rsid w:val="00DD3C81"/>
    <w:rsid w:val="00DD6495"/>
    <w:rsid w:val="00DD7D7A"/>
    <w:rsid w:val="00E136ED"/>
    <w:rsid w:val="00E13CF6"/>
    <w:rsid w:val="00E14C83"/>
    <w:rsid w:val="00E20570"/>
    <w:rsid w:val="00E33ED9"/>
    <w:rsid w:val="00E34845"/>
    <w:rsid w:val="00E40CFC"/>
    <w:rsid w:val="00E43074"/>
    <w:rsid w:val="00E9168A"/>
    <w:rsid w:val="00EA61A6"/>
    <w:rsid w:val="00EC721F"/>
    <w:rsid w:val="00ED747B"/>
    <w:rsid w:val="00EF4457"/>
    <w:rsid w:val="00F163AE"/>
    <w:rsid w:val="00F16CCB"/>
    <w:rsid w:val="00F22381"/>
    <w:rsid w:val="00F259B6"/>
    <w:rsid w:val="00F26069"/>
    <w:rsid w:val="00F33F50"/>
    <w:rsid w:val="00F43B14"/>
    <w:rsid w:val="00F46626"/>
    <w:rsid w:val="00F523E3"/>
    <w:rsid w:val="00F53DF9"/>
    <w:rsid w:val="00F5522E"/>
    <w:rsid w:val="00F72C24"/>
    <w:rsid w:val="00F83A73"/>
    <w:rsid w:val="00F860DF"/>
    <w:rsid w:val="00FA2656"/>
    <w:rsid w:val="00FA7599"/>
    <w:rsid w:val="00FB03B8"/>
    <w:rsid w:val="00FB4899"/>
    <w:rsid w:val="00FB572D"/>
    <w:rsid w:val="00FC7864"/>
    <w:rsid w:val="00FE5CD5"/>
    <w:rsid w:val="00FE6876"/>
    <w:rsid w:val="00FE6AF0"/>
    <w:rsid w:val="00FF3F75"/>
    <w:rsid w:val="00FF78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E1F083"/>
  <w15:chartTrackingRefBased/>
  <w15:docId w15:val="{874228E6-5AB0-4A4D-8272-1C03F8B9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360"/>
    </w:pPr>
    <w:rPr>
      <w:b/>
      <w:bCs/>
      <w:sz w:val="24"/>
    </w:rPr>
  </w:style>
  <w:style w:type="paragraph" w:styleId="BodyTextIndent2">
    <w:name w:val="Body Text Indent 2"/>
    <w:basedOn w:val="Normal"/>
    <w:pPr>
      <w:ind w:left="360"/>
    </w:pPr>
    <w:rPr>
      <w:sz w:val="24"/>
    </w:rPr>
  </w:style>
  <w:style w:type="paragraph" w:styleId="BodyTextIndent3">
    <w:name w:val="Body Text Indent 3"/>
    <w:basedOn w:val="Normal"/>
    <w:pPr>
      <w:ind w:left="4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rsid w:val="008D0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A82D73"/>
    <w:rPr>
      <w:rFonts w:ascii="Tahoma" w:hAnsi="Tahoma" w:cs="Tahoma"/>
      <w:sz w:val="16"/>
      <w:szCs w:val="16"/>
    </w:rPr>
  </w:style>
  <w:style w:type="character" w:styleId="CommentReference">
    <w:name w:val="annotation reference"/>
    <w:rsid w:val="00CF3B24"/>
    <w:rPr>
      <w:sz w:val="16"/>
      <w:szCs w:val="16"/>
    </w:rPr>
  </w:style>
  <w:style w:type="paragraph" w:styleId="CommentText">
    <w:name w:val="annotation text"/>
    <w:basedOn w:val="Normal"/>
    <w:link w:val="CommentTextChar"/>
    <w:rsid w:val="00CF3B24"/>
  </w:style>
  <w:style w:type="character" w:customStyle="1" w:styleId="CommentTextChar">
    <w:name w:val="Comment Text Char"/>
    <w:basedOn w:val="DefaultParagraphFont"/>
    <w:link w:val="CommentText"/>
    <w:rsid w:val="00CF3B24"/>
  </w:style>
  <w:style w:type="paragraph" w:styleId="CommentSubject">
    <w:name w:val="annotation subject"/>
    <w:basedOn w:val="CommentText"/>
    <w:next w:val="CommentText"/>
    <w:link w:val="CommentSubjectChar"/>
    <w:rsid w:val="00CF3B24"/>
    <w:rPr>
      <w:b/>
      <w:bCs/>
    </w:rPr>
  </w:style>
  <w:style w:type="character" w:customStyle="1" w:styleId="CommentSubjectChar">
    <w:name w:val="Comment Subject Char"/>
    <w:link w:val="CommentSubject"/>
    <w:rsid w:val="00CF3B24"/>
    <w:rPr>
      <w:b/>
      <w:bCs/>
    </w:rPr>
  </w:style>
  <w:style w:type="table" w:styleId="TableGrid">
    <w:name w:val="Table Grid"/>
    <w:basedOn w:val="TableNormal"/>
    <w:uiPriority w:val="59"/>
    <w:rsid w:val="00E14C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Family Educational Rights and Privacy Act (FERPA) Support Statement</vt:lpstr>
    </vt:vector>
  </TitlesOfParts>
  <Company>Department of Education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Educational Rights and Privacy Act (FERPA) Support Statement</dc:title>
  <dc:creator>Rhonda Kelly</dc:creator>
  <cp:lastModifiedBy>Valentine, Stephanie</cp:lastModifiedBy>
  <cp:revision>2</cp:revision>
  <cp:lastPrinted>2011-09-30T21:32:00Z</cp:lastPrinted>
  <dcterms:created xsi:type="dcterms:W3CDTF">2020-12-29T15:44:00Z</dcterms:created>
  <dcterms:modified xsi:type="dcterms:W3CDTF">2020-12-29T15:44:00Z</dcterms:modified>
</cp:coreProperties>
</file>