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FF9" w:rsidRPr="002E4E30" w:rsidP="00542FF9" w14:paraId="49EB4D76" w14:textId="77777777">
      <w:pPr>
        <w:spacing w:line="240" w:lineRule="auto"/>
        <w:rPr>
          <w:rFonts w:ascii="Times New Roman" w:hAnsi="Times New Roman"/>
          <w:b/>
          <w:bCs/>
          <w:color w:val="000000" w:themeColor="text1"/>
          <w:sz w:val="24"/>
          <w:szCs w:val="24"/>
        </w:rPr>
      </w:pPr>
    </w:p>
    <w:p w:rsidR="007B751D" w:rsidRPr="002E4E30" w:rsidP="00542FF9" w14:paraId="4792E309" w14:textId="77777777">
      <w:pPr>
        <w:spacing w:line="240" w:lineRule="auto"/>
        <w:rPr>
          <w:rFonts w:ascii="Times New Roman" w:hAnsi="Times New Roman"/>
          <w:b/>
          <w:bCs/>
          <w:color w:val="000000" w:themeColor="text1"/>
          <w:sz w:val="24"/>
          <w:szCs w:val="24"/>
        </w:rPr>
      </w:pPr>
    </w:p>
    <w:p w:rsidR="00542FF9" w:rsidRPr="002E4E30" w:rsidP="00542FF9" w14:paraId="328C087A" w14:textId="19068B47">
      <w:pPr>
        <w:spacing w:line="240" w:lineRule="auto"/>
        <w:jc w:val="center"/>
        <w:rPr>
          <w:rFonts w:ascii="Times New Roman" w:hAnsi="Times New Roman"/>
          <w:color w:val="000000" w:themeColor="text1"/>
          <w:sz w:val="24"/>
          <w:szCs w:val="24"/>
        </w:rPr>
      </w:pPr>
      <w:r w:rsidRPr="002E4E30">
        <w:rPr>
          <w:rFonts w:ascii="Times New Roman" w:hAnsi="Times New Roman"/>
          <w:b/>
          <w:bCs/>
          <w:color w:val="000000" w:themeColor="text1"/>
          <w:sz w:val="24"/>
          <w:szCs w:val="24"/>
        </w:rPr>
        <w:t>Best Practices for COVID-19 Vaccination and Testing</w:t>
      </w:r>
    </w:p>
    <w:p w:rsidR="00542FF9" w:rsidRPr="002E4E30" w:rsidP="00542FF9" w14:paraId="1E8D9577" w14:textId="77777777">
      <w:pPr>
        <w:spacing w:line="240" w:lineRule="auto"/>
        <w:jc w:val="center"/>
        <w:rPr>
          <w:rFonts w:ascii="Times New Roman" w:hAnsi="Times New Roman"/>
          <w:color w:val="000000" w:themeColor="text1"/>
          <w:sz w:val="24"/>
          <w:szCs w:val="24"/>
        </w:rPr>
      </w:pPr>
    </w:p>
    <w:p w:rsidR="00FC6356" w:rsidRPr="002E4E30" w:rsidP="00542FF9" w14:paraId="6179C78A" w14:textId="77777777">
      <w:pPr>
        <w:pStyle w:val="Header"/>
        <w:tabs>
          <w:tab w:val="clear" w:pos="4680"/>
        </w:tabs>
        <w:jc w:val="center"/>
        <w:rPr>
          <w:rFonts w:ascii="Times New Roman" w:hAnsi="Times New Roman"/>
          <w:color w:val="000000" w:themeColor="text1"/>
          <w:sz w:val="24"/>
          <w:szCs w:val="24"/>
        </w:rPr>
      </w:pPr>
      <w:r w:rsidRPr="002E4E30">
        <w:rPr>
          <w:rFonts w:ascii="Times New Roman" w:hAnsi="Times New Roman"/>
          <w:color w:val="000000" w:themeColor="text1"/>
          <w:sz w:val="24"/>
          <w:szCs w:val="24"/>
        </w:rPr>
        <w:t xml:space="preserve">ASPE Generic Clearance for the Collection of Qualitative Research and Assessment </w:t>
      </w:r>
    </w:p>
    <w:p w:rsidR="00542FF9" w:rsidRPr="002E4E30" w:rsidP="00542FF9" w14:paraId="2EF5FB45" w14:textId="6A9B6E8D">
      <w:pPr>
        <w:pStyle w:val="Header"/>
        <w:tabs>
          <w:tab w:val="clear" w:pos="4680"/>
        </w:tabs>
        <w:jc w:val="center"/>
        <w:rPr>
          <w:rFonts w:ascii="Times New Roman" w:hAnsi="Times New Roman"/>
          <w:color w:val="000000" w:themeColor="text1"/>
          <w:sz w:val="24"/>
          <w:szCs w:val="24"/>
        </w:rPr>
      </w:pPr>
      <w:r w:rsidRPr="002E4E30">
        <w:rPr>
          <w:rFonts w:ascii="Times New Roman" w:hAnsi="Times New Roman"/>
          <w:color w:val="000000" w:themeColor="text1"/>
          <w:sz w:val="24"/>
          <w:szCs w:val="24"/>
        </w:rPr>
        <w:t xml:space="preserve">OMB Control Number </w:t>
      </w:r>
      <w:bookmarkStart w:id="0" w:name="_Hlk110588115"/>
      <w:r w:rsidRPr="002E4E30">
        <w:rPr>
          <w:rFonts w:ascii="Times New Roman" w:hAnsi="Times New Roman"/>
          <w:sz w:val="24"/>
          <w:szCs w:val="24"/>
        </w:rPr>
        <w:t xml:space="preserve">0990-0421, Expires </w:t>
      </w:r>
      <w:r w:rsidR="00077049">
        <w:rPr>
          <w:rFonts w:ascii="Times New Roman" w:hAnsi="Times New Roman"/>
          <w:sz w:val="24"/>
          <w:szCs w:val="24"/>
        </w:rPr>
        <w:t>2/28</w:t>
      </w:r>
      <w:r w:rsidRPr="002E4E30">
        <w:rPr>
          <w:rFonts w:ascii="Times New Roman" w:hAnsi="Times New Roman"/>
          <w:sz w:val="24"/>
          <w:szCs w:val="24"/>
        </w:rPr>
        <w:t>/202</w:t>
      </w:r>
      <w:bookmarkEnd w:id="0"/>
      <w:r w:rsidR="00A81D37">
        <w:rPr>
          <w:rFonts w:ascii="Times New Roman" w:hAnsi="Times New Roman"/>
          <w:sz w:val="24"/>
          <w:szCs w:val="24"/>
        </w:rPr>
        <w:t>7</w:t>
      </w:r>
    </w:p>
    <w:p w:rsidR="00542FF9" w:rsidRPr="002E4E30" w:rsidP="00542FF9" w14:paraId="2DB54A07" w14:textId="77777777">
      <w:pPr>
        <w:spacing w:line="240" w:lineRule="auto"/>
        <w:rPr>
          <w:rFonts w:ascii="Times New Roman" w:hAnsi="Times New Roman"/>
          <w:color w:val="000000" w:themeColor="text1"/>
          <w:sz w:val="24"/>
          <w:szCs w:val="24"/>
        </w:rPr>
      </w:pPr>
    </w:p>
    <w:p w:rsidR="00542FF9" w:rsidRPr="002E4E30" w:rsidP="00542FF9" w14:paraId="1EE5BEB8" w14:textId="77777777">
      <w:pPr>
        <w:spacing w:line="240" w:lineRule="auto"/>
        <w:rPr>
          <w:rFonts w:ascii="Times New Roman" w:hAnsi="Times New Roman"/>
          <w:color w:val="000000" w:themeColor="text1"/>
          <w:sz w:val="24"/>
          <w:szCs w:val="24"/>
        </w:rPr>
      </w:pPr>
    </w:p>
    <w:p w:rsidR="00542FF9" w:rsidRPr="002E4E30" w:rsidP="00542FF9" w14:paraId="6ED259F4" w14:textId="77777777">
      <w:pPr>
        <w:spacing w:line="240" w:lineRule="auto"/>
        <w:rPr>
          <w:rFonts w:ascii="Times New Roman" w:hAnsi="Times New Roman"/>
          <w:color w:val="000000" w:themeColor="text1"/>
          <w:sz w:val="24"/>
          <w:szCs w:val="24"/>
        </w:rPr>
      </w:pPr>
    </w:p>
    <w:p w:rsidR="00542FF9" w:rsidRPr="002E4E30" w:rsidP="00542FF9" w14:paraId="16D1DFED" w14:textId="77777777">
      <w:pPr>
        <w:spacing w:line="240" w:lineRule="auto"/>
        <w:rPr>
          <w:rFonts w:ascii="Times New Roman" w:hAnsi="Times New Roman"/>
          <w:color w:val="000000" w:themeColor="text1"/>
          <w:sz w:val="24"/>
          <w:szCs w:val="24"/>
        </w:rPr>
      </w:pPr>
    </w:p>
    <w:p w:rsidR="00542FF9" w:rsidRPr="002E4E30" w:rsidP="00542FF9" w14:paraId="0C884B5C" w14:textId="77777777">
      <w:pPr>
        <w:spacing w:line="240" w:lineRule="auto"/>
        <w:jc w:val="center"/>
        <w:rPr>
          <w:rFonts w:ascii="Times New Roman" w:hAnsi="Times New Roman"/>
          <w:color w:val="000000" w:themeColor="text1"/>
          <w:sz w:val="24"/>
          <w:szCs w:val="24"/>
        </w:rPr>
      </w:pPr>
      <w:r w:rsidRPr="002E4E30">
        <w:rPr>
          <w:rFonts w:ascii="Times New Roman" w:hAnsi="Times New Roman"/>
          <w:b/>
          <w:bCs/>
          <w:color w:val="000000" w:themeColor="text1"/>
          <w:sz w:val="24"/>
          <w:szCs w:val="24"/>
        </w:rPr>
        <w:t>Supporting Statement – Section A</w:t>
      </w:r>
    </w:p>
    <w:p w:rsidR="00542FF9" w:rsidRPr="002E4E30" w:rsidP="00542FF9" w14:paraId="63BFCE1A" w14:textId="77777777">
      <w:pPr>
        <w:spacing w:line="240" w:lineRule="auto"/>
        <w:jc w:val="center"/>
        <w:rPr>
          <w:rFonts w:ascii="Times New Roman" w:hAnsi="Times New Roman"/>
          <w:color w:val="000000" w:themeColor="text1"/>
          <w:sz w:val="24"/>
          <w:szCs w:val="24"/>
        </w:rPr>
      </w:pPr>
    </w:p>
    <w:p w:rsidR="00542FF9" w:rsidRPr="002E4E30" w:rsidP="00542FF9" w14:paraId="5052B8CD" w14:textId="77777777">
      <w:pPr>
        <w:spacing w:line="240" w:lineRule="auto"/>
        <w:rPr>
          <w:rFonts w:ascii="Times New Roman" w:hAnsi="Times New Roman"/>
          <w:color w:val="000000" w:themeColor="text1"/>
          <w:sz w:val="24"/>
          <w:szCs w:val="24"/>
        </w:rPr>
      </w:pPr>
    </w:p>
    <w:p w:rsidR="00542FF9" w:rsidRPr="002E4E30" w:rsidP="00542FF9" w14:paraId="108865E5" w14:textId="77777777">
      <w:pPr>
        <w:spacing w:line="240" w:lineRule="auto"/>
        <w:rPr>
          <w:rFonts w:ascii="Times New Roman" w:hAnsi="Times New Roman"/>
          <w:color w:val="000000" w:themeColor="text1"/>
          <w:sz w:val="24"/>
          <w:szCs w:val="24"/>
        </w:rPr>
      </w:pPr>
    </w:p>
    <w:p w:rsidR="00542FF9" w:rsidRPr="002E4E30" w:rsidP="00542FF9" w14:paraId="5BB9B85D" w14:textId="77777777">
      <w:pPr>
        <w:spacing w:line="240" w:lineRule="auto"/>
        <w:rPr>
          <w:rFonts w:ascii="Times New Roman" w:hAnsi="Times New Roman"/>
          <w:color w:val="000000" w:themeColor="text1"/>
          <w:sz w:val="24"/>
          <w:szCs w:val="24"/>
        </w:rPr>
      </w:pPr>
    </w:p>
    <w:p w:rsidR="00542FF9" w:rsidRPr="002E4E30" w:rsidP="00542FF9" w14:paraId="7EE2AE22" w14:textId="77777777">
      <w:pPr>
        <w:spacing w:line="240" w:lineRule="auto"/>
        <w:rPr>
          <w:rFonts w:ascii="Times New Roman" w:hAnsi="Times New Roman"/>
          <w:color w:val="000000" w:themeColor="text1"/>
          <w:sz w:val="24"/>
          <w:szCs w:val="24"/>
        </w:rPr>
      </w:pPr>
    </w:p>
    <w:p w:rsidR="00542FF9" w:rsidRPr="002E4E30" w:rsidP="00542FF9" w14:paraId="593F5333" w14:textId="77777777">
      <w:pPr>
        <w:spacing w:line="240" w:lineRule="auto"/>
        <w:rPr>
          <w:rFonts w:ascii="Times New Roman" w:hAnsi="Times New Roman"/>
          <w:color w:val="000000" w:themeColor="text1"/>
          <w:sz w:val="24"/>
          <w:szCs w:val="24"/>
        </w:rPr>
      </w:pPr>
    </w:p>
    <w:p w:rsidR="00542FF9" w:rsidRPr="002E4E30" w:rsidP="00542FF9" w14:paraId="6D67A750" w14:textId="77777777">
      <w:pPr>
        <w:spacing w:line="240" w:lineRule="auto"/>
        <w:rPr>
          <w:rFonts w:ascii="Times New Roman" w:hAnsi="Times New Roman"/>
          <w:color w:val="000000" w:themeColor="text1"/>
          <w:sz w:val="24"/>
          <w:szCs w:val="24"/>
        </w:rPr>
      </w:pPr>
    </w:p>
    <w:p w:rsidR="00542FF9" w:rsidRPr="002E4E30" w:rsidP="00542FF9" w14:paraId="3C8A9575" w14:textId="61005B4A">
      <w:pPr>
        <w:spacing w:line="240" w:lineRule="auto"/>
        <w:jc w:val="center"/>
        <w:rPr>
          <w:rFonts w:ascii="Times New Roman" w:hAnsi="Times New Roman"/>
          <w:color w:val="000000" w:themeColor="text1"/>
          <w:sz w:val="24"/>
          <w:szCs w:val="24"/>
        </w:rPr>
      </w:pPr>
      <w:r w:rsidRPr="002E4E30">
        <w:rPr>
          <w:rFonts w:ascii="Times New Roman" w:hAnsi="Times New Roman"/>
          <w:b/>
          <w:bCs/>
          <w:color w:val="000000" w:themeColor="text1"/>
          <w:sz w:val="24"/>
          <w:szCs w:val="24"/>
        </w:rPr>
        <w:t>Submitted:</w:t>
      </w:r>
      <w:r w:rsidRPr="002E4E30">
        <w:rPr>
          <w:rFonts w:ascii="Times New Roman" w:hAnsi="Times New Roman"/>
          <w:color w:val="000000" w:themeColor="text1"/>
          <w:sz w:val="24"/>
          <w:szCs w:val="24"/>
        </w:rPr>
        <w:t xml:space="preserve"> </w:t>
      </w:r>
      <w:r w:rsidRPr="00B65417" w:rsidR="00AD5D50">
        <w:rPr>
          <w:rFonts w:ascii="Times New Roman" w:hAnsi="Times New Roman"/>
          <w:color w:val="000000" w:themeColor="text1"/>
          <w:sz w:val="24"/>
          <w:szCs w:val="24"/>
          <w:highlight w:val="lightGray"/>
        </w:rPr>
        <w:t>MMMM DD</w:t>
      </w:r>
      <w:r w:rsidRPr="00B65417" w:rsidR="00AB150F">
        <w:rPr>
          <w:rFonts w:ascii="Times New Roman" w:hAnsi="Times New Roman"/>
          <w:color w:val="000000" w:themeColor="text1"/>
          <w:sz w:val="24"/>
          <w:szCs w:val="24"/>
          <w:highlight w:val="lightGray"/>
        </w:rPr>
        <w:t xml:space="preserve">, </w:t>
      </w:r>
      <w:r w:rsidRPr="00B65417" w:rsidR="00BE62A8">
        <w:rPr>
          <w:rFonts w:ascii="Times New Roman" w:hAnsi="Times New Roman"/>
          <w:color w:val="000000" w:themeColor="text1"/>
          <w:sz w:val="24"/>
          <w:szCs w:val="24"/>
          <w:highlight w:val="lightGray"/>
        </w:rPr>
        <w:t>202</w:t>
      </w:r>
      <w:r w:rsidR="00BE62A8">
        <w:rPr>
          <w:rFonts w:ascii="Times New Roman" w:hAnsi="Times New Roman"/>
          <w:color w:val="000000" w:themeColor="text1"/>
          <w:sz w:val="24"/>
          <w:szCs w:val="24"/>
        </w:rPr>
        <w:t>4</w:t>
      </w:r>
    </w:p>
    <w:p w:rsidR="00542FF9" w:rsidRPr="002E4E30" w:rsidP="00542FF9" w14:paraId="2B948AD6" w14:textId="77777777">
      <w:pPr>
        <w:spacing w:line="240" w:lineRule="auto"/>
        <w:contextualSpacing/>
        <w:rPr>
          <w:rFonts w:ascii="Times New Roman" w:hAnsi="Times New Roman"/>
          <w:b/>
          <w:bCs/>
          <w:color w:val="000000" w:themeColor="text1"/>
          <w:sz w:val="24"/>
          <w:szCs w:val="24"/>
          <w:u w:val="single"/>
        </w:rPr>
      </w:pPr>
    </w:p>
    <w:p w:rsidR="00542FF9" w:rsidRPr="002E4E30" w:rsidP="00542FF9" w14:paraId="7C9F0BB4" w14:textId="77777777">
      <w:pPr>
        <w:spacing w:line="240" w:lineRule="auto"/>
        <w:contextualSpacing/>
        <w:rPr>
          <w:rFonts w:ascii="Times New Roman" w:hAnsi="Times New Roman"/>
          <w:b/>
          <w:bCs/>
          <w:color w:val="000000" w:themeColor="text1"/>
          <w:sz w:val="24"/>
          <w:szCs w:val="24"/>
          <w:u w:val="single"/>
        </w:rPr>
      </w:pPr>
    </w:p>
    <w:p w:rsidR="00542FF9" w:rsidRPr="002E4E30" w:rsidP="00542FF9" w14:paraId="7C910208" w14:textId="77777777">
      <w:pPr>
        <w:spacing w:line="240" w:lineRule="auto"/>
        <w:contextualSpacing/>
        <w:rPr>
          <w:rFonts w:ascii="Times New Roman" w:hAnsi="Times New Roman"/>
          <w:b/>
          <w:bCs/>
          <w:color w:val="000000" w:themeColor="text1"/>
          <w:sz w:val="24"/>
          <w:szCs w:val="24"/>
          <w:u w:val="single"/>
        </w:rPr>
      </w:pPr>
    </w:p>
    <w:p w:rsidR="00542FF9" w:rsidRPr="002E4E30" w:rsidP="00542FF9" w14:paraId="6207E0AB" w14:textId="77777777">
      <w:pPr>
        <w:spacing w:line="240" w:lineRule="auto"/>
        <w:contextualSpacing/>
        <w:rPr>
          <w:rFonts w:ascii="Times New Roman" w:hAnsi="Times New Roman"/>
          <w:b/>
          <w:bCs/>
          <w:color w:val="000000" w:themeColor="text1"/>
          <w:sz w:val="24"/>
          <w:szCs w:val="24"/>
          <w:u w:val="single"/>
        </w:rPr>
      </w:pPr>
    </w:p>
    <w:p w:rsidR="00542FF9" w:rsidRPr="002E4E30" w:rsidP="00542FF9" w14:paraId="6342F263" w14:textId="77777777">
      <w:pPr>
        <w:spacing w:line="240" w:lineRule="auto"/>
        <w:contextualSpacing/>
        <w:rPr>
          <w:rFonts w:ascii="Times New Roman" w:hAnsi="Times New Roman"/>
          <w:color w:val="000000" w:themeColor="text1"/>
          <w:sz w:val="24"/>
          <w:szCs w:val="24"/>
        </w:rPr>
      </w:pPr>
      <w:r w:rsidRPr="002E4E30">
        <w:rPr>
          <w:rFonts w:ascii="Times New Roman" w:hAnsi="Times New Roman"/>
          <w:b/>
          <w:bCs/>
          <w:color w:val="000000" w:themeColor="text1"/>
          <w:sz w:val="24"/>
          <w:szCs w:val="24"/>
          <w:u w:val="single"/>
        </w:rPr>
        <w:t>Program Official/Project Officer</w:t>
      </w:r>
    </w:p>
    <w:p w:rsidR="00542FF9" w:rsidRPr="00F7588D" w:rsidP="00542FF9" w14:paraId="1A5999E2" w14:textId="651B5F86">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Deborah Porterfield</w:t>
      </w:r>
      <w:r w:rsidRPr="00F7588D" w:rsidR="009378DB">
        <w:rPr>
          <w:rFonts w:ascii="Times New Roman" w:hAnsi="Times New Roman"/>
          <w:color w:val="000000" w:themeColor="text1"/>
          <w:sz w:val="24"/>
          <w:szCs w:val="24"/>
        </w:rPr>
        <w:t>, MD, MPH</w:t>
      </w:r>
    </w:p>
    <w:p w:rsidR="00542FF9" w:rsidRPr="00F7588D" w:rsidP="00542FF9" w14:paraId="7A712560" w14:textId="5582D1E9">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 xml:space="preserve">Medical </w:t>
      </w:r>
      <w:r w:rsidRPr="00F7588D" w:rsidR="004F2982">
        <w:rPr>
          <w:rFonts w:ascii="Times New Roman" w:hAnsi="Times New Roman"/>
          <w:color w:val="000000" w:themeColor="text1"/>
          <w:sz w:val="24"/>
          <w:szCs w:val="24"/>
        </w:rPr>
        <w:t>Officer</w:t>
      </w:r>
    </w:p>
    <w:p w:rsidR="00542FF9" w:rsidRPr="00F7588D" w:rsidP="00542FF9" w14:paraId="61B3CF81" w14:textId="77777777">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U.S. Department of Health and Human Services</w:t>
      </w:r>
    </w:p>
    <w:p w:rsidR="00542FF9" w:rsidRPr="00F7588D" w:rsidP="00542FF9" w14:paraId="4A2C7CFA" w14:textId="77777777">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Office of the Assistant Secretary for Planning and Evaluation</w:t>
      </w:r>
    </w:p>
    <w:p w:rsidR="00F7588D" w:rsidP="0008074A" w14:paraId="3421175F" w14:textId="77777777">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200 Independence Ave SW, Washington, DC 20201</w:t>
      </w:r>
    </w:p>
    <w:p w:rsidR="0008074A" w:rsidRPr="00F7588D" w:rsidP="0008074A" w14:paraId="26EC2296" w14:textId="1F26F210">
      <w:pPr>
        <w:spacing w:line="240" w:lineRule="auto"/>
        <w:contextualSpacing/>
        <w:rPr>
          <w:rFonts w:ascii="Times New Roman" w:hAnsi="Times New Roman"/>
          <w:color w:val="000000" w:themeColor="text1"/>
          <w:sz w:val="24"/>
          <w:szCs w:val="24"/>
        </w:rPr>
      </w:pPr>
      <w:r w:rsidRPr="00F7588D">
        <w:rPr>
          <w:rFonts w:ascii="Times New Roman" w:hAnsi="Times New Roman"/>
          <w:color w:val="000000" w:themeColor="text1"/>
          <w:sz w:val="24"/>
          <w:szCs w:val="24"/>
        </w:rPr>
        <w:t>202</w:t>
      </w:r>
      <w:r w:rsidR="00B9285B">
        <w:rPr>
          <w:rFonts w:ascii="Times New Roman" w:hAnsi="Times New Roman"/>
          <w:color w:val="000000" w:themeColor="text1"/>
          <w:sz w:val="24"/>
          <w:szCs w:val="24"/>
        </w:rPr>
        <w:t>-</w:t>
      </w:r>
      <w:r w:rsidRPr="00F7588D">
        <w:rPr>
          <w:rFonts w:ascii="Times New Roman" w:hAnsi="Times New Roman"/>
          <w:color w:val="000000" w:themeColor="text1"/>
          <w:sz w:val="24"/>
          <w:szCs w:val="24"/>
        </w:rPr>
        <w:t>730-8794</w:t>
      </w:r>
    </w:p>
    <w:p w:rsidR="00542FF9" w:rsidRPr="002E4E30" w:rsidP="009415B3" w14:paraId="5AD8CADC" w14:textId="2D8BCBD1">
      <w:pPr>
        <w:spacing w:after="0" w:line="240" w:lineRule="auto"/>
        <w:rPr>
          <w:rFonts w:ascii="Times New Roman" w:hAnsi="Times New Roman"/>
          <w:b/>
          <w:sz w:val="24"/>
          <w:szCs w:val="24"/>
        </w:rPr>
      </w:pPr>
      <w:hyperlink r:id="rId10" w:history="1">
        <w:r w:rsidRPr="00F7588D" w:rsidR="009C54E8">
          <w:rPr>
            <w:rStyle w:val="Hyperlink"/>
            <w:rFonts w:ascii="Times New Roman" w:hAnsi="Times New Roman"/>
            <w:sz w:val="24"/>
            <w:szCs w:val="24"/>
          </w:rPr>
          <w:t>Deborah.Porterfield@hhs.gov</w:t>
        </w:r>
      </w:hyperlink>
      <w:r w:rsidRPr="002E4E30" w:rsidR="009C54E8">
        <w:rPr>
          <w:rFonts w:ascii="Times New Roman" w:hAnsi="Times New Roman"/>
          <w:sz w:val="24"/>
          <w:szCs w:val="24"/>
        </w:rPr>
        <w:t xml:space="preserve"> </w:t>
      </w:r>
    </w:p>
    <w:p w:rsidR="00982095" w:rsidRPr="002E4E30" w14:paraId="4D7FD06C" w14:textId="1B9D7279">
      <w:pPr>
        <w:spacing w:after="0" w:line="240" w:lineRule="auto"/>
        <w:rPr>
          <w:rFonts w:ascii="Times New Roman" w:hAnsi="Times New Roman"/>
          <w:b/>
          <w:sz w:val="24"/>
          <w:szCs w:val="24"/>
        </w:rPr>
      </w:pPr>
      <w:r w:rsidRPr="002E4E30">
        <w:rPr>
          <w:rFonts w:ascii="Times New Roman" w:hAnsi="Times New Roman"/>
          <w:b/>
          <w:sz w:val="24"/>
          <w:szCs w:val="24"/>
        </w:rPr>
        <w:br w:type="page"/>
      </w:r>
    </w:p>
    <w:p w:rsidR="00982095" w:rsidRPr="002E4E30" w:rsidP="003643F8" w14:paraId="282A331B" w14:textId="77777777">
      <w:pPr>
        <w:pStyle w:val="Heading1"/>
      </w:pPr>
      <w:r w:rsidRPr="003643F8">
        <w:t>JUSTIFICATION</w:t>
      </w:r>
    </w:p>
    <w:p w:rsidR="00982095" w:rsidRPr="002E4E30" w14:paraId="75F74E4C" w14:textId="77777777">
      <w:pPr>
        <w:pStyle w:val="ListParagraph"/>
        <w:spacing w:after="0" w:line="240" w:lineRule="auto"/>
        <w:ind w:left="0"/>
        <w:rPr>
          <w:rFonts w:ascii="Times New Roman" w:hAnsi="Times New Roman"/>
          <w:b/>
          <w:sz w:val="24"/>
          <w:szCs w:val="24"/>
        </w:rPr>
      </w:pPr>
    </w:p>
    <w:p w:rsidR="00982095" w:rsidRPr="002E4E30" w:rsidP="003643F8" w14:paraId="2B83C25B" w14:textId="77777777">
      <w:pPr>
        <w:pStyle w:val="Heading2"/>
      </w:pPr>
      <w:r w:rsidRPr="002E4E30">
        <w:t>Circumstances Making the Collection of Information Necessary</w:t>
      </w:r>
    </w:p>
    <w:p w:rsidR="00982095" w:rsidRPr="002E4E30" w14:paraId="78C3E390" w14:textId="77777777">
      <w:pPr>
        <w:pStyle w:val="ListParagraph"/>
        <w:spacing w:after="0" w:line="240" w:lineRule="auto"/>
        <w:ind w:left="0"/>
        <w:rPr>
          <w:rFonts w:ascii="Times New Roman" w:hAnsi="Times New Roman"/>
          <w:b/>
          <w:sz w:val="24"/>
          <w:szCs w:val="24"/>
        </w:rPr>
      </w:pPr>
    </w:p>
    <w:p w:rsidR="0008300F" w:rsidRPr="002E4E30" w:rsidP="00A51E1B" w14:paraId="51019123" w14:textId="5C27D034">
      <w:pPr>
        <w:spacing w:after="0" w:line="240" w:lineRule="auto"/>
        <w:rPr>
          <w:rFonts w:ascii="Times New Roman" w:hAnsi="Times New Roman"/>
          <w:sz w:val="24"/>
          <w:szCs w:val="24"/>
        </w:rPr>
      </w:pPr>
      <w:r w:rsidRPr="002E4E30">
        <w:rPr>
          <w:rFonts w:ascii="Times New Roman" w:hAnsi="Times New Roman"/>
          <w:sz w:val="24"/>
          <w:szCs w:val="24"/>
        </w:rPr>
        <w:t>The COVID-19 pandemic has exacerbated longstanding health inequities (Simmons et al. 2021). Historically marginalized, systematically under resourced, and medically underserved U.S. communities have disproportionately experienced more COVID-19-related infections, hospitalizations, and deaths, compounded further by limited access to vaccines and other effective mitigation strategies (</w:t>
      </w:r>
      <w:r w:rsidRPr="002E4E30">
        <w:rPr>
          <w:rFonts w:ascii="Times New Roman" w:hAnsi="Times New Roman"/>
          <w:sz w:val="24"/>
          <w:szCs w:val="24"/>
        </w:rPr>
        <w:t>Khanijahani</w:t>
      </w:r>
      <w:r w:rsidRPr="002E4E30">
        <w:rPr>
          <w:rFonts w:ascii="Times New Roman" w:hAnsi="Times New Roman"/>
          <w:sz w:val="24"/>
          <w:szCs w:val="24"/>
        </w:rPr>
        <w:t xml:space="preserve"> et al. 2021; Smith et al. 2021; Romano et al. 2021; Webb-Hooper et al. 2020; Islam et al. 2021; Nayak et al. 2020). </w:t>
      </w:r>
      <w:r w:rsidRPr="00D845E8" w:rsidR="00826182">
        <w:rPr>
          <w:rFonts w:ascii="Times New Roman" w:hAnsi="Times New Roman"/>
          <w:sz w:val="24"/>
          <w:szCs w:val="24"/>
        </w:rPr>
        <w:t xml:space="preserve">The evolving nature of </w:t>
      </w:r>
      <w:r w:rsidR="006450B7">
        <w:rPr>
          <w:rFonts w:ascii="Times New Roman" w:hAnsi="Times New Roman"/>
          <w:sz w:val="24"/>
          <w:szCs w:val="24"/>
        </w:rPr>
        <w:t xml:space="preserve">the </w:t>
      </w:r>
      <w:r w:rsidRPr="00D845E8" w:rsidR="00826182">
        <w:rPr>
          <w:rFonts w:ascii="Times New Roman" w:hAnsi="Times New Roman"/>
          <w:sz w:val="24"/>
          <w:szCs w:val="24"/>
        </w:rPr>
        <w:t xml:space="preserve">COVID-19 </w:t>
      </w:r>
      <w:r w:rsidR="0084733D">
        <w:rPr>
          <w:rFonts w:ascii="Times New Roman" w:hAnsi="Times New Roman"/>
          <w:sz w:val="24"/>
          <w:szCs w:val="24"/>
        </w:rPr>
        <w:t>pandemic</w:t>
      </w:r>
      <w:r w:rsidRPr="00D845E8" w:rsidR="00826182">
        <w:rPr>
          <w:rFonts w:ascii="Times New Roman" w:hAnsi="Times New Roman"/>
          <w:sz w:val="24"/>
          <w:szCs w:val="24"/>
        </w:rPr>
        <w:t xml:space="preserve"> and the inconsistent approach to testing and vaccination across jurisdictions in the U.S. delayed shared learnings and rapid implementation of effective strategies for all communities (DeSalvo et al. 2021). Contextual factors such as social and cultural beliefs and norms presented additional challenges to COVID-19 testing and vaccine uptake in many communities once tests and vaccines were available (</w:t>
      </w:r>
      <w:r w:rsidRPr="00D845E8" w:rsidR="00826182">
        <w:rPr>
          <w:rFonts w:ascii="Times New Roman" w:hAnsi="Times New Roman"/>
          <w:sz w:val="24"/>
          <w:szCs w:val="24"/>
        </w:rPr>
        <w:t>Reitsma</w:t>
      </w:r>
      <w:r w:rsidRPr="00D845E8" w:rsidR="00826182">
        <w:rPr>
          <w:rFonts w:ascii="Times New Roman" w:hAnsi="Times New Roman"/>
          <w:sz w:val="24"/>
          <w:szCs w:val="24"/>
        </w:rPr>
        <w:t xml:space="preserve"> et al. 2021; Nguyen et al. 2022). </w:t>
      </w:r>
    </w:p>
    <w:p w:rsidR="007C6937" w:rsidRPr="002E4E30" w:rsidP="0061263E" w14:paraId="052FDECB" w14:textId="77777777">
      <w:pPr>
        <w:spacing w:after="0" w:line="240" w:lineRule="auto"/>
        <w:rPr>
          <w:rFonts w:ascii="Times New Roman" w:hAnsi="Times New Roman"/>
          <w:sz w:val="24"/>
          <w:szCs w:val="24"/>
        </w:rPr>
      </w:pPr>
    </w:p>
    <w:p w:rsidR="00F40A87" w:rsidP="0061263E" w14:paraId="50C0098D" w14:textId="524B9463">
      <w:pPr>
        <w:spacing w:after="0" w:line="240" w:lineRule="auto"/>
        <w:rPr>
          <w:rFonts w:ascii="Times New Roman" w:hAnsi="Times New Roman"/>
          <w:sz w:val="24"/>
          <w:szCs w:val="24"/>
        </w:rPr>
      </w:pPr>
      <w:r w:rsidRPr="002E4E30">
        <w:rPr>
          <w:rFonts w:ascii="Times New Roman" w:hAnsi="Times New Roman"/>
          <w:sz w:val="24"/>
          <w:szCs w:val="24"/>
        </w:rPr>
        <w:t>The Office of the Assistant Secretary for Planning and Evaluation</w:t>
      </w:r>
      <w:r w:rsidRPr="002E4E30" w:rsidR="009B797C">
        <w:rPr>
          <w:rFonts w:ascii="Times New Roman" w:hAnsi="Times New Roman"/>
          <w:sz w:val="24"/>
          <w:szCs w:val="24"/>
        </w:rPr>
        <w:t xml:space="preserve"> (ASPE)</w:t>
      </w:r>
      <w:r w:rsidRPr="002E4E30">
        <w:rPr>
          <w:rFonts w:ascii="Times New Roman" w:hAnsi="Times New Roman"/>
          <w:sz w:val="24"/>
          <w:szCs w:val="24"/>
        </w:rPr>
        <w:t xml:space="preserve"> </w:t>
      </w:r>
      <w:r w:rsidRPr="002E4E30" w:rsidR="00EC7042">
        <w:rPr>
          <w:rFonts w:ascii="Times New Roman" w:hAnsi="Times New Roman"/>
          <w:sz w:val="24"/>
          <w:szCs w:val="24"/>
        </w:rPr>
        <w:t xml:space="preserve">is </w:t>
      </w:r>
      <w:r w:rsidRPr="002E4E30" w:rsidR="009B797C">
        <w:rPr>
          <w:rFonts w:ascii="Times New Roman" w:hAnsi="Times New Roman"/>
          <w:sz w:val="24"/>
          <w:szCs w:val="24"/>
        </w:rPr>
        <w:t xml:space="preserve">submitting this generic information collection request </w:t>
      </w:r>
      <w:r w:rsidR="0079141D">
        <w:rPr>
          <w:rFonts w:ascii="Times New Roman" w:hAnsi="Times New Roman"/>
          <w:sz w:val="24"/>
          <w:szCs w:val="24"/>
        </w:rPr>
        <w:t>(I</w:t>
      </w:r>
      <w:r w:rsidRPr="0810507D" w:rsidR="25CA0199">
        <w:rPr>
          <w:rFonts w:ascii="Times New Roman" w:hAnsi="Times New Roman"/>
          <w:sz w:val="24"/>
          <w:szCs w:val="24"/>
        </w:rPr>
        <w:t>CR</w:t>
      </w:r>
      <w:r w:rsidR="0079141D">
        <w:rPr>
          <w:rFonts w:ascii="Times New Roman" w:hAnsi="Times New Roman"/>
          <w:sz w:val="24"/>
          <w:szCs w:val="24"/>
        </w:rPr>
        <w:t xml:space="preserve">) </w:t>
      </w:r>
      <w:r w:rsidRPr="002E4E30" w:rsidR="009B797C">
        <w:rPr>
          <w:rFonts w:ascii="Times New Roman" w:hAnsi="Times New Roman"/>
          <w:sz w:val="24"/>
          <w:szCs w:val="24"/>
        </w:rPr>
        <w:t xml:space="preserve">to the Office of Management and Budget (OMB) to obtain approval to collect data on </w:t>
      </w:r>
      <w:r w:rsidR="00F060D3">
        <w:rPr>
          <w:rFonts w:ascii="Times New Roman" w:hAnsi="Times New Roman"/>
          <w:sz w:val="24"/>
          <w:szCs w:val="24"/>
        </w:rPr>
        <w:t>promising</w:t>
      </w:r>
      <w:r w:rsidRPr="002E4E30" w:rsidR="009B797C">
        <w:rPr>
          <w:rFonts w:ascii="Times New Roman" w:hAnsi="Times New Roman"/>
          <w:sz w:val="24"/>
          <w:szCs w:val="24"/>
        </w:rPr>
        <w:t xml:space="preserve"> practices to</w:t>
      </w:r>
      <w:r w:rsidRPr="002E4E30" w:rsidR="00E1735C">
        <w:rPr>
          <w:rFonts w:ascii="Times New Roman" w:hAnsi="Times New Roman"/>
          <w:sz w:val="24"/>
          <w:szCs w:val="24"/>
        </w:rPr>
        <w:t xml:space="preserve"> increase</w:t>
      </w:r>
      <w:r w:rsidRPr="002E4E30" w:rsidR="009B797C">
        <w:rPr>
          <w:rFonts w:ascii="Times New Roman" w:hAnsi="Times New Roman"/>
          <w:sz w:val="24"/>
          <w:szCs w:val="24"/>
        </w:rPr>
        <w:t xml:space="preserve"> (1) COVID-19 testing awareness, access, and uptake</w:t>
      </w:r>
      <w:r w:rsidR="002F3294">
        <w:rPr>
          <w:rFonts w:ascii="Times New Roman" w:hAnsi="Times New Roman"/>
          <w:sz w:val="24"/>
          <w:szCs w:val="24"/>
        </w:rPr>
        <w:t>;</w:t>
      </w:r>
      <w:r w:rsidRPr="002E4E30" w:rsidR="009B797C">
        <w:rPr>
          <w:rFonts w:ascii="Times New Roman" w:hAnsi="Times New Roman"/>
          <w:sz w:val="24"/>
          <w:szCs w:val="24"/>
        </w:rPr>
        <w:t xml:space="preserve"> (2) confidence in, access to, and uptake of COVID-19 vaccines in underserved populations</w:t>
      </w:r>
      <w:r w:rsidR="002F3294">
        <w:rPr>
          <w:rFonts w:ascii="Times New Roman" w:hAnsi="Times New Roman"/>
          <w:sz w:val="24"/>
          <w:szCs w:val="24"/>
        </w:rPr>
        <w:t xml:space="preserve">; </w:t>
      </w:r>
      <w:r w:rsidRPr="002F3294" w:rsidR="002F3294">
        <w:rPr>
          <w:rFonts w:ascii="Times New Roman" w:hAnsi="Times New Roman"/>
          <w:sz w:val="24"/>
          <w:szCs w:val="24"/>
        </w:rPr>
        <w:t>and (3) confidence in, access to, and uptake of routinely recommended vaccines for children and adults during the COVID-19 pandemic</w:t>
      </w:r>
      <w:r w:rsidRPr="002E4E30" w:rsidR="00A153CE">
        <w:rPr>
          <w:rFonts w:ascii="Times New Roman" w:hAnsi="Times New Roman"/>
          <w:sz w:val="24"/>
          <w:szCs w:val="24"/>
        </w:rPr>
        <w:t xml:space="preserve">. </w:t>
      </w:r>
      <w:r w:rsidR="00A06D00">
        <w:rPr>
          <w:rFonts w:ascii="Times New Roman" w:hAnsi="Times New Roman"/>
          <w:sz w:val="24"/>
          <w:szCs w:val="24"/>
        </w:rPr>
        <w:t>O</w:t>
      </w:r>
      <w:r w:rsidR="00A63DC3">
        <w:rPr>
          <w:rFonts w:ascii="Times New Roman" w:hAnsi="Times New Roman"/>
          <w:sz w:val="24"/>
          <w:szCs w:val="24"/>
        </w:rPr>
        <w:t>ur contractor</w:t>
      </w:r>
      <w:r w:rsidR="00D76605">
        <w:rPr>
          <w:rFonts w:ascii="Times New Roman" w:hAnsi="Times New Roman"/>
          <w:sz w:val="24"/>
          <w:szCs w:val="24"/>
        </w:rPr>
        <w:t>,</w:t>
      </w:r>
      <w:r w:rsidR="00A63DC3">
        <w:rPr>
          <w:rFonts w:ascii="Times New Roman" w:hAnsi="Times New Roman"/>
          <w:sz w:val="24"/>
          <w:szCs w:val="24"/>
        </w:rPr>
        <w:t xml:space="preserve"> Mathematica</w:t>
      </w:r>
      <w:r w:rsidR="00281B53">
        <w:rPr>
          <w:rFonts w:ascii="Times New Roman" w:hAnsi="Times New Roman"/>
          <w:sz w:val="24"/>
          <w:szCs w:val="24"/>
        </w:rPr>
        <w:t>,</w:t>
      </w:r>
      <w:r w:rsidR="00A06D00">
        <w:rPr>
          <w:rFonts w:ascii="Times New Roman" w:hAnsi="Times New Roman"/>
          <w:sz w:val="24"/>
          <w:szCs w:val="24"/>
        </w:rPr>
        <w:t xml:space="preserve"> is conducting </w:t>
      </w:r>
      <w:r w:rsidR="00A63DC3">
        <w:rPr>
          <w:rFonts w:ascii="Times New Roman" w:hAnsi="Times New Roman"/>
          <w:sz w:val="24"/>
          <w:szCs w:val="24"/>
        </w:rPr>
        <w:t>a national survey</w:t>
      </w:r>
      <w:r w:rsidR="00A66BED">
        <w:rPr>
          <w:rFonts w:ascii="Times New Roman" w:hAnsi="Times New Roman"/>
          <w:sz w:val="24"/>
          <w:szCs w:val="24"/>
        </w:rPr>
        <w:t xml:space="preserve"> (</w:t>
      </w:r>
      <w:r w:rsidRPr="003E0338" w:rsidR="008247A2">
        <w:rPr>
          <w:rFonts w:ascii="Times New Roman" w:hAnsi="Times New Roman"/>
          <w:sz w:val="24"/>
          <w:szCs w:val="24"/>
        </w:rPr>
        <w:t>ICR</w:t>
      </w:r>
      <w:r w:rsidRPr="003E0338" w:rsidR="000052B6">
        <w:rPr>
          <w:rFonts w:ascii="Times New Roman" w:hAnsi="Times New Roman"/>
          <w:sz w:val="24"/>
          <w:szCs w:val="24"/>
        </w:rPr>
        <w:t xml:space="preserve"> Reference</w:t>
      </w:r>
      <w:r w:rsidRPr="003E0338" w:rsidR="008247A2">
        <w:rPr>
          <w:rFonts w:ascii="Times New Roman" w:hAnsi="Times New Roman"/>
          <w:sz w:val="24"/>
          <w:szCs w:val="24"/>
        </w:rPr>
        <w:t xml:space="preserve"> </w:t>
      </w:r>
      <w:r w:rsidRPr="003E0338" w:rsidR="000052B6">
        <w:rPr>
          <w:rFonts w:ascii="Times New Roman" w:hAnsi="Times New Roman"/>
          <w:sz w:val="24"/>
          <w:szCs w:val="24"/>
        </w:rPr>
        <w:t>N</w:t>
      </w:r>
      <w:r w:rsidRPr="003E0338" w:rsidR="008247A2">
        <w:rPr>
          <w:rFonts w:ascii="Times New Roman" w:hAnsi="Times New Roman"/>
          <w:sz w:val="24"/>
          <w:szCs w:val="24"/>
        </w:rPr>
        <w:t xml:space="preserve">umber </w:t>
      </w:r>
      <w:r w:rsidRPr="003E0338" w:rsidR="003E0338">
        <w:rPr>
          <w:rFonts w:ascii="Times New Roman" w:hAnsi="Times New Roman"/>
          <w:sz w:val="24"/>
          <w:szCs w:val="24"/>
        </w:rPr>
        <w:t>202010</w:t>
      </w:r>
      <w:r w:rsidR="003E0338">
        <w:rPr>
          <w:rFonts w:ascii="Times New Roman" w:hAnsi="Times New Roman"/>
          <w:sz w:val="24"/>
          <w:szCs w:val="24"/>
        </w:rPr>
        <w:t>-0990-001</w:t>
      </w:r>
      <w:r w:rsidR="00A66BED">
        <w:rPr>
          <w:rFonts w:ascii="Times New Roman" w:hAnsi="Times New Roman"/>
          <w:sz w:val="24"/>
          <w:szCs w:val="24"/>
        </w:rPr>
        <w:t>)</w:t>
      </w:r>
      <w:r w:rsidR="00A63DC3">
        <w:rPr>
          <w:rFonts w:ascii="Times New Roman" w:hAnsi="Times New Roman"/>
          <w:sz w:val="24"/>
          <w:szCs w:val="24"/>
        </w:rPr>
        <w:t xml:space="preserve">, sending </w:t>
      </w:r>
      <w:r w:rsidR="0063505C">
        <w:rPr>
          <w:rFonts w:ascii="Times New Roman" w:hAnsi="Times New Roman"/>
          <w:sz w:val="24"/>
          <w:szCs w:val="24"/>
        </w:rPr>
        <w:t xml:space="preserve">a </w:t>
      </w:r>
      <w:r w:rsidR="002F3294">
        <w:rPr>
          <w:rFonts w:ascii="Times New Roman" w:hAnsi="Times New Roman"/>
          <w:sz w:val="24"/>
          <w:szCs w:val="24"/>
        </w:rPr>
        <w:t xml:space="preserve">survey </w:t>
      </w:r>
      <w:r w:rsidR="0063505C">
        <w:rPr>
          <w:rFonts w:ascii="Times New Roman" w:hAnsi="Times New Roman"/>
          <w:sz w:val="24"/>
          <w:szCs w:val="24"/>
        </w:rPr>
        <w:t xml:space="preserve">to </w:t>
      </w:r>
      <w:r w:rsidR="00A63DC3">
        <w:rPr>
          <w:rFonts w:ascii="Times New Roman" w:hAnsi="Times New Roman"/>
          <w:sz w:val="24"/>
          <w:szCs w:val="24"/>
        </w:rPr>
        <w:t xml:space="preserve">organizations across the United </w:t>
      </w:r>
      <w:r w:rsidRPr="00F75F3E" w:rsidR="00A63DC3">
        <w:rPr>
          <w:rFonts w:ascii="Times New Roman" w:hAnsi="Times New Roman"/>
          <w:sz w:val="24"/>
          <w:szCs w:val="24"/>
        </w:rPr>
        <w:t xml:space="preserve">States </w:t>
      </w:r>
      <w:r w:rsidRPr="00F75F3E" w:rsidR="009A016C">
        <w:rPr>
          <w:rFonts w:ascii="Times New Roman" w:hAnsi="Times New Roman"/>
          <w:sz w:val="24"/>
          <w:szCs w:val="24"/>
        </w:rPr>
        <w:t>to better understand what organizations are doing to deliver services, who they are serving, and how well these efforts are working</w:t>
      </w:r>
      <w:r w:rsidR="009A016C">
        <w:rPr>
          <w:rFonts w:ascii="Times New Roman" w:hAnsi="Times New Roman"/>
          <w:sz w:val="24"/>
          <w:szCs w:val="24"/>
        </w:rPr>
        <w:t xml:space="preserve">. </w:t>
      </w:r>
      <w:r w:rsidR="00F05AAA">
        <w:rPr>
          <w:rFonts w:ascii="Times New Roman" w:hAnsi="Times New Roman"/>
          <w:sz w:val="24"/>
          <w:szCs w:val="24"/>
        </w:rPr>
        <w:t>As a complement to that, already approved information collection, o</w:t>
      </w:r>
      <w:r w:rsidRPr="002E4E30" w:rsidR="0030693C">
        <w:rPr>
          <w:rFonts w:ascii="Times New Roman" w:hAnsi="Times New Roman"/>
          <w:sz w:val="24"/>
          <w:szCs w:val="24"/>
        </w:rPr>
        <w:t>ur contractor</w:t>
      </w:r>
      <w:r w:rsidR="00F05AAA">
        <w:rPr>
          <w:rFonts w:ascii="Times New Roman" w:hAnsi="Times New Roman"/>
          <w:sz w:val="24"/>
          <w:szCs w:val="24"/>
        </w:rPr>
        <w:t xml:space="preserve"> team </w:t>
      </w:r>
      <w:r w:rsidR="0085737B">
        <w:rPr>
          <w:rFonts w:ascii="Times New Roman" w:hAnsi="Times New Roman"/>
          <w:sz w:val="24"/>
          <w:szCs w:val="24"/>
        </w:rPr>
        <w:t>will</w:t>
      </w:r>
      <w:r w:rsidR="004D0074">
        <w:rPr>
          <w:rFonts w:ascii="Times New Roman" w:hAnsi="Times New Roman"/>
          <w:sz w:val="24"/>
          <w:szCs w:val="24"/>
        </w:rPr>
        <w:t xml:space="preserve"> </w:t>
      </w:r>
      <w:r w:rsidR="00347AF3">
        <w:rPr>
          <w:rFonts w:ascii="Times New Roman" w:hAnsi="Times New Roman"/>
          <w:sz w:val="24"/>
          <w:szCs w:val="24"/>
        </w:rPr>
        <w:t>also</w:t>
      </w:r>
      <w:r w:rsidR="00F936BA">
        <w:rPr>
          <w:rFonts w:ascii="Times New Roman" w:hAnsi="Times New Roman"/>
          <w:sz w:val="24"/>
          <w:szCs w:val="24"/>
        </w:rPr>
        <w:t xml:space="preserve"> </w:t>
      </w:r>
      <w:r w:rsidRPr="002E4E30" w:rsidR="006E466F">
        <w:rPr>
          <w:rFonts w:ascii="Times New Roman" w:hAnsi="Times New Roman"/>
          <w:sz w:val="24"/>
          <w:szCs w:val="24"/>
        </w:rPr>
        <w:t xml:space="preserve">conduct </w:t>
      </w:r>
      <w:r w:rsidR="00116D63">
        <w:rPr>
          <w:rFonts w:ascii="Times New Roman" w:hAnsi="Times New Roman"/>
          <w:sz w:val="24"/>
          <w:szCs w:val="24"/>
        </w:rPr>
        <w:t>virtual site</w:t>
      </w:r>
      <w:r w:rsidR="00146E98">
        <w:rPr>
          <w:rFonts w:ascii="Times New Roman" w:hAnsi="Times New Roman"/>
          <w:sz w:val="24"/>
          <w:szCs w:val="24"/>
        </w:rPr>
        <w:t xml:space="preserve"> visit</w:t>
      </w:r>
      <w:r w:rsidR="00682D99">
        <w:rPr>
          <w:rFonts w:ascii="Times New Roman" w:hAnsi="Times New Roman"/>
          <w:sz w:val="24"/>
          <w:szCs w:val="24"/>
        </w:rPr>
        <w:t xml:space="preserve"> interviews</w:t>
      </w:r>
      <w:r>
        <w:rPr>
          <w:rStyle w:val="FootnoteReference"/>
          <w:rFonts w:ascii="Times New Roman" w:hAnsi="Times New Roman"/>
          <w:sz w:val="24"/>
          <w:szCs w:val="24"/>
        </w:rPr>
        <w:footnoteReference w:id="3"/>
      </w:r>
      <w:r w:rsidR="00682D99">
        <w:rPr>
          <w:rFonts w:ascii="Times New Roman" w:hAnsi="Times New Roman"/>
          <w:sz w:val="24"/>
          <w:szCs w:val="24"/>
        </w:rPr>
        <w:t xml:space="preserve"> with state</w:t>
      </w:r>
      <w:r w:rsidR="001E2AED">
        <w:rPr>
          <w:rFonts w:ascii="Times New Roman" w:hAnsi="Times New Roman"/>
          <w:sz w:val="24"/>
          <w:szCs w:val="24"/>
        </w:rPr>
        <w:t xml:space="preserve"> health department</w:t>
      </w:r>
      <w:r w:rsidR="00682D99">
        <w:rPr>
          <w:rFonts w:ascii="Times New Roman" w:hAnsi="Times New Roman"/>
          <w:sz w:val="24"/>
          <w:szCs w:val="24"/>
        </w:rPr>
        <w:t>s</w:t>
      </w:r>
      <w:r w:rsidR="001E2AED">
        <w:rPr>
          <w:rFonts w:ascii="Times New Roman" w:hAnsi="Times New Roman"/>
          <w:sz w:val="24"/>
          <w:szCs w:val="24"/>
        </w:rPr>
        <w:t>,</w:t>
      </w:r>
      <w:r w:rsidR="001901FD">
        <w:rPr>
          <w:rFonts w:ascii="Times New Roman" w:hAnsi="Times New Roman"/>
          <w:sz w:val="24"/>
          <w:szCs w:val="24"/>
        </w:rPr>
        <w:t xml:space="preserve"> </w:t>
      </w:r>
      <w:r w:rsidR="00682D99">
        <w:rPr>
          <w:rFonts w:ascii="Times New Roman" w:hAnsi="Times New Roman"/>
          <w:sz w:val="24"/>
          <w:szCs w:val="24"/>
        </w:rPr>
        <w:t>tribal organizations</w:t>
      </w:r>
      <w:r w:rsidR="001E2AED">
        <w:rPr>
          <w:rFonts w:ascii="Times New Roman" w:hAnsi="Times New Roman"/>
          <w:sz w:val="24"/>
          <w:szCs w:val="24"/>
        </w:rPr>
        <w:t xml:space="preserve">, and local providers such as local health </w:t>
      </w:r>
      <w:r w:rsidR="00A7770E">
        <w:rPr>
          <w:rFonts w:ascii="Times New Roman" w:hAnsi="Times New Roman"/>
          <w:sz w:val="24"/>
          <w:szCs w:val="24"/>
        </w:rPr>
        <w:t>departments</w:t>
      </w:r>
      <w:r w:rsidR="001E2AED">
        <w:rPr>
          <w:rFonts w:ascii="Times New Roman" w:hAnsi="Times New Roman"/>
          <w:sz w:val="24"/>
          <w:szCs w:val="24"/>
        </w:rPr>
        <w:t>, clinics, and pharmacies</w:t>
      </w:r>
      <w:r w:rsidR="00682D99">
        <w:rPr>
          <w:rFonts w:ascii="Times New Roman" w:hAnsi="Times New Roman"/>
          <w:sz w:val="24"/>
          <w:szCs w:val="24"/>
        </w:rPr>
        <w:t>.</w:t>
      </w:r>
      <w:r w:rsidR="00F75E92">
        <w:rPr>
          <w:rFonts w:ascii="Times New Roman" w:hAnsi="Times New Roman"/>
          <w:sz w:val="24"/>
          <w:szCs w:val="24"/>
        </w:rPr>
        <w:t xml:space="preserve"> </w:t>
      </w:r>
      <w:r w:rsidR="00F05AAA">
        <w:rPr>
          <w:rFonts w:ascii="Times New Roman" w:hAnsi="Times New Roman"/>
          <w:sz w:val="24"/>
          <w:szCs w:val="24"/>
        </w:rPr>
        <w:t>This Information Clearance Request (ICR) is focused on the interviews.</w:t>
      </w:r>
    </w:p>
    <w:p w:rsidR="00F40A87" w:rsidP="0061263E" w14:paraId="7B6F56BA" w14:textId="77777777">
      <w:pPr>
        <w:spacing w:after="0" w:line="240" w:lineRule="auto"/>
        <w:rPr>
          <w:rFonts w:ascii="Times New Roman" w:hAnsi="Times New Roman"/>
          <w:sz w:val="24"/>
          <w:szCs w:val="24"/>
        </w:rPr>
      </w:pPr>
    </w:p>
    <w:p w:rsidR="00184297" w:rsidRPr="00C565EF" w:rsidP="0061263E" w14:paraId="12DB8967" w14:textId="2FD31DF9">
      <w:pPr>
        <w:spacing w:after="0" w:line="240" w:lineRule="auto"/>
        <w:rPr>
          <w:rFonts w:ascii="Times New Roman" w:hAnsi="Times New Roman"/>
          <w:sz w:val="24"/>
          <w:szCs w:val="24"/>
        </w:rPr>
      </w:pPr>
      <w:r>
        <w:rPr>
          <w:rFonts w:ascii="Times New Roman" w:hAnsi="Times New Roman"/>
          <w:sz w:val="24"/>
          <w:szCs w:val="24"/>
        </w:rPr>
        <w:t xml:space="preserve">The purpose of the interviews is to learn about promising COVID-19 testing and vaccination programs and routine vaccination programs, as well as the contextual factors and implementation strategies that influence their success. </w:t>
      </w:r>
      <w:r w:rsidRPr="00C565EF" w:rsidR="00F62C10">
        <w:rPr>
          <w:rFonts w:ascii="Times New Roman" w:hAnsi="Times New Roman"/>
          <w:sz w:val="24"/>
          <w:szCs w:val="24"/>
        </w:rPr>
        <w:t xml:space="preserve">Site visit interviews are </w:t>
      </w:r>
      <w:r w:rsidRPr="00C565EF" w:rsidR="00901BA1">
        <w:rPr>
          <w:rFonts w:ascii="Times New Roman" w:hAnsi="Times New Roman"/>
          <w:sz w:val="24"/>
          <w:szCs w:val="24"/>
        </w:rPr>
        <w:t>important</w:t>
      </w:r>
      <w:r w:rsidRPr="00C565EF" w:rsidR="00F62C10">
        <w:rPr>
          <w:rFonts w:ascii="Times New Roman" w:hAnsi="Times New Roman"/>
          <w:sz w:val="24"/>
          <w:szCs w:val="24"/>
        </w:rPr>
        <w:t xml:space="preserve"> </w:t>
      </w:r>
      <w:r w:rsidRPr="00C565EF" w:rsidR="004E486C">
        <w:rPr>
          <w:rFonts w:ascii="Times New Roman" w:hAnsi="Times New Roman"/>
          <w:sz w:val="24"/>
          <w:szCs w:val="24"/>
        </w:rPr>
        <w:t xml:space="preserve">because </w:t>
      </w:r>
      <w:r w:rsidRPr="00C565EF" w:rsidR="005A46B5">
        <w:rPr>
          <w:rFonts w:ascii="Times New Roman" w:hAnsi="Times New Roman"/>
          <w:sz w:val="24"/>
          <w:szCs w:val="24"/>
        </w:rPr>
        <w:t xml:space="preserve">they can </w:t>
      </w:r>
      <w:r w:rsidRPr="00C565EF" w:rsidR="00901BA1">
        <w:rPr>
          <w:rFonts w:ascii="Times New Roman" w:hAnsi="Times New Roman"/>
          <w:sz w:val="24"/>
          <w:szCs w:val="24"/>
        </w:rPr>
        <w:t xml:space="preserve">provide in-depth detail </w:t>
      </w:r>
      <w:r w:rsidR="00F05AAA">
        <w:rPr>
          <w:rFonts w:ascii="Times New Roman" w:hAnsi="Times New Roman"/>
          <w:sz w:val="24"/>
          <w:szCs w:val="24"/>
        </w:rPr>
        <w:t>to</w:t>
      </w:r>
      <w:r w:rsidRPr="00C565EF" w:rsidR="005A46B5">
        <w:rPr>
          <w:rFonts w:ascii="Times New Roman" w:hAnsi="Times New Roman"/>
          <w:sz w:val="24"/>
          <w:szCs w:val="24"/>
        </w:rPr>
        <w:t xml:space="preserve"> supplement t</w:t>
      </w:r>
      <w:r w:rsidRPr="00C565EF" w:rsidR="00901BA1">
        <w:rPr>
          <w:rFonts w:ascii="Times New Roman" w:hAnsi="Times New Roman"/>
          <w:sz w:val="24"/>
          <w:szCs w:val="24"/>
        </w:rPr>
        <w:t xml:space="preserve">he closed-ended survey </w:t>
      </w:r>
      <w:r w:rsidR="00F05AAA">
        <w:rPr>
          <w:rFonts w:ascii="Times New Roman" w:hAnsi="Times New Roman"/>
          <w:sz w:val="24"/>
          <w:szCs w:val="24"/>
        </w:rPr>
        <w:t>data</w:t>
      </w:r>
      <w:r w:rsidRPr="00C565EF" w:rsidR="00901BA1">
        <w:rPr>
          <w:rFonts w:ascii="Times New Roman" w:hAnsi="Times New Roman"/>
          <w:sz w:val="24"/>
          <w:szCs w:val="24"/>
        </w:rPr>
        <w:t xml:space="preserve">. </w:t>
      </w:r>
      <w:r w:rsidRPr="00C565EF" w:rsidR="00BB1996">
        <w:rPr>
          <w:rFonts w:ascii="Times New Roman" w:hAnsi="Times New Roman"/>
          <w:sz w:val="24"/>
          <w:szCs w:val="24"/>
        </w:rPr>
        <w:t xml:space="preserve"> </w:t>
      </w:r>
    </w:p>
    <w:p w:rsidR="003604F6" w:rsidRPr="00C565EF" w:rsidP="0061263E" w14:paraId="6676732D" w14:textId="77777777">
      <w:pPr>
        <w:spacing w:after="0" w:line="240" w:lineRule="auto"/>
        <w:rPr>
          <w:rFonts w:ascii="Times New Roman" w:hAnsi="Times New Roman"/>
          <w:sz w:val="24"/>
          <w:szCs w:val="24"/>
        </w:rPr>
      </w:pPr>
    </w:p>
    <w:p w:rsidR="00A855ED" w:rsidP="0061263E" w14:paraId="6C992C66" w14:textId="196B00AC">
      <w:pPr>
        <w:spacing w:after="0" w:line="240" w:lineRule="auto"/>
        <w:rPr>
          <w:rFonts w:ascii="Times New Roman" w:hAnsi="Times New Roman"/>
          <w:sz w:val="24"/>
          <w:szCs w:val="24"/>
        </w:rPr>
      </w:pPr>
      <w:r w:rsidRPr="00C565EF">
        <w:rPr>
          <w:rFonts w:ascii="Times New Roman" w:hAnsi="Times New Roman"/>
          <w:sz w:val="24"/>
          <w:szCs w:val="24"/>
        </w:rPr>
        <w:t xml:space="preserve">Building on </w:t>
      </w:r>
      <w:r w:rsidRPr="00C565EF" w:rsidR="009775EC">
        <w:rPr>
          <w:rFonts w:ascii="Times New Roman" w:hAnsi="Times New Roman"/>
          <w:sz w:val="24"/>
          <w:szCs w:val="24"/>
        </w:rPr>
        <w:t>data collected through the national survey</w:t>
      </w:r>
      <w:r w:rsidRPr="00C565EF" w:rsidR="00835CAC">
        <w:rPr>
          <w:rFonts w:ascii="Times New Roman" w:hAnsi="Times New Roman"/>
          <w:sz w:val="24"/>
          <w:szCs w:val="24"/>
        </w:rPr>
        <w:t>,</w:t>
      </w:r>
      <w:r w:rsidRPr="00C565EF" w:rsidR="009775EC">
        <w:rPr>
          <w:rFonts w:ascii="Times New Roman" w:hAnsi="Times New Roman"/>
          <w:sz w:val="24"/>
          <w:szCs w:val="24"/>
        </w:rPr>
        <w:t xml:space="preserve"> </w:t>
      </w:r>
      <w:r w:rsidRPr="00C565EF" w:rsidR="00835CAC">
        <w:rPr>
          <w:rFonts w:ascii="Times New Roman" w:hAnsi="Times New Roman"/>
          <w:sz w:val="24"/>
          <w:szCs w:val="24"/>
        </w:rPr>
        <w:t>this</w:t>
      </w:r>
      <w:r w:rsidRPr="00C565EF" w:rsidR="00B02B3D">
        <w:rPr>
          <w:rFonts w:ascii="Times New Roman" w:hAnsi="Times New Roman"/>
          <w:sz w:val="24"/>
          <w:szCs w:val="24"/>
        </w:rPr>
        <w:t xml:space="preserve"> site visit </w:t>
      </w:r>
      <w:r w:rsidRPr="00C565EF" w:rsidR="00D97E54">
        <w:rPr>
          <w:rFonts w:ascii="Times New Roman" w:hAnsi="Times New Roman"/>
          <w:sz w:val="24"/>
          <w:szCs w:val="24"/>
        </w:rPr>
        <w:t xml:space="preserve">interview </w:t>
      </w:r>
      <w:r w:rsidRPr="00C565EF" w:rsidR="00EB1073">
        <w:rPr>
          <w:rFonts w:ascii="Times New Roman" w:hAnsi="Times New Roman"/>
          <w:sz w:val="24"/>
          <w:szCs w:val="24"/>
        </w:rPr>
        <w:t xml:space="preserve">data collection effort is in </w:t>
      </w:r>
      <w:r w:rsidRPr="00C565EF">
        <w:rPr>
          <w:rFonts w:ascii="Times New Roman" w:hAnsi="Times New Roman"/>
          <w:sz w:val="24"/>
          <w:szCs w:val="24"/>
        </w:rPr>
        <w:t xml:space="preserve">continued </w:t>
      </w:r>
      <w:r w:rsidRPr="00C565EF" w:rsidR="00EB1073">
        <w:rPr>
          <w:rFonts w:ascii="Times New Roman" w:hAnsi="Times New Roman"/>
          <w:sz w:val="24"/>
          <w:szCs w:val="24"/>
        </w:rPr>
        <w:t xml:space="preserve">response to </w:t>
      </w:r>
      <w:r w:rsidRPr="00C565EF" w:rsidR="0061263E">
        <w:rPr>
          <w:rFonts w:ascii="Times New Roman" w:hAnsi="Times New Roman"/>
          <w:sz w:val="24"/>
          <w:szCs w:val="24"/>
        </w:rPr>
        <w:t>ASPE</w:t>
      </w:r>
      <w:r w:rsidRPr="00C565EF" w:rsidR="00EB1073">
        <w:rPr>
          <w:rFonts w:ascii="Times New Roman" w:hAnsi="Times New Roman"/>
          <w:sz w:val="24"/>
          <w:szCs w:val="24"/>
        </w:rPr>
        <w:t xml:space="preserve">’s </w:t>
      </w:r>
      <w:r w:rsidRPr="00C565EF" w:rsidR="0046215B">
        <w:rPr>
          <w:rFonts w:ascii="Times New Roman" w:hAnsi="Times New Roman"/>
          <w:sz w:val="24"/>
          <w:szCs w:val="24"/>
        </w:rPr>
        <w:t xml:space="preserve">recognition </w:t>
      </w:r>
      <w:r w:rsidRPr="00C565EF" w:rsidR="0061263E">
        <w:rPr>
          <w:rFonts w:ascii="Times New Roman" w:hAnsi="Times New Roman"/>
          <w:sz w:val="24"/>
          <w:szCs w:val="24"/>
        </w:rPr>
        <w:t xml:space="preserve">that </w:t>
      </w:r>
      <w:r w:rsidRPr="00C565EF" w:rsidR="00D41C8A">
        <w:rPr>
          <w:rFonts w:ascii="Times New Roman" w:hAnsi="Times New Roman"/>
          <w:sz w:val="24"/>
          <w:szCs w:val="24"/>
        </w:rPr>
        <w:t xml:space="preserve">obtaining </w:t>
      </w:r>
      <w:r w:rsidRPr="00C565EF" w:rsidR="00DA6AA7">
        <w:rPr>
          <w:rFonts w:ascii="Times New Roman" w:hAnsi="Times New Roman"/>
          <w:sz w:val="24"/>
          <w:szCs w:val="24"/>
        </w:rPr>
        <w:t xml:space="preserve">broad and </w:t>
      </w:r>
      <w:r w:rsidRPr="00C565EF" w:rsidR="00D41C8A">
        <w:rPr>
          <w:rFonts w:ascii="Times New Roman" w:hAnsi="Times New Roman"/>
          <w:sz w:val="24"/>
          <w:szCs w:val="24"/>
        </w:rPr>
        <w:t>diverse perspectiv</w:t>
      </w:r>
      <w:r w:rsidRPr="00C565EF" w:rsidR="004A3D80">
        <w:rPr>
          <w:rFonts w:ascii="Times New Roman" w:hAnsi="Times New Roman"/>
          <w:sz w:val="24"/>
          <w:szCs w:val="24"/>
        </w:rPr>
        <w:t xml:space="preserve">es on this </w:t>
      </w:r>
      <w:r w:rsidRPr="00C565EF" w:rsidR="007617D8">
        <w:rPr>
          <w:rFonts w:ascii="Times New Roman" w:hAnsi="Times New Roman"/>
          <w:sz w:val="24"/>
          <w:szCs w:val="24"/>
        </w:rPr>
        <w:t xml:space="preserve">area of practice is </w:t>
      </w:r>
      <w:r w:rsidRPr="00C565EF" w:rsidR="0061263E">
        <w:rPr>
          <w:rFonts w:ascii="Times New Roman" w:hAnsi="Times New Roman"/>
          <w:sz w:val="24"/>
          <w:szCs w:val="24"/>
        </w:rPr>
        <w:t>needed to help state and local health departments promote equity in the delivery and uptake of COVID-19 services.</w:t>
      </w:r>
      <w:r w:rsidRPr="002E4E30" w:rsidR="0061263E">
        <w:rPr>
          <w:rFonts w:ascii="Times New Roman" w:hAnsi="Times New Roman"/>
          <w:sz w:val="24"/>
          <w:szCs w:val="24"/>
        </w:rPr>
        <w:t xml:space="preserve"> </w:t>
      </w:r>
    </w:p>
    <w:p w:rsidR="00B43C82" w14:paraId="23204F55" w14:textId="1C54F73B">
      <w:pPr>
        <w:spacing w:after="0" w:line="240" w:lineRule="auto"/>
        <w:rPr>
          <w:rFonts w:ascii="Times New Roman" w:hAnsi="Times New Roman"/>
          <w:b/>
          <w:sz w:val="24"/>
          <w:szCs w:val="24"/>
        </w:rPr>
      </w:pPr>
    </w:p>
    <w:p w:rsidR="00982095" w:rsidRPr="002E4E30" w:rsidP="003643F8" w14:paraId="5BF1833B" w14:textId="185229F5">
      <w:pPr>
        <w:pStyle w:val="Heading2"/>
      </w:pPr>
      <w:r w:rsidRPr="002E4E30">
        <w:t>Purpose and Use of the Information Collection</w:t>
      </w:r>
    </w:p>
    <w:p w:rsidR="00982095" w:rsidRPr="002E4E30" w14:paraId="5B446053" w14:textId="77777777">
      <w:pPr>
        <w:spacing w:after="0" w:line="240" w:lineRule="auto"/>
        <w:rPr>
          <w:rFonts w:ascii="Times New Roman" w:hAnsi="Times New Roman"/>
          <w:sz w:val="24"/>
          <w:szCs w:val="24"/>
        </w:rPr>
      </w:pPr>
    </w:p>
    <w:p w:rsidR="00521A01" w:rsidRPr="001426FE" w:rsidP="003D637D" w14:paraId="438B4DA1" w14:textId="104FEBB0">
      <w:pPr>
        <w:spacing w:after="0" w:line="240" w:lineRule="auto"/>
        <w:rPr>
          <w:rFonts w:ascii="Times New Roman" w:hAnsi="Times New Roman"/>
          <w:sz w:val="24"/>
          <w:szCs w:val="24"/>
        </w:rPr>
      </w:pPr>
      <w:bookmarkStart w:id="1" w:name="_Hlk147320161"/>
      <w:r w:rsidRPr="007D18DC">
        <w:rPr>
          <w:rFonts w:ascii="Times New Roman" w:hAnsi="Times New Roman"/>
          <w:sz w:val="24"/>
          <w:szCs w:val="24"/>
        </w:rPr>
        <w:t>The data collected through site visit interviews will be used by ASPE to fill a gap in previous research which has not identified or examined promising practices for COVID-19 and vaccination and testing</w:t>
      </w:r>
      <w:r w:rsidRPr="007D18DC" w:rsidR="00792F95">
        <w:rPr>
          <w:rFonts w:ascii="Times New Roman" w:hAnsi="Times New Roman"/>
          <w:sz w:val="24"/>
          <w:szCs w:val="24"/>
        </w:rPr>
        <w:t xml:space="preserve"> and routine vaccination</w:t>
      </w:r>
      <w:r w:rsidRPr="007D18DC">
        <w:rPr>
          <w:rFonts w:ascii="Times New Roman" w:hAnsi="Times New Roman"/>
          <w:sz w:val="24"/>
          <w:szCs w:val="24"/>
        </w:rPr>
        <w:t xml:space="preserve"> across diverse populations and from diverse perspectives</w:t>
      </w:r>
      <w:r w:rsidRPr="007D18DC">
        <w:rPr>
          <w:rFonts w:ascii="Times New Roman" w:hAnsi="Times New Roman"/>
          <w:sz w:val="24"/>
          <w:szCs w:val="24"/>
        </w:rPr>
        <w:t xml:space="preserve">. </w:t>
      </w:r>
      <w:r w:rsidRPr="007D18DC" w:rsidR="00F26187">
        <w:rPr>
          <w:rFonts w:ascii="Times New Roman" w:hAnsi="Times New Roman"/>
          <w:sz w:val="24"/>
          <w:szCs w:val="24"/>
        </w:rPr>
        <w:t>T</w:t>
      </w:r>
      <w:r w:rsidRPr="007D18DC">
        <w:rPr>
          <w:rFonts w:ascii="Times New Roman" w:hAnsi="Times New Roman"/>
          <w:sz w:val="24"/>
          <w:szCs w:val="24"/>
        </w:rPr>
        <w:t xml:space="preserve">his research will produce findings on </w:t>
      </w:r>
      <w:r w:rsidRPr="007D18DC" w:rsidR="00C202D4">
        <w:rPr>
          <w:rFonts w:ascii="Times New Roman" w:hAnsi="Times New Roman"/>
          <w:sz w:val="24"/>
          <w:szCs w:val="24"/>
        </w:rPr>
        <w:t>promising</w:t>
      </w:r>
      <w:r w:rsidRPr="007D18DC">
        <w:rPr>
          <w:rFonts w:ascii="Times New Roman" w:hAnsi="Times New Roman"/>
          <w:sz w:val="24"/>
          <w:szCs w:val="24"/>
        </w:rPr>
        <w:t xml:space="preserve"> practices </w:t>
      </w:r>
      <w:r w:rsidRPr="007D18DC" w:rsidR="00761C47">
        <w:rPr>
          <w:rFonts w:ascii="Times New Roman" w:hAnsi="Times New Roman"/>
          <w:sz w:val="24"/>
          <w:szCs w:val="24"/>
        </w:rPr>
        <w:t xml:space="preserve">and contextual factors </w:t>
      </w:r>
      <w:r w:rsidRPr="007D18DC">
        <w:rPr>
          <w:rFonts w:ascii="Times New Roman" w:hAnsi="Times New Roman"/>
          <w:sz w:val="24"/>
          <w:szCs w:val="24"/>
        </w:rPr>
        <w:t>that support the continued work of various research, program, and practice audiences</w:t>
      </w:r>
      <w:r w:rsidRPr="007D18DC" w:rsidR="009949FB">
        <w:rPr>
          <w:rFonts w:ascii="Times New Roman" w:hAnsi="Times New Roman"/>
          <w:sz w:val="24"/>
          <w:szCs w:val="24"/>
        </w:rPr>
        <w:t xml:space="preserve"> intending to influence COVID-19 </w:t>
      </w:r>
      <w:r w:rsidRPr="007D18DC" w:rsidR="001901FD">
        <w:rPr>
          <w:rFonts w:ascii="Times New Roman" w:hAnsi="Times New Roman"/>
          <w:sz w:val="24"/>
          <w:szCs w:val="24"/>
        </w:rPr>
        <w:t>vaccination and testing</w:t>
      </w:r>
      <w:r w:rsidRPr="007D18DC" w:rsidR="009949FB">
        <w:rPr>
          <w:rFonts w:ascii="Times New Roman" w:hAnsi="Times New Roman"/>
          <w:sz w:val="24"/>
          <w:szCs w:val="24"/>
        </w:rPr>
        <w:t xml:space="preserve">, routine vaccination efforts, </w:t>
      </w:r>
      <w:r w:rsidRPr="007D18DC" w:rsidR="7ACB543D">
        <w:rPr>
          <w:rFonts w:ascii="Times New Roman" w:hAnsi="Times New Roman"/>
          <w:sz w:val="24"/>
          <w:szCs w:val="24"/>
        </w:rPr>
        <w:t xml:space="preserve">and </w:t>
      </w:r>
      <w:r w:rsidRPr="007D18DC" w:rsidR="009949FB">
        <w:rPr>
          <w:rFonts w:ascii="Times New Roman" w:hAnsi="Times New Roman"/>
          <w:sz w:val="24"/>
          <w:szCs w:val="24"/>
        </w:rPr>
        <w:t xml:space="preserve">efforts </w:t>
      </w:r>
      <w:r w:rsidRPr="001426FE" w:rsidR="009949FB">
        <w:rPr>
          <w:rFonts w:ascii="Times New Roman" w:hAnsi="Times New Roman"/>
          <w:sz w:val="24"/>
          <w:szCs w:val="24"/>
        </w:rPr>
        <w:t>to support response to future pandemics</w:t>
      </w:r>
      <w:r w:rsidRPr="001426FE">
        <w:rPr>
          <w:rFonts w:ascii="Times New Roman" w:hAnsi="Times New Roman"/>
          <w:sz w:val="24"/>
          <w:szCs w:val="24"/>
        </w:rPr>
        <w:t>.</w:t>
      </w:r>
      <w:r w:rsidRPr="001426FE">
        <w:rPr>
          <w:sz w:val="24"/>
          <w:szCs w:val="24"/>
        </w:rPr>
        <w:t xml:space="preserve"> </w:t>
      </w:r>
      <w:r w:rsidRPr="001426FE" w:rsidR="00961D56">
        <w:rPr>
          <w:rFonts w:ascii="Times New Roman" w:hAnsi="Times New Roman"/>
          <w:sz w:val="24"/>
          <w:szCs w:val="24"/>
        </w:rPr>
        <w:t>The data collection will not be designed or expected to yield results that are generalizable to the entire population.</w:t>
      </w:r>
    </w:p>
    <w:bookmarkEnd w:id="1"/>
    <w:p w:rsidR="001426FE" w:rsidP="003D637D" w14:paraId="1A7752F7" w14:textId="162BAA7B">
      <w:pPr>
        <w:spacing w:after="0" w:line="240" w:lineRule="auto"/>
        <w:rPr>
          <w:rFonts w:ascii="Times New Roman" w:hAnsi="Times New Roman"/>
          <w:sz w:val="24"/>
          <w:szCs w:val="24"/>
        </w:rPr>
      </w:pPr>
    </w:p>
    <w:p w:rsidR="00051FC9" w:rsidP="003D637D" w14:paraId="4D562DB2" w14:textId="13697DEC">
      <w:pPr>
        <w:spacing w:after="0" w:line="240" w:lineRule="auto"/>
        <w:rPr>
          <w:rFonts w:ascii="Times New Roman" w:hAnsi="Times New Roman"/>
          <w:sz w:val="24"/>
          <w:szCs w:val="24"/>
        </w:rPr>
      </w:pPr>
      <w:r>
        <w:rPr>
          <w:rFonts w:ascii="Times New Roman" w:hAnsi="Times New Roman"/>
          <w:sz w:val="24"/>
          <w:szCs w:val="24"/>
        </w:rPr>
        <w:t>The contractor</w:t>
      </w:r>
      <w:r w:rsidR="00BB2D0A">
        <w:rPr>
          <w:rFonts w:ascii="Times New Roman" w:hAnsi="Times New Roman"/>
          <w:sz w:val="24"/>
          <w:szCs w:val="24"/>
        </w:rPr>
        <w:t xml:space="preserve"> </w:t>
      </w:r>
      <w:r>
        <w:rPr>
          <w:rFonts w:ascii="Times New Roman" w:hAnsi="Times New Roman"/>
          <w:sz w:val="24"/>
          <w:szCs w:val="24"/>
        </w:rPr>
        <w:t xml:space="preserve">will develop and disseminate a memo </w:t>
      </w:r>
      <w:r w:rsidR="001D0A41">
        <w:rPr>
          <w:rFonts w:ascii="Times New Roman" w:hAnsi="Times New Roman"/>
          <w:sz w:val="24"/>
          <w:szCs w:val="24"/>
        </w:rPr>
        <w:t xml:space="preserve">to practice audiences </w:t>
      </w:r>
      <w:r>
        <w:rPr>
          <w:rFonts w:ascii="Times New Roman" w:hAnsi="Times New Roman"/>
          <w:sz w:val="24"/>
          <w:szCs w:val="24"/>
        </w:rPr>
        <w:t>that provides key considerations for implementing and disseminating promising practices for COVID-19 vaccin</w:t>
      </w:r>
      <w:r w:rsidR="002844D0">
        <w:rPr>
          <w:rFonts w:ascii="Times New Roman" w:hAnsi="Times New Roman"/>
          <w:sz w:val="24"/>
          <w:szCs w:val="24"/>
        </w:rPr>
        <w:t xml:space="preserve">ation and testing services, as well as routine vaccinations. Dissemination strategies will include, among other related materials, issue briefs, technical assistance, manuscripts, conference presentations, </w:t>
      </w:r>
      <w:r w:rsidR="00E82D7B">
        <w:rPr>
          <w:rFonts w:ascii="Times New Roman" w:hAnsi="Times New Roman"/>
          <w:sz w:val="24"/>
          <w:szCs w:val="24"/>
        </w:rPr>
        <w:t xml:space="preserve">and convenings with stakeholders. </w:t>
      </w:r>
      <w:r w:rsidRPr="00630B96" w:rsidR="00630B96">
        <w:rPr>
          <w:rFonts w:ascii="Times New Roman" w:hAnsi="Times New Roman"/>
          <w:sz w:val="24"/>
          <w:szCs w:val="24"/>
        </w:rPr>
        <w:t>Dissemination of findings will follow federal guidelines, e.g., the HHS "Guidelines for Ensuring the Quality of Information Disseminated to the Public," and will include specific discussion of the limitation of the qualitative results.</w:t>
      </w:r>
    </w:p>
    <w:p w:rsidR="00C54DB5" w:rsidRPr="003221B4" w:rsidP="003221B4" w14:paraId="3134E358" w14:textId="77777777">
      <w:pPr>
        <w:spacing w:after="0" w:line="240" w:lineRule="auto"/>
        <w:rPr>
          <w:rFonts w:ascii="Times New Roman" w:hAnsi="Times New Roman"/>
          <w:sz w:val="24"/>
          <w:szCs w:val="24"/>
        </w:rPr>
      </w:pPr>
    </w:p>
    <w:p w:rsidR="00982095" w:rsidRPr="002E4E30" w:rsidP="003643F8" w14:paraId="3DB9DB9C" w14:textId="77777777">
      <w:pPr>
        <w:pStyle w:val="Heading2"/>
      </w:pPr>
      <w:r w:rsidRPr="002E4E30">
        <w:t>Consideration Given to Information Technology</w:t>
      </w:r>
    </w:p>
    <w:p w:rsidR="00982095" w:rsidRPr="002E4E30" w14:paraId="1E2AB37C" w14:textId="77777777">
      <w:pPr>
        <w:spacing w:after="0" w:line="240" w:lineRule="auto"/>
        <w:rPr>
          <w:rFonts w:ascii="Times New Roman" w:hAnsi="Times New Roman"/>
          <w:sz w:val="24"/>
          <w:szCs w:val="24"/>
        </w:rPr>
      </w:pPr>
    </w:p>
    <w:p w:rsidR="00982095" w:rsidRPr="002E4E30" w:rsidP="00F07C1D" w14:paraId="67345E48" w14:textId="3464465C">
      <w:pPr>
        <w:spacing w:after="0" w:line="240" w:lineRule="auto"/>
        <w:rPr>
          <w:rFonts w:ascii="Times New Roman" w:hAnsi="Times New Roman"/>
          <w:sz w:val="24"/>
          <w:szCs w:val="24"/>
        </w:rPr>
      </w:pPr>
      <w:r w:rsidRPr="002E4E30">
        <w:rPr>
          <w:rFonts w:ascii="Times New Roman" w:hAnsi="Times New Roman"/>
          <w:sz w:val="24"/>
          <w:szCs w:val="24"/>
        </w:rPr>
        <w:t>ASPE’s contractor</w:t>
      </w:r>
      <w:r w:rsidR="003D4759">
        <w:rPr>
          <w:rFonts w:ascii="Times New Roman" w:hAnsi="Times New Roman"/>
          <w:sz w:val="24"/>
          <w:szCs w:val="24"/>
        </w:rPr>
        <w:t xml:space="preserve">, Mathematica, </w:t>
      </w:r>
      <w:r w:rsidRPr="002E4E30">
        <w:rPr>
          <w:rFonts w:ascii="Times New Roman" w:hAnsi="Times New Roman"/>
          <w:sz w:val="24"/>
          <w:szCs w:val="24"/>
        </w:rPr>
        <w:t>uses numerous technologies to conduct and manage data collection efforts</w:t>
      </w:r>
      <w:r w:rsidRPr="002E4E30" w:rsidR="00A15E3C">
        <w:rPr>
          <w:rFonts w:ascii="Times New Roman" w:hAnsi="Times New Roman"/>
          <w:sz w:val="24"/>
          <w:szCs w:val="24"/>
        </w:rPr>
        <w:t xml:space="preserve">. </w:t>
      </w:r>
      <w:r w:rsidR="003D4759">
        <w:rPr>
          <w:rFonts w:ascii="Times New Roman" w:hAnsi="Times New Roman"/>
          <w:sz w:val="24"/>
          <w:szCs w:val="24"/>
        </w:rPr>
        <w:t xml:space="preserve">Mathematica </w:t>
      </w:r>
      <w:r w:rsidRPr="002E4E30" w:rsidR="00C91BAE">
        <w:rPr>
          <w:rFonts w:ascii="Times New Roman" w:hAnsi="Times New Roman"/>
          <w:sz w:val="24"/>
          <w:szCs w:val="24"/>
        </w:rPr>
        <w:t xml:space="preserve">will use </w:t>
      </w:r>
      <w:r w:rsidR="005C4025">
        <w:rPr>
          <w:rFonts w:ascii="Times New Roman" w:hAnsi="Times New Roman"/>
          <w:sz w:val="24"/>
          <w:szCs w:val="24"/>
        </w:rPr>
        <w:t>Webex</w:t>
      </w:r>
      <w:r w:rsidRPr="002E4E30" w:rsidR="00C91BAE">
        <w:rPr>
          <w:rFonts w:ascii="Times New Roman" w:hAnsi="Times New Roman"/>
          <w:sz w:val="24"/>
          <w:szCs w:val="24"/>
        </w:rPr>
        <w:t xml:space="preserve">, </w:t>
      </w:r>
      <w:r w:rsidR="005C4025">
        <w:rPr>
          <w:rFonts w:ascii="Times New Roman" w:hAnsi="Times New Roman"/>
          <w:sz w:val="24"/>
          <w:szCs w:val="24"/>
        </w:rPr>
        <w:t>Cisco’s</w:t>
      </w:r>
      <w:r w:rsidRPr="002E4E30" w:rsidR="005C4025">
        <w:rPr>
          <w:rFonts w:ascii="Times New Roman" w:hAnsi="Times New Roman"/>
          <w:sz w:val="24"/>
          <w:szCs w:val="24"/>
        </w:rPr>
        <w:t xml:space="preserve"> </w:t>
      </w:r>
      <w:r w:rsidR="000D5177">
        <w:rPr>
          <w:rFonts w:ascii="Times New Roman" w:hAnsi="Times New Roman"/>
          <w:sz w:val="24"/>
          <w:szCs w:val="24"/>
        </w:rPr>
        <w:t>video</w:t>
      </w:r>
      <w:r w:rsidR="005C4025">
        <w:rPr>
          <w:rFonts w:ascii="Times New Roman" w:hAnsi="Times New Roman"/>
          <w:sz w:val="24"/>
          <w:szCs w:val="24"/>
        </w:rPr>
        <w:t>conferencing</w:t>
      </w:r>
      <w:r w:rsidRPr="002E4E30" w:rsidR="005C4025">
        <w:rPr>
          <w:rFonts w:ascii="Times New Roman" w:hAnsi="Times New Roman"/>
          <w:sz w:val="24"/>
          <w:szCs w:val="24"/>
        </w:rPr>
        <w:t xml:space="preserve"> </w:t>
      </w:r>
      <w:r w:rsidRPr="002E4E30" w:rsidR="00C91BAE">
        <w:rPr>
          <w:rFonts w:ascii="Times New Roman" w:hAnsi="Times New Roman"/>
          <w:sz w:val="24"/>
          <w:szCs w:val="24"/>
        </w:rPr>
        <w:t xml:space="preserve">platform, to </w:t>
      </w:r>
      <w:r w:rsidR="000D5177">
        <w:rPr>
          <w:rFonts w:ascii="Times New Roman" w:hAnsi="Times New Roman"/>
          <w:sz w:val="24"/>
          <w:szCs w:val="24"/>
        </w:rPr>
        <w:t>conduct all virtual interviews</w:t>
      </w:r>
      <w:r w:rsidRPr="002E4E30" w:rsidR="00C91BAE">
        <w:rPr>
          <w:rFonts w:ascii="Times New Roman" w:hAnsi="Times New Roman"/>
          <w:sz w:val="24"/>
          <w:szCs w:val="24"/>
        </w:rPr>
        <w:t xml:space="preserve">. </w:t>
      </w:r>
      <w:r w:rsidRPr="002E4E30" w:rsidR="00DF5417">
        <w:rPr>
          <w:rFonts w:ascii="Times New Roman" w:hAnsi="Times New Roman"/>
          <w:sz w:val="24"/>
          <w:szCs w:val="24"/>
        </w:rPr>
        <w:t xml:space="preserve">Collecting data in this manner reduces burden on respondents and improves data quality. For example, the application </w:t>
      </w:r>
      <w:r w:rsidR="00A45322">
        <w:rPr>
          <w:rFonts w:ascii="Times New Roman" w:hAnsi="Times New Roman"/>
          <w:sz w:val="24"/>
          <w:szCs w:val="24"/>
        </w:rPr>
        <w:t>enables users to</w:t>
      </w:r>
      <w:r w:rsidRPr="002E4E30" w:rsidR="00A45322">
        <w:rPr>
          <w:rFonts w:ascii="Times New Roman" w:hAnsi="Times New Roman"/>
          <w:sz w:val="24"/>
          <w:szCs w:val="24"/>
        </w:rPr>
        <w:t xml:space="preserve"> </w:t>
      </w:r>
      <w:r w:rsidR="00EA784A">
        <w:rPr>
          <w:rFonts w:ascii="Times New Roman" w:hAnsi="Times New Roman"/>
          <w:sz w:val="24"/>
          <w:szCs w:val="24"/>
        </w:rPr>
        <w:t xml:space="preserve">(1) </w:t>
      </w:r>
      <w:r w:rsidR="008A05F6">
        <w:rPr>
          <w:rFonts w:ascii="Times New Roman" w:hAnsi="Times New Roman"/>
          <w:sz w:val="24"/>
          <w:szCs w:val="24"/>
        </w:rPr>
        <w:t>audio</w:t>
      </w:r>
      <w:r w:rsidR="00161F30">
        <w:rPr>
          <w:rFonts w:ascii="Times New Roman" w:hAnsi="Times New Roman"/>
          <w:sz w:val="24"/>
          <w:szCs w:val="24"/>
        </w:rPr>
        <w:t>-</w:t>
      </w:r>
      <w:r w:rsidR="002135C5">
        <w:rPr>
          <w:rFonts w:ascii="Times New Roman" w:hAnsi="Times New Roman"/>
          <w:sz w:val="24"/>
          <w:szCs w:val="24"/>
        </w:rPr>
        <w:t xml:space="preserve"> or </w:t>
      </w:r>
      <w:r w:rsidR="008A05F6">
        <w:rPr>
          <w:rFonts w:ascii="Times New Roman" w:hAnsi="Times New Roman"/>
          <w:sz w:val="24"/>
          <w:szCs w:val="24"/>
        </w:rPr>
        <w:t>video</w:t>
      </w:r>
      <w:r w:rsidR="00161F30">
        <w:rPr>
          <w:rFonts w:ascii="Times New Roman" w:hAnsi="Times New Roman"/>
          <w:sz w:val="24"/>
          <w:szCs w:val="24"/>
        </w:rPr>
        <w:t>-</w:t>
      </w:r>
      <w:r w:rsidR="008A05F6">
        <w:rPr>
          <w:rFonts w:ascii="Times New Roman" w:hAnsi="Times New Roman"/>
          <w:sz w:val="24"/>
          <w:szCs w:val="24"/>
        </w:rPr>
        <w:t xml:space="preserve">record </w:t>
      </w:r>
      <w:r w:rsidR="00A45322">
        <w:rPr>
          <w:rFonts w:ascii="Times New Roman" w:hAnsi="Times New Roman"/>
          <w:sz w:val="24"/>
          <w:szCs w:val="24"/>
        </w:rPr>
        <w:t xml:space="preserve">their meeting, </w:t>
      </w:r>
      <w:r w:rsidR="007B01F7">
        <w:rPr>
          <w:rFonts w:ascii="Times New Roman" w:hAnsi="Times New Roman"/>
          <w:sz w:val="24"/>
          <w:szCs w:val="24"/>
        </w:rPr>
        <w:t xml:space="preserve">which </w:t>
      </w:r>
      <w:r w:rsidR="00D76605">
        <w:rPr>
          <w:rFonts w:ascii="Times New Roman" w:hAnsi="Times New Roman"/>
          <w:sz w:val="24"/>
          <w:szCs w:val="24"/>
        </w:rPr>
        <w:t xml:space="preserve">Mathematica </w:t>
      </w:r>
      <w:r w:rsidR="000F4C16">
        <w:rPr>
          <w:rFonts w:ascii="Times New Roman" w:hAnsi="Times New Roman"/>
          <w:sz w:val="24"/>
          <w:szCs w:val="24"/>
        </w:rPr>
        <w:t xml:space="preserve">will </w:t>
      </w:r>
      <w:r w:rsidR="00161F30">
        <w:rPr>
          <w:rFonts w:ascii="Times New Roman" w:hAnsi="Times New Roman"/>
          <w:sz w:val="24"/>
          <w:szCs w:val="24"/>
        </w:rPr>
        <w:t xml:space="preserve">do, </w:t>
      </w:r>
      <w:r w:rsidR="00D46E4D">
        <w:rPr>
          <w:rFonts w:ascii="Times New Roman" w:hAnsi="Times New Roman"/>
          <w:sz w:val="24"/>
          <w:szCs w:val="24"/>
        </w:rPr>
        <w:t xml:space="preserve">for later review, transcription, and </w:t>
      </w:r>
      <w:r w:rsidR="001D5E6D">
        <w:rPr>
          <w:rFonts w:ascii="Times New Roman" w:hAnsi="Times New Roman"/>
          <w:sz w:val="24"/>
          <w:szCs w:val="24"/>
        </w:rPr>
        <w:t xml:space="preserve">validation of the content of interview </w:t>
      </w:r>
      <w:r w:rsidR="00D46E4D">
        <w:rPr>
          <w:rFonts w:ascii="Times New Roman" w:hAnsi="Times New Roman"/>
          <w:sz w:val="24"/>
          <w:szCs w:val="24"/>
        </w:rPr>
        <w:t>transcript</w:t>
      </w:r>
      <w:r w:rsidR="001D5E6D">
        <w:rPr>
          <w:rFonts w:ascii="Times New Roman" w:hAnsi="Times New Roman"/>
          <w:sz w:val="24"/>
          <w:szCs w:val="24"/>
        </w:rPr>
        <w:t>s</w:t>
      </w:r>
      <w:r w:rsidR="00161F30">
        <w:rPr>
          <w:rFonts w:ascii="Times New Roman" w:hAnsi="Times New Roman"/>
          <w:sz w:val="24"/>
          <w:szCs w:val="24"/>
        </w:rPr>
        <w:t>;</w:t>
      </w:r>
      <w:r w:rsidR="00EA784A">
        <w:rPr>
          <w:rFonts w:ascii="Times New Roman" w:hAnsi="Times New Roman"/>
          <w:sz w:val="24"/>
          <w:szCs w:val="24"/>
        </w:rPr>
        <w:t xml:space="preserve"> (2)</w:t>
      </w:r>
      <w:r w:rsidR="007B01F7">
        <w:rPr>
          <w:rFonts w:ascii="Times New Roman" w:hAnsi="Times New Roman"/>
          <w:sz w:val="24"/>
          <w:szCs w:val="24"/>
        </w:rPr>
        <w:t xml:space="preserve"> </w:t>
      </w:r>
      <w:r w:rsidR="006A6F4B">
        <w:rPr>
          <w:rFonts w:ascii="Times New Roman" w:hAnsi="Times New Roman"/>
          <w:sz w:val="24"/>
          <w:szCs w:val="24"/>
        </w:rPr>
        <w:t>conduct the call exclusively via audio</w:t>
      </w:r>
      <w:r w:rsidR="002B0F1A">
        <w:rPr>
          <w:rFonts w:ascii="Times New Roman" w:hAnsi="Times New Roman"/>
          <w:sz w:val="24"/>
          <w:szCs w:val="24"/>
        </w:rPr>
        <w:t>,</w:t>
      </w:r>
      <w:r w:rsidR="006A6F4B">
        <w:rPr>
          <w:rFonts w:ascii="Times New Roman" w:hAnsi="Times New Roman"/>
          <w:sz w:val="24"/>
          <w:szCs w:val="24"/>
        </w:rPr>
        <w:t xml:space="preserve"> enabling users with </w:t>
      </w:r>
      <w:r w:rsidR="006262E7">
        <w:rPr>
          <w:rFonts w:ascii="Times New Roman" w:hAnsi="Times New Roman"/>
          <w:sz w:val="24"/>
          <w:szCs w:val="24"/>
        </w:rPr>
        <w:t>varying</w:t>
      </w:r>
      <w:r w:rsidR="006764DD">
        <w:rPr>
          <w:rFonts w:ascii="Times New Roman" w:hAnsi="Times New Roman"/>
          <w:sz w:val="24"/>
          <w:szCs w:val="24"/>
        </w:rPr>
        <w:t xml:space="preserve"> </w:t>
      </w:r>
      <w:r w:rsidR="00EA784A">
        <w:rPr>
          <w:rFonts w:ascii="Times New Roman" w:hAnsi="Times New Roman"/>
          <w:sz w:val="24"/>
          <w:szCs w:val="24"/>
        </w:rPr>
        <w:t xml:space="preserve">bandwidth and </w:t>
      </w:r>
      <w:r w:rsidR="006262E7">
        <w:rPr>
          <w:rFonts w:ascii="Times New Roman" w:hAnsi="Times New Roman"/>
          <w:sz w:val="24"/>
          <w:szCs w:val="24"/>
        </w:rPr>
        <w:t xml:space="preserve">technical capacities </w:t>
      </w:r>
      <w:r w:rsidR="002135C5">
        <w:rPr>
          <w:rFonts w:ascii="Times New Roman" w:hAnsi="Times New Roman"/>
          <w:sz w:val="24"/>
          <w:szCs w:val="24"/>
        </w:rPr>
        <w:t>to successfully engage in interview</w:t>
      </w:r>
      <w:r w:rsidR="001D5E6D">
        <w:rPr>
          <w:rFonts w:ascii="Times New Roman" w:hAnsi="Times New Roman"/>
          <w:sz w:val="24"/>
          <w:szCs w:val="24"/>
        </w:rPr>
        <w:t>s</w:t>
      </w:r>
      <w:r w:rsidR="00161F30">
        <w:rPr>
          <w:rFonts w:ascii="Times New Roman" w:hAnsi="Times New Roman"/>
          <w:sz w:val="24"/>
          <w:szCs w:val="24"/>
        </w:rPr>
        <w:t>;</w:t>
      </w:r>
      <w:r w:rsidR="00E016B1">
        <w:rPr>
          <w:rFonts w:ascii="Times New Roman" w:hAnsi="Times New Roman"/>
          <w:sz w:val="24"/>
          <w:szCs w:val="24"/>
        </w:rPr>
        <w:t xml:space="preserve"> and (3) use chat</w:t>
      </w:r>
      <w:r w:rsidR="00B426D9">
        <w:rPr>
          <w:rFonts w:ascii="Times New Roman" w:hAnsi="Times New Roman"/>
          <w:sz w:val="24"/>
          <w:szCs w:val="24"/>
        </w:rPr>
        <w:t xml:space="preserve">, </w:t>
      </w:r>
      <w:r w:rsidR="00F45E42">
        <w:rPr>
          <w:rFonts w:ascii="Times New Roman" w:hAnsi="Times New Roman"/>
          <w:sz w:val="24"/>
          <w:szCs w:val="24"/>
        </w:rPr>
        <w:t>upload</w:t>
      </w:r>
      <w:r w:rsidR="00B426D9">
        <w:rPr>
          <w:rFonts w:ascii="Times New Roman" w:hAnsi="Times New Roman"/>
          <w:sz w:val="24"/>
          <w:szCs w:val="24"/>
        </w:rPr>
        <w:t>, and screen-share</w:t>
      </w:r>
      <w:r w:rsidR="00F45E42">
        <w:rPr>
          <w:rFonts w:ascii="Times New Roman" w:hAnsi="Times New Roman"/>
          <w:sz w:val="24"/>
          <w:szCs w:val="24"/>
        </w:rPr>
        <w:t xml:space="preserve"> </w:t>
      </w:r>
      <w:r w:rsidR="00E016B1">
        <w:rPr>
          <w:rFonts w:ascii="Times New Roman" w:hAnsi="Times New Roman"/>
          <w:sz w:val="24"/>
          <w:szCs w:val="24"/>
        </w:rPr>
        <w:t>function</w:t>
      </w:r>
      <w:r w:rsidR="00F45E42">
        <w:rPr>
          <w:rFonts w:ascii="Times New Roman" w:hAnsi="Times New Roman"/>
          <w:sz w:val="24"/>
          <w:szCs w:val="24"/>
        </w:rPr>
        <w:t>s</w:t>
      </w:r>
      <w:r w:rsidR="000E10B1">
        <w:rPr>
          <w:rFonts w:ascii="Times New Roman" w:hAnsi="Times New Roman"/>
          <w:sz w:val="24"/>
          <w:szCs w:val="24"/>
        </w:rPr>
        <w:t xml:space="preserve"> to </w:t>
      </w:r>
      <w:r w:rsidRPr="717D2601" w:rsidR="00903CB5">
        <w:rPr>
          <w:rFonts w:ascii="Times New Roman" w:hAnsi="Times New Roman"/>
          <w:sz w:val="24"/>
          <w:szCs w:val="24"/>
        </w:rPr>
        <w:t>share</w:t>
      </w:r>
      <w:r w:rsidR="000E10B1">
        <w:rPr>
          <w:rFonts w:ascii="Times New Roman" w:hAnsi="Times New Roman"/>
          <w:sz w:val="24"/>
          <w:szCs w:val="24"/>
        </w:rPr>
        <w:t xml:space="preserve"> link</w:t>
      </w:r>
      <w:r w:rsidR="00903CB5">
        <w:rPr>
          <w:rFonts w:ascii="Times New Roman" w:hAnsi="Times New Roman"/>
          <w:sz w:val="24"/>
          <w:szCs w:val="24"/>
        </w:rPr>
        <w:t>s</w:t>
      </w:r>
      <w:r w:rsidR="000E10B1">
        <w:rPr>
          <w:rFonts w:ascii="Times New Roman" w:hAnsi="Times New Roman"/>
          <w:sz w:val="24"/>
          <w:szCs w:val="24"/>
        </w:rPr>
        <w:t>, file</w:t>
      </w:r>
      <w:r w:rsidR="00903CB5">
        <w:rPr>
          <w:rFonts w:ascii="Times New Roman" w:hAnsi="Times New Roman"/>
          <w:sz w:val="24"/>
          <w:szCs w:val="24"/>
        </w:rPr>
        <w:t>s</w:t>
      </w:r>
      <w:r w:rsidR="000E10B1">
        <w:rPr>
          <w:rFonts w:ascii="Times New Roman" w:hAnsi="Times New Roman"/>
          <w:sz w:val="24"/>
          <w:szCs w:val="24"/>
        </w:rPr>
        <w:t xml:space="preserve">, and other </w:t>
      </w:r>
      <w:r w:rsidR="00B426D9">
        <w:rPr>
          <w:rFonts w:ascii="Times New Roman" w:hAnsi="Times New Roman"/>
          <w:sz w:val="24"/>
          <w:szCs w:val="24"/>
        </w:rPr>
        <w:t xml:space="preserve">data </w:t>
      </w:r>
      <w:r w:rsidR="000E10B1">
        <w:rPr>
          <w:rFonts w:ascii="Times New Roman" w:hAnsi="Times New Roman"/>
          <w:sz w:val="24"/>
          <w:szCs w:val="24"/>
        </w:rPr>
        <w:t xml:space="preserve">in real time, </w:t>
      </w:r>
      <w:r w:rsidR="00903CB5">
        <w:rPr>
          <w:rFonts w:ascii="Times New Roman" w:hAnsi="Times New Roman"/>
          <w:sz w:val="24"/>
          <w:szCs w:val="24"/>
        </w:rPr>
        <w:t xml:space="preserve">potentially </w:t>
      </w:r>
      <w:r w:rsidR="00E569D6">
        <w:rPr>
          <w:rFonts w:ascii="Times New Roman" w:hAnsi="Times New Roman"/>
          <w:sz w:val="24"/>
          <w:szCs w:val="24"/>
        </w:rPr>
        <w:t xml:space="preserve">reducing burden associated with </w:t>
      </w:r>
      <w:r w:rsidR="00B426D9">
        <w:rPr>
          <w:rFonts w:ascii="Times New Roman" w:hAnsi="Times New Roman"/>
          <w:sz w:val="24"/>
          <w:szCs w:val="24"/>
        </w:rPr>
        <w:t>conventional</w:t>
      </w:r>
      <w:r w:rsidR="006262E7">
        <w:rPr>
          <w:rFonts w:ascii="Times New Roman" w:hAnsi="Times New Roman"/>
          <w:sz w:val="24"/>
          <w:szCs w:val="24"/>
        </w:rPr>
        <w:t xml:space="preserve">, </w:t>
      </w:r>
      <w:r w:rsidR="00E569D6">
        <w:rPr>
          <w:rFonts w:ascii="Times New Roman" w:hAnsi="Times New Roman"/>
          <w:sz w:val="24"/>
          <w:szCs w:val="24"/>
        </w:rPr>
        <w:t xml:space="preserve">post-interview </w:t>
      </w:r>
      <w:r w:rsidR="006262E7">
        <w:rPr>
          <w:rFonts w:ascii="Times New Roman" w:hAnsi="Times New Roman"/>
          <w:sz w:val="24"/>
          <w:szCs w:val="24"/>
        </w:rPr>
        <w:t xml:space="preserve">email </w:t>
      </w:r>
      <w:r w:rsidR="00E569D6">
        <w:rPr>
          <w:rFonts w:ascii="Times New Roman" w:hAnsi="Times New Roman"/>
          <w:sz w:val="24"/>
          <w:szCs w:val="24"/>
        </w:rPr>
        <w:t>follow-up</w:t>
      </w:r>
      <w:r w:rsidR="00F07C1D">
        <w:rPr>
          <w:rFonts w:ascii="Times New Roman" w:hAnsi="Times New Roman"/>
          <w:sz w:val="24"/>
          <w:szCs w:val="24"/>
        </w:rPr>
        <w:t>.</w:t>
      </w:r>
    </w:p>
    <w:p w:rsidR="00D65822" w:rsidRPr="002E4E30" w14:paraId="064326C4" w14:textId="77777777">
      <w:pPr>
        <w:spacing w:after="0" w:line="240" w:lineRule="auto"/>
        <w:rPr>
          <w:rFonts w:ascii="Times New Roman" w:hAnsi="Times New Roman"/>
          <w:sz w:val="24"/>
          <w:szCs w:val="24"/>
        </w:rPr>
      </w:pPr>
    </w:p>
    <w:p w:rsidR="00024589" w14:paraId="20AAD965" w14:textId="05EC12FD">
      <w:pPr>
        <w:spacing w:after="0" w:line="240" w:lineRule="auto"/>
        <w:rPr>
          <w:rFonts w:ascii="Times New Roman" w:hAnsi="Times New Roman"/>
          <w:sz w:val="24"/>
          <w:szCs w:val="24"/>
        </w:rPr>
      </w:pPr>
      <w:r>
        <w:rPr>
          <w:rFonts w:ascii="Times New Roman" w:hAnsi="Times New Roman"/>
          <w:sz w:val="24"/>
          <w:szCs w:val="24"/>
        </w:rPr>
        <w:t xml:space="preserve">Although we anticipate </w:t>
      </w:r>
      <w:r w:rsidRPr="717D2601" w:rsidR="148C009A">
        <w:rPr>
          <w:rFonts w:ascii="Times New Roman" w:hAnsi="Times New Roman"/>
          <w:sz w:val="24"/>
          <w:szCs w:val="24"/>
        </w:rPr>
        <w:t>most</w:t>
      </w:r>
      <w:r w:rsidR="00FD7FD0">
        <w:rPr>
          <w:rFonts w:ascii="Times New Roman" w:hAnsi="Times New Roman"/>
          <w:sz w:val="24"/>
          <w:szCs w:val="24"/>
        </w:rPr>
        <w:t xml:space="preserve">, if not </w:t>
      </w:r>
      <w:r>
        <w:rPr>
          <w:rFonts w:ascii="Times New Roman" w:hAnsi="Times New Roman"/>
          <w:sz w:val="24"/>
          <w:szCs w:val="24"/>
        </w:rPr>
        <w:t>all</w:t>
      </w:r>
      <w:r w:rsidR="00FD7FD0">
        <w:rPr>
          <w:rFonts w:ascii="Times New Roman" w:hAnsi="Times New Roman"/>
          <w:sz w:val="24"/>
          <w:szCs w:val="24"/>
        </w:rPr>
        <w:t>,</w:t>
      </w:r>
      <w:r>
        <w:rPr>
          <w:rFonts w:ascii="Times New Roman" w:hAnsi="Times New Roman"/>
          <w:sz w:val="24"/>
          <w:szCs w:val="24"/>
        </w:rPr>
        <w:t xml:space="preserve"> interviews will be conducted virtually, o</w:t>
      </w:r>
      <w:r w:rsidR="005D79BB">
        <w:rPr>
          <w:rFonts w:ascii="Times New Roman" w:hAnsi="Times New Roman"/>
          <w:sz w:val="24"/>
          <w:szCs w:val="24"/>
        </w:rPr>
        <w:t xml:space="preserve">ur contractor will </w:t>
      </w:r>
      <w:r>
        <w:rPr>
          <w:rFonts w:ascii="Times New Roman" w:hAnsi="Times New Roman"/>
          <w:sz w:val="24"/>
          <w:szCs w:val="24"/>
        </w:rPr>
        <w:t>use the Voice Recorder app</w:t>
      </w:r>
      <w:r w:rsidR="00975827">
        <w:rPr>
          <w:rFonts w:ascii="Times New Roman" w:hAnsi="Times New Roman"/>
          <w:sz w:val="24"/>
          <w:szCs w:val="24"/>
        </w:rPr>
        <w:t xml:space="preserve">lication </w:t>
      </w:r>
      <w:r>
        <w:rPr>
          <w:rFonts w:ascii="Times New Roman" w:hAnsi="Times New Roman"/>
          <w:sz w:val="24"/>
          <w:szCs w:val="24"/>
        </w:rPr>
        <w:t xml:space="preserve">on their </w:t>
      </w:r>
      <w:r w:rsidR="00975827">
        <w:rPr>
          <w:rFonts w:ascii="Times New Roman" w:hAnsi="Times New Roman"/>
          <w:sz w:val="24"/>
          <w:szCs w:val="24"/>
        </w:rPr>
        <w:t xml:space="preserve">secured and encrypted </w:t>
      </w:r>
      <w:r>
        <w:rPr>
          <w:rFonts w:ascii="Times New Roman" w:hAnsi="Times New Roman"/>
          <w:sz w:val="24"/>
          <w:szCs w:val="24"/>
        </w:rPr>
        <w:t>laptops to audio</w:t>
      </w:r>
      <w:r w:rsidR="00975827">
        <w:rPr>
          <w:rFonts w:ascii="Times New Roman" w:hAnsi="Times New Roman"/>
          <w:sz w:val="24"/>
          <w:szCs w:val="24"/>
        </w:rPr>
        <w:t>-</w:t>
      </w:r>
      <w:r>
        <w:rPr>
          <w:rFonts w:ascii="Times New Roman" w:hAnsi="Times New Roman"/>
          <w:sz w:val="24"/>
          <w:szCs w:val="24"/>
        </w:rPr>
        <w:t>record any in-person interviews</w:t>
      </w:r>
      <w:r w:rsidR="00237517">
        <w:rPr>
          <w:rFonts w:ascii="Times New Roman" w:hAnsi="Times New Roman"/>
          <w:sz w:val="24"/>
          <w:szCs w:val="24"/>
        </w:rPr>
        <w:t xml:space="preserve">. </w:t>
      </w:r>
    </w:p>
    <w:p w:rsidR="00024589" w14:paraId="1E632E51" w14:textId="77777777">
      <w:pPr>
        <w:spacing w:after="0" w:line="240" w:lineRule="auto"/>
        <w:rPr>
          <w:rFonts w:ascii="Times New Roman" w:hAnsi="Times New Roman"/>
          <w:sz w:val="24"/>
          <w:szCs w:val="24"/>
        </w:rPr>
      </w:pPr>
    </w:p>
    <w:p w:rsidR="00982095" w:rsidRPr="002E4E30" w14:paraId="4BC6678C" w14:textId="0499E141">
      <w:pPr>
        <w:spacing w:after="0" w:line="240" w:lineRule="auto"/>
        <w:rPr>
          <w:rFonts w:ascii="Times New Roman" w:hAnsi="Times New Roman"/>
          <w:sz w:val="24"/>
          <w:szCs w:val="24"/>
        </w:rPr>
      </w:pPr>
      <w:r w:rsidRPr="002E4E30">
        <w:rPr>
          <w:rFonts w:ascii="Times New Roman" w:hAnsi="Times New Roman"/>
          <w:sz w:val="24"/>
          <w:szCs w:val="24"/>
        </w:rPr>
        <w:t xml:space="preserve">All </w:t>
      </w:r>
      <w:r w:rsidR="0066441C">
        <w:rPr>
          <w:rFonts w:ascii="Times New Roman" w:hAnsi="Times New Roman"/>
          <w:sz w:val="24"/>
          <w:szCs w:val="24"/>
        </w:rPr>
        <w:t>interview</w:t>
      </w:r>
      <w:r w:rsidRPr="002E4E30" w:rsidR="0066441C">
        <w:rPr>
          <w:rFonts w:ascii="Times New Roman" w:hAnsi="Times New Roman"/>
          <w:sz w:val="24"/>
          <w:szCs w:val="24"/>
        </w:rPr>
        <w:t xml:space="preserve"> </w:t>
      </w:r>
      <w:r w:rsidRPr="002E4E30">
        <w:rPr>
          <w:rFonts w:ascii="Times New Roman" w:hAnsi="Times New Roman"/>
          <w:sz w:val="24"/>
          <w:szCs w:val="24"/>
        </w:rPr>
        <w:t xml:space="preserve">data and related information will be stored on </w:t>
      </w:r>
      <w:r w:rsidR="00D76605">
        <w:rPr>
          <w:rFonts w:ascii="Times New Roman" w:hAnsi="Times New Roman"/>
          <w:sz w:val="24"/>
          <w:szCs w:val="24"/>
        </w:rPr>
        <w:t xml:space="preserve">Mathematica’s </w:t>
      </w:r>
      <w:r w:rsidRPr="002E4E30">
        <w:rPr>
          <w:rFonts w:ascii="Times New Roman" w:hAnsi="Times New Roman"/>
          <w:sz w:val="24"/>
          <w:szCs w:val="24"/>
        </w:rPr>
        <w:t xml:space="preserve">restricted drive, which complies with the Federal Information Security Management Act of 2002. The drive is secured and encrypted. Only a limited set of project staff </w:t>
      </w:r>
      <w:r w:rsidRPr="002E4E30" w:rsidR="00D325CA">
        <w:rPr>
          <w:rFonts w:ascii="Times New Roman" w:hAnsi="Times New Roman"/>
          <w:sz w:val="24"/>
          <w:szCs w:val="24"/>
        </w:rPr>
        <w:t>can</w:t>
      </w:r>
      <w:r w:rsidRPr="002E4E30">
        <w:rPr>
          <w:rFonts w:ascii="Times New Roman" w:hAnsi="Times New Roman"/>
          <w:sz w:val="24"/>
          <w:szCs w:val="24"/>
        </w:rPr>
        <w:t xml:space="preserve"> access the folder, and their access is specifically approved by the </w:t>
      </w:r>
      <w:r w:rsidRPr="002E4E30" w:rsidR="00D325CA">
        <w:rPr>
          <w:rFonts w:ascii="Times New Roman" w:hAnsi="Times New Roman"/>
          <w:sz w:val="24"/>
          <w:szCs w:val="24"/>
        </w:rPr>
        <w:t>p</w:t>
      </w:r>
      <w:r w:rsidRPr="002E4E30">
        <w:rPr>
          <w:rFonts w:ascii="Times New Roman" w:hAnsi="Times New Roman"/>
          <w:sz w:val="24"/>
          <w:szCs w:val="24"/>
        </w:rPr>
        <w:t xml:space="preserve">roject </w:t>
      </w:r>
      <w:r w:rsidRPr="002E4E30" w:rsidR="00D325CA">
        <w:rPr>
          <w:rFonts w:ascii="Times New Roman" w:hAnsi="Times New Roman"/>
          <w:sz w:val="24"/>
          <w:szCs w:val="24"/>
        </w:rPr>
        <w:t>d</w:t>
      </w:r>
      <w:r w:rsidRPr="002E4E30">
        <w:rPr>
          <w:rFonts w:ascii="Times New Roman" w:hAnsi="Times New Roman"/>
          <w:sz w:val="24"/>
          <w:szCs w:val="24"/>
        </w:rPr>
        <w:t>irector. Access control lists are reviewed at least annually. Staff are removed from folder access when they leave the project.</w:t>
      </w:r>
    </w:p>
    <w:p w:rsidR="00D06A6D" w:rsidRPr="002E4E30" w14:paraId="2FA4DD69" w14:textId="77777777">
      <w:pPr>
        <w:spacing w:after="0" w:line="240" w:lineRule="auto"/>
        <w:rPr>
          <w:rFonts w:ascii="Times New Roman" w:hAnsi="Times New Roman"/>
          <w:sz w:val="24"/>
          <w:szCs w:val="24"/>
        </w:rPr>
      </w:pPr>
    </w:p>
    <w:p w:rsidR="00982095" w:rsidRPr="002E4E30" w:rsidP="003643F8" w14:paraId="157F312A" w14:textId="73A01B01">
      <w:pPr>
        <w:pStyle w:val="Heading2"/>
      </w:pPr>
      <w:r w:rsidRPr="002E4E30">
        <w:t>Duplication of Information</w:t>
      </w:r>
    </w:p>
    <w:p w:rsidR="00982095" w:rsidRPr="002E4E30" w14:paraId="4B8DE0CA" w14:textId="77777777">
      <w:pPr>
        <w:spacing w:after="0" w:line="240" w:lineRule="auto"/>
        <w:rPr>
          <w:rFonts w:ascii="Times New Roman" w:hAnsi="Times New Roman"/>
          <w:sz w:val="24"/>
          <w:szCs w:val="24"/>
        </w:rPr>
      </w:pPr>
    </w:p>
    <w:p w:rsidR="00CB6BDF" w:rsidRPr="002E4E30" w:rsidP="00643E2A" w14:paraId="10218AC3" w14:textId="0D9339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Neither </w:t>
      </w:r>
      <w:r w:rsidRPr="002E4E30" w:rsidR="00C61CD1">
        <w:rPr>
          <w:rFonts w:ascii="Times New Roman" w:hAnsi="Times New Roman"/>
          <w:sz w:val="24"/>
          <w:szCs w:val="24"/>
        </w:rPr>
        <w:t xml:space="preserve">ASPE </w:t>
      </w:r>
      <w:r>
        <w:rPr>
          <w:rFonts w:ascii="Times New Roman" w:hAnsi="Times New Roman"/>
          <w:sz w:val="24"/>
          <w:szCs w:val="24"/>
        </w:rPr>
        <w:t xml:space="preserve">nor our </w:t>
      </w:r>
      <w:r w:rsidRPr="002E4E30" w:rsidR="009C045E">
        <w:rPr>
          <w:rFonts w:ascii="Times New Roman" w:hAnsi="Times New Roman"/>
          <w:sz w:val="24"/>
          <w:szCs w:val="24"/>
        </w:rPr>
        <w:t>contractor</w:t>
      </w:r>
      <w:r w:rsidRPr="002E4E30" w:rsidR="00C61CD1">
        <w:rPr>
          <w:rFonts w:ascii="Times New Roman" w:hAnsi="Times New Roman"/>
          <w:sz w:val="24"/>
          <w:szCs w:val="24"/>
        </w:rPr>
        <w:t xml:space="preserve"> are aware of any previous or ongoing qualitative research that explores </w:t>
      </w:r>
      <w:r w:rsidR="00F109AD">
        <w:rPr>
          <w:rFonts w:ascii="Times New Roman" w:hAnsi="Times New Roman"/>
          <w:sz w:val="24"/>
          <w:szCs w:val="24"/>
        </w:rPr>
        <w:t>promising</w:t>
      </w:r>
      <w:r w:rsidRPr="002E4E30" w:rsidR="00C61CD1">
        <w:rPr>
          <w:rFonts w:ascii="Times New Roman" w:hAnsi="Times New Roman"/>
          <w:sz w:val="24"/>
          <w:szCs w:val="24"/>
        </w:rPr>
        <w:t xml:space="preserve"> practices for COVID-19 vaccination </w:t>
      </w:r>
      <w:r w:rsidRPr="002E4E30" w:rsidR="00725499">
        <w:rPr>
          <w:rFonts w:ascii="Times New Roman" w:hAnsi="Times New Roman"/>
          <w:sz w:val="24"/>
          <w:szCs w:val="24"/>
        </w:rPr>
        <w:t xml:space="preserve">and testing </w:t>
      </w:r>
      <w:r w:rsidR="00792F95">
        <w:rPr>
          <w:rFonts w:ascii="Times New Roman" w:hAnsi="Times New Roman"/>
          <w:sz w:val="24"/>
          <w:szCs w:val="24"/>
        </w:rPr>
        <w:t>and routine vaccination</w:t>
      </w:r>
      <w:r w:rsidRPr="002E4E30" w:rsidR="00725499">
        <w:rPr>
          <w:rFonts w:ascii="Times New Roman" w:hAnsi="Times New Roman"/>
          <w:sz w:val="24"/>
          <w:szCs w:val="24"/>
        </w:rPr>
        <w:t xml:space="preserve"> </w:t>
      </w:r>
      <w:r w:rsidRPr="002E4E30" w:rsidR="00C61CD1">
        <w:rPr>
          <w:rFonts w:ascii="Times New Roman" w:hAnsi="Times New Roman"/>
          <w:sz w:val="24"/>
          <w:szCs w:val="24"/>
        </w:rPr>
        <w:t xml:space="preserve">across </w:t>
      </w:r>
      <w:r w:rsidR="00EB489D">
        <w:rPr>
          <w:rFonts w:ascii="Times New Roman" w:hAnsi="Times New Roman"/>
          <w:sz w:val="24"/>
          <w:szCs w:val="24"/>
        </w:rPr>
        <w:t xml:space="preserve">the </w:t>
      </w:r>
      <w:r w:rsidRPr="002E4E30" w:rsidR="00C61CD1">
        <w:rPr>
          <w:rFonts w:ascii="Times New Roman" w:hAnsi="Times New Roman"/>
          <w:sz w:val="24"/>
          <w:szCs w:val="24"/>
        </w:rPr>
        <w:t>diverse populations</w:t>
      </w:r>
      <w:r w:rsidR="009B268A">
        <w:rPr>
          <w:rFonts w:ascii="Times New Roman" w:hAnsi="Times New Roman"/>
          <w:sz w:val="24"/>
          <w:szCs w:val="24"/>
        </w:rPr>
        <w:t xml:space="preserve"> and provider organization types that this project will </w:t>
      </w:r>
      <w:r w:rsidR="00A713D1">
        <w:rPr>
          <w:rFonts w:ascii="Times New Roman" w:hAnsi="Times New Roman"/>
          <w:sz w:val="24"/>
          <w:szCs w:val="24"/>
        </w:rPr>
        <w:t>engage</w:t>
      </w:r>
      <w:r w:rsidRPr="002E4E30" w:rsidR="00121673">
        <w:rPr>
          <w:rFonts w:ascii="Times New Roman" w:hAnsi="Times New Roman"/>
          <w:sz w:val="24"/>
          <w:szCs w:val="24"/>
        </w:rPr>
        <w:t xml:space="preserve">. </w:t>
      </w:r>
      <w:r w:rsidR="000D1BAE">
        <w:rPr>
          <w:rFonts w:ascii="Times New Roman" w:hAnsi="Times New Roman"/>
          <w:sz w:val="24"/>
          <w:szCs w:val="24"/>
        </w:rPr>
        <w:t>ASPE has and</w:t>
      </w:r>
      <w:r w:rsidRPr="002E4E30" w:rsidR="00121673">
        <w:rPr>
          <w:rFonts w:ascii="Times New Roman" w:hAnsi="Times New Roman"/>
          <w:sz w:val="24"/>
          <w:szCs w:val="24"/>
        </w:rPr>
        <w:t xml:space="preserve"> will </w:t>
      </w:r>
      <w:r w:rsidR="0035032B">
        <w:rPr>
          <w:rFonts w:ascii="Times New Roman" w:hAnsi="Times New Roman"/>
          <w:sz w:val="24"/>
          <w:szCs w:val="24"/>
        </w:rPr>
        <w:t xml:space="preserve">continue to </w:t>
      </w:r>
      <w:r w:rsidRPr="002E4E30" w:rsidR="00121673">
        <w:rPr>
          <w:rFonts w:ascii="Times New Roman" w:hAnsi="Times New Roman"/>
          <w:sz w:val="24"/>
          <w:szCs w:val="24"/>
        </w:rPr>
        <w:t>leverage</w:t>
      </w:r>
      <w:r w:rsidRPr="002E4E30" w:rsidR="00276AE6">
        <w:rPr>
          <w:rFonts w:ascii="Times New Roman" w:hAnsi="Times New Roman"/>
          <w:sz w:val="24"/>
          <w:szCs w:val="24"/>
        </w:rPr>
        <w:t xml:space="preserve"> feedback from</w:t>
      </w:r>
      <w:r w:rsidRPr="002E4E30" w:rsidR="00121673">
        <w:rPr>
          <w:rFonts w:ascii="Times New Roman" w:hAnsi="Times New Roman"/>
          <w:sz w:val="24"/>
          <w:szCs w:val="24"/>
        </w:rPr>
        <w:t xml:space="preserve"> </w:t>
      </w:r>
      <w:r w:rsidRPr="002E4E30" w:rsidR="00CD5ED0">
        <w:rPr>
          <w:rFonts w:ascii="Times New Roman" w:hAnsi="Times New Roman"/>
          <w:sz w:val="24"/>
          <w:szCs w:val="24"/>
        </w:rPr>
        <w:t xml:space="preserve">internal and external experts </w:t>
      </w:r>
      <w:r w:rsidRPr="002E4E30" w:rsidR="00276AE6">
        <w:rPr>
          <w:rFonts w:ascii="Times New Roman" w:hAnsi="Times New Roman"/>
          <w:sz w:val="24"/>
          <w:szCs w:val="24"/>
        </w:rPr>
        <w:t>throughout our design and data collection</w:t>
      </w:r>
      <w:r w:rsidRPr="002E4E30" w:rsidR="005318ED">
        <w:rPr>
          <w:rFonts w:ascii="Times New Roman" w:hAnsi="Times New Roman"/>
          <w:sz w:val="24"/>
          <w:szCs w:val="24"/>
        </w:rPr>
        <w:t xml:space="preserve"> to ensure that we are not duplicating existing or new efforts.</w:t>
      </w:r>
    </w:p>
    <w:p w:rsidR="00982095" w:rsidRPr="002E4E30" w14:paraId="71D51F3F" w14:textId="77777777">
      <w:pPr>
        <w:spacing w:after="0" w:line="240" w:lineRule="auto"/>
        <w:rPr>
          <w:rFonts w:ascii="Times New Roman" w:hAnsi="Times New Roman"/>
          <w:sz w:val="24"/>
          <w:szCs w:val="24"/>
        </w:rPr>
      </w:pPr>
    </w:p>
    <w:p w:rsidR="00982095" w:rsidRPr="002E4E30" w:rsidP="003643F8" w14:paraId="181CADDF" w14:textId="359015C6">
      <w:pPr>
        <w:pStyle w:val="Heading2"/>
      </w:pPr>
      <w:r w:rsidRPr="002E4E30">
        <w:t>Reducing the Burden on Small Entities</w:t>
      </w:r>
    </w:p>
    <w:p w:rsidR="00C121A6" w:rsidRPr="002E4E30" w14:paraId="7C1A16C2" w14:textId="77777777">
      <w:pPr>
        <w:spacing w:after="0" w:line="240" w:lineRule="auto"/>
        <w:rPr>
          <w:rFonts w:ascii="Times New Roman" w:hAnsi="Times New Roman"/>
          <w:sz w:val="24"/>
          <w:szCs w:val="24"/>
        </w:rPr>
      </w:pPr>
    </w:p>
    <w:p w:rsidR="008B2F30" w:rsidRPr="002E4E30" w14:paraId="3CA8953E" w14:textId="4F0712FD">
      <w:pPr>
        <w:spacing w:after="0" w:line="240" w:lineRule="auto"/>
        <w:rPr>
          <w:rFonts w:ascii="Times New Roman" w:hAnsi="Times New Roman"/>
          <w:sz w:val="24"/>
          <w:szCs w:val="24"/>
        </w:rPr>
      </w:pPr>
      <w:r>
        <w:rPr>
          <w:rFonts w:ascii="Times New Roman" w:hAnsi="Times New Roman"/>
          <w:sz w:val="24"/>
          <w:szCs w:val="24"/>
        </w:rPr>
        <w:t>We anticipate that community representative respondents will be from smaller</w:t>
      </w:r>
      <w:r w:rsidR="00F73531">
        <w:rPr>
          <w:rFonts w:ascii="Times New Roman" w:hAnsi="Times New Roman"/>
          <w:sz w:val="24"/>
          <w:szCs w:val="24"/>
        </w:rPr>
        <w:t xml:space="preserve"> businesses or entities than public health leader or program</w:t>
      </w:r>
      <w:r w:rsidR="000B3A6E">
        <w:rPr>
          <w:rFonts w:ascii="Times New Roman" w:hAnsi="Times New Roman"/>
          <w:sz w:val="24"/>
          <w:szCs w:val="24"/>
        </w:rPr>
        <w:t xml:space="preserve"> and partner</w:t>
      </w:r>
      <w:r w:rsidR="00F73531">
        <w:rPr>
          <w:rFonts w:ascii="Times New Roman" w:hAnsi="Times New Roman"/>
          <w:sz w:val="24"/>
          <w:szCs w:val="24"/>
        </w:rPr>
        <w:t xml:space="preserve"> staff</w:t>
      </w:r>
      <w:r w:rsidR="00DF4A64">
        <w:rPr>
          <w:rFonts w:ascii="Times New Roman" w:hAnsi="Times New Roman"/>
          <w:sz w:val="24"/>
          <w:szCs w:val="24"/>
        </w:rPr>
        <w:t xml:space="preserve"> respondents</w:t>
      </w:r>
      <w:r w:rsidR="00F73531">
        <w:rPr>
          <w:rFonts w:ascii="Times New Roman" w:hAnsi="Times New Roman"/>
          <w:sz w:val="24"/>
          <w:szCs w:val="24"/>
        </w:rPr>
        <w:t xml:space="preserve">. To minimize burden on </w:t>
      </w:r>
      <w:r w:rsidR="00DF4A64">
        <w:rPr>
          <w:rFonts w:ascii="Times New Roman" w:hAnsi="Times New Roman"/>
          <w:sz w:val="24"/>
          <w:szCs w:val="24"/>
        </w:rPr>
        <w:t>community representatives</w:t>
      </w:r>
      <w:r w:rsidR="00F73531">
        <w:rPr>
          <w:rFonts w:ascii="Times New Roman" w:hAnsi="Times New Roman"/>
          <w:sz w:val="24"/>
          <w:szCs w:val="24"/>
        </w:rPr>
        <w:t xml:space="preserve">, our contractor, Mathematica, will </w:t>
      </w:r>
      <w:r w:rsidR="00C46B64">
        <w:rPr>
          <w:rFonts w:ascii="Times New Roman" w:hAnsi="Times New Roman"/>
          <w:sz w:val="24"/>
          <w:szCs w:val="24"/>
        </w:rPr>
        <w:t>ask community representatives fewer questions than other respondents</w:t>
      </w:r>
      <w:r w:rsidR="00DF4A64">
        <w:rPr>
          <w:rFonts w:ascii="Times New Roman" w:hAnsi="Times New Roman"/>
          <w:sz w:val="24"/>
          <w:szCs w:val="24"/>
        </w:rPr>
        <w:t xml:space="preserve">. </w:t>
      </w:r>
      <w:r w:rsidR="00376085">
        <w:rPr>
          <w:rFonts w:ascii="Times New Roman" w:hAnsi="Times New Roman"/>
          <w:sz w:val="24"/>
          <w:szCs w:val="24"/>
        </w:rPr>
        <w:t>We will also provide a $</w:t>
      </w:r>
      <w:r w:rsidR="00E166AD">
        <w:rPr>
          <w:rFonts w:ascii="Times New Roman" w:hAnsi="Times New Roman"/>
          <w:sz w:val="24"/>
          <w:szCs w:val="24"/>
        </w:rPr>
        <w:t xml:space="preserve">50 </w:t>
      </w:r>
      <w:r w:rsidR="00282BFC">
        <w:rPr>
          <w:rFonts w:ascii="Times New Roman" w:hAnsi="Times New Roman"/>
          <w:sz w:val="24"/>
          <w:szCs w:val="24"/>
        </w:rPr>
        <w:t xml:space="preserve">Visa gift card </w:t>
      </w:r>
      <w:r w:rsidR="00376085">
        <w:rPr>
          <w:rFonts w:ascii="Times New Roman" w:hAnsi="Times New Roman"/>
          <w:sz w:val="24"/>
          <w:szCs w:val="24"/>
        </w:rPr>
        <w:t xml:space="preserve">to community representative respondents who complete the interview to compensate </w:t>
      </w:r>
      <w:r w:rsidR="00D616F3">
        <w:rPr>
          <w:rFonts w:ascii="Times New Roman" w:hAnsi="Times New Roman"/>
          <w:sz w:val="24"/>
          <w:szCs w:val="24"/>
        </w:rPr>
        <w:t xml:space="preserve">them </w:t>
      </w:r>
      <w:r w:rsidR="00376085">
        <w:rPr>
          <w:rFonts w:ascii="Times New Roman" w:hAnsi="Times New Roman"/>
          <w:sz w:val="24"/>
          <w:szCs w:val="24"/>
        </w:rPr>
        <w:t>for their time.</w:t>
      </w:r>
    </w:p>
    <w:p w:rsidR="00982095" w:rsidRPr="002E4E30" w14:paraId="6C72C2D9" w14:textId="1E1E041A">
      <w:pPr>
        <w:spacing w:after="0" w:line="240" w:lineRule="auto"/>
        <w:rPr>
          <w:rFonts w:ascii="Times New Roman" w:hAnsi="Times New Roman"/>
          <w:sz w:val="24"/>
          <w:szCs w:val="24"/>
        </w:rPr>
      </w:pPr>
    </w:p>
    <w:p w:rsidR="00982095" w:rsidRPr="002E4E30" w:rsidP="003643F8" w14:paraId="09A9E111" w14:textId="77777777">
      <w:pPr>
        <w:pStyle w:val="Heading2"/>
      </w:pPr>
      <w:r w:rsidRPr="002E4E30">
        <w:t xml:space="preserve">Consequences of Not Conducting Collection </w:t>
      </w:r>
    </w:p>
    <w:p w:rsidR="00982095" w:rsidRPr="002E4E30" w14:paraId="552C01BF" w14:textId="77777777">
      <w:pPr>
        <w:pStyle w:val="ListParagraph"/>
        <w:spacing w:after="0" w:line="240" w:lineRule="auto"/>
        <w:ind w:left="0"/>
        <w:rPr>
          <w:rFonts w:ascii="Times New Roman" w:hAnsi="Times New Roman"/>
          <w:b/>
          <w:sz w:val="24"/>
          <w:szCs w:val="24"/>
        </w:rPr>
      </w:pPr>
    </w:p>
    <w:p w:rsidR="00982095" w:rsidRPr="002E4E30" w:rsidP="00643E2A" w14:paraId="3D32578F" w14:textId="6234306C">
      <w:pPr>
        <w:autoSpaceDE w:val="0"/>
        <w:autoSpaceDN w:val="0"/>
        <w:adjustRightInd w:val="0"/>
        <w:spacing w:after="0" w:line="240" w:lineRule="auto"/>
        <w:rPr>
          <w:rFonts w:ascii="Times New Roman" w:hAnsi="Times New Roman"/>
          <w:sz w:val="24"/>
          <w:szCs w:val="24"/>
        </w:rPr>
      </w:pPr>
      <w:r w:rsidRPr="002E4E30">
        <w:rPr>
          <w:rFonts w:ascii="Times New Roman" w:hAnsi="Times New Roman"/>
          <w:sz w:val="24"/>
          <w:szCs w:val="24"/>
        </w:rPr>
        <w:t xml:space="preserve">If ASPE </w:t>
      </w:r>
      <w:r w:rsidRPr="002E4E30" w:rsidR="00614F78">
        <w:rPr>
          <w:rFonts w:ascii="Times New Roman" w:hAnsi="Times New Roman"/>
          <w:sz w:val="24"/>
          <w:szCs w:val="24"/>
        </w:rPr>
        <w:t>does</w:t>
      </w:r>
      <w:r w:rsidRPr="002E4E30">
        <w:rPr>
          <w:rFonts w:ascii="Times New Roman" w:hAnsi="Times New Roman"/>
          <w:sz w:val="24"/>
          <w:szCs w:val="24"/>
        </w:rPr>
        <w:t xml:space="preserve"> not conduct this data collection effort, we would be unable to</w:t>
      </w:r>
      <w:r w:rsidRPr="002E4E30" w:rsidR="0067106C">
        <w:rPr>
          <w:rFonts w:ascii="Times New Roman" w:hAnsi="Times New Roman"/>
          <w:sz w:val="24"/>
          <w:szCs w:val="24"/>
        </w:rPr>
        <w:t xml:space="preserve"> identify</w:t>
      </w:r>
      <w:r w:rsidR="001B3782">
        <w:rPr>
          <w:rFonts w:ascii="Times New Roman" w:hAnsi="Times New Roman"/>
          <w:sz w:val="24"/>
          <w:szCs w:val="24"/>
        </w:rPr>
        <w:t xml:space="preserve"> promising</w:t>
      </w:r>
      <w:r w:rsidRPr="002E4E30" w:rsidR="0067106C">
        <w:rPr>
          <w:rFonts w:ascii="Times New Roman" w:hAnsi="Times New Roman"/>
          <w:sz w:val="24"/>
          <w:szCs w:val="24"/>
        </w:rPr>
        <w:t xml:space="preserve"> </w:t>
      </w:r>
      <w:r w:rsidRPr="002E4E30" w:rsidR="0067106C">
        <w:rPr>
          <w:rFonts w:ascii="Times New Roman" w:hAnsi="Times New Roman"/>
          <w:sz w:val="24"/>
          <w:szCs w:val="24"/>
        </w:rPr>
        <w:t xml:space="preserve">practices for </w:t>
      </w:r>
      <w:r w:rsidR="00CE20D6">
        <w:rPr>
          <w:rFonts w:ascii="Times New Roman" w:hAnsi="Times New Roman"/>
          <w:sz w:val="24"/>
          <w:szCs w:val="24"/>
        </w:rPr>
        <w:t>improving COVID-19 testing among people with disproportionate medical or social risks</w:t>
      </w:r>
      <w:r w:rsidR="00EC0509">
        <w:rPr>
          <w:rFonts w:ascii="Times New Roman" w:hAnsi="Times New Roman"/>
          <w:sz w:val="24"/>
          <w:szCs w:val="24"/>
        </w:rPr>
        <w:t xml:space="preserve"> across a broad range of provider types</w:t>
      </w:r>
      <w:r w:rsidR="00CE20D6">
        <w:rPr>
          <w:rFonts w:ascii="Times New Roman" w:hAnsi="Times New Roman"/>
          <w:sz w:val="24"/>
          <w:szCs w:val="24"/>
        </w:rPr>
        <w:t xml:space="preserve">, </w:t>
      </w:r>
      <w:r w:rsidR="008F67FC">
        <w:rPr>
          <w:rFonts w:ascii="Times New Roman" w:hAnsi="Times New Roman"/>
          <w:sz w:val="24"/>
          <w:szCs w:val="24"/>
        </w:rPr>
        <w:t xml:space="preserve">hindering </w:t>
      </w:r>
      <w:r w:rsidR="001D73FE">
        <w:rPr>
          <w:rFonts w:ascii="Times New Roman" w:hAnsi="Times New Roman"/>
          <w:sz w:val="24"/>
          <w:szCs w:val="24"/>
        </w:rPr>
        <w:t xml:space="preserve">ongoing efforts as well as our </w:t>
      </w:r>
      <w:r w:rsidR="008F67FC">
        <w:rPr>
          <w:rFonts w:ascii="Times New Roman" w:hAnsi="Times New Roman"/>
          <w:sz w:val="24"/>
          <w:szCs w:val="24"/>
        </w:rPr>
        <w:t xml:space="preserve">response to </w:t>
      </w:r>
      <w:r w:rsidRPr="002E4E30" w:rsidR="0067106C">
        <w:rPr>
          <w:rFonts w:ascii="Times New Roman" w:hAnsi="Times New Roman"/>
          <w:sz w:val="24"/>
          <w:szCs w:val="24"/>
        </w:rPr>
        <w:t>future public health emergenc</w:t>
      </w:r>
      <w:r w:rsidR="001D73FE">
        <w:rPr>
          <w:rFonts w:ascii="Times New Roman" w:hAnsi="Times New Roman"/>
          <w:sz w:val="24"/>
          <w:szCs w:val="24"/>
        </w:rPr>
        <w:t>ies</w:t>
      </w:r>
      <w:r w:rsidRPr="002E4E30" w:rsidR="0067106C">
        <w:rPr>
          <w:rFonts w:ascii="Times New Roman" w:hAnsi="Times New Roman"/>
          <w:sz w:val="24"/>
          <w:szCs w:val="24"/>
        </w:rPr>
        <w:t>.</w:t>
      </w:r>
      <w:r w:rsidRPr="002E4E30" w:rsidR="0035694C">
        <w:rPr>
          <w:rFonts w:ascii="Times New Roman" w:hAnsi="Times New Roman"/>
          <w:sz w:val="24"/>
          <w:szCs w:val="24"/>
        </w:rPr>
        <w:t xml:space="preserve"> </w:t>
      </w:r>
      <w:r w:rsidRPr="002E4E30" w:rsidR="00614F78">
        <w:rPr>
          <w:rFonts w:ascii="Times New Roman" w:hAnsi="Times New Roman"/>
          <w:sz w:val="24"/>
          <w:szCs w:val="24"/>
        </w:rPr>
        <w:t>The</w:t>
      </w:r>
      <w:r w:rsidRPr="002E4E30" w:rsidR="00664651">
        <w:rPr>
          <w:rFonts w:ascii="Times New Roman" w:hAnsi="Times New Roman"/>
          <w:sz w:val="24"/>
          <w:szCs w:val="24"/>
        </w:rPr>
        <w:t xml:space="preserve"> </w:t>
      </w:r>
      <w:r w:rsidR="00F75FA3">
        <w:rPr>
          <w:rFonts w:ascii="Times New Roman" w:hAnsi="Times New Roman"/>
          <w:sz w:val="24"/>
          <w:szCs w:val="24"/>
        </w:rPr>
        <w:t xml:space="preserve">interviews are </w:t>
      </w:r>
      <w:r w:rsidRPr="002E4E30" w:rsidR="00614F78">
        <w:rPr>
          <w:rFonts w:ascii="Times New Roman" w:hAnsi="Times New Roman"/>
          <w:sz w:val="24"/>
          <w:szCs w:val="24"/>
        </w:rPr>
        <w:t>a one-time</w:t>
      </w:r>
      <w:r w:rsidRPr="002E4E30" w:rsidR="00CB77D9">
        <w:rPr>
          <w:rFonts w:ascii="Times New Roman" w:hAnsi="Times New Roman"/>
          <w:sz w:val="24"/>
          <w:szCs w:val="24"/>
        </w:rPr>
        <w:t xml:space="preserve"> data collection effort necessary to collect </w:t>
      </w:r>
      <w:r w:rsidR="00CD4D8F">
        <w:rPr>
          <w:rFonts w:ascii="Times New Roman" w:hAnsi="Times New Roman"/>
          <w:sz w:val="24"/>
          <w:szCs w:val="24"/>
        </w:rPr>
        <w:t>diverse</w:t>
      </w:r>
      <w:r w:rsidR="00F75FA3">
        <w:rPr>
          <w:rFonts w:ascii="Times New Roman" w:hAnsi="Times New Roman"/>
          <w:sz w:val="24"/>
          <w:szCs w:val="24"/>
        </w:rPr>
        <w:t>, contextualized</w:t>
      </w:r>
      <w:r w:rsidR="00CD4D8F">
        <w:rPr>
          <w:rFonts w:ascii="Times New Roman" w:hAnsi="Times New Roman"/>
          <w:sz w:val="24"/>
          <w:szCs w:val="24"/>
        </w:rPr>
        <w:t xml:space="preserve"> perspectives on this critical </w:t>
      </w:r>
      <w:r w:rsidR="00D077D0">
        <w:rPr>
          <w:rFonts w:ascii="Times New Roman" w:hAnsi="Times New Roman"/>
          <w:sz w:val="24"/>
          <w:szCs w:val="24"/>
        </w:rPr>
        <w:t>area</w:t>
      </w:r>
      <w:r w:rsidRPr="002E4E30" w:rsidR="00CB77D9">
        <w:rPr>
          <w:rFonts w:ascii="Times New Roman" w:hAnsi="Times New Roman"/>
          <w:sz w:val="24"/>
          <w:szCs w:val="24"/>
        </w:rPr>
        <w:t>. These data are not available from other sources</w:t>
      </w:r>
      <w:r w:rsidRPr="002E4E30" w:rsidR="006017D2">
        <w:rPr>
          <w:rFonts w:ascii="Times New Roman" w:hAnsi="Times New Roman"/>
          <w:sz w:val="24"/>
          <w:szCs w:val="24"/>
        </w:rPr>
        <w:t>, so they will contribute to an important field of knowledge.</w:t>
      </w:r>
    </w:p>
    <w:p w:rsidR="00643E2A" w:rsidRPr="002E4E30" w:rsidP="00643E2A" w14:paraId="1C5D4A6E" w14:textId="77777777">
      <w:pPr>
        <w:autoSpaceDE w:val="0"/>
        <w:autoSpaceDN w:val="0"/>
        <w:adjustRightInd w:val="0"/>
        <w:spacing w:after="0" w:line="240" w:lineRule="auto"/>
        <w:rPr>
          <w:rFonts w:ascii="Times New Roman" w:hAnsi="Times New Roman"/>
          <w:sz w:val="24"/>
          <w:szCs w:val="24"/>
        </w:rPr>
      </w:pPr>
    </w:p>
    <w:p w:rsidR="00982095" w:rsidRPr="002E4E30" w:rsidP="003643F8" w14:paraId="4F55F0A6" w14:textId="77777777">
      <w:pPr>
        <w:pStyle w:val="Heading2"/>
      </w:pPr>
      <w:r w:rsidRPr="002E4E30">
        <w:t>Special Circumstances</w:t>
      </w:r>
    </w:p>
    <w:p w:rsidR="00982095" w:rsidRPr="002E4E30" w14:paraId="2EFDF921" w14:textId="77777777">
      <w:pPr>
        <w:pStyle w:val="ListParagraph"/>
        <w:spacing w:after="0" w:line="240" w:lineRule="auto"/>
        <w:ind w:left="0"/>
        <w:rPr>
          <w:rFonts w:ascii="Times New Roman" w:hAnsi="Times New Roman"/>
          <w:b/>
          <w:sz w:val="24"/>
          <w:szCs w:val="24"/>
        </w:rPr>
      </w:pPr>
    </w:p>
    <w:p w:rsidR="00982095" w:rsidRPr="002E4E30" w14:paraId="42AC6F0F" w14:textId="49539605">
      <w:pPr>
        <w:spacing w:after="0" w:line="240" w:lineRule="auto"/>
        <w:rPr>
          <w:rFonts w:ascii="Times New Roman" w:hAnsi="Times New Roman"/>
          <w:sz w:val="24"/>
          <w:szCs w:val="24"/>
        </w:rPr>
      </w:pPr>
      <w:r w:rsidRPr="002E4E30">
        <w:rPr>
          <w:rFonts w:ascii="Times New Roman" w:hAnsi="Times New Roman"/>
          <w:sz w:val="24"/>
          <w:szCs w:val="24"/>
        </w:rPr>
        <w:t xml:space="preserve">There are no special circumstances with this information collection package. This request fully complies with regulation 5 CFR 1320.5 and will be </w:t>
      </w:r>
      <w:r w:rsidR="00517FF6">
        <w:rPr>
          <w:rFonts w:ascii="Times New Roman" w:hAnsi="Times New Roman"/>
          <w:sz w:val="24"/>
          <w:szCs w:val="24"/>
        </w:rPr>
        <w:t xml:space="preserve">strictly </w:t>
      </w:r>
      <w:r w:rsidRPr="002E4E30">
        <w:rPr>
          <w:rFonts w:ascii="Times New Roman" w:hAnsi="Times New Roman"/>
          <w:sz w:val="24"/>
          <w:szCs w:val="24"/>
        </w:rPr>
        <w:t>voluntary.</w:t>
      </w:r>
    </w:p>
    <w:p w:rsidR="00982095" w:rsidRPr="002E4E30" w14:paraId="6C2D5EE0" w14:textId="77777777">
      <w:pPr>
        <w:spacing w:after="0" w:line="240" w:lineRule="auto"/>
        <w:rPr>
          <w:rFonts w:ascii="Times New Roman" w:hAnsi="Times New Roman"/>
          <w:sz w:val="24"/>
          <w:szCs w:val="24"/>
        </w:rPr>
      </w:pPr>
    </w:p>
    <w:p w:rsidR="00982095" w:rsidRPr="002E4E30" w:rsidP="003643F8" w14:paraId="239D9BB5" w14:textId="77777777">
      <w:pPr>
        <w:pStyle w:val="Heading2"/>
      </w:pPr>
      <w:r w:rsidRPr="002E4E30">
        <w:t>Consultations with Persons Outside</w:t>
      </w:r>
      <w:r w:rsidRPr="002E4E30" w:rsidR="00701CF7">
        <w:t xml:space="preserve"> the Agency</w:t>
      </w:r>
    </w:p>
    <w:p w:rsidR="00982095" w:rsidRPr="002E4E30" w14:paraId="706B2A9E" w14:textId="77777777">
      <w:pPr>
        <w:pStyle w:val="ListParagraph"/>
        <w:spacing w:after="0" w:line="240" w:lineRule="auto"/>
        <w:ind w:left="0"/>
        <w:rPr>
          <w:rFonts w:ascii="Times New Roman" w:hAnsi="Times New Roman"/>
          <w:b/>
          <w:sz w:val="24"/>
          <w:szCs w:val="24"/>
        </w:rPr>
      </w:pPr>
    </w:p>
    <w:p w:rsidR="00643E2A" w:rsidP="00643E2A" w14:paraId="527902FA" w14:textId="3D578E9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Our contractor developed the interview guides for the study and </w:t>
      </w:r>
      <w:r w:rsidR="007565C5">
        <w:rPr>
          <w:rFonts w:ascii="Times New Roman" w:hAnsi="Times New Roman"/>
          <w:color w:val="000000" w:themeColor="text1"/>
          <w:sz w:val="24"/>
          <w:szCs w:val="24"/>
        </w:rPr>
        <w:t xml:space="preserve">selected sites </w:t>
      </w:r>
      <w:r>
        <w:rPr>
          <w:rFonts w:ascii="Times New Roman" w:hAnsi="Times New Roman"/>
          <w:color w:val="000000" w:themeColor="text1"/>
          <w:sz w:val="24"/>
          <w:szCs w:val="24"/>
        </w:rPr>
        <w:t xml:space="preserve">in collaboration with a panel </w:t>
      </w:r>
      <w:r w:rsidR="007565C5">
        <w:rPr>
          <w:rFonts w:ascii="Times New Roman" w:hAnsi="Times New Roman"/>
          <w:color w:val="000000" w:themeColor="text1"/>
          <w:sz w:val="24"/>
          <w:szCs w:val="24"/>
        </w:rPr>
        <w:t xml:space="preserve">of experts. Federal experts on this panel include Theresa Armstead, Samra Ashenafi, Desmond Banks, and Nancy </w:t>
      </w:r>
      <w:r w:rsidR="007565C5">
        <w:rPr>
          <w:rFonts w:ascii="Times New Roman" w:hAnsi="Times New Roman"/>
          <w:color w:val="000000" w:themeColor="text1"/>
          <w:sz w:val="24"/>
          <w:szCs w:val="24"/>
        </w:rPr>
        <w:t>Habarta</w:t>
      </w:r>
      <w:r w:rsidR="007565C5">
        <w:rPr>
          <w:rFonts w:ascii="Times New Roman" w:hAnsi="Times New Roman"/>
          <w:color w:val="000000" w:themeColor="text1"/>
          <w:sz w:val="24"/>
          <w:szCs w:val="24"/>
        </w:rPr>
        <w:t xml:space="preserve"> of the Centers for Disease Control and Prevention; Vanessa Marshall of the </w:t>
      </w:r>
      <w:r w:rsidR="00074D2D">
        <w:rPr>
          <w:rFonts w:ascii="Times New Roman" w:hAnsi="Times New Roman"/>
          <w:color w:val="000000" w:themeColor="text1"/>
          <w:sz w:val="24"/>
          <w:szCs w:val="24"/>
        </w:rPr>
        <w:t>National Institut</w:t>
      </w:r>
      <w:r w:rsidR="0056517D">
        <w:rPr>
          <w:rFonts w:ascii="Times New Roman" w:hAnsi="Times New Roman"/>
          <w:color w:val="000000" w:themeColor="text1"/>
          <w:sz w:val="24"/>
          <w:szCs w:val="24"/>
        </w:rPr>
        <w:t xml:space="preserve">es for Health; Susy Postal of the Indian Health Service; </w:t>
      </w:r>
      <w:r w:rsidR="00267113">
        <w:rPr>
          <w:rFonts w:ascii="Times New Roman" w:hAnsi="Times New Roman"/>
          <w:color w:val="000000" w:themeColor="text1"/>
          <w:sz w:val="24"/>
          <w:szCs w:val="24"/>
        </w:rPr>
        <w:t xml:space="preserve">and John Snyder and Shafali Srivastava of the Health Resources and Services Administration. Non-federal experts on the panel include Mara Aspinall of the Health Catalysts Group, The Rockefeller Foundation, and Arizona State University; </w:t>
      </w:r>
      <w:r w:rsidR="00267113">
        <w:rPr>
          <w:rFonts w:ascii="Times New Roman" w:hAnsi="Times New Roman"/>
          <w:color w:val="000000" w:themeColor="text1"/>
          <w:sz w:val="24"/>
          <w:szCs w:val="24"/>
        </w:rPr>
        <w:t>Alsan</w:t>
      </w:r>
      <w:r w:rsidR="00267113">
        <w:rPr>
          <w:rFonts w:ascii="Times New Roman" w:hAnsi="Times New Roman"/>
          <w:color w:val="000000" w:themeColor="text1"/>
          <w:sz w:val="24"/>
          <w:szCs w:val="24"/>
        </w:rPr>
        <w:t xml:space="preserve"> J. </w:t>
      </w:r>
      <w:r w:rsidR="00267113">
        <w:rPr>
          <w:rFonts w:ascii="Times New Roman" w:hAnsi="Times New Roman"/>
          <w:color w:val="000000" w:themeColor="text1"/>
          <w:sz w:val="24"/>
          <w:szCs w:val="24"/>
        </w:rPr>
        <w:t>Bellard</w:t>
      </w:r>
      <w:r w:rsidR="00267113">
        <w:rPr>
          <w:rFonts w:ascii="Times New Roman" w:hAnsi="Times New Roman"/>
          <w:color w:val="000000" w:themeColor="text1"/>
          <w:sz w:val="24"/>
          <w:szCs w:val="24"/>
        </w:rPr>
        <w:t xml:space="preserve">, Jr. of Community of Hope; Matthew Bobo of the National Association of County and City Health Officials; Rita </w:t>
      </w:r>
      <w:r w:rsidR="00267113">
        <w:rPr>
          <w:rFonts w:ascii="Times New Roman" w:hAnsi="Times New Roman"/>
          <w:color w:val="000000" w:themeColor="text1"/>
          <w:sz w:val="24"/>
          <w:szCs w:val="24"/>
        </w:rPr>
        <w:t>Carre</w:t>
      </w:r>
      <w:r w:rsidR="0065147B">
        <w:rPr>
          <w:rFonts w:ascii="Times New Roman" w:hAnsi="Times New Roman"/>
          <w:color w:val="000000" w:themeColor="text1"/>
          <w:sz w:val="24"/>
          <w:szCs w:val="24"/>
        </w:rPr>
        <w:t>ό</w:t>
      </w:r>
      <w:r w:rsidR="00267113">
        <w:rPr>
          <w:rFonts w:ascii="Times New Roman" w:hAnsi="Times New Roman"/>
          <w:color w:val="000000" w:themeColor="text1"/>
          <w:sz w:val="24"/>
          <w:szCs w:val="24"/>
        </w:rPr>
        <w:t>n</w:t>
      </w:r>
      <w:r w:rsidR="00267113">
        <w:rPr>
          <w:rFonts w:ascii="Times New Roman" w:hAnsi="Times New Roman"/>
          <w:color w:val="000000" w:themeColor="text1"/>
          <w:sz w:val="24"/>
          <w:szCs w:val="24"/>
        </w:rPr>
        <w:t xml:space="preserve"> of </w:t>
      </w:r>
      <w:r w:rsidR="00267113">
        <w:rPr>
          <w:rFonts w:ascii="Times New Roman" w:hAnsi="Times New Roman"/>
          <w:color w:val="000000" w:themeColor="text1"/>
          <w:sz w:val="24"/>
          <w:szCs w:val="24"/>
        </w:rPr>
        <w:t>UnidosUS</w:t>
      </w:r>
      <w:r w:rsidR="00267113">
        <w:rPr>
          <w:rFonts w:ascii="Times New Roman" w:hAnsi="Times New Roman"/>
          <w:color w:val="000000" w:themeColor="text1"/>
          <w:sz w:val="24"/>
          <w:szCs w:val="24"/>
        </w:rPr>
        <w:t xml:space="preserve">; Hannah Fish of the National Community Pharmacists Association; </w:t>
      </w:r>
      <w:r w:rsidR="0065147B">
        <w:rPr>
          <w:rFonts w:ascii="Times New Roman" w:hAnsi="Times New Roman"/>
          <w:color w:val="000000" w:themeColor="text1"/>
          <w:sz w:val="24"/>
          <w:szCs w:val="24"/>
        </w:rPr>
        <w:t>Spero M. Manson of the Centers for American Indian &amp; Alaska Native Health at the Colorado School of Public Health, University of Colorado Anschutz Medical Campus; Emily Messerli of the Association of Immunization Managers; Lily Shen of the Asian &amp; Pacific Islander American Health Forum; and Kamau Stanford of the Black Doctors COVID-19 Consortium at the Dr. Ala Stanford Center for Health Equity.</w:t>
      </w:r>
    </w:p>
    <w:p w:rsidR="00570F44" w:rsidRPr="002E4E30" w:rsidP="00643E2A" w14:paraId="225662FB" w14:textId="77777777">
      <w:pPr>
        <w:spacing w:after="0" w:line="240" w:lineRule="auto"/>
        <w:rPr>
          <w:rFonts w:ascii="Times New Roman" w:hAnsi="Times New Roman"/>
          <w:color w:val="000000" w:themeColor="text1"/>
          <w:sz w:val="24"/>
          <w:szCs w:val="24"/>
        </w:rPr>
      </w:pPr>
    </w:p>
    <w:p w:rsidR="00982095" w:rsidRPr="002E4E30" w:rsidP="003643F8" w14:paraId="270CD535" w14:textId="6F494F02">
      <w:pPr>
        <w:pStyle w:val="Heading2"/>
      </w:pPr>
      <w:r w:rsidRPr="002E4E30">
        <w:t xml:space="preserve">Explanation of Any </w:t>
      </w:r>
      <w:r w:rsidRPr="002E4E30" w:rsidR="000C0A7E">
        <w:t>Payment or Gift</w:t>
      </w:r>
      <w:r w:rsidRPr="002E4E30">
        <w:t xml:space="preserve"> to Respondents</w:t>
      </w:r>
    </w:p>
    <w:p w:rsidR="001E7A97" w:rsidRPr="002E4E30" w14:paraId="325C0AFA" w14:textId="77777777">
      <w:pPr>
        <w:spacing w:after="0" w:line="240" w:lineRule="auto"/>
        <w:rPr>
          <w:rFonts w:ascii="Times New Roman" w:hAnsi="Times New Roman"/>
          <w:sz w:val="24"/>
          <w:szCs w:val="24"/>
        </w:rPr>
      </w:pPr>
    </w:p>
    <w:p w:rsidR="00C26D46" w14:paraId="2545E38F" w14:textId="069AB6E5">
      <w:pPr>
        <w:spacing w:after="0" w:line="240" w:lineRule="auto"/>
        <w:rPr>
          <w:rFonts w:ascii="Times New Roman" w:hAnsi="Times New Roman"/>
          <w:sz w:val="24"/>
          <w:szCs w:val="24"/>
        </w:rPr>
      </w:pPr>
      <w:r w:rsidRPr="00B22B7E">
        <w:rPr>
          <w:rFonts w:ascii="Times New Roman" w:hAnsi="Times New Roman"/>
          <w:sz w:val="24"/>
          <w:szCs w:val="24"/>
        </w:rPr>
        <w:t>We will provide a $</w:t>
      </w:r>
      <w:r w:rsidR="0078595D">
        <w:rPr>
          <w:rFonts w:ascii="Times New Roman" w:hAnsi="Times New Roman"/>
          <w:sz w:val="24"/>
          <w:szCs w:val="24"/>
        </w:rPr>
        <w:t>50</w:t>
      </w:r>
      <w:r w:rsidRPr="00B22B7E" w:rsidR="0078595D">
        <w:rPr>
          <w:rFonts w:ascii="Times New Roman" w:hAnsi="Times New Roman"/>
          <w:sz w:val="24"/>
          <w:szCs w:val="24"/>
        </w:rPr>
        <w:t xml:space="preserve"> </w:t>
      </w:r>
      <w:r w:rsidR="00AB72AC">
        <w:rPr>
          <w:rFonts w:ascii="Times New Roman" w:hAnsi="Times New Roman"/>
          <w:sz w:val="24"/>
          <w:szCs w:val="24"/>
        </w:rPr>
        <w:t>Visa gift card</w:t>
      </w:r>
      <w:r w:rsidRPr="00B22B7E">
        <w:rPr>
          <w:rFonts w:ascii="Times New Roman" w:hAnsi="Times New Roman"/>
          <w:sz w:val="24"/>
          <w:szCs w:val="24"/>
        </w:rPr>
        <w:t xml:space="preserve"> to community representative</w:t>
      </w:r>
      <w:r w:rsidR="006757D5">
        <w:rPr>
          <w:rFonts w:ascii="Times New Roman" w:hAnsi="Times New Roman"/>
          <w:sz w:val="24"/>
          <w:szCs w:val="24"/>
        </w:rPr>
        <w:t>s</w:t>
      </w:r>
      <w:r w:rsidRPr="00B22B7E">
        <w:rPr>
          <w:rFonts w:ascii="Times New Roman" w:hAnsi="Times New Roman"/>
          <w:sz w:val="24"/>
          <w:szCs w:val="24"/>
        </w:rPr>
        <w:t xml:space="preserve"> </w:t>
      </w:r>
      <w:r w:rsidRPr="00B22B7E">
        <w:rPr>
          <w:rFonts w:ascii="Times New Roman" w:hAnsi="Times New Roman"/>
          <w:sz w:val="24"/>
          <w:szCs w:val="24"/>
        </w:rPr>
        <w:t xml:space="preserve">who </w:t>
      </w:r>
      <w:r w:rsidR="003B1E07">
        <w:rPr>
          <w:rFonts w:ascii="Times New Roman" w:hAnsi="Times New Roman"/>
          <w:sz w:val="24"/>
          <w:szCs w:val="24"/>
        </w:rPr>
        <w:t>complete</w:t>
      </w:r>
      <w:r w:rsidR="006757D5">
        <w:rPr>
          <w:rFonts w:ascii="Times New Roman" w:hAnsi="Times New Roman"/>
          <w:sz w:val="24"/>
          <w:szCs w:val="24"/>
        </w:rPr>
        <w:t xml:space="preserve"> </w:t>
      </w:r>
      <w:r w:rsidR="006757D5">
        <w:rPr>
          <w:rFonts w:ascii="Times New Roman" w:hAnsi="Times New Roman"/>
          <w:sz w:val="24"/>
          <w:szCs w:val="24"/>
        </w:rPr>
        <w:t>an interview</w:t>
      </w:r>
      <w:r w:rsidR="00F649EA">
        <w:rPr>
          <w:rFonts w:ascii="Times New Roman" w:hAnsi="Times New Roman"/>
          <w:sz w:val="24"/>
          <w:szCs w:val="24"/>
        </w:rPr>
        <w:t xml:space="preserve"> (30 minutes)</w:t>
      </w:r>
      <w:r w:rsidRPr="00B22B7E">
        <w:rPr>
          <w:rFonts w:ascii="Times New Roman" w:hAnsi="Times New Roman"/>
          <w:sz w:val="24"/>
          <w:szCs w:val="24"/>
        </w:rPr>
        <w:t>.</w:t>
      </w:r>
      <w:r w:rsidR="00B86536">
        <w:rPr>
          <w:rFonts w:ascii="Times New Roman" w:hAnsi="Times New Roman"/>
          <w:sz w:val="24"/>
          <w:szCs w:val="24"/>
        </w:rPr>
        <w:t xml:space="preserve"> We will provide a $100 Visa gift card to </w:t>
      </w:r>
      <w:r w:rsidR="00F649EA">
        <w:rPr>
          <w:rFonts w:ascii="Times New Roman" w:hAnsi="Times New Roman"/>
          <w:sz w:val="24"/>
          <w:szCs w:val="24"/>
        </w:rPr>
        <w:t>program and partner staff who complete an interview (60 minutes)</w:t>
      </w:r>
      <w:r w:rsidR="00F649EA">
        <w:rPr>
          <w:rFonts w:ascii="Times New Roman" w:hAnsi="Times New Roman"/>
          <w:sz w:val="24"/>
          <w:szCs w:val="24"/>
        </w:rPr>
        <w:t>.</w:t>
      </w:r>
    </w:p>
    <w:p w:rsidR="00C26D46" w:rsidRPr="002E4E30" w14:paraId="01A7FD64" w14:textId="77777777">
      <w:pPr>
        <w:spacing w:after="0" w:line="240" w:lineRule="auto"/>
        <w:rPr>
          <w:rFonts w:ascii="Times New Roman" w:hAnsi="Times New Roman"/>
          <w:sz w:val="24"/>
          <w:szCs w:val="24"/>
        </w:rPr>
      </w:pPr>
    </w:p>
    <w:p w:rsidR="00982095" w:rsidRPr="00686605" w:rsidP="003643F8" w14:paraId="1A725E73" w14:textId="77777777">
      <w:pPr>
        <w:pStyle w:val="Heading2"/>
      </w:pPr>
      <w:r w:rsidRPr="002E4E30">
        <w:t xml:space="preserve"> </w:t>
      </w:r>
      <w:r w:rsidRPr="00686605">
        <w:t xml:space="preserve">Confidentiality </w:t>
      </w:r>
    </w:p>
    <w:p w:rsidR="00DE1905" w:rsidRPr="00686605" w14:paraId="309E1D32" w14:textId="77777777">
      <w:pPr>
        <w:spacing w:after="0" w:line="240" w:lineRule="auto"/>
        <w:rPr>
          <w:rFonts w:ascii="Times New Roman" w:hAnsi="Times New Roman"/>
          <w:sz w:val="24"/>
          <w:szCs w:val="24"/>
        </w:rPr>
      </w:pPr>
    </w:p>
    <w:p w:rsidR="00982095" w:rsidRPr="00686605" w14:paraId="014B1253" w14:textId="773ECE14">
      <w:pPr>
        <w:spacing w:after="0" w:line="240" w:lineRule="auto"/>
        <w:rPr>
          <w:rFonts w:ascii="Times New Roman" w:hAnsi="Times New Roman"/>
          <w:sz w:val="24"/>
          <w:szCs w:val="24"/>
        </w:rPr>
      </w:pPr>
      <w:r w:rsidRPr="00686605">
        <w:rPr>
          <w:rFonts w:ascii="Times New Roman" w:hAnsi="Times New Roman"/>
          <w:sz w:val="24"/>
          <w:szCs w:val="24"/>
        </w:rPr>
        <w:t xml:space="preserve">Data collected in this study will be kept private to the extent allowed by law. Organization </w:t>
      </w:r>
      <w:r w:rsidRPr="00686605" w:rsidR="00BC47BA">
        <w:rPr>
          <w:rFonts w:ascii="Times New Roman" w:hAnsi="Times New Roman"/>
          <w:sz w:val="24"/>
          <w:szCs w:val="24"/>
        </w:rPr>
        <w:t>staff who</w:t>
      </w:r>
      <w:r w:rsidRPr="00686605" w:rsidR="00E959FE">
        <w:rPr>
          <w:rFonts w:ascii="Times New Roman" w:hAnsi="Times New Roman"/>
          <w:sz w:val="24"/>
          <w:szCs w:val="24"/>
        </w:rPr>
        <w:t>m ASPE</w:t>
      </w:r>
      <w:r w:rsidRPr="00686605" w:rsidR="005A4103">
        <w:rPr>
          <w:rFonts w:ascii="Times New Roman" w:hAnsi="Times New Roman"/>
          <w:sz w:val="24"/>
          <w:szCs w:val="24"/>
        </w:rPr>
        <w:t>’s</w:t>
      </w:r>
      <w:r w:rsidRPr="00686605" w:rsidR="00E959FE">
        <w:rPr>
          <w:rFonts w:ascii="Times New Roman" w:hAnsi="Times New Roman"/>
          <w:sz w:val="24"/>
          <w:szCs w:val="24"/>
        </w:rPr>
        <w:t xml:space="preserve"> contractor staff will interview </w:t>
      </w:r>
      <w:r w:rsidRPr="00686605" w:rsidR="00BC47BA">
        <w:rPr>
          <w:rFonts w:ascii="Times New Roman" w:hAnsi="Times New Roman"/>
          <w:sz w:val="24"/>
          <w:szCs w:val="24"/>
        </w:rPr>
        <w:t>will be answering in their official roles</w:t>
      </w:r>
      <w:r w:rsidRPr="00686605" w:rsidR="00376085">
        <w:rPr>
          <w:rFonts w:ascii="Times New Roman" w:hAnsi="Times New Roman"/>
          <w:sz w:val="24"/>
          <w:szCs w:val="24"/>
        </w:rPr>
        <w:t xml:space="preserve"> and</w:t>
      </w:r>
      <w:r w:rsidRPr="00686605" w:rsidR="00D616F3">
        <w:rPr>
          <w:rFonts w:ascii="Times New Roman" w:hAnsi="Times New Roman"/>
          <w:sz w:val="24"/>
          <w:szCs w:val="24"/>
        </w:rPr>
        <w:t xml:space="preserve"> will </w:t>
      </w:r>
      <w:r w:rsidRPr="00686605" w:rsidR="0037298D">
        <w:rPr>
          <w:rFonts w:ascii="Times New Roman" w:hAnsi="Times New Roman"/>
          <w:sz w:val="24"/>
          <w:szCs w:val="24"/>
        </w:rPr>
        <w:t xml:space="preserve"> </w:t>
      </w:r>
      <w:r w:rsidRPr="00686605" w:rsidR="00376085">
        <w:rPr>
          <w:rFonts w:ascii="Times New Roman" w:hAnsi="Times New Roman"/>
          <w:sz w:val="24"/>
          <w:szCs w:val="24"/>
        </w:rPr>
        <w:t>be asked to speak only about their work. C</w:t>
      </w:r>
      <w:r w:rsidRPr="00686605" w:rsidR="004D05C4">
        <w:rPr>
          <w:rFonts w:ascii="Times New Roman" w:hAnsi="Times New Roman"/>
          <w:sz w:val="24"/>
          <w:szCs w:val="24"/>
        </w:rPr>
        <w:t xml:space="preserve">ommunity representatives </w:t>
      </w:r>
      <w:r w:rsidRPr="00686605" w:rsidR="00D616F3">
        <w:rPr>
          <w:rFonts w:ascii="Times New Roman" w:hAnsi="Times New Roman"/>
          <w:sz w:val="24"/>
          <w:szCs w:val="24"/>
        </w:rPr>
        <w:t xml:space="preserve">will be </w:t>
      </w:r>
      <w:r w:rsidRPr="00686605" w:rsidR="004D05C4">
        <w:rPr>
          <w:rFonts w:ascii="Times New Roman" w:hAnsi="Times New Roman"/>
          <w:sz w:val="24"/>
          <w:szCs w:val="24"/>
        </w:rPr>
        <w:t xml:space="preserve">asked only about </w:t>
      </w:r>
      <w:r w:rsidRPr="00686605" w:rsidR="009351A2">
        <w:rPr>
          <w:rFonts w:ascii="Times New Roman" w:hAnsi="Times New Roman"/>
          <w:sz w:val="24"/>
          <w:szCs w:val="24"/>
        </w:rPr>
        <w:t xml:space="preserve">the specific testing or vaccination </w:t>
      </w:r>
      <w:r w:rsidRPr="00686605" w:rsidR="00C27314">
        <w:rPr>
          <w:rFonts w:ascii="Times New Roman" w:hAnsi="Times New Roman"/>
          <w:sz w:val="24"/>
          <w:szCs w:val="24"/>
        </w:rPr>
        <w:t>service</w:t>
      </w:r>
      <w:r w:rsidRPr="00686605" w:rsidR="009351A2">
        <w:rPr>
          <w:rFonts w:ascii="Times New Roman" w:hAnsi="Times New Roman"/>
          <w:sz w:val="24"/>
          <w:szCs w:val="24"/>
        </w:rPr>
        <w:t>s</w:t>
      </w:r>
      <w:r w:rsidRPr="00686605" w:rsidR="00C27314">
        <w:rPr>
          <w:rFonts w:ascii="Times New Roman" w:hAnsi="Times New Roman"/>
          <w:sz w:val="24"/>
          <w:szCs w:val="24"/>
        </w:rPr>
        <w:t xml:space="preserve"> in their communities</w:t>
      </w:r>
      <w:r w:rsidRPr="00686605" w:rsidR="007447AC">
        <w:rPr>
          <w:rFonts w:ascii="Times New Roman" w:hAnsi="Times New Roman"/>
          <w:sz w:val="24"/>
          <w:szCs w:val="24"/>
        </w:rPr>
        <w:t>. We will collect respondents</w:t>
      </w:r>
      <w:r w:rsidRPr="00686605" w:rsidR="00ED379D">
        <w:rPr>
          <w:rFonts w:ascii="Times New Roman" w:hAnsi="Times New Roman"/>
          <w:sz w:val="24"/>
          <w:szCs w:val="24"/>
        </w:rPr>
        <w:t>’</w:t>
      </w:r>
      <w:r w:rsidRPr="00686605" w:rsidR="007447AC">
        <w:rPr>
          <w:rFonts w:ascii="Times New Roman" w:hAnsi="Times New Roman"/>
          <w:sz w:val="24"/>
          <w:szCs w:val="24"/>
        </w:rPr>
        <w:t xml:space="preserve"> name</w:t>
      </w:r>
      <w:r w:rsidRPr="00686605" w:rsidR="00ED379D">
        <w:rPr>
          <w:rFonts w:ascii="Times New Roman" w:hAnsi="Times New Roman"/>
          <w:sz w:val="24"/>
          <w:szCs w:val="24"/>
        </w:rPr>
        <w:t>s</w:t>
      </w:r>
      <w:r w:rsidRPr="00686605" w:rsidR="007447AC">
        <w:rPr>
          <w:rFonts w:ascii="Times New Roman" w:hAnsi="Times New Roman"/>
          <w:sz w:val="24"/>
          <w:szCs w:val="24"/>
        </w:rPr>
        <w:t xml:space="preserve"> and contact information only to facilitate communications related to this research. Individually identifiable information will not be saved with </w:t>
      </w:r>
      <w:r w:rsidRPr="00686605" w:rsidR="002952EE">
        <w:rPr>
          <w:rFonts w:ascii="Times New Roman" w:hAnsi="Times New Roman"/>
          <w:sz w:val="24"/>
          <w:szCs w:val="24"/>
        </w:rPr>
        <w:t xml:space="preserve">interview </w:t>
      </w:r>
      <w:r w:rsidRPr="00686605" w:rsidR="00176A39">
        <w:rPr>
          <w:rFonts w:ascii="Times New Roman" w:hAnsi="Times New Roman"/>
          <w:sz w:val="24"/>
          <w:szCs w:val="24"/>
        </w:rPr>
        <w:t>responses</w:t>
      </w:r>
      <w:r w:rsidRPr="00686605" w:rsidR="00283C5E">
        <w:rPr>
          <w:rFonts w:ascii="Times New Roman" w:hAnsi="Times New Roman"/>
          <w:sz w:val="24"/>
          <w:szCs w:val="24"/>
        </w:rPr>
        <w:t xml:space="preserve">, </w:t>
      </w:r>
      <w:r w:rsidRPr="00686605" w:rsidR="00E06487">
        <w:rPr>
          <w:rFonts w:ascii="Times New Roman" w:hAnsi="Times New Roman"/>
          <w:sz w:val="24"/>
          <w:szCs w:val="24"/>
        </w:rPr>
        <w:t xml:space="preserve">will </w:t>
      </w:r>
      <w:r w:rsidRPr="00686605" w:rsidR="00283C5E">
        <w:rPr>
          <w:rFonts w:ascii="Times New Roman" w:hAnsi="Times New Roman"/>
          <w:sz w:val="24"/>
          <w:szCs w:val="24"/>
        </w:rPr>
        <w:t>not be used in any publicly available reports,</w:t>
      </w:r>
      <w:r w:rsidRPr="00686605" w:rsidR="00176A39">
        <w:rPr>
          <w:rFonts w:ascii="Times New Roman" w:hAnsi="Times New Roman"/>
          <w:sz w:val="24"/>
          <w:szCs w:val="24"/>
        </w:rPr>
        <w:t xml:space="preserve"> </w:t>
      </w:r>
      <w:r w:rsidRPr="00686605" w:rsidR="007447AC">
        <w:rPr>
          <w:rFonts w:ascii="Times New Roman" w:hAnsi="Times New Roman"/>
          <w:sz w:val="24"/>
          <w:szCs w:val="24"/>
        </w:rPr>
        <w:t>and will be destroyed following the conclusion of this study.</w:t>
      </w:r>
      <w:r w:rsidRPr="00686605" w:rsidR="00CF5BF5">
        <w:rPr>
          <w:rFonts w:ascii="Times New Roman" w:hAnsi="Times New Roman"/>
          <w:sz w:val="24"/>
          <w:szCs w:val="24"/>
        </w:rPr>
        <w:t xml:space="preserve"> </w:t>
      </w:r>
      <w:r w:rsidRPr="00686605" w:rsidR="00283C5E">
        <w:rPr>
          <w:rFonts w:ascii="Times New Roman" w:hAnsi="Times New Roman"/>
          <w:sz w:val="24"/>
          <w:szCs w:val="24"/>
        </w:rPr>
        <w:t>The Institutional Review Board, Health Media Labs, has approved the outreach materials, interview guides, and informed consent language. No data collection will begin until OMB approval has been obtained.</w:t>
      </w:r>
    </w:p>
    <w:p w:rsidR="00982095" w:rsidRPr="00686605" w14:paraId="380AA35D" w14:textId="77777777">
      <w:pPr>
        <w:spacing w:after="0" w:line="240" w:lineRule="auto"/>
        <w:rPr>
          <w:rFonts w:ascii="Times New Roman" w:hAnsi="Times New Roman"/>
          <w:sz w:val="24"/>
          <w:szCs w:val="24"/>
        </w:rPr>
      </w:pPr>
    </w:p>
    <w:p w:rsidR="00982095" w:rsidRPr="00686605" w:rsidP="003643F8" w14:paraId="0B29FCE2" w14:textId="77777777">
      <w:pPr>
        <w:pStyle w:val="Heading2"/>
      </w:pPr>
      <w:r w:rsidRPr="00686605">
        <w:t>Sensitive Nature</w:t>
      </w:r>
    </w:p>
    <w:p w:rsidR="00614F78" w:rsidRPr="002E4E30" w14:paraId="64D71DBA" w14:textId="77777777">
      <w:pPr>
        <w:spacing w:after="0" w:line="240" w:lineRule="auto"/>
        <w:rPr>
          <w:rFonts w:ascii="Times New Roman" w:hAnsi="Times New Roman"/>
          <w:sz w:val="24"/>
          <w:szCs w:val="24"/>
        </w:rPr>
      </w:pPr>
    </w:p>
    <w:p w:rsidR="00982095" w:rsidRPr="002E4E30" w14:paraId="2B9C482E" w14:textId="70096C49">
      <w:pPr>
        <w:spacing w:after="0" w:line="240" w:lineRule="auto"/>
        <w:rPr>
          <w:rFonts w:ascii="Times New Roman" w:hAnsi="Times New Roman"/>
          <w:sz w:val="24"/>
          <w:szCs w:val="24"/>
        </w:rPr>
      </w:pPr>
      <w:r w:rsidRPr="002E4E30">
        <w:rPr>
          <w:rFonts w:ascii="Times New Roman" w:hAnsi="Times New Roman"/>
          <w:sz w:val="24"/>
          <w:szCs w:val="24"/>
        </w:rPr>
        <w:t xml:space="preserve">No questions will be asked </w:t>
      </w:r>
      <w:r w:rsidRPr="002E4E30" w:rsidR="00E94346">
        <w:rPr>
          <w:rFonts w:ascii="Times New Roman" w:hAnsi="Times New Roman"/>
          <w:sz w:val="24"/>
          <w:szCs w:val="24"/>
        </w:rPr>
        <w:t xml:space="preserve">in the </w:t>
      </w:r>
      <w:r w:rsidR="008D26FE">
        <w:rPr>
          <w:rFonts w:ascii="Times New Roman" w:hAnsi="Times New Roman"/>
          <w:sz w:val="24"/>
          <w:szCs w:val="24"/>
        </w:rPr>
        <w:t>interview</w:t>
      </w:r>
      <w:r w:rsidRPr="002E4E30" w:rsidR="008D26FE">
        <w:rPr>
          <w:rFonts w:ascii="Times New Roman" w:hAnsi="Times New Roman"/>
          <w:sz w:val="24"/>
          <w:szCs w:val="24"/>
        </w:rPr>
        <w:t xml:space="preserve"> </w:t>
      </w:r>
      <w:r w:rsidRPr="002E4E30">
        <w:rPr>
          <w:rFonts w:ascii="Times New Roman" w:hAnsi="Times New Roman"/>
          <w:sz w:val="24"/>
          <w:szCs w:val="24"/>
        </w:rPr>
        <w:t>that are of a personal or sensitive nature</w:t>
      </w:r>
      <w:r w:rsidR="009C708D">
        <w:rPr>
          <w:rFonts w:ascii="Times New Roman" w:hAnsi="Times New Roman"/>
          <w:sz w:val="24"/>
          <w:szCs w:val="24"/>
        </w:rPr>
        <w:t>.</w:t>
      </w:r>
      <w:r w:rsidRPr="002E4E30" w:rsidR="0083061B">
        <w:rPr>
          <w:rFonts w:ascii="Times New Roman" w:hAnsi="Times New Roman"/>
          <w:sz w:val="24"/>
          <w:szCs w:val="24"/>
        </w:rPr>
        <w:t xml:space="preserve"> </w:t>
      </w:r>
      <w:r w:rsidR="009C708D">
        <w:rPr>
          <w:rFonts w:ascii="Times New Roman" w:hAnsi="Times New Roman"/>
          <w:sz w:val="24"/>
          <w:szCs w:val="24"/>
        </w:rPr>
        <w:t>Q</w:t>
      </w:r>
      <w:r w:rsidRPr="002E4E30" w:rsidR="009C708D">
        <w:rPr>
          <w:rFonts w:ascii="Times New Roman" w:hAnsi="Times New Roman"/>
          <w:sz w:val="24"/>
          <w:szCs w:val="24"/>
        </w:rPr>
        <w:t>uestions</w:t>
      </w:r>
      <w:r w:rsidRPr="002E4E30" w:rsidR="0083061B">
        <w:rPr>
          <w:rFonts w:ascii="Times New Roman" w:hAnsi="Times New Roman"/>
          <w:sz w:val="24"/>
          <w:szCs w:val="24"/>
        </w:rPr>
        <w:t xml:space="preserve"> will focus on operation </w:t>
      </w:r>
      <w:r w:rsidR="000A6044">
        <w:rPr>
          <w:rFonts w:ascii="Times New Roman" w:hAnsi="Times New Roman"/>
          <w:sz w:val="24"/>
          <w:szCs w:val="24"/>
        </w:rPr>
        <w:t xml:space="preserve">of </w:t>
      </w:r>
      <w:r w:rsidRPr="002E4E30" w:rsidR="0083061B">
        <w:rPr>
          <w:rFonts w:ascii="Times New Roman" w:hAnsi="Times New Roman"/>
          <w:sz w:val="24"/>
          <w:szCs w:val="24"/>
        </w:rPr>
        <w:t>and experience</w:t>
      </w:r>
      <w:r w:rsidRPr="002E4E30" w:rsidR="00724E23">
        <w:rPr>
          <w:rFonts w:ascii="Times New Roman" w:hAnsi="Times New Roman"/>
          <w:sz w:val="24"/>
          <w:szCs w:val="24"/>
        </w:rPr>
        <w:t xml:space="preserve"> </w:t>
      </w:r>
      <w:r w:rsidRPr="002E4E30" w:rsidR="00F24E2C">
        <w:rPr>
          <w:rFonts w:ascii="Times New Roman" w:hAnsi="Times New Roman"/>
          <w:sz w:val="24"/>
          <w:szCs w:val="24"/>
        </w:rPr>
        <w:t>with</w:t>
      </w:r>
      <w:r w:rsidRPr="002E4E30" w:rsidR="00724E23">
        <w:rPr>
          <w:rFonts w:ascii="Times New Roman" w:hAnsi="Times New Roman"/>
          <w:sz w:val="24"/>
          <w:szCs w:val="24"/>
        </w:rPr>
        <w:t xml:space="preserve"> </w:t>
      </w:r>
      <w:r w:rsidR="00E06487">
        <w:rPr>
          <w:rFonts w:ascii="Times New Roman" w:hAnsi="Times New Roman"/>
          <w:sz w:val="24"/>
          <w:szCs w:val="24"/>
        </w:rPr>
        <w:t>COVID-1</w:t>
      </w:r>
      <w:r w:rsidR="005A31F3">
        <w:rPr>
          <w:rFonts w:ascii="Times New Roman" w:hAnsi="Times New Roman"/>
          <w:sz w:val="24"/>
          <w:szCs w:val="24"/>
        </w:rPr>
        <w:t>9</w:t>
      </w:r>
      <w:r w:rsidR="00E06487">
        <w:rPr>
          <w:rFonts w:ascii="Times New Roman" w:hAnsi="Times New Roman"/>
          <w:sz w:val="24"/>
          <w:szCs w:val="24"/>
        </w:rPr>
        <w:t xml:space="preserve"> </w:t>
      </w:r>
      <w:r w:rsidR="00094E08">
        <w:rPr>
          <w:rFonts w:ascii="Times New Roman" w:hAnsi="Times New Roman"/>
          <w:sz w:val="24"/>
          <w:szCs w:val="24"/>
        </w:rPr>
        <w:t>vaccination and testing</w:t>
      </w:r>
      <w:r w:rsidR="00E06487">
        <w:rPr>
          <w:rFonts w:ascii="Times New Roman" w:hAnsi="Times New Roman"/>
          <w:sz w:val="24"/>
          <w:szCs w:val="24"/>
        </w:rPr>
        <w:t xml:space="preserve"> and routine vaccination</w:t>
      </w:r>
      <w:r w:rsidRPr="002E4E30" w:rsidR="00724E23">
        <w:rPr>
          <w:rFonts w:ascii="Times New Roman" w:hAnsi="Times New Roman"/>
          <w:sz w:val="24"/>
          <w:szCs w:val="24"/>
        </w:rPr>
        <w:t xml:space="preserve"> programs</w:t>
      </w:r>
      <w:r w:rsidRPr="002E4E30" w:rsidR="0083061B">
        <w:rPr>
          <w:rFonts w:ascii="Times New Roman" w:hAnsi="Times New Roman"/>
          <w:sz w:val="24"/>
          <w:szCs w:val="24"/>
        </w:rPr>
        <w:t>.</w:t>
      </w:r>
    </w:p>
    <w:p w:rsidR="00982095" w:rsidRPr="002E4E30" w14:paraId="35110FE6" w14:textId="77777777">
      <w:pPr>
        <w:spacing w:after="0" w:line="240" w:lineRule="auto"/>
        <w:rPr>
          <w:rFonts w:ascii="Times New Roman" w:hAnsi="Times New Roman"/>
          <w:sz w:val="24"/>
          <w:szCs w:val="24"/>
        </w:rPr>
      </w:pPr>
    </w:p>
    <w:p w:rsidR="00982095" w:rsidRPr="002E4E30" w:rsidP="003643F8" w14:paraId="6A9BAF43" w14:textId="77777777">
      <w:pPr>
        <w:pStyle w:val="Heading2"/>
      </w:pPr>
      <w:r w:rsidRPr="002E4E30">
        <w:t>Burden of Information Collection</w:t>
      </w:r>
    </w:p>
    <w:p w:rsidR="00982095" w:rsidRPr="002E4E30" w14:paraId="719F8CD5" w14:textId="77777777">
      <w:pPr>
        <w:spacing w:after="0" w:line="240" w:lineRule="auto"/>
        <w:rPr>
          <w:rFonts w:ascii="Times New Roman" w:hAnsi="Times New Roman"/>
          <w:sz w:val="24"/>
          <w:szCs w:val="24"/>
        </w:rPr>
      </w:pPr>
    </w:p>
    <w:p w:rsidR="00126A13" w:rsidP="00522657" w14:paraId="2F3BC6AA" w14:textId="52D2A498">
      <w:pPr>
        <w:spacing w:after="0" w:line="240" w:lineRule="auto"/>
        <w:rPr>
          <w:rFonts w:ascii="Times New Roman" w:hAnsi="Times New Roman"/>
          <w:sz w:val="24"/>
          <w:szCs w:val="24"/>
        </w:rPr>
      </w:pPr>
      <w:r>
        <w:rPr>
          <w:rFonts w:ascii="Times New Roman" w:hAnsi="Times New Roman"/>
          <w:sz w:val="24"/>
          <w:szCs w:val="24"/>
        </w:rPr>
        <w:t xml:space="preserve">The estimate </w:t>
      </w:r>
      <w:r w:rsidR="00024246">
        <w:rPr>
          <w:rFonts w:ascii="Times New Roman" w:hAnsi="Times New Roman"/>
          <w:sz w:val="24"/>
          <w:szCs w:val="24"/>
        </w:rPr>
        <w:t xml:space="preserve">for </w:t>
      </w:r>
      <w:r>
        <w:rPr>
          <w:rFonts w:ascii="Times New Roman" w:hAnsi="Times New Roman"/>
          <w:sz w:val="24"/>
          <w:szCs w:val="24"/>
        </w:rPr>
        <w:t xml:space="preserve">burden hours for all respondents </w:t>
      </w:r>
      <w:r w:rsidR="00E567CD">
        <w:rPr>
          <w:rFonts w:ascii="Times New Roman" w:hAnsi="Times New Roman"/>
          <w:sz w:val="24"/>
          <w:szCs w:val="24"/>
        </w:rPr>
        <w:t>includes participating in one interview</w:t>
      </w:r>
      <w:r w:rsidR="007517F1">
        <w:rPr>
          <w:rFonts w:ascii="Times New Roman" w:hAnsi="Times New Roman"/>
          <w:sz w:val="24"/>
          <w:szCs w:val="24"/>
        </w:rPr>
        <w:t>. The length of the interview will</w:t>
      </w:r>
      <w:r w:rsidR="00E567CD">
        <w:rPr>
          <w:rFonts w:ascii="Times New Roman" w:hAnsi="Times New Roman"/>
          <w:sz w:val="24"/>
          <w:szCs w:val="24"/>
        </w:rPr>
        <w:t xml:space="preserve"> vary based on respondent category</w:t>
      </w:r>
      <w:r w:rsidR="003F1A8B">
        <w:rPr>
          <w:rFonts w:ascii="Times New Roman" w:hAnsi="Times New Roman"/>
          <w:sz w:val="24"/>
          <w:szCs w:val="24"/>
        </w:rPr>
        <w:t xml:space="preserve"> (60 or 30 minutes)</w:t>
      </w:r>
      <w:r w:rsidR="00417AFD">
        <w:rPr>
          <w:rFonts w:ascii="Times New Roman" w:hAnsi="Times New Roman"/>
          <w:sz w:val="24"/>
          <w:szCs w:val="24"/>
        </w:rPr>
        <w:t>. Burden estimates contain</w:t>
      </w:r>
      <w:r w:rsidR="00E567CD">
        <w:rPr>
          <w:rFonts w:ascii="Times New Roman" w:hAnsi="Times New Roman"/>
          <w:sz w:val="24"/>
          <w:szCs w:val="24"/>
        </w:rPr>
        <w:t xml:space="preserve"> an additional 15 minutes to account for coordinating with ASPE contractor staff to </w:t>
      </w:r>
      <w:r w:rsidR="007204E0">
        <w:rPr>
          <w:rFonts w:ascii="Times New Roman" w:hAnsi="Times New Roman"/>
          <w:sz w:val="24"/>
          <w:szCs w:val="24"/>
        </w:rPr>
        <w:t xml:space="preserve">schedule the interview. </w:t>
      </w:r>
      <w:r w:rsidR="00935263">
        <w:rPr>
          <w:rFonts w:ascii="Times New Roman" w:hAnsi="Times New Roman"/>
          <w:sz w:val="24"/>
          <w:szCs w:val="24"/>
        </w:rPr>
        <w:t>A subset of</w:t>
      </w:r>
      <w:r w:rsidR="00024246">
        <w:rPr>
          <w:rFonts w:ascii="Times New Roman" w:hAnsi="Times New Roman"/>
          <w:sz w:val="24"/>
          <w:szCs w:val="24"/>
        </w:rPr>
        <w:t xml:space="preserve"> respondents will incur additional burden related to </w:t>
      </w:r>
      <w:r w:rsidR="00EB6504">
        <w:rPr>
          <w:rFonts w:ascii="Times New Roman" w:hAnsi="Times New Roman"/>
          <w:sz w:val="24"/>
          <w:szCs w:val="24"/>
        </w:rPr>
        <w:t>outreach and</w:t>
      </w:r>
      <w:r w:rsidR="00D559A4">
        <w:rPr>
          <w:rFonts w:ascii="Times New Roman" w:hAnsi="Times New Roman"/>
          <w:sz w:val="24"/>
          <w:szCs w:val="24"/>
        </w:rPr>
        <w:t xml:space="preserve"> </w:t>
      </w:r>
      <w:r w:rsidR="000B7AA6">
        <w:rPr>
          <w:rFonts w:ascii="Times New Roman" w:hAnsi="Times New Roman"/>
          <w:sz w:val="24"/>
          <w:szCs w:val="24"/>
        </w:rPr>
        <w:t xml:space="preserve">recruitment. For example, </w:t>
      </w:r>
      <w:r w:rsidR="00A95FC1">
        <w:rPr>
          <w:rFonts w:ascii="Times New Roman" w:hAnsi="Times New Roman"/>
          <w:sz w:val="24"/>
          <w:szCs w:val="24"/>
        </w:rPr>
        <w:t xml:space="preserve">prior to conducting </w:t>
      </w:r>
      <w:r w:rsidR="00BC2B67">
        <w:rPr>
          <w:rFonts w:ascii="Times New Roman" w:hAnsi="Times New Roman"/>
          <w:sz w:val="24"/>
          <w:szCs w:val="24"/>
        </w:rPr>
        <w:t>the site visit</w:t>
      </w:r>
      <w:r w:rsidR="00A95FC1">
        <w:rPr>
          <w:rFonts w:ascii="Times New Roman" w:hAnsi="Times New Roman"/>
          <w:sz w:val="24"/>
          <w:szCs w:val="24"/>
        </w:rPr>
        <w:t xml:space="preserve"> intervie</w:t>
      </w:r>
      <w:r w:rsidR="00BC2B67">
        <w:rPr>
          <w:rFonts w:ascii="Times New Roman" w:hAnsi="Times New Roman"/>
          <w:sz w:val="24"/>
          <w:szCs w:val="24"/>
        </w:rPr>
        <w:t xml:space="preserve">ws, </w:t>
      </w:r>
      <w:r w:rsidR="00D559A4">
        <w:rPr>
          <w:rFonts w:ascii="Times New Roman" w:hAnsi="Times New Roman"/>
          <w:sz w:val="24"/>
          <w:szCs w:val="24"/>
        </w:rPr>
        <w:t xml:space="preserve">we will invite </w:t>
      </w:r>
      <w:r w:rsidR="000B7AA6">
        <w:rPr>
          <w:rFonts w:ascii="Times New Roman" w:hAnsi="Times New Roman"/>
          <w:sz w:val="24"/>
          <w:szCs w:val="24"/>
        </w:rPr>
        <w:t xml:space="preserve">one </w:t>
      </w:r>
      <w:r w:rsidR="00A6778D">
        <w:rPr>
          <w:rFonts w:ascii="Times New Roman" w:hAnsi="Times New Roman"/>
          <w:sz w:val="24"/>
          <w:szCs w:val="24"/>
        </w:rPr>
        <w:t xml:space="preserve">primary </w:t>
      </w:r>
      <w:r w:rsidR="000B7AA6">
        <w:rPr>
          <w:rFonts w:ascii="Times New Roman" w:hAnsi="Times New Roman"/>
          <w:sz w:val="24"/>
          <w:szCs w:val="24"/>
        </w:rPr>
        <w:t>public health leader from each site to participate in a 30</w:t>
      </w:r>
      <w:r w:rsidR="009539F3">
        <w:rPr>
          <w:rFonts w:ascii="Times New Roman" w:hAnsi="Times New Roman"/>
          <w:sz w:val="24"/>
          <w:szCs w:val="24"/>
        </w:rPr>
        <w:t>-</w:t>
      </w:r>
      <w:r w:rsidR="000B7AA6">
        <w:rPr>
          <w:rFonts w:ascii="Times New Roman" w:hAnsi="Times New Roman"/>
          <w:sz w:val="24"/>
          <w:szCs w:val="24"/>
        </w:rPr>
        <w:t xml:space="preserve">minute </w:t>
      </w:r>
      <w:r w:rsidR="00081C6E">
        <w:rPr>
          <w:rFonts w:ascii="Times New Roman" w:hAnsi="Times New Roman"/>
          <w:sz w:val="24"/>
          <w:szCs w:val="24"/>
        </w:rPr>
        <w:t>unstructured</w:t>
      </w:r>
      <w:r w:rsidR="000B7AA6">
        <w:rPr>
          <w:rFonts w:ascii="Times New Roman" w:hAnsi="Times New Roman"/>
          <w:sz w:val="24"/>
          <w:szCs w:val="24"/>
        </w:rPr>
        <w:t xml:space="preserve"> </w:t>
      </w:r>
      <w:r w:rsidR="00081C6E">
        <w:rPr>
          <w:rFonts w:ascii="Times New Roman" w:hAnsi="Times New Roman"/>
          <w:sz w:val="24"/>
          <w:szCs w:val="24"/>
        </w:rPr>
        <w:t>conversation</w:t>
      </w:r>
      <w:r w:rsidR="000B7AA6">
        <w:rPr>
          <w:rFonts w:ascii="Times New Roman" w:hAnsi="Times New Roman"/>
          <w:sz w:val="24"/>
          <w:szCs w:val="24"/>
        </w:rPr>
        <w:t xml:space="preserve"> </w:t>
      </w:r>
      <w:r w:rsidR="00A95FC1">
        <w:rPr>
          <w:rFonts w:ascii="Times New Roman" w:hAnsi="Times New Roman"/>
          <w:sz w:val="24"/>
          <w:szCs w:val="24"/>
        </w:rPr>
        <w:t>during which we will explain the study and request</w:t>
      </w:r>
      <w:r w:rsidR="00081C6E">
        <w:rPr>
          <w:rFonts w:ascii="Times New Roman" w:hAnsi="Times New Roman"/>
          <w:sz w:val="24"/>
          <w:szCs w:val="24"/>
        </w:rPr>
        <w:t xml:space="preserve"> recommendations of programs and people to include </w:t>
      </w:r>
      <w:r w:rsidR="00916667">
        <w:rPr>
          <w:rFonts w:ascii="Times New Roman" w:hAnsi="Times New Roman"/>
          <w:sz w:val="24"/>
          <w:szCs w:val="24"/>
        </w:rPr>
        <w:t>in data collection</w:t>
      </w:r>
      <w:r w:rsidR="00D559A4">
        <w:rPr>
          <w:rFonts w:ascii="Times New Roman" w:hAnsi="Times New Roman"/>
          <w:sz w:val="24"/>
          <w:szCs w:val="24"/>
        </w:rPr>
        <w:t xml:space="preserve"> for that site</w:t>
      </w:r>
      <w:r w:rsidR="00916667">
        <w:rPr>
          <w:rFonts w:ascii="Times New Roman" w:hAnsi="Times New Roman"/>
          <w:sz w:val="24"/>
          <w:szCs w:val="24"/>
        </w:rPr>
        <w:t xml:space="preserve">. </w:t>
      </w:r>
    </w:p>
    <w:p w:rsidR="00522657" w:rsidP="00522657" w14:paraId="0AEEEF29" w14:textId="77777777">
      <w:pPr>
        <w:spacing w:after="0" w:line="240" w:lineRule="auto"/>
        <w:rPr>
          <w:rFonts w:ascii="Times New Roman" w:hAnsi="Times New Roman"/>
          <w:sz w:val="24"/>
          <w:szCs w:val="24"/>
        </w:rPr>
      </w:pPr>
    </w:p>
    <w:p w:rsidR="00A077FF" w:rsidRPr="002E4E30" w:rsidP="00522657" w14:paraId="6ABB8EC3" w14:textId="66D3622E">
      <w:pPr>
        <w:spacing w:after="0" w:line="240" w:lineRule="auto"/>
        <w:rPr>
          <w:rFonts w:ascii="Times New Roman" w:hAnsi="Times New Roman"/>
          <w:sz w:val="24"/>
          <w:szCs w:val="24"/>
        </w:rPr>
      </w:pPr>
      <w:r w:rsidRPr="002E4E30">
        <w:rPr>
          <w:rFonts w:ascii="Times New Roman" w:hAnsi="Times New Roman"/>
          <w:sz w:val="24"/>
          <w:szCs w:val="24"/>
        </w:rPr>
        <w:t>See</w:t>
      </w:r>
      <w:r w:rsidR="00454029">
        <w:rPr>
          <w:rFonts w:ascii="Times New Roman" w:hAnsi="Times New Roman"/>
          <w:sz w:val="24"/>
          <w:szCs w:val="24"/>
        </w:rPr>
        <w:t xml:space="preserve"> the summary of procedures for collecting information in Part B</w:t>
      </w:r>
      <w:r w:rsidR="00EA13F2">
        <w:rPr>
          <w:rFonts w:ascii="Times New Roman" w:hAnsi="Times New Roman"/>
          <w:sz w:val="24"/>
          <w:szCs w:val="24"/>
        </w:rPr>
        <w:t xml:space="preserve">, </w:t>
      </w:r>
      <w:r w:rsidR="00454029">
        <w:rPr>
          <w:rFonts w:ascii="Times New Roman" w:hAnsi="Times New Roman"/>
          <w:sz w:val="24"/>
          <w:szCs w:val="24"/>
        </w:rPr>
        <w:t>and</w:t>
      </w:r>
      <w:r w:rsidRPr="002E4E30">
        <w:rPr>
          <w:rFonts w:ascii="Times New Roman" w:hAnsi="Times New Roman"/>
          <w:sz w:val="24"/>
          <w:szCs w:val="24"/>
        </w:rPr>
        <w:t xml:space="preserve"> the full </w:t>
      </w:r>
      <w:r w:rsidR="00375687">
        <w:rPr>
          <w:rFonts w:ascii="Times New Roman" w:hAnsi="Times New Roman"/>
          <w:sz w:val="24"/>
          <w:szCs w:val="24"/>
        </w:rPr>
        <w:t xml:space="preserve">interview </w:t>
      </w:r>
      <w:r w:rsidR="00EA13F2">
        <w:rPr>
          <w:rFonts w:ascii="Times New Roman" w:hAnsi="Times New Roman"/>
          <w:sz w:val="24"/>
          <w:szCs w:val="24"/>
        </w:rPr>
        <w:t xml:space="preserve">guides attached </w:t>
      </w:r>
      <w:r w:rsidR="00EE4178">
        <w:rPr>
          <w:rFonts w:ascii="Times New Roman" w:hAnsi="Times New Roman"/>
          <w:sz w:val="24"/>
          <w:szCs w:val="24"/>
        </w:rPr>
        <w:t>(</w:t>
      </w:r>
      <w:r w:rsidRPr="00C90888" w:rsidR="00EE4178">
        <w:rPr>
          <w:rFonts w:ascii="Times New Roman" w:hAnsi="Times New Roman"/>
          <w:b/>
          <w:bCs/>
          <w:sz w:val="24"/>
          <w:szCs w:val="24"/>
        </w:rPr>
        <w:t xml:space="preserve">Attachment </w:t>
      </w:r>
      <w:r w:rsidRPr="00C90888" w:rsidR="00EE4178">
        <w:rPr>
          <w:rFonts w:ascii="Times New Roman" w:hAnsi="Times New Roman"/>
          <w:b/>
          <w:bCs/>
          <w:sz w:val="24"/>
          <w:szCs w:val="24"/>
        </w:rPr>
        <w:t>A_Instruments</w:t>
      </w:r>
      <w:r w:rsidR="00EE4178">
        <w:rPr>
          <w:rFonts w:ascii="Times New Roman" w:hAnsi="Times New Roman"/>
          <w:sz w:val="24"/>
          <w:szCs w:val="24"/>
        </w:rPr>
        <w:t xml:space="preserve">). </w:t>
      </w:r>
    </w:p>
    <w:p w:rsidR="00522657" w:rsidP="00522657" w14:paraId="0D23C9C0" w14:textId="77777777">
      <w:pPr>
        <w:spacing w:after="0" w:line="240" w:lineRule="auto"/>
        <w:rPr>
          <w:rFonts w:ascii="Times New Roman" w:hAnsi="Times New Roman"/>
          <w:sz w:val="24"/>
          <w:szCs w:val="24"/>
        </w:rPr>
      </w:pPr>
    </w:p>
    <w:p w:rsidR="00C37793" w:rsidRPr="00566466" w:rsidP="00B43C82" w14:paraId="2FA354E5" w14:textId="77777777">
      <w:pPr>
        <w:spacing w:line="240" w:lineRule="auto"/>
        <w:rPr>
          <w:rFonts w:ascii="Times New Roman" w:hAnsi="Times New Roman"/>
          <w:sz w:val="24"/>
          <w:szCs w:val="24"/>
        </w:rPr>
      </w:pPr>
      <w:r w:rsidRPr="002E4E30">
        <w:rPr>
          <w:rFonts w:ascii="Times New Roman" w:hAnsi="Times New Roman"/>
          <w:sz w:val="24"/>
          <w:szCs w:val="24"/>
        </w:rPr>
        <w:t xml:space="preserve">Table </w:t>
      </w:r>
      <w:r w:rsidR="000C0032">
        <w:rPr>
          <w:rFonts w:ascii="Times New Roman" w:hAnsi="Times New Roman"/>
          <w:sz w:val="24"/>
          <w:szCs w:val="24"/>
        </w:rPr>
        <w:t>A.</w:t>
      </w:r>
      <w:r w:rsidR="00DE3A76">
        <w:rPr>
          <w:rFonts w:ascii="Times New Roman" w:hAnsi="Times New Roman"/>
          <w:sz w:val="24"/>
          <w:szCs w:val="24"/>
        </w:rPr>
        <w:t>1</w:t>
      </w:r>
      <w:r w:rsidRPr="002E4E30">
        <w:rPr>
          <w:rFonts w:ascii="Times New Roman" w:hAnsi="Times New Roman"/>
          <w:sz w:val="24"/>
          <w:szCs w:val="24"/>
        </w:rPr>
        <w:t xml:space="preserve"> shows estimated burden information</w:t>
      </w:r>
      <w:r w:rsidRPr="002E4E30" w:rsidR="00DC1F13">
        <w:rPr>
          <w:rFonts w:ascii="Times New Roman" w:hAnsi="Times New Roman"/>
          <w:sz w:val="24"/>
          <w:szCs w:val="24"/>
        </w:rPr>
        <w:t>, using an average salary of $44</w:t>
      </w:r>
      <w:r w:rsidR="00B90D27">
        <w:rPr>
          <w:rFonts w:ascii="Times New Roman" w:hAnsi="Times New Roman"/>
          <w:sz w:val="24"/>
          <w:szCs w:val="24"/>
        </w:rPr>
        <w:t xml:space="preserve">/hour </w:t>
      </w:r>
      <w:r w:rsidRPr="002E4E30" w:rsidR="00DC1F13">
        <w:rPr>
          <w:rFonts w:ascii="Times New Roman" w:hAnsi="Times New Roman"/>
          <w:sz w:val="24"/>
          <w:szCs w:val="24"/>
        </w:rPr>
        <w:t xml:space="preserve">for each </w:t>
      </w:r>
      <w:r w:rsidR="008D26FE">
        <w:rPr>
          <w:rFonts w:ascii="Times New Roman" w:hAnsi="Times New Roman"/>
          <w:sz w:val="24"/>
          <w:szCs w:val="24"/>
        </w:rPr>
        <w:t xml:space="preserve">public health leader and program and partner organization staff </w:t>
      </w:r>
      <w:r w:rsidRPr="002E4E30" w:rsidR="00DC1F13">
        <w:rPr>
          <w:rFonts w:ascii="Times New Roman" w:hAnsi="Times New Roman"/>
          <w:sz w:val="24"/>
          <w:szCs w:val="24"/>
        </w:rPr>
        <w:t xml:space="preserve">respondent, based on information on </w:t>
      </w:r>
      <w:r w:rsidRPr="002E4E30" w:rsidR="00D325CA">
        <w:rPr>
          <w:rFonts w:ascii="Times New Roman" w:hAnsi="Times New Roman"/>
          <w:sz w:val="24"/>
          <w:szCs w:val="24"/>
        </w:rPr>
        <w:t>federally qualified health center</w:t>
      </w:r>
      <w:r w:rsidRPr="002E4E30" w:rsidR="00DC1F13">
        <w:rPr>
          <w:rFonts w:ascii="Times New Roman" w:hAnsi="Times New Roman"/>
          <w:sz w:val="24"/>
          <w:szCs w:val="24"/>
        </w:rPr>
        <w:t xml:space="preserve">, community-based organization, pharmacy, and public health </w:t>
      </w:r>
      <w:r w:rsidRPr="002E4E30" w:rsidR="00DC1F13">
        <w:rPr>
          <w:rFonts w:ascii="Times New Roman" w:hAnsi="Times New Roman"/>
          <w:sz w:val="24"/>
          <w:szCs w:val="24"/>
        </w:rPr>
        <w:t>employee salaries</w:t>
      </w:r>
      <w:r w:rsidR="00930CE6">
        <w:rPr>
          <w:rFonts w:ascii="Times New Roman" w:hAnsi="Times New Roman"/>
          <w:sz w:val="24"/>
          <w:szCs w:val="24"/>
        </w:rPr>
        <w:t xml:space="preserve"> in September 2023</w:t>
      </w:r>
      <w:r w:rsidRPr="002E4E30" w:rsidR="00DC1F13">
        <w:rPr>
          <w:rFonts w:ascii="Times New Roman" w:hAnsi="Times New Roman"/>
          <w:sz w:val="24"/>
          <w:szCs w:val="24"/>
        </w:rPr>
        <w:t>.</w:t>
      </w:r>
      <w:r w:rsidR="00B90D27">
        <w:rPr>
          <w:rFonts w:ascii="Times New Roman" w:hAnsi="Times New Roman"/>
          <w:sz w:val="24"/>
          <w:szCs w:val="24"/>
        </w:rPr>
        <w:t xml:space="preserve"> We used the average </w:t>
      </w:r>
      <w:r w:rsidR="0073522A">
        <w:rPr>
          <w:rFonts w:ascii="Times New Roman" w:hAnsi="Times New Roman"/>
          <w:sz w:val="24"/>
          <w:szCs w:val="24"/>
        </w:rPr>
        <w:t xml:space="preserve">United States </w:t>
      </w:r>
      <w:r w:rsidR="00B90D27">
        <w:rPr>
          <w:rFonts w:ascii="Times New Roman" w:hAnsi="Times New Roman"/>
          <w:sz w:val="24"/>
          <w:szCs w:val="24"/>
        </w:rPr>
        <w:t>worker salary of $</w:t>
      </w:r>
      <w:r w:rsidRPr="00566466" w:rsidR="00F94C0A">
        <w:rPr>
          <w:rFonts w:ascii="Times New Roman" w:hAnsi="Times New Roman"/>
          <w:sz w:val="24"/>
          <w:szCs w:val="24"/>
        </w:rPr>
        <w:t>34</w:t>
      </w:r>
      <w:r w:rsidRPr="00566466" w:rsidR="00B90D27">
        <w:rPr>
          <w:rFonts w:ascii="Times New Roman" w:hAnsi="Times New Roman"/>
          <w:sz w:val="24"/>
          <w:szCs w:val="24"/>
        </w:rPr>
        <w:t>/hour for the community representative</w:t>
      </w:r>
      <w:r w:rsidRPr="00566466" w:rsidR="00930CE6">
        <w:rPr>
          <w:rFonts w:ascii="Times New Roman" w:hAnsi="Times New Roman"/>
          <w:sz w:val="24"/>
          <w:szCs w:val="24"/>
        </w:rPr>
        <w:t xml:space="preserve"> in September 2023</w:t>
      </w:r>
      <w:r w:rsidRPr="00566466" w:rsidR="00DC1F13">
        <w:rPr>
          <w:rFonts w:ascii="Times New Roman" w:hAnsi="Times New Roman"/>
          <w:sz w:val="24"/>
          <w:szCs w:val="24"/>
        </w:rPr>
        <w:t>.</w:t>
      </w:r>
      <w:r>
        <w:rPr>
          <w:vertAlign w:val="superscript"/>
        </w:rPr>
        <w:footnoteReference w:id="4"/>
      </w:r>
      <w:r w:rsidRPr="00566466" w:rsidR="00647323">
        <w:rPr>
          <w:rFonts w:ascii="Times New Roman" w:hAnsi="Times New Roman"/>
          <w:sz w:val="24"/>
          <w:szCs w:val="24"/>
        </w:rPr>
        <w:t xml:space="preserve"> </w:t>
      </w:r>
    </w:p>
    <w:p w:rsidR="00C37793" w:rsidRPr="00566466" w14:paraId="5CECD69B" w14:textId="7B9F1F52">
      <w:pPr>
        <w:spacing w:after="0" w:line="240" w:lineRule="auto"/>
        <w:rPr>
          <w:rFonts w:ascii="Times New Roman" w:hAnsi="Times New Roman"/>
          <w:b/>
          <w:sz w:val="24"/>
          <w:szCs w:val="24"/>
        </w:rPr>
      </w:pPr>
    </w:p>
    <w:p w:rsidR="00D035B2" w:rsidRPr="00B43C82" w:rsidP="00B43C82" w14:paraId="4618D6A9" w14:textId="62E0F336">
      <w:pPr>
        <w:spacing w:line="240" w:lineRule="auto"/>
        <w:rPr>
          <w:rFonts w:ascii="Times New Roman" w:hAnsi="Times New Roman"/>
          <w:b/>
          <w:bCs/>
          <w:sz w:val="24"/>
          <w:szCs w:val="24"/>
        </w:rPr>
      </w:pPr>
      <w:r w:rsidRPr="00566466">
        <w:rPr>
          <w:rFonts w:ascii="Times New Roman" w:hAnsi="Times New Roman"/>
          <w:b/>
          <w:sz w:val="24"/>
          <w:szCs w:val="24"/>
        </w:rPr>
        <w:t xml:space="preserve">Table </w:t>
      </w:r>
      <w:r w:rsidRPr="00566466" w:rsidR="000C0032">
        <w:rPr>
          <w:rFonts w:ascii="Times New Roman" w:hAnsi="Times New Roman"/>
          <w:b/>
          <w:sz w:val="24"/>
          <w:szCs w:val="24"/>
        </w:rPr>
        <w:t>A.</w:t>
      </w:r>
      <w:r w:rsidRPr="00566466" w:rsidR="002E207D">
        <w:rPr>
          <w:rFonts w:ascii="Times New Roman" w:hAnsi="Times New Roman"/>
          <w:b/>
          <w:sz w:val="24"/>
          <w:szCs w:val="24"/>
        </w:rPr>
        <w:t>1</w:t>
      </w:r>
      <w:r w:rsidRPr="00566466" w:rsidR="00F924A2">
        <w:rPr>
          <w:rFonts w:ascii="Times New Roman" w:hAnsi="Times New Roman"/>
          <w:b/>
          <w:sz w:val="24"/>
          <w:szCs w:val="24"/>
        </w:rPr>
        <w:t xml:space="preserve">. </w:t>
      </w:r>
      <w:r w:rsidRPr="00566466">
        <w:rPr>
          <w:rFonts w:ascii="Times New Roman" w:hAnsi="Times New Roman"/>
          <w:b/>
          <w:sz w:val="24"/>
          <w:szCs w:val="24"/>
        </w:rPr>
        <w:t xml:space="preserve">Estimated Annualized Burden Hours to </w:t>
      </w:r>
      <w:r w:rsidRPr="00566466" w:rsidR="004E2BB4">
        <w:rPr>
          <w:rFonts w:ascii="Times New Roman" w:hAnsi="Times New Roman"/>
          <w:b/>
          <w:sz w:val="24"/>
          <w:szCs w:val="24"/>
        </w:rPr>
        <w:t>Respondents</w:t>
      </w:r>
      <w:r w:rsidRPr="00C57E13" w:rsidR="004E2BB4">
        <w:rPr>
          <w:rFonts w:ascii="Times New Roman" w:hAnsi="Times New Roman"/>
          <w:b/>
          <w:bCs/>
          <w:sz w:val="24"/>
          <w:szCs w:val="24"/>
        </w:rPr>
        <w:t xml:space="preserve">  </w:t>
      </w:r>
    </w:p>
    <w:tbl>
      <w:tblPr>
        <w:tblStyle w:val="TableGrid"/>
        <w:tblW w:w="9556" w:type="dxa"/>
        <w:tblLook w:val="04A0"/>
      </w:tblPr>
      <w:tblGrid>
        <w:gridCol w:w="1194"/>
        <w:gridCol w:w="1249"/>
        <w:gridCol w:w="1196"/>
        <w:gridCol w:w="1180"/>
        <w:gridCol w:w="1574"/>
        <w:gridCol w:w="923"/>
        <w:gridCol w:w="757"/>
        <w:gridCol w:w="1483"/>
      </w:tblGrid>
      <w:tr w14:paraId="17207ECE" w14:textId="77777777" w:rsidTr="003F26BD">
        <w:tblPrEx>
          <w:tblW w:w="9556" w:type="dxa"/>
          <w:tblLook w:val="04A0"/>
        </w:tblPrEx>
        <w:trPr>
          <w:trHeight w:val="629"/>
        </w:trPr>
        <w:tc>
          <w:tcPr>
            <w:tcW w:w="1194" w:type="dxa"/>
            <w:shd w:val="clear" w:color="auto" w:fill="F2F2F2" w:themeFill="background1" w:themeFillShade="F2"/>
          </w:tcPr>
          <w:p w:rsidR="007649C0" w:rsidRPr="00D358AF" w:rsidP="00562CDF" w14:paraId="444D8987" w14:textId="77777777">
            <w:pPr>
              <w:spacing w:after="0" w:line="240" w:lineRule="auto"/>
              <w:jc w:val="center"/>
              <w:rPr>
                <w:rFonts w:ascii="Times New Roman" w:hAnsi="Times New Roman"/>
                <w:b/>
                <w:bCs/>
                <w:sz w:val="16"/>
                <w:szCs w:val="16"/>
              </w:rPr>
            </w:pPr>
            <w:r w:rsidRPr="00D358AF">
              <w:rPr>
                <w:rFonts w:ascii="Times New Roman" w:hAnsi="Times New Roman"/>
                <w:b/>
                <w:bCs/>
                <w:sz w:val="16"/>
                <w:szCs w:val="16"/>
              </w:rPr>
              <w:t>Type of respondent</w:t>
            </w:r>
          </w:p>
        </w:tc>
        <w:tc>
          <w:tcPr>
            <w:tcW w:w="1249" w:type="dxa"/>
            <w:shd w:val="clear" w:color="auto" w:fill="F2F2F2" w:themeFill="background1" w:themeFillShade="F2"/>
          </w:tcPr>
          <w:p w:rsidR="007649C0" w:rsidRPr="00D358AF" w:rsidP="00562CDF" w14:paraId="6DA1E3B2" w14:textId="77777777">
            <w:pPr>
              <w:spacing w:after="0" w:line="240" w:lineRule="auto"/>
              <w:jc w:val="center"/>
              <w:rPr>
                <w:rFonts w:ascii="Times New Roman" w:hAnsi="Times New Roman"/>
                <w:b/>
                <w:bCs/>
                <w:sz w:val="16"/>
                <w:szCs w:val="16"/>
              </w:rPr>
            </w:pPr>
            <w:r w:rsidRPr="00D358AF">
              <w:rPr>
                <w:rFonts w:ascii="Times New Roman" w:hAnsi="Times New Roman"/>
                <w:b/>
                <w:bCs/>
                <w:sz w:val="16"/>
                <w:szCs w:val="16"/>
              </w:rPr>
              <w:t>Form</w:t>
            </w:r>
          </w:p>
        </w:tc>
        <w:tc>
          <w:tcPr>
            <w:tcW w:w="1196" w:type="dxa"/>
            <w:shd w:val="clear" w:color="auto" w:fill="F2F2F2" w:themeFill="background1" w:themeFillShade="F2"/>
          </w:tcPr>
          <w:p w:rsidR="007649C0" w:rsidRPr="00D358AF" w:rsidP="00562CDF" w14:paraId="76A913D4" w14:textId="77777777">
            <w:pPr>
              <w:spacing w:after="0" w:line="240" w:lineRule="auto"/>
              <w:jc w:val="center"/>
              <w:rPr>
                <w:rFonts w:ascii="Times New Roman" w:hAnsi="Times New Roman"/>
                <w:b/>
                <w:bCs/>
                <w:sz w:val="16"/>
                <w:szCs w:val="16"/>
              </w:rPr>
            </w:pPr>
            <w:r w:rsidRPr="00D358AF">
              <w:rPr>
                <w:rFonts w:ascii="Times New Roman" w:hAnsi="Times New Roman"/>
                <w:b/>
                <w:bCs/>
                <w:sz w:val="16"/>
                <w:szCs w:val="16"/>
              </w:rPr>
              <w:t>Number of respondents</w:t>
            </w:r>
          </w:p>
        </w:tc>
        <w:tc>
          <w:tcPr>
            <w:tcW w:w="1180" w:type="dxa"/>
            <w:shd w:val="clear" w:color="auto" w:fill="F2F2F2" w:themeFill="background1" w:themeFillShade="F2"/>
          </w:tcPr>
          <w:p w:rsidR="007649C0" w:rsidRPr="00D358AF" w:rsidP="00562CDF" w14:paraId="4F6AA912" w14:textId="77777777">
            <w:pPr>
              <w:spacing w:after="0" w:line="240" w:lineRule="auto"/>
              <w:jc w:val="center"/>
              <w:rPr>
                <w:rFonts w:ascii="Times New Roman" w:hAnsi="Times New Roman"/>
                <w:b/>
                <w:bCs/>
                <w:sz w:val="16"/>
                <w:szCs w:val="16"/>
              </w:rPr>
            </w:pPr>
            <w:r w:rsidRPr="00D358AF">
              <w:rPr>
                <w:rFonts w:ascii="Times New Roman" w:hAnsi="Times New Roman"/>
                <w:b/>
                <w:bCs/>
                <w:sz w:val="16"/>
                <w:szCs w:val="16"/>
              </w:rPr>
              <w:t>Number of responses per respondent</w:t>
            </w:r>
          </w:p>
        </w:tc>
        <w:tc>
          <w:tcPr>
            <w:tcW w:w="1574" w:type="dxa"/>
            <w:shd w:val="clear" w:color="auto" w:fill="F2F2F2" w:themeFill="background1" w:themeFillShade="F2"/>
          </w:tcPr>
          <w:p w:rsidR="007649C0" w:rsidRPr="00D358AF" w:rsidP="00562CDF" w14:paraId="6FF89D4E" w14:textId="0F63A76B">
            <w:pPr>
              <w:spacing w:after="0" w:line="240" w:lineRule="auto"/>
              <w:jc w:val="center"/>
              <w:rPr>
                <w:rFonts w:ascii="Times New Roman" w:hAnsi="Times New Roman"/>
                <w:b/>
                <w:bCs/>
                <w:sz w:val="16"/>
                <w:szCs w:val="16"/>
              </w:rPr>
            </w:pPr>
            <w:r w:rsidRPr="00D358AF">
              <w:rPr>
                <w:rFonts w:ascii="Times New Roman" w:hAnsi="Times New Roman"/>
                <w:b/>
                <w:bCs/>
                <w:sz w:val="16"/>
                <w:szCs w:val="16"/>
              </w:rPr>
              <w:t>Average burden</w:t>
            </w:r>
            <w:r>
              <w:rPr>
                <w:rFonts w:ascii="Times New Roman" w:hAnsi="Times New Roman"/>
                <w:b/>
                <w:bCs/>
                <w:sz w:val="16"/>
                <w:szCs w:val="16"/>
              </w:rPr>
              <w:t>, in minutes per response</w:t>
            </w:r>
          </w:p>
        </w:tc>
        <w:tc>
          <w:tcPr>
            <w:tcW w:w="923" w:type="dxa"/>
            <w:shd w:val="clear" w:color="auto" w:fill="F2F2F2" w:themeFill="background1" w:themeFillShade="F2"/>
          </w:tcPr>
          <w:p w:rsidR="007649C0" w:rsidRPr="00D358AF" w:rsidP="00562CDF" w14:paraId="2FB79A12" w14:textId="0F519A7C">
            <w:pPr>
              <w:spacing w:after="0" w:line="240" w:lineRule="auto"/>
              <w:jc w:val="center"/>
              <w:rPr>
                <w:rFonts w:ascii="Times New Roman" w:hAnsi="Times New Roman"/>
                <w:b/>
                <w:bCs/>
                <w:sz w:val="16"/>
                <w:szCs w:val="16"/>
              </w:rPr>
            </w:pPr>
            <w:r w:rsidRPr="00D358AF">
              <w:rPr>
                <w:rFonts w:ascii="Times New Roman" w:hAnsi="Times New Roman"/>
                <w:b/>
                <w:bCs/>
                <w:sz w:val="16"/>
                <w:szCs w:val="16"/>
              </w:rPr>
              <w:t>Total burden</w:t>
            </w:r>
            <w:r>
              <w:rPr>
                <w:rFonts w:ascii="Times New Roman" w:hAnsi="Times New Roman"/>
                <w:b/>
                <w:bCs/>
                <w:sz w:val="16"/>
                <w:szCs w:val="16"/>
              </w:rPr>
              <w:t xml:space="preserve">, in </w:t>
            </w:r>
            <w:r w:rsidRPr="00D358AF">
              <w:rPr>
                <w:rFonts w:ascii="Times New Roman" w:hAnsi="Times New Roman"/>
                <w:b/>
                <w:bCs/>
                <w:sz w:val="16"/>
                <w:szCs w:val="16"/>
              </w:rPr>
              <w:t>hours</w:t>
            </w:r>
          </w:p>
        </w:tc>
        <w:tc>
          <w:tcPr>
            <w:tcW w:w="757" w:type="dxa"/>
            <w:shd w:val="clear" w:color="auto" w:fill="F2F2F2" w:themeFill="background1" w:themeFillShade="F2"/>
          </w:tcPr>
          <w:p w:rsidR="007649C0" w:rsidRPr="00D358AF" w:rsidP="00562CDF" w14:paraId="319E6B33" w14:textId="77777777">
            <w:pPr>
              <w:spacing w:after="0" w:line="240" w:lineRule="auto"/>
              <w:jc w:val="center"/>
              <w:rPr>
                <w:rFonts w:ascii="Times New Roman" w:hAnsi="Times New Roman"/>
                <w:b/>
                <w:bCs/>
                <w:sz w:val="16"/>
                <w:szCs w:val="16"/>
              </w:rPr>
            </w:pPr>
            <w:r w:rsidRPr="00D358AF">
              <w:rPr>
                <w:rFonts w:ascii="Times New Roman" w:hAnsi="Times New Roman"/>
                <w:b/>
                <w:bCs/>
                <w:sz w:val="16"/>
                <w:szCs w:val="16"/>
              </w:rPr>
              <w:t>Hourly wage rate</w:t>
            </w:r>
          </w:p>
        </w:tc>
        <w:tc>
          <w:tcPr>
            <w:tcW w:w="1483" w:type="dxa"/>
            <w:shd w:val="clear" w:color="auto" w:fill="F2F2F2" w:themeFill="background1" w:themeFillShade="F2"/>
          </w:tcPr>
          <w:p w:rsidR="007649C0" w:rsidRPr="00D358AF" w:rsidP="00562CDF" w14:paraId="25834205" w14:textId="4773B214">
            <w:pPr>
              <w:spacing w:after="0" w:line="240" w:lineRule="auto"/>
              <w:jc w:val="center"/>
              <w:rPr>
                <w:rFonts w:ascii="Times New Roman" w:hAnsi="Times New Roman"/>
                <w:b/>
                <w:bCs/>
                <w:sz w:val="16"/>
                <w:szCs w:val="16"/>
              </w:rPr>
            </w:pPr>
            <w:r w:rsidRPr="00D358AF">
              <w:rPr>
                <w:rFonts w:ascii="Times New Roman" w:hAnsi="Times New Roman"/>
                <w:b/>
                <w:bCs/>
                <w:sz w:val="16"/>
                <w:szCs w:val="16"/>
              </w:rPr>
              <w:t>Total cost</w:t>
            </w:r>
            <w:r>
              <w:rPr>
                <w:rFonts w:ascii="Times New Roman" w:hAnsi="Times New Roman"/>
                <w:b/>
                <w:bCs/>
                <w:sz w:val="16"/>
                <w:szCs w:val="16"/>
              </w:rPr>
              <w:t>, across respondents</w:t>
            </w:r>
          </w:p>
        </w:tc>
      </w:tr>
      <w:tr w14:paraId="3C380F27" w14:textId="77777777" w:rsidTr="00445E98">
        <w:tblPrEx>
          <w:tblW w:w="9556" w:type="dxa"/>
          <w:tblLook w:val="04A0"/>
        </w:tblPrEx>
        <w:tc>
          <w:tcPr>
            <w:tcW w:w="2443" w:type="dxa"/>
            <w:gridSpan w:val="2"/>
            <w:shd w:val="clear" w:color="auto" w:fill="F2F2F2" w:themeFill="background1" w:themeFillShade="F2"/>
          </w:tcPr>
          <w:p w:rsidR="003C612D" w:rsidP="00572181" w14:paraId="6259E5F6" w14:textId="5F16A405">
            <w:pPr>
              <w:spacing w:after="0" w:line="240" w:lineRule="auto"/>
              <w:rPr>
                <w:rFonts w:ascii="Times New Roman" w:hAnsi="Times New Roman"/>
                <w:sz w:val="16"/>
                <w:szCs w:val="16"/>
              </w:rPr>
            </w:pPr>
            <w:r>
              <w:rPr>
                <w:rFonts w:ascii="Times New Roman" w:hAnsi="Times New Roman"/>
                <w:sz w:val="16"/>
                <w:szCs w:val="16"/>
              </w:rPr>
              <w:t>Public health leaders</w:t>
            </w:r>
          </w:p>
        </w:tc>
        <w:tc>
          <w:tcPr>
            <w:tcW w:w="1196" w:type="dxa"/>
            <w:shd w:val="clear" w:color="auto" w:fill="F2F2F2" w:themeFill="background1" w:themeFillShade="F2"/>
            <w:vAlign w:val="center"/>
          </w:tcPr>
          <w:p w:rsidR="003C612D" w:rsidP="00572181" w14:paraId="2DD7ECEE" w14:textId="0DE435CE">
            <w:pPr>
              <w:spacing w:after="0" w:line="240" w:lineRule="auto"/>
              <w:jc w:val="center"/>
              <w:rPr>
                <w:rFonts w:ascii="Times New Roman" w:hAnsi="Times New Roman"/>
                <w:sz w:val="16"/>
                <w:szCs w:val="16"/>
              </w:rPr>
            </w:pPr>
            <w:r>
              <w:rPr>
                <w:rFonts w:ascii="Times New Roman" w:hAnsi="Times New Roman"/>
                <w:sz w:val="16"/>
                <w:szCs w:val="16"/>
              </w:rPr>
              <w:t>27</w:t>
            </w:r>
          </w:p>
        </w:tc>
        <w:tc>
          <w:tcPr>
            <w:tcW w:w="5917" w:type="dxa"/>
            <w:gridSpan w:val="5"/>
            <w:shd w:val="clear" w:color="auto" w:fill="F2F2F2" w:themeFill="background1" w:themeFillShade="F2"/>
            <w:vAlign w:val="center"/>
          </w:tcPr>
          <w:p w:rsidR="003C612D" w:rsidRPr="0097104F" w:rsidP="00572181" w14:paraId="76F5512C" w14:textId="77777777">
            <w:pPr>
              <w:spacing w:after="0" w:line="240" w:lineRule="auto"/>
              <w:jc w:val="center"/>
              <w:rPr>
                <w:rFonts w:ascii="Times New Roman" w:hAnsi="Times New Roman"/>
                <w:sz w:val="16"/>
                <w:szCs w:val="16"/>
              </w:rPr>
            </w:pPr>
          </w:p>
        </w:tc>
      </w:tr>
      <w:tr w14:paraId="7C2C08E4" w14:textId="77777777" w:rsidTr="003F26BD">
        <w:tblPrEx>
          <w:tblW w:w="9556" w:type="dxa"/>
          <w:tblLook w:val="04A0"/>
        </w:tblPrEx>
        <w:tc>
          <w:tcPr>
            <w:tcW w:w="1194" w:type="dxa"/>
            <w:shd w:val="clear" w:color="auto" w:fill="F2F2F2" w:themeFill="background1" w:themeFillShade="F2"/>
          </w:tcPr>
          <w:p w:rsidR="00572181" w:rsidRPr="00A11B50" w:rsidP="00445E98" w14:paraId="0AA44797" w14:textId="59876145">
            <w:pPr>
              <w:pStyle w:val="ListParagraph"/>
              <w:numPr>
                <w:ilvl w:val="0"/>
                <w:numId w:val="25"/>
              </w:numPr>
              <w:spacing w:after="0" w:line="240" w:lineRule="auto"/>
              <w:ind w:left="161" w:hanging="161"/>
              <w:rPr>
                <w:rFonts w:ascii="Times New Roman" w:hAnsi="Times New Roman"/>
                <w:sz w:val="16"/>
                <w:szCs w:val="16"/>
              </w:rPr>
            </w:pPr>
            <w:r w:rsidRPr="00A11B50">
              <w:rPr>
                <w:rFonts w:ascii="Times New Roman" w:hAnsi="Times New Roman"/>
                <w:sz w:val="16"/>
                <w:szCs w:val="16"/>
              </w:rPr>
              <w:t xml:space="preserve">Primary </w:t>
            </w:r>
          </w:p>
        </w:tc>
        <w:tc>
          <w:tcPr>
            <w:tcW w:w="1249" w:type="dxa"/>
          </w:tcPr>
          <w:p w:rsidR="00572181" w:rsidRPr="00D358AF" w:rsidP="00572181" w14:paraId="5B5B246D" w14:textId="4F8D1DAD">
            <w:pPr>
              <w:spacing w:after="0" w:line="240" w:lineRule="auto"/>
              <w:rPr>
                <w:rFonts w:ascii="Times New Roman" w:hAnsi="Times New Roman"/>
                <w:sz w:val="16"/>
                <w:szCs w:val="16"/>
              </w:rPr>
            </w:pPr>
            <w:r>
              <w:rPr>
                <w:rFonts w:ascii="Times New Roman" w:hAnsi="Times New Roman"/>
                <w:sz w:val="16"/>
                <w:szCs w:val="16"/>
              </w:rPr>
              <w:t xml:space="preserve">Conversation and semi-structured interview </w:t>
            </w:r>
          </w:p>
        </w:tc>
        <w:tc>
          <w:tcPr>
            <w:tcW w:w="1196" w:type="dxa"/>
            <w:vAlign w:val="center"/>
          </w:tcPr>
          <w:p w:rsidR="00572181" w:rsidRPr="00D358AF" w:rsidP="00572181" w14:paraId="529148C1" w14:textId="07058A97">
            <w:pPr>
              <w:spacing w:after="0" w:line="240" w:lineRule="auto"/>
              <w:jc w:val="center"/>
              <w:rPr>
                <w:rFonts w:ascii="Times New Roman" w:hAnsi="Times New Roman"/>
                <w:sz w:val="16"/>
                <w:szCs w:val="16"/>
              </w:rPr>
            </w:pPr>
            <w:r>
              <w:rPr>
                <w:rFonts w:ascii="Times New Roman" w:hAnsi="Times New Roman"/>
                <w:sz w:val="16"/>
                <w:szCs w:val="16"/>
              </w:rPr>
              <w:t>9</w:t>
            </w:r>
          </w:p>
        </w:tc>
        <w:tc>
          <w:tcPr>
            <w:tcW w:w="1180" w:type="dxa"/>
            <w:vAlign w:val="center"/>
          </w:tcPr>
          <w:p w:rsidR="00572181" w:rsidRPr="00D358AF" w:rsidP="00572181" w14:paraId="2AA1082E" w14:textId="09FC7C26">
            <w:pPr>
              <w:spacing w:after="0" w:line="240" w:lineRule="auto"/>
              <w:jc w:val="center"/>
              <w:rPr>
                <w:rFonts w:ascii="Times New Roman" w:hAnsi="Times New Roman"/>
                <w:sz w:val="16"/>
                <w:szCs w:val="16"/>
              </w:rPr>
            </w:pPr>
            <w:r>
              <w:rPr>
                <w:rFonts w:ascii="Times New Roman" w:hAnsi="Times New Roman"/>
                <w:sz w:val="16"/>
                <w:szCs w:val="16"/>
              </w:rPr>
              <w:t>1</w:t>
            </w:r>
          </w:p>
        </w:tc>
        <w:tc>
          <w:tcPr>
            <w:tcW w:w="1574" w:type="dxa"/>
            <w:vAlign w:val="center"/>
          </w:tcPr>
          <w:p w:rsidR="00572181" w:rsidRPr="00EE5695" w:rsidP="00EE5695" w14:paraId="0E7D101B" w14:textId="77777777">
            <w:pPr>
              <w:spacing w:after="0"/>
              <w:jc w:val="center"/>
              <w:rPr>
                <w:rFonts w:ascii="Times New Roman" w:hAnsi="Times New Roman"/>
                <w:sz w:val="16"/>
                <w:szCs w:val="16"/>
              </w:rPr>
            </w:pPr>
            <w:r w:rsidRPr="00EE5695">
              <w:rPr>
                <w:rFonts w:ascii="Times New Roman" w:hAnsi="Times New Roman"/>
                <w:sz w:val="16"/>
                <w:szCs w:val="16"/>
              </w:rPr>
              <w:t>15 scheduling</w:t>
            </w:r>
          </w:p>
          <w:p w:rsidR="00572181" w:rsidRPr="00EE5695" w:rsidP="00EE5695" w14:paraId="6EDF97D3" w14:textId="77777777">
            <w:pPr>
              <w:spacing w:after="0"/>
              <w:jc w:val="center"/>
              <w:rPr>
                <w:rFonts w:ascii="Times New Roman" w:hAnsi="Times New Roman"/>
                <w:sz w:val="16"/>
                <w:szCs w:val="16"/>
              </w:rPr>
            </w:pPr>
            <w:r w:rsidRPr="00EE5695">
              <w:rPr>
                <w:rFonts w:ascii="Times New Roman" w:hAnsi="Times New Roman"/>
                <w:sz w:val="16"/>
                <w:szCs w:val="16"/>
              </w:rPr>
              <w:t>30 planning conversation</w:t>
            </w:r>
          </w:p>
          <w:p w:rsidR="00572181" w:rsidRPr="00572181" w:rsidP="00572181" w14:paraId="2F2D4B2F" w14:textId="12D06674">
            <w:pPr>
              <w:spacing w:after="0" w:line="240" w:lineRule="auto"/>
              <w:jc w:val="center"/>
              <w:rPr>
                <w:rFonts w:ascii="Times New Roman" w:hAnsi="Times New Roman"/>
                <w:sz w:val="16"/>
                <w:szCs w:val="16"/>
              </w:rPr>
            </w:pPr>
            <w:r w:rsidRPr="00EE5695">
              <w:rPr>
                <w:rFonts w:ascii="Times New Roman" w:hAnsi="Times New Roman"/>
                <w:sz w:val="16"/>
                <w:szCs w:val="16"/>
              </w:rPr>
              <w:t>60 interview</w:t>
            </w:r>
          </w:p>
        </w:tc>
        <w:tc>
          <w:tcPr>
            <w:tcW w:w="923" w:type="dxa"/>
            <w:vAlign w:val="center"/>
          </w:tcPr>
          <w:p w:rsidR="00572181" w:rsidRPr="0097104F" w:rsidP="00572181" w14:paraId="77AA2868" w14:textId="19D6D744">
            <w:pPr>
              <w:spacing w:after="0" w:line="240" w:lineRule="auto"/>
              <w:jc w:val="center"/>
              <w:rPr>
                <w:rFonts w:ascii="Times New Roman" w:hAnsi="Times New Roman"/>
                <w:sz w:val="16"/>
                <w:szCs w:val="16"/>
              </w:rPr>
            </w:pPr>
            <w:r w:rsidRPr="0097104F">
              <w:rPr>
                <w:rFonts w:ascii="Times New Roman" w:hAnsi="Times New Roman"/>
                <w:sz w:val="16"/>
                <w:szCs w:val="16"/>
              </w:rPr>
              <w:t>15.75</w:t>
            </w:r>
          </w:p>
        </w:tc>
        <w:tc>
          <w:tcPr>
            <w:tcW w:w="757" w:type="dxa"/>
            <w:vAlign w:val="center"/>
          </w:tcPr>
          <w:p w:rsidR="00572181" w:rsidRPr="0097104F" w:rsidP="00572181" w14:paraId="55DD11EB" w14:textId="24044713">
            <w:pPr>
              <w:spacing w:after="0" w:line="240" w:lineRule="auto"/>
              <w:jc w:val="center"/>
              <w:rPr>
                <w:rFonts w:ascii="Times New Roman" w:hAnsi="Times New Roman"/>
                <w:sz w:val="16"/>
                <w:szCs w:val="16"/>
              </w:rPr>
            </w:pPr>
            <w:r w:rsidRPr="0097104F">
              <w:rPr>
                <w:rFonts w:ascii="Times New Roman" w:hAnsi="Times New Roman"/>
                <w:sz w:val="16"/>
                <w:szCs w:val="16"/>
              </w:rPr>
              <w:t>$44</w:t>
            </w:r>
          </w:p>
        </w:tc>
        <w:tc>
          <w:tcPr>
            <w:tcW w:w="1483" w:type="dxa"/>
            <w:vAlign w:val="center"/>
          </w:tcPr>
          <w:p w:rsidR="00572181" w:rsidRPr="0097104F" w:rsidP="00572181" w14:paraId="1D055331" w14:textId="76B094F1">
            <w:pPr>
              <w:spacing w:after="0" w:line="240" w:lineRule="auto"/>
              <w:jc w:val="center"/>
              <w:rPr>
                <w:rFonts w:ascii="Times New Roman" w:hAnsi="Times New Roman"/>
                <w:sz w:val="16"/>
                <w:szCs w:val="16"/>
              </w:rPr>
            </w:pPr>
            <w:r w:rsidRPr="0097104F">
              <w:rPr>
                <w:rFonts w:ascii="Times New Roman" w:hAnsi="Times New Roman"/>
                <w:sz w:val="16"/>
                <w:szCs w:val="16"/>
              </w:rPr>
              <w:t>$693</w:t>
            </w:r>
          </w:p>
        </w:tc>
      </w:tr>
      <w:tr w14:paraId="13D1A19A" w14:textId="77777777" w:rsidTr="003F26BD">
        <w:tblPrEx>
          <w:tblW w:w="9556" w:type="dxa"/>
          <w:tblLook w:val="04A0"/>
        </w:tblPrEx>
        <w:tc>
          <w:tcPr>
            <w:tcW w:w="1194" w:type="dxa"/>
            <w:shd w:val="clear" w:color="auto" w:fill="F2F2F2" w:themeFill="background1" w:themeFillShade="F2"/>
          </w:tcPr>
          <w:p w:rsidR="00572181" w:rsidRPr="00A11B50" w:rsidP="00445E98" w14:paraId="132E14A9" w14:textId="39AB722D">
            <w:pPr>
              <w:pStyle w:val="ListParagraph"/>
              <w:numPr>
                <w:ilvl w:val="0"/>
                <w:numId w:val="25"/>
              </w:numPr>
              <w:spacing w:after="0" w:line="240" w:lineRule="auto"/>
              <w:ind w:left="161" w:hanging="161"/>
              <w:rPr>
                <w:rFonts w:ascii="Times New Roman" w:hAnsi="Times New Roman"/>
                <w:sz w:val="16"/>
                <w:szCs w:val="16"/>
              </w:rPr>
            </w:pPr>
            <w:r w:rsidRPr="00A11B50">
              <w:rPr>
                <w:rFonts w:ascii="Times New Roman" w:hAnsi="Times New Roman"/>
                <w:sz w:val="16"/>
                <w:szCs w:val="16"/>
              </w:rPr>
              <w:t>Other</w:t>
            </w:r>
          </w:p>
        </w:tc>
        <w:tc>
          <w:tcPr>
            <w:tcW w:w="1249" w:type="dxa"/>
          </w:tcPr>
          <w:p w:rsidR="00572181" w:rsidRPr="00D358AF" w:rsidP="00572181" w14:paraId="69DB5B81" w14:textId="0EA0C68C">
            <w:pPr>
              <w:spacing w:after="0" w:line="240" w:lineRule="auto"/>
              <w:rPr>
                <w:rFonts w:ascii="Times New Roman" w:hAnsi="Times New Roman"/>
                <w:sz w:val="16"/>
                <w:szCs w:val="16"/>
              </w:rPr>
            </w:pPr>
            <w:r>
              <w:rPr>
                <w:rFonts w:ascii="Times New Roman" w:hAnsi="Times New Roman"/>
                <w:sz w:val="16"/>
                <w:szCs w:val="16"/>
              </w:rPr>
              <w:t>Semi-structured interview</w:t>
            </w:r>
          </w:p>
        </w:tc>
        <w:tc>
          <w:tcPr>
            <w:tcW w:w="1196" w:type="dxa"/>
            <w:vAlign w:val="center"/>
          </w:tcPr>
          <w:p w:rsidR="00572181" w:rsidRPr="00D358AF" w:rsidP="00572181" w14:paraId="1F5241FA" w14:textId="292ED3DA">
            <w:pPr>
              <w:spacing w:after="0" w:line="240" w:lineRule="auto"/>
              <w:jc w:val="center"/>
              <w:rPr>
                <w:rFonts w:ascii="Times New Roman" w:hAnsi="Times New Roman"/>
                <w:sz w:val="16"/>
                <w:szCs w:val="16"/>
              </w:rPr>
            </w:pPr>
            <w:r w:rsidRPr="006333FB">
              <w:rPr>
                <w:rFonts w:ascii="Times New Roman" w:hAnsi="Times New Roman"/>
                <w:sz w:val="16"/>
                <w:szCs w:val="16"/>
              </w:rPr>
              <w:t>18</w:t>
            </w:r>
          </w:p>
        </w:tc>
        <w:tc>
          <w:tcPr>
            <w:tcW w:w="1180" w:type="dxa"/>
            <w:vAlign w:val="center"/>
          </w:tcPr>
          <w:p w:rsidR="00572181" w:rsidRPr="00D358AF" w:rsidP="00572181" w14:paraId="31B9CCB1" w14:textId="52EE4C06">
            <w:pPr>
              <w:spacing w:after="0" w:line="240" w:lineRule="auto"/>
              <w:jc w:val="center"/>
              <w:rPr>
                <w:rFonts w:ascii="Times New Roman" w:hAnsi="Times New Roman"/>
                <w:sz w:val="16"/>
                <w:szCs w:val="16"/>
              </w:rPr>
            </w:pPr>
            <w:r>
              <w:rPr>
                <w:rFonts w:ascii="Times New Roman" w:hAnsi="Times New Roman"/>
                <w:sz w:val="16"/>
                <w:szCs w:val="16"/>
              </w:rPr>
              <w:t>1</w:t>
            </w:r>
          </w:p>
        </w:tc>
        <w:tc>
          <w:tcPr>
            <w:tcW w:w="1574" w:type="dxa"/>
            <w:vAlign w:val="center"/>
          </w:tcPr>
          <w:p w:rsidR="00572181" w:rsidRPr="00EE5695" w:rsidP="00EE5695" w14:paraId="5FF719B9" w14:textId="77777777">
            <w:pPr>
              <w:spacing w:after="0"/>
              <w:jc w:val="center"/>
              <w:rPr>
                <w:rFonts w:ascii="Times New Roman" w:hAnsi="Times New Roman"/>
                <w:sz w:val="16"/>
                <w:szCs w:val="16"/>
              </w:rPr>
            </w:pPr>
            <w:r w:rsidRPr="00EE5695">
              <w:rPr>
                <w:rFonts w:ascii="Times New Roman" w:hAnsi="Times New Roman"/>
                <w:sz w:val="16"/>
                <w:szCs w:val="16"/>
              </w:rPr>
              <w:t xml:space="preserve">15 scheduling </w:t>
            </w:r>
          </w:p>
          <w:p w:rsidR="00572181" w:rsidRPr="00572181" w:rsidP="00572181" w14:paraId="3A56EBAD" w14:textId="25A2C725">
            <w:pPr>
              <w:spacing w:after="0" w:line="240" w:lineRule="auto"/>
              <w:jc w:val="center"/>
              <w:rPr>
                <w:rFonts w:ascii="Times New Roman" w:hAnsi="Times New Roman"/>
                <w:sz w:val="16"/>
                <w:szCs w:val="16"/>
              </w:rPr>
            </w:pPr>
            <w:r w:rsidRPr="00EE5695">
              <w:rPr>
                <w:rFonts w:ascii="Times New Roman" w:hAnsi="Times New Roman"/>
                <w:sz w:val="16"/>
                <w:szCs w:val="16"/>
              </w:rPr>
              <w:t xml:space="preserve">60  interview </w:t>
            </w:r>
          </w:p>
        </w:tc>
        <w:tc>
          <w:tcPr>
            <w:tcW w:w="923" w:type="dxa"/>
            <w:vAlign w:val="center"/>
          </w:tcPr>
          <w:p w:rsidR="00572181" w:rsidRPr="0097104F" w:rsidP="00572181" w14:paraId="339C0EAF" w14:textId="620CFD3B">
            <w:pPr>
              <w:spacing w:after="0" w:line="240" w:lineRule="auto"/>
              <w:jc w:val="center"/>
              <w:rPr>
                <w:rFonts w:ascii="Times New Roman" w:hAnsi="Times New Roman"/>
                <w:sz w:val="16"/>
                <w:szCs w:val="16"/>
              </w:rPr>
            </w:pPr>
            <w:r w:rsidRPr="0097104F">
              <w:rPr>
                <w:rFonts w:ascii="Times New Roman" w:hAnsi="Times New Roman"/>
                <w:sz w:val="16"/>
                <w:szCs w:val="16"/>
              </w:rPr>
              <w:t>22.5</w:t>
            </w:r>
          </w:p>
        </w:tc>
        <w:tc>
          <w:tcPr>
            <w:tcW w:w="757" w:type="dxa"/>
            <w:vAlign w:val="center"/>
          </w:tcPr>
          <w:p w:rsidR="00572181" w:rsidRPr="0097104F" w:rsidP="00572181" w14:paraId="04EC2A51" w14:textId="53277473">
            <w:pPr>
              <w:spacing w:after="0" w:line="240" w:lineRule="auto"/>
              <w:jc w:val="center"/>
              <w:rPr>
                <w:rFonts w:ascii="Times New Roman" w:hAnsi="Times New Roman"/>
                <w:sz w:val="16"/>
                <w:szCs w:val="16"/>
              </w:rPr>
            </w:pPr>
            <w:r w:rsidRPr="0097104F">
              <w:rPr>
                <w:rFonts w:ascii="Times New Roman" w:hAnsi="Times New Roman"/>
                <w:sz w:val="16"/>
                <w:szCs w:val="16"/>
              </w:rPr>
              <w:t>$44</w:t>
            </w:r>
          </w:p>
        </w:tc>
        <w:tc>
          <w:tcPr>
            <w:tcW w:w="1483" w:type="dxa"/>
            <w:vAlign w:val="center"/>
          </w:tcPr>
          <w:p w:rsidR="00572181" w:rsidRPr="0097104F" w:rsidP="00572181" w14:paraId="732017A0" w14:textId="6F4EE8F2">
            <w:pPr>
              <w:spacing w:after="0" w:line="240" w:lineRule="auto"/>
              <w:jc w:val="center"/>
              <w:rPr>
                <w:rFonts w:ascii="Times New Roman" w:hAnsi="Times New Roman"/>
                <w:sz w:val="16"/>
                <w:szCs w:val="16"/>
              </w:rPr>
            </w:pPr>
            <w:r w:rsidRPr="0097104F">
              <w:rPr>
                <w:rFonts w:ascii="Times New Roman" w:hAnsi="Times New Roman"/>
                <w:sz w:val="16"/>
                <w:szCs w:val="16"/>
              </w:rPr>
              <w:t>$990</w:t>
            </w:r>
          </w:p>
        </w:tc>
      </w:tr>
      <w:tr w14:paraId="4A8E1BD1" w14:textId="77777777" w:rsidTr="00445E98">
        <w:tblPrEx>
          <w:tblW w:w="9556" w:type="dxa"/>
          <w:tblLook w:val="04A0"/>
        </w:tblPrEx>
        <w:tc>
          <w:tcPr>
            <w:tcW w:w="2443" w:type="dxa"/>
            <w:gridSpan w:val="2"/>
            <w:shd w:val="clear" w:color="auto" w:fill="F2F2F2" w:themeFill="background1" w:themeFillShade="F2"/>
          </w:tcPr>
          <w:p w:rsidR="00445E98" w:rsidP="00572181" w14:paraId="696827FF" w14:textId="4454719A">
            <w:pPr>
              <w:spacing w:after="0" w:line="240" w:lineRule="auto"/>
              <w:rPr>
                <w:rFonts w:ascii="Times New Roman" w:hAnsi="Times New Roman"/>
                <w:sz w:val="16"/>
                <w:szCs w:val="16"/>
              </w:rPr>
            </w:pPr>
            <w:r>
              <w:rPr>
                <w:rFonts w:ascii="Times New Roman" w:hAnsi="Times New Roman"/>
                <w:sz w:val="16"/>
                <w:szCs w:val="16"/>
              </w:rPr>
              <w:t>Program staff</w:t>
            </w:r>
          </w:p>
        </w:tc>
        <w:tc>
          <w:tcPr>
            <w:tcW w:w="1196" w:type="dxa"/>
            <w:shd w:val="clear" w:color="auto" w:fill="F2F2F2" w:themeFill="background1" w:themeFillShade="F2"/>
            <w:vAlign w:val="center"/>
          </w:tcPr>
          <w:p w:rsidR="00445E98" w:rsidRPr="0097104F" w:rsidP="00572181" w14:paraId="542E433A" w14:textId="7E7DCCE3">
            <w:pPr>
              <w:spacing w:after="0" w:line="240" w:lineRule="auto"/>
              <w:jc w:val="center"/>
              <w:rPr>
                <w:rFonts w:ascii="Times New Roman" w:hAnsi="Times New Roman"/>
                <w:sz w:val="16"/>
                <w:szCs w:val="16"/>
              </w:rPr>
            </w:pPr>
            <w:r>
              <w:rPr>
                <w:rFonts w:ascii="Times New Roman" w:hAnsi="Times New Roman"/>
                <w:sz w:val="16"/>
                <w:szCs w:val="16"/>
              </w:rPr>
              <w:t>228</w:t>
            </w:r>
          </w:p>
        </w:tc>
        <w:tc>
          <w:tcPr>
            <w:tcW w:w="5917" w:type="dxa"/>
            <w:gridSpan w:val="5"/>
            <w:shd w:val="clear" w:color="auto" w:fill="F2F2F2" w:themeFill="background1" w:themeFillShade="F2"/>
            <w:vAlign w:val="center"/>
          </w:tcPr>
          <w:p w:rsidR="00445E98" w:rsidRPr="0097104F" w:rsidP="00572181" w14:paraId="7DFC13BC" w14:textId="5B57D90A">
            <w:pPr>
              <w:spacing w:after="0" w:line="240" w:lineRule="auto"/>
              <w:jc w:val="center"/>
              <w:rPr>
                <w:rFonts w:ascii="Times New Roman" w:hAnsi="Times New Roman"/>
                <w:sz w:val="16"/>
                <w:szCs w:val="16"/>
              </w:rPr>
            </w:pPr>
          </w:p>
        </w:tc>
      </w:tr>
      <w:tr w14:paraId="19ED2E97" w14:textId="77777777" w:rsidTr="003F26BD">
        <w:tblPrEx>
          <w:tblW w:w="9556" w:type="dxa"/>
          <w:tblLook w:val="04A0"/>
        </w:tblPrEx>
        <w:tc>
          <w:tcPr>
            <w:tcW w:w="1194" w:type="dxa"/>
            <w:shd w:val="clear" w:color="auto" w:fill="F2F2F2" w:themeFill="background1" w:themeFillShade="F2"/>
          </w:tcPr>
          <w:p w:rsidR="00572181" w:rsidRPr="00FD00C0" w:rsidP="00445E98" w14:paraId="31169D2E" w14:textId="3DFEA1FA">
            <w:pPr>
              <w:pStyle w:val="ListParagraph"/>
              <w:numPr>
                <w:ilvl w:val="0"/>
                <w:numId w:val="25"/>
              </w:numPr>
              <w:spacing w:after="0" w:line="240" w:lineRule="auto"/>
              <w:ind w:left="161" w:hanging="180"/>
              <w:rPr>
                <w:rFonts w:ascii="Times New Roman" w:hAnsi="Times New Roman"/>
                <w:sz w:val="16"/>
                <w:szCs w:val="16"/>
              </w:rPr>
            </w:pPr>
            <w:r w:rsidRPr="00FD00C0">
              <w:rPr>
                <w:rFonts w:ascii="Times New Roman" w:hAnsi="Times New Roman"/>
                <w:sz w:val="16"/>
                <w:szCs w:val="16"/>
              </w:rPr>
              <w:t xml:space="preserve">Primary </w:t>
            </w:r>
          </w:p>
        </w:tc>
        <w:tc>
          <w:tcPr>
            <w:tcW w:w="1249" w:type="dxa"/>
          </w:tcPr>
          <w:p w:rsidR="00572181" w:rsidRPr="00D358AF" w:rsidP="00572181" w14:paraId="4B98BC89" w14:textId="53745B05">
            <w:pPr>
              <w:spacing w:after="0" w:line="240" w:lineRule="auto"/>
              <w:rPr>
                <w:rFonts w:ascii="Times New Roman" w:hAnsi="Times New Roman"/>
                <w:sz w:val="16"/>
                <w:szCs w:val="16"/>
              </w:rPr>
            </w:pPr>
            <w:r>
              <w:rPr>
                <w:rFonts w:ascii="Times New Roman" w:hAnsi="Times New Roman"/>
                <w:sz w:val="16"/>
                <w:szCs w:val="16"/>
              </w:rPr>
              <w:t xml:space="preserve">Conversation and semi-structured interview  </w:t>
            </w:r>
          </w:p>
        </w:tc>
        <w:tc>
          <w:tcPr>
            <w:tcW w:w="1196" w:type="dxa"/>
            <w:vAlign w:val="center"/>
          </w:tcPr>
          <w:p w:rsidR="00572181" w:rsidRPr="00D358AF" w:rsidP="00572181" w14:paraId="3D85B0E8" w14:textId="3832C1BF">
            <w:pPr>
              <w:spacing w:after="0" w:line="240" w:lineRule="auto"/>
              <w:jc w:val="center"/>
              <w:rPr>
                <w:rFonts w:ascii="Times New Roman" w:hAnsi="Times New Roman"/>
                <w:sz w:val="16"/>
                <w:szCs w:val="16"/>
              </w:rPr>
            </w:pPr>
            <w:r>
              <w:rPr>
                <w:rFonts w:ascii="Times New Roman" w:hAnsi="Times New Roman"/>
                <w:sz w:val="16"/>
                <w:szCs w:val="16"/>
              </w:rPr>
              <w:t>57</w:t>
            </w:r>
          </w:p>
        </w:tc>
        <w:tc>
          <w:tcPr>
            <w:tcW w:w="1180" w:type="dxa"/>
            <w:vAlign w:val="center"/>
          </w:tcPr>
          <w:p w:rsidR="00572181" w:rsidRPr="00D358AF" w:rsidP="00572181" w14:paraId="4CE085A7" w14:textId="4EF2A7CA">
            <w:pPr>
              <w:spacing w:after="0" w:line="240" w:lineRule="auto"/>
              <w:jc w:val="center"/>
              <w:rPr>
                <w:rFonts w:ascii="Times New Roman" w:hAnsi="Times New Roman"/>
                <w:sz w:val="16"/>
                <w:szCs w:val="16"/>
              </w:rPr>
            </w:pPr>
            <w:r>
              <w:rPr>
                <w:rFonts w:ascii="Times New Roman" w:hAnsi="Times New Roman"/>
                <w:sz w:val="16"/>
                <w:szCs w:val="16"/>
              </w:rPr>
              <w:t>1</w:t>
            </w:r>
          </w:p>
        </w:tc>
        <w:tc>
          <w:tcPr>
            <w:tcW w:w="1574" w:type="dxa"/>
            <w:vAlign w:val="center"/>
          </w:tcPr>
          <w:p w:rsidR="00572181" w:rsidRPr="00EE5695" w:rsidP="00EE5695" w14:paraId="70BE905C" w14:textId="77777777">
            <w:pPr>
              <w:spacing w:after="0"/>
              <w:jc w:val="center"/>
              <w:rPr>
                <w:rFonts w:ascii="Times New Roman" w:hAnsi="Times New Roman"/>
                <w:sz w:val="16"/>
                <w:szCs w:val="16"/>
              </w:rPr>
            </w:pPr>
            <w:r w:rsidRPr="00EE5695">
              <w:rPr>
                <w:rFonts w:ascii="Times New Roman" w:hAnsi="Times New Roman"/>
                <w:sz w:val="16"/>
                <w:szCs w:val="16"/>
              </w:rPr>
              <w:t>15 scheduling</w:t>
            </w:r>
          </w:p>
          <w:p w:rsidR="00572181" w:rsidRPr="00572181" w:rsidP="00572181" w14:paraId="721D4891" w14:textId="103DE7FC">
            <w:pPr>
              <w:spacing w:after="0" w:line="240" w:lineRule="auto"/>
              <w:jc w:val="center"/>
              <w:rPr>
                <w:rFonts w:ascii="Times New Roman" w:hAnsi="Times New Roman"/>
                <w:sz w:val="16"/>
                <w:szCs w:val="16"/>
              </w:rPr>
            </w:pPr>
            <w:r w:rsidRPr="00EE5695">
              <w:rPr>
                <w:rFonts w:ascii="Times New Roman" w:hAnsi="Times New Roman"/>
                <w:sz w:val="16"/>
                <w:szCs w:val="16"/>
              </w:rPr>
              <w:t xml:space="preserve">60 </w:t>
            </w:r>
            <w:r w:rsidRPr="00EE5695">
              <w:rPr>
                <w:rFonts w:ascii="Times New Roman" w:hAnsi="Times New Roman"/>
                <w:sz w:val="16"/>
                <w:szCs w:val="16"/>
              </w:rPr>
              <w:t>interview</w:t>
            </w:r>
          </w:p>
        </w:tc>
        <w:tc>
          <w:tcPr>
            <w:tcW w:w="923" w:type="dxa"/>
            <w:vAlign w:val="center"/>
          </w:tcPr>
          <w:p w:rsidR="00572181" w:rsidRPr="0097104F" w:rsidP="00572181" w14:paraId="6875D34A" w14:textId="39EF90BB">
            <w:pPr>
              <w:spacing w:after="0" w:line="240" w:lineRule="auto"/>
              <w:jc w:val="center"/>
              <w:rPr>
                <w:rFonts w:ascii="Times New Roman" w:hAnsi="Times New Roman"/>
                <w:sz w:val="16"/>
                <w:szCs w:val="16"/>
              </w:rPr>
            </w:pPr>
            <w:r w:rsidR="000C39AB">
              <w:rPr>
                <w:rFonts w:ascii="Times New Roman" w:hAnsi="Times New Roman"/>
                <w:sz w:val="16"/>
                <w:szCs w:val="16"/>
              </w:rPr>
              <w:t>71.25</w:t>
            </w:r>
          </w:p>
        </w:tc>
        <w:tc>
          <w:tcPr>
            <w:tcW w:w="757" w:type="dxa"/>
            <w:vAlign w:val="center"/>
          </w:tcPr>
          <w:p w:rsidR="00572181" w:rsidRPr="0097104F" w:rsidP="00572181" w14:paraId="0B37BE63" w14:textId="2BAB43BC">
            <w:pPr>
              <w:spacing w:after="0" w:line="240" w:lineRule="auto"/>
              <w:jc w:val="center"/>
              <w:rPr>
                <w:rFonts w:ascii="Times New Roman" w:hAnsi="Times New Roman"/>
                <w:sz w:val="16"/>
                <w:szCs w:val="16"/>
              </w:rPr>
            </w:pPr>
            <w:r w:rsidRPr="0097104F">
              <w:rPr>
                <w:rFonts w:ascii="Times New Roman" w:hAnsi="Times New Roman"/>
                <w:sz w:val="16"/>
                <w:szCs w:val="16"/>
              </w:rPr>
              <w:t>$44</w:t>
            </w:r>
          </w:p>
        </w:tc>
        <w:tc>
          <w:tcPr>
            <w:tcW w:w="1483" w:type="dxa"/>
            <w:vAlign w:val="center"/>
          </w:tcPr>
          <w:p w:rsidR="00572181" w:rsidRPr="0097104F" w:rsidP="00572181" w14:paraId="748FA325" w14:textId="68545DD0">
            <w:pPr>
              <w:spacing w:after="0" w:line="240" w:lineRule="auto"/>
              <w:jc w:val="center"/>
              <w:rPr>
                <w:rFonts w:ascii="Times New Roman" w:hAnsi="Times New Roman"/>
                <w:sz w:val="16"/>
                <w:szCs w:val="16"/>
              </w:rPr>
            </w:pPr>
            <w:r w:rsidRPr="0097104F">
              <w:rPr>
                <w:rFonts w:ascii="Times New Roman" w:hAnsi="Times New Roman"/>
                <w:sz w:val="16"/>
                <w:szCs w:val="16"/>
              </w:rPr>
              <w:t>$3,</w:t>
            </w:r>
            <w:r w:rsidR="00FD1005">
              <w:rPr>
                <w:rFonts w:ascii="Times New Roman" w:hAnsi="Times New Roman"/>
                <w:sz w:val="16"/>
                <w:szCs w:val="16"/>
              </w:rPr>
              <w:t>135</w:t>
            </w:r>
          </w:p>
        </w:tc>
      </w:tr>
      <w:tr w14:paraId="2D4C0C4E" w14:textId="77777777" w:rsidTr="003F26BD">
        <w:tblPrEx>
          <w:tblW w:w="9556" w:type="dxa"/>
          <w:tblLook w:val="04A0"/>
        </w:tblPrEx>
        <w:tc>
          <w:tcPr>
            <w:tcW w:w="1194" w:type="dxa"/>
            <w:shd w:val="clear" w:color="auto" w:fill="F2F2F2" w:themeFill="background1" w:themeFillShade="F2"/>
          </w:tcPr>
          <w:p w:rsidR="00572181" w:rsidRPr="00FD00C0" w:rsidP="00445E98" w14:paraId="5C1862EA" w14:textId="11CE40D0">
            <w:pPr>
              <w:pStyle w:val="ListParagraph"/>
              <w:numPr>
                <w:ilvl w:val="0"/>
                <w:numId w:val="25"/>
              </w:numPr>
              <w:spacing w:after="0" w:line="240" w:lineRule="auto"/>
              <w:ind w:left="161" w:hanging="180"/>
              <w:rPr>
                <w:rFonts w:ascii="Times New Roman" w:hAnsi="Times New Roman"/>
                <w:sz w:val="16"/>
                <w:szCs w:val="16"/>
              </w:rPr>
            </w:pPr>
            <w:r w:rsidRPr="00FD00C0">
              <w:rPr>
                <w:rFonts w:ascii="Times New Roman" w:hAnsi="Times New Roman"/>
                <w:sz w:val="16"/>
                <w:szCs w:val="16"/>
              </w:rPr>
              <w:t xml:space="preserve">Other </w:t>
            </w:r>
          </w:p>
        </w:tc>
        <w:tc>
          <w:tcPr>
            <w:tcW w:w="1249" w:type="dxa"/>
          </w:tcPr>
          <w:p w:rsidR="00572181" w:rsidRPr="00D358AF" w:rsidP="00572181" w14:paraId="2E979602" w14:textId="218F52B4">
            <w:pPr>
              <w:spacing w:after="0" w:line="240" w:lineRule="auto"/>
              <w:rPr>
                <w:rFonts w:ascii="Times New Roman" w:hAnsi="Times New Roman"/>
                <w:sz w:val="16"/>
                <w:szCs w:val="16"/>
              </w:rPr>
            </w:pPr>
            <w:r>
              <w:rPr>
                <w:rFonts w:ascii="Times New Roman" w:hAnsi="Times New Roman"/>
                <w:sz w:val="16"/>
                <w:szCs w:val="16"/>
              </w:rPr>
              <w:t>Semi-structured interview</w:t>
            </w:r>
          </w:p>
        </w:tc>
        <w:tc>
          <w:tcPr>
            <w:tcW w:w="1196" w:type="dxa"/>
            <w:vAlign w:val="center"/>
          </w:tcPr>
          <w:p w:rsidR="00572181" w:rsidRPr="00D358AF" w:rsidP="00572181" w14:paraId="08628CE4" w14:textId="34BB4C02">
            <w:pPr>
              <w:spacing w:after="0" w:line="240" w:lineRule="auto"/>
              <w:jc w:val="center"/>
              <w:rPr>
                <w:rFonts w:ascii="Times New Roman" w:hAnsi="Times New Roman"/>
                <w:sz w:val="16"/>
                <w:szCs w:val="16"/>
              </w:rPr>
            </w:pPr>
            <w:r>
              <w:rPr>
                <w:rFonts w:ascii="Times New Roman" w:hAnsi="Times New Roman"/>
                <w:sz w:val="16"/>
                <w:szCs w:val="16"/>
              </w:rPr>
              <w:t>171</w:t>
            </w:r>
          </w:p>
        </w:tc>
        <w:tc>
          <w:tcPr>
            <w:tcW w:w="1180" w:type="dxa"/>
            <w:vAlign w:val="center"/>
          </w:tcPr>
          <w:p w:rsidR="00572181" w:rsidRPr="00D358AF" w:rsidP="00572181" w14:paraId="47C3C937" w14:textId="60B0FC37">
            <w:pPr>
              <w:spacing w:after="0" w:line="240" w:lineRule="auto"/>
              <w:jc w:val="center"/>
              <w:rPr>
                <w:rFonts w:ascii="Times New Roman" w:hAnsi="Times New Roman"/>
                <w:sz w:val="16"/>
                <w:szCs w:val="16"/>
              </w:rPr>
            </w:pPr>
            <w:r>
              <w:rPr>
                <w:rFonts w:ascii="Times New Roman" w:hAnsi="Times New Roman"/>
                <w:sz w:val="16"/>
                <w:szCs w:val="16"/>
              </w:rPr>
              <w:t>1</w:t>
            </w:r>
          </w:p>
        </w:tc>
        <w:tc>
          <w:tcPr>
            <w:tcW w:w="1574" w:type="dxa"/>
            <w:vAlign w:val="center"/>
          </w:tcPr>
          <w:p w:rsidR="00572181" w:rsidRPr="00EE5695" w:rsidP="00EE5695" w14:paraId="31F976A1" w14:textId="77777777">
            <w:pPr>
              <w:spacing w:after="0"/>
              <w:jc w:val="center"/>
              <w:rPr>
                <w:rFonts w:ascii="Times New Roman" w:hAnsi="Times New Roman"/>
                <w:sz w:val="16"/>
                <w:szCs w:val="16"/>
              </w:rPr>
            </w:pPr>
            <w:r w:rsidRPr="00EE5695">
              <w:rPr>
                <w:rFonts w:ascii="Times New Roman" w:hAnsi="Times New Roman"/>
                <w:sz w:val="16"/>
                <w:szCs w:val="16"/>
              </w:rPr>
              <w:t xml:space="preserve">15 scheduling </w:t>
            </w:r>
          </w:p>
          <w:p w:rsidR="00572181" w:rsidRPr="00572181" w:rsidP="00572181" w14:paraId="6DFBBA5B" w14:textId="4A48CE49">
            <w:pPr>
              <w:spacing w:after="0" w:line="240" w:lineRule="auto"/>
              <w:jc w:val="center"/>
              <w:rPr>
                <w:rFonts w:ascii="Times New Roman" w:hAnsi="Times New Roman"/>
                <w:sz w:val="16"/>
                <w:szCs w:val="16"/>
              </w:rPr>
            </w:pPr>
            <w:r w:rsidRPr="00EE5695">
              <w:rPr>
                <w:rFonts w:ascii="Times New Roman" w:hAnsi="Times New Roman"/>
                <w:sz w:val="16"/>
                <w:szCs w:val="16"/>
              </w:rPr>
              <w:t>60 interview</w:t>
            </w:r>
          </w:p>
        </w:tc>
        <w:tc>
          <w:tcPr>
            <w:tcW w:w="923" w:type="dxa"/>
            <w:vAlign w:val="center"/>
          </w:tcPr>
          <w:p w:rsidR="00572181" w:rsidRPr="0097104F" w:rsidP="00572181" w14:paraId="6D292779" w14:textId="00991CD7">
            <w:pPr>
              <w:spacing w:after="0" w:line="240" w:lineRule="auto"/>
              <w:jc w:val="center"/>
              <w:rPr>
                <w:rFonts w:ascii="Times New Roman" w:hAnsi="Times New Roman"/>
                <w:sz w:val="16"/>
                <w:szCs w:val="16"/>
              </w:rPr>
            </w:pPr>
            <w:r w:rsidRPr="0097104F">
              <w:rPr>
                <w:rFonts w:ascii="Times New Roman" w:hAnsi="Times New Roman"/>
                <w:sz w:val="16"/>
                <w:szCs w:val="16"/>
              </w:rPr>
              <w:t>213.75</w:t>
            </w:r>
          </w:p>
        </w:tc>
        <w:tc>
          <w:tcPr>
            <w:tcW w:w="757" w:type="dxa"/>
            <w:vAlign w:val="center"/>
          </w:tcPr>
          <w:p w:rsidR="00572181" w:rsidRPr="0097104F" w:rsidP="00572181" w14:paraId="5EDC34E2" w14:textId="6452429C">
            <w:pPr>
              <w:spacing w:after="0" w:line="240" w:lineRule="auto"/>
              <w:jc w:val="center"/>
              <w:rPr>
                <w:rFonts w:ascii="Times New Roman" w:hAnsi="Times New Roman"/>
                <w:sz w:val="16"/>
                <w:szCs w:val="16"/>
              </w:rPr>
            </w:pPr>
            <w:r w:rsidRPr="0097104F">
              <w:rPr>
                <w:rFonts w:ascii="Times New Roman" w:hAnsi="Times New Roman"/>
                <w:sz w:val="16"/>
                <w:szCs w:val="16"/>
              </w:rPr>
              <w:t>$44</w:t>
            </w:r>
          </w:p>
        </w:tc>
        <w:tc>
          <w:tcPr>
            <w:tcW w:w="1483" w:type="dxa"/>
            <w:vAlign w:val="center"/>
          </w:tcPr>
          <w:p w:rsidR="00572181" w:rsidRPr="0097104F" w:rsidP="00572181" w14:paraId="40E5998B" w14:textId="05D8DFDD">
            <w:pPr>
              <w:spacing w:after="0" w:line="240" w:lineRule="auto"/>
              <w:jc w:val="center"/>
              <w:rPr>
                <w:rFonts w:ascii="Times New Roman" w:hAnsi="Times New Roman"/>
                <w:sz w:val="16"/>
                <w:szCs w:val="16"/>
              </w:rPr>
            </w:pPr>
            <w:r w:rsidRPr="0097104F">
              <w:rPr>
                <w:rFonts w:ascii="Times New Roman" w:hAnsi="Times New Roman"/>
                <w:sz w:val="16"/>
                <w:szCs w:val="16"/>
              </w:rPr>
              <w:t>$9,405</w:t>
            </w:r>
          </w:p>
        </w:tc>
      </w:tr>
      <w:tr w14:paraId="1121C14B" w14:textId="77777777" w:rsidTr="003F26BD">
        <w:tblPrEx>
          <w:tblW w:w="9556" w:type="dxa"/>
          <w:tblLook w:val="04A0"/>
        </w:tblPrEx>
        <w:tc>
          <w:tcPr>
            <w:tcW w:w="1194" w:type="dxa"/>
            <w:shd w:val="clear" w:color="auto" w:fill="F2F2F2" w:themeFill="background1" w:themeFillShade="F2"/>
          </w:tcPr>
          <w:p w:rsidR="00572181" w:rsidRPr="00A11B50" w:rsidP="00572181" w14:paraId="133EAD99" w14:textId="77777777">
            <w:pPr>
              <w:spacing w:after="0" w:line="240" w:lineRule="auto"/>
              <w:rPr>
                <w:rFonts w:ascii="Times New Roman" w:hAnsi="Times New Roman"/>
                <w:sz w:val="16"/>
                <w:szCs w:val="16"/>
              </w:rPr>
            </w:pPr>
            <w:r w:rsidRPr="00A11B50">
              <w:rPr>
                <w:rFonts w:ascii="Times New Roman" w:hAnsi="Times New Roman"/>
                <w:sz w:val="16"/>
                <w:szCs w:val="16"/>
              </w:rPr>
              <w:t>Community representative</w:t>
            </w:r>
          </w:p>
        </w:tc>
        <w:tc>
          <w:tcPr>
            <w:tcW w:w="1249" w:type="dxa"/>
          </w:tcPr>
          <w:p w:rsidR="00572181" w:rsidRPr="00D358AF" w:rsidP="00572181" w14:paraId="669688D1" w14:textId="7E692159">
            <w:pPr>
              <w:spacing w:after="0" w:line="240" w:lineRule="auto"/>
              <w:rPr>
                <w:rFonts w:ascii="Times New Roman" w:hAnsi="Times New Roman"/>
                <w:sz w:val="16"/>
                <w:szCs w:val="16"/>
              </w:rPr>
            </w:pPr>
            <w:r>
              <w:rPr>
                <w:rFonts w:ascii="Times New Roman" w:hAnsi="Times New Roman"/>
                <w:sz w:val="16"/>
                <w:szCs w:val="16"/>
              </w:rPr>
              <w:t>Semi-structured interview</w:t>
            </w:r>
          </w:p>
        </w:tc>
        <w:tc>
          <w:tcPr>
            <w:tcW w:w="1196" w:type="dxa"/>
            <w:vAlign w:val="center"/>
          </w:tcPr>
          <w:p w:rsidR="00572181" w:rsidRPr="00D358AF" w:rsidP="00572181" w14:paraId="380BA9A5" w14:textId="74988EF6">
            <w:pPr>
              <w:spacing w:after="0" w:line="240" w:lineRule="auto"/>
              <w:jc w:val="center"/>
              <w:rPr>
                <w:rFonts w:ascii="Times New Roman" w:hAnsi="Times New Roman"/>
                <w:sz w:val="16"/>
                <w:szCs w:val="16"/>
              </w:rPr>
            </w:pPr>
            <w:r>
              <w:rPr>
                <w:rFonts w:ascii="Times New Roman" w:hAnsi="Times New Roman"/>
                <w:sz w:val="16"/>
                <w:szCs w:val="16"/>
              </w:rPr>
              <w:t>57</w:t>
            </w:r>
          </w:p>
        </w:tc>
        <w:tc>
          <w:tcPr>
            <w:tcW w:w="1180" w:type="dxa"/>
            <w:vAlign w:val="center"/>
          </w:tcPr>
          <w:p w:rsidR="00572181" w:rsidRPr="00D358AF" w:rsidP="00572181" w14:paraId="3277F21D" w14:textId="2FE0E172">
            <w:pPr>
              <w:spacing w:after="0" w:line="240" w:lineRule="auto"/>
              <w:jc w:val="center"/>
              <w:rPr>
                <w:rFonts w:ascii="Times New Roman" w:hAnsi="Times New Roman"/>
                <w:sz w:val="16"/>
                <w:szCs w:val="16"/>
              </w:rPr>
            </w:pPr>
            <w:r>
              <w:rPr>
                <w:rFonts w:ascii="Times New Roman" w:hAnsi="Times New Roman"/>
                <w:sz w:val="16"/>
                <w:szCs w:val="16"/>
              </w:rPr>
              <w:t>1</w:t>
            </w:r>
          </w:p>
        </w:tc>
        <w:tc>
          <w:tcPr>
            <w:tcW w:w="1574" w:type="dxa"/>
            <w:vAlign w:val="center"/>
          </w:tcPr>
          <w:p w:rsidR="00572181" w:rsidRPr="00EE5695" w:rsidP="00EE5695" w14:paraId="661EB184" w14:textId="77777777">
            <w:pPr>
              <w:spacing w:after="0"/>
              <w:jc w:val="center"/>
              <w:rPr>
                <w:rFonts w:ascii="Times New Roman" w:hAnsi="Times New Roman"/>
                <w:sz w:val="16"/>
                <w:szCs w:val="16"/>
              </w:rPr>
            </w:pPr>
            <w:r w:rsidRPr="00EE5695">
              <w:rPr>
                <w:rFonts w:ascii="Times New Roman" w:hAnsi="Times New Roman"/>
                <w:sz w:val="16"/>
                <w:szCs w:val="16"/>
              </w:rPr>
              <w:t xml:space="preserve">15 scheduling </w:t>
            </w:r>
          </w:p>
          <w:p w:rsidR="00572181" w:rsidRPr="00572181" w:rsidP="00572181" w14:paraId="376FB9A3" w14:textId="428CFD7A">
            <w:pPr>
              <w:spacing w:after="0" w:line="240" w:lineRule="auto"/>
              <w:jc w:val="center"/>
              <w:rPr>
                <w:rFonts w:ascii="Times New Roman" w:hAnsi="Times New Roman"/>
                <w:sz w:val="16"/>
                <w:szCs w:val="16"/>
              </w:rPr>
            </w:pPr>
            <w:r w:rsidRPr="00EE5695">
              <w:rPr>
                <w:rFonts w:ascii="Times New Roman" w:hAnsi="Times New Roman"/>
                <w:sz w:val="16"/>
                <w:szCs w:val="16"/>
              </w:rPr>
              <w:t xml:space="preserve">30  interview </w:t>
            </w:r>
          </w:p>
        </w:tc>
        <w:tc>
          <w:tcPr>
            <w:tcW w:w="923" w:type="dxa"/>
            <w:vAlign w:val="center"/>
          </w:tcPr>
          <w:p w:rsidR="00572181" w:rsidRPr="0097104F" w:rsidP="00572181" w14:paraId="54317576" w14:textId="0CF4023B">
            <w:pPr>
              <w:spacing w:after="0" w:line="240" w:lineRule="auto"/>
              <w:jc w:val="center"/>
              <w:rPr>
                <w:rFonts w:ascii="Times New Roman" w:hAnsi="Times New Roman"/>
                <w:sz w:val="16"/>
                <w:szCs w:val="16"/>
              </w:rPr>
            </w:pPr>
            <w:r w:rsidRPr="0097104F">
              <w:rPr>
                <w:rFonts w:ascii="Times New Roman" w:hAnsi="Times New Roman"/>
                <w:sz w:val="16"/>
                <w:szCs w:val="16"/>
              </w:rPr>
              <w:t>42.75</w:t>
            </w:r>
          </w:p>
        </w:tc>
        <w:tc>
          <w:tcPr>
            <w:tcW w:w="757" w:type="dxa"/>
            <w:vAlign w:val="center"/>
          </w:tcPr>
          <w:p w:rsidR="00572181" w:rsidRPr="0097104F" w:rsidP="00572181" w14:paraId="08740224" w14:textId="42D2472B">
            <w:pPr>
              <w:spacing w:after="0" w:line="240" w:lineRule="auto"/>
              <w:jc w:val="center"/>
              <w:rPr>
                <w:rFonts w:ascii="Times New Roman" w:hAnsi="Times New Roman"/>
                <w:sz w:val="16"/>
                <w:szCs w:val="16"/>
              </w:rPr>
            </w:pPr>
            <w:r w:rsidRPr="0097104F">
              <w:rPr>
                <w:rFonts w:ascii="Times New Roman" w:hAnsi="Times New Roman"/>
                <w:sz w:val="16"/>
                <w:szCs w:val="16"/>
              </w:rPr>
              <w:t>$34</w:t>
            </w:r>
          </w:p>
        </w:tc>
        <w:tc>
          <w:tcPr>
            <w:tcW w:w="1483" w:type="dxa"/>
            <w:vAlign w:val="center"/>
          </w:tcPr>
          <w:p w:rsidR="00572181" w:rsidRPr="0097104F" w:rsidP="00572181" w14:paraId="6582E37C" w14:textId="6C10C998">
            <w:pPr>
              <w:spacing w:after="0" w:line="240" w:lineRule="auto"/>
              <w:jc w:val="center"/>
              <w:rPr>
                <w:rFonts w:ascii="Times New Roman" w:hAnsi="Times New Roman"/>
                <w:sz w:val="16"/>
                <w:szCs w:val="16"/>
              </w:rPr>
            </w:pPr>
            <w:r w:rsidRPr="0097104F">
              <w:rPr>
                <w:rFonts w:ascii="Times New Roman" w:hAnsi="Times New Roman"/>
                <w:sz w:val="16"/>
                <w:szCs w:val="16"/>
              </w:rPr>
              <w:t>$1,453.50</w:t>
            </w:r>
          </w:p>
        </w:tc>
      </w:tr>
    </w:tbl>
    <w:p w:rsidR="00AC0CC3" w:rsidP="00D172A8" w14:paraId="7301A8FB"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AC0CC3" w:rsidRPr="002E4E30" w:rsidP="00D172A8" w14:paraId="60B63825"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982095" w:rsidRPr="002E4E30" w:rsidP="003643F8" w14:paraId="41EFE637" w14:textId="77777777">
      <w:pPr>
        <w:pStyle w:val="Heading2"/>
      </w:pPr>
      <w:r w:rsidRPr="002E4E30">
        <w:t>Costs to Respondents</w:t>
      </w:r>
    </w:p>
    <w:p w:rsidR="00982095" w14:paraId="09BB0605" w14:textId="77777777">
      <w:pPr>
        <w:spacing w:after="0" w:line="240" w:lineRule="auto"/>
        <w:rPr>
          <w:rFonts w:ascii="Times New Roman" w:hAnsi="Times New Roman"/>
          <w:sz w:val="24"/>
          <w:szCs w:val="24"/>
        </w:rPr>
      </w:pPr>
    </w:p>
    <w:p w:rsidR="00245160" w:rsidRPr="002E4E30" w14:paraId="651EB62F" w14:textId="3E4960B8">
      <w:pPr>
        <w:spacing w:after="0" w:line="240" w:lineRule="auto"/>
        <w:rPr>
          <w:rFonts w:ascii="Times New Roman" w:hAnsi="Times New Roman"/>
          <w:sz w:val="24"/>
          <w:szCs w:val="24"/>
        </w:rPr>
      </w:pPr>
      <w:r w:rsidRPr="002E4E30">
        <w:rPr>
          <w:rFonts w:ascii="Times New Roman" w:hAnsi="Times New Roman"/>
          <w:sz w:val="24"/>
          <w:szCs w:val="24"/>
        </w:rPr>
        <w:t>There will be no direct costs to the respondents other than their time to participate in the data collection.</w:t>
      </w:r>
      <w:r w:rsidR="00B64D09">
        <w:rPr>
          <w:rFonts w:ascii="Times New Roman" w:hAnsi="Times New Roman"/>
          <w:sz w:val="24"/>
          <w:szCs w:val="24"/>
        </w:rPr>
        <w:t xml:space="preserve"> All participation in this data collection is strictly voluntary</w:t>
      </w:r>
      <w:r w:rsidR="002761A2">
        <w:rPr>
          <w:rFonts w:ascii="Times New Roman" w:hAnsi="Times New Roman"/>
          <w:sz w:val="24"/>
          <w:szCs w:val="24"/>
        </w:rPr>
        <w:t xml:space="preserve"> and respondent</w:t>
      </w:r>
      <w:r w:rsidR="00FA7838">
        <w:rPr>
          <w:rFonts w:ascii="Times New Roman" w:hAnsi="Times New Roman"/>
          <w:sz w:val="24"/>
          <w:szCs w:val="24"/>
        </w:rPr>
        <w:t>s</w:t>
      </w:r>
      <w:r w:rsidR="002761A2">
        <w:rPr>
          <w:rFonts w:ascii="Times New Roman" w:hAnsi="Times New Roman"/>
          <w:sz w:val="24"/>
          <w:szCs w:val="24"/>
        </w:rPr>
        <w:t xml:space="preserve"> can </w:t>
      </w:r>
      <w:r w:rsidR="007879A0">
        <w:rPr>
          <w:rFonts w:ascii="Times New Roman" w:hAnsi="Times New Roman"/>
          <w:sz w:val="24"/>
          <w:szCs w:val="24"/>
        </w:rPr>
        <w:t>decline to respond any question they choose not to answer</w:t>
      </w:r>
      <w:r w:rsidR="00B64D09">
        <w:rPr>
          <w:rFonts w:ascii="Times New Roman" w:hAnsi="Times New Roman"/>
          <w:sz w:val="24"/>
          <w:szCs w:val="24"/>
        </w:rPr>
        <w:t xml:space="preserve">. </w:t>
      </w:r>
    </w:p>
    <w:p w:rsidR="00A85B86" w:rsidRPr="002E4E30" w14:paraId="24CF56F4" w14:textId="77777777">
      <w:pPr>
        <w:spacing w:after="0" w:line="240" w:lineRule="auto"/>
        <w:rPr>
          <w:rFonts w:ascii="Times New Roman" w:hAnsi="Times New Roman"/>
          <w:sz w:val="24"/>
          <w:szCs w:val="24"/>
        </w:rPr>
      </w:pPr>
    </w:p>
    <w:p w:rsidR="00982095" w:rsidRPr="00B9285B" w:rsidP="003643F8" w14:paraId="664020F5" w14:textId="77777777">
      <w:pPr>
        <w:pStyle w:val="Heading2"/>
      </w:pPr>
      <w:r w:rsidRPr="00B9285B">
        <w:t>Costs to Federal Government</w:t>
      </w:r>
    </w:p>
    <w:p w:rsidR="003643F8" w:rsidP="003643F8" w14:paraId="6AEE5B43" w14:textId="77777777">
      <w:pPr>
        <w:spacing w:after="0" w:line="240" w:lineRule="auto"/>
      </w:pPr>
    </w:p>
    <w:p w:rsidR="007E5D7A" w:rsidP="003643F8" w14:paraId="47449F67" w14:textId="06A33886">
      <w:pPr>
        <w:spacing w:after="0" w:line="240" w:lineRule="auto"/>
        <w:rPr>
          <w:rFonts w:ascii="Times New Roman" w:hAnsi="Times New Roman"/>
          <w:sz w:val="24"/>
          <w:szCs w:val="24"/>
        </w:rPr>
      </w:pPr>
      <w:r w:rsidRPr="00371969">
        <w:rPr>
          <w:rFonts w:ascii="Times New Roman" w:hAnsi="Times New Roman"/>
          <w:color w:val="000000" w:themeColor="text1"/>
          <w:sz w:val="24"/>
          <w:szCs w:val="24"/>
        </w:rPr>
        <w:t>The cost of the government task order attributable to the work is</w:t>
      </w:r>
      <w:r w:rsidR="00230954">
        <w:rPr>
          <w:rFonts w:ascii="Times New Roman" w:hAnsi="Times New Roman"/>
          <w:color w:val="000000" w:themeColor="text1"/>
          <w:sz w:val="24"/>
          <w:szCs w:val="24"/>
        </w:rPr>
        <w:t xml:space="preserve"> $</w:t>
      </w:r>
      <w:r w:rsidR="002E34AA">
        <w:rPr>
          <w:rFonts w:ascii="Times New Roman" w:hAnsi="Times New Roman"/>
          <w:color w:val="000000" w:themeColor="text1"/>
          <w:sz w:val="24"/>
          <w:szCs w:val="24"/>
        </w:rPr>
        <w:t>603,996</w:t>
      </w:r>
      <w:r w:rsidR="00230954">
        <w:rPr>
          <w:rFonts w:ascii="Times New Roman" w:hAnsi="Times New Roman"/>
          <w:color w:val="000000" w:themeColor="text1"/>
          <w:sz w:val="24"/>
          <w:szCs w:val="24"/>
        </w:rPr>
        <w:t>.</w:t>
      </w:r>
      <w:r w:rsidRPr="00371969" w:rsidR="008F79FA">
        <w:rPr>
          <w:rFonts w:ascii="Times New Roman" w:hAnsi="Times New Roman"/>
          <w:color w:val="000000" w:themeColor="text1"/>
          <w:sz w:val="24"/>
          <w:szCs w:val="24"/>
        </w:rPr>
        <w:t xml:space="preserve"> </w:t>
      </w:r>
      <w:r w:rsidRPr="00371969" w:rsidR="00BA64F9">
        <w:rPr>
          <w:rFonts w:ascii="Times New Roman" w:hAnsi="Times New Roman"/>
          <w:color w:val="000000" w:themeColor="text1"/>
          <w:sz w:val="24"/>
          <w:szCs w:val="24"/>
        </w:rPr>
        <w:t>This</w:t>
      </w:r>
      <w:r w:rsidRPr="002E4E30" w:rsidR="00BA64F9">
        <w:rPr>
          <w:rFonts w:ascii="Times New Roman" w:hAnsi="Times New Roman"/>
          <w:color w:val="000000" w:themeColor="text1"/>
          <w:sz w:val="24"/>
          <w:szCs w:val="24"/>
        </w:rPr>
        <w:t xml:space="preserve"> cost includes salaried labor for contractor staff and other </w:t>
      </w:r>
      <w:r w:rsidR="00C62BB5">
        <w:rPr>
          <w:rFonts w:ascii="Times New Roman" w:hAnsi="Times New Roman"/>
          <w:color w:val="000000" w:themeColor="text1"/>
          <w:sz w:val="24"/>
          <w:szCs w:val="24"/>
        </w:rPr>
        <w:t xml:space="preserve">contractor </w:t>
      </w:r>
      <w:r w:rsidRPr="002E4E30" w:rsidR="00BA64F9">
        <w:rPr>
          <w:rFonts w:ascii="Times New Roman" w:hAnsi="Times New Roman"/>
          <w:color w:val="000000" w:themeColor="text1"/>
          <w:sz w:val="24"/>
          <w:szCs w:val="24"/>
        </w:rPr>
        <w:t xml:space="preserve">direct costs associated with planning and execution of the </w:t>
      </w:r>
      <w:r w:rsidR="00103813">
        <w:rPr>
          <w:rFonts w:ascii="Times New Roman" w:hAnsi="Times New Roman"/>
          <w:color w:val="000000" w:themeColor="text1"/>
          <w:sz w:val="24"/>
          <w:szCs w:val="24"/>
        </w:rPr>
        <w:t>interviews</w:t>
      </w:r>
      <w:r w:rsidRPr="002E4E30" w:rsidR="00BA64F9">
        <w:rPr>
          <w:rFonts w:ascii="Times New Roman" w:hAnsi="Times New Roman"/>
          <w:color w:val="000000" w:themeColor="text1"/>
          <w:sz w:val="24"/>
          <w:szCs w:val="24"/>
        </w:rPr>
        <w:t xml:space="preserve">. Federal staff responsibilities include overall management and oversight of the project, provision of content matter expertise in the development of the research </w:t>
      </w:r>
      <w:r w:rsidRPr="003643F8" w:rsidR="00BA64F9">
        <w:rPr>
          <w:rFonts w:ascii="Times New Roman" w:hAnsi="Times New Roman"/>
          <w:sz w:val="24"/>
          <w:szCs w:val="24"/>
        </w:rPr>
        <w:t>strategy and data collection instruments</w:t>
      </w:r>
      <w:r w:rsidR="00452C6A">
        <w:rPr>
          <w:rFonts w:ascii="Times New Roman" w:hAnsi="Times New Roman"/>
          <w:sz w:val="24"/>
          <w:szCs w:val="24"/>
        </w:rPr>
        <w:t>,</w:t>
      </w:r>
      <w:r w:rsidR="0065673F">
        <w:rPr>
          <w:rFonts w:ascii="Times New Roman" w:hAnsi="Times New Roman"/>
          <w:sz w:val="24"/>
          <w:szCs w:val="24"/>
        </w:rPr>
        <w:t xml:space="preserve"> </w:t>
      </w:r>
      <w:r w:rsidRPr="003643F8" w:rsidR="00BA64F9">
        <w:rPr>
          <w:rFonts w:ascii="Times New Roman" w:hAnsi="Times New Roman"/>
          <w:sz w:val="24"/>
          <w:szCs w:val="24"/>
        </w:rPr>
        <w:t>and overseeing all data analyses and dissemination activities.</w:t>
      </w:r>
    </w:p>
    <w:p w:rsidR="004914DE" w:rsidP="003643F8" w14:paraId="2E86C524" w14:textId="77777777">
      <w:pPr>
        <w:spacing w:after="0" w:line="240" w:lineRule="auto"/>
        <w:rPr>
          <w:rFonts w:ascii="Times New Roman" w:hAnsi="Times New Roman"/>
          <w:sz w:val="24"/>
          <w:szCs w:val="24"/>
        </w:rPr>
      </w:pPr>
    </w:p>
    <w:p w:rsidR="004914DE" w:rsidRPr="00BC17E5" w:rsidP="004914DE" w14:paraId="2DB6040C" w14:textId="352A4579">
      <w:pPr>
        <w:rPr>
          <w:rFonts w:ascii="Times New Roman" w:hAnsi="Times New Roman"/>
          <w:b/>
          <w:bCs/>
          <w:sz w:val="24"/>
          <w:szCs w:val="24"/>
        </w:rPr>
      </w:pPr>
      <w:r w:rsidRPr="00A43FCB">
        <w:rPr>
          <w:rFonts w:ascii="Times New Roman" w:hAnsi="Times New Roman"/>
          <w:b/>
          <w:sz w:val="24"/>
          <w:szCs w:val="24"/>
        </w:rPr>
        <w:t>Table A.</w:t>
      </w:r>
      <w:r w:rsidRPr="00A43FCB">
        <w:rPr>
          <w:rFonts w:ascii="Times New Roman" w:hAnsi="Times New Roman"/>
          <w:b/>
          <w:bCs/>
          <w:sz w:val="24"/>
          <w:szCs w:val="24"/>
        </w:rPr>
        <w:t>2</w:t>
      </w:r>
      <w:r w:rsidRPr="00A43FCB">
        <w:rPr>
          <w:rFonts w:ascii="Times New Roman" w:hAnsi="Times New Roman"/>
          <w:b/>
          <w:sz w:val="24"/>
          <w:szCs w:val="24"/>
        </w:rPr>
        <w:t>. Estimated Annualized Cost to the Federal Government</w:t>
      </w:r>
    </w:p>
    <w:tbl>
      <w:tblPr>
        <w:tblStyle w:val="TableGrid1"/>
        <w:tblW w:w="0" w:type="auto"/>
        <w:tblLook w:val="04A0"/>
      </w:tblPr>
      <w:tblGrid>
        <w:gridCol w:w="3635"/>
        <w:gridCol w:w="2919"/>
        <w:gridCol w:w="1450"/>
        <w:gridCol w:w="1346"/>
      </w:tblGrid>
      <w:tr w14:paraId="2F90F647" w14:textId="77777777" w:rsidTr="00235F7B">
        <w:tblPrEx>
          <w:tblW w:w="0" w:type="auto"/>
          <w:tblLook w:val="04A0"/>
        </w:tblPrEx>
        <w:trPr>
          <w:trHeight w:val="593"/>
        </w:trPr>
        <w:tc>
          <w:tcPr>
            <w:tcW w:w="3635" w:type="dxa"/>
            <w:tcBorders>
              <w:bottom w:val="single" w:sz="12" w:space="0" w:color="auto"/>
            </w:tcBorders>
            <w:shd w:val="clear" w:color="auto" w:fill="F2F2F2" w:themeFill="background1" w:themeFillShade="F2"/>
            <w:vAlign w:val="center"/>
          </w:tcPr>
          <w:p w:rsidR="004914DE" w:rsidRPr="00081E04" w:rsidP="00865863" w14:paraId="3AC61960" w14:textId="77777777">
            <w:pPr>
              <w:jc w:val="center"/>
              <w:rPr>
                <w:rFonts w:ascii="Times New Roman" w:hAnsi="Times New Roman" w:cs="Times New Roman"/>
                <w:b/>
                <w:sz w:val="20"/>
                <w:szCs w:val="20"/>
              </w:rPr>
            </w:pPr>
            <w:r w:rsidRPr="00081E04">
              <w:rPr>
                <w:rFonts w:ascii="Times New Roman" w:hAnsi="Times New Roman" w:cs="Times New Roman"/>
                <w:b/>
                <w:sz w:val="20"/>
                <w:szCs w:val="20"/>
              </w:rPr>
              <w:t xml:space="preserve">Staff (FTE) </w:t>
            </w:r>
          </w:p>
        </w:tc>
        <w:tc>
          <w:tcPr>
            <w:tcW w:w="2919" w:type="dxa"/>
            <w:tcBorders>
              <w:bottom w:val="single" w:sz="12" w:space="0" w:color="auto"/>
            </w:tcBorders>
            <w:shd w:val="clear" w:color="auto" w:fill="F2F2F2" w:themeFill="background1" w:themeFillShade="F2"/>
            <w:vAlign w:val="center"/>
          </w:tcPr>
          <w:p w:rsidR="004914DE" w:rsidRPr="00081E04" w:rsidP="00865863" w14:paraId="5CC8499F" w14:textId="77777777">
            <w:pPr>
              <w:jc w:val="center"/>
              <w:rPr>
                <w:rFonts w:ascii="Times New Roman" w:hAnsi="Times New Roman" w:cs="Times New Roman"/>
                <w:b/>
                <w:sz w:val="20"/>
                <w:szCs w:val="20"/>
              </w:rPr>
            </w:pPr>
            <w:r w:rsidRPr="00081E04">
              <w:rPr>
                <w:rFonts w:ascii="Times New Roman" w:hAnsi="Times New Roman" w:cs="Times New Roman"/>
                <w:b/>
                <w:sz w:val="20"/>
                <w:szCs w:val="20"/>
              </w:rPr>
              <w:t>Average Hours per Collection</w:t>
            </w:r>
          </w:p>
        </w:tc>
        <w:tc>
          <w:tcPr>
            <w:tcW w:w="1450" w:type="dxa"/>
            <w:tcBorders>
              <w:bottom w:val="single" w:sz="12" w:space="0" w:color="auto"/>
            </w:tcBorders>
            <w:shd w:val="clear" w:color="auto" w:fill="F2F2F2" w:themeFill="background1" w:themeFillShade="F2"/>
            <w:vAlign w:val="center"/>
          </w:tcPr>
          <w:p w:rsidR="004914DE" w:rsidRPr="00081E04" w:rsidP="00865863" w14:paraId="0ABD3920" w14:textId="77777777">
            <w:pPr>
              <w:jc w:val="center"/>
              <w:rPr>
                <w:rFonts w:ascii="Times New Roman" w:hAnsi="Times New Roman" w:cs="Times New Roman"/>
                <w:b/>
                <w:sz w:val="20"/>
                <w:szCs w:val="20"/>
              </w:rPr>
            </w:pPr>
            <w:r w:rsidRPr="00081E04">
              <w:rPr>
                <w:rFonts w:ascii="Times New Roman" w:hAnsi="Times New Roman" w:cs="Times New Roman"/>
                <w:b/>
                <w:sz w:val="20"/>
                <w:szCs w:val="20"/>
              </w:rPr>
              <w:t>Average Hourly Rate</w:t>
            </w:r>
          </w:p>
        </w:tc>
        <w:tc>
          <w:tcPr>
            <w:tcW w:w="1346" w:type="dxa"/>
            <w:tcBorders>
              <w:bottom w:val="single" w:sz="12" w:space="0" w:color="auto"/>
            </w:tcBorders>
            <w:shd w:val="clear" w:color="auto" w:fill="F2F2F2" w:themeFill="background1" w:themeFillShade="F2"/>
            <w:vAlign w:val="center"/>
          </w:tcPr>
          <w:p w:rsidR="004914DE" w:rsidRPr="00081E04" w:rsidP="00865863" w14:paraId="1845245E" w14:textId="77777777">
            <w:pPr>
              <w:jc w:val="center"/>
              <w:rPr>
                <w:rFonts w:ascii="Times New Roman" w:hAnsi="Times New Roman" w:cs="Times New Roman"/>
                <w:b/>
                <w:sz w:val="20"/>
                <w:szCs w:val="20"/>
              </w:rPr>
            </w:pPr>
            <w:r w:rsidRPr="00081E04">
              <w:rPr>
                <w:rFonts w:ascii="Times New Roman" w:hAnsi="Times New Roman" w:cs="Times New Roman"/>
                <w:b/>
                <w:sz w:val="20"/>
                <w:szCs w:val="20"/>
              </w:rPr>
              <w:t>Average Cost</w:t>
            </w:r>
          </w:p>
        </w:tc>
      </w:tr>
      <w:tr w14:paraId="56D59FB0" w14:textId="77777777" w:rsidTr="00865863">
        <w:tblPrEx>
          <w:tblW w:w="0" w:type="auto"/>
          <w:tblLook w:val="04A0"/>
        </w:tblPrEx>
        <w:tc>
          <w:tcPr>
            <w:tcW w:w="3635" w:type="dxa"/>
          </w:tcPr>
          <w:p w:rsidR="004914DE" w:rsidRPr="00081E04" w:rsidP="00865863" w14:paraId="6744CA3F" w14:textId="77777777">
            <w:pPr>
              <w:rPr>
                <w:rFonts w:ascii="Times New Roman" w:hAnsi="Times New Roman" w:cs="Times New Roman"/>
                <w:sz w:val="20"/>
                <w:szCs w:val="20"/>
              </w:rPr>
            </w:pPr>
            <w:r w:rsidRPr="00081E04">
              <w:rPr>
                <w:rFonts w:ascii="Times New Roman" w:hAnsi="Times New Roman" w:cs="Times New Roman"/>
                <w:sz w:val="20"/>
                <w:szCs w:val="20"/>
              </w:rPr>
              <w:t>Contractor labor</w:t>
            </w:r>
          </w:p>
        </w:tc>
        <w:tc>
          <w:tcPr>
            <w:tcW w:w="2919" w:type="dxa"/>
          </w:tcPr>
          <w:p w:rsidR="004914DE" w:rsidRPr="00081E04" w:rsidP="00865863" w14:paraId="550FC587" w14:textId="5E3FD3C0">
            <w:pPr>
              <w:jc w:val="center"/>
              <w:outlineLvl w:val="0"/>
              <w:rPr>
                <w:rFonts w:ascii="Times New Roman" w:hAnsi="Times New Roman" w:cs="Times New Roman"/>
                <w:color w:val="000000"/>
                <w:sz w:val="20"/>
                <w:szCs w:val="20"/>
              </w:rPr>
            </w:pPr>
            <w:r w:rsidRPr="00081E04">
              <w:rPr>
                <w:rFonts w:ascii="Times New Roman" w:hAnsi="Times New Roman" w:cs="Times New Roman"/>
                <w:color w:val="000000"/>
                <w:sz w:val="20"/>
                <w:szCs w:val="20"/>
              </w:rPr>
              <w:t xml:space="preserve">2,527 hours       </w:t>
            </w:r>
          </w:p>
          <w:p w:rsidR="004914DE" w:rsidRPr="00081E04" w:rsidP="00865863" w14:paraId="5919A26F" w14:textId="77777777">
            <w:pPr>
              <w:jc w:val="center"/>
              <w:rPr>
                <w:rFonts w:ascii="Times New Roman" w:hAnsi="Times New Roman" w:cs="Times New Roman"/>
                <w:sz w:val="20"/>
                <w:szCs w:val="20"/>
              </w:rPr>
            </w:pPr>
          </w:p>
        </w:tc>
        <w:tc>
          <w:tcPr>
            <w:tcW w:w="1450" w:type="dxa"/>
          </w:tcPr>
          <w:p w:rsidR="004914DE" w:rsidRPr="00081E04" w:rsidP="00865863" w14:paraId="477966B9" w14:textId="51AB5BA5">
            <w:pPr>
              <w:jc w:val="center"/>
              <w:rPr>
                <w:rFonts w:ascii="Times New Roman" w:hAnsi="Times New Roman" w:cs="Times New Roman"/>
                <w:sz w:val="20"/>
                <w:szCs w:val="20"/>
              </w:rPr>
            </w:pPr>
            <w:r w:rsidRPr="00081E04">
              <w:rPr>
                <w:rFonts w:ascii="Times New Roman" w:hAnsi="Times New Roman" w:cs="Times New Roman"/>
                <w:sz w:val="20"/>
                <w:szCs w:val="20"/>
              </w:rPr>
              <w:t>$180</w:t>
            </w:r>
          </w:p>
        </w:tc>
        <w:tc>
          <w:tcPr>
            <w:tcW w:w="1346" w:type="dxa"/>
          </w:tcPr>
          <w:p w:rsidR="004914DE" w:rsidRPr="00081E04" w:rsidP="00865863" w14:paraId="17669E5A" w14:textId="35E79C30">
            <w:pPr>
              <w:jc w:val="center"/>
              <w:rPr>
                <w:rFonts w:ascii="Times New Roman" w:hAnsi="Times New Roman" w:cs="Times New Roman"/>
                <w:sz w:val="20"/>
                <w:szCs w:val="20"/>
              </w:rPr>
            </w:pPr>
            <w:r w:rsidRPr="00081E04">
              <w:rPr>
                <w:rFonts w:ascii="Times New Roman" w:hAnsi="Times New Roman" w:cs="Times New Roman"/>
                <w:sz w:val="20"/>
                <w:szCs w:val="20"/>
              </w:rPr>
              <w:t>$454,017</w:t>
            </w:r>
          </w:p>
        </w:tc>
      </w:tr>
      <w:tr w14:paraId="44037CDB" w14:textId="77777777" w:rsidTr="00865863">
        <w:tblPrEx>
          <w:tblW w:w="0" w:type="auto"/>
          <w:tblLook w:val="04A0"/>
        </w:tblPrEx>
        <w:tc>
          <w:tcPr>
            <w:tcW w:w="3635" w:type="dxa"/>
          </w:tcPr>
          <w:p w:rsidR="004914DE" w:rsidRPr="00081E04" w:rsidP="00865863" w14:paraId="5C5BF73B" w14:textId="77777777">
            <w:pPr>
              <w:rPr>
                <w:rFonts w:ascii="Times New Roman" w:hAnsi="Times New Roman" w:cs="Times New Roman"/>
                <w:sz w:val="20"/>
                <w:szCs w:val="20"/>
              </w:rPr>
            </w:pPr>
            <w:r w:rsidRPr="00081E04">
              <w:rPr>
                <w:rFonts w:ascii="Times New Roman" w:hAnsi="Times New Roman" w:cs="Times New Roman"/>
                <w:sz w:val="20"/>
                <w:szCs w:val="20"/>
              </w:rPr>
              <w:t>Other contractor direct costs (recruitment, incentives, transcripts, online platform)</w:t>
            </w:r>
          </w:p>
        </w:tc>
        <w:tc>
          <w:tcPr>
            <w:tcW w:w="2919" w:type="dxa"/>
          </w:tcPr>
          <w:p w:rsidR="004914DE" w:rsidRPr="00081E04" w:rsidP="00865863" w14:paraId="4F287989" w14:textId="77777777">
            <w:pPr>
              <w:jc w:val="center"/>
              <w:rPr>
                <w:rFonts w:ascii="Times New Roman" w:hAnsi="Times New Roman" w:cs="Times New Roman"/>
                <w:sz w:val="20"/>
                <w:szCs w:val="20"/>
              </w:rPr>
            </w:pPr>
            <w:r w:rsidRPr="00081E04">
              <w:rPr>
                <w:rFonts w:ascii="Times New Roman" w:hAnsi="Times New Roman" w:cs="Times New Roman"/>
                <w:sz w:val="20"/>
                <w:szCs w:val="20"/>
              </w:rPr>
              <w:t>N/A</w:t>
            </w:r>
          </w:p>
        </w:tc>
        <w:tc>
          <w:tcPr>
            <w:tcW w:w="1450" w:type="dxa"/>
          </w:tcPr>
          <w:p w:rsidR="004914DE" w:rsidRPr="00230954" w:rsidP="00865863" w14:paraId="5ECB5436" w14:textId="77777777">
            <w:pPr>
              <w:jc w:val="center"/>
              <w:rPr>
                <w:rFonts w:ascii="Times New Roman" w:hAnsi="Times New Roman" w:cs="Times New Roman"/>
                <w:sz w:val="20"/>
                <w:szCs w:val="20"/>
              </w:rPr>
            </w:pPr>
            <w:r w:rsidRPr="00230954">
              <w:rPr>
                <w:rFonts w:ascii="Times New Roman" w:hAnsi="Times New Roman" w:cs="Times New Roman"/>
                <w:sz w:val="20"/>
                <w:szCs w:val="20"/>
              </w:rPr>
              <w:t>N/A</w:t>
            </w:r>
          </w:p>
        </w:tc>
        <w:tc>
          <w:tcPr>
            <w:tcW w:w="1346" w:type="dxa"/>
          </w:tcPr>
          <w:p w:rsidR="004914DE" w:rsidRPr="00230954" w:rsidP="00865863" w14:paraId="396A747C" w14:textId="115FAFB6">
            <w:pPr>
              <w:jc w:val="center"/>
              <w:rPr>
                <w:rFonts w:ascii="Times New Roman" w:hAnsi="Times New Roman" w:cs="Times New Roman"/>
                <w:sz w:val="20"/>
                <w:szCs w:val="20"/>
              </w:rPr>
            </w:pPr>
            <w:r w:rsidRPr="00230954">
              <w:rPr>
                <w:rFonts w:ascii="Times New Roman" w:hAnsi="Times New Roman" w:cs="Times New Roman"/>
                <w:sz w:val="20"/>
                <w:szCs w:val="20"/>
              </w:rPr>
              <w:t>$62,178</w:t>
            </w:r>
          </w:p>
        </w:tc>
      </w:tr>
      <w:tr w14:paraId="4862CEAA" w14:textId="77777777" w:rsidTr="00865863">
        <w:tblPrEx>
          <w:tblW w:w="0" w:type="auto"/>
          <w:tblLook w:val="04A0"/>
        </w:tblPrEx>
        <w:tc>
          <w:tcPr>
            <w:tcW w:w="3635" w:type="dxa"/>
          </w:tcPr>
          <w:p w:rsidR="004914DE" w:rsidRPr="00081E04" w:rsidP="00865863" w14:paraId="54D9C628" w14:textId="77777777">
            <w:pPr>
              <w:rPr>
                <w:rFonts w:ascii="Times New Roman" w:hAnsi="Times New Roman" w:cs="Times New Roman"/>
                <w:sz w:val="20"/>
                <w:szCs w:val="20"/>
              </w:rPr>
            </w:pPr>
            <w:r w:rsidRPr="00081E04">
              <w:rPr>
                <w:rFonts w:ascii="Times New Roman" w:hAnsi="Times New Roman" w:cs="Times New Roman"/>
                <w:sz w:val="20"/>
                <w:szCs w:val="20"/>
              </w:rPr>
              <w:t>Federal staff costs</w:t>
            </w:r>
          </w:p>
        </w:tc>
        <w:tc>
          <w:tcPr>
            <w:tcW w:w="2919" w:type="dxa"/>
          </w:tcPr>
          <w:p w:rsidR="004914DE" w:rsidRPr="00081E04" w:rsidP="00865863" w14:paraId="4193DC40" w14:textId="77777777">
            <w:pPr>
              <w:jc w:val="center"/>
              <w:rPr>
                <w:rFonts w:ascii="Times New Roman" w:hAnsi="Times New Roman" w:cs="Times New Roman"/>
                <w:sz w:val="20"/>
                <w:szCs w:val="20"/>
              </w:rPr>
            </w:pPr>
            <w:r w:rsidRPr="00081E04">
              <w:rPr>
                <w:rFonts w:ascii="Times New Roman" w:hAnsi="Times New Roman" w:cs="Times New Roman"/>
                <w:sz w:val="20"/>
                <w:szCs w:val="20"/>
              </w:rPr>
              <w:t>N/A</w:t>
            </w:r>
          </w:p>
        </w:tc>
        <w:tc>
          <w:tcPr>
            <w:tcW w:w="1450" w:type="dxa"/>
          </w:tcPr>
          <w:p w:rsidR="004914DE" w:rsidRPr="00230954" w:rsidP="00865863" w14:paraId="6075566B" w14:textId="77777777">
            <w:pPr>
              <w:jc w:val="center"/>
              <w:rPr>
                <w:rFonts w:ascii="Times New Roman" w:hAnsi="Times New Roman" w:cs="Times New Roman"/>
                <w:sz w:val="20"/>
                <w:szCs w:val="20"/>
              </w:rPr>
            </w:pPr>
            <w:r w:rsidRPr="00230954">
              <w:rPr>
                <w:rFonts w:ascii="Times New Roman" w:hAnsi="Times New Roman" w:cs="Times New Roman"/>
                <w:sz w:val="20"/>
                <w:szCs w:val="20"/>
              </w:rPr>
              <w:t>N/A</w:t>
            </w:r>
          </w:p>
        </w:tc>
        <w:tc>
          <w:tcPr>
            <w:tcW w:w="1346" w:type="dxa"/>
          </w:tcPr>
          <w:p w:rsidR="004914DE" w:rsidRPr="00230954" w:rsidP="00865863" w14:paraId="1081388A" w14:textId="46104219">
            <w:pPr>
              <w:jc w:val="center"/>
              <w:rPr>
                <w:rFonts w:ascii="Times New Roman" w:hAnsi="Times New Roman" w:cs="Times New Roman"/>
                <w:sz w:val="20"/>
                <w:szCs w:val="20"/>
              </w:rPr>
            </w:pPr>
            <w:r w:rsidRPr="00230954">
              <w:rPr>
                <w:rFonts w:ascii="Times New Roman" w:hAnsi="Times New Roman" w:cs="Times New Roman"/>
                <w:sz w:val="20"/>
                <w:szCs w:val="20"/>
              </w:rPr>
              <w:t>$63,576</w:t>
            </w:r>
          </w:p>
        </w:tc>
      </w:tr>
      <w:tr w14:paraId="1D57CB24" w14:textId="77777777" w:rsidTr="00865863">
        <w:tblPrEx>
          <w:tblW w:w="0" w:type="auto"/>
          <w:tblLook w:val="04A0"/>
        </w:tblPrEx>
        <w:tc>
          <w:tcPr>
            <w:tcW w:w="3635" w:type="dxa"/>
          </w:tcPr>
          <w:p w:rsidR="004914DE" w:rsidRPr="00081E04" w:rsidP="00865863" w14:paraId="119F2302" w14:textId="77777777">
            <w:pPr>
              <w:rPr>
                <w:rFonts w:ascii="Times New Roman" w:hAnsi="Times New Roman" w:cs="Times New Roman"/>
                <w:sz w:val="20"/>
                <w:szCs w:val="20"/>
              </w:rPr>
            </w:pPr>
            <w:r w:rsidRPr="00081E04">
              <w:rPr>
                <w:rFonts w:ascii="Times New Roman" w:hAnsi="Times New Roman" w:cs="Times New Roman"/>
                <w:sz w:val="20"/>
                <w:szCs w:val="20"/>
              </w:rPr>
              <w:t>Federal Contract Officer’s Representative (COR) – contract management</w:t>
            </w:r>
          </w:p>
        </w:tc>
        <w:tc>
          <w:tcPr>
            <w:tcW w:w="2919" w:type="dxa"/>
          </w:tcPr>
          <w:p w:rsidR="004914DE" w:rsidRPr="00081E04" w:rsidP="00865863" w14:paraId="210EAFA3" w14:textId="70E5A3E5">
            <w:pPr>
              <w:jc w:val="center"/>
              <w:rPr>
                <w:rFonts w:ascii="Times New Roman" w:hAnsi="Times New Roman" w:cs="Times New Roman"/>
                <w:sz w:val="20"/>
                <w:szCs w:val="20"/>
              </w:rPr>
            </w:pPr>
            <w:r w:rsidRPr="00081E04">
              <w:rPr>
                <w:rFonts w:ascii="Times New Roman" w:hAnsi="Times New Roman" w:cs="Times New Roman"/>
                <w:sz w:val="20"/>
                <w:szCs w:val="20"/>
              </w:rPr>
              <w:t>N/A</w:t>
            </w:r>
          </w:p>
        </w:tc>
        <w:tc>
          <w:tcPr>
            <w:tcW w:w="1450" w:type="dxa"/>
          </w:tcPr>
          <w:p w:rsidR="004914DE" w:rsidRPr="00230954" w:rsidP="00865863" w14:paraId="4B74C4A0" w14:textId="3F35F167">
            <w:pPr>
              <w:jc w:val="center"/>
              <w:rPr>
                <w:rFonts w:ascii="Times New Roman" w:hAnsi="Times New Roman" w:cs="Times New Roman"/>
                <w:sz w:val="20"/>
                <w:szCs w:val="20"/>
              </w:rPr>
            </w:pPr>
            <w:r w:rsidRPr="00230954">
              <w:rPr>
                <w:rFonts w:ascii="Times New Roman" w:hAnsi="Times New Roman" w:cs="Times New Roman"/>
                <w:sz w:val="20"/>
                <w:szCs w:val="20"/>
              </w:rPr>
              <w:t>N/A</w:t>
            </w:r>
          </w:p>
        </w:tc>
        <w:tc>
          <w:tcPr>
            <w:tcW w:w="1346" w:type="dxa"/>
          </w:tcPr>
          <w:p w:rsidR="004914DE" w:rsidRPr="00230954" w:rsidP="00865863" w14:paraId="59A801BE" w14:textId="3175D21C">
            <w:pPr>
              <w:jc w:val="center"/>
              <w:rPr>
                <w:rFonts w:ascii="Times New Roman" w:hAnsi="Times New Roman" w:cs="Times New Roman"/>
                <w:sz w:val="20"/>
                <w:szCs w:val="20"/>
              </w:rPr>
            </w:pPr>
            <w:r w:rsidRPr="00230954">
              <w:rPr>
                <w:rFonts w:ascii="Times New Roman" w:hAnsi="Times New Roman" w:cs="Times New Roman"/>
                <w:sz w:val="20"/>
                <w:szCs w:val="20"/>
              </w:rPr>
              <w:t>N/A</w:t>
            </w:r>
          </w:p>
        </w:tc>
      </w:tr>
      <w:tr w14:paraId="69F15CB9" w14:textId="77777777" w:rsidTr="00865863">
        <w:tblPrEx>
          <w:tblW w:w="0" w:type="auto"/>
          <w:tblLook w:val="04A0"/>
        </w:tblPrEx>
        <w:trPr>
          <w:trHeight w:val="60"/>
        </w:trPr>
        <w:tc>
          <w:tcPr>
            <w:tcW w:w="8004" w:type="dxa"/>
            <w:gridSpan w:val="3"/>
          </w:tcPr>
          <w:p w:rsidR="004914DE" w:rsidRPr="00230954" w:rsidP="00865863" w14:paraId="4C18D3E2" w14:textId="77777777">
            <w:pPr>
              <w:jc w:val="center"/>
              <w:rPr>
                <w:rFonts w:ascii="Times New Roman" w:hAnsi="Times New Roman" w:cs="Times New Roman"/>
                <w:sz w:val="20"/>
                <w:szCs w:val="20"/>
              </w:rPr>
            </w:pPr>
            <w:r w:rsidRPr="00230954">
              <w:rPr>
                <w:rFonts w:ascii="Times New Roman" w:hAnsi="Times New Roman" w:cs="Times New Roman"/>
                <w:b/>
                <w:sz w:val="20"/>
                <w:szCs w:val="20"/>
              </w:rPr>
              <w:t>Estimated Total Cost of Information Collection</w:t>
            </w:r>
          </w:p>
        </w:tc>
        <w:tc>
          <w:tcPr>
            <w:tcW w:w="1346" w:type="dxa"/>
          </w:tcPr>
          <w:p w:rsidR="004914DE" w:rsidRPr="00230954" w:rsidP="00865863" w14:paraId="6F855A98" w14:textId="342640E3">
            <w:pPr>
              <w:jc w:val="center"/>
              <w:rPr>
                <w:rFonts w:ascii="Times New Roman" w:hAnsi="Times New Roman" w:cs="Times New Roman"/>
                <w:sz w:val="20"/>
                <w:szCs w:val="20"/>
              </w:rPr>
            </w:pPr>
            <w:r w:rsidRPr="00230954">
              <w:rPr>
                <w:rFonts w:ascii="Times New Roman" w:hAnsi="Times New Roman" w:cs="Times New Roman"/>
                <w:b/>
                <w:sz w:val="20"/>
                <w:szCs w:val="20"/>
              </w:rPr>
              <w:t>$579,771</w:t>
            </w:r>
          </w:p>
        </w:tc>
      </w:tr>
    </w:tbl>
    <w:p w:rsidR="004914DE" w:rsidP="003643F8" w14:paraId="22F86135" w14:textId="77777777">
      <w:pPr>
        <w:spacing w:after="0" w:line="240" w:lineRule="auto"/>
        <w:rPr>
          <w:rFonts w:ascii="Times New Roman" w:hAnsi="Times New Roman"/>
          <w:sz w:val="24"/>
          <w:szCs w:val="24"/>
        </w:rPr>
      </w:pPr>
    </w:p>
    <w:p w:rsidR="003643F8" w:rsidRPr="003643F8" w:rsidP="003643F8" w14:paraId="4D6A6DD9" w14:textId="77777777">
      <w:pPr>
        <w:spacing w:after="0" w:line="240" w:lineRule="auto"/>
        <w:rPr>
          <w:rFonts w:ascii="Times New Roman" w:hAnsi="Times New Roman"/>
          <w:sz w:val="24"/>
          <w:szCs w:val="24"/>
        </w:rPr>
      </w:pPr>
    </w:p>
    <w:p w:rsidR="00982095" w:rsidRPr="002E4E30" w:rsidP="003643F8" w14:paraId="7FF430B3" w14:textId="77777777">
      <w:pPr>
        <w:pStyle w:val="Heading2"/>
      </w:pPr>
      <w:r w:rsidRPr="002E4E30">
        <w:t>Reason for Change</w:t>
      </w:r>
    </w:p>
    <w:p w:rsidR="00982095" w:rsidRPr="002E4E30" w14:paraId="55FD4D1F" w14:textId="77777777">
      <w:pPr>
        <w:pStyle w:val="ListParagraph"/>
        <w:spacing w:after="0" w:line="240" w:lineRule="auto"/>
        <w:ind w:left="0"/>
        <w:rPr>
          <w:rFonts w:ascii="Times New Roman" w:hAnsi="Times New Roman"/>
          <w:b/>
          <w:sz w:val="24"/>
          <w:szCs w:val="24"/>
        </w:rPr>
      </w:pPr>
    </w:p>
    <w:p w:rsidR="00982095" w:rsidRPr="002E4E30" w14:paraId="71846F1B" w14:textId="76084906">
      <w:pPr>
        <w:spacing w:after="0" w:line="240" w:lineRule="auto"/>
        <w:rPr>
          <w:rFonts w:ascii="Times New Roman" w:hAnsi="Times New Roman"/>
          <w:sz w:val="24"/>
          <w:szCs w:val="24"/>
        </w:rPr>
      </w:pPr>
      <w:r w:rsidRPr="002E4E30">
        <w:rPr>
          <w:rFonts w:ascii="Times New Roman" w:hAnsi="Times New Roman"/>
          <w:sz w:val="24"/>
          <w:szCs w:val="24"/>
        </w:rPr>
        <w:t xml:space="preserve">This is a new, one-time </w:t>
      </w:r>
      <w:r w:rsidR="00452C6A">
        <w:rPr>
          <w:rFonts w:ascii="Times New Roman" w:hAnsi="Times New Roman"/>
          <w:sz w:val="24"/>
          <w:szCs w:val="24"/>
        </w:rPr>
        <w:t xml:space="preserve">interview </w:t>
      </w:r>
      <w:r w:rsidRPr="002E4E30">
        <w:rPr>
          <w:rFonts w:ascii="Times New Roman" w:hAnsi="Times New Roman"/>
          <w:sz w:val="24"/>
          <w:szCs w:val="24"/>
        </w:rPr>
        <w:t>data collection</w:t>
      </w:r>
      <w:r w:rsidR="00452C6A">
        <w:rPr>
          <w:rFonts w:ascii="Times New Roman" w:hAnsi="Times New Roman"/>
          <w:sz w:val="24"/>
          <w:szCs w:val="24"/>
        </w:rPr>
        <w:t xml:space="preserve"> effort</w:t>
      </w:r>
      <w:r w:rsidRPr="002E4E30">
        <w:rPr>
          <w:rFonts w:ascii="Times New Roman" w:hAnsi="Times New Roman"/>
          <w:sz w:val="24"/>
          <w:szCs w:val="24"/>
        </w:rPr>
        <w:t>.</w:t>
      </w:r>
      <w:r w:rsidRPr="002E4E30" w:rsidR="00BA38DB">
        <w:rPr>
          <w:rFonts w:ascii="Times New Roman" w:hAnsi="Times New Roman"/>
          <w:sz w:val="24"/>
          <w:szCs w:val="24"/>
        </w:rPr>
        <w:t xml:space="preserve"> There is no change.</w:t>
      </w:r>
    </w:p>
    <w:p w:rsidR="00F351E3" w:rsidRPr="002E4E30" w14:paraId="00A75EA4" w14:textId="77777777">
      <w:pPr>
        <w:spacing w:after="0" w:line="240" w:lineRule="auto"/>
        <w:rPr>
          <w:rFonts w:ascii="Times New Roman" w:hAnsi="Times New Roman"/>
          <w:b/>
          <w:sz w:val="24"/>
          <w:szCs w:val="24"/>
        </w:rPr>
      </w:pPr>
    </w:p>
    <w:p w:rsidR="00982095" w:rsidRPr="002E4E30" w:rsidP="003643F8" w14:paraId="2FE6688F" w14:textId="77777777">
      <w:pPr>
        <w:pStyle w:val="Heading2"/>
      </w:pPr>
      <w:r w:rsidRPr="002E4E30">
        <w:t>Tabulation of Results, Schedule, Analysis Plans</w:t>
      </w:r>
    </w:p>
    <w:p w:rsidR="00982095" w:rsidRPr="002E4E30" w14:paraId="35460B85" w14:textId="77777777">
      <w:pPr>
        <w:spacing w:after="0" w:line="240" w:lineRule="auto"/>
        <w:rPr>
          <w:rFonts w:ascii="Times New Roman" w:hAnsi="Times New Roman"/>
          <w:sz w:val="24"/>
          <w:szCs w:val="24"/>
        </w:rPr>
      </w:pPr>
    </w:p>
    <w:p w:rsidR="00EB220B" w:rsidP="006461A2" w14:paraId="316DA262" w14:textId="4AE75312">
      <w:pPr>
        <w:spacing w:after="0" w:line="240" w:lineRule="auto"/>
        <w:rPr>
          <w:rFonts w:ascii="Times New Roman" w:hAnsi="Times New Roman"/>
          <w:color w:val="000000" w:themeColor="text1"/>
          <w:sz w:val="24"/>
          <w:szCs w:val="24"/>
        </w:rPr>
      </w:pPr>
      <w:r>
        <w:rPr>
          <w:rFonts w:ascii="Times New Roman" w:hAnsi="Times New Roman"/>
          <w:sz w:val="24"/>
          <w:szCs w:val="24"/>
        </w:rPr>
        <w:t>Information shared by respondents in interviews will be audio- or video-recorded (depending on respondent preference</w:t>
      </w:r>
      <w:r w:rsidR="00597E64">
        <w:rPr>
          <w:rFonts w:ascii="Times New Roman" w:hAnsi="Times New Roman"/>
          <w:sz w:val="24"/>
          <w:szCs w:val="24"/>
        </w:rPr>
        <w:t xml:space="preserve"> on using video during interviews</w:t>
      </w:r>
      <w:r>
        <w:rPr>
          <w:rFonts w:ascii="Times New Roman" w:hAnsi="Times New Roman"/>
          <w:sz w:val="24"/>
          <w:szCs w:val="24"/>
        </w:rPr>
        <w:t>)</w:t>
      </w:r>
      <w:r w:rsidR="002A5937">
        <w:rPr>
          <w:rFonts w:ascii="Times New Roman" w:hAnsi="Times New Roman"/>
          <w:sz w:val="24"/>
          <w:szCs w:val="24"/>
        </w:rPr>
        <w:t xml:space="preserve">, with study team </w:t>
      </w:r>
      <w:r w:rsidR="000542BD">
        <w:rPr>
          <w:rFonts w:ascii="Times New Roman" w:hAnsi="Times New Roman"/>
          <w:sz w:val="24"/>
          <w:szCs w:val="24"/>
        </w:rPr>
        <w:t xml:space="preserve">interviewers </w:t>
      </w:r>
      <w:r w:rsidR="002A5937">
        <w:rPr>
          <w:rFonts w:ascii="Times New Roman" w:hAnsi="Times New Roman"/>
          <w:sz w:val="24"/>
          <w:szCs w:val="24"/>
        </w:rPr>
        <w:t>taking notes electronically on their computers</w:t>
      </w:r>
      <w:r>
        <w:rPr>
          <w:rFonts w:ascii="Times New Roman" w:hAnsi="Times New Roman"/>
          <w:sz w:val="24"/>
          <w:szCs w:val="24"/>
        </w:rPr>
        <w:t xml:space="preserve">. Transcripts </w:t>
      </w:r>
      <w:r w:rsidR="002A5937">
        <w:rPr>
          <w:rFonts w:ascii="Times New Roman" w:hAnsi="Times New Roman"/>
          <w:sz w:val="24"/>
          <w:szCs w:val="24"/>
        </w:rPr>
        <w:t xml:space="preserve">will be generated from the interviews </w:t>
      </w:r>
      <w:r w:rsidR="00B53980">
        <w:rPr>
          <w:rFonts w:ascii="Times New Roman" w:hAnsi="Times New Roman"/>
          <w:sz w:val="24"/>
          <w:szCs w:val="24"/>
        </w:rPr>
        <w:t xml:space="preserve">for later </w:t>
      </w:r>
      <w:r w:rsidR="00452C6A">
        <w:rPr>
          <w:rFonts w:ascii="Times New Roman" w:hAnsi="Times New Roman"/>
          <w:sz w:val="24"/>
          <w:szCs w:val="24"/>
        </w:rPr>
        <w:t xml:space="preserve">coding and analysis </w:t>
      </w:r>
      <w:r w:rsidR="00B53980">
        <w:rPr>
          <w:rFonts w:ascii="Times New Roman" w:hAnsi="Times New Roman"/>
          <w:sz w:val="24"/>
          <w:szCs w:val="24"/>
        </w:rPr>
        <w:t xml:space="preserve">and will be </w:t>
      </w:r>
      <w:r w:rsidRPr="002E4E30">
        <w:rPr>
          <w:rFonts w:ascii="Times New Roman" w:hAnsi="Times New Roman"/>
          <w:color w:val="000000" w:themeColor="text1"/>
          <w:sz w:val="24"/>
          <w:szCs w:val="24"/>
        </w:rPr>
        <w:t>reviewed for completeness and accuracy</w:t>
      </w:r>
      <w:r w:rsidR="00CD4BCD">
        <w:rPr>
          <w:rFonts w:ascii="Times New Roman" w:hAnsi="Times New Roman"/>
          <w:color w:val="000000" w:themeColor="text1"/>
          <w:sz w:val="24"/>
          <w:szCs w:val="24"/>
        </w:rPr>
        <w:t>. Information gathered will yield rich, descriptive information related to succ</w:t>
      </w:r>
      <w:r w:rsidRPr="00D507B7" w:rsidR="00CD4BCD">
        <w:rPr>
          <w:rFonts w:ascii="Times New Roman" w:hAnsi="Times New Roman"/>
          <w:sz w:val="24"/>
          <w:szCs w:val="24"/>
        </w:rPr>
        <w:t xml:space="preserve">essful and novel COVID-19 vaccination </w:t>
      </w:r>
      <w:r w:rsidR="00094E08">
        <w:rPr>
          <w:rFonts w:ascii="Times New Roman" w:hAnsi="Times New Roman"/>
          <w:sz w:val="24"/>
          <w:szCs w:val="24"/>
        </w:rPr>
        <w:t>and testing</w:t>
      </w:r>
      <w:r w:rsidRPr="00D507B7" w:rsidR="00CD4BCD">
        <w:rPr>
          <w:rFonts w:ascii="Times New Roman" w:hAnsi="Times New Roman"/>
          <w:sz w:val="24"/>
          <w:szCs w:val="24"/>
        </w:rPr>
        <w:t xml:space="preserve"> programs and routine vaccination programs</w:t>
      </w:r>
      <w:r w:rsidR="00CD4BCD">
        <w:rPr>
          <w:rFonts w:ascii="Times New Roman" w:hAnsi="Times New Roman"/>
          <w:sz w:val="24"/>
          <w:szCs w:val="24"/>
        </w:rPr>
        <w:t>,</w:t>
      </w:r>
      <w:r w:rsidRPr="00D507B7" w:rsidR="00CD4BCD">
        <w:rPr>
          <w:rFonts w:ascii="Times New Roman" w:hAnsi="Times New Roman"/>
          <w:sz w:val="24"/>
          <w:szCs w:val="24"/>
        </w:rPr>
        <w:t xml:space="preserve"> as well as the contextual factors and implementation strategies that influence their success</w:t>
      </w:r>
      <w:r w:rsidRPr="002E4E30" w:rsidR="00CD4BCD">
        <w:rPr>
          <w:rFonts w:ascii="Times New Roman" w:hAnsi="Times New Roman"/>
          <w:sz w:val="24"/>
          <w:szCs w:val="24"/>
        </w:rPr>
        <w:t>.</w:t>
      </w:r>
      <w:r w:rsidR="000542BD">
        <w:rPr>
          <w:rFonts w:ascii="Times New Roman" w:hAnsi="Times New Roman"/>
          <w:sz w:val="24"/>
          <w:szCs w:val="24"/>
        </w:rPr>
        <w:t xml:space="preserve"> The data </w:t>
      </w:r>
      <w:r w:rsidR="00DC0D90">
        <w:rPr>
          <w:rFonts w:ascii="Times New Roman" w:hAnsi="Times New Roman"/>
          <w:sz w:val="24"/>
          <w:szCs w:val="24"/>
        </w:rPr>
        <w:t xml:space="preserve">collection effort is not </w:t>
      </w:r>
      <w:r w:rsidR="000542BD">
        <w:rPr>
          <w:rFonts w:ascii="Times New Roman" w:hAnsi="Times New Roman"/>
          <w:sz w:val="24"/>
          <w:szCs w:val="24"/>
        </w:rPr>
        <w:t xml:space="preserve">designed or expected to yield statistically reliable results. The study team will qualitatively code the transcripts and </w:t>
      </w:r>
      <w:r w:rsidR="004E373E">
        <w:rPr>
          <w:rFonts w:ascii="Times New Roman" w:hAnsi="Times New Roman"/>
          <w:sz w:val="24"/>
          <w:szCs w:val="24"/>
        </w:rPr>
        <w:t xml:space="preserve">generate </w:t>
      </w:r>
      <w:r w:rsidR="0043087E">
        <w:rPr>
          <w:rFonts w:ascii="Times New Roman" w:hAnsi="Times New Roman"/>
          <w:sz w:val="24"/>
          <w:szCs w:val="24"/>
        </w:rPr>
        <w:t>findings</w:t>
      </w:r>
      <w:r w:rsidR="004E373E">
        <w:rPr>
          <w:rFonts w:ascii="Times New Roman" w:hAnsi="Times New Roman"/>
          <w:sz w:val="24"/>
          <w:szCs w:val="24"/>
        </w:rPr>
        <w:t xml:space="preserve"> </w:t>
      </w:r>
      <w:r w:rsidR="006461A2">
        <w:rPr>
          <w:rFonts w:ascii="Times New Roman" w:hAnsi="Times New Roman"/>
          <w:sz w:val="24"/>
          <w:szCs w:val="24"/>
        </w:rPr>
        <w:t xml:space="preserve">that will contribute to answers to </w:t>
      </w:r>
      <w:r w:rsidR="004E373E">
        <w:rPr>
          <w:rFonts w:ascii="Times New Roman" w:hAnsi="Times New Roman"/>
          <w:sz w:val="24"/>
          <w:szCs w:val="24"/>
        </w:rPr>
        <w:t xml:space="preserve">the </w:t>
      </w:r>
      <w:r w:rsidR="006461A2">
        <w:rPr>
          <w:rFonts w:ascii="Times New Roman" w:hAnsi="Times New Roman"/>
          <w:sz w:val="24"/>
          <w:szCs w:val="24"/>
        </w:rPr>
        <w:t xml:space="preserve">study’s </w:t>
      </w:r>
      <w:r w:rsidR="004E373E">
        <w:rPr>
          <w:rFonts w:ascii="Times New Roman" w:hAnsi="Times New Roman"/>
          <w:sz w:val="24"/>
          <w:szCs w:val="24"/>
        </w:rPr>
        <w:t>research questions.</w:t>
      </w:r>
      <w:r w:rsidR="006461A2">
        <w:rPr>
          <w:rFonts w:ascii="Times New Roman" w:hAnsi="Times New Roman"/>
          <w:sz w:val="24"/>
          <w:szCs w:val="24"/>
        </w:rPr>
        <w:t xml:space="preserve"> </w:t>
      </w:r>
      <w:r w:rsidRPr="002E4E30">
        <w:rPr>
          <w:rFonts w:ascii="Times New Roman" w:hAnsi="Times New Roman"/>
          <w:color w:val="000000" w:themeColor="text1"/>
          <w:sz w:val="24"/>
          <w:szCs w:val="24"/>
        </w:rPr>
        <w:t xml:space="preserve">No personal information will be reported </w:t>
      </w:r>
      <w:r w:rsidRPr="002E4E30" w:rsidR="00A65726">
        <w:rPr>
          <w:rFonts w:ascii="Times New Roman" w:hAnsi="Times New Roman"/>
          <w:color w:val="000000" w:themeColor="text1"/>
          <w:sz w:val="24"/>
          <w:szCs w:val="24"/>
        </w:rPr>
        <w:t>in the dissemination of findings.</w:t>
      </w:r>
    </w:p>
    <w:p w:rsidR="000C0032" w:rsidRPr="002E4E30" w:rsidP="006461A2" w14:paraId="43F4A3CE" w14:textId="77777777">
      <w:pPr>
        <w:spacing w:after="0" w:line="240" w:lineRule="auto"/>
        <w:rPr>
          <w:rFonts w:ascii="Times New Roman" w:hAnsi="Times New Roman"/>
          <w:color w:val="000000" w:themeColor="text1"/>
          <w:sz w:val="24"/>
          <w:szCs w:val="24"/>
        </w:rPr>
      </w:pPr>
    </w:p>
    <w:p w:rsidR="00EB220B" w:rsidRPr="00C57E13" w:rsidP="00F924A2" w14:paraId="24265123" w14:textId="08A0B1D6">
      <w:pPr>
        <w:spacing w:line="240" w:lineRule="auto"/>
        <w:rPr>
          <w:rFonts w:ascii="Times New Roman" w:hAnsi="Times New Roman"/>
          <w:color w:val="000000" w:themeColor="text1"/>
          <w:sz w:val="24"/>
          <w:szCs w:val="24"/>
        </w:rPr>
      </w:pPr>
      <w:r w:rsidRPr="00C57E13">
        <w:rPr>
          <w:rFonts w:ascii="Times New Roman" w:hAnsi="Times New Roman"/>
          <w:b/>
          <w:bCs/>
          <w:color w:val="000000" w:themeColor="text1"/>
          <w:sz w:val="24"/>
          <w:szCs w:val="24"/>
        </w:rPr>
        <w:t xml:space="preserve">Table </w:t>
      </w:r>
      <w:r w:rsidRPr="00C57E13" w:rsidR="000C0032">
        <w:rPr>
          <w:rFonts w:ascii="Times New Roman" w:hAnsi="Times New Roman"/>
          <w:b/>
          <w:bCs/>
          <w:color w:val="000000" w:themeColor="text1"/>
          <w:sz w:val="24"/>
          <w:szCs w:val="24"/>
        </w:rPr>
        <w:t>A.</w:t>
      </w:r>
      <w:r w:rsidR="00235F7B">
        <w:rPr>
          <w:rFonts w:ascii="Times New Roman" w:hAnsi="Times New Roman"/>
          <w:b/>
          <w:bCs/>
          <w:color w:val="000000" w:themeColor="text1"/>
          <w:sz w:val="24"/>
          <w:szCs w:val="24"/>
        </w:rPr>
        <w:t>3</w:t>
      </w:r>
      <w:r w:rsidRPr="00C57E13">
        <w:rPr>
          <w:rFonts w:ascii="Times New Roman" w:hAnsi="Times New Roman"/>
          <w:b/>
          <w:bCs/>
          <w:color w:val="000000" w:themeColor="text1"/>
          <w:sz w:val="24"/>
          <w:szCs w:val="24"/>
        </w:rPr>
        <w:t xml:space="preserve">. </w:t>
      </w:r>
      <w:r w:rsidRPr="00C57E13">
        <w:rPr>
          <w:rFonts w:ascii="Times New Roman" w:hAnsi="Times New Roman"/>
          <w:b/>
          <w:bCs/>
          <w:color w:val="000000" w:themeColor="text1"/>
          <w:sz w:val="24"/>
          <w:szCs w:val="24"/>
        </w:rPr>
        <w:t>Timeline</w:t>
      </w:r>
    </w:p>
    <w:tbl>
      <w:tblPr>
        <w:tblW w:w="0" w:type="auto"/>
        <w:tblLayout w:type="fixed"/>
        <w:tblLook w:val="0000"/>
      </w:tblPr>
      <w:tblGrid>
        <w:gridCol w:w="2595"/>
        <w:gridCol w:w="6135"/>
      </w:tblGrid>
      <w:tr w14:paraId="768D991A" w14:textId="77777777" w:rsidTr="00235F7B">
        <w:tblPrEx>
          <w:tblW w:w="0" w:type="auto"/>
          <w:tblLayout w:type="fixed"/>
          <w:tblLook w:val="0000"/>
        </w:tblPrEx>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EB220B" w:rsidRPr="00081E04" w:rsidP="008611B8" w14:paraId="6D037298" w14:textId="7A007BAB">
            <w:pPr>
              <w:spacing w:line="240" w:lineRule="auto"/>
              <w:rPr>
                <w:rFonts w:ascii="Times New Roman" w:hAnsi="Times New Roman"/>
                <w:sz w:val="20"/>
                <w:szCs w:val="20"/>
              </w:rPr>
            </w:pPr>
            <w:r w:rsidRPr="00081E04">
              <w:rPr>
                <w:rFonts w:ascii="Times New Roman" w:hAnsi="Times New Roman"/>
                <w:b/>
                <w:sz w:val="20"/>
                <w:szCs w:val="20"/>
              </w:rPr>
              <w:t>Completion Date</w:t>
            </w:r>
          </w:p>
        </w:tc>
        <w:tc>
          <w:tcPr>
            <w:tcW w:w="61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EB220B" w:rsidRPr="00081E04" w:rsidP="008611B8" w14:paraId="38502AFA" w14:textId="77777777">
            <w:pPr>
              <w:spacing w:line="240" w:lineRule="auto"/>
              <w:rPr>
                <w:rFonts w:ascii="Times New Roman" w:hAnsi="Times New Roman"/>
                <w:sz w:val="20"/>
                <w:szCs w:val="20"/>
              </w:rPr>
            </w:pPr>
            <w:r w:rsidRPr="00081E04">
              <w:rPr>
                <w:rFonts w:ascii="Times New Roman" w:hAnsi="Times New Roman"/>
                <w:b/>
                <w:sz w:val="20"/>
                <w:szCs w:val="20"/>
              </w:rPr>
              <w:t>Major Tasks/Milestones</w:t>
            </w:r>
          </w:p>
        </w:tc>
      </w:tr>
      <w:tr w14:paraId="211D6F00" w14:textId="77777777" w:rsidTr="008611B8">
        <w:tblPrEx>
          <w:tblW w:w="0" w:type="auto"/>
          <w:tblLayout w:type="fixed"/>
          <w:tblLook w:val="0000"/>
        </w:tblPrEx>
        <w:trPr>
          <w:trHeight w:val="555"/>
        </w:trPr>
        <w:tc>
          <w:tcPr>
            <w:tcW w:w="2595" w:type="dxa"/>
            <w:tcBorders>
              <w:top w:val="single" w:sz="6" w:space="0" w:color="auto"/>
              <w:left w:val="single" w:sz="6" w:space="0" w:color="auto"/>
              <w:bottom w:val="single" w:sz="6" w:space="0" w:color="auto"/>
              <w:right w:val="single" w:sz="6" w:space="0" w:color="auto"/>
            </w:tcBorders>
          </w:tcPr>
          <w:p w:rsidR="00945995" w:rsidRPr="00081E04" w:rsidP="008611B8" w14:paraId="7AA8DAFC" w14:textId="74A72A7B">
            <w:pPr>
              <w:tabs>
                <w:tab w:val="left" w:pos="7020"/>
              </w:tabs>
              <w:spacing w:line="240" w:lineRule="auto"/>
              <w:ind w:left="468" w:hanging="360"/>
              <w:rPr>
                <w:rFonts w:ascii="Times New Roman" w:hAnsi="Times New Roman"/>
                <w:sz w:val="20"/>
                <w:szCs w:val="20"/>
              </w:rPr>
            </w:pPr>
            <w:r w:rsidRPr="00081E04">
              <w:rPr>
                <w:rFonts w:ascii="Times New Roman" w:hAnsi="Times New Roman"/>
                <w:sz w:val="20"/>
                <w:szCs w:val="20"/>
              </w:rPr>
              <w:t>February 2024</w:t>
            </w:r>
          </w:p>
        </w:tc>
        <w:tc>
          <w:tcPr>
            <w:tcW w:w="6135" w:type="dxa"/>
            <w:tcBorders>
              <w:top w:val="single" w:sz="6" w:space="0" w:color="auto"/>
              <w:left w:val="single" w:sz="6" w:space="0" w:color="auto"/>
              <w:bottom w:val="single" w:sz="6" w:space="0" w:color="auto"/>
              <w:right w:val="single" w:sz="6" w:space="0" w:color="auto"/>
            </w:tcBorders>
          </w:tcPr>
          <w:p w:rsidR="00945995" w:rsidRPr="00081E04" w:rsidP="008611B8" w14:paraId="3AE5E8B6" w14:textId="56835073">
            <w:pPr>
              <w:tabs>
                <w:tab w:val="left" w:pos="7020"/>
              </w:tabs>
              <w:spacing w:line="240" w:lineRule="auto"/>
              <w:rPr>
                <w:rFonts w:ascii="Times New Roman" w:hAnsi="Times New Roman"/>
                <w:sz w:val="20"/>
                <w:szCs w:val="20"/>
              </w:rPr>
            </w:pPr>
            <w:r w:rsidRPr="00081E04">
              <w:rPr>
                <w:rFonts w:ascii="Times New Roman" w:hAnsi="Times New Roman"/>
                <w:sz w:val="20"/>
                <w:szCs w:val="20"/>
              </w:rPr>
              <w:t>Start o</w:t>
            </w:r>
            <w:r w:rsidRPr="00081E04" w:rsidR="00B63FC5">
              <w:rPr>
                <w:rFonts w:ascii="Times New Roman" w:hAnsi="Times New Roman"/>
                <w:sz w:val="20"/>
                <w:szCs w:val="20"/>
              </w:rPr>
              <w:t xml:space="preserve">utreach </w:t>
            </w:r>
          </w:p>
        </w:tc>
      </w:tr>
      <w:tr w14:paraId="55EC1E72" w14:textId="77777777" w:rsidTr="008611B8">
        <w:tblPrEx>
          <w:tblW w:w="0" w:type="auto"/>
          <w:tblLayout w:type="fixed"/>
          <w:tblLook w:val="0000"/>
        </w:tblPrEx>
        <w:trPr>
          <w:trHeight w:val="555"/>
        </w:trPr>
        <w:tc>
          <w:tcPr>
            <w:tcW w:w="2595" w:type="dxa"/>
            <w:tcBorders>
              <w:top w:val="single" w:sz="6" w:space="0" w:color="auto"/>
              <w:left w:val="single" w:sz="6" w:space="0" w:color="auto"/>
              <w:bottom w:val="single" w:sz="6" w:space="0" w:color="auto"/>
              <w:right w:val="single" w:sz="6" w:space="0" w:color="auto"/>
            </w:tcBorders>
          </w:tcPr>
          <w:p w:rsidR="00945995" w:rsidRPr="00081E04" w:rsidP="008611B8" w14:paraId="01382786" w14:textId="26E9FC0B">
            <w:pPr>
              <w:tabs>
                <w:tab w:val="left" w:pos="7020"/>
              </w:tabs>
              <w:spacing w:line="240" w:lineRule="auto"/>
              <w:ind w:left="468" w:hanging="360"/>
              <w:rPr>
                <w:rFonts w:ascii="Times New Roman" w:hAnsi="Times New Roman"/>
                <w:sz w:val="20"/>
                <w:szCs w:val="20"/>
              </w:rPr>
            </w:pPr>
            <w:r w:rsidRPr="00081E04">
              <w:rPr>
                <w:rFonts w:ascii="Times New Roman" w:hAnsi="Times New Roman"/>
                <w:sz w:val="20"/>
                <w:szCs w:val="20"/>
              </w:rPr>
              <w:t>April 2024</w:t>
            </w:r>
          </w:p>
        </w:tc>
        <w:tc>
          <w:tcPr>
            <w:tcW w:w="6135" w:type="dxa"/>
            <w:tcBorders>
              <w:top w:val="single" w:sz="6" w:space="0" w:color="auto"/>
              <w:left w:val="single" w:sz="6" w:space="0" w:color="auto"/>
              <w:bottom w:val="single" w:sz="6" w:space="0" w:color="auto"/>
              <w:right w:val="single" w:sz="6" w:space="0" w:color="auto"/>
            </w:tcBorders>
          </w:tcPr>
          <w:p w:rsidR="00945995" w:rsidRPr="00081E04" w:rsidP="008611B8" w14:paraId="6250EEF5" w14:textId="14596BE9">
            <w:pPr>
              <w:tabs>
                <w:tab w:val="left" w:pos="7020"/>
              </w:tabs>
              <w:spacing w:line="240" w:lineRule="auto"/>
              <w:rPr>
                <w:rFonts w:ascii="Times New Roman" w:hAnsi="Times New Roman"/>
                <w:sz w:val="20"/>
                <w:szCs w:val="20"/>
              </w:rPr>
            </w:pPr>
            <w:r w:rsidRPr="00081E04">
              <w:rPr>
                <w:rFonts w:ascii="Times New Roman" w:hAnsi="Times New Roman"/>
                <w:sz w:val="20"/>
                <w:szCs w:val="20"/>
              </w:rPr>
              <w:t xml:space="preserve">Start data collection interviews </w:t>
            </w:r>
          </w:p>
        </w:tc>
      </w:tr>
      <w:tr w14:paraId="242616F7" w14:textId="77777777" w:rsidTr="008611B8">
        <w:tblPrEx>
          <w:tblW w:w="0" w:type="auto"/>
          <w:tblLayout w:type="fixed"/>
          <w:tblLook w:val="0000"/>
        </w:tblPrEx>
        <w:trPr>
          <w:trHeight w:val="555"/>
        </w:trPr>
        <w:tc>
          <w:tcPr>
            <w:tcW w:w="2595" w:type="dxa"/>
            <w:tcBorders>
              <w:top w:val="single" w:sz="6" w:space="0" w:color="auto"/>
              <w:left w:val="single" w:sz="6" w:space="0" w:color="auto"/>
              <w:bottom w:val="single" w:sz="6" w:space="0" w:color="auto"/>
              <w:right w:val="single" w:sz="6" w:space="0" w:color="auto"/>
            </w:tcBorders>
          </w:tcPr>
          <w:p w:rsidR="00945995" w:rsidRPr="00081E04" w:rsidP="008611B8" w14:paraId="5E58E0DE" w14:textId="1AF54568">
            <w:pPr>
              <w:tabs>
                <w:tab w:val="left" w:pos="7020"/>
              </w:tabs>
              <w:spacing w:line="240" w:lineRule="auto"/>
              <w:ind w:left="468" w:hanging="360"/>
              <w:rPr>
                <w:rFonts w:ascii="Times New Roman" w:hAnsi="Times New Roman"/>
                <w:sz w:val="20"/>
                <w:szCs w:val="20"/>
              </w:rPr>
            </w:pPr>
            <w:r w:rsidRPr="00081E04">
              <w:rPr>
                <w:rFonts w:ascii="Times New Roman" w:hAnsi="Times New Roman"/>
                <w:sz w:val="20"/>
                <w:szCs w:val="20"/>
              </w:rPr>
              <w:t>June 2024</w:t>
            </w:r>
          </w:p>
        </w:tc>
        <w:tc>
          <w:tcPr>
            <w:tcW w:w="6135" w:type="dxa"/>
            <w:tcBorders>
              <w:top w:val="single" w:sz="6" w:space="0" w:color="auto"/>
              <w:left w:val="single" w:sz="6" w:space="0" w:color="auto"/>
              <w:bottom w:val="single" w:sz="6" w:space="0" w:color="auto"/>
              <w:right w:val="single" w:sz="6" w:space="0" w:color="auto"/>
            </w:tcBorders>
          </w:tcPr>
          <w:p w:rsidR="00945995" w:rsidRPr="00081E04" w:rsidP="008611B8" w14:paraId="4E2ECB3E" w14:textId="77777777">
            <w:pPr>
              <w:tabs>
                <w:tab w:val="left" w:pos="7020"/>
              </w:tabs>
              <w:spacing w:line="240" w:lineRule="auto"/>
              <w:rPr>
                <w:rFonts w:ascii="Times New Roman" w:hAnsi="Times New Roman"/>
                <w:sz w:val="20"/>
                <w:szCs w:val="20"/>
              </w:rPr>
            </w:pPr>
            <w:r w:rsidRPr="00081E04">
              <w:rPr>
                <w:rFonts w:ascii="Times New Roman" w:hAnsi="Times New Roman"/>
                <w:sz w:val="20"/>
                <w:szCs w:val="20"/>
              </w:rPr>
              <w:t>Complete data collection interviews</w:t>
            </w:r>
          </w:p>
          <w:p w:rsidR="004A5792" w:rsidRPr="00081E04" w:rsidP="008611B8" w14:paraId="12B77C3E" w14:textId="51C17D80">
            <w:pPr>
              <w:tabs>
                <w:tab w:val="left" w:pos="7020"/>
              </w:tabs>
              <w:spacing w:line="240" w:lineRule="auto"/>
              <w:rPr>
                <w:rFonts w:ascii="Times New Roman" w:hAnsi="Times New Roman"/>
                <w:sz w:val="20"/>
                <w:szCs w:val="20"/>
              </w:rPr>
            </w:pPr>
            <w:r w:rsidRPr="00081E04">
              <w:rPr>
                <w:rFonts w:ascii="Times New Roman" w:hAnsi="Times New Roman"/>
                <w:sz w:val="20"/>
                <w:szCs w:val="20"/>
              </w:rPr>
              <w:t>Start</w:t>
            </w:r>
            <w:r w:rsidRPr="00081E04" w:rsidR="00614B73">
              <w:rPr>
                <w:rFonts w:ascii="Times New Roman" w:hAnsi="Times New Roman"/>
                <w:sz w:val="20"/>
                <w:szCs w:val="20"/>
              </w:rPr>
              <w:t xml:space="preserve"> coding and analysis</w:t>
            </w:r>
          </w:p>
        </w:tc>
      </w:tr>
      <w:tr w14:paraId="22869F10" w14:textId="77777777" w:rsidTr="008611B8">
        <w:tblPrEx>
          <w:tblW w:w="0" w:type="auto"/>
          <w:tblLayout w:type="fixed"/>
          <w:tblLook w:val="0000"/>
        </w:tblPrEx>
        <w:trPr>
          <w:trHeight w:val="555"/>
        </w:trPr>
        <w:tc>
          <w:tcPr>
            <w:tcW w:w="2595" w:type="dxa"/>
            <w:tcBorders>
              <w:top w:val="single" w:sz="6" w:space="0" w:color="auto"/>
              <w:left w:val="single" w:sz="6" w:space="0" w:color="auto"/>
              <w:bottom w:val="single" w:sz="6" w:space="0" w:color="auto"/>
              <w:right w:val="single" w:sz="6" w:space="0" w:color="auto"/>
            </w:tcBorders>
          </w:tcPr>
          <w:p w:rsidR="004A5792" w:rsidRPr="00081E04" w:rsidP="008611B8" w14:paraId="5296CE98" w14:textId="794D3F5F">
            <w:pPr>
              <w:tabs>
                <w:tab w:val="left" w:pos="7020"/>
              </w:tabs>
              <w:spacing w:line="240" w:lineRule="auto"/>
              <w:ind w:left="468" w:hanging="360"/>
              <w:rPr>
                <w:rFonts w:ascii="Times New Roman" w:hAnsi="Times New Roman"/>
                <w:sz w:val="20"/>
                <w:szCs w:val="20"/>
              </w:rPr>
            </w:pPr>
            <w:r w:rsidRPr="00081E04">
              <w:rPr>
                <w:rFonts w:ascii="Times New Roman" w:hAnsi="Times New Roman"/>
                <w:sz w:val="20"/>
                <w:szCs w:val="20"/>
              </w:rPr>
              <w:t>July 2024</w:t>
            </w:r>
          </w:p>
        </w:tc>
        <w:tc>
          <w:tcPr>
            <w:tcW w:w="6135" w:type="dxa"/>
            <w:tcBorders>
              <w:top w:val="single" w:sz="6" w:space="0" w:color="auto"/>
              <w:left w:val="single" w:sz="6" w:space="0" w:color="auto"/>
              <w:bottom w:val="single" w:sz="6" w:space="0" w:color="auto"/>
              <w:right w:val="single" w:sz="6" w:space="0" w:color="auto"/>
            </w:tcBorders>
          </w:tcPr>
          <w:p w:rsidR="004A5792" w:rsidRPr="00081E04" w:rsidP="008611B8" w14:paraId="7E807E9F" w14:textId="0EDC031E">
            <w:pPr>
              <w:tabs>
                <w:tab w:val="left" w:pos="7020"/>
              </w:tabs>
              <w:spacing w:line="240" w:lineRule="auto"/>
              <w:rPr>
                <w:rFonts w:ascii="Times New Roman" w:hAnsi="Times New Roman"/>
                <w:sz w:val="20"/>
                <w:szCs w:val="20"/>
              </w:rPr>
            </w:pPr>
            <w:r w:rsidRPr="00081E04">
              <w:rPr>
                <w:rFonts w:ascii="Times New Roman" w:hAnsi="Times New Roman"/>
                <w:sz w:val="20"/>
                <w:szCs w:val="20"/>
              </w:rPr>
              <w:t>Complete coding and analysis</w:t>
            </w:r>
          </w:p>
        </w:tc>
      </w:tr>
      <w:tr w14:paraId="468D8054" w14:textId="77777777" w:rsidTr="008611B8">
        <w:tblPrEx>
          <w:tblW w:w="0" w:type="auto"/>
          <w:tblLayout w:type="fixed"/>
          <w:tblLook w:val="0000"/>
        </w:tblPrEx>
        <w:trPr>
          <w:trHeight w:val="555"/>
        </w:trPr>
        <w:tc>
          <w:tcPr>
            <w:tcW w:w="2595" w:type="dxa"/>
            <w:tcBorders>
              <w:top w:val="single" w:sz="6" w:space="0" w:color="auto"/>
              <w:left w:val="single" w:sz="6" w:space="0" w:color="auto"/>
              <w:bottom w:val="single" w:sz="6" w:space="0" w:color="auto"/>
              <w:right w:val="single" w:sz="6" w:space="0" w:color="auto"/>
            </w:tcBorders>
          </w:tcPr>
          <w:p w:rsidR="00614B73" w:rsidRPr="00081E04" w:rsidP="008611B8" w14:paraId="28E89ABB" w14:textId="31F5923C">
            <w:pPr>
              <w:tabs>
                <w:tab w:val="left" w:pos="7020"/>
              </w:tabs>
              <w:spacing w:line="240" w:lineRule="auto"/>
              <w:ind w:left="468" w:hanging="360"/>
              <w:rPr>
                <w:rFonts w:ascii="Times New Roman" w:hAnsi="Times New Roman"/>
                <w:sz w:val="20"/>
                <w:szCs w:val="20"/>
              </w:rPr>
            </w:pPr>
            <w:r w:rsidRPr="00081E04">
              <w:rPr>
                <w:rFonts w:ascii="Times New Roman" w:hAnsi="Times New Roman"/>
                <w:sz w:val="20"/>
                <w:szCs w:val="20"/>
              </w:rPr>
              <w:t xml:space="preserve">December </w:t>
            </w:r>
            <w:r w:rsidRPr="00081E04">
              <w:rPr>
                <w:rFonts w:ascii="Times New Roman" w:hAnsi="Times New Roman"/>
                <w:sz w:val="20"/>
                <w:szCs w:val="20"/>
              </w:rPr>
              <w:t>2024</w:t>
            </w:r>
          </w:p>
        </w:tc>
        <w:tc>
          <w:tcPr>
            <w:tcW w:w="6135" w:type="dxa"/>
            <w:tcBorders>
              <w:top w:val="single" w:sz="6" w:space="0" w:color="auto"/>
              <w:left w:val="single" w:sz="6" w:space="0" w:color="auto"/>
              <w:bottom w:val="single" w:sz="6" w:space="0" w:color="auto"/>
              <w:right w:val="single" w:sz="6" w:space="0" w:color="auto"/>
            </w:tcBorders>
          </w:tcPr>
          <w:p w:rsidR="00614B73" w:rsidRPr="00081E04" w:rsidP="008611B8" w14:paraId="7E84C52E" w14:textId="249D1875">
            <w:pPr>
              <w:tabs>
                <w:tab w:val="left" w:pos="7020"/>
              </w:tabs>
              <w:spacing w:line="240" w:lineRule="auto"/>
              <w:rPr>
                <w:rFonts w:ascii="Times New Roman" w:hAnsi="Times New Roman"/>
                <w:sz w:val="20"/>
                <w:szCs w:val="20"/>
              </w:rPr>
            </w:pPr>
            <w:r w:rsidRPr="00081E04">
              <w:rPr>
                <w:rFonts w:ascii="Times New Roman" w:hAnsi="Times New Roman"/>
                <w:sz w:val="20"/>
                <w:szCs w:val="20"/>
              </w:rPr>
              <w:t xml:space="preserve">Complete final report </w:t>
            </w:r>
          </w:p>
        </w:tc>
      </w:tr>
    </w:tbl>
    <w:p w:rsidR="00BA1806" w:rsidRPr="002E4E30" w14:paraId="1140BCDC" w14:textId="77777777">
      <w:pPr>
        <w:spacing w:after="0" w:line="240" w:lineRule="auto"/>
        <w:rPr>
          <w:rFonts w:ascii="Times New Roman" w:hAnsi="Times New Roman"/>
          <w:sz w:val="24"/>
          <w:szCs w:val="24"/>
        </w:rPr>
      </w:pPr>
    </w:p>
    <w:p w:rsidR="00982095" w:rsidRPr="002E4E30" w:rsidP="003643F8" w14:paraId="7B99FD2A" w14:textId="77777777">
      <w:pPr>
        <w:pStyle w:val="Heading2"/>
      </w:pPr>
      <w:r w:rsidRPr="002E4E30">
        <w:t>Display of OMB Approval Date</w:t>
      </w:r>
    </w:p>
    <w:p w:rsidR="00982095" w:rsidRPr="002E4E30" w14:paraId="5D922BC4" w14:textId="77777777">
      <w:pPr>
        <w:pStyle w:val="ListParagraph"/>
        <w:spacing w:after="0" w:line="240" w:lineRule="auto"/>
        <w:ind w:left="0"/>
        <w:rPr>
          <w:rFonts w:ascii="Times New Roman" w:hAnsi="Times New Roman"/>
          <w:b/>
          <w:sz w:val="24"/>
          <w:szCs w:val="24"/>
        </w:rPr>
      </w:pPr>
    </w:p>
    <w:p w:rsidR="00982095" w:rsidRPr="002E4E30" w14:paraId="387FC014" w14:textId="0039046F">
      <w:pPr>
        <w:spacing w:after="0" w:line="240" w:lineRule="auto"/>
        <w:rPr>
          <w:rFonts w:ascii="Times New Roman" w:hAnsi="Times New Roman"/>
          <w:sz w:val="24"/>
          <w:szCs w:val="24"/>
        </w:rPr>
      </w:pPr>
      <w:r w:rsidRPr="002E4E30">
        <w:rPr>
          <w:rFonts w:ascii="Times New Roman" w:hAnsi="Times New Roman"/>
          <w:sz w:val="24"/>
          <w:szCs w:val="24"/>
        </w:rPr>
        <w:t xml:space="preserve">We are </w:t>
      </w:r>
      <w:r w:rsidR="00FC5B60">
        <w:rPr>
          <w:rFonts w:ascii="Times New Roman" w:hAnsi="Times New Roman"/>
          <w:sz w:val="24"/>
          <w:szCs w:val="24"/>
        </w:rPr>
        <w:t xml:space="preserve">not </w:t>
      </w:r>
      <w:r w:rsidRPr="002E4E30">
        <w:rPr>
          <w:rFonts w:ascii="Times New Roman" w:hAnsi="Times New Roman"/>
          <w:sz w:val="24"/>
          <w:szCs w:val="24"/>
        </w:rPr>
        <w:t xml:space="preserve">requesting </w:t>
      </w:r>
      <w:r w:rsidR="00FC5B60">
        <w:rPr>
          <w:rFonts w:ascii="Times New Roman" w:hAnsi="Times New Roman"/>
          <w:sz w:val="24"/>
          <w:szCs w:val="24"/>
        </w:rPr>
        <w:t xml:space="preserve">an </w:t>
      </w:r>
      <w:r w:rsidRPr="002E4E30">
        <w:rPr>
          <w:rFonts w:ascii="Times New Roman" w:hAnsi="Times New Roman"/>
          <w:sz w:val="24"/>
          <w:szCs w:val="24"/>
        </w:rPr>
        <w:t xml:space="preserve">exemption from displaying the OMB approval date. </w:t>
      </w:r>
    </w:p>
    <w:p w:rsidR="00BA38DB" w:rsidRPr="002E4E30" w14:paraId="3BA891D6" w14:textId="77777777">
      <w:pPr>
        <w:spacing w:after="0" w:line="240" w:lineRule="auto"/>
        <w:rPr>
          <w:rFonts w:ascii="Times New Roman" w:hAnsi="Times New Roman"/>
          <w:sz w:val="24"/>
          <w:szCs w:val="24"/>
        </w:rPr>
      </w:pPr>
    </w:p>
    <w:p w:rsidR="00982095" w:rsidRPr="002E4E30" w:rsidP="003643F8" w14:paraId="17F88447" w14:textId="77777777">
      <w:pPr>
        <w:pStyle w:val="Heading2"/>
      </w:pPr>
      <w:r w:rsidRPr="002E4E30">
        <w:t>Exceptions to Certification for Paperwork Reduction Act Submissions</w:t>
      </w:r>
    </w:p>
    <w:p w:rsidR="003643F8" w14:paraId="5E2B713C" w14:textId="77777777">
      <w:pPr>
        <w:spacing w:after="0" w:line="240" w:lineRule="auto"/>
        <w:rPr>
          <w:rFonts w:ascii="Times New Roman" w:hAnsi="Times New Roman"/>
          <w:sz w:val="24"/>
          <w:szCs w:val="24"/>
        </w:rPr>
      </w:pPr>
    </w:p>
    <w:p w:rsidR="00660D97" w:rsidRPr="002E4E30" w14:paraId="3E194A29" w14:textId="5CDE7B42">
      <w:pPr>
        <w:spacing w:after="0" w:line="240" w:lineRule="auto"/>
        <w:rPr>
          <w:rFonts w:ascii="Times New Roman" w:hAnsi="Times New Roman"/>
          <w:sz w:val="24"/>
          <w:szCs w:val="24"/>
        </w:rPr>
      </w:pPr>
      <w:r w:rsidRPr="002E4E30">
        <w:rPr>
          <w:rFonts w:ascii="Times New Roman" w:hAnsi="Times New Roman"/>
          <w:sz w:val="24"/>
          <w:szCs w:val="24"/>
        </w:rPr>
        <w:t>There are no exceptions to the certification. These activities comply with the requirements in 5 CFR 1320.9.</w:t>
      </w:r>
    </w:p>
    <w:p w:rsidR="00F924A2" w:rsidRPr="002E4E30" w14:paraId="3F214A68" w14:textId="77777777">
      <w:pPr>
        <w:spacing w:after="0" w:line="240" w:lineRule="auto"/>
        <w:rPr>
          <w:rFonts w:ascii="Times New Roman" w:hAnsi="Times New Roman"/>
          <w:b/>
          <w:bCs/>
          <w:sz w:val="24"/>
          <w:szCs w:val="24"/>
          <w:highlight w:val="yellow"/>
        </w:rPr>
      </w:pPr>
      <w:bookmarkStart w:id="2" w:name="_Hlk130824135"/>
      <w:bookmarkStart w:id="3" w:name="_Hlk110944572"/>
      <w:r w:rsidRPr="002E4E30">
        <w:rPr>
          <w:rFonts w:ascii="Times New Roman" w:hAnsi="Times New Roman"/>
          <w:b/>
          <w:bCs/>
          <w:sz w:val="24"/>
          <w:szCs w:val="24"/>
          <w:highlight w:val="yellow"/>
        </w:rPr>
        <w:br w:type="page"/>
      </w:r>
    </w:p>
    <w:p w:rsidR="004B7A62" w:rsidRPr="002E4E30" w:rsidP="004B7A62" w14:paraId="7CB35740" w14:textId="2A6350D8">
      <w:pPr>
        <w:spacing w:after="0" w:line="240" w:lineRule="auto"/>
        <w:rPr>
          <w:rFonts w:ascii="Times New Roman" w:hAnsi="Times New Roman"/>
          <w:b/>
          <w:bCs/>
          <w:sz w:val="24"/>
          <w:szCs w:val="24"/>
        </w:rPr>
      </w:pPr>
      <w:r w:rsidRPr="002E4E30">
        <w:rPr>
          <w:rFonts w:ascii="Times New Roman" w:hAnsi="Times New Roman"/>
          <w:b/>
          <w:bCs/>
          <w:sz w:val="24"/>
          <w:szCs w:val="24"/>
        </w:rPr>
        <w:t>REFERENCES</w:t>
      </w:r>
    </w:p>
    <w:p w:rsidR="00B9285B" w:rsidRPr="00B9285B" w:rsidP="00B9285B" w14:paraId="1D055C36" w14:textId="77D0FFEF">
      <w:pPr>
        <w:pStyle w:val="Reference"/>
        <w:spacing w:before="120" w:after="200"/>
        <w:rPr>
          <w:rFonts w:ascii="Times New Roman" w:hAnsi="Times New Roman" w:cs="Times New Roman"/>
          <w:sz w:val="24"/>
          <w:szCs w:val="24"/>
        </w:rPr>
      </w:pPr>
      <w:r w:rsidRPr="00CD5565">
        <w:rPr>
          <w:rFonts w:ascii="Times New Roman" w:hAnsi="Times New Roman" w:cs="Times New Roman"/>
          <w:sz w:val="24"/>
          <w:szCs w:val="24"/>
        </w:rPr>
        <w:t xml:space="preserve">DeSalvo, K., B. Hughes, M. Bassett, G. Benjamin, M. Fraser, S. Galea, and J.N. Gracia. “Public Health COVID-19 Impact Assessment: Lessons Learned and Compelling Needs.” </w:t>
      </w:r>
      <w:r w:rsidRPr="00CD5565">
        <w:rPr>
          <w:rFonts w:ascii="Times New Roman" w:hAnsi="Times New Roman" w:cs="Times New Roman"/>
          <w:i/>
          <w:sz w:val="24"/>
          <w:szCs w:val="24"/>
        </w:rPr>
        <w:t xml:space="preserve">NAM </w:t>
      </w:r>
      <w:r w:rsidRPr="00CD5565">
        <w:rPr>
          <w:rFonts w:ascii="Times New Roman" w:hAnsi="Times New Roman" w:cs="Times New Roman"/>
          <w:i/>
          <w:iCs/>
          <w:sz w:val="24"/>
          <w:szCs w:val="24"/>
        </w:rPr>
        <w:t xml:space="preserve">Perspectives. </w:t>
      </w:r>
      <w:r w:rsidRPr="00CD5565">
        <w:rPr>
          <w:rFonts w:ascii="Times New Roman" w:hAnsi="Times New Roman" w:cs="Times New Roman"/>
          <w:sz w:val="24"/>
          <w:szCs w:val="24"/>
        </w:rPr>
        <w:t>April 2021.</w:t>
      </w:r>
      <w:r>
        <w:rPr>
          <w:rFonts w:ascii="Times New Roman" w:hAnsi="Times New Roman" w:cs="Times New Roman"/>
          <w:sz w:val="24"/>
          <w:szCs w:val="24"/>
        </w:rPr>
        <w:t xml:space="preserve"> </w:t>
      </w:r>
      <w:hyperlink r:id="rId11" w:history="1">
        <w:r w:rsidRPr="0024761C">
          <w:rPr>
            <w:rStyle w:val="Hyperlink"/>
            <w:rFonts w:ascii="Times New Roman" w:hAnsi="Times New Roman" w:cs="Times New Roman"/>
            <w:sz w:val="24"/>
            <w:szCs w:val="24"/>
          </w:rPr>
          <w:t>Public Health COVID-19 Impact Assessment: Lessons Learned and Compelling Needs - National Academy of Medicine (nam.edu)</w:t>
        </w:r>
      </w:hyperlink>
      <w:r>
        <w:t xml:space="preserve"> </w:t>
      </w:r>
      <w:r w:rsidRPr="00CD5565">
        <w:rPr>
          <w:rFonts w:ascii="Times New Roman" w:hAnsi="Times New Roman" w:cs="Times New Roman"/>
          <w:sz w:val="24"/>
          <w:szCs w:val="24"/>
        </w:rPr>
        <w:t xml:space="preserve"> </w:t>
      </w:r>
    </w:p>
    <w:p w:rsidR="00CB2CA3" w:rsidRPr="002E4E30" w:rsidP="00F924A2" w14:paraId="0461AF70" w14:textId="3D3E6068">
      <w:pPr>
        <w:spacing w:after="0" w:line="240" w:lineRule="auto"/>
        <w:ind w:left="360" w:hanging="360"/>
        <w:rPr>
          <w:rFonts w:ascii="Times New Roman" w:hAnsi="Times New Roman"/>
          <w:sz w:val="24"/>
          <w:szCs w:val="24"/>
        </w:rPr>
      </w:pPr>
      <w:r w:rsidRPr="002E4E30">
        <w:rPr>
          <w:rFonts w:ascii="Times New Roman" w:hAnsi="Times New Roman"/>
          <w:sz w:val="24"/>
          <w:szCs w:val="24"/>
        </w:rPr>
        <w:t xml:space="preserve">Islam S.J., A. Nayak, Y. Hu, A. Mehta, K. </w:t>
      </w:r>
      <w:r w:rsidRPr="002E4E30">
        <w:rPr>
          <w:rFonts w:ascii="Times New Roman" w:hAnsi="Times New Roman"/>
          <w:sz w:val="24"/>
          <w:szCs w:val="24"/>
        </w:rPr>
        <w:t>Dieppa</w:t>
      </w:r>
      <w:r w:rsidRPr="002E4E30">
        <w:rPr>
          <w:rFonts w:ascii="Times New Roman" w:hAnsi="Times New Roman"/>
          <w:sz w:val="24"/>
          <w:szCs w:val="24"/>
        </w:rPr>
        <w:t xml:space="preserve">, Z. </w:t>
      </w:r>
      <w:r w:rsidRPr="002E4E30">
        <w:rPr>
          <w:rFonts w:ascii="Times New Roman" w:hAnsi="Times New Roman"/>
          <w:sz w:val="24"/>
          <w:szCs w:val="24"/>
        </w:rPr>
        <w:t>Almuwaqqat</w:t>
      </w:r>
      <w:r w:rsidRPr="002E4E30">
        <w:rPr>
          <w:rFonts w:ascii="Times New Roman" w:hAnsi="Times New Roman"/>
          <w:sz w:val="24"/>
          <w:szCs w:val="24"/>
        </w:rPr>
        <w:t xml:space="preserve">, Y. Ko, et al. “Temporal Trends in the Association of Social Vulnerability and Race/Ethnicity with County-Level COVID-19 Incidence and Outcomes in the USA: An Ecological Analysis.” </w:t>
      </w:r>
      <w:r w:rsidRPr="002E4E30">
        <w:rPr>
          <w:rFonts w:ascii="Times New Roman" w:hAnsi="Times New Roman"/>
          <w:i/>
          <w:iCs/>
          <w:sz w:val="24"/>
          <w:szCs w:val="24"/>
        </w:rPr>
        <w:t xml:space="preserve">BMJ Open, </w:t>
      </w:r>
      <w:r w:rsidRPr="002E4E30">
        <w:rPr>
          <w:rFonts w:ascii="Times New Roman" w:hAnsi="Times New Roman"/>
          <w:sz w:val="24"/>
          <w:szCs w:val="24"/>
        </w:rPr>
        <w:t xml:space="preserve">vol. 11, 2021, p. e048086. </w:t>
      </w:r>
      <w:hyperlink r:id="rId12" w:history="1">
        <w:r w:rsidRPr="002E4E30">
          <w:rPr>
            <w:rStyle w:val="Hyperlink"/>
            <w:rFonts w:ascii="Times New Roman" w:hAnsi="Times New Roman"/>
            <w:sz w:val="24"/>
            <w:szCs w:val="24"/>
          </w:rPr>
          <w:t>http://dx.doi.org/10.1136/bmjopen-2020-048086</w:t>
        </w:r>
      </w:hyperlink>
      <w:r w:rsidRPr="002E4E30">
        <w:rPr>
          <w:rFonts w:ascii="Times New Roman" w:hAnsi="Times New Roman"/>
          <w:sz w:val="24"/>
          <w:szCs w:val="24"/>
        </w:rPr>
        <w:t>.</w:t>
      </w:r>
    </w:p>
    <w:p w:rsidR="00CB2CA3" w:rsidRPr="002E4E30" w:rsidP="00F924A2" w14:paraId="7788AC38" w14:textId="77777777">
      <w:pPr>
        <w:spacing w:after="0" w:line="240" w:lineRule="auto"/>
        <w:ind w:left="360" w:hanging="360"/>
        <w:rPr>
          <w:rFonts w:ascii="Times New Roman" w:hAnsi="Times New Roman"/>
          <w:b/>
          <w:bCs/>
          <w:sz w:val="24"/>
          <w:szCs w:val="24"/>
        </w:rPr>
      </w:pPr>
    </w:p>
    <w:p w:rsidR="00C6477F" w:rsidRPr="002E4E30" w:rsidP="00F924A2" w14:paraId="3032FDC0" w14:textId="0459D7DA">
      <w:pPr>
        <w:ind w:left="360" w:hanging="360"/>
        <w:rPr>
          <w:rFonts w:ascii="Times New Roman" w:hAnsi="Times New Roman"/>
          <w:sz w:val="24"/>
          <w:szCs w:val="24"/>
        </w:rPr>
      </w:pPr>
      <w:r w:rsidRPr="002E4E30">
        <w:rPr>
          <w:rFonts w:ascii="Times New Roman" w:hAnsi="Times New Roman"/>
          <w:sz w:val="24"/>
          <w:szCs w:val="24"/>
        </w:rPr>
        <w:t>Khanijahani</w:t>
      </w:r>
      <w:r w:rsidRPr="002E4E30">
        <w:rPr>
          <w:rFonts w:ascii="Times New Roman" w:hAnsi="Times New Roman"/>
          <w:sz w:val="24"/>
          <w:szCs w:val="24"/>
        </w:rPr>
        <w:t xml:space="preserve">, A., S. </w:t>
      </w:r>
      <w:r w:rsidRPr="002E4E30">
        <w:rPr>
          <w:rFonts w:ascii="Times New Roman" w:hAnsi="Times New Roman"/>
          <w:sz w:val="24"/>
          <w:szCs w:val="24"/>
        </w:rPr>
        <w:t>Iezadi</w:t>
      </w:r>
      <w:r w:rsidRPr="002E4E30">
        <w:rPr>
          <w:rFonts w:ascii="Times New Roman" w:hAnsi="Times New Roman"/>
          <w:sz w:val="24"/>
          <w:szCs w:val="24"/>
        </w:rPr>
        <w:t xml:space="preserve">, K. </w:t>
      </w:r>
      <w:r w:rsidRPr="002E4E30">
        <w:rPr>
          <w:rFonts w:ascii="Times New Roman" w:hAnsi="Times New Roman"/>
          <w:sz w:val="24"/>
          <w:szCs w:val="24"/>
        </w:rPr>
        <w:t>Gholipour</w:t>
      </w:r>
      <w:r w:rsidRPr="002E4E30">
        <w:rPr>
          <w:rFonts w:ascii="Times New Roman" w:hAnsi="Times New Roman"/>
          <w:sz w:val="24"/>
          <w:szCs w:val="24"/>
        </w:rPr>
        <w:t>, S. Azami-</w:t>
      </w:r>
      <w:r w:rsidRPr="002E4E30">
        <w:rPr>
          <w:rFonts w:ascii="Times New Roman" w:hAnsi="Times New Roman"/>
          <w:sz w:val="24"/>
          <w:szCs w:val="24"/>
        </w:rPr>
        <w:t>Aghdash</w:t>
      </w:r>
      <w:r w:rsidRPr="002E4E30">
        <w:rPr>
          <w:rFonts w:ascii="Times New Roman" w:hAnsi="Times New Roman"/>
          <w:sz w:val="24"/>
          <w:szCs w:val="24"/>
        </w:rPr>
        <w:t xml:space="preserve">, and D. </w:t>
      </w:r>
      <w:r w:rsidRPr="002E4E30">
        <w:rPr>
          <w:rFonts w:ascii="Times New Roman" w:hAnsi="Times New Roman"/>
          <w:sz w:val="24"/>
          <w:szCs w:val="24"/>
        </w:rPr>
        <w:t>Naghibi</w:t>
      </w:r>
      <w:r w:rsidRPr="002E4E30">
        <w:rPr>
          <w:rFonts w:ascii="Times New Roman" w:hAnsi="Times New Roman"/>
          <w:sz w:val="24"/>
          <w:szCs w:val="24"/>
        </w:rPr>
        <w:t xml:space="preserve">. “A Systematic Review of Racial/Ethnic and Socioeconomic Disparities in COVID-19.” </w:t>
      </w:r>
      <w:r w:rsidRPr="002E4E30">
        <w:rPr>
          <w:rFonts w:ascii="Times New Roman" w:hAnsi="Times New Roman"/>
          <w:i/>
          <w:iCs/>
          <w:sz w:val="24"/>
          <w:szCs w:val="24"/>
        </w:rPr>
        <w:t xml:space="preserve">International Journal for Equity in Health, </w:t>
      </w:r>
      <w:r w:rsidRPr="002E4E30">
        <w:rPr>
          <w:rFonts w:ascii="Times New Roman" w:hAnsi="Times New Roman"/>
          <w:sz w:val="24"/>
          <w:szCs w:val="24"/>
        </w:rPr>
        <w:t xml:space="preserve">vol. 20, no. 1, November 2021. </w:t>
      </w:r>
      <w:hyperlink r:id="rId13" w:history="1">
        <w:r w:rsidRPr="002E4E30" w:rsidR="00F924A2">
          <w:rPr>
            <w:rStyle w:val="Hyperlink"/>
            <w:rFonts w:ascii="Times New Roman" w:hAnsi="Times New Roman"/>
            <w:sz w:val="24"/>
            <w:szCs w:val="24"/>
          </w:rPr>
          <w:t>https://doi.org/10.1186%2Fs12939-021-01582-4</w:t>
        </w:r>
      </w:hyperlink>
      <w:r w:rsidRPr="002E4E30">
        <w:rPr>
          <w:rFonts w:ascii="Times New Roman" w:hAnsi="Times New Roman"/>
          <w:sz w:val="24"/>
          <w:szCs w:val="24"/>
        </w:rPr>
        <w:t>.</w:t>
      </w:r>
    </w:p>
    <w:p w:rsidR="00556E9E" w:rsidRPr="002E4E30" w:rsidP="00F924A2" w14:paraId="1C7E3075" w14:textId="7F5521E7">
      <w:pPr>
        <w:ind w:left="360" w:hanging="360"/>
        <w:rPr>
          <w:rFonts w:ascii="Times New Roman" w:hAnsi="Times New Roman"/>
          <w:sz w:val="24"/>
          <w:szCs w:val="24"/>
        </w:rPr>
      </w:pPr>
      <w:r w:rsidRPr="002E4E30">
        <w:rPr>
          <w:rFonts w:ascii="Times New Roman" w:hAnsi="Times New Roman"/>
          <w:sz w:val="24"/>
          <w:szCs w:val="24"/>
        </w:rPr>
        <w:t xml:space="preserve">Nayak, A., S.J. Islam, A. Mehta, Y.A. Ko, S.A. Patel, A. Goyal, S. Sullivan, et al. “Impact of Social Vulnerability on COVID-19 Incidence and Outcomes in the United States.” </w:t>
      </w:r>
      <w:r w:rsidRPr="002E4E30">
        <w:rPr>
          <w:rFonts w:ascii="Times New Roman" w:hAnsi="Times New Roman"/>
          <w:i/>
          <w:iCs/>
          <w:sz w:val="24"/>
          <w:szCs w:val="24"/>
        </w:rPr>
        <w:t>medRxiv</w:t>
      </w:r>
      <w:r w:rsidRPr="002E4E30">
        <w:rPr>
          <w:rFonts w:ascii="Times New Roman" w:hAnsi="Times New Roman"/>
          <w:i/>
          <w:iCs/>
          <w:sz w:val="24"/>
          <w:szCs w:val="24"/>
        </w:rPr>
        <w:t xml:space="preserve"> </w:t>
      </w:r>
      <w:r w:rsidRPr="002E4E30">
        <w:rPr>
          <w:rFonts w:ascii="Times New Roman" w:hAnsi="Times New Roman"/>
          <w:sz w:val="24"/>
          <w:szCs w:val="24"/>
        </w:rPr>
        <w:t>[preprint]</w:t>
      </w:r>
      <w:r w:rsidRPr="002E4E30">
        <w:rPr>
          <w:rFonts w:ascii="Times New Roman" w:hAnsi="Times New Roman"/>
          <w:i/>
          <w:iCs/>
          <w:sz w:val="24"/>
          <w:szCs w:val="24"/>
        </w:rPr>
        <w:t xml:space="preserve">, </w:t>
      </w:r>
      <w:r w:rsidRPr="002E4E30">
        <w:rPr>
          <w:rFonts w:ascii="Times New Roman" w:hAnsi="Times New Roman"/>
          <w:sz w:val="24"/>
          <w:szCs w:val="24"/>
        </w:rPr>
        <w:t xml:space="preserve">April 2020. </w:t>
      </w:r>
      <w:hyperlink r:id="rId14" w:history="1">
        <w:r w:rsidRPr="002E4E30" w:rsidR="00F924A2">
          <w:rPr>
            <w:rStyle w:val="Hyperlink"/>
            <w:rFonts w:ascii="Times New Roman" w:hAnsi="Times New Roman"/>
            <w:sz w:val="24"/>
            <w:szCs w:val="24"/>
          </w:rPr>
          <w:t>https://doi.org/10.1101%2F2020.04.10.20060962</w:t>
        </w:r>
      </w:hyperlink>
      <w:r w:rsidRPr="002E4E30">
        <w:rPr>
          <w:rFonts w:ascii="Times New Roman" w:hAnsi="Times New Roman"/>
          <w:sz w:val="24"/>
          <w:szCs w:val="24"/>
        </w:rPr>
        <w:t>.</w:t>
      </w:r>
    </w:p>
    <w:p w:rsidR="00247B49" w:rsidRPr="002E4E30" w:rsidP="00F924A2" w14:paraId="37FEA3F8" w14:textId="4AC8D0B1">
      <w:pPr>
        <w:ind w:left="360" w:hanging="360"/>
        <w:rPr>
          <w:rFonts w:ascii="Times New Roman" w:hAnsi="Times New Roman"/>
          <w:sz w:val="24"/>
          <w:szCs w:val="24"/>
        </w:rPr>
      </w:pPr>
      <w:r w:rsidRPr="002E4E30">
        <w:rPr>
          <w:rFonts w:ascii="Times New Roman" w:hAnsi="Times New Roman"/>
          <w:sz w:val="24"/>
          <w:szCs w:val="24"/>
        </w:rPr>
        <w:t xml:space="preserve">Nguyen, K.H., E. </w:t>
      </w:r>
      <w:r w:rsidRPr="002E4E30">
        <w:rPr>
          <w:rFonts w:ascii="Times New Roman" w:hAnsi="Times New Roman"/>
          <w:sz w:val="24"/>
          <w:szCs w:val="24"/>
        </w:rPr>
        <w:t>Anneser</w:t>
      </w:r>
      <w:r w:rsidRPr="002E4E30">
        <w:rPr>
          <w:rFonts w:ascii="Times New Roman" w:hAnsi="Times New Roman"/>
          <w:sz w:val="24"/>
          <w:szCs w:val="24"/>
        </w:rPr>
        <w:t xml:space="preserve">, A. Toppo, J.D. Allen, J.S. </w:t>
      </w:r>
      <w:r w:rsidRPr="002E4E30">
        <w:rPr>
          <w:rFonts w:ascii="Times New Roman" w:hAnsi="Times New Roman"/>
          <w:sz w:val="24"/>
          <w:szCs w:val="24"/>
        </w:rPr>
        <w:t>Parott</w:t>
      </w:r>
      <w:r w:rsidRPr="002E4E30">
        <w:rPr>
          <w:rFonts w:ascii="Times New Roman" w:hAnsi="Times New Roman"/>
          <w:sz w:val="24"/>
          <w:szCs w:val="24"/>
        </w:rPr>
        <w:t xml:space="preserve">, and L. </w:t>
      </w:r>
      <w:r w:rsidRPr="002E4E30">
        <w:rPr>
          <w:rFonts w:ascii="Times New Roman" w:hAnsi="Times New Roman"/>
          <w:sz w:val="24"/>
          <w:szCs w:val="24"/>
        </w:rPr>
        <w:t>Corlin</w:t>
      </w:r>
      <w:r w:rsidRPr="002E4E30">
        <w:rPr>
          <w:rFonts w:ascii="Times New Roman" w:hAnsi="Times New Roman"/>
          <w:sz w:val="24"/>
          <w:szCs w:val="24"/>
        </w:rPr>
        <w:t xml:space="preserve">. “Disparities in National and State Estimates of COVID-19 Vaccination Receipt and Intent to Vaccinate by Race/Ethnicity, Income, and Age Group Among Adults ≥ 18 Years, United States.” </w:t>
      </w:r>
      <w:r w:rsidRPr="002E4E30">
        <w:rPr>
          <w:rFonts w:ascii="Times New Roman" w:hAnsi="Times New Roman"/>
          <w:i/>
          <w:iCs/>
          <w:sz w:val="24"/>
          <w:szCs w:val="24"/>
        </w:rPr>
        <w:t xml:space="preserve">Vaccine, </w:t>
      </w:r>
      <w:r w:rsidRPr="002E4E30">
        <w:rPr>
          <w:rFonts w:ascii="Times New Roman" w:hAnsi="Times New Roman"/>
          <w:sz w:val="24"/>
          <w:szCs w:val="24"/>
        </w:rPr>
        <w:t xml:space="preserve">vol. 40, no. 1, January 2022, pp.107–113. </w:t>
      </w:r>
      <w:hyperlink r:id="rId15" w:history="1">
        <w:r w:rsidRPr="002E4E30" w:rsidR="00F924A2">
          <w:rPr>
            <w:rStyle w:val="Hyperlink"/>
            <w:rFonts w:ascii="Times New Roman" w:hAnsi="Times New Roman"/>
            <w:sz w:val="24"/>
            <w:szCs w:val="24"/>
          </w:rPr>
          <w:t>https://doi.org/10.1016/j.vaccine.2021.11.040</w:t>
        </w:r>
      </w:hyperlink>
      <w:r w:rsidRPr="002E4E30">
        <w:rPr>
          <w:rFonts w:ascii="Times New Roman" w:hAnsi="Times New Roman"/>
          <w:sz w:val="24"/>
          <w:szCs w:val="24"/>
        </w:rPr>
        <w:t>.</w:t>
      </w:r>
    </w:p>
    <w:p w:rsidR="007B6069" w:rsidRPr="002E4E30" w:rsidP="00F924A2" w14:paraId="4CDAA0F4" w14:textId="0E4AE7BF">
      <w:pPr>
        <w:ind w:left="360" w:hanging="360"/>
        <w:rPr>
          <w:rFonts w:ascii="Times New Roman" w:hAnsi="Times New Roman"/>
          <w:sz w:val="24"/>
          <w:szCs w:val="24"/>
        </w:rPr>
      </w:pPr>
      <w:r w:rsidRPr="002E4E30">
        <w:rPr>
          <w:rFonts w:ascii="Times New Roman" w:hAnsi="Times New Roman"/>
          <w:sz w:val="24"/>
          <w:szCs w:val="24"/>
        </w:rPr>
        <w:t>Reitsma</w:t>
      </w:r>
      <w:r w:rsidRPr="002E4E30">
        <w:rPr>
          <w:rFonts w:ascii="Times New Roman" w:hAnsi="Times New Roman"/>
          <w:sz w:val="24"/>
          <w:szCs w:val="24"/>
        </w:rPr>
        <w:t>, M.B., J.D. Goldhaber-</w:t>
      </w:r>
      <w:r w:rsidRPr="002E4E30">
        <w:rPr>
          <w:rFonts w:ascii="Times New Roman" w:hAnsi="Times New Roman"/>
          <w:sz w:val="24"/>
          <w:szCs w:val="24"/>
        </w:rPr>
        <w:t>Fiebert</w:t>
      </w:r>
      <w:r w:rsidRPr="002E4E30">
        <w:rPr>
          <w:rFonts w:ascii="Times New Roman" w:hAnsi="Times New Roman"/>
          <w:sz w:val="24"/>
          <w:szCs w:val="24"/>
        </w:rPr>
        <w:t xml:space="preserve">, and J.A. Salomon. “Quantifying and Benchmarking Disparities in COVID-19 Vaccination Rates by Race and Ethnicity.” </w:t>
      </w:r>
      <w:r w:rsidRPr="002E4E30">
        <w:rPr>
          <w:rFonts w:ascii="Times New Roman" w:hAnsi="Times New Roman"/>
          <w:i/>
          <w:iCs/>
          <w:sz w:val="24"/>
          <w:szCs w:val="24"/>
        </w:rPr>
        <w:t xml:space="preserve">JAMA Network Open, </w:t>
      </w:r>
      <w:r w:rsidRPr="002E4E30">
        <w:rPr>
          <w:rFonts w:ascii="Times New Roman" w:hAnsi="Times New Roman"/>
          <w:sz w:val="24"/>
          <w:szCs w:val="24"/>
        </w:rPr>
        <w:t xml:space="preserve">vol. 4, no. 10, October 2021, p. e2130343. </w:t>
      </w:r>
      <w:hyperlink r:id="rId16" w:history="1">
        <w:r w:rsidRPr="002E4E30" w:rsidR="00F924A2">
          <w:rPr>
            <w:rStyle w:val="Hyperlink"/>
            <w:rFonts w:ascii="Times New Roman" w:hAnsi="Times New Roman"/>
            <w:sz w:val="24"/>
            <w:szCs w:val="24"/>
          </w:rPr>
          <w:t>http://jamanetwork.com/article.aspx?doi=10.1001/jamanetworkopen.2021.30343</w:t>
        </w:r>
      </w:hyperlink>
      <w:r w:rsidRPr="002E4E30">
        <w:rPr>
          <w:rFonts w:ascii="Times New Roman" w:hAnsi="Times New Roman"/>
          <w:sz w:val="24"/>
          <w:szCs w:val="24"/>
        </w:rPr>
        <w:t>.</w:t>
      </w:r>
    </w:p>
    <w:p w:rsidR="00AA0057" w:rsidRPr="002E4E30" w:rsidP="00F924A2" w14:paraId="07DC0D93" w14:textId="3DA0300E">
      <w:pPr>
        <w:ind w:left="360" w:hanging="360"/>
        <w:rPr>
          <w:rFonts w:ascii="Times New Roman" w:hAnsi="Times New Roman"/>
          <w:sz w:val="24"/>
          <w:szCs w:val="24"/>
          <w:highlight w:val="yellow"/>
        </w:rPr>
      </w:pPr>
      <w:r w:rsidRPr="002E4E30">
        <w:rPr>
          <w:rFonts w:ascii="Times New Roman" w:hAnsi="Times New Roman"/>
          <w:sz w:val="24"/>
          <w:szCs w:val="24"/>
        </w:rPr>
        <w:t xml:space="preserve">Romano S.D., A.J. Blackstock, E.V. Taylor, S.E. Felix, S. </w:t>
      </w:r>
      <w:r w:rsidRPr="002E4E30">
        <w:rPr>
          <w:rFonts w:ascii="Times New Roman" w:hAnsi="Times New Roman"/>
          <w:sz w:val="24"/>
          <w:szCs w:val="24"/>
        </w:rPr>
        <w:t>Adjeiet</w:t>
      </w:r>
      <w:r w:rsidRPr="002E4E30">
        <w:rPr>
          <w:rFonts w:ascii="Times New Roman" w:hAnsi="Times New Roman"/>
          <w:sz w:val="24"/>
          <w:szCs w:val="24"/>
        </w:rPr>
        <w:t xml:space="preserve">, C. Singleton, J. Fuld, et al. “Trends in Racial and Ethnic Disparities in COVID-19 Hospitalizations, by Region—United States, March–December 2020.” </w:t>
      </w:r>
      <w:r w:rsidRPr="002E4E30">
        <w:rPr>
          <w:rFonts w:ascii="Times New Roman" w:hAnsi="Times New Roman"/>
          <w:i/>
          <w:iCs/>
          <w:sz w:val="24"/>
          <w:szCs w:val="24"/>
        </w:rPr>
        <w:t xml:space="preserve">Morbidity and Mortality Weekly Report, </w:t>
      </w:r>
      <w:r w:rsidRPr="002E4E30">
        <w:rPr>
          <w:rFonts w:ascii="Times New Roman" w:hAnsi="Times New Roman"/>
          <w:sz w:val="24"/>
          <w:szCs w:val="24"/>
        </w:rPr>
        <w:t xml:space="preserve">vol. 70, April 2021, pp.560–565. </w:t>
      </w:r>
      <w:hyperlink r:id="rId17" w:history="1">
        <w:r w:rsidRPr="002E4E30" w:rsidR="00F924A2">
          <w:rPr>
            <w:rStyle w:val="Hyperlink"/>
            <w:rFonts w:ascii="Times New Roman" w:hAnsi="Times New Roman"/>
            <w:sz w:val="24"/>
            <w:szCs w:val="24"/>
          </w:rPr>
          <w:t>https://www.cdc.gov/mmwr/volumes/70/wr/mm7015e2.htm</w:t>
        </w:r>
      </w:hyperlink>
      <w:r w:rsidRPr="002E4E30">
        <w:rPr>
          <w:rFonts w:ascii="Times New Roman" w:hAnsi="Times New Roman"/>
          <w:sz w:val="24"/>
          <w:szCs w:val="24"/>
        </w:rPr>
        <w:t>.</w:t>
      </w:r>
    </w:p>
    <w:p w:rsidR="00AA0057" w:rsidRPr="002E4E30" w:rsidP="00F924A2" w14:paraId="57B11491" w14:textId="77777777">
      <w:pPr>
        <w:ind w:left="360" w:hanging="360"/>
        <w:rPr>
          <w:rFonts w:ascii="Times New Roman" w:hAnsi="Times New Roman"/>
          <w:sz w:val="24"/>
          <w:szCs w:val="24"/>
        </w:rPr>
      </w:pPr>
      <w:r w:rsidRPr="002E4E30">
        <w:rPr>
          <w:rFonts w:ascii="Times New Roman" w:hAnsi="Times New Roman"/>
          <w:sz w:val="24"/>
          <w:szCs w:val="24"/>
        </w:rPr>
        <w:t xml:space="preserve">Simmons, A., A. </w:t>
      </w:r>
      <w:r w:rsidRPr="002E4E30">
        <w:rPr>
          <w:rFonts w:ascii="Times New Roman" w:hAnsi="Times New Roman"/>
          <w:sz w:val="24"/>
          <w:szCs w:val="24"/>
        </w:rPr>
        <w:t>Chappel</w:t>
      </w:r>
      <w:r w:rsidRPr="002E4E30">
        <w:rPr>
          <w:rFonts w:ascii="Times New Roman" w:hAnsi="Times New Roman"/>
          <w:sz w:val="24"/>
          <w:szCs w:val="24"/>
        </w:rPr>
        <w:t xml:space="preserve">, A.R. Kolbe, L. Bush, and B.D. Sommers. “Health Disparities by Race and Ethnicity During the COVID-19 Pandemic: Current Evidence and Policy Approaches.” March 6, 2021. Available at </w:t>
      </w:r>
      <w:hyperlink r:id="rId18" w:history="1">
        <w:r w:rsidRPr="002E4E30">
          <w:rPr>
            <w:rStyle w:val="Hyperlink"/>
            <w:rFonts w:ascii="Times New Roman" w:hAnsi="Times New Roman"/>
            <w:sz w:val="24"/>
            <w:szCs w:val="24"/>
          </w:rPr>
          <w:t>https://aspe.hhs.gov/sites/default/files/migrated_legacy_files//199516/covid-equity-issue-brief.pdf</w:t>
        </w:r>
      </w:hyperlink>
      <w:r w:rsidRPr="002E4E30">
        <w:rPr>
          <w:rFonts w:ascii="Times New Roman" w:hAnsi="Times New Roman"/>
          <w:sz w:val="24"/>
          <w:szCs w:val="24"/>
        </w:rPr>
        <w:t>. Accessed August 29, 2022.</w:t>
      </w:r>
    </w:p>
    <w:p w:rsidR="00C6477F" w:rsidRPr="002E4E30" w:rsidP="00F924A2" w14:paraId="646EF464" w14:textId="78BDA6DF">
      <w:pPr>
        <w:ind w:left="360" w:hanging="360"/>
        <w:rPr>
          <w:rFonts w:ascii="Times New Roman" w:hAnsi="Times New Roman"/>
          <w:sz w:val="24"/>
          <w:szCs w:val="24"/>
        </w:rPr>
      </w:pPr>
      <w:r w:rsidRPr="002E4E30">
        <w:rPr>
          <w:rFonts w:ascii="Times New Roman" w:hAnsi="Times New Roman"/>
          <w:sz w:val="24"/>
          <w:szCs w:val="24"/>
        </w:rPr>
        <w:t xml:space="preserve">Smith A.R., J. </w:t>
      </w:r>
      <w:r w:rsidRPr="002E4E30">
        <w:rPr>
          <w:rFonts w:ascii="Times New Roman" w:hAnsi="Times New Roman"/>
          <w:sz w:val="24"/>
          <w:szCs w:val="24"/>
        </w:rPr>
        <w:t>DeVies</w:t>
      </w:r>
      <w:r w:rsidRPr="002E4E30">
        <w:rPr>
          <w:rFonts w:ascii="Times New Roman" w:hAnsi="Times New Roman"/>
          <w:sz w:val="24"/>
          <w:szCs w:val="24"/>
        </w:rPr>
        <w:t xml:space="preserve">, E. Caruso, L. Radhakrishnan, M. Sheppard, Z. Stein, R.M. </w:t>
      </w:r>
      <w:r w:rsidRPr="002E4E30">
        <w:rPr>
          <w:rFonts w:ascii="Times New Roman" w:hAnsi="Times New Roman"/>
          <w:sz w:val="24"/>
          <w:szCs w:val="24"/>
        </w:rPr>
        <w:t>Calanan</w:t>
      </w:r>
      <w:r w:rsidRPr="002E4E30">
        <w:rPr>
          <w:rFonts w:ascii="Times New Roman" w:hAnsi="Times New Roman"/>
          <w:sz w:val="24"/>
          <w:szCs w:val="24"/>
        </w:rPr>
        <w:t xml:space="preserve">, et al. “Emergency Department Visits for COVID-19 by Race and Ethnicity—13 States, October–December 2020.” </w:t>
      </w:r>
      <w:r w:rsidRPr="002E4E30">
        <w:rPr>
          <w:rFonts w:ascii="Times New Roman" w:hAnsi="Times New Roman"/>
          <w:i/>
          <w:iCs/>
          <w:sz w:val="24"/>
          <w:szCs w:val="24"/>
        </w:rPr>
        <w:t>Morbidity and Mortality Weekly Report</w:t>
      </w:r>
      <w:r w:rsidRPr="002E4E30">
        <w:rPr>
          <w:rFonts w:ascii="Times New Roman" w:hAnsi="Times New Roman"/>
          <w:sz w:val="24"/>
          <w:szCs w:val="24"/>
        </w:rPr>
        <w:t xml:space="preserve">, vol. 70, no. 15, April 2021, pp.566–569. </w:t>
      </w:r>
      <w:hyperlink r:id="rId19" w:history="1">
        <w:r w:rsidRPr="002E4E30">
          <w:rPr>
            <w:rStyle w:val="Hyperlink"/>
            <w:rFonts w:ascii="Times New Roman" w:hAnsi="Times New Roman"/>
            <w:sz w:val="24"/>
            <w:szCs w:val="24"/>
          </w:rPr>
          <w:t>https://www.cdc.gov/mmwr/volumes/70/wr/mm7015e3.htm?s_cid=mm7015e3_w</w:t>
        </w:r>
      </w:hyperlink>
      <w:r w:rsidRPr="002E4E30">
        <w:rPr>
          <w:rFonts w:ascii="Times New Roman" w:hAnsi="Times New Roman"/>
          <w:sz w:val="24"/>
          <w:szCs w:val="24"/>
        </w:rPr>
        <w:t>.</w:t>
      </w:r>
    </w:p>
    <w:p w:rsidR="00961F3C" w:rsidRPr="002E4E30" w:rsidP="00F924A2" w14:paraId="7F8C1638" w14:textId="735CD697">
      <w:pPr>
        <w:ind w:left="360" w:hanging="360"/>
        <w:rPr>
          <w:rFonts w:ascii="Times New Roman" w:hAnsi="Times New Roman"/>
          <w:sz w:val="24"/>
          <w:szCs w:val="24"/>
        </w:rPr>
      </w:pPr>
      <w:r w:rsidRPr="002E4E30">
        <w:rPr>
          <w:rFonts w:ascii="Times New Roman" w:hAnsi="Times New Roman"/>
          <w:sz w:val="24"/>
          <w:szCs w:val="24"/>
        </w:rPr>
        <w:t xml:space="preserve">Webb Hooper, M., A.M. </w:t>
      </w:r>
      <w:r w:rsidRPr="002E4E30">
        <w:rPr>
          <w:rFonts w:ascii="Times New Roman" w:hAnsi="Times New Roman"/>
          <w:sz w:val="24"/>
          <w:szCs w:val="24"/>
        </w:rPr>
        <w:t>Nápoles</w:t>
      </w:r>
      <w:r w:rsidRPr="002E4E30">
        <w:rPr>
          <w:rFonts w:ascii="Times New Roman" w:hAnsi="Times New Roman"/>
          <w:sz w:val="24"/>
          <w:szCs w:val="24"/>
        </w:rPr>
        <w:t xml:space="preserve">, and E.J. Pérez-Stable. “COVID-19 and Racial/Ethnic Disparities.” </w:t>
      </w:r>
      <w:r w:rsidRPr="002E4E30">
        <w:rPr>
          <w:rFonts w:ascii="Times New Roman" w:hAnsi="Times New Roman"/>
          <w:i/>
          <w:iCs/>
          <w:sz w:val="24"/>
          <w:szCs w:val="24"/>
        </w:rPr>
        <w:t xml:space="preserve">Journal of the American Medical Association, </w:t>
      </w:r>
      <w:r w:rsidRPr="002E4E30">
        <w:rPr>
          <w:rFonts w:ascii="Times New Roman" w:hAnsi="Times New Roman"/>
          <w:sz w:val="24"/>
          <w:szCs w:val="24"/>
        </w:rPr>
        <w:t xml:space="preserve">vol. 323, no. 24, May 2020, pp. 2466–2467. </w:t>
      </w:r>
      <w:hyperlink r:id="rId20" w:history="1">
        <w:r w:rsidRPr="002E4E30" w:rsidR="00F924A2">
          <w:rPr>
            <w:rStyle w:val="Hyperlink"/>
            <w:rFonts w:ascii="Times New Roman" w:hAnsi="Times New Roman"/>
            <w:sz w:val="24"/>
            <w:szCs w:val="24"/>
          </w:rPr>
          <w:t>http://jamanetwork.com/article.aspx?doi=10.1001/jama.2020.8598</w:t>
        </w:r>
      </w:hyperlink>
      <w:r w:rsidRPr="002E4E30">
        <w:rPr>
          <w:rFonts w:ascii="Times New Roman" w:hAnsi="Times New Roman"/>
          <w:sz w:val="24"/>
          <w:szCs w:val="24"/>
        </w:rPr>
        <w:t>.</w:t>
      </w:r>
    </w:p>
    <w:p w:rsidR="00B633AD" w:rsidRPr="002E4E30" w14:paraId="1F0A9BEE" w14:textId="77777777">
      <w:pPr>
        <w:spacing w:after="0" w:line="240" w:lineRule="auto"/>
        <w:rPr>
          <w:rFonts w:ascii="Times New Roman" w:hAnsi="Times New Roman"/>
          <w:b/>
          <w:bCs/>
          <w:sz w:val="24"/>
          <w:szCs w:val="24"/>
        </w:rPr>
      </w:pPr>
      <w:r w:rsidRPr="002E4E30">
        <w:rPr>
          <w:rFonts w:ascii="Times New Roman" w:hAnsi="Times New Roman"/>
          <w:sz w:val="24"/>
          <w:szCs w:val="24"/>
        </w:rPr>
        <w:br w:type="page"/>
      </w:r>
    </w:p>
    <w:p w:rsidR="002F26E1" w:rsidRPr="002E4E30" w:rsidP="00FB70B1" w14:paraId="6829F013" w14:textId="371E435A">
      <w:pPr>
        <w:pStyle w:val="Heading1"/>
        <w:rPr>
          <w:bCs/>
          <w:color w:val="000000" w:themeColor="text1"/>
        </w:rPr>
      </w:pPr>
      <w:r w:rsidRPr="002E4E30">
        <w:t>LIST OF ATTACHMENTS</w:t>
      </w:r>
      <w:bookmarkEnd w:id="2"/>
      <w:r w:rsidRPr="002E4E30">
        <w:tab/>
      </w:r>
      <w:r w:rsidRPr="002E4E30">
        <w:tab/>
      </w:r>
    </w:p>
    <w:p w:rsidR="00FE058F" w:rsidP="0051730B" w14:paraId="73A2DD43" w14:textId="77777777">
      <w:pPr>
        <w:spacing w:after="0" w:line="240" w:lineRule="auto"/>
        <w:rPr>
          <w:rFonts w:ascii="Times New Roman" w:hAnsi="Times New Roman"/>
          <w:sz w:val="24"/>
          <w:szCs w:val="24"/>
        </w:rPr>
      </w:pPr>
    </w:p>
    <w:p w:rsidR="00684977" w:rsidP="0051730B" w14:paraId="3C272EDA" w14:textId="77777777">
      <w:pPr>
        <w:spacing w:after="0" w:line="240" w:lineRule="auto"/>
        <w:rPr>
          <w:rFonts w:ascii="Times New Roman" w:hAnsi="Times New Roman"/>
          <w:sz w:val="24"/>
          <w:szCs w:val="24"/>
        </w:rPr>
      </w:pPr>
      <w:r>
        <w:rPr>
          <w:rFonts w:ascii="Times New Roman" w:hAnsi="Times New Roman"/>
          <w:sz w:val="24"/>
          <w:szCs w:val="24"/>
        </w:rPr>
        <w:t>Attachment A: Instruments</w:t>
      </w:r>
    </w:p>
    <w:p w:rsidR="00684977" w:rsidP="000B1724" w14:paraId="20A53AA8" w14:textId="27D6ED7F">
      <w:pPr>
        <w:spacing w:after="0" w:line="240" w:lineRule="auto"/>
        <w:ind w:firstLine="720"/>
        <w:rPr>
          <w:rFonts w:ascii="Times New Roman" w:hAnsi="Times New Roman"/>
          <w:sz w:val="24"/>
          <w:szCs w:val="24"/>
        </w:rPr>
      </w:pPr>
      <w:r w:rsidRPr="0051730B">
        <w:rPr>
          <w:rFonts w:ascii="Times New Roman" w:hAnsi="Times New Roman"/>
          <w:sz w:val="24"/>
          <w:szCs w:val="24"/>
        </w:rPr>
        <w:t>A</w:t>
      </w:r>
      <w:r>
        <w:rPr>
          <w:rFonts w:ascii="Times New Roman" w:hAnsi="Times New Roman"/>
          <w:sz w:val="24"/>
          <w:szCs w:val="24"/>
        </w:rPr>
        <w:t>.1: I</w:t>
      </w:r>
      <w:r w:rsidRPr="00FB70B1">
        <w:rPr>
          <w:rFonts w:ascii="Times New Roman" w:hAnsi="Times New Roman"/>
          <w:sz w:val="24"/>
          <w:szCs w:val="24"/>
        </w:rPr>
        <w:t xml:space="preserve">nterview </w:t>
      </w:r>
      <w:r>
        <w:rPr>
          <w:rFonts w:ascii="Times New Roman" w:hAnsi="Times New Roman"/>
          <w:sz w:val="24"/>
          <w:szCs w:val="24"/>
        </w:rPr>
        <w:t xml:space="preserve">guide: </w:t>
      </w:r>
      <w:r w:rsidRPr="00FB70B1">
        <w:rPr>
          <w:rFonts w:ascii="Times New Roman" w:hAnsi="Times New Roman"/>
          <w:sz w:val="24"/>
          <w:szCs w:val="24"/>
        </w:rPr>
        <w:t>public health leader</w:t>
      </w:r>
      <w:r>
        <w:rPr>
          <w:rFonts w:ascii="Times New Roman" w:hAnsi="Times New Roman"/>
          <w:sz w:val="24"/>
          <w:szCs w:val="24"/>
        </w:rPr>
        <w:t>s</w:t>
      </w:r>
    </w:p>
    <w:p w:rsidR="000B1724" w:rsidP="000B1724" w14:paraId="7755909C" w14:textId="5356AD21">
      <w:pPr>
        <w:spacing w:after="0" w:line="240" w:lineRule="auto"/>
        <w:ind w:firstLine="720"/>
        <w:rPr>
          <w:rFonts w:ascii="Times New Roman" w:hAnsi="Times New Roman"/>
          <w:sz w:val="24"/>
          <w:szCs w:val="24"/>
        </w:rPr>
      </w:pPr>
      <w:r>
        <w:rPr>
          <w:rFonts w:ascii="Times New Roman" w:hAnsi="Times New Roman"/>
          <w:sz w:val="24"/>
          <w:szCs w:val="24"/>
        </w:rPr>
        <w:t>A.2: Interview guide: program and partner staff</w:t>
      </w:r>
    </w:p>
    <w:p w:rsidR="000B1724" w:rsidRPr="007F28FD" w:rsidP="000B1724" w14:paraId="512A4C89" w14:textId="77777777">
      <w:pPr>
        <w:spacing w:after="0" w:line="240" w:lineRule="auto"/>
        <w:ind w:firstLine="720"/>
        <w:rPr>
          <w:rFonts w:ascii="Times New Roman" w:hAnsi="Times New Roman"/>
          <w:sz w:val="24"/>
          <w:szCs w:val="24"/>
        </w:rPr>
      </w:pPr>
      <w:r>
        <w:rPr>
          <w:rFonts w:ascii="Times New Roman" w:hAnsi="Times New Roman"/>
          <w:sz w:val="24"/>
          <w:szCs w:val="24"/>
        </w:rPr>
        <w:t>A.3: I</w:t>
      </w:r>
      <w:r w:rsidRPr="007F28FD">
        <w:rPr>
          <w:rFonts w:ascii="Times New Roman" w:hAnsi="Times New Roman"/>
          <w:sz w:val="24"/>
          <w:szCs w:val="24"/>
        </w:rPr>
        <w:t>nterview guide</w:t>
      </w:r>
      <w:r>
        <w:rPr>
          <w:rFonts w:ascii="Times New Roman" w:hAnsi="Times New Roman"/>
          <w:sz w:val="24"/>
          <w:szCs w:val="24"/>
        </w:rPr>
        <w:t>: community representatives</w:t>
      </w:r>
    </w:p>
    <w:p w:rsidR="000B1724" w:rsidP="000B1724" w14:paraId="2CE0295D" w14:textId="5EC70E64">
      <w:pPr>
        <w:spacing w:after="0" w:line="240" w:lineRule="auto"/>
        <w:ind w:firstLine="720"/>
        <w:rPr>
          <w:rFonts w:ascii="Times New Roman" w:hAnsi="Times New Roman"/>
          <w:sz w:val="24"/>
          <w:szCs w:val="24"/>
        </w:rPr>
      </w:pPr>
    </w:p>
    <w:p w:rsidR="00684977" w:rsidP="0051730B" w14:paraId="0C3805AA" w14:textId="77777777">
      <w:pPr>
        <w:spacing w:after="0" w:line="240" w:lineRule="auto"/>
        <w:rPr>
          <w:rFonts w:ascii="Times New Roman" w:hAnsi="Times New Roman"/>
          <w:sz w:val="24"/>
          <w:szCs w:val="24"/>
        </w:rPr>
      </w:pPr>
    </w:p>
    <w:p w:rsidR="00684977" w:rsidP="0051730B" w14:paraId="0410C667" w14:textId="17107628">
      <w:pPr>
        <w:spacing w:after="0" w:line="240" w:lineRule="auto"/>
        <w:rPr>
          <w:rFonts w:ascii="Times New Roman" w:hAnsi="Times New Roman"/>
          <w:sz w:val="24"/>
          <w:szCs w:val="24"/>
        </w:rPr>
      </w:pPr>
      <w:r>
        <w:rPr>
          <w:rFonts w:ascii="Times New Roman" w:hAnsi="Times New Roman"/>
          <w:sz w:val="24"/>
          <w:szCs w:val="24"/>
        </w:rPr>
        <w:t xml:space="preserve">Attachment B: </w:t>
      </w:r>
      <w:r w:rsidR="009C5030">
        <w:rPr>
          <w:rFonts w:ascii="Times New Roman" w:hAnsi="Times New Roman"/>
          <w:sz w:val="24"/>
          <w:szCs w:val="24"/>
        </w:rPr>
        <w:t>Outreach and Recruitment Materials</w:t>
      </w:r>
    </w:p>
    <w:p w:rsidR="004E6B34" w:rsidP="009C5030" w14:paraId="0135ECAC" w14:textId="1EAF3A5D">
      <w:pPr>
        <w:spacing w:after="0" w:line="240" w:lineRule="auto"/>
        <w:ind w:firstLine="720"/>
        <w:rPr>
          <w:rFonts w:ascii="Times New Roman" w:hAnsi="Times New Roman"/>
          <w:sz w:val="24"/>
          <w:szCs w:val="24"/>
        </w:rPr>
      </w:pPr>
      <w:r>
        <w:rPr>
          <w:rFonts w:ascii="Times New Roman" w:hAnsi="Times New Roman"/>
          <w:sz w:val="24"/>
          <w:szCs w:val="24"/>
        </w:rPr>
        <w:t xml:space="preserve">B.0: </w:t>
      </w:r>
      <w:r w:rsidR="003E6A72">
        <w:rPr>
          <w:rFonts w:ascii="Times New Roman" w:hAnsi="Times New Roman"/>
          <w:sz w:val="24"/>
          <w:szCs w:val="24"/>
        </w:rPr>
        <w:t>ASPE Recruitment Support Letter</w:t>
      </w:r>
    </w:p>
    <w:p w:rsidR="00C24267" w:rsidRPr="0051730B" w:rsidP="009C5030" w14:paraId="2B762018" w14:textId="450F90E1">
      <w:pPr>
        <w:spacing w:after="0" w:line="240" w:lineRule="auto"/>
        <w:ind w:firstLine="720"/>
        <w:rPr>
          <w:rFonts w:ascii="Times New Roman" w:hAnsi="Times New Roman"/>
          <w:sz w:val="24"/>
          <w:szCs w:val="24"/>
        </w:rPr>
      </w:pPr>
      <w:r>
        <w:rPr>
          <w:rFonts w:ascii="Times New Roman" w:hAnsi="Times New Roman"/>
          <w:sz w:val="24"/>
          <w:szCs w:val="24"/>
        </w:rPr>
        <w:t xml:space="preserve">B.1: </w:t>
      </w:r>
      <w:r w:rsidRPr="0051730B" w:rsidR="0051730B">
        <w:rPr>
          <w:rFonts w:ascii="Times New Roman" w:hAnsi="Times New Roman"/>
          <w:sz w:val="24"/>
          <w:szCs w:val="24"/>
        </w:rPr>
        <w:t>Public health leader: Initial outreach email</w:t>
      </w:r>
    </w:p>
    <w:p w:rsidR="0051730B" w:rsidP="00684977" w14:paraId="6A5F502E" w14:textId="3889B554">
      <w:pPr>
        <w:spacing w:after="0" w:line="240" w:lineRule="auto"/>
        <w:ind w:firstLine="720"/>
        <w:rPr>
          <w:rFonts w:ascii="Times New Roman" w:hAnsi="Times New Roman"/>
          <w:sz w:val="24"/>
          <w:szCs w:val="24"/>
        </w:rPr>
      </w:pPr>
      <w:r>
        <w:rPr>
          <w:rFonts w:ascii="Times New Roman" w:hAnsi="Times New Roman"/>
          <w:sz w:val="24"/>
          <w:szCs w:val="24"/>
        </w:rPr>
        <w:t xml:space="preserve">B.2: </w:t>
      </w:r>
      <w:r w:rsidR="00FE058F">
        <w:rPr>
          <w:rFonts w:ascii="Times New Roman" w:hAnsi="Times New Roman"/>
          <w:sz w:val="24"/>
          <w:szCs w:val="24"/>
        </w:rPr>
        <w:t>Public health leader: Reminder outreach email</w:t>
      </w:r>
    </w:p>
    <w:p w:rsidR="00FE058F" w:rsidP="00684977" w14:paraId="6ED471BD" w14:textId="764DE338">
      <w:pPr>
        <w:spacing w:after="0" w:line="240" w:lineRule="auto"/>
        <w:ind w:firstLine="720"/>
        <w:rPr>
          <w:rFonts w:ascii="Times New Roman" w:hAnsi="Times New Roman"/>
          <w:sz w:val="24"/>
          <w:szCs w:val="24"/>
        </w:rPr>
      </w:pPr>
      <w:r>
        <w:rPr>
          <w:rFonts w:ascii="Times New Roman" w:hAnsi="Times New Roman"/>
          <w:sz w:val="24"/>
          <w:szCs w:val="24"/>
        </w:rPr>
        <w:t xml:space="preserve">B.3: </w:t>
      </w:r>
      <w:r w:rsidR="00CD78C0">
        <w:rPr>
          <w:rFonts w:ascii="Times New Roman" w:hAnsi="Times New Roman"/>
          <w:sz w:val="24"/>
          <w:szCs w:val="24"/>
        </w:rPr>
        <w:t>Lead program respondent: Initial outreach email</w:t>
      </w:r>
    </w:p>
    <w:p w:rsidR="00CD78C0" w:rsidP="00684977" w14:paraId="6F31302D" w14:textId="5DCFB253">
      <w:pPr>
        <w:spacing w:after="0" w:line="240" w:lineRule="auto"/>
        <w:ind w:firstLine="720"/>
        <w:rPr>
          <w:rFonts w:ascii="Times New Roman" w:hAnsi="Times New Roman"/>
          <w:sz w:val="24"/>
          <w:szCs w:val="24"/>
        </w:rPr>
      </w:pPr>
      <w:r>
        <w:rPr>
          <w:rFonts w:ascii="Times New Roman" w:hAnsi="Times New Roman"/>
          <w:sz w:val="24"/>
          <w:szCs w:val="24"/>
        </w:rPr>
        <w:t xml:space="preserve">B.4: </w:t>
      </w:r>
      <w:r>
        <w:rPr>
          <w:rFonts w:ascii="Times New Roman" w:hAnsi="Times New Roman"/>
          <w:sz w:val="24"/>
          <w:szCs w:val="24"/>
        </w:rPr>
        <w:t>Lead program respondent: Reminder outreach email</w:t>
      </w:r>
    </w:p>
    <w:p w:rsidR="00CD78C0" w:rsidP="00684977" w14:paraId="422C07D2" w14:textId="1197AC47">
      <w:pPr>
        <w:spacing w:after="0" w:line="240" w:lineRule="auto"/>
        <w:ind w:firstLine="720"/>
        <w:rPr>
          <w:rFonts w:ascii="Times New Roman" w:hAnsi="Times New Roman"/>
          <w:sz w:val="24"/>
          <w:szCs w:val="24"/>
        </w:rPr>
      </w:pPr>
      <w:r>
        <w:rPr>
          <w:rFonts w:ascii="Times New Roman" w:hAnsi="Times New Roman"/>
          <w:sz w:val="24"/>
          <w:szCs w:val="24"/>
        </w:rPr>
        <w:t xml:space="preserve">B.5: </w:t>
      </w:r>
      <w:r>
        <w:rPr>
          <w:rFonts w:ascii="Times New Roman" w:hAnsi="Times New Roman"/>
          <w:sz w:val="24"/>
          <w:szCs w:val="24"/>
        </w:rPr>
        <w:t xml:space="preserve">Non-lead program and partner </w:t>
      </w:r>
      <w:r w:rsidR="008247A2">
        <w:rPr>
          <w:rFonts w:ascii="Times New Roman" w:hAnsi="Times New Roman"/>
          <w:sz w:val="24"/>
          <w:szCs w:val="24"/>
        </w:rPr>
        <w:t>staff: Initial outreach email</w:t>
      </w:r>
    </w:p>
    <w:p w:rsidR="008247A2" w:rsidP="00684977" w14:paraId="42A5181D" w14:textId="36C1A100">
      <w:pPr>
        <w:spacing w:after="0" w:line="240" w:lineRule="auto"/>
        <w:ind w:firstLine="720"/>
        <w:rPr>
          <w:rFonts w:ascii="Times New Roman" w:hAnsi="Times New Roman"/>
          <w:sz w:val="24"/>
          <w:szCs w:val="24"/>
        </w:rPr>
      </w:pPr>
      <w:r>
        <w:rPr>
          <w:rFonts w:ascii="Times New Roman" w:hAnsi="Times New Roman"/>
          <w:sz w:val="24"/>
          <w:szCs w:val="24"/>
        </w:rPr>
        <w:t xml:space="preserve">B.6: </w:t>
      </w:r>
      <w:r>
        <w:rPr>
          <w:rFonts w:ascii="Times New Roman" w:hAnsi="Times New Roman"/>
          <w:sz w:val="24"/>
          <w:szCs w:val="24"/>
        </w:rPr>
        <w:t>Non-lead program and partner staff: Reminder outreach email</w:t>
      </w:r>
    </w:p>
    <w:p w:rsidR="008247A2" w:rsidP="00684977" w14:paraId="0B4A576A" w14:textId="1B938031">
      <w:pPr>
        <w:spacing w:after="0" w:line="240" w:lineRule="auto"/>
        <w:ind w:firstLine="720"/>
        <w:rPr>
          <w:rFonts w:ascii="Times New Roman" w:hAnsi="Times New Roman"/>
          <w:sz w:val="24"/>
          <w:szCs w:val="24"/>
        </w:rPr>
      </w:pPr>
      <w:r>
        <w:rPr>
          <w:rFonts w:ascii="Times New Roman" w:hAnsi="Times New Roman"/>
          <w:sz w:val="24"/>
          <w:szCs w:val="24"/>
        </w:rPr>
        <w:t xml:space="preserve">B.7: </w:t>
      </w:r>
      <w:r>
        <w:rPr>
          <w:rFonts w:ascii="Times New Roman" w:hAnsi="Times New Roman"/>
          <w:sz w:val="24"/>
          <w:szCs w:val="24"/>
        </w:rPr>
        <w:t>Community representatives: Initial outreach email</w:t>
      </w:r>
    </w:p>
    <w:p w:rsidR="008247A2" w:rsidP="00684977" w14:paraId="361CCBB0" w14:textId="540DEC30">
      <w:pPr>
        <w:spacing w:after="0" w:line="240" w:lineRule="auto"/>
        <w:ind w:firstLine="720"/>
        <w:rPr>
          <w:rFonts w:ascii="Times New Roman" w:hAnsi="Times New Roman"/>
          <w:sz w:val="24"/>
          <w:szCs w:val="24"/>
        </w:rPr>
      </w:pPr>
      <w:r>
        <w:rPr>
          <w:rFonts w:ascii="Times New Roman" w:hAnsi="Times New Roman"/>
          <w:sz w:val="24"/>
          <w:szCs w:val="24"/>
        </w:rPr>
        <w:t xml:space="preserve">B.8: </w:t>
      </w:r>
      <w:r>
        <w:rPr>
          <w:rFonts w:ascii="Times New Roman" w:hAnsi="Times New Roman"/>
          <w:sz w:val="24"/>
          <w:szCs w:val="24"/>
        </w:rPr>
        <w:t>Community representatives: Reminder outreach email</w:t>
      </w:r>
    </w:p>
    <w:p w:rsidR="008247A2" w:rsidP="00684977" w14:paraId="4CCD91F9" w14:textId="24DCF347">
      <w:pPr>
        <w:spacing w:after="0" w:line="240" w:lineRule="auto"/>
        <w:ind w:firstLine="720"/>
        <w:rPr>
          <w:rFonts w:ascii="Times New Roman" w:hAnsi="Times New Roman"/>
          <w:sz w:val="24"/>
          <w:szCs w:val="24"/>
        </w:rPr>
      </w:pPr>
      <w:r>
        <w:rPr>
          <w:rFonts w:ascii="Times New Roman" w:hAnsi="Times New Roman"/>
          <w:sz w:val="24"/>
          <w:szCs w:val="24"/>
        </w:rPr>
        <w:t xml:space="preserve">B.9: </w:t>
      </w:r>
      <w:r>
        <w:rPr>
          <w:rFonts w:ascii="Times New Roman" w:hAnsi="Times New Roman"/>
          <w:sz w:val="24"/>
          <w:szCs w:val="24"/>
        </w:rPr>
        <w:t>Nonresponsive contacts: Initial phone call and voicemail script</w:t>
      </w:r>
    </w:p>
    <w:p w:rsidR="008247A2" w:rsidP="00684977" w14:paraId="3CCFB17B" w14:textId="472B044C">
      <w:pPr>
        <w:spacing w:after="0" w:line="240" w:lineRule="auto"/>
        <w:ind w:firstLine="720"/>
        <w:rPr>
          <w:rFonts w:ascii="Times New Roman" w:hAnsi="Times New Roman"/>
          <w:sz w:val="24"/>
          <w:szCs w:val="24"/>
        </w:rPr>
      </w:pPr>
      <w:r>
        <w:rPr>
          <w:rFonts w:ascii="Times New Roman" w:hAnsi="Times New Roman"/>
          <w:sz w:val="24"/>
          <w:szCs w:val="24"/>
        </w:rPr>
        <w:t xml:space="preserve">B.10: </w:t>
      </w:r>
      <w:r>
        <w:rPr>
          <w:rFonts w:ascii="Times New Roman" w:hAnsi="Times New Roman"/>
          <w:sz w:val="24"/>
          <w:szCs w:val="24"/>
        </w:rPr>
        <w:t>Nonresponsive contacts: Reminder voicemail script</w:t>
      </w:r>
    </w:p>
    <w:p w:rsidR="008247A2" w:rsidP="00684977" w14:paraId="49094B0C" w14:textId="6E4B55EB">
      <w:pPr>
        <w:spacing w:after="0" w:line="240" w:lineRule="auto"/>
        <w:ind w:firstLine="720"/>
        <w:rPr>
          <w:rFonts w:ascii="Times New Roman" w:hAnsi="Times New Roman"/>
          <w:sz w:val="24"/>
          <w:szCs w:val="24"/>
        </w:rPr>
      </w:pPr>
      <w:r>
        <w:rPr>
          <w:rFonts w:ascii="Times New Roman" w:hAnsi="Times New Roman"/>
          <w:sz w:val="24"/>
          <w:szCs w:val="24"/>
        </w:rPr>
        <w:t xml:space="preserve">B.11: </w:t>
      </w:r>
      <w:r>
        <w:rPr>
          <w:rFonts w:ascii="Times New Roman" w:hAnsi="Times New Roman"/>
          <w:sz w:val="24"/>
          <w:szCs w:val="24"/>
        </w:rPr>
        <w:t>Calendar hold email</w:t>
      </w:r>
    </w:p>
    <w:p w:rsidR="008247A2" w:rsidP="0051730B" w14:paraId="3D1751AC" w14:textId="77777777">
      <w:pPr>
        <w:spacing w:after="0" w:line="240" w:lineRule="auto"/>
        <w:rPr>
          <w:rFonts w:ascii="Times New Roman" w:hAnsi="Times New Roman"/>
          <w:sz w:val="24"/>
          <w:szCs w:val="24"/>
        </w:rPr>
      </w:pPr>
    </w:p>
    <w:bookmarkEnd w:id="3"/>
    <w:p w:rsidR="00660D97" w14:paraId="6B3EDF02" w14:textId="77777777">
      <w:pPr>
        <w:spacing w:after="0" w:line="240" w:lineRule="auto"/>
      </w:pPr>
    </w:p>
    <w:p w:rsidR="00660D97" w:rsidRPr="006A2036" w:rsidP="00660D97" w14:paraId="65FE40F1" w14:textId="77777777">
      <w:pPr>
        <w:rPr>
          <w:rFonts w:ascii="Tahoma" w:hAnsi="Tahoma"/>
          <w:b/>
          <w:sz w:val="20"/>
          <w:szCs w:val="20"/>
        </w:rPr>
      </w:pPr>
    </w:p>
    <w:p w:rsidR="00660D97" w:rsidRPr="006A2036" w14:paraId="660E4912" w14:textId="77777777">
      <w:pPr>
        <w:spacing w:after="0" w:line="240" w:lineRule="auto"/>
      </w:pPr>
    </w:p>
    <w:sectPr w:rsidSect="00982095">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19DE" w14:paraId="430AE885" w14:textId="77777777">
      <w:pPr>
        <w:spacing w:after="0" w:line="240" w:lineRule="auto"/>
      </w:pPr>
      <w:r>
        <w:separator/>
      </w:r>
    </w:p>
    <w:p w:rsidR="006E19DE" w14:paraId="14870B97" w14:textId="77777777"/>
  </w:endnote>
  <w:endnote w:type="continuationSeparator" w:id="1">
    <w:p w:rsidR="006E19DE" w14:paraId="3B96552A" w14:textId="77777777">
      <w:pPr>
        <w:spacing w:after="0" w:line="240" w:lineRule="auto"/>
      </w:pPr>
      <w:r>
        <w:continuationSeparator/>
      </w:r>
    </w:p>
    <w:p w:rsidR="006E19DE" w14:paraId="114DF94A" w14:textId="77777777"/>
  </w:endnote>
  <w:endnote w:type="continuationNotice" w:id="2">
    <w:p w:rsidR="006E19DE" w14:paraId="67361033" w14:textId="77777777">
      <w:pPr>
        <w:spacing w:after="0" w:line="240" w:lineRule="auto"/>
      </w:pPr>
    </w:p>
    <w:p w:rsidR="006E19DE" w14:paraId="20184F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1B0" w14:paraId="1754B0A3" w14:textId="77777777">
    <w:pPr>
      <w:pStyle w:val="Footer"/>
    </w:pPr>
  </w:p>
  <w:p w:rsidR="00B557A8" w14:paraId="237762C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RPr="00B633AD" w:rsidP="00E26679" w14:paraId="66687C95" w14:textId="77777777">
    <w:pPr>
      <w:pStyle w:val="Footer"/>
      <w:jc w:val="center"/>
      <w:rPr>
        <w:rFonts w:ascii="Times New Roman" w:hAnsi="Times New Roman"/>
        <w:sz w:val="24"/>
        <w:szCs w:val="24"/>
      </w:rPr>
    </w:pPr>
    <w:r w:rsidRPr="00B633AD">
      <w:rPr>
        <w:rFonts w:ascii="Times New Roman" w:hAnsi="Times New Roman"/>
        <w:sz w:val="24"/>
        <w:szCs w:val="24"/>
      </w:rPr>
      <w:t xml:space="preserve">Page </w:t>
    </w:r>
    <w:r w:rsidRPr="00B633AD">
      <w:rPr>
        <w:rFonts w:ascii="Times New Roman" w:hAnsi="Times New Roman"/>
        <w:b/>
        <w:sz w:val="24"/>
        <w:szCs w:val="24"/>
      </w:rPr>
      <w:fldChar w:fldCharType="begin"/>
    </w:r>
    <w:r w:rsidRPr="00B633AD">
      <w:rPr>
        <w:rFonts w:ascii="Times New Roman" w:hAnsi="Times New Roman"/>
        <w:b/>
        <w:sz w:val="24"/>
        <w:szCs w:val="24"/>
      </w:rPr>
      <w:instrText xml:space="preserve"> PAGE </w:instrText>
    </w:r>
    <w:r w:rsidRPr="00B633AD">
      <w:rPr>
        <w:rFonts w:ascii="Times New Roman" w:hAnsi="Times New Roman"/>
        <w:b/>
        <w:sz w:val="24"/>
        <w:szCs w:val="24"/>
      </w:rPr>
      <w:fldChar w:fldCharType="separate"/>
    </w:r>
    <w:r w:rsidRPr="00B633AD" w:rsidR="00515361">
      <w:rPr>
        <w:rFonts w:ascii="Times New Roman" w:hAnsi="Times New Roman"/>
        <w:b/>
        <w:noProof/>
        <w:sz w:val="24"/>
        <w:szCs w:val="24"/>
      </w:rPr>
      <w:t>6</w:t>
    </w:r>
    <w:r w:rsidRPr="00B633AD">
      <w:rPr>
        <w:rFonts w:ascii="Times New Roman" w:hAnsi="Times New Roman"/>
        <w:b/>
        <w:sz w:val="24"/>
        <w:szCs w:val="24"/>
      </w:rPr>
      <w:fldChar w:fldCharType="end"/>
    </w:r>
    <w:r w:rsidRPr="00B633AD">
      <w:rPr>
        <w:rFonts w:ascii="Times New Roman" w:hAnsi="Times New Roman"/>
        <w:sz w:val="24"/>
        <w:szCs w:val="24"/>
      </w:rPr>
      <w:t xml:space="preserve"> of </w:t>
    </w:r>
    <w:r w:rsidRPr="00B633AD">
      <w:rPr>
        <w:rFonts w:ascii="Times New Roman" w:hAnsi="Times New Roman"/>
        <w:b/>
        <w:sz w:val="24"/>
        <w:szCs w:val="24"/>
      </w:rPr>
      <w:fldChar w:fldCharType="begin"/>
    </w:r>
    <w:r w:rsidRPr="00B633AD">
      <w:rPr>
        <w:rFonts w:ascii="Times New Roman" w:hAnsi="Times New Roman"/>
        <w:b/>
        <w:sz w:val="24"/>
        <w:szCs w:val="24"/>
      </w:rPr>
      <w:instrText xml:space="preserve"> NUMPAGES  </w:instrText>
    </w:r>
    <w:r w:rsidRPr="00B633AD">
      <w:rPr>
        <w:rFonts w:ascii="Times New Roman" w:hAnsi="Times New Roman"/>
        <w:b/>
        <w:sz w:val="24"/>
        <w:szCs w:val="24"/>
      </w:rPr>
      <w:fldChar w:fldCharType="separate"/>
    </w:r>
    <w:r w:rsidRPr="00B633AD" w:rsidR="00515361">
      <w:rPr>
        <w:rFonts w:ascii="Times New Roman" w:hAnsi="Times New Roman"/>
        <w:b/>
        <w:noProof/>
        <w:sz w:val="24"/>
        <w:szCs w:val="24"/>
      </w:rPr>
      <w:t>6</w:t>
    </w:r>
    <w:r w:rsidRPr="00B633AD">
      <w:rPr>
        <w:rFonts w:ascii="Times New Roman" w:hAnsi="Times New Roman"/>
        <w:b/>
        <w:sz w:val="24"/>
        <w:szCs w:val="24"/>
      </w:rPr>
      <w:fldChar w:fldCharType="end"/>
    </w:r>
  </w:p>
  <w:p w:rsidR="00E26679" w14:paraId="51806068" w14:textId="77777777">
    <w:pPr>
      <w:pStyle w:val="Footer"/>
    </w:pPr>
  </w:p>
  <w:p w:rsidR="00B557A8" w14:paraId="5F72C0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19DE" w14:paraId="0007C1AC" w14:textId="77777777">
      <w:pPr>
        <w:spacing w:after="0" w:line="240" w:lineRule="auto"/>
      </w:pPr>
      <w:r>
        <w:separator/>
      </w:r>
    </w:p>
    <w:p w:rsidR="006E19DE" w14:paraId="449D8BB9" w14:textId="77777777"/>
  </w:footnote>
  <w:footnote w:type="continuationSeparator" w:id="1">
    <w:p w:rsidR="006E19DE" w14:paraId="604BB40F" w14:textId="77777777">
      <w:pPr>
        <w:spacing w:after="0" w:line="240" w:lineRule="auto"/>
      </w:pPr>
      <w:r>
        <w:continuationSeparator/>
      </w:r>
    </w:p>
    <w:p w:rsidR="006E19DE" w14:paraId="53478887" w14:textId="77777777"/>
  </w:footnote>
  <w:footnote w:type="continuationNotice" w:id="2">
    <w:p w:rsidR="006E19DE" w14:paraId="09ED9994" w14:textId="77777777">
      <w:pPr>
        <w:spacing w:after="0" w:line="240" w:lineRule="auto"/>
      </w:pPr>
    </w:p>
    <w:p w:rsidR="006E19DE" w14:paraId="7B297C88" w14:textId="77777777"/>
  </w:footnote>
  <w:footnote w:id="3">
    <w:p w:rsidR="00C565EF" w:rsidRPr="00C565EF" w14:paraId="05D5F059" w14:textId="4F78FE86">
      <w:pPr>
        <w:pStyle w:val="FootnoteText"/>
      </w:pPr>
      <w:r>
        <w:rPr>
          <w:rStyle w:val="FootnoteReference"/>
        </w:rPr>
        <w:footnoteRef/>
      </w:r>
      <w:r>
        <w:t xml:space="preserve"> </w:t>
      </w:r>
      <w:r w:rsidRPr="00C565EF">
        <w:rPr>
          <w:rFonts w:ascii="Times New Roman" w:hAnsi="Times New Roman"/>
        </w:rPr>
        <w:t xml:space="preserve">On the advice of their subcontracting partner with expertise in research with tribal organizations </w:t>
      </w:r>
      <w:r w:rsidR="00B6690A">
        <w:rPr>
          <w:rFonts w:ascii="Times New Roman" w:hAnsi="Times New Roman"/>
          <w:lang w:val="en-US"/>
        </w:rPr>
        <w:t>(</w:t>
      </w:r>
      <w:r w:rsidRPr="00C565EF">
        <w:rPr>
          <w:rFonts w:ascii="Times New Roman" w:hAnsi="Times New Roman"/>
        </w:rPr>
        <w:t>KAI</w:t>
      </w:r>
      <w:r w:rsidR="00B6690A">
        <w:rPr>
          <w:rFonts w:ascii="Times New Roman" w:hAnsi="Times New Roman"/>
          <w:lang w:val="en-US"/>
        </w:rPr>
        <w:t>)</w:t>
      </w:r>
      <w:r w:rsidRPr="00C565EF">
        <w:rPr>
          <w:rFonts w:ascii="Times New Roman" w:hAnsi="Times New Roman"/>
        </w:rPr>
        <w:t>, Mathematica will offer all tribal organizations the option of in-person interviews.</w:t>
      </w:r>
    </w:p>
  </w:footnote>
  <w:footnote w:id="4">
    <w:p w:rsidR="00A4372C" w:rsidRPr="002701ED" w14:paraId="1C9F434A" w14:textId="6FC94A78">
      <w:pPr>
        <w:pStyle w:val="FootnoteText"/>
        <w:rPr>
          <w:rFonts w:ascii="Times New Roman" w:hAnsi="Times New Roman"/>
          <w:lang w:val="en-US"/>
        </w:rPr>
      </w:pPr>
      <w:r>
        <w:rPr>
          <w:rStyle w:val="FootnoteReference"/>
        </w:rPr>
        <w:footnoteRef/>
      </w:r>
      <w:r>
        <w:t xml:space="preserve"> </w:t>
      </w:r>
      <w:r w:rsidRPr="00F72961" w:rsidR="00F72961">
        <w:rPr>
          <w:rFonts w:ascii="Times New Roman" w:hAnsi="Times New Roman"/>
          <w:lang w:val="en-US"/>
        </w:rPr>
        <w:t>Current s</w:t>
      </w:r>
      <w:r w:rsidRPr="00F72961">
        <w:rPr>
          <w:rFonts w:ascii="Times New Roman" w:hAnsi="Times New Roman"/>
          <w:lang w:val="en-US"/>
        </w:rPr>
        <w:t>alary information</w:t>
      </w:r>
      <w:r w:rsidR="00770239">
        <w:rPr>
          <w:rFonts w:ascii="Times New Roman" w:hAnsi="Times New Roman"/>
          <w:lang w:val="en-US"/>
        </w:rPr>
        <w:t>, as of September 2023,</w:t>
      </w:r>
      <w:r w:rsidRPr="00F72961" w:rsidR="00F72961">
        <w:rPr>
          <w:rFonts w:ascii="Times New Roman" w:hAnsi="Times New Roman"/>
          <w:lang w:val="en-US"/>
        </w:rPr>
        <w:t xml:space="preserve"> for </w:t>
      </w:r>
      <w:r w:rsidR="00D325CA">
        <w:rPr>
          <w:rFonts w:ascii="Times New Roman" w:hAnsi="Times New Roman"/>
          <w:lang w:val="en-US"/>
        </w:rPr>
        <w:t>federally qualified health center</w:t>
      </w:r>
      <w:r w:rsidRPr="00F72961" w:rsidR="00F72961">
        <w:rPr>
          <w:rFonts w:ascii="Times New Roman" w:hAnsi="Times New Roman"/>
          <w:lang w:val="en-US"/>
        </w:rPr>
        <w:t>, community-based organization, pharmacy, and public health employees</w:t>
      </w:r>
      <w:r w:rsidRPr="00F72961">
        <w:rPr>
          <w:rFonts w:ascii="Times New Roman" w:hAnsi="Times New Roman"/>
          <w:lang w:val="en-US"/>
        </w:rPr>
        <w:t xml:space="preserve"> was </w:t>
      </w:r>
      <w:r w:rsidRPr="00F72961" w:rsidR="00F72961">
        <w:rPr>
          <w:rFonts w:ascii="Times New Roman" w:hAnsi="Times New Roman"/>
          <w:lang w:val="en-US"/>
        </w:rPr>
        <w:t>obtained</w:t>
      </w:r>
      <w:r w:rsidRPr="00F72961" w:rsidR="001E7927">
        <w:rPr>
          <w:rFonts w:ascii="Times New Roman" w:hAnsi="Times New Roman"/>
          <w:lang w:val="en-US"/>
        </w:rPr>
        <w:t xml:space="preserve"> from </w:t>
      </w:r>
      <w:hyperlink r:id="rId1" w:history="1">
        <w:r w:rsidRPr="008D26FE" w:rsidR="008D26FE">
          <w:rPr>
            <w:rStyle w:val="Hyperlink"/>
            <w:rFonts w:ascii="Times New Roman" w:hAnsi="Times New Roman"/>
            <w:lang w:val="en-US"/>
          </w:rPr>
          <w:t>www.ziprecruiter.com</w:t>
        </w:r>
      </w:hyperlink>
      <w:r w:rsidRPr="00F72961" w:rsidR="007F0899">
        <w:rPr>
          <w:rFonts w:ascii="Times New Roman" w:hAnsi="Times New Roman"/>
          <w:lang w:val="en-US"/>
        </w:rPr>
        <w:t xml:space="preserve">, </w:t>
      </w:r>
      <w:hyperlink r:id="rId2" w:history="1">
        <w:r w:rsidRPr="008D26FE" w:rsidR="008D26FE">
          <w:rPr>
            <w:rStyle w:val="Hyperlink"/>
            <w:rFonts w:ascii="Times New Roman" w:hAnsi="Times New Roman"/>
            <w:lang w:val="en-US"/>
          </w:rPr>
          <w:t>www.salaryexpert.com</w:t>
        </w:r>
      </w:hyperlink>
      <w:r w:rsidRPr="00F72961" w:rsidR="00074051">
        <w:rPr>
          <w:rFonts w:ascii="Times New Roman" w:hAnsi="Times New Roman"/>
          <w:lang w:val="en-US"/>
        </w:rPr>
        <w:t xml:space="preserve">, </w:t>
      </w:r>
      <w:hyperlink r:id="rId3" w:history="1">
        <w:r w:rsidRPr="00A0512C" w:rsidR="008D26FE">
          <w:rPr>
            <w:rStyle w:val="Hyperlink"/>
            <w:rFonts w:ascii="Times New Roman" w:hAnsi="Times New Roman"/>
            <w:lang w:val="en-US"/>
          </w:rPr>
          <w:t>www.indeed.com</w:t>
        </w:r>
      </w:hyperlink>
      <w:r w:rsidRPr="00A0512C" w:rsidR="000A152B">
        <w:rPr>
          <w:rFonts w:ascii="Times New Roman" w:hAnsi="Times New Roman"/>
          <w:lang w:val="en-US"/>
        </w:rPr>
        <w:t>,</w:t>
      </w:r>
      <w:r w:rsidRPr="00A0512C" w:rsidR="00074051">
        <w:rPr>
          <w:rFonts w:ascii="Times New Roman" w:hAnsi="Times New Roman"/>
          <w:lang w:val="en-US"/>
        </w:rPr>
        <w:t xml:space="preserve"> and </w:t>
      </w:r>
      <w:r w:rsidRPr="00A0512C" w:rsidR="00A111B9">
        <w:rPr>
          <w:rFonts w:ascii="Times New Roman" w:hAnsi="Times New Roman"/>
          <w:lang w:val="en-US"/>
        </w:rPr>
        <w:t xml:space="preserve"> salary information for community representative</w:t>
      </w:r>
      <w:r w:rsidRPr="00A0512C" w:rsidR="004C6B91">
        <w:rPr>
          <w:rFonts w:ascii="Times New Roman" w:hAnsi="Times New Roman"/>
          <w:lang w:val="en-US"/>
        </w:rPr>
        <w:t>s</w:t>
      </w:r>
      <w:r w:rsidRPr="00A0512C" w:rsidR="00A111B9">
        <w:rPr>
          <w:rFonts w:ascii="Times New Roman" w:hAnsi="Times New Roman"/>
          <w:lang w:val="en-US"/>
        </w:rPr>
        <w:t xml:space="preserve"> w</w:t>
      </w:r>
      <w:r w:rsidRPr="00A0512C" w:rsidR="00EF47F9">
        <w:rPr>
          <w:rFonts w:ascii="Times New Roman" w:hAnsi="Times New Roman"/>
          <w:lang w:val="en-US"/>
        </w:rPr>
        <w:t xml:space="preserve">as obtained from the U.S. Bureau of Labor Statistics at </w:t>
      </w:r>
      <w:hyperlink r:id="rId4" w:history="1">
        <w:r w:rsidRPr="00A0512C" w:rsidR="00EF47F9">
          <w:rPr>
            <w:rStyle w:val="Hyperlink"/>
            <w:rFonts w:ascii="Times New Roman" w:hAnsi="Times New Roman"/>
          </w:rPr>
          <w:t>Summary table B. Establishment data, seasonally adjusted : U.S. Bureau of Labor Statistics (bls.gov)</w:t>
        </w:r>
      </w:hyperlink>
      <w:r w:rsidRPr="00A0512C" w:rsidR="00EF47F9">
        <w:rPr>
          <w:rFonts w:ascii="Times New Roman" w:hAnsi="Times New Roman"/>
          <w:lang w:val="en-US"/>
        </w:rPr>
        <w:t>.</w:t>
      </w:r>
      <w:r w:rsidRPr="00A0512C" w:rsidR="00A0512C">
        <w:rPr>
          <w:rFonts w:ascii="Times New Roman" w:hAnsi="Times New Roman"/>
        </w:rPr>
        <w:t xml:space="preserve"> </w:t>
      </w:r>
      <w:r w:rsidRPr="002D5161" w:rsidR="002D5161">
        <w:rPr>
          <w:rFonts w:ascii="Times New Roman" w:hAnsi="Times New Roman"/>
        </w:rPr>
        <w:t>We used the average of the hourly rates of public health leaders, program staff, and community representatives to estimate the hourly rate of non-respondents.</w:t>
      </w:r>
      <w:r w:rsidR="002D516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1B0" w14:paraId="7490D8B7" w14:textId="6EA235D3">
    <w:pPr>
      <w:pStyle w:val="Header"/>
    </w:pPr>
  </w:p>
  <w:p w:rsidR="00B557A8" w14:paraId="2F57443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748" w:rsidRPr="00A54748" w14:paraId="71F7C5C5" w14:textId="256A5746">
    <w:pPr>
      <w:pStyle w:val="Header"/>
      <w:rPr>
        <w:rFonts w:ascii="Times New Roman" w:hAnsi="Times New Roman"/>
        <w:sz w:val="24"/>
        <w:szCs w:val="24"/>
      </w:rPr>
    </w:pPr>
    <w:r w:rsidRPr="00846297">
      <w:rPr>
        <w:rFonts w:ascii="Times New Roman" w:hAnsi="Times New Roman"/>
        <w:sz w:val="24"/>
        <w:szCs w:val="24"/>
      </w:rPr>
      <w:t xml:space="preserve">OMB Control </w:t>
    </w:r>
    <w:r w:rsidRPr="00A81D37">
      <w:rPr>
        <w:rFonts w:ascii="Times New Roman" w:hAnsi="Times New Roman"/>
        <w:sz w:val="24"/>
        <w:szCs w:val="24"/>
      </w:rPr>
      <w:t xml:space="preserve">Number 0990-0421, Expires </w:t>
    </w:r>
    <w:r w:rsidR="00077049">
      <w:rPr>
        <w:rFonts w:ascii="Times New Roman" w:hAnsi="Times New Roman"/>
        <w:sz w:val="24"/>
        <w:szCs w:val="24"/>
      </w:rPr>
      <w:t>2/28</w:t>
    </w:r>
    <w:r w:rsidRPr="00A81D37">
      <w:rPr>
        <w:rFonts w:ascii="Times New Roman" w:hAnsi="Times New Roman"/>
        <w:sz w:val="24"/>
        <w:szCs w:val="24"/>
      </w:rPr>
      <w:t>/202</w:t>
    </w:r>
    <w:r w:rsidRPr="00A81D37" w:rsidR="0064427D">
      <w:rPr>
        <w:rFonts w:ascii="Times New Roman" w:hAnsi="Times New Roman"/>
        <w:sz w:val="24"/>
        <w:szCs w:val="24"/>
      </w:rPr>
      <w:t>7</w:t>
    </w:r>
  </w:p>
  <w:p w:rsidR="00B557A8" w14:paraId="0812DDC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D2B92"/>
    <w:multiLevelType w:val="hybridMultilevel"/>
    <w:tmpl w:val="E4BCB0B8"/>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57521C1"/>
    <w:multiLevelType w:val="hybridMultilevel"/>
    <w:tmpl w:val="42BC9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A531DC"/>
    <w:multiLevelType w:val="multilevel"/>
    <w:tmpl w:val="FCA6F6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DC25BB"/>
    <w:multiLevelType w:val="hybridMultilevel"/>
    <w:tmpl w:val="7932D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568A2E"/>
    <w:multiLevelType w:val="hybridMultilevel"/>
    <w:tmpl w:val="49F49F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4F0487"/>
    <w:multiLevelType w:val="hybridMultilevel"/>
    <w:tmpl w:val="D95E6848"/>
    <w:lvl w:ilvl="0">
      <w:start w:val="1"/>
      <w:numFmt w:val="upperLetter"/>
      <w:pStyle w:val="Heading1"/>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9E3EA5"/>
    <w:multiLevelType w:val="hybridMultilevel"/>
    <w:tmpl w:val="9EE40746"/>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0B164B"/>
    <w:multiLevelType w:val="hybridMultilevel"/>
    <w:tmpl w:val="F914F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2B0E66"/>
    <w:multiLevelType w:val="hybridMultilevel"/>
    <w:tmpl w:val="44BAE92E"/>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2">
    <w:nsid w:val="6D412705"/>
    <w:multiLevelType w:val="hybridMultilevel"/>
    <w:tmpl w:val="4BC67D26"/>
    <w:lvl w:ilvl="0">
      <w:start w:val="1"/>
      <w:numFmt w:val="decimal"/>
      <w:pStyle w:val="Heading2"/>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37046123">
    <w:abstractNumId w:val="15"/>
  </w:num>
  <w:num w:numId="2" w16cid:durableId="2038849027">
    <w:abstractNumId w:val="22"/>
  </w:num>
  <w:num w:numId="3" w16cid:durableId="1670058174">
    <w:abstractNumId w:val="1"/>
  </w:num>
  <w:num w:numId="4" w16cid:durableId="404570409">
    <w:abstractNumId w:val="4"/>
  </w:num>
  <w:num w:numId="5" w16cid:durableId="967394260">
    <w:abstractNumId w:val="19"/>
  </w:num>
  <w:num w:numId="6" w16cid:durableId="282268613">
    <w:abstractNumId w:val="13"/>
  </w:num>
  <w:num w:numId="7" w16cid:durableId="1661302628">
    <w:abstractNumId w:val="18"/>
  </w:num>
  <w:num w:numId="8" w16cid:durableId="544172731">
    <w:abstractNumId w:val="11"/>
  </w:num>
  <w:num w:numId="9" w16cid:durableId="1308783629">
    <w:abstractNumId w:val="17"/>
  </w:num>
  <w:num w:numId="10" w16cid:durableId="1462461894">
    <w:abstractNumId w:val="6"/>
  </w:num>
  <w:num w:numId="11" w16cid:durableId="2009290286">
    <w:abstractNumId w:val="23"/>
  </w:num>
  <w:num w:numId="12" w16cid:durableId="1891108585">
    <w:abstractNumId w:val="7"/>
  </w:num>
  <w:num w:numId="13" w16cid:durableId="886602042">
    <w:abstractNumId w:val="2"/>
  </w:num>
  <w:num w:numId="14" w16cid:durableId="1728332915">
    <w:abstractNumId w:val="24"/>
  </w:num>
  <w:num w:numId="15" w16cid:durableId="1318878500">
    <w:abstractNumId w:val="5"/>
  </w:num>
  <w:num w:numId="16" w16cid:durableId="1770808345">
    <w:abstractNumId w:val="10"/>
  </w:num>
  <w:num w:numId="17" w16cid:durableId="902643068">
    <w:abstractNumId w:val="0"/>
  </w:num>
  <w:num w:numId="18" w16cid:durableId="2029063210">
    <w:abstractNumId w:val="14"/>
  </w:num>
  <w:num w:numId="19" w16cid:durableId="1908101508">
    <w:abstractNumId w:val="21"/>
  </w:num>
  <w:num w:numId="20" w16cid:durableId="1129667894">
    <w:abstractNumId w:val="9"/>
  </w:num>
  <w:num w:numId="21" w16cid:durableId="2107580451">
    <w:abstractNumId w:val="8"/>
  </w:num>
  <w:num w:numId="22" w16cid:durableId="1488740056">
    <w:abstractNumId w:val="20"/>
  </w:num>
  <w:num w:numId="23" w16cid:durableId="235938015">
    <w:abstractNumId w:val="12"/>
  </w:num>
  <w:num w:numId="24" w16cid:durableId="1090614597">
    <w:abstractNumId w:val="3"/>
  </w:num>
  <w:num w:numId="25" w16cid:durableId="1131403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e Bradley">
    <w15:presenceInfo w15:providerId="AD" w15:userId="S::KBradley@mathematica-mpr.com::6ea13916-0fae-4ca6-aa39-2f38419ef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1BAF"/>
    <w:rsid w:val="00002446"/>
    <w:rsid w:val="000024FC"/>
    <w:rsid w:val="00002E19"/>
    <w:rsid w:val="00004171"/>
    <w:rsid w:val="000052B6"/>
    <w:rsid w:val="0000639C"/>
    <w:rsid w:val="00006573"/>
    <w:rsid w:val="00012257"/>
    <w:rsid w:val="000122CD"/>
    <w:rsid w:val="00014C98"/>
    <w:rsid w:val="0001589E"/>
    <w:rsid w:val="00015959"/>
    <w:rsid w:val="00016B15"/>
    <w:rsid w:val="00017468"/>
    <w:rsid w:val="00021E6D"/>
    <w:rsid w:val="00022479"/>
    <w:rsid w:val="000229C9"/>
    <w:rsid w:val="00022C04"/>
    <w:rsid w:val="00022C0F"/>
    <w:rsid w:val="00024246"/>
    <w:rsid w:val="00024589"/>
    <w:rsid w:val="0002503E"/>
    <w:rsid w:val="0002583E"/>
    <w:rsid w:val="00026279"/>
    <w:rsid w:val="000263DE"/>
    <w:rsid w:val="000275C5"/>
    <w:rsid w:val="00030B15"/>
    <w:rsid w:val="000320E9"/>
    <w:rsid w:val="00032D35"/>
    <w:rsid w:val="0003789E"/>
    <w:rsid w:val="0004205F"/>
    <w:rsid w:val="00043B2E"/>
    <w:rsid w:val="00044AC6"/>
    <w:rsid w:val="00045D5A"/>
    <w:rsid w:val="0004734F"/>
    <w:rsid w:val="000507BB"/>
    <w:rsid w:val="00051FC9"/>
    <w:rsid w:val="00053EAC"/>
    <w:rsid w:val="000542BD"/>
    <w:rsid w:val="0005468D"/>
    <w:rsid w:val="00054BFA"/>
    <w:rsid w:val="0005511D"/>
    <w:rsid w:val="00055173"/>
    <w:rsid w:val="00056493"/>
    <w:rsid w:val="00057240"/>
    <w:rsid w:val="00057AAA"/>
    <w:rsid w:val="00057ADA"/>
    <w:rsid w:val="00061EB7"/>
    <w:rsid w:val="00062F74"/>
    <w:rsid w:val="000630D1"/>
    <w:rsid w:val="00064DC8"/>
    <w:rsid w:val="00064ED7"/>
    <w:rsid w:val="00065261"/>
    <w:rsid w:val="00065F86"/>
    <w:rsid w:val="00066515"/>
    <w:rsid w:val="00067618"/>
    <w:rsid w:val="00067B12"/>
    <w:rsid w:val="000718D1"/>
    <w:rsid w:val="00072274"/>
    <w:rsid w:val="00074051"/>
    <w:rsid w:val="00074872"/>
    <w:rsid w:val="00074D2D"/>
    <w:rsid w:val="000761D5"/>
    <w:rsid w:val="00077049"/>
    <w:rsid w:val="0008052D"/>
    <w:rsid w:val="0008074A"/>
    <w:rsid w:val="00081A01"/>
    <w:rsid w:val="00081C6E"/>
    <w:rsid w:val="00081E04"/>
    <w:rsid w:val="0008300F"/>
    <w:rsid w:val="000834A6"/>
    <w:rsid w:val="00083C26"/>
    <w:rsid w:val="00084287"/>
    <w:rsid w:val="0008661E"/>
    <w:rsid w:val="00086F19"/>
    <w:rsid w:val="000948D9"/>
    <w:rsid w:val="00094E08"/>
    <w:rsid w:val="0009583D"/>
    <w:rsid w:val="00097D8E"/>
    <w:rsid w:val="000A0DAD"/>
    <w:rsid w:val="000A152B"/>
    <w:rsid w:val="000A228E"/>
    <w:rsid w:val="000A2373"/>
    <w:rsid w:val="000A410F"/>
    <w:rsid w:val="000A48E4"/>
    <w:rsid w:val="000A6044"/>
    <w:rsid w:val="000A7415"/>
    <w:rsid w:val="000A7ECB"/>
    <w:rsid w:val="000B0CA5"/>
    <w:rsid w:val="000B14D2"/>
    <w:rsid w:val="000B1724"/>
    <w:rsid w:val="000B2118"/>
    <w:rsid w:val="000B24AF"/>
    <w:rsid w:val="000B3A6E"/>
    <w:rsid w:val="000B3DAE"/>
    <w:rsid w:val="000B4026"/>
    <w:rsid w:val="000B416C"/>
    <w:rsid w:val="000B63FF"/>
    <w:rsid w:val="000B7AA6"/>
    <w:rsid w:val="000B7D79"/>
    <w:rsid w:val="000C0032"/>
    <w:rsid w:val="000C058A"/>
    <w:rsid w:val="000C0A7E"/>
    <w:rsid w:val="000C1018"/>
    <w:rsid w:val="000C133A"/>
    <w:rsid w:val="000C1DBD"/>
    <w:rsid w:val="000C39AB"/>
    <w:rsid w:val="000C502F"/>
    <w:rsid w:val="000C60B9"/>
    <w:rsid w:val="000C64B5"/>
    <w:rsid w:val="000C677D"/>
    <w:rsid w:val="000D1BAE"/>
    <w:rsid w:val="000D1D9A"/>
    <w:rsid w:val="000D5177"/>
    <w:rsid w:val="000D6669"/>
    <w:rsid w:val="000D6FE7"/>
    <w:rsid w:val="000D709C"/>
    <w:rsid w:val="000D7C11"/>
    <w:rsid w:val="000E10B1"/>
    <w:rsid w:val="000E12F4"/>
    <w:rsid w:val="000E2ED9"/>
    <w:rsid w:val="000E3770"/>
    <w:rsid w:val="000E64B3"/>
    <w:rsid w:val="000F11C5"/>
    <w:rsid w:val="000F3BF6"/>
    <w:rsid w:val="000F3DAD"/>
    <w:rsid w:val="000F4737"/>
    <w:rsid w:val="000F4C16"/>
    <w:rsid w:val="000F5C20"/>
    <w:rsid w:val="000F70DC"/>
    <w:rsid w:val="000F7EEB"/>
    <w:rsid w:val="00101251"/>
    <w:rsid w:val="00101DA8"/>
    <w:rsid w:val="0010266E"/>
    <w:rsid w:val="00103813"/>
    <w:rsid w:val="00103E5E"/>
    <w:rsid w:val="001055B8"/>
    <w:rsid w:val="001055C5"/>
    <w:rsid w:val="00105B73"/>
    <w:rsid w:val="00105F73"/>
    <w:rsid w:val="00106456"/>
    <w:rsid w:val="00106932"/>
    <w:rsid w:val="00107008"/>
    <w:rsid w:val="00112A81"/>
    <w:rsid w:val="0011407B"/>
    <w:rsid w:val="00115D70"/>
    <w:rsid w:val="00116A17"/>
    <w:rsid w:val="00116D63"/>
    <w:rsid w:val="00120A60"/>
    <w:rsid w:val="00121673"/>
    <w:rsid w:val="001249A9"/>
    <w:rsid w:val="00125F2A"/>
    <w:rsid w:val="001266ED"/>
    <w:rsid w:val="00126A13"/>
    <w:rsid w:val="001318B8"/>
    <w:rsid w:val="00131936"/>
    <w:rsid w:val="00135509"/>
    <w:rsid w:val="00136527"/>
    <w:rsid w:val="00136D1B"/>
    <w:rsid w:val="001426FE"/>
    <w:rsid w:val="00143323"/>
    <w:rsid w:val="00143679"/>
    <w:rsid w:val="00143E61"/>
    <w:rsid w:val="00144660"/>
    <w:rsid w:val="00146E98"/>
    <w:rsid w:val="00150A5C"/>
    <w:rsid w:val="001519B1"/>
    <w:rsid w:val="00152842"/>
    <w:rsid w:val="001534C5"/>
    <w:rsid w:val="00153E20"/>
    <w:rsid w:val="001545D6"/>
    <w:rsid w:val="00154F3A"/>
    <w:rsid w:val="00156501"/>
    <w:rsid w:val="00157900"/>
    <w:rsid w:val="00157D56"/>
    <w:rsid w:val="001602C8"/>
    <w:rsid w:val="001617D1"/>
    <w:rsid w:val="00161F30"/>
    <w:rsid w:val="001622EA"/>
    <w:rsid w:val="001625F3"/>
    <w:rsid w:val="001628A1"/>
    <w:rsid w:val="00164679"/>
    <w:rsid w:val="001660CD"/>
    <w:rsid w:val="00166F5C"/>
    <w:rsid w:val="00167412"/>
    <w:rsid w:val="00172EEC"/>
    <w:rsid w:val="00174C3E"/>
    <w:rsid w:val="00176A39"/>
    <w:rsid w:val="001801B0"/>
    <w:rsid w:val="001802C1"/>
    <w:rsid w:val="00182415"/>
    <w:rsid w:val="00183347"/>
    <w:rsid w:val="00183529"/>
    <w:rsid w:val="0018383A"/>
    <w:rsid w:val="00184297"/>
    <w:rsid w:val="00187A30"/>
    <w:rsid w:val="00187EB7"/>
    <w:rsid w:val="001901FD"/>
    <w:rsid w:val="001908B3"/>
    <w:rsid w:val="00190D8F"/>
    <w:rsid w:val="00191FAB"/>
    <w:rsid w:val="00194227"/>
    <w:rsid w:val="00195171"/>
    <w:rsid w:val="00196E6B"/>
    <w:rsid w:val="001A09F9"/>
    <w:rsid w:val="001A1E1C"/>
    <w:rsid w:val="001A3234"/>
    <w:rsid w:val="001A4281"/>
    <w:rsid w:val="001A4375"/>
    <w:rsid w:val="001A623E"/>
    <w:rsid w:val="001A7180"/>
    <w:rsid w:val="001A7D78"/>
    <w:rsid w:val="001B0A8E"/>
    <w:rsid w:val="001B3333"/>
    <w:rsid w:val="001B3594"/>
    <w:rsid w:val="001B3782"/>
    <w:rsid w:val="001B43EE"/>
    <w:rsid w:val="001B5644"/>
    <w:rsid w:val="001B5BFD"/>
    <w:rsid w:val="001C0343"/>
    <w:rsid w:val="001C2085"/>
    <w:rsid w:val="001C3B23"/>
    <w:rsid w:val="001C4A46"/>
    <w:rsid w:val="001C6528"/>
    <w:rsid w:val="001C6F99"/>
    <w:rsid w:val="001D04EB"/>
    <w:rsid w:val="001D07C0"/>
    <w:rsid w:val="001D0A41"/>
    <w:rsid w:val="001D45A0"/>
    <w:rsid w:val="001D5E6D"/>
    <w:rsid w:val="001D6A63"/>
    <w:rsid w:val="001D73FE"/>
    <w:rsid w:val="001E01B8"/>
    <w:rsid w:val="001E0E08"/>
    <w:rsid w:val="001E2AED"/>
    <w:rsid w:val="001E44AB"/>
    <w:rsid w:val="001E522F"/>
    <w:rsid w:val="001E5FEA"/>
    <w:rsid w:val="001E690C"/>
    <w:rsid w:val="001E7927"/>
    <w:rsid w:val="001E7A97"/>
    <w:rsid w:val="001F0CDF"/>
    <w:rsid w:val="001F3D2A"/>
    <w:rsid w:val="001F537F"/>
    <w:rsid w:val="001F630E"/>
    <w:rsid w:val="001F7BC9"/>
    <w:rsid w:val="001F7CC7"/>
    <w:rsid w:val="00201F15"/>
    <w:rsid w:val="002075B3"/>
    <w:rsid w:val="00211770"/>
    <w:rsid w:val="002135C5"/>
    <w:rsid w:val="00214623"/>
    <w:rsid w:val="002148B3"/>
    <w:rsid w:val="00214A6B"/>
    <w:rsid w:val="00216AA6"/>
    <w:rsid w:val="00216BE0"/>
    <w:rsid w:val="0021777C"/>
    <w:rsid w:val="00221612"/>
    <w:rsid w:val="0022168A"/>
    <w:rsid w:val="00224727"/>
    <w:rsid w:val="002273CD"/>
    <w:rsid w:val="00230954"/>
    <w:rsid w:val="002327A8"/>
    <w:rsid w:val="002331D3"/>
    <w:rsid w:val="00235F7B"/>
    <w:rsid w:val="00237517"/>
    <w:rsid w:val="00240330"/>
    <w:rsid w:val="00240813"/>
    <w:rsid w:val="002420F4"/>
    <w:rsid w:val="00242A69"/>
    <w:rsid w:val="00245160"/>
    <w:rsid w:val="002462EC"/>
    <w:rsid w:val="00246F8A"/>
    <w:rsid w:val="0024761C"/>
    <w:rsid w:val="002479BF"/>
    <w:rsid w:val="00247B49"/>
    <w:rsid w:val="002508EF"/>
    <w:rsid w:val="00250A22"/>
    <w:rsid w:val="002524EF"/>
    <w:rsid w:val="00252B08"/>
    <w:rsid w:val="00252E9D"/>
    <w:rsid w:val="00253989"/>
    <w:rsid w:val="002551FC"/>
    <w:rsid w:val="00255CD0"/>
    <w:rsid w:val="0025663B"/>
    <w:rsid w:val="00256D0E"/>
    <w:rsid w:val="0025741C"/>
    <w:rsid w:val="00257A76"/>
    <w:rsid w:val="00257D5E"/>
    <w:rsid w:val="00260B2E"/>
    <w:rsid w:val="00261203"/>
    <w:rsid w:val="0026132C"/>
    <w:rsid w:val="00261470"/>
    <w:rsid w:val="002631BB"/>
    <w:rsid w:val="00264D73"/>
    <w:rsid w:val="002652BD"/>
    <w:rsid w:val="00265405"/>
    <w:rsid w:val="002654E0"/>
    <w:rsid w:val="00266F40"/>
    <w:rsid w:val="00267113"/>
    <w:rsid w:val="002701ED"/>
    <w:rsid w:val="00270F67"/>
    <w:rsid w:val="00271D93"/>
    <w:rsid w:val="00272406"/>
    <w:rsid w:val="002726B4"/>
    <w:rsid w:val="00273D92"/>
    <w:rsid w:val="00274065"/>
    <w:rsid w:val="002761A2"/>
    <w:rsid w:val="00276AE6"/>
    <w:rsid w:val="00281B2D"/>
    <w:rsid w:val="00281B53"/>
    <w:rsid w:val="00282BFC"/>
    <w:rsid w:val="002834E3"/>
    <w:rsid w:val="00283C5E"/>
    <w:rsid w:val="002844D0"/>
    <w:rsid w:val="002846A9"/>
    <w:rsid w:val="00290FD9"/>
    <w:rsid w:val="00291DEB"/>
    <w:rsid w:val="002931B5"/>
    <w:rsid w:val="0029408A"/>
    <w:rsid w:val="00294F18"/>
    <w:rsid w:val="002952EE"/>
    <w:rsid w:val="00295F0F"/>
    <w:rsid w:val="0029617E"/>
    <w:rsid w:val="002A0746"/>
    <w:rsid w:val="002A169B"/>
    <w:rsid w:val="002A2410"/>
    <w:rsid w:val="002A28C4"/>
    <w:rsid w:val="002A35E6"/>
    <w:rsid w:val="002A3EAC"/>
    <w:rsid w:val="002A5937"/>
    <w:rsid w:val="002B036B"/>
    <w:rsid w:val="002B0B32"/>
    <w:rsid w:val="002B0F1A"/>
    <w:rsid w:val="002B2735"/>
    <w:rsid w:val="002B370E"/>
    <w:rsid w:val="002B5117"/>
    <w:rsid w:val="002B5986"/>
    <w:rsid w:val="002B67AD"/>
    <w:rsid w:val="002C33AE"/>
    <w:rsid w:val="002C6034"/>
    <w:rsid w:val="002C7EFC"/>
    <w:rsid w:val="002D195C"/>
    <w:rsid w:val="002D1C1C"/>
    <w:rsid w:val="002D44CF"/>
    <w:rsid w:val="002D5161"/>
    <w:rsid w:val="002E0544"/>
    <w:rsid w:val="002E1B0F"/>
    <w:rsid w:val="002E207D"/>
    <w:rsid w:val="002E2251"/>
    <w:rsid w:val="002E2EEC"/>
    <w:rsid w:val="002E34AA"/>
    <w:rsid w:val="002E3CF4"/>
    <w:rsid w:val="002E41DF"/>
    <w:rsid w:val="002E42BB"/>
    <w:rsid w:val="002E4E30"/>
    <w:rsid w:val="002E5679"/>
    <w:rsid w:val="002E5969"/>
    <w:rsid w:val="002E67A1"/>
    <w:rsid w:val="002E79FB"/>
    <w:rsid w:val="002F07C0"/>
    <w:rsid w:val="002F0D1E"/>
    <w:rsid w:val="002F1010"/>
    <w:rsid w:val="002F199C"/>
    <w:rsid w:val="002F26E1"/>
    <w:rsid w:val="002F2EA5"/>
    <w:rsid w:val="002F30E8"/>
    <w:rsid w:val="002F3294"/>
    <w:rsid w:val="002F331D"/>
    <w:rsid w:val="002F421E"/>
    <w:rsid w:val="002F61CC"/>
    <w:rsid w:val="002F65D8"/>
    <w:rsid w:val="003008C4"/>
    <w:rsid w:val="00301066"/>
    <w:rsid w:val="003013A6"/>
    <w:rsid w:val="003024EE"/>
    <w:rsid w:val="003038FA"/>
    <w:rsid w:val="00303E92"/>
    <w:rsid w:val="00305DF5"/>
    <w:rsid w:val="0030693C"/>
    <w:rsid w:val="0031119F"/>
    <w:rsid w:val="0031138F"/>
    <w:rsid w:val="003152CC"/>
    <w:rsid w:val="0031650C"/>
    <w:rsid w:val="00316B01"/>
    <w:rsid w:val="003201C6"/>
    <w:rsid w:val="00321F4A"/>
    <w:rsid w:val="003221B4"/>
    <w:rsid w:val="00324AF8"/>
    <w:rsid w:val="0032533F"/>
    <w:rsid w:val="00325C02"/>
    <w:rsid w:val="00325CD0"/>
    <w:rsid w:val="00325E71"/>
    <w:rsid w:val="00332392"/>
    <w:rsid w:val="0033547A"/>
    <w:rsid w:val="00336169"/>
    <w:rsid w:val="0033703C"/>
    <w:rsid w:val="0034264F"/>
    <w:rsid w:val="00343F9D"/>
    <w:rsid w:val="0034512A"/>
    <w:rsid w:val="003452F4"/>
    <w:rsid w:val="00345D7B"/>
    <w:rsid w:val="00347AF3"/>
    <w:rsid w:val="0035032B"/>
    <w:rsid w:val="0035343B"/>
    <w:rsid w:val="00355A74"/>
    <w:rsid w:val="003561D5"/>
    <w:rsid w:val="0035694C"/>
    <w:rsid w:val="0035733E"/>
    <w:rsid w:val="003604F6"/>
    <w:rsid w:val="003637A9"/>
    <w:rsid w:val="00363ABF"/>
    <w:rsid w:val="003643F8"/>
    <w:rsid w:val="00364557"/>
    <w:rsid w:val="00365F6E"/>
    <w:rsid w:val="00371969"/>
    <w:rsid w:val="0037298D"/>
    <w:rsid w:val="00374EDC"/>
    <w:rsid w:val="00375687"/>
    <w:rsid w:val="00376085"/>
    <w:rsid w:val="00377726"/>
    <w:rsid w:val="00377B51"/>
    <w:rsid w:val="003801FF"/>
    <w:rsid w:val="00380411"/>
    <w:rsid w:val="00380973"/>
    <w:rsid w:val="00380ED3"/>
    <w:rsid w:val="003832E7"/>
    <w:rsid w:val="00383BA6"/>
    <w:rsid w:val="00390517"/>
    <w:rsid w:val="00392C36"/>
    <w:rsid w:val="0039337F"/>
    <w:rsid w:val="00397981"/>
    <w:rsid w:val="003A01AD"/>
    <w:rsid w:val="003A031A"/>
    <w:rsid w:val="003A1D17"/>
    <w:rsid w:val="003A2F20"/>
    <w:rsid w:val="003A4794"/>
    <w:rsid w:val="003A498D"/>
    <w:rsid w:val="003A550C"/>
    <w:rsid w:val="003A5671"/>
    <w:rsid w:val="003A61F9"/>
    <w:rsid w:val="003A6837"/>
    <w:rsid w:val="003A69B8"/>
    <w:rsid w:val="003A6F0B"/>
    <w:rsid w:val="003A7058"/>
    <w:rsid w:val="003A7A16"/>
    <w:rsid w:val="003B10D9"/>
    <w:rsid w:val="003B1DB0"/>
    <w:rsid w:val="003B1E07"/>
    <w:rsid w:val="003B51EC"/>
    <w:rsid w:val="003B574D"/>
    <w:rsid w:val="003C0632"/>
    <w:rsid w:val="003C0A90"/>
    <w:rsid w:val="003C14D1"/>
    <w:rsid w:val="003C265C"/>
    <w:rsid w:val="003C3223"/>
    <w:rsid w:val="003C3DD2"/>
    <w:rsid w:val="003C44BC"/>
    <w:rsid w:val="003C58B4"/>
    <w:rsid w:val="003C612D"/>
    <w:rsid w:val="003C64B4"/>
    <w:rsid w:val="003C6709"/>
    <w:rsid w:val="003D0614"/>
    <w:rsid w:val="003D344D"/>
    <w:rsid w:val="003D4151"/>
    <w:rsid w:val="003D43DD"/>
    <w:rsid w:val="003D4649"/>
    <w:rsid w:val="003D4759"/>
    <w:rsid w:val="003D4CC6"/>
    <w:rsid w:val="003D637D"/>
    <w:rsid w:val="003D660B"/>
    <w:rsid w:val="003E0338"/>
    <w:rsid w:val="003E0C95"/>
    <w:rsid w:val="003E1A76"/>
    <w:rsid w:val="003E339C"/>
    <w:rsid w:val="003E33E7"/>
    <w:rsid w:val="003E4703"/>
    <w:rsid w:val="003E5067"/>
    <w:rsid w:val="003E6A72"/>
    <w:rsid w:val="003E7748"/>
    <w:rsid w:val="003F1A8B"/>
    <w:rsid w:val="003F1CD7"/>
    <w:rsid w:val="003F26BD"/>
    <w:rsid w:val="003F33A1"/>
    <w:rsid w:val="003F340B"/>
    <w:rsid w:val="003F52E8"/>
    <w:rsid w:val="003F5B84"/>
    <w:rsid w:val="003F5F2D"/>
    <w:rsid w:val="003F784E"/>
    <w:rsid w:val="00401774"/>
    <w:rsid w:val="00402BC8"/>
    <w:rsid w:val="00402FB8"/>
    <w:rsid w:val="00404071"/>
    <w:rsid w:val="004051A1"/>
    <w:rsid w:val="0040522C"/>
    <w:rsid w:val="00413C87"/>
    <w:rsid w:val="00417183"/>
    <w:rsid w:val="00417AFD"/>
    <w:rsid w:val="00417E0D"/>
    <w:rsid w:val="00417F2A"/>
    <w:rsid w:val="0042012A"/>
    <w:rsid w:val="00420605"/>
    <w:rsid w:val="00420FE1"/>
    <w:rsid w:val="00423746"/>
    <w:rsid w:val="00423890"/>
    <w:rsid w:val="00423B7D"/>
    <w:rsid w:val="00430030"/>
    <w:rsid w:val="004306AA"/>
    <w:rsid w:val="0043087E"/>
    <w:rsid w:val="004313E8"/>
    <w:rsid w:val="0043368E"/>
    <w:rsid w:val="00435FF6"/>
    <w:rsid w:val="00436FFE"/>
    <w:rsid w:val="00437B66"/>
    <w:rsid w:val="00442FBF"/>
    <w:rsid w:val="00443150"/>
    <w:rsid w:val="004431C1"/>
    <w:rsid w:val="0044553C"/>
    <w:rsid w:val="00445E98"/>
    <w:rsid w:val="00447052"/>
    <w:rsid w:val="00450930"/>
    <w:rsid w:val="00452C6A"/>
    <w:rsid w:val="00454029"/>
    <w:rsid w:val="00454140"/>
    <w:rsid w:val="00455F16"/>
    <w:rsid w:val="00456272"/>
    <w:rsid w:val="00456F18"/>
    <w:rsid w:val="00457643"/>
    <w:rsid w:val="00460EB1"/>
    <w:rsid w:val="0046211F"/>
    <w:rsid w:val="0046215B"/>
    <w:rsid w:val="0046446A"/>
    <w:rsid w:val="00465A6F"/>
    <w:rsid w:val="00465B3E"/>
    <w:rsid w:val="00465E44"/>
    <w:rsid w:val="00470451"/>
    <w:rsid w:val="00473A83"/>
    <w:rsid w:val="00473DED"/>
    <w:rsid w:val="00474C83"/>
    <w:rsid w:val="00475093"/>
    <w:rsid w:val="00482E1F"/>
    <w:rsid w:val="00483A17"/>
    <w:rsid w:val="00484185"/>
    <w:rsid w:val="004845BE"/>
    <w:rsid w:val="00484F9F"/>
    <w:rsid w:val="0048551D"/>
    <w:rsid w:val="0048556C"/>
    <w:rsid w:val="004861BD"/>
    <w:rsid w:val="00487431"/>
    <w:rsid w:val="00490C5B"/>
    <w:rsid w:val="004914DE"/>
    <w:rsid w:val="00491CEF"/>
    <w:rsid w:val="004926BB"/>
    <w:rsid w:val="00492B10"/>
    <w:rsid w:val="00492F44"/>
    <w:rsid w:val="004963D3"/>
    <w:rsid w:val="004970C8"/>
    <w:rsid w:val="00497823"/>
    <w:rsid w:val="004A1CF9"/>
    <w:rsid w:val="004A2E4E"/>
    <w:rsid w:val="004A3D80"/>
    <w:rsid w:val="004A3F76"/>
    <w:rsid w:val="004A5249"/>
    <w:rsid w:val="004A5792"/>
    <w:rsid w:val="004A5C6F"/>
    <w:rsid w:val="004B0630"/>
    <w:rsid w:val="004B065D"/>
    <w:rsid w:val="004B0A3F"/>
    <w:rsid w:val="004B111B"/>
    <w:rsid w:val="004B1250"/>
    <w:rsid w:val="004B1BFB"/>
    <w:rsid w:val="004B3324"/>
    <w:rsid w:val="004B4831"/>
    <w:rsid w:val="004B49B2"/>
    <w:rsid w:val="004B544B"/>
    <w:rsid w:val="004B5EB5"/>
    <w:rsid w:val="004B7A39"/>
    <w:rsid w:val="004B7A62"/>
    <w:rsid w:val="004C0565"/>
    <w:rsid w:val="004C0AA9"/>
    <w:rsid w:val="004C0C73"/>
    <w:rsid w:val="004C1037"/>
    <w:rsid w:val="004C5281"/>
    <w:rsid w:val="004C5AAC"/>
    <w:rsid w:val="004C6B91"/>
    <w:rsid w:val="004D0074"/>
    <w:rsid w:val="004D05C4"/>
    <w:rsid w:val="004D333C"/>
    <w:rsid w:val="004D38E7"/>
    <w:rsid w:val="004D4316"/>
    <w:rsid w:val="004D5601"/>
    <w:rsid w:val="004D5E32"/>
    <w:rsid w:val="004D6001"/>
    <w:rsid w:val="004D7F83"/>
    <w:rsid w:val="004E0481"/>
    <w:rsid w:val="004E2BB4"/>
    <w:rsid w:val="004E3728"/>
    <w:rsid w:val="004E373E"/>
    <w:rsid w:val="004E486C"/>
    <w:rsid w:val="004E5775"/>
    <w:rsid w:val="004E5F61"/>
    <w:rsid w:val="004E6B34"/>
    <w:rsid w:val="004F2982"/>
    <w:rsid w:val="004F58D3"/>
    <w:rsid w:val="004F67B4"/>
    <w:rsid w:val="00504053"/>
    <w:rsid w:val="00506A1F"/>
    <w:rsid w:val="00507640"/>
    <w:rsid w:val="00511278"/>
    <w:rsid w:val="00513A34"/>
    <w:rsid w:val="00515361"/>
    <w:rsid w:val="005164CD"/>
    <w:rsid w:val="0051730B"/>
    <w:rsid w:val="005178E6"/>
    <w:rsid w:val="00517D8E"/>
    <w:rsid w:val="00517FF6"/>
    <w:rsid w:val="00521A01"/>
    <w:rsid w:val="00522657"/>
    <w:rsid w:val="0052278C"/>
    <w:rsid w:val="005232DD"/>
    <w:rsid w:val="005318ED"/>
    <w:rsid w:val="00532270"/>
    <w:rsid w:val="00532C5B"/>
    <w:rsid w:val="00532D26"/>
    <w:rsid w:val="00535D95"/>
    <w:rsid w:val="005362FC"/>
    <w:rsid w:val="00542FF9"/>
    <w:rsid w:val="005440F5"/>
    <w:rsid w:val="0054433C"/>
    <w:rsid w:val="0054457D"/>
    <w:rsid w:val="00544808"/>
    <w:rsid w:val="00544E44"/>
    <w:rsid w:val="005454B8"/>
    <w:rsid w:val="00547067"/>
    <w:rsid w:val="00554A57"/>
    <w:rsid w:val="005550B7"/>
    <w:rsid w:val="00556E9E"/>
    <w:rsid w:val="00557F46"/>
    <w:rsid w:val="00561BB1"/>
    <w:rsid w:val="00562B18"/>
    <w:rsid w:val="00562CDF"/>
    <w:rsid w:val="00564273"/>
    <w:rsid w:val="0056505E"/>
    <w:rsid w:val="0056517D"/>
    <w:rsid w:val="005662EB"/>
    <w:rsid w:val="00566466"/>
    <w:rsid w:val="00570F44"/>
    <w:rsid w:val="0057105A"/>
    <w:rsid w:val="00571BDB"/>
    <w:rsid w:val="00572181"/>
    <w:rsid w:val="00572831"/>
    <w:rsid w:val="00573468"/>
    <w:rsid w:val="00573E45"/>
    <w:rsid w:val="00574866"/>
    <w:rsid w:val="00574C0D"/>
    <w:rsid w:val="00575289"/>
    <w:rsid w:val="005759AD"/>
    <w:rsid w:val="00576EB0"/>
    <w:rsid w:val="00577F8F"/>
    <w:rsid w:val="005813AE"/>
    <w:rsid w:val="00581FFE"/>
    <w:rsid w:val="005832B9"/>
    <w:rsid w:val="00583619"/>
    <w:rsid w:val="005849F1"/>
    <w:rsid w:val="00585CA1"/>
    <w:rsid w:val="00590150"/>
    <w:rsid w:val="00590CD0"/>
    <w:rsid w:val="0059480D"/>
    <w:rsid w:val="00594D50"/>
    <w:rsid w:val="00597432"/>
    <w:rsid w:val="00597506"/>
    <w:rsid w:val="00597E64"/>
    <w:rsid w:val="005A10E3"/>
    <w:rsid w:val="005A31F3"/>
    <w:rsid w:val="005A400A"/>
    <w:rsid w:val="005A4103"/>
    <w:rsid w:val="005A46B5"/>
    <w:rsid w:val="005A633D"/>
    <w:rsid w:val="005A6978"/>
    <w:rsid w:val="005A7543"/>
    <w:rsid w:val="005B1BAC"/>
    <w:rsid w:val="005B2491"/>
    <w:rsid w:val="005B6EB5"/>
    <w:rsid w:val="005B7101"/>
    <w:rsid w:val="005C034D"/>
    <w:rsid w:val="005C14F2"/>
    <w:rsid w:val="005C1BC1"/>
    <w:rsid w:val="005C2074"/>
    <w:rsid w:val="005C2D11"/>
    <w:rsid w:val="005C34A2"/>
    <w:rsid w:val="005C3940"/>
    <w:rsid w:val="005C4025"/>
    <w:rsid w:val="005C4F0F"/>
    <w:rsid w:val="005D17E1"/>
    <w:rsid w:val="005D1BD0"/>
    <w:rsid w:val="005D299C"/>
    <w:rsid w:val="005D328E"/>
    <w:rsid w:val="005D351C"/>
    <w:rsid w:val="005D3A7C"/>
    <w:rsid w:val="005D79BB"/>
    <w:rsid w:val="005E151E"/>
    <w:rsid w:val="005E1D51"/>
    <w:rsid w:val="005E59C8"/>
    <w:rsid w:val="005E5A3B"/>
    <w:rsid w:val="005E5E77"/>
    <w:rsid w:val="005E616E"/>
    <w:rsid w:val="005E672B"/>
    <w:rsid w:val="005F0E1A"/>
    <w:rsid w:val="005F6641"/>
    <w:rsid w:val="00600C90"/>
    <w:rsid w:val="006017D2"/>
    <w:rsid w:val="00601BDC"/>
    <w:rsid w:val="00601D25"/>
    <w:rsid w:val="00604944"/>
    <w:rsid w:val="00606735"/>
    <w:rsid w:val="00606A43"/>
    <w:rsid w:val="00607287"/>
    <w:rsid w:val="00611A98"/>
    <w:rsid w:val="0061263E"/>
    <w:rsid w:val="00614B73"/>
    <w:rsid w:val="00614F78"/>
    <w:rsid w:val="00615EAF"/>
    <w:rsid w:val="0061779F"/>
    <w:rsid w:val="0061798A"/>
    <w:rsid w:val="0062150D"/>
    <w:rsid w:val="006223E3"/>
    <w:rsid w:val="006262E7"/>
    <w:rsid w:val="0062654F"/>
    <w:rsid w:val="006269FE"/>
    <w:rsid w:val="00626CE7"/>
    <w:rsid w:val="00626EDD"/>
    <w:rsid w:val="0062C66C"/>
    <w:rsid w:val="006306AD"/>
    <w:rsid w:val="00630B96"/>
    <w:rsid w:val="006333FB"/>
    <w:rsid w:val="006346E7"/>
    <w:rsid w:val="00634F38"/>
    <w:rsid w:val="0063505C"/>
    <w:rsid w:val="00642778"/>
    <w:rsid w:val="0064299F"/>
    <w:rsid w:val="00643E2A"/>
    <w:rsid w:val="0064427D"/>
    <w:rsid w:val="006448D0"/>
    <w:rsid w:val="006450B7"/>
    <w:rsid w:val="0064582D"/>
    <w:rsid w:val="006461A2"/>
    <w:rsid w:val="00647060"/>
    <w:rsid w:val="00647323"/>
    <w:rsid w:val="0065013A"/>
    <w:rsid w:val="0065079F"/>
    <w:rsid w:val="00650F26"/>
    <w:rsid w:val="0065147B"/>
    <w:rsid w:val="00653843"/>
    <w:rsid w:val="006565D9"/>
    <w:rsid w:val="0065673F"/>
    <w:rsid w:val="00660A7F"/>
    <w:rsid w:val="00660D97"/>
    <w:rsid w:val="0066119E"/>
    <w:rsid w:val="006620CF"/>
    <w:rsid w:val="00662798"/>
    <w:rsid w:val="0066441C"/>
    <w:rsid w:val="00664651"/>
    <w:rsid w:val="006656C5"/>
    <w:rsid w:val="006662E0"/>
    <w:rsid w:val="00666F33"/>
    <w:rsid w:val="0066773C"/>
    <w:rsid w:val="00670B1A"/>
    <w:rsid w:val="0067106C"/>
    <w:rsid w:val="00671CF9"/>
    <w:rsid w:val="0067214B"/>
    <w:rsid w:val="0067270D"/>
    <w:rsid w:val="0067352C"/>
    <w:rsid w:val="006757D5"/>
    <w:rsid w:val="006762AB"/>
    <w:rsid w:val="006764DD"/>
    <w:rsid w:val="00676663"/>
    <w:rsid w:val="006825E1"/>
    <w:rsid w:val="00682D66"/>
    <w:rsid w:val="00682D99"/>
    <w:rsid w:val="00683236"/>
    <w:rsid w:val="00683546"/>
    <w:rsid w:val="00684977"/>
    <w:rsid w:val="00684AE2"/>
    <w:rsid w:val="00686605"/>
    <w:rsid w:val="00692919"/>
    <w:rsid w:val="006A2036"/>
    <w:rsid w:val="006A243B"/>
    <w:rsid w:val="006A6F4B"/>
    <w:rsid w:val="006A7013"/>
    <w:rsid w:val="006A7827"/>
    <w:rsid w:val="006B2720"/>
    <w:rsid w:val="006B283E"/>
    <w:rsid w:val="006B29E8"/>
    <w:rsid w:val="006B2C3C"/>
    <w:rsid w:val="006B2FF7"/>
    <w:rsid w:val="006B49D0"/>
    <w:rsid w:val="006B4FC8"/>
    <w:rsid w:val="006B57FE"/>
    <w:rsid w:val="006B5F3B"/>
    <w:rsid w:val="006C00A4"/>
    <w:rsid w:val="006C068A"/>
    <w:rsid w:val="006C1C77"/>
    <w:rsid w:val="006C2AE4"/>
    <w:rsid w:val="006C2E1D"/>
    <w:rsid w:val="006C2E75"/>
    <w:rsid w:val="006C3841"/>
    <w:rsid w:val="006C653F"/>
    <w:rsid w:val="006C7ACC"/>
    <w:rsid w:val="006D1A21"/>
    <w:rsid w:val="006D5F6E"/>
    <w:rsid w:val="006D6356"/>
    <w:rsid w:val="006D6EC9"/>
    <w:rsid w:val="006E11B8"/>
    <w:rsid w:val="006E19DE"/>
    <w:rsid w:val="006E466F"/>
    <w:rsid w:val="006E6B28"/>
    <w:rsid w:val="006E6FB1"/>
    <w:rsid w:val="006E786D"/>
    <w:rsid w:val="006E79F5"/>
    <w:rsid w:val="006E7C23"/>
    <w:rsid w:val="006F2974"/>
    <w:rsid w:val="006F67CE"/>
    <w:rsid w:val="00701CF7"/>
    <w:rsid w:val="00702040"/>
    <w:rsid w:val="00705BFD"/>
    <w:rsid w:val="0070694A"/>
    <w:rsid w:val="00706DB4"/>
    <w:rsid w:val="007070D9"/>
    <w:rsid w:val="0071044D"/>
    <w:rsid w:val="00713386"/>
    <w:rsid w:val="00716E3C"/>
    <w:rsid w:val="00717827"/>
    <w:rsid w:val="007204E0"/>
    <w:rsid w:val="0072141C"/>
    <w:rsid w:val="00721A29"/>
    <w:rsid w:val="00724E23"/>
    <w:rsid w:val="00724F88"/>
    <w:rsid w:val="007253ED"/>
    <w:rsid w:val="00725499"/>
    <w:rsid w:val="0072562B"/>
    <w:rsid w:val="007314B1"/>
    <w:rsid w:val="00731D48"/>
    <w:rsid w:val="00733408"/>
    <w:rsid w:val="00733D83"/>
    <w:rsid w:val="0073522A"/>
    <w:rsid w:val="00735F86"/>
    <w:rsid w:val="00736CC5"/>
    <w:rsid w:val="00736E0D"/>
    <w:rsid w:val="00740AD9"/>
    <w:rsid w:val="0074198C"/>
    <w:rsid w:val="007431B0"/>
    <w:rsid w:val="00743A06"/>
    <w:rsid w:val="007447AC"/>
    <w:rsid w:val="00745580"/>
    <w:rsid w:val="00745C83"/>
    <w:rsid w:val="0074733F"/>
    <w:rsid w:val="00747BF2"/>
    <w:rsid w:val="007517F1"/>
    <w:rsid w:val="00753106"/>
    <w:rsid w:val="007533E3"/>
    <w:rsid w:val="00754C37"/>
    <w:rsid w:val="007565C5"/>
    <w:rsid w:val="00756D2A"/>
    <w:rsid w:val="007570BC"/>
    <w:rsid w:val="0075794B"/>
    <w:rsid w:val="007617D8"/>
    <w:rsid w:val="00761C47"/>
    <w:rsid w:val="007622ED"/>
    <w:rsid w:val="007626AA"/>
    <w:rsid w:val="007633F7"/>
    <w:rsid w:val="00763589"/>
    <w:rsid w:val="00763C4B"/>
    <w:rsid w:val="007649C0"/>
    <w:rsid w:val="00767343"/>
    <w:rsid w:val="00770239"/>
    <w:rsid w:val="00775404"/>
    <w:rsid w:val="007761BD"/>
    <w:rsid w:val="0077681B"/>
    <w:rsid w:val="0078022A"/>
    <w:rsid w:val="00782282"/>
    <w:rsid w:val="007823EE"/>
    <w:rsid w:val="00782CDF"/>
    <w:rsid w:val="00782E17"/>
    <w:rsid w:val="007831D6"/>
    <w:rsid w:val="00783842"/>
    <w:rsid w:val="0078595D"/>
    <w:rsid w:val="00786406"/>
    <w:rsid w:val="007864EE"/>
    <w:rsid w:val="007879A0"/>
    <w:rsid w:val="00787D37"/>
    <w:rsid w:val="007903D0"/>
    <w:rsid w:val="007904AB"/>
    <w:rsid w:val="00790AF2"/>
    <w:rsid w:val="0079141D"/>
    <w:rsid w:val="00792383"/>
    <w:rsid w:val="00792E0E"/>
    <w:rsid w:val="00792F95"/>
    <w:rsid w:val="00793BEA"/>
    <w:rsid w:val="0079418F"/>
    <w:rsid w:val="00794655"/>
    <w:rsid w:val="00797063"/>
    <w:rsid w:val="00797767"/>
    <w:rsid w:val="007A1FBD"/>
    <w:rsid w:val="007A268D"/>
    <w:rsid w:val="007A2FA3"/>
    <w:rsid w:val="007A3A2A"/>
    <w:rsid w:val="007A3C6F"/>
    <w:rsid w:val="007A4281"/>
    <w:rsid w:val="007A4F05"/>
    <w:rsid w:val="007B01F7"/>
    <w:rsid w:val="007B125D"/>
    <w:rsid w:val="007B22F7"/>
    <w:rsid w:val="007B3AE4"/>
    <w:rsid w:val="007B4337"/>
    <w:rsid w:val="007B6069"/>
    <w:rsid w:val="007B751D"/>
    <w:rsid w:val="007B7FF2"/>
    <w:rsid w:val="007C26E6"/>
    <w:rsid w:val="007C34E8"/>
    <w:rsid w:val="007C386D"/>
    <w:rsid w:val="007C3C6E"/>
    <w:rsid w:val="007C4E4C"/>
    <w:rsid w:val="007C547F"/>
    <w:rsid w:val="007C6937"/>
    <w:rsid w:val="007C7F79"/>
    <w:rsid w:val="007D18DC"/>
    <w:rsid w:val="007D28FB"/>
    <w:rsid w:val="007D6CCC"/>
    <w:rsid w:val="007E102D"/>
    <w:rsid w:val="007E5D7A"/>
    <w:rsid w:val="007E707E"/>
    <w:rsid w:val="007F0899"/>
    <w:rsid w:val="007F28FD"/>
    <w:rsid w:val="007F5C98"/>
    <w:rsid w:val="007F7745"/>
    <w:rsid w:val="007F778D"/>
    <w:rsid w:val="0080089D"/>
    <w:rsid w:val="00802B21"/>
    <w:rsid w:val="00803E46"/>
    <w:rsid w:val="00806344"/>
    <w:rsid w:val="00810346"/>
    <w:rsid w:val="00812E2E"/>
    <w:rsid w:val="00816B1D"/>
    <w:rsid w:val="008170CC"/>
    <w:rsid w:val="008200C6"/>
    <w:rsid w:val="00821CA9"/>
    <w:rsid w:val="008247A2"/>
    <w:rsid w:val="0082577E"/>
    <w:rsid w:val="00825A81"/>
    <w:rsid w:val="00826182"/>
    <w:rsid w:val="00826B35"/>
    <w:rsid w:val="0083061B"/>
    <w:rsid w:val="00830A68"/>
    <w:rsid w:val="008336CD"/>
    <w:rsid w:val="008346DA"/>
    <w:rsid w:val="00835164"/>
    <w:rsid w:val="00835CAC"/>
    <w:rsid w:val="00836529"/>
    <w:rsid w:val="00837408"/>
    <w:rsid w:val="00840124"/>
    <w:rsid w:val="00842B64"/>
    <w:rsid w:val="0084337C"/>
    <w:rsid w:val="00844777"/>
    <w:rsid w:val="00844953"/>
    <w:rsid w:val="00844B48"/>
    <w:rsid w:val="00846111"/>
    <w:rsid w:val="00846297"/>
    <w:rsid w:val="0084636D"/>
    <w:rsid w:val="00846593"/>
    <w:rsid w:val="0084685A"/>
    <w:rsid w:val="0084733D"/>
    <w:rsid w:val="008479FE"/>
    <w:rsid w:val="00847D81"/>
    <w:rsid w:val="00851BB2"/>
    <w:rsid w:val="0085737B"/>
    <w:rsid w:val="008611B8"/>
    <w:rsid w:val="00862DDA"/>
    <w:rsid w:val="008631F2"/>
    <w:rsid w:val="00863C20"/>
    <w:rsid w:val="00864CF2"/>
    <w:rsid w:val="00865863"/>
    <w:rsid w:val="00866C5F"/>
    <w:rsid w:val="008673FE"/>
    <w:rsid w:val="00871AA1"/>
    <w:rsid w:val="0087210B"/>
    <w:rsid w:val="00873EFA"/>
    <w:rsid w:val="008743BA"/>
    <w:rsid w:val="00875858"/>
    <w:rsid w:val="00876743"/>
    <w:rsid w:val="00876A70"/>
    <w:rsid w:val="00877625"/>
    <w:rsid w:val="00883E8F"/>
    <w:rsid w:val="00884288"/>
    <w:rsid w:val="00884CB0"/>
    <w:rsid w:val="0088629F"/>
    <w:rsid w:val="008865AC"/>
    <w:rsid w:val="00886A35"/>
    <w:rsid w:val="00886DBA"/>
    <w:rsid w:val="00890D49"/>
    <w:rsid w:val="008919EB"/>
    <w:rsid w:val="00892321"/>
    <w:rsid w:val="0089394E"/>
    <w:rsid w:val="00894356"/>
    <w:rsid w:val="00894730"/>
    <w:rsid w:val="0089515C"/>
    <w:rsid w:val="00897BC5"/>
    <w:rsid w:val="008A05F6"/>
    <w:rsid w:val="008A0CA3"/>
    <w:rsid w:val="008A43FA"/>
    <w:rsid w:val="008A4701"/>
    <w:rsid w:val="008A4E43"/>
    <w:rsid w:val="008A6FC5"/>
    <w:rsid w:val="008B19E8"/>
    <w:rsid w:val="008B27E2"/>
    <w:rsid w:val="008B2844"/>
    <w:rsid w:val="008B2F30"/>
    <w:rsid w:val="008B42CB"/>
    <w:rsid w:val="008B5747"/>
    <w:rsid w:val="008B67F6"/>
    <w:rsid w:val="008C01F8"/>
    <w:rsid w:val="008C052B"/>
    <w:rsid w:val="008C153A"/>
    <w:rsid w:val="008C167C"/>
    <w:rsid w:val="008C1EAE"/>
    <w:rsid w:val="008C412E"/>
    <w:rsid w:val="008C5BBF"/>
    <w:rsid w:val="008C7C2D"/>
    <w:rsid w:val="008D1485"/>
    <w:rsid w:val="008D162F"/>
    <w:rsid w:val="008D24EF"/>
    <w:rsid w:val="008D26FE"/>
    <w:rsid w:val="008D2976"/>
    <w:rsid w:val="008D3258"/>
    <w:rsid w:val="008D3331"/>
    <w:rsid w:val="008E0065"/>
    <w:rsid w:val="008E1E74"/>
    <w:rsid w:val="008E44DB"/>
    <w:rsid w:val="008E5E85"/>
    <w:rsid w:val="008E76EC"/>
    <w:rsid w:val="008F21DF"/>
    <w:rsid w:val="008F3012"/>
    <w:rsid w:val="008F4EC4"/>
    <w:rsid w:val="008F67C1"/>
    <w:rsid w:val="008F67FC"/>
    <w:rsid w:val="008F79FA"/>
    <w:rsid w:val="00900BFB"/>
    <w:rsid w:val="00901220"/>
    <w:rsid w:val="00901BA1"/>
    <w:rsid w:val="00903CB5"/>
    <w:rsid w:val="00906E00"/>
    <w:rsid w:val="00907ED0"/>
    <w:rsid w:val="009101C0"/>
    <w:rsid w:val="00912EF3"/>
    <w:rsid w:val="009130AE"/>
    <w:rsid w:val="00914654"/>
    <w:rsid w:val="00914716"/>
    <w:rsid w:val="00915BDA"/>
    <w:rsid w:val="00916667"/>
    <w:rsid w:val="00917262"/>
    <w:rsid w:val="0091729D"/>
    <w:rsid w:val="009205EA"/>
    <w:rsid w:val="009214D0"/>
    <w:rsid w:val="00924CE6"/>
    <w:rsid w:val="00930CE6"/>
    <w:rsid w:val="00931742"/>
    <w:rsid w:val="00931C21"/>
    <w:rsid w:val="0093356B"/>
    <w:rsid w:val="00933992"/>
    <w:rsid w:val="009351A2"/>
    <w:rsid w:val="00935263"/>
    <w:rsid w:val="00936746"/>
    <w:rsid w:val="00936E97"/>
    <w:rsid w:val="009378DB"/>
    <w:rsid w:val="00941449"/>
    <w:rsid w:val="009415B3"/>
    <w:rsid w:val="00941643"/>
    <w:rsid w:val="00943461"/>
    <w:rsid w:val="009440DA"/>
    <w:rsid w:val="00945545"/>
    <w:rsid w:val="00945995"/>
    <w:rsid w:val="009463BF"/>
    <w:rsid w:val="009539F3"/>
    <w:rsid w:val="00953FB6"/>
    <w:rsid w:val="009541EF"/>
    <w:rsid w:val="00954E2A"/>
    <w:rsid w:val="00955328"/>
    <w:rsid w:val="00957249"/>
    <w:rsid w:val="00957DB4"/>
    <w:rsid w:val="00961729"/>
    <w:rsid w:val="00961D56"/>
    <w:rsid w:val="00961F3C"/>
    <w:rsid w:val="0096216E"/>
    <w:rsid w:val="0096466D"/>
    <w:rsid w:val="00965368"/>
    <w:rsid w:val="00965CE7"/>
    <w:rsid w:val="0096616F"/>
    <w:rsid w:val="0097069F"/>
    <w:rsid w:val="0097104F"/>
    <w:rsid w:val="0097164E"/>
    <w:rsid w:val="00972CEA"/>
    <w:rsid w:val="00974575"/>
    <w:rsid w:val="00975827"/>
    <w:rsid w:val="0097646D"/>
    <w:rsid w:val="00976514"/>
    <w:rsid w:val="00976A02"/>
    <w:rsid w:val="009775EC"/>
    <w:rsid w:val="009778F4"/>
    <w:rsid w:val="00977A0F"/>
    <w:rsid w:val="00982095"/>
    <w:rsid w:val="0098238E"/>
    <w:rsid w:val="0098415A"/>
    <w:rsid w:val="0099278A"/>
    <w:rsid w:val="00992A3F"/>
    <w:rsid w:val="009949FB"/>
    <w:rsid w:val="00997282"/>
    <w:rsid w:val="009A016C"/>
    <w:rsid w:val="009A060E"/>
    <w:rsid w:val="009A11D0"/>
    <w:rsid w:val="009A3526"/>
    <w:rsid w:val="009A3B3C"/>
    <w:rsid w:val="009A5A60"/>
    <w:rsid w:val="009A6B38"/>
    <w:rsid w:val="009A770C"/>
    <w:rsid w:val="009A7F58"/>
    <w:rsid w:val="009B0AFA"/>
    <w:rsid w:val="009B1D4F"/>
    <w:rsid w:val="009B2299"/>
    <w:rsid w:val="009B268A"/>
    <w:rsid w:val="009B29BC"/>
    <w:rsid w:val="009B2E86"/>
    <w:rsid w:val="009B30D3"/>
    <w:rsid w:val="009B416C"/>
    <w:rsid w:val="009B4485"/>
    <w:rsid w:val="009B797C"/>
    <w:rsid w:val="009C045E"/>
    <w:rsid w:val="009C2570"/>
    <w:rsid w:val="009C5030"/>
    <w:rsid w:val="009C54E8"/>
    <w:rsid w:val="009C67FA"/>
    <w:rsid w:val="009C7089"/>
    <w:rsid w:val="009C708D"/>
    <w:rsid w:val="009D22E2"/>
    <w:rsid w:val="009D2368"/>
    <w:rsid w:val="009D2FC7"/>
    <w:rsid w:val="009D4CE3"/>
    <w:rsid w:val="009D4FA2"/>
    <w:rsid w:val="009D7722"/>
    <w:rsid w:val="009E4CAD"/>
    <w:rsid w:val="009E75AF"/>
    <w:rsid w:val="009E75C8"/>
    <w:rsid w:val="009F11AC"/>
    <w:rsid w:val="009F23B5"/>
    <w:rsid w:val="009F4DCF"/>
    <w:rsid w:val="009F5331"/>
    <w:rsid w:val="009F5CDD"/>
    <w:rsid w:val="00A00840"/>
    <w:rsid w:val="00A016C5"/>
    <w:rsid w:val="00A01FE6"/>
    <w:rsid w:val="00A03A2B"/>
    <w:rsid w:val="00A0512C"/>
    <w:rsid w:val="00A056C2"/>
    <w:rsid w:val="00A05C9A"/>
    <w:rsid w:val="00A06CA3"/>
    <w:rsid w:val="00A06D00"/>
    <w:rsid w:val="00A077FF"/>
    <w:rsid w:val="00A07C4A"/>
    <w:rsid w:val="00A10A25"/>
    <w:rsid w:val="00A111B9"/>
    <w:rsid w:val="00A11B50"/>
    <w:rsid w:val="00A129F2"/>
    <w:rsid w:val="00A12AC9"/>
    <w:rsid w:val="00A12E94"/>
    <w:rsid w:val="00A153CE"/>
    <w:rsid w:val="00A15C55"/>
    <w:rsid w:val="00A15E3C"/>
    <w:rsid w:val="00A16679"/>
    <w:rsid w:val="00A1693B"/>
    <w:rsid w:val="00A17A76"/>
    <w:rsid w:val="00A211CF"/>
    <w:rsid w:val="00A23239"/>
    <w:rsid w:val="00A26A82"/>
    <w:rsid w:val="00A31733"/>
    <w:rsid w:val="00A3219C"/>
    <w:rsid w:val="00A32444"/>
    <w:rsid w:val="00A36EEB"/>
    <w:rsid w:val="00A409B4"/>
    <w:rsid w:val="00A42D85"/>
    <w:rsid w:val="00A4372C"/>
    <w:rsid w:val="00A43FCB"/>
    <w:rsid w:val="00A449D6"/>
    <w:rsid w:val="00A45322"/>
    <w:rsid w:val="00A47176"/>
    <w:rsid w:val="00A50E53"/>
    <w:rsid w:val="00A51E1B"/>
    <w:rsid w:val="00A524B6"/>
    <w:rsid w:val="00A52F7E"/>
    <w:rsid w:val="00A54748"/>
    <w:rsid w:val="00A54A67"/>
    <w:rsid w:val="00A55310"/>
    <w:rsid w:val="00A56BE3"/>
    <w:rsid w:val="00A56EE4"/>
    <w:rsid w:val="00A57860"/>
    <w:rsid w:val="00A62B15"/>
    <w:rsid w:val="00A62DD9"/>
    <w:rsid w:val="00A63DC3"/>
    <w:rsid w:val="00A65412"/>
    <w:rsid w:val="00A65710"/>
    <w:rsid w:val="00A65726"/>
    <w:rsid w:val="00A6620F"/>
    <w:rsid w:val="00A66311"/>
    <w:rsid w:val="00A666FD"/>
    <w:rsid w:val="00A66BED"/>
    <w:rsid w:val="00A66C77"/>
    <w:rsid w:val="00A6778D"/>
    <w:rsid w:val="00A70EB7"/>
    <w:rsid w:val="00A713D1"/>
    <w:rsid w:val="00A72547"/>
    <w:rsid w:val="00A72C65"/>
    <w:rsid w:val="00A75A72"/>
    <w:rsid w:val="00A7770E"/>
    <w:rsid w:val="00A77A90"/>
    <w:rsid w:val="00A8041A"/>
    <w:rsid w:val="00A81168"/>
    <w:rsid w:val="00A8169A"/>
    <w:rsid w:val="00A81D37"/>
    <w:rsid w:val="00A8482B"/>
    <w:rsid w:val="00A84ECB"/>
    <w:rsid w:val="00A855ED"/>
    <w:rsid w:val="00A85A2D"/>
    <w:rsid w:val="00A85B86"/>
    <w:rsid w:val="00A86105"/>
    <w:rsid w:val="00A870AB"/>
    <w:rsid w:val="00A955F1"/>
    <w:rsid w:val="00A9585A"/>
    <w:rsid w:val="00A95FC1"/>
    <w:rsid w:val="00A96266"/>
    <w:rsid w:val="00A96367"/>
    <w:rsid w:val="00AA0057"/>
    <w:rsid w:val="00AA024B"/>
    <w:rsid w:val="00AA1B7D"/>
    <w:rsid w:val="00AA3471"/>
    <w:rsid w:val="00AA3F96"/>
    <w:rsid w:val="00AA4257"/>
    <w:rsid w:val="00AA42F4"/>
    <w:rsid w:val="00AA71D4"/>
    <w:rsid w:val="00AA78AF"/>
    <w:rsid w:val="00AA7964"/>
    <w:rsid w:val="00AB150F"/>
    <w:rsid w:val="00AB3195"/>
    <w:rsid w:val="00AB3427"/>
    <w:rsid w:val="00AB50B0"/>
    <w:rsid w:val="00AB5B74"/>
    <w:rsid w:val="00AB72AC"/>
    <w:rsid w:val="00AC0CC3"/>
    <w:rsid w:val="00AC207F"/>
    <w:rsid w:val="00AC2216"/>
    <w:rsid w:val="00AC2497"/>
    <w:rsid w:val="00AC2A31"/>
    <w:rsid w:val="00AC3A96"/>
    <w:rsid w:val="00AC571F"/>
    <w:rsid w:val="00AC5F30"/>
    <w:rsid w:val="00AC7D92"/>
    <w:rsid w:val="00AD07A3"/>
    <w:rsid w:val="00AD1626"/>
    <w:rsid w:val="00AD1E62"/>
    <w:rsid w:val="00AD2421"/>
    <w:rsid w:val="00AD3DBB"/>
    <w:rsid w:val="00AD5D50"/>
    <w:rsid w:val="00AD6C59"/>
    <w:rsid w:val="00AE13C8"/>
    <w:rsid w:val="00AE173A"/>
    <w:rsid w:val="00AE3272"/>
    <w:rsid w:val="00AE69C1"/>
    <w:rsid w:val="00AE7352"/>
    <w:rsid w:val="00AE7F55"/>
    <w:rsid w:val="00AF0904"/>
    <w:rsid w:val="00AF1F2F"/>
    <w:rsid w:val="00AF4218"/>
    <w:rsid w:val="00AF4DF3"/>
    <w:rsid w:val="00AF55E9"/>
    <w:rsid w:val="00AF5D4C"/>
    <w:rsid w:val="00AF6A9C"/>
    <w:rsid w:val="00B00E3E"/>
    <w:rsid w:val="00B02B3D"/>
    <w:rsid w:val="00B040D0"/>
    <w:rsid w:val="00B0505A"/>
    <w:rsid w:val="00B140F9"/>
    <w:rsid w:val="00B143D9"/>
    <w:rsid w:val="00B152B6"/>
    <w:rsid w:val="00B15B3D"/>
    <w:rsid w:val="00B16604"/>
    <w:rsid w:val="00B17B19"/>
    <w:rsid w:val="00B205ED"/>
    <w:rsid w:val="00B2255D"/>
    <w:rsid w:val="00B22B7E"/>
    <w:rsid w:val="00B22E9D"/>
    <w:rsid w:val="00B236DF"/>
    <w:rsid w:val="00B25727"/>
    <w:rsid w:val="00B3012D"/>
    <w:rsid w:val="00B31C82"/>
    <w:rsid w:val="00B336E2"/>
    <w:rsid w:val="00B41263"/>
    <w:rsid w:val="00B41633"/>
    <w:rsid w:val="00B426D9"/>
    <w:rsid w:val="00B43C82"/>
    <w:rsid w:val="00B44F97"/>
    <w:rsid w:val="00B45797"/>
    <w:rsid w:val="00B459FB"/>
    <w:rsid w:val="00B505C2"/>
    <w:rsid w:val="00B52BCA"/>
    <w:rsid w:val="00B52D22"/>
    <w:rsid w:val="00B53980"/>
    <w:rsid w:val="00B554E0"/>
    <w:rsid w:val="00B557A8"/>
    <w:rsid w:val="00B576C4"/>
    <w:rsid w:val="00B60A7C"/>
    <w:rsid w:val="00B624A3"/>
    <w:rsid w:val="00B626EC"/>
    <w:rsid w:val="00B62FD1"/>
    <w:rsid w:val="00B633AD"/>
    <w:rsid w:val="00B6364C"/>
    <w:rsid w:val="00B63FC5"/>
    <w:rsid w:val="00B64D09"/>
    <w:rsid w:val="00B65417"/>
    <w:rsid w:val="00B6690A"/>
    <w:rsid w:val="00B670E7"/>
    <w:rsid w:val="00B6782C"/>
    <w:rsid w:val="00B70CEA"/>
    <w:rsid w:val="00B745BE"/>
    <w:rsid w:val="00B767EF"/>
    <w:rsid w:val="00B804FB"/>
    <w:rsid w:val="00B80D02"/>
    <w:rsid w:val="00B81DE1"/>
    <w:rsid w:val="00B83B42"/>
    <w:rsid w:val="00B849A0"/>
    <w:rsid w:val="00B84EB1"/>
    <w:rsid w:val="00B86536"/>
    <w:rsid w:val="00B90D27"/>
    <w:rsid w:val="00B9284D"/>
    <w:rsid w:val="00B9285B"/>
    <w:rsid w:val="00B94B4E"/>
    <w:rsid w:val="00B96FA7"/>
    <w:rsid w:val="00B97116"/>
    <w:rsid w:val="00BA1806"/>
    <w:rsid w:val="00BA26E5"/>
    <w:rsid w:val="00BA273B"/>
    <w:rsid w:val="00BA2768"/>
    <w:rsid w:val="00BA38DB"/>
    <w:rsid w:val="00BA64F9"/>
    <w:rsid w:val="00BA6967"/>
    <w:rsid w:val="00BA6CC9"/>
    <w:rsid w:val="00BA6E68"/>
    <w:rsid w:val="00BA7A9F"/>
    <w:rsid w:val="00BB08E5"/>
    <w:rsid w:val="00BB0E28"/>
    <w:rsid w:val="00BB1996"/>
    <w:rsid w:val="00BB2732"/>
    <w:rsid w:val="00BB2D0A"/>
    <w:rsid w:val="00BB2E54"/>
    <w:rsid w:val="00BB41A8"/>
    <w:rsid w:val="00BB62D3"/>
    <w:rsid w:val="00BC0D60"/>
    <w:rsid w:val="00BC17E5"/>
    <w:rsid w:val="00BC2784"/>
    <w:rsid w:val="00BC2A52"/>
    <w:rsid w:val="00BC2B67"/>
    <w:rsid w:val="00BC388C"/>
    <w:rsid w:val="00BC47BA"/>
    <w:rsid w:val="00BC4863"/>
    <w:rsid w:val="00BC57C8"/>
    <w:rsid w:val="00BC63CD"/>
    <w:rsid w:val="00BC7100"/>
    <w:rsid w:val="00BD13BB"/>
    <w:rsid w:val="00BD2AD2"/>
    <w:rsid w:val="00BD44D8"/>
    <w:rsid w:val="00BD59C3"/>
    <w:rsid w:val="00BD5BC4"/>
    <w:rsid w:val="00BD7DE8"/>
    <w:rsid w:val="00BE0599"/>
    <w:rsid w:val="00BE470A"/>
    <w:rsid w:val="00BE5A6E"/>
    <w:rsid w:val="00BE5B5C"/>
    <w:rsid w:val="00BE62A8"/>
    <w:rsid w:val="00BE6447"/>
    <w:rsid w:val="00BE65D2"/>
    <w:rsid w:val="00BE7C06"/>
    <w:rsid w:val="00BF29B0"/>
    <w:rsid w:val="00BF2E89"/>
    <w:rsid w:val="00BF34C6"/>
    <w:rsid w:val="00BF4307"/>
    <w:rsid w:val="00BF47E7"/>
    <w:rsid w:val="00BF4F4A"/>
    <w:rsid w:val="00BF7558"/>
    <w:rsid w:val="00C003A0"/>
    <w:rsid w:val="00C0048D"/>
    <w:rsid w:val="00C01E81"/>
    <w:rsid w:val="00C03E6A"/>
    <w:rsid w:val="00C03F89"/>
    <w:rsid w:val="00C04706"/>
    <w:rsid w:val="00C04FB4"/>
    <w:rsid w:val="00C052C3"/>
    <w:rsid w:val="00C066B7"/>
    <w:rsid w:val="00C10AFD"/>
    <w:rsid w:val="00C118AD"/>
    <w:rsid w:val="00C120DA"/>
    <w:rsid w:val="00C121A6"/>
    <w:rsid w:val="00C1329B"/>
    <w:rsid w:val="00C13FF2"/>
    <w:rsid w:val="00C140CD"/>
    <w:rsid w:val="00C17A24"/>
    <w:rsid w:val="00C200D1"/>
    <w:rsid w:val="00C202D4"/>
    <w:rsid w:val="00C21583"/>
    <w:rsid w:val="00C224CB"/>
    <w:rsid w:val="00C24131"/>
    <w:rsid w:val="00C2419C"/>
    <w:rsid w:val="00C24267"/>
    <w:rsid w:val="00C242B2"/>
    <w:rsid w:val="00C26C77"/>
    <w:rsid w:val="00C26C85"/>
    <w:rsid w:val="00C26D46"/>
    <w:rsid w:val="00C27314"/>
    <w:rsid w:val="00C33AA7"/>
    <w:rsid w:val="00C350AF"/>
    <w:rsid w:val="00C3523D"/>
    <w:rsid w:val="00C37595"/>
    <w:rsid w:val="00C37793"/>
    <w:rsid w:val="00C4053C"/>
    <w:rsid w:val="00C4055D"/>
    <w:rsid w:val="00C4316B"/>
    <w:rsid w:val="00C464B7"/>
    <w:rsid w:val="00C46A0A"/>
    <w:rsid w:val="00C46B64"/>
    <w:rsid w:val="00C50351"/>
    <w:rsid w:val="00C517DA"/>
    <w:rsid w:val="00C54673"/>
    <w:rsid w:val="00C54DB5"/>
    <w:rsid w:val="00C54FB6"/>
    <w:rsid w:val="00C55294"/>
    <w:rsid w:val="00C565EF"/>
    <w:rsid w:val="00C5701B"/>
    <w:rsid w:val="00C57E13"/>
    <w:rsid w:val="00C61970"/>
    <w:rsid w:val="00C61CD1"/>
    <w:rsid w:val="00C62BB5"/>
    <w:rsid w:val="00C62FA2"/>
    <w:rsid w:val="00C63631"/>
    <w:rsid w:val="00C646CE"/>
    <w:rsid w:val="00C6477F"/>
    <w:rsid w:val="00C659A1"/>
    <w:rsid w:val="00C67E70"/>
    <w:rsid w:val="00C70432"/>
    <w:rsid w:val="00C77A34"/>
    <w:rsid w:val="00C807B2"/>
    <w:rsid w:val="00C81D18"/>
    <w:rsid w:val="00C83E37"/>
    <w:rsid w:val="00C9059E"/>
    <w:rsid w:val="00C90888"/>
    <w:rsid w:val="00C913AA"/>
    <w:rsid w:val="00C91964"/>
    <w:rsid w:val="00C91BAE"/>
    <w:rsid w:val="00C91D87"/>
    <w:rsid w:val="00C93675"/>
    <w:rsid w:val="00C95AF5"/>
    <w:rsid w:val="00C970C1"/>
    <w:rsid w:val="00CA026F"/>
    <w:rsid w:val="00CA0396"/>
    <w:rsid w:val="00CA2F04"/>
    <w:rsid w:val="00CB1795"/>
    <w:rsid w:val="00CB208A"/>
    <w:rsid w:val="00CB2CA3"/>
    <w:rsid w:val="00CB37E5"/>
    <w:rsid w:val="00CB570D"/>
    <w:rsid w:val="00CB62E0"/>
    <w:rsid w:val="00CB6BDF"/>
    <w:rsid w:val="00CB77D9"/>
    <w:rsid w:val="00CC0FE3"/>
    <w:rsid w:val="00CC1B41"/>
    <w:rsid w:val="00CC2730"/>
    <w:rsid w:val="00CC2FDD"/>
    <w:rsid w:val="00CC4598"/>
    <w:rsid w:val="00CC48A5"/>
    <w:rsid w:val="00CC564F"/>
    <w:rsid w:val="00CC61FC"/>
    <w:rsid w:val="00CC6B67"/>
    <w:rsid w:val="00CC70B1"/>
    <w:rsid w:val="00CC7A35"/>
    <w:rsid w:val="00CD05AE"/>
    <w:rsid w:val="00CD0C2E"/>
    <w:rsid w:val="00CD18C0"/>
    <w:rsid w:val="00CD1DEE"/>
    <w:rsid w:val="00CD4929"/>
    <w:rsid w:val="00CD4BCD"/>
    <w:rsid w:val="00CD4D8F"/>
    <w:rsid w:val="00CD5565"/>
    <w:rsid w:val="00CD5ED0"/>
    <w:rsid w:val="00CD78C0"/>
    <w:rsid w:val="00CE16F2"/>
    <w:rsid w:val="00CE1B48"/>
    <w:rsid w:val="00CE20D6"/>
    <w:rsid w:val="00CE336C"/>
    <w:rsid w:val="00CF1485"/>
    <w:rsid w:val="00CF28B3"/>
    <w:rsid w:val="00CF39D0"/>
    <w:rsid w:val="00CF565C"/>
    <w:rsid w:val="00CF5BF5"/>
    <w:rsid w:val="00D01A59"/>
    <w:rsid w:val="00D0310B"/>
    <w:rsid w:val="00D035B2"/>
    <w:rsid w:val="00D06A6D"/>
    <w:rsid w:val="00D077D0"/>
    <w:rsid w:val="00D11439"/>
    <w:rsid w:val="00D11614"/>
    <w:rsid w:val="00D15A92"/>
    <w:rsid w:val="00D15EDF"/>
    <w:rsid w:val="00D1608B"/>
    <w:rsid w:val="00D1642D"/>
    <w:rsid w:val="00D172A8"/>
    <w:rsid w:val="00D20E21"/>
    <w:rsid w:val="00D20FC3"/>
    <w:rsid w:val="00D21C24"/>
    <w:rsid w:val="00D22561"/>
    <w:rsid w:val="00D23C8E"/>
    <w:rsid w:val="00D23FBB"/>
    <w:rsid w:val="00D279D9"/>
    <w:rsid w:val="00D30F06"/>
    <w:rsid w:val="00D30F20"/>
    <w:rsid w:val="00D325CA"/>
    <w:rsid w:val="00D32FA0"/>
    <w:rsid w:val="00D33A48"/>
    <w:rsid w:val="00D345F8"/>
    <w:rsid w:val="00D35664"/>
    <w:rsid w:val="00D358AF"/>
    <w:rsid w:val="00D373AE"/>
    <w:rsid w:val="00D41C8A"/>
    <w:rsid w:val="00D431B9"/>
    <w:rsid w:val="00D44DB1"/>
    <w:rsid w:val="00D46976"/>
    <w:rsid w:val="00D46E4D"/>
    <w:rsid w:val="00D507B7"/>
    <w:rsid w:val="00D52952"/>
    <w:rsid w:val="00D532EF"/>
    <w:rsid w:val="00D559A4"/>
    <w:rsid w:val="00D575CF"/>
    <w:rsid w:val="00D57DCE"/>
    <w:rsid w:val="00D609BA"/>
    <w:rsid w:val="00D61172"/>
    <w:rsid w:val="00D616F3"/>
    <w:rsid w:val="00D62AAF"/>
    <w:rsid w:val="00D62FF3"/>
    <w:rsid w:val="00D6437C"/>
    <w:rsid w:val="00D64405"/>
    <w:rsid w:val="00D64AAF"/>
    <w:rsid w:val="00D65822"/>
    <w:rsid w:val="00D661C8"/>
    <w:rsid w:val="00D76605"/>
    <w:rsid w:val="00D76745"/>
    <w:rsid w:val="00D76B7D"/>
    <w:rsid w:val="00D76F5B"/>
    <w:rsid w:val="00D77ECA"/>
    <w:rsid w:val="00D8129E"/>
    <w:rsid w:val="00D845E8"/>
    <w:rsid w:val="00D8579A"/>
    <w:rsid w:val="00D86650"/>
    <w:rsid w:val="00D918C9"/>
    <w:rsid w:val="00D92485"/>
    <w:rsid w:val="00D93FE0"/>
    <w:rsid w:val="00D95576"/>
    <w:rsid w:val="00D970F2"/>
    <w:rsid w:val="00D97C31"/>
    <w:rsid w:val="00D97E54"/>
    <w:rsid w:val="00D97F33"/>
    <w:rsid w:val="00DA1F54"/>
    <w:rsid w:val="00DA3AFF"/>
    <w:rsid w:val="00DA438D"/>
    <w:rsid w:val="00DA48AF"/>
    <w:rsid w:val="00DA4DB5"/>
    <w:rsid w:val="00DA62AE"/>
    <w:rsid w:val="00DA6AA7"/>
    <w:rsid w:val="00DB0D5E"/>
    <w:rsid w:val="00DB1A45"/>
    <w:rsid w:val="00DC0001"/>
    <w:rsid w:val="00DC0055"/>
    <w:rsid w:val="00DC0B6F"/>
    <w:rsid w:val="00DC0D90"/>
    <w:rsid w:val="00DC19BE"/>
    <w:rsid w:val="00DC1F13"/>
    <w:rsid w:val="00DC3510"/>
    <w:rsid w:val="00DC4CB2"/>
    <w:rsid w:val="00DC53C8"/>
    <w:rsid w:val="00DC55FC"/>
    <w:rsid w:val="00DC6936"/>
    <w:rsid w:val="00DC703C"/>
    <w:rsid w:val="00DD45BC"/>
    <w:rsid w:val="00DD7BFF"/>
    <w:rsid w:val="00DE07E7"/>
    <w:rsid w:val="00DE0BD7"/>
    <w:rsid w:val="00DE1905"/>
    <w:rsid w:val="00DE19F9"/>
    <w:rsid w:val="00DE3589"/>
    <w:rsid w:val="00DE3A76"/>
    <w:rsid w:val="00DE544B"/>
    <w:rsid w:val="00DE7BD3"/>
    <w:rsid w:val="00DE7F54"/>
    <w:rsid w:val="00DF3954"/>
    <w:rsid w:val="00DF4A64"/>
    <w:rsid w:val="00DF5417"/>
    <w:rsid w:val="00DF6CEA"/>
    <w:rsid w:val="00DF7CBD"/>
    <w:rsid w:val="00E016B1"/>
    <w:rsid w:val="00E02CA4"/>
    <w:rsid w:val="00E035F8"/>
    <w:rsid w:val="00E06487"/>
    <w:rsid w:val="00E07448"/>
    <w:rsid w:val="00E07B73"/>
    <w:rsid w:val="00E07D89"/>
    <w:rsid w:val="00E11672"/>
    <w:rsid w:val="00E1395C"/>
    <w:rsid w:val="00E14741"/>
    <w:rsid w:val="00E15687"/>
    <w:rsid w:val="00E15E26"/>
    <w:rsid w:val="00E15E45"/>
    <w:rsid w:val="00E166AD"/>
    <w:rsid w:val="00E1735C"/>
    <w:rsid w:val="00E20929"/>
    <w:rsid w:val="00E20C48"/>
    <w:rsid w:val="00E20C5F"/>
    <w:rsid w:val="00E21435"/>
    <w:rsid w:val="00E22895"/>
    <w:rsid w:val="00E22B87"/>
    <w:rsid w:val="00E2333F"/>
    <w:rsid w:val="00E2372F"/>
    <w:rsid w:val="00E256D3"/>
    <w:rsid w:val="00E26679"/>
    <w:rsid w:val="00E27F71"/>
    <w:rsid w:val="00E31687"/>
    <w:rsid w:val="00E3596D"/>
    <w:rsid w:val="00E37014"/>
    <w:rsid w:val="00E403D5"/>
    <w:rsid w:val="00E4196A"/>
    <w:rsid w:val="00E426AC"/>
    <w:rsid w:val="00E436C6"/>
    <w:rsid w:val="00E43958"/>
    <w:rsid w:val="00E44960"/>
    <w:rsid w:val="00E44E98"/>
    <w:rsid w:val="00E44FB6"/>
    <w:rsid w:val="00E4533F"/>
    <w:rsid w:val="00E52A5F"/>
    <w:rsid w:val="00E55B2B"/>
    <w:rsid w:val="00E567CD"/>
    <w:rsid w:val="00E569D6"/>
    <w:rsid w:val="00E56FA6"/>
    <w:rsid w:val="00E57C19"/>
    <w:rsid w:val="00E60817"/>
    <w:rsid w:val="00E6324A"/>
    <w:rsid w:val="00E64259"/>
    <w:rsid w:val="00E64705"/>
    <w:rsid w:val="00E66A60"/>
    <w:rsid w:val="00E66FF1"/>
    <w:rsid w:val="00E670D6"/>
    <w:rsid w:val="00E708BD"/>
    <w:rsid w:val="00E71FDE"/>
    <w:rsid w:val="00E72091"/>
    <w:rsid w:val="00E72B3F"/>
    <w:rsid w:val="00E73EFD"/>
    <w:rsid w:val="00E75598"/>
    <w:rsid w:val="00E76725"/>
    <w:rsid w:val="00E76AA9"/>
    <w:rsid w:val="00E771E5"/>
    <w:rsid w:val="00E80A2F"/>
    <w:rsid w:val="00E81972"/>
    <w:rsid w:val="00E828C6"/>
    <w:rsid w:val="00E82CD7"/>
    <w:rsid w:val="00E82D7B"/>
    <w:rsid w:val="00E83E19"/>
    <w:rsid w:val="00E87A1B"/>
    <w:rsid w:val="00E90762"/>
    <w:rsid w:val="00E90E71"/>
    <w:rsid w:val="00E9337F"/>
    <w:rsid w:val="00E93CC7"/>
    <w:rsid w:val="00E94346"/>
    <w:rsid w:val="00E959FE"/>
    <w:rsid w:val="00E96B67"/>
    <w:rsid w:val="00EA0A7F"/>
    <w:rsid w:val="00EA114A"/>
    <w:rsid w:val="00EA1211"/>
    <w:rsid w:val="00EA13F2"/>
    <w:rsid w:val="00EA3D10"/>
    <w:rsid w:val="00EA57C4"/>
    <w:rsid w:val="00EA784A"/>
    <w:rsid w:val="00EB1073"/>
    <w:rsid w:val="00EB14CC"/>
    <w:rsid w:val="00EB1A37"/>
    <w:rsid w:val="00EB220B"/>
    <w:rsid w:val="00EB2D61"/>
    <w:rsid w:val="00EB489D"/>
    <w:rsid w:val="00EB6504"/>
    <w:rsid w:val="00EB6D6A"/>
    <w:rsid w:val="00EC0509"/>
    <w:rsid w:val="00EC0BA4"/>
    <w:rsid w:val="00EC0EF5"/>
    <w:rsid w:val="00EC4E08"/>
    <w:rsid w:val="00EC4E3D"/>
    <w:rsid w:val="00EC7042"/>
    <w:rsid w:val="00ED2E29"/>
    <w:rsid w:val="00ED379D"/>
    <w:rsid w:val="00ED406E"/>
    <w:rsid w:val="00ED48ED"/>
    <w:rsid w:val="00ED7B15"/>
    <w:rsid w:val="00EE4178"/>
    <w:rsid w:val="00EE5695"/>
    <w:rsid w:val="00EF1E77"/>
    <w:rsid w:val="00EF346B"/>
    <w:rsid w:val="00EF47F9"/>
    <w:rsid w:val="00EF5707"/>
    <w:rsid w:val="00EF59C7"/>
    <w:rsid w:val="00EF684F"/>
    <w:rsid w:val="00EF68C2"/>
    <w:rsid w:val="00EF68F0"/>
    <w:rsid w:val="00EF6D05"/>
    <w:rsid w:val="00EF6ED7"/>
    <w:rsid w:val="00F00267"/>
    <w:rsid w:val="00F00799"/>
    <w:rsid w:val="00F0179E"/>
    <w:rsid w:val="00F04CBB"/>
    <w:rsid w:val="00F05AAA"/>
    <w:rsid w:val="00F05C40"/>
    <w:rsid w:val="00F060D3"/>
    <w:rsid w:val="00F075FC"/>
    <w:rsid w:val="00F07944"/>
    <w:rsid w:val="00F07C1D"/>
    <w:rsid w:val="00F07EC5"/>
    <w:rsid w:val="00F109AD"/>
    <w:rsid w:val="00F10F8C"/>
    <w:rsid w:val="00F1173D"/>
    <w:rsid w:val="00F12090"/>
    <w:rsid w:val="00F15BAA"/>
    <w:rsid w:val="00F16AC2"/>
    <w:rsid w:val="00F206DA"/>
    <w:rsid w:val="00F22F06"/>
    <w:rsid w:val="00F239B0"/>
    <w:rsid w:val="00F24173"/>
    <w:rsid w:val="00F24448"/>
    <w:rsid w:val="00F246F8"/>
    <w:rsid w:val="00F24E2C"/>
    <w:rsid w:val="00F24EC4"/>
    <w:rsid w:val="00F257B5"/>
    <w:rsid w:val="00F26187"/>
    <w:rsid w:val="00F27AF6"/>
    <w:rsid w:val="00F30558"/>
    <w:rsid w:val="00F31E34"/>
    <w:rsid w:val="00F32219"/>
    <w:rsid w:val="00F32B5C"/>
    <w:rsid w:val="00F33ECD"/>
    <w:rsid w:val="00F344EB"/>
    <w:rsid w:val="00F351E3"/>
    <w:rsid w:val="00F356BE"/>
    <w:rsid w:val="00F40A87"/>
    <w:rsid w:val="00F412B1"/>
    <w:rsid w:val="00F45E42"/>
    <w:rsid w:val="00F46299"/>
    <w:rsid w:val="00F465E2"/>
    <w:rsid w:val="00F46723"/>
    <w:rsid w:val="00F517C4"/>
    <w:rsid w:val="00F51C42"/>
    <w:rsid w:val="00F52222"/>
    <w:rsid w:val="00F53121"/>
    <w:rsid w:val="00F53AA7"/>
    <w:rsid w:val="00F54684"/>
    <w:rsid w:val="00F55FAA"/>
    <w:rsid w:val="00F5699D"/>
    <w:rsid w:val="00F60D70"/>
    <w:rsid w:val="00F62988"/>
    <w:rsid w:val="00F62C10"/>
    <w:rsid w:val="00F62F40"/>
    <w:rsid w:val="00F649EA"/>
    <w:rsid w:val="00F6667C"/>
    <w:rsid w:val="00F66697"/>
    <w:rsid w:val="00F67AEA"/>
    <w:rsid w:val="00F71236"/>
    <w:rsid w:val="00F72961"/>
    <w:rsid w:val="00F72B4C"/>
    <w:rsid w:val="00F73531"/>
    <w:rsid w:val="00F737EF"/>
    <w:rsid w:val="00F73C41"/>
    <w:rsid w:val="00F73C4B"/>
    <w:rsid w:val="00F747A5"/>
    <w:rsid w:val="00F7588D"/>
    <w:rsid w:val="00F75E92"/>
    <w:rsid w:val="00F75F3E"/>
    <w:rsid w:val="00F75FA3"/>
    <w:rsid w:val="00F771D3"/>
    <w:rsid w:val="00F77EB5"/>
    <w:rsid w:val="00F808B6"/>
    <w:rsid w:val="00F839FE"/>
    <w:rsid w:val="00F86009"/>
    <w:rsid w:val="00F86A87"/>
    <w:rsid w:val="00F90364"/>
    <w:rsid w:val="00F91982"/>
    <w:rsid w:val="00F91B4D"/>
    <w:rsid w:val="00F91B4E"/>
    <w:rsid w:val="00F91CE5"/>
    <w:rsid w:val="00F924A2"/>
    <w:rsid w:val="00F92B63"/>
    <w:rsid w:val="00F936BA"/>
    <w:rsid w:val="00F93B1E"/>
    <w:rsid w:val="00F94BEF"/>
    <w:rsid w:val="00F94C0A"/>
    <w:rsid w:val="00F9512E"/>
    <w:rsid w:val="00F95AAA"/>
    <w:rsid w:val="00F96F5C"/>
    <w:rsid w:val="00FA1D10"/>
    <w:rsid w:val="00FA6E30"/>
    <w:rsid w:val="00FA6E74"/>
    <w:rsid w:val="00FA7838"/>
    <w:rsid w:val="00FB0C1D"/>
    <w:rsid w:val="00FB1178"/>
    <w:rsid w:val="00FB1B72"/>
    <w:rsid w:val="00FB1F68"/>
    <w:rsid w:val="00FB4AD7"/>
    <w:rsid w:val="00FB70B1"/>
    <w:rsid w:val="00FB77D8"/>
    <w:rsid w:val="00FB7EFD"/>
    <w:rsid w:val="00FC0C8A"/>
    <w:rsid w:val="00FC12AA"/>
    <w:rsid w:val="00FC3B0A"/>
    <w:rsid w:val="00FC57A1"/>
    <w:rsid w:val="00FC5B60"/>
    <w:rsid w:val="00FC6356"/>
    <w:rsid w:val="00FC6527"/>
    <w:rsid w:val="00FC6889"/>
    <w:rsid w:val="00FD00C0"/>
    <w:rsid w:val="00FD1005"/>
    <w:rsid w:val="00FD746A"/>
    <w:rsid w:val="00FD7FD0"/>
    <w:rsid w:val="00FE058F"/>
    <w:rsid w:val="00FE0EEE"/>
    <w:rsid w:val="00FE28F8"/>
    <w:rsid w:val="00FE2A4F"/>
    <w:rsid w:val="00FE3236"/>
    <w:rsid w:val="00FE71D0"/>
    <w:rsid w:val="00FE7244"/>
    <w:rsid w:val="00FF09E1"/>
    <w:rsid w:val="00FF0E7D"/>
    <w:rsid w:val="00FF1923"/>
    <w:rsid w:val="00FF27AB"/>
    <w:rsid w:val="00FF56D9"/>
    <w:rsid w:val="00FF7304"/>
    <w:rsid w:val="0338B0AC"/>
    <w:rsid w:val="040ADAF3"/>
    <w:rsid w:val="0504DD2E"/>
    <w:rsid w:val="067AE73A"/>
    <w:rsid w:val="068CCCE3"/>
    <w:rsid w:val="07876957"/>
    <w:rsid w:val="0810507D"/>
    <w:rsid w:val="0A06BB80"/>
    <w:rsid w:val="0BB36211"/>
    <w:rsid w:val="0F4E112C"/>
    <w:rsid w:val="11380045"/>
    <w:rsid w:val="113BF088"/>
    <w:rsid w:val="12F9FAD5"/>
    <w:rsid w:val="148C009A"/>
    <w:rsid w:val="14CAB238"/>
    <w:rsid w:val="152E1FAF"/>
    <w:rsid w:val="18FF82A3"/>
    <w:rsid w:val="1C03E8AF"/>
    <w:rsid w:val="1C311804"/>
    <w:rsid w:val="1C45BCA7"/>
    <w:rsid w:val="1DB2E1D2"/>
    <w:rsid w:val="1F1A475D"/>
    <w:rsid w:val="210DB9C3"/>
    <w:rsid w:val="25CA0199"/>
    <w:rsid w:val="27495A18"/>
    <w:rsid w:val="2759896E"/>
    <w:rsid w:val="29F5E2B3"/>
    <w:rsid w:val="2A1434E3"/>
    <w:rsid w:val="2D934A71"/>
    <w:rsid w:val="2EAEE0B0"/>
    <w:rsid w:val="304AB111"/>
    <w:rsid w:val="32833693"/>
    <w:rsid w:val="392B4AB2"/>
    <w:rsid w:val="39409360"/>
    <w:rsid w:val="3BA2CD9C"/>
    <w:rsid w:val="3D5C0DB5"/>
    <w:rsid w:val="406BB7E6"/>
    <w:rsid w:val="408BAEC7"/>
    <w:rsid w:val="4490B4A5"/>
    <w:rsid w:val="48070B56"/>
    <w:rsid w:val="50964B9C"/>
    <w:rsid w:val="50F99846"/>
    <w:rsid w:val="558547A1"/>
    <w:rsid w:val="5608F1E6"/>
    <w:rsid w:val="5B4123EB"/>
    <w:rsid w:val="5DB0F0C2"/>
    <w:rsid w:val="611F227E"/>
    <w:rsid w:val="63EEC2D9"/>
    <w:rsid w:val="6653388C"/>
    <w:rsid w:val="69100FE7"/>
    <w:rsid w:val="6BD0B18C"/>
    <w:rsid w:val="6ED03045"/>
    <w:rsid w:val="717D2601"/>
    <w:rsid w:val="725A599B"/>
    <w:rsid w:val="73134B11"/>
    <w:rsid w:val="7356E03F"/>
    <w:rsid w:val="738B0DCA"/>
    <w:rsid w:val="7ACB5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503764"/>
  <w15:chartTrackingRefBased/>
  <w15:docId w15:val="{360DB186-D650-44BC-B8CC-7717AEF3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paragraph" w:styleId="Heading1">
    <w:name w:val="heading 1"/>
    <w:basedOn w:val="ListParagraph"/>
    <w:next w:val="Normal"/>
    <w:link w:val="Heading1Char"/>
    <w:uiPriority w:val="9"/>
    <w:qFormat/>
    <w:rsid w:val="003643F8"/>
    <w:pPr>
      <w:numPr>
        <w:numId w:val="1"/>
      </w:numPr>
      <w:spacing w:after="0" w:line="240" w:lineRule="auto"/>
      <w:ind w:left="0"/>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3643F8"/>
    <w:pPr>
      <w:numPr>
        <w:numId w:val="2"/>
      </w:numPr>
      <w:spacing w:after="0" w:line="240" w:lineRule="auto"/>
      <w:ind w:left="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lang w:val="x-none" w:eastAsia="x-none"/>
    </w:rPr>
  </w:style>
  <w:style w:type="character" w:customStyle="1" w:styleId="CommentTextChar">
    <w:name w:val="Comment Text Char"/>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customStyle="1" w:styleId="Heading1Char">
    <w:name w:val="Heading 1 Char"/>
    <w:basedOn w:val="DefaultParagraphFont"/>
    <w:link w:val="Heading1"/>
    <w:uiPriority w:val="9"/>
    <w:rsid w:val="003643F8"/>
    <w:rPr>
      <w:rFonts w:ascii="Times New Roman" w:hAnsi="Times New Roman"/>
      <w:b/>
      <w:sz w:val="24"/>
      <w:szCs w:val="24"/>
    </w:rPr>
  </w:style>
  <w:style w:type="character" w:customStyle="1" w:styleId="ListParagraphChar">
    <w:name w:val="List Paragraph Char"/>
    <w:basedOn w:val="DefaultParagraphFont"/>
    <w:link w:val="ListParagraph"/>
    <w:uiPriority w:val="34"/>
    <w:rsid w:val="002F26E1"/>
    <w:rPr>
      <w:sz w:val="22"/>
      <w:szCs w:val="22"/>
    </w:rPr>
  </w:style>
  <w:style w:type="table" w:customStyle="1" w:styleId="TableGrid1">
    <w:name w:val="Table Grid1"/>
    <w:basedOn w:val="TableNormal"/>
    <w:next w:val="TableGrid"/>
    <w:uiPriority w:val="59"/>
    <w:rsid w:val="00C224C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415B3"/>
    <w:rPr>
      <w:color w:val="605E5C"/>
      <w:shd w:val="clear" w:color="auto" w:fill="E1DFDD"/>
    </w:rPr>
  </w:style>
  <w:style w:type="paragraph" w:customStyle="1" w:styleId="Paragraph">
    <w:name w:val="Paragraph"/>
    <w:basedOn w:val="Normal"/>
    <w:link w:val="ParagraphChar"/>
    <w:semiHidden/>
    <w:rsid w:val="00CC1B41"/>
    <w:pPr>
      <w:spacing w:after="160" w:line="264" w:lineRule="auto"/>
    </w:pPr>
    <w:rPr>
      <w:rFonts w:asciiTheme="minorHAnsi" w:eastAsiaTheme="minorHAnsi" w:hAnsiTheme="minorHAnsi" w:cstheme="minorBidi"/>
    </w:rPr>
  </w:style>
  <w:style w:type="character" w:customStyle="1" w:styleId="ParagraphChar">
    <w:name w:val="Paragraph Char"/>
    <w:basedOn w:val="DefaultParagraphFont"/>
    <w:link w:val="Paragraph"/>
    <w:semiHidden/>
    <w:locked/>
    <w:rsid w:val="00CC1B41"/>
    <w:rPr>
      <w:rFonts w:asciiTheme="minorHAnsi" w:eastAsiaTheme="minorHAnsi" w:hAnsiTheme="minorHAnsi" w:cstheme="minorBidi"/>
      <w:sz w:val="22"/>
      <w:szCs w:val="22"/>
    </w:rPr>
  </w:style>
  <w:style w:type="character" w:styleId="Mention">
    <w:name w:val="Mention"/>
    <w:basedOn w:val="DefaultParagraphFont"/>
    <w:uiPriority w:val="99"/>
    <w:unhideWhenUsed/>
    <w:rsid w:val="00BF34C6"/>
    <w:rPr>
      <w:color w:val="2B579A"/>
      <w:shd w:val="clear" w:color="auto" w:fill="E1DFDD"/>
    </w:rPr>
  </w:style>
  <w:style w:type="paragraph" w:customStyle="1" w:styleId="Reference">
    <w:name w:val="Reference"/>
    <w:basedOn w:val="ListContinue"/>
    <w:qFormat/>
    <w:rsid w:val="00B9285B"/>
    <w:pPr>
      <w:keepLines/>
      <w:spacing w:after="80" w:line="264" w:lineRule="auto"/>
      <w:ind w:hanging="360"/>
      <w:contextualSpacing w:val="0"/>
    </w:pPr>
    <w:rPr>
      <w:rFonts w:eastAsiaTheme="minorHAnsi" w:cstheme="minorBidi"/>
    </w:rPr>
  </w:style>
  <w:style w:type="paragraph" w:styleId="ListContinue">
    <w:name w:val="List Continue"/>
    <w:basedOn w:val="Normal"/>
    <w:uiPriority w:val="99"/>
    <w:semiHidden/>
    <w:unhideWhenUsed/>
    <w:rsid w:val="00B9285B"/>
    <w:pPr>
      <w:spacing w:after="120"/>
      <w:ind w:left="360"/>
      <w:contextualSpacing/>
    </w:pPr>
  </w:style>
  <w:style w:type="character" w:customStyle="1" w:styleId="Heading2Char">
    <w:name w:val="Heading 2 Char"/>
    <w:basedOn w:val="DefaultParagraphFont"/>
    <w:link w:val="Heading2"/>
    <w:uiPriority w:val="9"/>
    <w:rsid w:val="003643F8"/>
    <w:rPr>
      <w:rFonts w:ascii="Times New Roman" w:hAnsi="Times New Roman"/>
      <w:b/>
      <w:sz w:val="24"/>
      <w:szCs w:val="24"/>
    </w:rPr>
  </w:style>
  <w:style w:type="character" w:customStyle="1" w:styleId="cf01">
    <w:name w:val="cf01"/>
    <w:basedOn w:val="DefaultParagraphFont"/>
    <w:rsid w:val="001426FE"/>
    <w:rPr>
      <w:rFonts w:ascii="Segoe UI" w:hAnsi="Segoe UI" w:cs="Segoe UI" w:hint="default"/>
      <w:sz w:val="18"/>
      <w:szCs w:val="18"/>
      <w:shd w:val="clear" w:color="auto" w:fill="FFFF00"/>
    </w:rPr>
  </w:style>
  <w:style w:type="character" w:styleId="FollowedHyperlink">
    <w:name w:val="FollowedHyperlink"/>
    <w:basedOn w:val="DefaultParagraphFont"/>
    <w:uiPriority w:val="99"/>
    <w:semiHidden/>
    <w:unhideWhenUsed/>
    <w:rsid w:val="006D6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eborah.Porterfield@hhs.gov" TargetMode="External" /><Relationship Id="rId11" Type="http://schemas.openxmlformats.org/officeDocument/2006/relationships/hyperlink" Target="https://nam.edu/public-health-covid-19-impact-assessment-lessons-learned-and-compelling-needs/" TargetMode="External" /><Relationship Id="rId12" Type="http://schemas.openxmlformats.org/officeDocument/2006/relationships/hyperlink" Target="http://dx.doi.org/10.1136/bmjopen-2020-048086" TargetMode="External" /><Relationship Id="rId13" Type="http://schemas.openxmlformats.org/officeDocument/2006/relationships/hyperlink" Target="https://doi.org/10.1186%2Fs12939-021-01582-4" TargetMode="External" /><Relationship Id="rId14" Type="http://schemas.openxmlformats.org/officeDocument/2006/relationships/hyperlink" Target="https://doi.org/10.1101%2F2020.04.10.20060962" TargetMode="External" /><Relationship Id="rId15" Type="http://schemas.openxmlformats.org/officeDocument/2006/relationships/hyperlink" Target="https://doi.org/10.1016/j.vaccine.2021.11.040" TargetMode="External" /><Relationship Id="rId16" Type="http://schemas.openxmlformats.org/officeDocument/2006/relationships/hyperlink" Target="http://jamanetwork.com/article.aspx?doi=10.1001/jamanetworkopen.2021.30343" TargetMode="External" /><Relationship Id="rId17" Type="http://schemas.openxmlformats.org/officeDocument/2006/relationships/hyperlink" Target="https://www.cdc.gov/mmwr/volumes/70/wr/mm7015e2.htm" TargetMode="External" /><Relationship Id="rId18" Type="http://schemas.openxmlformats.org/officeDocument/2006/relationships/hyperlink" Target="https://aspe.hhs.gov/sites/default/files/migrated_legacy_files//199516/covid-equity-issue-brief.pdf" TargetMode="External" /><Relationship Id="rId19" Type="http://schemas.openxmlformats.org/officeDocument/2006/relationships/hyperlink" Target="https://www.cdc.gov/mmwr/volumes/70/wr/mm7015e3.htm?s_cid=mm7015e3_w" TargetMode="External" /><Relationship Id="rId2" Type="http://schemas.openxmlformats.org/officeDocument/2006/relationships/endnotes" Target="endnotes.xml" /><Relationship Id="rId20" Type="http://schemas.openxmlformats.org/officeDocument/2006/relationships/hyperlink" Target="http://jamanetwork.com/article.aspx?doi=10.1001/jama.2020.8598"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ziprecruiter.com" TargetMode="External" /><Relationship Id="rId2" Type="http://schemas.openxmlformats.org/officeDocument/2006/relationships/hyperlink" Target="http://www.salaryexpert.com" TargetMode="External" /><Relationship Id="rId3" Type="http://schemas.openxmlformats.org/officeDocument/2006/relationships/hyperlink" Target="http://www.indeed.com" TargetMode="External" /><Relationship Id="rId4" Type="http://schemas.openxmlformats.org/officeDocument/2006/relationships/hyperlink" Target="https://www.bls.gov/ces/data/employment-and-earnings/2023/summarytable_202308.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584B2F4137E42BB29C3C7FA8EF407" ma:contentTypeVersion="15" ma:contentTypeDescription="Create a new document." ma:contentTypeScope="" ma:versionID="7db59ee226d76b0c6c74f37b5feb0720">
  <xsd:schema xmlns:xsd="http://www.w3.org/2001/XMLSchema" xmlns:xs="http://www.w3.org/2001/XMLSchema" xmlns:p="http://schemas.microsoft.com/office/2006/metadata/properties" xmlns:ns2="d7bb2dee-88ff-4bee-b96f-b62136bfb6f2" xmlns:ns3="01d7b853-f4f5-4afd-8736-eda4d5f1a5db" targetNamespace="http://schemas.microsoft.com/office/2006/metadata/properties" ma:root="true" ma:fieldsID="a4e32481073b24e36dee9356214c1819" ns2:_="" ns3:_="">
    <xsd:import namespace="d7bb2dee-88ff-4bee-b96f-b62136bfb6f2"/>
    <xsd:import namespace="01d7b853-f4f5-4afd-8736-eda4d5f1a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2dee-88ff-4bee-b96f-b62136bfb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b853-f4f5-4afd-8736-eda4d5f1a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e9d9ac-0801-4574-a1a8-f3efc24b9eae}" ma:internalName="TaxCatchAll" ma:showField="CatchAllData" ma:web="01d7b853-f4f5-4afd-8736-eda4d5f1a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d7b853-f4f5-4afd-8736-eda4d5f1a5db" xsi:nil="true"/>
    <lcf76f155ced4ddcb4097134ff3c332f xmlns="d7bb2dee-88ff-4bee-b96f-b62136bfb6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BAD23-5267-47DC-B294-F10D7B4BBDC2}">
  <ds:schemaRefs/>
</ds:datastoreItem>
</file>

<file path=customXml/itemProps2.xml><?xml version="1.0" encoding="utf-8"?>
<ds:datastoreItem xmlns:ds="http://schemas.openxmlformats.org/officeDocument/2006/customXml" ds:itemID="{EC1320E4-7EA5-47B8-8947-DD5BC5B38BEA}">
  <ds:schemaRefs>
    <ds:schemaRef ds:uri="b8953772-b906-4411-b223-2a20baae76fc"/>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d84c30e-51bd-4fee-abdb-521e09eb52b7"/>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customXml/itemProps4.xml><?xml version="1.0" encoding="utf-8"?>
<ds:datastoreItem xmlns:ds="http://schemas.openxmlformats.org/officeDocument/2006/customXml" ds:itemID="{DCD9AED4-E0F3-454E-A4CB-5ECB361EB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Kate Bradley</cp:lastModifiedBy>
  <cp:revision>2</cp:revision>
  <cp:lastPrinted>2023-10-25T18:17:00Z</cp:lastPrinted>
  <dcterms:created xsi:type="dcterms:W3CDTF">2024-02-27T14:00:00Z</dcterms:created>
  <dcterms:modified xsi:type="dcterms:W3CDTF">2024-02-27T14:00:00Z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0x01010007E584B2F4137E42BB29C3C7FA8EF407</vt:lpwstr>
  </property>
  <property fmtid="{D5CDD505-2E9C-101B-9397-08002B2CF9AE}" pid="3" name="MediaServiceImageTags">
    <vt:lpwstr/>
  </property>
  <property fmtid="{D5CDD505-2E9C-101B-9397-08002B2CF9AE}" pid="4" name="_NewReviewCycle">
    <vt:lpwstr/>
  </property>
</Properties>
</file>