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01674660"/>
        <w:docPartObj>
          <w:docPartGallery w:val="Cover Pages"/>
          <w:docPartUnique/>
        </w:docPartObj>
      </w:sdtPr>
      <w:sdtEndPr>
        <w:rPr>
          <w:sz w:val="36"/>
          <w:szCs w:val="36"/>
        </w:rPr>
      </w:sdtEndPr>
      <w:sdtContent>
        <w:p w:rsidR="000F0803" w:rsidRDefault="000F0803" w14:paraId="028E0C1C" w14:textId="56F11B23"/>
        <w:p w:rsidR="00F038C1" w:rsidRDefault="00F038C1" w14:paraId="7AAAF21E" w14:textId="50AFA606"/>
        <w:p w:rsidR="00F038C1" w:rsidRDefault="00F038C1" w14:paraId="7D8111B0" w14:textId="7F66BA40"/>
        <w:p w:rsidR="00F038C1" w:rsidRDefault="00F038C1" w14:paraId="230415AC" w14:textId="3138313F"/>
        <w:p w:rsidR="00F038C1" w:rsidRDefault="00F038C1" w14:paraId="53C60F1C" w14:textId="163549BE"/>
        <w:p w:rsidR="00F038C1" w:rsidRDefault="00F038C1" w14:paraId="155AC80F" w14:textId="74CB399F"/>
        <w:p w:rsidR="00F038C1" w:rsidRDefault="00F038C1" w14:paraId="336E8884" w14:textId="4A636B9A"/>
        <w:p w:rsidR="00F038C1" w:rsidRDefault="00F038C1" w14:paraId="6323DA58" w14:textId="365C48EF"/>
        <w:p w:rsidR="00F038C1" w:rsidRDefault="00F038C1" w14:paraId="0D66D451" w14:textId="5A979454"/>
        <w:p w:rsidR="00F038C1" w:rsidRDefault="00F038C1" w14:paraId="04223E40" w14:textId="550DC0E6"/>
        <w:p w:rsidR="00F038C1" w:rsidRDefault="00F038C1" w14:paraId="0BAE29AD" w14:textId="0A0B3A9E"/>
        <w:p w:rsidR="00F038C1" w:rsidRDefault="00F038C1" w14:paraId="6BD47A24" w14:textId="77777777"/>
        <w:p w:rsidR="000F0803" w:rsidP="00F038C1" w:rsidRDefault="00F038C1" w14:paraId="1E733729" w14:textId="38906284">
          <w:pPr>
            <w:jc w:val="center"/>
            <w:rPr>
              <w:sz w:val="36"/>
              <w:szCs w:val="36"/>
            </w:rPr>
          </w:pPr>
          <w:r>
            <w:rPr>
              <w:noProof/>
              <w:lang w:val="en-US" w:eastAsia="en-US"/>
            </w:rPr>
            <mc:AlternateContent>
              <mc:Choice Requires="wps">
                <w:drawing>
                  <wp:anchor distT="0" distB="0" distL="182880" distR="182880" simplePos="0" relativeHeight="251660288" behindDoc="0" locked="0" layoutInCell="1" allowOverlap="1" wp14:editId="2C868FE2" wp14:anchorId="3B5D57E2">
                    <wp:simplePos x="0" y="0"/>
                    <wp:positionH relativeFrom="margin">
                      <wp:posOffset>952500</wp:posOffset>
                    </wp:positionH>
                    <wp:positionV relativeFrom="page">
                      <wp:posOffset>4438650</wp:posOffset>
                    </wp:positionV>
                    <wp:extent cx="5981700" cy="6720840"/>
                    <wp:effectExtent l="0" t="0" r="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59817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4011" w:rsidRDefault="004566E4" w14:paraId="2817F8CA" w14:textId="36CA07F6">
                                <w:pPr>
                                  <w:pStyle w:val="NoSpacing"/>
                                  <w:spacing w:before="40" w:after="560" w:line="216" w:lineRule="auto"/>
                                  <w:rPr>
                                    <w:color w:val="4A66AC" w:themeColor="accent1"/>
                                    <w:sz w:val="72"/>
                                    <w:szCs w:val="72"/>
                                  </w:rPr>
                                </w:pPr>
                                <w:sdt>
                                  <w:sdtPr>
                                    <w:rPr>
                                      <w:rFonts w:ascii="Calibri" w:hAnsi="Calibri" w:eastAsia="Calibri" w:cs="Times New Roman"/>
                                      <w:b/>
                                      <w:sz w:val="40"/>
                                      <w:szCs w:val="40"/>
                                    </w:rPr>
                                    <w:alias w:val="Title"/>
                                    <w:tag w:val=""/>
                                    <w:id w:val="-1347864620"/>
                                    <w:dataBinding w:prefixMappings="xmlns:ns0='http://purl.org/dc/elements/1.1/' xmlns:ns1='http://schemas.openxmlformats.org/package/2006/metadata/core-properties' " w:xpath="/ns1:coreProperties[1]/ns0:title[1]" w:storeItemID="{6C3C8BC8-F283-45AE-878A-BAB7291924A1}"/>
                                    <w:text/>
                                  </w:sdtPr>
                                  <w:sdtEndPr/>
                                  <w:sdtContent>
                                    <w:r w:rsidR="00764011">
                                      <w:rPr>
                                        <w:rFonts w:ascii="Calibri" w:hAnsi="Calibri" w:eastAsia="Calibri" w:cs="Times New Roman"/>
                                        <w:b/>
                                        <w:sz w:val="40"/>
                                        <w:szCs w:val="40"/>
                                      </w:rPr>
                                      <w:t xml:space="preserve">Strengthening the U.S. Response to Resistant </w:t>
                                    </w:r>
                                    <w:proofErr w:type="spellStart"/>
                                    <w:r w:rsidR="00764011">
                                      <w:rPr>
                                        <w:rFonts w:ascii="Calibri" w:hAnsi="Calibri" w:eastAsia="Calibri" w:cs="Times New Roman"/>
                                        <w:b/>
                                        <w:sz w:val="40"/>
                                        <w:szCs w:val="40"/>
                                      </w:rPr>
                                      <w:t>Gonorrhea</w:t>
                                    </w:r>
                                    <w:proofErr w:type="spellEnd"/>
                                    <w:r w:rsidR="00764011">
                                      <w:rPr>
                                        <w:rFonts w:ascii="Calibri" w:hAnsi="Calibri" w:eastAsia="Calibri" w:cs="Times New Roman"/>
                                        <w:b/>
                                        <w:sz w:val="40"/>
                                        <w:szCs w:val="40"/>
                                      </w:rPr>
                                      <w:t xml:space="preserve"> (SURRG) Protocol</w:t>
                                    </w:r>
                                  </w:sdtContent>
                                </w:sdt>
                              </w:p>
                              <w:p w:rsidR="00764011" w:rsidRDefault="00764011" w14:paraId="118BE230" w14:textId="5C0D7431">
                                <w:pPr>
                                  <w:pStyle w:val="NoSpacing"/>
                                  <w:spacing w:before="80" w:after="40"/>
                                  <w:rPr>
                                    <w:caps/>
                                    <w:color w:val="5AA2AE"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w14:anchorId="3B5D57E2">
                    <v:stroke joinstyle="miter"/>
                    <v:path gradientshapeok="t" o:connecttype="rect"/>
                  </v:shapetype>
                  <v:shape id="Text Box 131" style="position:absolute;left:0;text-align:left;margin-left:75pt;margin-top:349.5pt;width:471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">
                    <v:textbox style="mso-fit-shape-to-text:t" inset="0,0,0,0">
                      <w:txbxContent>
                        <w:p w:rsidR="00764011" w:rsidRDefault="00764011" w14:paraId="2817F8CA" w14:textId="36CA07F6">
                          <w:pPr>
                            <w:pStyle w:val="NoSpacing"/>
                            <w:spacing w:before="40" w:after="560" w:line="216" w:lineRule="auto"/>
                            <w:rPr>
                              <w:color w:val="4A66AC" w:themeColor="accent1"/>
                              <w:sz w:val="72"/>
                              <w:szCs w:val="72"/>
                            </w:rPr>
                          </w:pPr>
                          <w:sdt>
                            <w:sdtPr>
                              <w:rPr>
                                <w:rFonts w:ascii="Calibri" w:hAnsi="Calibri" w:eastAsia="Calibri" w:cs="Times New Roman"/>
                                <w:b/>
                                <w:sz w:val="40"/>
                                <w:szCs w:val="40"/>
                              </w:rPr>
                              <w:alias w:val="Title"/>
                              <w:tag w:val=""/>
                              <w:id w:val="-1347864620"/>
                              <w:dataBinding w:prefixMappings="xmlns:ns0='http://purl.org/dc/elements/1.1/' xmlns:ns1='http://schemas.openxmlformats.org/package/2006/metadata/core-properties' " w:xpath="/ns1:coreProperties[1]/ns0:title[1]" w:storeItemID="{6C3C8BC8-F283-45AE-878A-BAB7291924A1}"/>
                              <w:text/>
                            </w:sdtPr>
                            <w:sdtContent>
                              <w:r>
                                <w:rPr>
                                  <w:rFonts w:ascii="Calibri" w:hAnsi="Calibri" w:eastAsia="Calibri" w:cs="Times New Roman"/>
                                  <w:b/>
                                  <w:sz w:val="40"/>
                                  <w:szCs w:val="40"/>
                                </w:rPr>
                                <w:t xml:space="preserve">Strengthening the U.S. Response to Resistant </w:t>
                              </w:r>
                              <w:proofErr w:type="spellStart"/>
                              <w:r>
                                <w:rPr>
                                  <w:rFonts w:ascii="Calibri" w:hAnsi="Calibri" w:eastAsia="Calibri" w:cs="Times New Roman"/>
                                  <w:b/>
                                  <w:sz w:val="40"/>
                                  <w:szCs w:val="40"/>
                                </w:rPr>
                                <w:t>Gonorrhea</w:t>
                              </w:r>
                              <w:proofErr w:type="spellEnd"/>
                              <w:r>
                                <w:rPr>
                                  <w:rFonts w:ascii="Calibri" w:hAnsi="Calibri" w:eastAsia="Calibri" w:cs="Times New Roman"/>
                                  <w:b/>
                                  <w:sz w:val="40"/>
                                  <w:szCs w:val="40"/>
                                </w:rPr>
                                <w:t xml:space="preserve"> (SURRG) Protocol</w:t>
                              </w:r>
                            </w:sdtContent>
                          </w:sdt>
                        </w:p>
                        <w:p w:rsidR="00764011" w:rsidRDefault="00764011" w14:paraId="118BE230" w14:textId="5C0D7431">
                          <w:pPr>
                            <w:pStyle w:val="NoSpacing"/>
                            <w:spacing w:before="80" w:after="40"/>
                            <w:rPr>
                              <w:caps/>
                              <w:color w:val="5AA2AE" w:themeColor="accent5"/>
                              <w:sz w:val="24"/>
                              <w:szCs w:val="24"/>
                            </w:rPr>
                          </w:pPr>
                        </w:p>
                      </w:txbxContent>
                    </v:textbox>
                    <w10:wrap type="square" anchorx="margin" anchory="page"/>
                  </v:shape>
                </w:pict>
              </mc:Fallback>
            </mc:AlternateContent>
          </w:r>
          <w:r w:rsidRPr="00F038C1">
            <w:rPr>
              <w:noProof/>
              <w:sz w:val="36"/>
              <w:szCs w:val="36"/>
              <w:lang w:val="en-US" w:eastAsia="en-US"/>
            </w:rPr>
            <w:drawing>
              <wp:inline distT="0" distB="0" distL="0" distR="0" wp14:anchorId="2A8B8996" wp14:editId="088463F5">
                <wp:extent cx="4762500" cy="866775"/>
                <wp:effectExtent l="0" t="0" r="0" b="9525"/>
                <wp:docPr id="5" name="Picture 5" descr="C:\Users\uzx1\Pictures\SURR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x1\Pictures\SURRG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866775"/>
                        </a:xfrm>
                        <a:prstGeom prst="rect">
                          <a:avLst/>
                        </a:prstGeom>
                        <a:noFill/>
                        <a:ln>
                          <a:noFill/>
                        </a:ln>
                      </pic:spPr>
                    </pic:pic>
                  </a:graphicData>
                </a:graphic>
              </wp:inline>
            </w:drawing>
          </w:r>
          <w:r w:rsidR="000F0803">
            <w:rPr>
              <w:noProof/>
              <w:lang w:val="en-US" w:eastAsia="en-US"/>
            </w:rPr>
            <mc:AlternateContent>
              <mc:Choice Requires="wps">
                <w:drawing>
                  <wp:anchor distT="0" distB="0" distL="114300" distR="114300" simplePos="0" relativeHeight="251659264" behindDoc="0" locked="0" layoutInCell="1" allowOverlap="1" wp14:editId="33E1F50C" wp14:anchorId="57D224F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279687040"/>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rsidRPr="000F0803" w:rsidR="00764011" w:rsidRDefault="00764011" w14:paraId="1312249A" w14:textId="1380F974">
                                    <w:pPr>
                                      <w:pStyle w:val="NoSpacing"/>
                                      <w:jc w:val="right"/>
                                      <w:rPr>
                                        <w:color w:val="FFFFFF" w:themeColor="background1"/>
                                        <w:sz w:val="24"/>
                                        <w:szCs w:val="24"/>
                                      </w:rPr>
                                    </w:pPr>
                                    <w:r>
                                      <w:rPr>
                                        <w:color w:val="FFFFFF" w:themeColor="background1"/>
                                        <w:sz w:val="24"/>
                                        <w:szCs w:val="24"/>
                                        <w:lang w:val="en-US"/>
                                      </w:rPr>
                                      <w:t>202</w:t>
                                    </w:r>
                                    <w:r w:rsidR="004566E4">
                                      <w:rPr>
                                        <w:color w:val="FFFFFF" w:themeColor="background1"/>
                                        <w:sz w:val="24"/>
                                        <w:szCs w:val="24"/>
                                        <w:lang w:val="en-US"/>
                                      </w:rPr>
                                      <w:t>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27" fillcolor="#4a66ac [3204]" stroked="f" strokeweight="2pt" w14:anchorId="57D22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">
                    <o:lock v:ext="edit" aspectratio="t"/>
                    <v:textbox inset="3.6pt,,3.6pt">
                      <w:txbxContent>
                        <w:sdt>
                          <w:sdtPr>
                            <w:rPr>
                              <w:color w:val="FFFFFF" w:themeColor="background1"/>
                              <w:sz w:val="24"/>
                              <w:szCs w:val="24"/>
                            </w:rPr>
                            <w:alias w:val="Year"/>
                            <w:tag w:val=""/>
                            <w:id w:val="279687040"/>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rsidRPr="000F0803" w:rsidR="00764011" w:rsidRDefault="00764011" w14:paraId="1312249A" w14:textId="1380F974">
                              <w:pPr>
                                <w:pStyle w:val="NoSpacing"/>
                                <w:jc w:val="right"/>
                                <w:rPr>
                                  <w:color w:val="FFFFFF" w:themeColor="background1"/>
                                  <w:sz w:val="24"/>
                                  <w:szCs w:val="24"/>
                                </w:rPr>
                              </w:pPr>
                              <w:r>
                                <w:rPr>
                                  <w:color w:val="FFFFFF" w:themeColor="background1"/>
                                  <w:sz w:val="24"/>
                                  <w:szCs w:val="24"/>
                                  <w:lang w:val="en-US"/>
                                </w:rPr>
                                <w:t>202</w:t>
                              </w:r>
                              <w:r w:rsidR="004566E4">
                                <w:rPr>
                                  <w:color w:val="FFFFFF" w:themeColor="background1"/>
                                  <w:sz w:val="24"/>
                                  <w:szCs w:val="24"/>
                                  <w:lang w:val="en-US"/>
                                </w:rPr>
                                <w:t>1</w:t>
                              </w:r>
                            </w:p>
                          </w:sdtContent>
                        </w:sdt>
                      </w:txbxContent>
                    </v:textbox>
                    <w10:wrap anchorx="margin" anchory="page"/>
                  </v:rect>
                </w:pict>
              </mc:Fallback>
            </mc:AlternateContent>
          </w:r>
          <w:r w:rsidR="000F0803">
            <w:rPr>
              <w:sz w:val="36"/>
              <w:szCs w:val="36"/>
            </w:rPr>
            <w:br w:type="page"/>
          </w:r>
        </w:p>
      </w:sdtContent>
    </w:sdt>
    <w:p w:rsidR="00D31841" w:rsidP="00D31841" w:rsidRDefault="00D31841" w14:paraId="1F29C220" w14:textId="14318071">
      <w:pPr>
        <w:jc w:val="center"/>
        <w:rPr>
          <w:rFonts w:asciiTheme="majorHAnsi" w:hAnsiTheme="majorHAnsi" w:eastAsiaTheme="majorEastAsia" w:cstheme="majorBidi"/>
          <w:color w:val="374C80" w:themeColor="accent1" w:themeShade="BF"/>
          <w:sz w:val="36"/>
          <w:szCs w:val="36"/>
        </w:rPr>
      </w:pPr>
      <w:bookmarkStart w:name="_Toc408480434" w:id="0"/>
      <w:r>
        <w:lastRenderedPageBreak/>
        <w:t>This page intentionally left blank</w:t>
      </w:r>
    </w:p>
    <w:p w:rsidR="00D31841" w:rsidRDefault="00D31841" w14:paraId="429EB795" w14:textId="77777777">
      <w:pPr>
        <w:rPr>
          <w:rFonts w:asciiTheme="majorHAnsi" w:hAnsiTheme="majorHAnsi" w:eastAsiaTheme="majorEastAsia" w:cstheme="majorBidi"/>
          <w:color w:val="374C80" w:themeColor="accent1" w:themeShade="BF"/>
          <w:sz w:val="36"/>
          <w:szCs w:val="36"/>
        </w:rPr>
      </w:pPr>
      <w:r>
        <w:br w:type="page"/>
      </w:r>
    </w:p>
    <w:p w:rsidRPr="00E95701" w:rsidR="00CC7157" w:rsidP="000F0803" w:rsidRDefault="008315D3" w14:paraId="4517E116" w14:textId="4A192B4B">
      <w:pPr>
        <w:pStyle w:val="Heading1"/>
      </w:pPr>
      <w:r w:rsidRPr="00E95701">
        <w:lastRenderedPageBreak/>
        <w:t xml:space="preserve">Introduction &amp; </w:t>
      </w:r>
      <w:r w:rsidRPr="00E95701" w:rsidR="005C76A4">
        <w:t xml:space="preserve">Project </w:t>
      </w:r>
      <w:r w:rsidRPr="00E95701" w:rsidR="00CC7157">
        <w:t>Summary</w:t>
      </w:r>
      <w:bookmarkEnd w:id="0"/>
    </w:p>
    <w:p w:rsidR="003268BB" w:rsidP="001D40B3" w:rsidRDefault="003268BB" w14:paraId="3F927F9F" w14:textId="77777777">
      <w:pPr>
        <w:contextualSpacing/>
        <w:rPr>
          <w:sz w:val="22"/>
          <w:szCs w:val="22"/>
        </w:rPr>
      </w:pPr>
    </w:p>
    <w:p w:rsidR="001D40B3" w:rsidP="001D40B3" w:rsidRDefault="001D40B3" w14:paraId="7A44B6C5" w14:textId="243C7CF5">
      <w:pPr>
        <w:contextualSpacing/>
        <w:rPr>
          <w:sz w:val="22"/>
          <w:szCs w:val="22"/>
        </w:rPr>
      </w:pPr>
      <w:proofErr w:type="spellStart"/>
      <w:r>
        <w:rPr>
          <w:sz w:val="22"/>
          <w:szCs w:val="22"/>
        </w:rPr>
        <w:t>Gonorrhea</w:t>
      </w:r>
      <w:proofErr w:type="spellEnd"/>
      <w:r w:rsidR="003750D4">
        <w:rPr>
          <w:sz w:val="22"/>
          <w:szCs w:val="22"/>
        </w:rPr>
        <w:t xml:space="preserve"> </w:t>
      </w:r>
      <w:r>
        <w:rPr>
          <w:sz w:val="22"/>
          <w:szCs w:val="22"/>
        </w:rPr>
        <w:t xml:space="preserve">is a sexually transmitted disease (STD) caused by the bacterium </w:t>
      </w:r>
      <w:r w:rsidRPr="002741A0">
        <w:rPr>
          <w:i/>
          <w:sz w:val="22"/>
          <w:szCs w:val="22"/>
        </w:rPr>
        <w:t>Neisseria gonorrhoeae</w:t>
      </w:r>
      <w:r w:rsidR="00764011">
        <w:rPr>
          <w:i/>
          <w:sz w:val="22"/>
          <w:szCs w:val="22"/>
        </w:rPr>
        <w:t xml:space="preserve">. </w:t>
      </w:r>
      <w:r>
        <w:rPr>
          <w:sz w:val="22"/>
          <w:szCs w:val="22"/>
        </w:rPr>
        <w:t>Whereas</w:t>
      </w:r>
      <w:r w:rsidR="00B7259A">
        <w:rPr>
          <w:sz w:val="22"/>
          <w:szCs w:val="22"/>
        </w:rPr>
        <w:t xml:space="preserve"> infections occurring in the</w:t>
      </w:r>
      <w:r>
        <w:rPr>
          <w:sz w:val="22"/>
          <w:szCs w:val="22"/>
        </w:rPr>
        <w:t xml:space="preserve"> urethra</w:t>
      </w:r>
      <w:r w:rsidR="00DA4CE2">
        <w:rPr>
          <w:sz w:val="22"/>
          <w:szCs w:val="22"/>
        </w:rPr>
        <w:t xml:space="preserve"> </w:t>
      </w:r>
      <w:r>
        <w:rPr>
          <w:sz w:val="22"/>
          <w:szCs w:val="22"/>
        </w:rPr>
        <w:t>are</w:t>
      </w:r>
      <w:r w:rsidR="00DA4CE2">
        <w:rPr>
          <w:sz w:val="22"/>
          <w:szCs w:val="22"/>
        </w:rPr>
        <w:t xml:space="preserve"> often</w:t>
      </w:r>
      <w:r>
        <w:rPr>
          <w:sz w:val="22"/>
          <w:szCs w:val="22"/>
        </w:rPr>
        <w:t xml:space="preserve"> associated with profuse discharge and painful urination, cervical, pharyngeal, and rectal infections are often asymptomatic. In </w:t>
      </w:r>
      <w:r w:rsidR="00B7259A">
        <w:rPr>
          <w:sz w:val="22"/>
          <w:szCs w:val="22"/>
        </w:rPr>
        <w:t xml:space="preserve">cisgender </w:t>
      </w:r>
      <w:r>
        <w:rPr>
          <w:sz w:val="22"/>
          <w:szCs w:val="22"/>
        </w:rPr>
        <w:t xml:space="preserve">women, </w:t>
      </w:r>
      <w:r w:rsidR="00DA4CE2">
        <w:rPr>
          <w:sz w:val="22"/>
          <w:szCs w:val="22"/>
        </w:rPr>
        <w:t xml:space="preserve">untreated </w:t>
      </w:r>
      <w:proofErr w:type="spellStart"/>
      <w:r>
        <w:rPr>
          <w:sz w:val="22"/>
          <w:szCs w:val="22"/>
        </w:rPr>
        <w:t>gonorrhea</w:t>
      </w:r>
      <w:proofErr w:type="spellEnd"/>
      <w:r>
        <w:rPr>
          <w:sz w:val="22"/>
          <w:szCs w:val="22"/>
        </w:rPr>
        <w:t xml:space="preserve"> is a major cause of pelvic inflammatory disease, which can in turn lead to sever</w:t>
      </w:r>
      <w:r w:rsidR="007A73C2">
        <w:rPr>
          <w:sz w:val="22"/>
          <w:szCs w:val="22"/>
        </w:rPr>
        <w:t>e</w:t>
      </w:r>
      <w:r>
        <w:rPr>
          <w:sz w:val="22"/>
          <w:szCs w:val="22"/>
        </w:rPr>
        <w:t xml:space="preserve"> reproductive health complications</w:t>
      </w:r>
      <w:r w:rsidR="00B7259A">
        <w:rPr>
          <w:sz w:val="22"/>
          <w:szCs w:val="22"/>
        </w:rPr>
        <w:t xml:space="preserve">, </w:t>
      </w:r>
      <w:r>
        <w:rPr>
          <w:sz w:val="22"/>
          <w:szCs w:val="22"/>
        </w:rPr>
        <w:t>such as ectopic pregnancy and infertility. Infrequently,</w:t>
      </w:r>
      <w:r w:rsidR="00DA4CE2">
        <w:rPr>
          <w:sz w:val="22"/>
          <w:szCs w:val="22"/>
        </w:rPr>
        <w:t xml:space="preserve"> </w:t>
      </w:r>
      <w:proofErr w:type="spellStart"/>
      <w:r w:rsidR="00DA4CE2">
        <w:rPr>
          <w:sz w:val="22"/>
          <w:szCs w:val="22"/>
        </w:rPr>
        <w:t>gonorrhea</w:t>
      </w:r>
      <w:proofErr w:type="spellEnd"/>
      <w:r w:rsidR="00DA4CE2">
        <w:rPr>
          <w:sz w:val="22"/>
          <w:szCs w:val="22"/>
        </w:rPr>
        <w:t xml:space="preserve"> can lead to</w:t>
      </w:r>
      <w:r>
        <w:rPr>
          <w:sz w:val="22"/>
          <w:szCs w:val="22"/>
        </w:rPr>
        <w:t xml:space="preserve"> blood-stream infections (disseminat</w:t>
      </w:r>
      <w:r w:rsidR="00DA4CE2">
        <w:rPr>
          <w:sz w:val="22"/>
          <w:szCs w:val="22"/>
        </w:rPr>
        <w:t xml:space="preserve">ed gonococcal infections) and </w:t>
      </w:r>
      <w:r>
        <w:rPr>
          <w:sz w:val="22"/>
          <w:szCs w:val="22"/>
        </w:rPr>
        <w:t xml:space="preserve">septic arthritis, endocarditis, and meningitis. </w:t>
      </w:r>
      <w:proofErr w:type="spellStart"/>
      <w:r>
        <w:rPr>
          <w:sz w:val="22"/>
          <w:szCs w:val="22"/>
        </w:rPr>
        <w:t>Gonorrhea</w:t>
      </w:r>
      <w:proofErr w:type="spellEnd"/>
      <w:r w:rsidR="00B7259A">
        <w:rPr>
          <w:sz w:val="22"/>
          <w:szCs w:val="22"/>
        </w:rPr>
        <w:t xml:space="preserve"> </w:t>
      </w:r>
      <w:r>
        <w:rPr>
          <w:sz w:val="22"/>
          <w:szCs w:val="22"/>
        </w:rPr>
        <w:t>increase</w:t>
      </w:r>
      <w:r w:rsidR="00B7259A">
        <w:rPr>
          <w:sz w:val="22"/>
          <w:szCs w:val="22"/>
        </w:rPr>
        <w:t>s</w:t>
      </w:r>
      <w:r>
        <w:rPr>
          <w:sz w:val="22"/>
          <w:szCs w:val="22"/>
        </w:rPr>
        <w:t xml:space="preserve"> the risk of sexual transmission of HIV. </w:t>
      </w:r>
    </w:p>
    <w:p w:rsidR="00143F5E" w:rsidP="00143F5E" w:rsidRDefault="00143F5E" w14:paraId="3FC8EE8D" w14:textId="77777777">
      <w:pPr>
        <w:contextualSpacing/>
        <w:rPr>
          <w:sz w:val="22"/>
          <w:szCs w:val="22"/>
        </w:rPr>
      </w:pPr>
    </w:p>
    <w:p w:rsidR="001D40B3" w:rsidP="001D40B3" w:rsidRDefault="00143F5E" w14:paraId="4E3867E7" w14:textId="09E81F82">
      <w:pPr>
        <w:contextualSpacing/>
        <w:rPr>
          <w:sz w:val="22"/>
          <w:szCs w:val="22"/>
        </w:rPr>
      </w:pPr>
      <w:proofErr w:type="spellStart"/>
      <w:r>
        <w:rPr>
          <w:sz w:val="22"/>
          <w:szCs w:val="22"/>
        </w:rPr>
        <w:t>Gonorrhea</w:t>
      </w:r>
      <w:proofErr w:type="spellEnd"/>
      <w:r>
        <w:rPr>
          <w:sz w:val="22"/>
          <w:szCs w:val="22"/>
        </w:rPr>
        <w:t xml:space="preserve"> is the second </w:t>
      </w:r>
      <w:proofErr w:type="gramStart"/>
      <w:r>
        <w:rPr>
          <w:sz w:val="22"/>
          <w:szCs w:val="22"/>
        </w:rPr>
        <w:t>most commonly reported</w:t>
      </w:r>
      <w:proofErr w:type="gramEnd"/>
      <w:r>
        <w:rPr>
          <w:sz w:val="22"/>
          <w:szCs w:val="22"/>
        </w:rPr>
        <w:t xml:space="preserve"> nationally notifiable disease in the United States</w:t>
      </w:r>
      <w:r w:rsidR="00B7259A">
        <w:rPr>
          <w:sz w:val="22"/>
          <w:szCs w:val="22"/>
        </w:rPr>
        <w:t>.</w:t>
      </w:r>
      <w:r>
        <w:rPr>
          <w:sz w:val="22"/>
          <w:szCs w:val="22"/>
        </w:rPr>
        <w:t xml:space="preserve"> in 201</w:t>
      </w:r>
      <w:r w:rsidR="00B7259A">
        <w:rPr>
          <w:sz w:val="22"/>
          <w:szCs w:val="22"/>
        </w:rPr>
        <w:t>8</w:t>
      </w:r>
      <w:r>
        <w:rPr>
          <w:sz w:val="22"/>
          <w:szCs w:val="22"/>
        </w:rPr>
        <w:t xml:space="preserve">, over </w:t>
      </w:r>
      <w:r w:rsidR="00B7259A">
        <w:rPr>
          <w:sz w:val="22"/>
          <w:szCs w:val="22"/>
        </w:rPr>
        <w:t>58</w:t>
      </w:r>
      <w:r>
        <w:rPr>
          <w:sz w:val="22"/>
          <w:szCs w:val="22"/>
        </w:rPr>
        <w:t xml:space="preserve">0,000 cases were reported to the </w:t>
      </w:r>
      <w:proofErr w:type="spellStart"/>
      <w:r>
        <w:rPr>
          <w:sz w:val="22"/>
          <w:szCs w:val="22"/>
        </w:rPr>
        <w:t>Centers</w:t>
      </w:r>
      <w:proofErr w:type="spellEnd"/>
      <w:r>
        <w:rPr>
          <w:sz w:val="22"/>
          <w:szCs w:val="22"/>
        </w:rPr>
        <w:t xml:space="preserve"> for Disease Control and Prevention (CDC). In the United States, rates are highest among adolescents and young adults, among racial and ethnic minorities, and in the Southern US. Rates also appear be increasing among gay, bisexual, and other men who have sex with men (MSM). As a notifiable disease, s</w:t>
      </w:r>
      <w:r w:rsidR="001D40B3">
        <w:rPr>
          <w:sz w:val="22"/>
          <w:szCs w:val="22"/>
        </w:rPr>
        <w:t xml:space="preserve">tate and local health departments have authority to conduct surveillance of </w:t>
      </w:r>
      <w:proofErr w:type="spellStart"/>
      <w:r w:rsidR="00DA4CE2">
        <w:rPr>
          <w:sz w:val="22"/>
          <w:szCs w:val="22"/>
        </w:rPr>
        <w:t>gonorrhea</w:t>
      </w:r>
      <w:proofErr w:type="spellEnd"/>
      <w:r w:rsidR="001D40B3">
        <w:rPr>
          <w:sz w:val="22"/>
          <w:szCs w:val="22"/>
        </w:rPr>
        <w:t xml:space="preserve"> and collect patient-level data about persons </w:t>
      </w:r>
      <w:r w:rsidR="00B7259A">
        <w:rPr>
          <w:sz w:val="22"/>
          <w:szCs w:val="22"/>
        </w:rPr>
        <w:t xml:space="preserve">diagnosed </w:t>
      </w:r>
      <w:r w:rsidR="001D40B3">
        <w:rPr>
          <w:sz w:val="22"/>
          <w:szCs w:val="22"/>
        </w:rPr>
        <w:t xml:space="preserve">with </w:t>
      </w:r>
      <w:proofErr w:type="spellStart"/>
      <w:r w:rsidR="001D40B3">
        <w:rPr>
          <w:sz w:val="22"/>
          <w:szCs w:val="22"/>
        </w:rPr>
        <w:t>gonorrhea</w:t>
      </w:r>
      <w:proofErr w:type="spellEnd"/>
      <w:r w:rsidR="001D40B3">
        <w:rPr>
          <w:sz w:val="22"/>
          <w:szCs w:val="22"/>
        </w:rPr>
        <w:t xml:space="preserve">. </w:t>
      </w:r>
    </w:p>
    <w:p w:rsidR="001D40B3" w:rsidP="00E95701" w:rsidRDefault="001D40B3" w14:paraId="64F6D831" w14:textId="77777777">
      <w:pPr>
        <w:autoSpaceDE w:val="0"/>
        <w:autoSpaceDN w:val="0"/>
        <w:adjustRightInd w:val="0"/>
        <w:spacing w:after="0" w:line="240" w:lineRule="auto"/>
        <w:rPr>
          <w:rFonts w:ascii="Calibri" w:hAnsi="Calibri"/>
          <w:sz w:val="22"/>
          <w:szCs w:val="22"/>
        </w:rPr>
      </w:pPr>
    </w:p>
    <w:p w:rsidR="00425D11" w:rsidP="00425D11" w:rsidRDefault="00425D11" w14:paraId="271F49DE" w14:textId="683EBE84">
      <w:pPr>
        <w:contextualSpacing/>
        <w:rPr>
          <w:sz w:val="22"/>
          <w:szCs w:val="22"/>
        </w:rPr>
      </w:pPr>
      <w:r>
        <w:rPr>
          <w:sz w:val="22"/>
          <w:szCs w:val="22"/>
        </w:rPr>
        <w:t xml:space="preserve">Rapid detection and effective treatment of </w:t>
      </w:r>
      <w:proofErr w:type="spellStart"/>
      <w:r>
        <w:rPr>
          <w:sz w:val="22"/>
          <w:szCs w:val="22"/>
        </w:rPr>
        <w:t>gonorrhea</w:t>
      </w:r>
      <w:proofErr w:type="spellEnd"/>
      <w:r>
        <w:rPr>
          <w:sz w:val="22"/>
          <w:szCs w:val="22"/>
        </w:rPr>
        <w:t xml:space="preserve"> is a cornerstone of public health </w:t>
      </w:r>
      <w:r w:rsidR="00143F5E">
        <w:rPr>
          <w:sz w:val="22"/>
          <w:szCs w:val="22"/>
        </w:rPr>
        <w:t xml:space="preserve">prevention and </w:t>
      </w:r>
      <w:r>
        <w:rPr>
          <w:sz w:val="22"/>
          <w:szCs w:val="22"/>
        </w:rPr>
        <w:t xml:space="preserve">control </w:t>
      </w:r>
      <w:r w:rsidR="00143F5E">
        <w:rPr>
          <w:sz w:val="22"/>
          <w:szCs w:val="22"/>
        </w:rPr>
        <w:t>efforts</w:t>
      </w:r>
      <w:r>
        <w:rPr>
          <w:sz w:val="22"/>
          <w:szCs w:val="22"/>
        </w:rPr>
        <w:t xml:space="preserve">. However, treatment of </w:t>
      </w:r>
      <w:proofErr w:type="spellStart"/>
      <w:r>
        <w:rPr>
          <w:sz w:val="22"/>
          <w:szCs w:val="22"/>
        </w:rPr>
        <w:t>gonorrhea</w:t>
      </w:r>
      <w:proofErr w:type="spellEnd"/>
      <w:r>
        <w:rPr>
          <w:sz w:val="22"/>
          <w:szCs w:val="22"/>
        </w:rPr>
        <w:t xml:space="preserve"> has been complicated by </w:t>
      </w:r>
      <w:r w:rsidR="00B7259A">
        <w:rPr>
          <w:sz w:val="22"/>
          <w:szCs w:val="22"/>
        </w:rPr>
        <w:t>the ability</w:t>
      </w:r>
      <w:r>
        <w:rPr>
          <w:sz w:val="22"/>
          <w:szCs w:val="22"/>
        </w:rPr>
        <w:t xml:space="preserve"> </w:t>
      </w:r>
      <w:r w:rsidR="00B7259A">
        <w:rPr>
          <w:sz w:val="22"/>
          <w:szCs w:val="22"/>
        </w:rPr>
        <w:t xml:space="preserve">of </w:t>
      </w:r>
      <w:r w:rsidRPr="00B7259A" w:rsidR="00B7259A">
        <w:rPr>
          <w:i/>
          <w:iCs/>
          <w:sz w:val="22"/>
          <w:szCs w:val="22"/>
        </w:rPr>
        <w:t>N. gonorrhoeae</w:t>
      </w:r>
      <w:r w:rsidR="00B7259A">
        <w:rPr>
          <w:sz w:val="22"/>
          <w:szCs w:val="22"/>
        </w:rPr>
        <w:t xml:space="preserve"> </w:t>
      </w:r>
      <w:r>
        <w:rPr>
          <w:sz w:val="22"/>
          <w:szCs w:val="22"/>
        </w:rPr>
        <w:t xml:space="preserve">to </w:t>
      </w:r>
      <w:r w:rsidR="00DA4CE2">
        <w:rPr>
          <w:sz w:val="22"/>
          <w:szCs w:val="22"/>
        </w:rPr>
        <w:t xml:space="preserve">rapidly </w:t>
      </w:r>
      <w:r>
        <w:rPr>
          <w:sz w:val="22"/>
          <w:szCs w:val="22"/>
        </w:rPr>
        <w:t xml:space="preserve">develop antimicrobial resistance. </w:t>
      </w:r>
      <w:r w:rsidRPr="002741A0">
        <w:rPr>
          <w:i/>
          <w:sz w:val="22"/>
          <w:szCs w:val="22"/>
        </w:rPr>
        <w:t>Neisseria gonorrhoeae</w:t>
      </w:r>
      <w:r>
        <w:rPr>
          <w:sz w:val="22"/>
          <w:szCs w:val="22"/>
        </w:rPr>
        <w:t xml:space="preserve"> has develop</w:t>
      </w:r>
      <w:r w:rsidR="00B7259A">
        <w:rPr>
          <w:sz w:val="22"/>
          <w:szCs w:val="22"/>
        </w:rPr>
        <w:t>ed</w:t>
      </w:r>
      <w:r>
        <w:rPr>
          <w:sz w:val="22"/>
          <w:szCs w:val="22"/>
        </w:rPr>
        <w:t xml:space="preserve"> resistance to each antimicrobial recommended for therapy, including penicillin, tetracycline, and fluoroquinolones, necessitating sequential changes in treatment guidelines. Following the emergence of fluoroquinolone</w:t>
      </w:r>
      <w:r w:rsidR="00143F5E">
        <w:rPr>
          <w:sz w:val="22"/>
          <w:szCs w:val="22"/>
        </w:rPr>
        <w:t>-</w:t>
      </w:r>
      <w:r>
        <w:rPr>
          <w:sz w:val="22"/>
          <w:szCs w:val="22"/>
        </w:rPr>
        <w:t>resista</w:t>
      </w:r>
      <w:r w:rsidR="00DA4CE2">
        <w:rPr>
          <w:sz w:val="22"/>
          <w:szCs w:val="22"/>
        </w:rPr>
        <w:t xml:space="preserve">nt </w:t>
      </w:r>
      <w:proofErr w:type="spellStart"/>
      <w:r w:rsidR="00DA4CE2">
        <w:rPr>
          <w:sz w:val="22"/>
          <w:szCs w:val="22"/>
        </w:rPr>
        <w:t>gonorrhea</w:t>
      </w:r>
      <w:proofErr w:type="spellEnd"/>
      <w:r>
        <w:rPr>
          <w:sz w:val="22"/>
          <w:szCs w:val="22"/>
        </w:rPr>
        <w:t xml:space="preserve"> during the 2000s</w:t>
      </w:r>
      <w:r w:rsidR="00B7259A">
        <w:rPr>
          <w:sz w:val="22"/>
          <w:szCs w:val="22"/>
        </w:rPr>
        <w:t xml:space="preserve"> and </w:t>
      </w:r>
      <w:r>
        <w:rPr>
          <w:sz w:val="22"/>
          <w:szCs w:val="22"/>
        </w:rPr>
        <w:t>decline</w:t>
      </w:r>
      <w:r w:rsidR="001B3FDE">
        <w:rPr>
          <w:sz w:val="22"/>
          <w:szCs w:val="22"/>
        </w:rPr>
        <w:t>s</w:t>
      </w:r>
      <w:r>
        <w:rPr>
          <w:sz w:val="22"/>
          <w:szCs w:val="22"/>
        </w:rPr>
        <w:t xml:space="preserve"> in </w:t>
      </w:r>
      <w:r w:rsidR="00143F5E">
        <w:rPr>
          <w:sz w:val="22"/>
          <w:szCs w:val="22"/>
        </w:rPr>
        <w:t xml:space="preserve">cefixime </w:t>
      </w:r>
      <w:r w:rsidR="00B7259A">
        <w:rPr>
          <w:sz w:val="22"/>
          <w:szCs w:val="22"/>
        </w:rPr>
        <w:t xml:space="preserve">and azithromycin </w:t>
      </w:r>
      <w:r w:rsidR="00143F5E">
        <w:rPr>
          <w:sz w:val="22"/>
          <w:szCs w:val="22"/>
        </w:rPr>
        <w:t>susceptibility</w:t>
      </w:r>
      <w:r>
        <w:rPr>
          <w:sz w:val="22"/>
          <w:szCs w:val="22"/>
        </w:rPr>
        <w:t xml:space="preserve">, CDC </w:t>
      </w:r>
      <w:r w:rsidRPr="00CA1577">
        <w:rPr>
          <w:sz w:val="22"/>
          <w:szCs w:val="22"/>
        </w:rPr>
        <w:t xml:space="preserve">currently recommends </w:t>
      </w:r>
      <w:r w:rsidR="00DA4CE2">
        <w:rPr>
          <w:sz w:val="22"/>
          <w:szCs w:val="22"/>
        </w:rPr>
        <w:t xml:space="preserve">a single dose of </w:t>
      </w:r>
      <w:r w:rsidRPr="00F17AA9">
        <w:rPr>
          <w:sz w:val="22"/>
          <w:szCs w:val="22"/>
        </w:rPr>
        <w:t xml:space="preserve">injectable </w:t>
      </w:r>
      <w:r w:rsidRPr="00867673">
        <w:rPr>
          <w:sz w:val="22"/>
          <w:szCs w:val="22"/>
        </w:rPr>
        <w:t xml:space="preserve">ceftriaxone. </w:t>
      </w:r>
      <w:r w:rsidR="00143F5E">
        <w:rPr>
          <w:sz w:val="22"/>
          <w:szCs w:val="22"/>
        </w:rPr>
        <w:t>R</w:t>
      </w:r>
      <w:r w:rsidR="002E1391">
        <w:rPr>
          <w:sz w:val="22"/>
          <w:szCs w:val="22"/>
        </w:rPr>
        <w:t>ecent s</w:t>
      </w:r>
      <w:r w:rsidRPr="00867673">
        <w:rPr>
          <w:sz w:val="22"/>
          <w:szCs w:val="22"/>
        </w:rPr>
        <w:t xml:space="preserve">urveillance data </w:t>
      </w:r>
      <w:r w:rsidR="00143F5E">
        <w:rPr>
          <w:sz w:val="22"/>
          <w:szCs w:val="22"/>
        </w:rPr>
        <w:t>suggest</w:t>
      </w:r>
      <w:r w:rsidRPr="00867673">
        <w:rPr>
          <w:sz w:val="22"/>
          <w:szCs w:val="22"/>
        </w:rPr>
        <w:t xml:space="preserve"> that susceptibility to </w:t>
      </w:r>
      <w:r w:rsidR="002E1391">
        <w:rPr>
          <w:sz w:val="22"/>
          <w:szCs w:val="22"/>
        </w:rPr>
        <w:t xml:space="preserve">ceftriaxone </w:t>
      </w:r>
      <w:r w:rsidR="00143F5E">
        <w:rPr>
          <w:sz w:val="22"/>
          <w:szCs w:val="22"/>
        </w:rPr>
        <w:t>may be</w:t>
      </w:r>
      <w:r w:rsidR="002E1391">
        <w:rPr>
          <w:sz w:val="22"/>
          <w:szCs w:val="22"/>
        </w:rPr>
        <w:t xml:space="preserve"> declin</w:t>
      </w:r>
      <w:r w:rsidRPr="00867673">
        <w:rPr>
          <w:sz w:val="22"/>
          <w:szCs w:val="22"/>
        </w:rPr>
        <w:t xml:space="preserve">ing. </w:t>
      </w:r>
      <w:r w:rsidRPr="002741A0">
        <w:rPr>
          <w:sz w:val="22"/>
          <w:szCs w:val="22"/>
        </w:rPr>
        <w:t xml:space="preserve">Widespread </w:t>
      </w:r>
      <w:r w:rsidRPr="00CA1577">
        <w:rPr>
          <w:sz w:val="22"/>
          <w:szCs w:val="22"/>
        </w:rPr>
        <w:t xml:space="preserve">emergence of </w:t>
      </w:r>
      <w:r w:rsidR="00B7259A">
        <w:rPr>
          <w:sz w:val="22"/>
          <w:szCs w:val="22"/>
        </w:rPr>
        <w:t>ceftriaxone resistance</w:t>
      </w:r>
      <w:r w:rsidRPr="00CA1577">
        <w:rPr>
          <w:sz w:val="22"/>
          <w:szCs w:val="22"/>
        </w:rPr>
        <w:t xml:space="preserve"> could </w:t>
      </w:r>
      <w:r w:rsidR="00B7259A">
        <w:rPr>
          <w:sz w:val="22"/>
          <w:szCs w:val="22"/>
        </w:rPr>
        <w:t>substantially hinder</w:t>
      </w:r>
      <w:r w:rsidRPr="00F53A23">
        <w:rPr>
          <w:sz w:val="22"/>
          <w:szCs w:val="22"/>
        </w:rPr>
        <w:t xml:space="preserve"> </w:t>
      </w:r>
      <w:r w:rsidRPr="00F17AA9">
        <w:rPr>
          <w:sz w:val="22"/>
          <w:szCs w:val="22"/>
        </w:rPr>
        <w:t>treatment and control efforts</w:t>
      </w:r>
      <w:r>
        <w:rPr>
          <w:sz w:val="22"/>
          <w:szCs w:val="22"/>
        </w:rPr>
        <w:t xml:space="preserve">, increase </w:t>
      </w:r>
      <w:proofErr w:type="spellStart"/>
      <w:r w:rsidR="00B7259A">
        <w:rPr>
          <w:sz w:val="22"/>
          <w:szCs w:val="22"/>
        </w:rPr>
        <w:t>gonorrhea</w:t>
      </w:r>
      <w:proofErr w:type="spellEnd"/>
      <w:r w:rsidR="00B7259A">
        <w:rPr>
          <w:sz w:val="22"/>
          <w:szCs w:val="22"/>
        </w:rPr>
        <w:t xml:space="preserve"> </w:t>
      </w:r>
      <w:r>
        <w:rPr>
          <w:sz w:val="22"/>
          <w:szCs w:val="22"/>
        </w:rPr>
        <w:t xml:space="preserve">rates </w:t>
      </w:r>
      <w:r w:rsidR="00B7259A">
        <w:rPr>
          <w:sz w:val="22"/>
          <w:szCs w:val="22"/>
        </w:rPr>
        <w:t xml:space="preserve">and frequency of </w:t>
      </w:r>
      <w:r>
        <w:rPr>
          <w:sz w:val="22"/>
          <w:szCs w:val="22"/>
        </w:rPr>
        <w:t xml:space="preserve">complications, and contribute to </w:t>
      </w:r>
      <w:r w:rsidR="00143F5E">
        <w:rPr>
          <w:sz w:val="22"/>
          <w:szCs w:val="22"/>
        </w:rPr>
        <w:t xml:space="preserve">at least $235 million in </w:t>
      </w:r>
      <w:r>
        <w:rPr>
          <w:sz w:val="22"/>
          <w:szCs w:val="22"/>
        </w:rPr>
        <w:t xml:space="preserve">additional direct medical costs. </w:t>
      </w:r>
      <w:r w:rsidR="00F3329F">
        <w:rPr>
          <w:sz w:val="22"/>
          <w:szCs w:val="22"/>
        </w:rPr>
        <w:t xml:space="preserve">In the </w:t>
      </w:r>
      <w:hyperlink w:history="1" r:id="rId10">
        <w:r w:rsidRPr="00F3329F" w:rsidR="00F3329F">
          <w:rPr>
            <w:rStyle w:val="Hyperlink"/>
            <w:sz w:val="22"/>
            <w:szCs w:val="22"/>
          </w:rPr>
          <w:t>Antibiotic Resistance Threats in the United States, 2019</w:t>
        </w:r>
      </w:hyperlink>
      <w:r w:rsidR="00F3329F">
        <w:rPr>
          <w:sz w:val="22"/>
          <w:szCs w:val="22"/>
        </w:rPr>
        <w:t xml:space="preserve"> report, </w:t>
      </w:r>
      <w:r>
        <w:rPr>
          <w:sz w:val="22"/>
          <w:szCs w:val="22"/>
        </w:rPr>
        <w:t xml:space="preserve">CDC designated </w:t>
      </w:r>
      <w:r w:rsidR="009627C6">
        <w:rPr>
          <w:i/>
          <w:sz w:val="22"/>
          <w:szCs w:val="22"/>
        </w:rPr>
        <w:t xml:space="preserve">N. gonorrhoeae </w:t>
      </w:r>
      <w:r w:rsidR="00B7259A">
        <w:rPr>
          <w:sz w:val="22"/>
          <w:szCs w:val="22"/>
        </w:rPr>
        <w:t>as an</w:t>
      </w:r>
      <w:r>
        <w:rPr>
          <w:sz w:val="22"/>
          <w:szCs w:val="22"/>
        </w:rPr>
        <w:t xml:space="preserve"> “urgent” antimicrobial threat facing the United States. </w:t>
      </w:r>
    </w:p>
    <w:p w:rsidR="00BE1C31" w:rsidP="00E95701" w:rsidRDefault="00BE1C31" w14:paraId="2498DC64" w14:textId="77777777">
      <w:pPr>
        <w:autoSpaceDE w:val="0"/>
        <w:autoSpaceDN w:val="0"/>
        <w:adjustRightInd w:val="0"/>
        <w:spacing w:after="0" w:line="240" w:lineRule="auto"/>
        <w:rPr>
          <w:rFonts w:ascii="Calibri" w:hAnsi="Calibri"/>
          <w:sz w:val="22"/>
          <w:szCs w:val="22"/>
        </w:rPr>
      </w:pPr>
    </w:p>
    <w:p w:rsidR="0065400B" w:rsidP="0065400B" w:rsidRDefault="00D96327" w14:paraId="27A56116" w14:textId="259D1084">
      <w:pPr>
        <w:contextualSpacing/>
        <w:rPr>
          <w:sz w:val="22"/>
          <w:szCs w:val="22"/>
        </w:rPr>
      </w:pPr>
      <w:r>
        <w:rPr>
          <w:sz w:val="22"/>
          <w:szCs w:val="22"/>
        </w:rPr>
        <w:t xml:space="preserve">The </w:t>
      </w:r>
      <w:hyperlink w:history="1" r:id="rId11">
        <w:r w:rsidRPr="00F3329F">
          <w:rPr>
            <w:rStyle w:val="Hyperlink"/>
            <w:sz w:val="22"/>
            <w:szCs w:val="22"/>
          </w:rPr>
          <w:t>White House National Strategy</w:t>
        </w:r>
      </w:hyperlink>
      <w:r>
        <w:rPr>
          <w:sz w:val="22"/>
          <w:szCs w:val="22"/>
        </w:rPr>
        <w:t xml:space="preserve"> and </w:t>
      </w:r>
      <w:hyperlink w:history="1" r:id="rId12">
        <w:r w:rsidRPr="00567F26">
          <w:rPr>
            <w:rStyle w:val="Hyperlink"/>
            <w:sz w:val="22"/>
            <w:szCs w:val="22"/>
          </w:rPr>
          <w:t>Action Plan</w:t>
        </w:r>
      </w:hyperlink>
      <w:r>
        <w:rPr>
          <w:sz w:val="22"/>
          <w:szCs w:val="22"/>
        </w:rPr>
        <w:t xml:space="preserve"> for Combating Antibiotic-Resistant Bacteria (CARB) prominently featured the threat posed by resistant</w:t>
      </w:r>
      <w:r w:rsidR="0065400B">
        <w:rPr>
          <w:sz w:val="22"/>
          <w:szCs w:val="22"/>
        </w:rPr>
        <w:t xml:space="preserve"> </w:t>
      </w:r>
      <w:r w:rsidR="009627C6">
        <w:rPr>
          <w:i/>
          <w:sz w:val="22"/>
          <w:szCs w:val="22"/>
        </w:rPr>
        <w:t>N. gonorrhoeae</w:t>
      </w:r>
      <w:r w:rsidR="0065400B">
        <w:rPr>
          <w:sz w:val="22"/>
          <w:szCs w:val="22"/>
        </w:rPr>
        <w:t xml:space="preserve">. </w:t>
      </w:r>
      <w:r>
        <w:rPr>
          <w:sz w:val="22"/>
          <w:szCs w:val="22"/>
        </w:rPr>
        <w:t xml:space="preserve">The </w:t>
      </w:r>
      <w:r w:rsidR="00567F26">
        <w:rPr>
          <w:sz w:val="22"/>
          <w:szCs w:val="22"/>
        </w:rPr>
        <w:t>p</w:t>
      </w:r>
      <w:r>
        <w:rPr>
          <w:sz w:val="22"/>
          <w:szCs w:val="22"/>
        </w:rPr>
        <w:t xml:space="preserve">lans established a goal of slowing the emergence of and preventing the spread of resistant bacteria and set a target of maintenance of the </w:t>
      </w:r>
      <w:r w:rsidR="0065400B">
        <w:rPr>
          <w:sz w:val="22"/>
          <w:szCs w:val="22"/>
        </w:rPr>
        <w:t>prevalence of ceftriaxone-resistan</w:t>
      </w:r>
      <w:r>
        <w:rPr>
          <w:sz w:val="22"/>
          <w:szCs w:val="22"/>
        </w:rPr>
        <w:t>ce in</w:t>
      </w:r>
      <w:r w:rsidR="0065400B">
        <w:rPr>
          <w:sz w:val="22"/>
          <w:szCs w:val="22"/>
        </w:rPr>
        <w:t xml:space="preserve"> </w:t>
      </w:r>
      <w:r w:rsidR="009627C6">
        <w:rPr>
          <w:i/>
          <w:sz w:val="22"/>
          <w:szCs w:val="22"/>
        </w:rPr>
        <w:t xml:space="preserve">N. gonorrhoeae </w:t>
      </w:r>
      <w:r>
        <w:rPr>
          <w:sz w:val="22"/>
          <w:szCs w:val="22"/>
        </w:rPr>
        <w:t>at remain b</w:t>
      </w:r>
      <w:r w:rsidR="0065400B">
        <w:rPr>
          <w:sz w:val="22"/>
          <w:szCs w:val="22"/>
        </w:rPr>
        <w:t xml:space="preserve">elow 2% through 2020. </w:t>
      </w:r>
      <w:r>
        <w:rPr>
          <w:sz w:val="22"/>
          <w:szCs w:val="22"/>
        </w:rPr>
        <w:t>Using investments provided by Congress in 2017, CDC establish</w:t>
      </w:r>
      <w:r w:rsidR="00470AC2">
        <w:rPr>
          <w:sz w:val="22"/>
          <w:szCs w:val="22"/>
        </w:rPr>
        <w:t>ed</w:t>
      </w:r>
      <w:r>
        <w:rPr>
          <w:sz w:val="22"/>
          <w:szCs w:val="22"/>
        </w:rPr>
        <w:t xml:space="preserve"> </w:t>
      </w:r>
      <w:r w:rsidRPr="00E95701" w:rsidR="0065400B">
        <w:rPr>
          <w:rFonts w:ascii="Calibri" w:hAnsi="Calibri"/>
          <w:sz w:val="22"/>
          <w:szCs w:val="22"/>
        </w:rPr>
        <w:t xml:space="preserve">Strengthening U.S. Response to Resistant </w:t>
      </w:r>
      <w:proofErr w:type="spellStart"/>
      <w:r w:rsidRPr="00E95701" w:rsidR="0065400B">
        <w:rPr>
          <w:rFonts w:ascii="Calibri" w:hAnsi="Calibri"/>
          <w:sz w:val="22"/>
          <w:szCs w:val="22"/>
        </w:rPr>
        <w:t>Gonorrhea</w:t>
      </w:r>
      <w:proofErr w:type="spellEnd"/>
      <w:r w:rsidR="00E61745">
        <w:rPr>
          <w:rFonts w:ascii="Calibri" w:hAnsi="Calibri"/>
          <w:sz w:val="22"/>
          <w:szCs w:val="22"/>
        </w:rPr>
        <w:t xml:space="preserve"> (SURRG)</w:t>
      </w:r>
      <w:r w:rsidR="0065400B">
        <w:rPr>
          <w:rFonts w:ascii="Calibri" w:hAnsi="Calibri"/>
          <w:sz w:val="22"/>
          <w:szCs w:val="22"/>
        </w:rPr>
        <w:t xml:space="preserve"> </w:t>
      </w:r>
      <w:r w:rsidR="0065400B">
        <w:rPr>
          <w:sz w:val="22"/>
          <w:szCs w:val="22"/>
        </w:rPr>
        <w:t xml:space="preserve">is </w:t>
      </w:r>
      <w:r>
        <w:rPr>
          <w:sz w:val="22"/>
          <w:szCs w:val="22"/>
        </w:rPr>
        <w:t xml:space="preserve">to support the implementation of CARB and the achievement of the Action Plan goals and targets. The objective of SURRG is to </w:t>
      </w:r>
      <w:r w:rsidR="0065400B">
        <w:rPr>
          <w:sz w:val="22"/>
          <w:szCs w:val="22"/>
        </w:rPr>
        <w:t xml:space="preserve">prevent the spread of resistant infections by building local </w:t>
      </w:r>
      <w:r w:rsidR="00711ACA">
        <w:rPr>
          <w:sz w:val="22"/>
          <w:szCs w:val="22"/>
        </w:rPr>
        <w:t xml:space="preserve">laboratory, epidemiological, informatics, and programmatic </w:t>
      </w:r>
      <w:r w:rsidR="0065400B">
        <w:rPr>
          <w:sz w:val="22"/>
          <w:szCs w:val="22"/>
        </w:rPr>
        <w:t xml:space="preserve">capacity to rapidly detect and contain emerging </w:t>
      </w:r>
      <w:r w:rsidRPr="00257BCD" w:rsidR="00711ACA">
        <w:rPr>
          <w:i/>
          <w:sz w:val="22"/>
          <w:szCs w:val="22"/>
        </w:rPr>
        <w:t>N. gonorrhoeae</w:t>
      </w:r>
      <w:r w:rsidR="00711ACA">
        <w:rPr>
          <w:sz w:val="22"/>
          <w:szCs w:val="22"/>
        </w:rPr>
        <w:t xml:space="preserve"> </w:t>
      </w:r>
      <w:r w:rsidR="0065400B">
        <w:rPr>
          <w:sz w:val="22"/>
          <w:szCs w:val="22"/>
        </w:rPr>
        <w:t xml:space="preserve">resistance threats. </w:t>
      </w:r>
    </w:p>
    <w:p w:rsidR="0065400B" w:rsidP="00E95701" w:rsidRDefault="0065400B" w14:paraId="0E8A56D9" w14:textId="77777777">
      <w:pPr>
        <w:autoSpaceDE w:val="0"/>
        <w:autoSpaceDN w:val="0"/>
        <w:adjustRightInd w:val="0"/>
        <w:spacing w:after="0" w:line="240" w:lineRule="auto"/>
        <w:rPr>
          <w:rFonts w:ascii="Calibri" w:hAnsi="Calibri"/>
          <w:sz w:val="22"/>
          <w:szCs w:val="22"/>
        </w:rPr>
      </w:pPr>
    </w:p>
    <w:p w:rsidRPr="00DA2D69" w:rsidR="0077028C" w:rsidP="00DA2D69" w:rsidRDefault="0077028C" w14:paraId="14C30251" w14:textId="3E050851">
      <w:pPr>
        <w:contextualSpacing/>
        <w:rPr>
          <w:sz w:val="22"/>
          <w:szCs w:val="22"/>
        </w:rPr>
      </w:pPr>
      <w:r w:rsidRPr="00DA2D69">
        <w:rPr>
          <w:sz w:val="22"/>
          <w:szCs w:val="22"/>
        </w:rPr>
        <w:t xml:space="preserve">This project supports </w:t>
      </w:r>
      <w:hyperlink w:history="1" r:id="rId13">
        <w:r w:rsidRPr="00F3329F">
          <w:rPr>
            <w:rStyle w:val="Hyperlink"/>
            <w:sz w:val="22"/>
            <w:szCs w:val="22"/>
          </w:rPr>
          <w:t xml:space="preserve">Healthy </w:t>
        </w:r>
        <w:r w:rsidRPr="00F3329F" w:rsidR="00DB33CE">
          <w:rPr>
            <w:rStyle w:val="Hyperlink"/>
            <w:sz w:val="22"/>
            <w:szCs w:val="22"/>
          </w:rPr>
          <w:t xml:space="preserve">People </w:t>
        </w:r>
        <w:r w:rsidRPr="00F3329F">
          <w:rPr>
            <w:rStyle w:val="Hyperlink"/>
            <w:sz w:val="22"/>
            <w:szCs w:val="22"/>
          </w:rPr>
          <w:t>2020</w:t>
        </w:r>
      </w:hyperlink>
      <w:r w:rsidRPr="00DA2D69">
        <w:rPr>
          <w:sz w:val="22"/>
          <w:szCs w:val="22"/>
        </w:rPr>
        <w:t xml:space="preserve"> objectives to reduce </w:t>
      </w:r>
      <w:r w:rsidR="00DB33CE">
        <w:rPr>
          <w:sz w:val="22"/>
          <w:szCs w:val="22"/>
        </w:rPr>
        <w:t xml:space="preserve">gonorrhoea </w:t>
      </w:r>
      <w:r w:rsidRPr="00DA2D69">
        <w:rPr>
          <w:sz w:val="22"/>
          <w:szCs w:val="22"/>
        </w:rPr>
        <w:t>rates of among men and women aged 15</w:t>
      </w:r>
      <w:r w:rsidR="003750D4">
        <w:rPr>
          <w:sz w:val="22"/>
          <w:szCs w:val="22"/>
        </w:rPr>
        <w:t>–</w:t>
      </w:r>
      <w:r w:rsidRPr="00DA2D69">
        <w:rPr>
          <w:sz w:val="22"/>
          <w:szCs w:val="22"/>
        </w:rPr>
        <w:t>44 (Objectives STD-6.1 and STD-6.2) as well as to strengthen public health laboratory services to support diagnosing and investigating health hazards in the community, support emergency response, disease control and surveillance, and specialized testing (Objectives PHI-11.1-PHI-11.3; PHI-12.2-PHI-12.4; and PHI-12.6-PHI12.7)</w:t>
      </w:r>
      <w:r w:rsidR="00DB33CE">
        <w:rPr>
          <w:sz w:val="22"/>
          <w:szCs w:val="22"/>
        </w:rPr>
        <w:t xml:space="preserve">, and </w:t>
      </w:r>
      <w:r w:rsidRPr="00DA2D69">
        <w:rPr>
          <w:sz w:val="22"/>
          <w:szCs w:val="22"/>
        </w:rPr>
        <w:t>to assure comprehensive epidemiology services (Objective PHI-13.4)</w:t>
      </w:r>
      <w:r w:rsidR="00DB33CE">
        <w:rPr>
          <w:sz w:val="22"/>
          <w:szCs w:val="22"/>
        </w:rPr>
        <w:t xml:space="preserve">. This project aligns with </w:t>
      </w:r>
      <w:r w:rsidRPr="00DA2D69">
        <w:rPr>
          <w:sz w:val="22"/>
          <w:szCs w:val="22"/>
        </w:rPr>
        <w:t xml:space="preserve">two of the </w:t>
      </w:r>
      <w:r w:rsidRPr="00DA2D69" w:rsidR="005B357A">
        <w:rPr>
          <w:sz w:val="22"/>
          <w:szCs w:val="22"/>
        </w:rPr>
        <w:t xml:space="preserve">five </w:t>
      </w:r>
      <w:r w:rsidRPr="00DA2D69">
        <w:rPr>
          <w:sz w:val="22"/>
          <w:szCs w:val="22"/>
        </w:rPr>
        <w:t>goals of the National Strategy for Combating Antibiotic-Resistant Bacteria to slow the emergence of resistant bacteria and prevent the spread of resistant infections (Objective 1.1)</w:t>
      </w:r>
      <w:r w:rsidRPr="00DA2D69" w:rsidR="00BF61C7">
        <w:rPr>
          <w:sz w:val="22"/>
          <w:szCs w:val="22"/>
        </w:rPr>
        <w:t>,</w:t>
      </w:r>
      <w:r w:rsidRPr="00DA2D69">
        <w:rPr>
          <w:sz w:val="22"/>
          <w:szCs w:val="22"/>
        </w:rPr>
        <w:t xml:space="preserve"> and advance development and use of rapid and innovative diagnostic tests for identification and characterization of resistant bacteria (Objective 3.2). </w:t>
      </w:r>
    </w:p>
    <w:p w:rsidRPr="00E95701" w:rsidR="0074245E" w:rsidP="00E95701" w:rsidRDefault="0074245E" w14:paraId="7C1EC13F" w14:textId="77777777">
      <w:pPr>
        <w:autoSpaceDE w:val="0"/>
        <w:autoSpaceDN w:val="0"/>
        <w:adjustRightInd w:val="0"/>
        <w:spacing w:after="0" w:line="240" w:lineRule="auto"/>
        <w:rPr>
          <w:rFonts w:ascii="Calibri" w:hAnsi="Calibri"/>
          <w:sz w:val="22"/>
          <w:szCs w:val="22"/>
        </w:rPr>
      </w:pPr>
    </w:p>
    <w:p w:rsidRPr="00E95701" w:rsidR="000C596B" w:rsidP="00BF5167" w:rsidRDefault="007F2034" w14:paraId="388E6248" w14:textId="2C387DF2">
      <w:pPr>
        <w:spacing w:after="0"/>
        <w:rPr>
          <w:rFonts w:ascii="Calibri" w:hAnsi="Calibri"/>
          <w:sz w:val="22"/>
          <w:szCs w:val="22"/>
        </w:rPr>
      </w:pPr>
      <w:r w:rsidRPr="00E95701">
        <w:rPr>
          <w:rFonts w:ascii="Calibri" w:hAnsi="Calibri"/>
          <w:sz w:val="22"/>
          <w:szCs w:val="22"/>
        </w:rPr>
        <w:lastRenderedPageBreak/>
        <w:t>T</w:t>
      </w:r>
      <w:r w:rsidRPr="00E95701" w:rsidR="000A5F37">
        <w:rPr>
          <w:rFonts w:ascii="Calibri" w:hAnsi="Calibri"/>
          <w:sz w:val="22"/>
          <w:szCs w:val="22"/>
        </w:rPr>
        <w:t xml:space="preserve">his document outlines the </w:t>
      </w:r>
      <w:r w:rsidR="003750D4">
        <w:rPr>
          <w:rFonts w:ascii="Calibri" w:hAnsi="Calibri"/>
          <w:sz w:val="22"/>
          <w:szCs w:val="22"/>
        </w:rPr>
        <w:t xml:space="preserve">SURRG </w:t>
      </w:r>
      <w:r w:rsidRPr="00E95701" w:rsidR="000A5F37">
        <w:rPr>
          <w:rFonts w:ascii="Calibri" w:hAnsi="Calibri"/>
          <w:sz w:val="22"/>
          <w:szCs w:val="22"/>
        </w:rPr>
        <w:t xml:space="preserve">protocol and methods for implementing these enhanced </w:t>
      </w:r>
      <w:r w:rsidR="00DA2D69">
        <w:rPr>
          <w:rFonts w:ascii="Calibri" w:hAnsi="Calibri"/>
          <w:sz w:val="22"/>
          <w:szCs w:val="22"/>
        </w:rPr>
        <w:t xml:space="preserve">programmatic and surveillance </w:t>
      </w:r>
      <w:r w:rsidRPr="00E95701" w:rsidR="000A5F37">
        <w:rPr>
          <w:rFonts w:ascii="Calibri" w:hAnsi="Calibri"/>
          <w:sz w:val="22"/>
          <w:szCs w:val="22"/>
        </w:rPr>
        <w:t xml:space="preserve">activities. </w:t>
      </w:r>
    </w:p>
    <w:p w:rsidRPr="00E95701" w:rsidR="00D37FBD" w:rsidP="00BF5167" w:rsidRDefault="00D37FBD" w14:paraId="77ECE703" w14:textId="77777777">
      <w:pPr>
        <w:spacing w:after="0"/>
        <w:rPr>
          <w:rFonts w:ascii="Calibri" w:hAnsi="Calibri"/>
          <w:sz w:val="22"/>
          <w:szCs w:val="22"/>
        </w:rPr>
      </w:pPr>
    </w:p>
    <w:p w:rsidR="003268BB" w:rsidRDefault="003268BB" w14:paraId="3B9FD91C" w14:textId="77777777">
      <w:pPr>
        <w:rPr>
          <w:rFonts w:asciiTheme="majorHAnsi" w:hAnsiTheme="majorHAnsi" w:eastAsiaTheme="majorEastAsia" w:cstheme="majorBidi"/>
          <w:color w:val="374C80" w:themeColor="accent1" w:themeShade="BF"/>
          <w:sz w:val="36"/>
          <w:szCs w:val="36"/>
        </w:rPr>
      </w:pPr>
      <w:bookmarkStart w:name="_Toc408480435" w:id="1"/>
      <w:r>
        <w:br w:type="page"/>
      </w:r>
    </w:p>
    <w:p w:rsidR="00CC7157" w:rsidP="00560202" w:rsidRDefault="00CC7157" w14:paraId="2D1CB0FF" w14:textId="7236CE93">
      <w:pPr>
        <w:pStyle w:val="Heading1"/>
      </w:pPr>
      <w:r>
        <w:lastRenderedPageBreak/>
        <w:t>Contents</w:t>
      </w:r>
      <w:bookmarkEnd w:id="1"/>
    </w:p>
    <w:p w:rsidR="00C77271" w:rsidP="00CC49A6" w:rsidRDefault="00E95B45" w14:paraId="79F8AF89" w14:textId="15AF5DC5">
      <w:pPr>
        <w:pStyle w:val="TOC1"/>
        <w:tabs>
          <w:tab w:val="right" w:leader="dot" w:pos="9016"/>
        </w:tabs>
        <w:rPr>
          <w:noProof/>
          <w:sz w:val="22"/>
          <w:szCs w:val="22"/>
        </w:rPr>
      </w:pPr>
      <w:r w:rsidRPr="007F5F73">
        <w:rPr>
          <w:sz w:val="22"/>
          <w:szCs w:val="22"/>
        </w:rPr>
        <w:fldChar w:fldCharType="begin"/>
      </w:r>
      <w:r w:rsidRPr="007F5F73" w:rsidR="00B226A6">
        <w:rPr>
          <w:sz w:val="22"/>
          <w:szCs w:val="22"/>
        </w:rPr>
        <w:instrText xml:space="preserve"> TOC \o "1-2" \h \z \u </w:instrText>
      </w:r>
      <w:r w:rsidRPr="007F5F73">
        <w:rPr>
          <w:sz w:val="22"/>
          <w:szCs w:val="22"/>
        </w:rPr>
        <w:fldChar w:fldCharType="separate"/>
      </w:r>
      <w:hyperlink w:history="1" w:anchor="_Toc408480436">
        <w:r w:rsidRPr="003D6FEC" w:rsidR="00C77271">
          <w:rPr>
            <w:rStyle w:val="Hyperlink"/>
            <w:noProof/>
          </w:rPr>
          <w:t>1.0</w:t>
        </w:r>
        <w:r w:rsidR="00242F62">
          <w:rPr>
            <w:noProof/>
            <w:sz w:val="22"/>
            <w:szCs w:val="22"/>
          </w:rPr>
          <w:t xml:space="preserve">        </w:t>
        </w:r>
        <w:r w:rsidR="00C77271">
          <w:rPr>
            <w:noProof/>
            <w:sz w:val="22"/>
            <w:szCs w:val="22"/>
          </w:rPr>
          <w:t>O</w:t>
        </w:r>
        <w:r w:rsidR="00C77271">
          <w:rPr>
            <w:rStyle w:val="Hyperlink"/>
            <w:noProof/>
          </w:rPr>
          <w:t>BJECTIVES AND J</w:t>
        </w:r>
        <w:r w:rsidRPr="003D6FEC" w:rsidR="00C77271">
          <w:rPr>
            <w:rStyle w:val="Hyperlink"/>
            <w:noProof/>
          </w:rPr>
          <w:t>USTIFICATION</w:t>
        </w:r>
        <w:r w:rsidR="00C77271">
          <w:rPr>
            <w:noProof/>
            <w:webHidden/>
          </w:rPr>
          <w:tab/>
        </w:r>
        <w:r w:rsidR="00EA20BF">
          <w:rPr>
            <w:noProof/>
            <w:webHidden/>
          </w:rPr>
          <w:t>6</w:t>
        </w:r>
      </w:hyperlink>
    </w:p>
    <w:p w:rsidR="00C77271" w:rsidRDefault="004566E4" w14:paraId="54730C6F" w14:textId="03AD19A6">
      <w:pPr>
        <w:pStyle w:val="TOC2"/>
        <w:tabs>
          <w:tab w:val="left" w:pos="880"/>
          <w:tab w:val="right" w:leader="dot" w:pos="9016"/>
        </w:tabs>
        <w:rPr>
          <w:noProof/>
          <w:sz w:val="22"/>
          <w:szCs w:val="22"/>
        </w:rPr>
      </w:pPr>
      <w:hyperlink w:history="1" w:anchor="_Toc408480437">
        <w:r w:rsidRPr="003D6FEC" w:rsidR="00C77271">
          <w:rPr>
            <w:rStyle w:val="Hyperlink"/>
            <w:noProof/>
          </w:rPr>
          <w:t>1.1</w:t>
        </w:r>
        <w:r w:rsidR="00C77271">
          <w:rPr>
            <w:noProof/>
            <w:sz w:val="22"/>
            <w:szCs w:val="22"/>
          </w:rPr>
          <w:tab/>
        </w:r>
        <w:r w:rsidRPr="003D6FEC" w:rsidR="00C77271">
          <w:rPr>
            <w:rStyle w:val="Hyperlink"/>
            <w:noProof/>
          </w:rPr>
          <w:t>OBJECTIVES</w:t>
        </w:r>
        <w:r w:rsidR="00C77271">
          <w:rPr>
            <w:noProof/>
            <w:webHidden/>
          </w:rPr>
          <w:tab/>
        </w:r>
        <w:r w:rsidR="00EA20BF">
          <w:rPr>
            <w:noProof/>
            <w:webHidden/>
          </w:rPr>
          <w:t>6</w:t>
        </w:r>
      </w:hyperlink>
    </w:p>
    <w:p w:rsidR="00C77271" w:rsidRDefault="004566E4" w14:paraId="5CB0ED4B" w14:textId="22BDA8EF">
      <w:pPr>
        <w:pStyle w:val="TOC2"/>
        <w:tabs>
          <w:tab w:val="left" w:pos="880"/>
          <w:tab w:val="right" w:leader="dot" w:pos="9016"/>
        </w:tabs>
        <w:rPr>
          <w:noProof/>
          <w:sz w:val="22"/>
          <w:szCs w:val="22"/>
        </w:rPr>
      </w:pPr>
      <w:hyperlink w:history="1" w:anchor="_Toc408480438">
        <w:r w:rsidRPr="003D6FEC" w:rsidR="00C77271">
          <w:rPr>
            <w:rStyle w:val="Hyperlink"/>
            <w:noProof/>
            <w:spacing w:val="15"/>
          </w:rPr>
          <w:t>1.2</w:t>
        </w:r>
        <w:r w:rsidR="00C77271">
          <w:rPr>
            <w:noProof/>
            <w:sz w:val="22"/>
            <w:szCs w:val="22"/>
          </w:rPr>
          <w:tab/>
        </w:r>
        <w:r w:rsidR="00C77271">
          <w:rPr>
            <w:rStyle w:val="Hyperlink"/>
            <w:noProof/>
            <w:spacing w:val="15"/>
          </w:rPr>
          <w:t>JUSTIFICATION</w:t>
        </w:r>
        <w:r w:rsidR="00C77271">
          <w:rPr>
            <w:noProof/>
            <w:webHidden/>
          </w:rPr>
          <w:tab/>
        </w:r>
        <w:r w:rsidR="00EA20BF">
          <w:rPr>
            <w:noProof/>
            <w:webHidden/>
          </w:rPr>
          <w:t>6</w:t>
        </w:r>
      </w:hyperlink>
    </w:p>
    <w:p w:rsidR="00C77271" w:rsidRDefault="004566E4" w14:paraId="0A8C3077" w14:textId="61069211">
      <w:pPr>
        <w:pStyle w:val="TOC1"/>
        <w:tabs>
          <w:tab w:val="left" w:pos="660"/>
          <w:tab w:val="right" w:leader="dot" w:pos="9016"/>
        </w:tabs>
        <w:rPr>
          <w:noProof/>
          <w:sz w:val="22"/>
          <w:szCs w:val="22"/>
        </w:rPr>
      </w:pPr>
      <w:hyperlink w:history="1" w:anchor="_Toc408480439">
        <w:r w:rsidRPr="003D6FEC" w:rsidR="00C77271">
          <w:rPr>
            <w:rStyle w:val="Hyperlink"/>
            <w:noProof/>
          </w:rPr>
          <w:t>2.0</w:t>
        </w:r>
        <w:r w:rsidR="00C77271">
          <w:rPr>
            <w:noProof/>
            <w:sz w:val="22"/>
            <w:szCs w:val="22"/>
          </w:rPr>
          <w:tab/>
        </w:r>
        <w:r w:rsidRPr="003D6FEC" w:rsidR="00C77271">
          <w:rPr>
            <w:rStyle w:val="Hyperlink"/>
            <w:noProof/>
          </w:rPr>
          <w:t xml:space="preserve">PROJECT </w:t>
        </w:r>
        <w:r w:rsidR="00E162D3">
          <w:rPr>
            <w:rStyle w:val="Hyperlink"/>
            <w:noProof/>
          </w:rPr>
          <w:t>METHODOLOGY</w:t>
        </w:r>
        <w:r w:rsidR="00C77271">
          <w:rPr>
            <w:noProof/>
            <w:webHidden/>
          </w:rPr>
          <w:tab/>
        </w:r>
        <w:r w:rsidR="00DC0335">
          <w:rPr>
            <w:noProof/>
            <w:webHidden/>
          </w:rPr>
          <w:t>7</w:t>
        </w:r>
      </w:hyperlink>
    </w:p>
    <w:p w:rsidR="00C77271" w:rsidRDefault="004566E4" w14:paraId="13309D9B" w14:textId="5FA09BF9">
      <w:pPr>
        <w:pStyle w:val="TOC2"/>
        <w:tabs>
          <w:tab w:val="left" w:pos="880"/>
          <w:tab w:val="right" w:leader="dot" w:pos="9016"/>
        </w:tabs>
        <w:rPr>
          <w:noProof/>
          <w:sz w:val="22"/>
          <w:szCs w:val="22"/>
        </w:rPr>
      </w:pPr>
      <w:hyperlink w:history="1" w:anchor="_Toc408480441">
        <w:r w:rsidRPr="003D6FEC" w:rsidR="000D4EF4">
          <w:rPr>
            <w:rStyle w:val="Hyperlink"/>
            <w:noProof/>
          </w:rPr>
          <w:t>2.</w:t>
        </w:r>
        <w:r w:rsidR="00BA5E7B">
          <w:rPr>
            <w:rStyle w:val="Hyperlink"/>
            <w:noProof/>
          </w:rPr>
          <w:t>1</w:t>
        </w:r>
        <w:r w:rsidR="000D4EF4">
          <w:rPr>
            <w:noProof/>
            <w:sz w:val="22"/>
            <w:szCs w:val="22"/>
          </w:rPr>
          <w:tab/>
        </w:r>
        <w:r w:rsidR="00DC0335">
          <w:rPr>
            <w:rStyle w:val="Hyperlink"/>
            <w:noProof/>
          </w:rPr>
          <w:t xml:space="preserve">TARGET </w:t>
        </w:r>
        <w:r w:rsidR="000D4EF4">
          <w:rPr>
            <w:rStyle w:val="Hyperlink"/>
            <w:noProof/>
          </w:rPr>
          <w:t>POPULATION</w:t>
        </w:r>
        <w:r w:rsidR="000D4EF4">
          <w:rPr>
            <w:noProof/>
            <w:webHidden/>
          </w:rPr>
          <w:tab/>
        </w:r>
        <w:r w:rsidR="00DC0335">
          <w:rPr>
            <w:noProof/>
            <w:webHidden/>
          </w:rPr>
          <w:t>7</w:t>
        </w:r>
      </w:hyperlink>
    </w:p>
    <w:p w:rsidR="00C77271" w:rsidRDefault="004566E4" w14:paraId="4B1AED0B" w14:textId="622AC06C">
      <w:pPr>
        <w:pStyle w:val="TOC2"/>
        <w:tabs>
          <w:tab w:val="left" w:pos="880"/>
          <w:tab w:val="right" w:leader="dot" w:pos="9016"/>
        </w:tabs>
        <w:rPr>
          <w:noProof/>
          <w:sz w:val="22"/>
          <w:szCs w:val="22"/>
        </w:rPr>
      </w:pPr>
      <w:hyperlink w:history="1" w:anchor="_Toc408480442">
        <w:r w:rsidRPr="003D6FEC" w:rsidR="000D4EF4">
          <w:rPr>
            <w:rStyle w:val="Hyperlink"/>
            <w:noProof/>
          </w:rPr>
          <w:t>2.</w:t>
        </w:r>
        <w:r w:rsidR="00DC0335">
          <w:rPr>
            <w:rStyle w:val="Hyperlink"/>
            <w:noProof/>
          </w:rPr>
          <w:t>2</w:t>
        </w:r>
        <w:r w:rsidR="000D4EF4">
          <w:rPr>
            <w:noProof/>
            <w:sz w:val="22"/>
            <w:szCs w:val="22"/>
          </w:rPr>
          <w:tab/>
        </w:r>
        <w:r w:rsidR="00DC0335">
          <w:rPr>
            <w:rStyle w:val="Hyperlink"/>
            <w:noProof/>
          </w:rPr>
          <w:t>SPECIMEN AND DATA COLLECTION</w:t>
        </w:r>
        <w:r w:rsidR="000D4EF4">
          <w:rPr>
            <w:noProof/>
            <w:webHidden/>
          </w:rPr>
          <w:tab/>
        </w:r>
      </w:hyperlink>
      <w:r w:rsidR="00DC0335">
        <w:rPr>
          <w:noProof/>
        </w:rPr>
        <w:t>7-9</w:t>
      </w:r>
    </w:p>
    <w:p w:rsidR="00C77271" w:rsidRDefault="004566E4" w14:paraId="63049F80" w14:textId="1D24E52D">
      <w:pPr>
        <w:pStyle w:val="TOC2"/>
        <w:tabs>
          <w:tab w:val="left" w:pos="880"/>
          <w:tab w:val="right" w:leader="dot" w:pos="9016"/>
        </w:tabs>
        <w:rPr>
          <w:noProof/>
          <w:sz w:val="22"/>
          <w:szCs w:val="22"/>
        </w:rPr>
      </w:pPr>
      <w:hyperlink w:history="1" w:anchor="_Toc408480443">
        <w:r w:rsidRPr="003D6FEC" w:rsidR="000D4EF4">
          <w:rPr>
            <w:rStyle w:val="Hyperlink"/>
            <w:noProof/>
          </w:rPr>
          <w:t>2.</w:t>
        </w:r>
        <w:r w:rsidR="00DC0335">
          <w:rPr>
            <w:rStyle w:val="Hyperlink"/>
            <w:noProof/>
          </w:rPr>
          <w:t>3</w:t>
        </w:r>
        <w:r w:rsidR="000D4EF4">
          <w:rPr>
            <w:noProof/>
            <w:sz w:val="22"/>
            <w:szCs w:val="22"/>
          </w:rPr>
          <w:tab/>
        </w:r>
        <w:r w:rsidRPr="003D6FEC" w:rsidR="000D4EF4">
          <w:rPr>
            <w:rStyle w:val="Hyperlink"/>
            <w:noProof/>
          </w:rPr>
          <w:t xml:space="preserve">DATA </w:t>
        </w:r>
        <w:r w:rsidR="00DC0335">
          <w:rPr>
            <w:rStyle w:val="Hyperlink"/>
            <w:noProof/>
          </w:rPr>
          <w:t>TRANSMISSION</w:t>
        </w:r>
        <w:r w:rsidR="000D4EF4">
          <w:rPr>
            <w:noProof/>
            <w:webHidden/>
          </w:rPr>
          <w:tab/>
        </w:r>
        <w:r w:rsidR="00A6550B">
          <w:rPr>
            <w:noProof/>
            <w:webHidden/>
          </w:rPr>
          <w:t>9</w:t>
        </w:r>
      </w:hyperlink>
      <w:r w:rsidR="00A6550B">
        <w:rPr>
          <w:noProof/>
        </w:rPr>
        <w:t>-10</w:t>
      </w:r>
    </w:p>
    <w:p w:rsidR="00C77271" w:rsidRDefault="004566E4" w14:paraId="4367EFE7" w14:textId="2B789F14">
      <w:pPr>
        <w:pStyle w:val="TOC2"/>
        <w:tabs>
          <w:tab w:val="left" w:pos="880"/>
          <w:tab w:val="right" w:leader="dot" w:pos="9016"/>
        </w:tabs>
        <w:rPr>
          <w:noProof/>
          <w:sz w:val="22"/>
          <w:szCs w:val="22"/>
        </w:rPr>
      </w:pPr>
      <w:hyperlink w:history="1" w:anchor="_Toc408480444">
        <w:r w:rsidRPr="003D6FEC" w:rsidR="000D4EF4">
          <w:rPr>
            <w:rStyle w:val="Hyperlink"/>
            <w:noProof/>
          </w:rPr>
          <w:t>2.</w:t>
        </w:r>
        <w:r w:rsidR="00DC0335">
          <w:rPr>
            <w:rStyle w:val="Hyperlink"/>
            <w:noProof/>
          </w:rPr>
          <w:t>4</w:t>
        </w:r>
        <w:r w:rsidR="000D4EF4">
          <w:rPr>
            <w:noProof/>
            <w:sz w:val="22"/>
            <w:szCs w:val="22"/>
          </w:rPr>
          <w:tab/>
        </w:r>
        <w:r w:rsidR="007D44DB">
          <w:rPr>
            <w:noProof/>
            <w:sz w:val="22"/>
            <w:szCs w:val="22"/>
          </w:rPr>
          <w:t>CONFIDENTIALITY</w:t>
        </w:r>
        <w:r w:rsidRPr="003354D0" w:rsidR="000D4EF4">
          <w:rPr>
            <w:rStyle w:val="Hyperlink"/>
          </w:rPr>
          <w:t xml:space="preserve"> AND </w:t>
        </w:r>
        <w:r w:rsidR="007D44DB">
          <w:rPr>
            <w:rStyle w:val="Hyperlink"/>
          </w:rPr>
          <w:t>HUMAN</w:t>
        </w:r>
        <w:r w:rsidR="002055C6">
          <w:rPr>
            <w:rStyle w:val="Hyperlink"/>
          </w:rPr>
          <w:t xml:space="preserve"> </w:t>
        </w:r>
        <w:r w:rsidR="007D44DB">
          <w:rPr>
            <w:rStyle w:val="Hyperlink"/>
            <w:noProof/>
          </w:rPr>
          <w:t>SUBJECTS</w:t>
        </w:r>
        <w:r w:rsidRPr="003D6FEC" w:rsidR="000D4EF4">
          <w:rPr>
            <w:rStyle w:val="Hyperlink"/>
            <w:noProof/>
          </w:rPr>
          <w:t xml:space="preserve"> CONSIDERATIONS</w:t>
        </w:r>
        <w:r w:rsidR="000D4EF4">
          <w:rPr>
            <w:noProof/>
            <w:webHidden/>
          </w:rPr>
          <w:tab/>
        </w:r>
        <w:r w:rsidR="00A6550B">
          <w:rPr>
            <w:noProof/>
            <w:webHidden/>
          </w:rPr>
          <w:t>10-11</w:t>
        </w:r>
      </w:hyperlink>
    </w:p>
    <w:p w:rsidR="00C77271" w:rsidRDefault="004566E4" w14:paraId="056B5B2C" w14:textId="4D7B90CA">
      <w:pPr>
        <w:pStyle w:val="TOC1"/>
        <w:tabs>
          <w:tab w:val="left" w:pos="660"/>
          <w:tab w:val="right" w:leader="dot" w:pos="9016"/>
        </w:tabs>
        <w:rPr>
          <w:noProof/>
          <w:sz w:val="22"/>
          <w:szCs w:val="22"/>
        </w:rPr>
      </w:pPr>
      <w:hyperlink w:history="1" w:anchor="_Toc408480445">
        <w:r w:rsidRPr="003D6FEC" w:rsidR="000D4EF4">
          <w:rPr>
            <w:rStyle w:val="Hyperlink"/>
            <w:noProof/>
          </w:rPr>
          <w:t>3.0</w:t>
        </w:r>
        <w:r w:rsidR="000D4EF4">
          <w:rPr>
            <w:noProof/>
            <w:sz w:val="22"/>
            <w:szCs w:val="22"/>
          </w:rPr>
          <w:tab/>
        </w:r>
        <w:r w:rsidRPr="003D6FEC" w:rsidR="000D4EF4">
          <w:rPr>
            <w:rStyle w:val="Hyperlink"/>
            <w:noProof/>
          </w:rPr>
          <w:t>PROJECT</w:t>
        </w:r>
        <w:r w:rsidR="00A6550B">
          <w:rPr>
            <w:rStyle w:val="Hyperlink"/>
            <w:noProof/>
          </w:rPr>
          <w:t xml:space="preserve"> </w:t>
        </w:r>
        <w:r w:rsidR="00DC0335">
          <w:rPr>
            <w:rStyle w:val="Hyperlink"/>
            <w:noProof/>
          </w:rPr>
          <w:t>TEAM AND INSTITUTIONAL ROLES</w:t>
        </w:r>
        <w:r w:rsidR="000D4EF4">
          <w:rPr>
            <w:noProof/>
            <w:webHidden/>
          </w:rPr>
          <w:tab/>
        </w:r>
        <w:r w:rsidR="00A6550B">
          <w:rPr>
            <w:noProof/>
            <w:webHidden/>
          </w:rPr>
          <w:t>11</w:t>
        </w:r>
      </w:hyperlink>
    </w:p>
    <w:p w:rsidRPr="003268BB" w:rsidR="00C77271" w:rsidRDefault="004566E4" w14:paraId="58065373" w14:textId="368C8607">
      <w:pPr>
        <w:pStyle w:val="TOC1"/>
        <w:tabs>
          <w:tab w:val="right" w:leader="dot" w:pos="9016"/>
        </w:tabs>
        <w:rPr>
          <w:rStyle w:val="Hyperlink"/>
          <w:noProof/>
          <w:color w:val="auto"/>
          <w:sz w:val="22"/>
          <w:szCs w:val="22"/>
          <w:u w:val="none"/>
        </w:rPr>
      </w:pPr>
      <w:hyperlink w:history="1" w:anchor="_Toc408480451">
        <w:r w:rsidRPr="003D6FEC" w:rsidR="003354D0">
          <w:rPr>
            <w:rStyle w:val="Hyperlink"/>
            <w:noProof/>
          </w:rPr>
          <w:t>REFERENCES</w:t>
        </w:r>
        <w:r w:rsidR="003354D0">
          <w:rPr>
            <w:noProof/>
            <w:webHidden/>
          </w:rPr>
          <w:tab/>
        </w:r>
        <w:r w:rsidR="00A6550B">
          <w:rPr>
            <w:noProof/>
            <w:webHidden/>
          </w:rPr>
          <w:t>12</w:t>
        </w:r>
      </w:hyperlink>
    </w:p>
    <w:p w:rsidR="00C77271" w:rsidRDefault="00C77271" w14:paraId="05BC49BC" w14:textId="77777777">
      <w:pPr>
        <w:rPr>
          <w:noProof/>
        </w:rPr>
      </w:pPr>
      <w:r>
        <w:rPr>
          <w:noProof/>
        </w:rPr>
        <w:br w:type="page"/>
      </w:r>
    </w:p>
    <w:p w:rsidRPr="005A2CEA" w:rsidR="00280361" w:rsidP="005A2CEA" w:rsidRDefault="00E95B45" w14:paraId="23655471" w14:textId="4E024BF7">
      <w:pPr>
        <w:pStyle w:val="Heading1"/>
      </w:pPr>
      <w:r w:rsidRPr="007F5F73">
        <w:rPr>
          <w:sz w:val="22"/>
          <w:szCs w:val="22"/>
        </w:rPr>
        <w:lastRenderedPageBreak/>
        <w:fldChar w:fldCharType="end"/>
      </w:r>
      <w:bookmarkStart w:name="_Toc408480436" w:id="2"/>
      <w:r w:rsidR="004F1EDF">
        <w:t>1.0</w:t>
      </w:r>
      <w:r w:rsidR="004F1EDF">
        <w:tab/>
      </w:r>
      <w:r w:rsidR="00642BAD">
        <w:t xml:space="preserve">Objectives </w:t>
      </w:r>
      <w:r w:rsidR="002244E1">
        <w:t xml:space="preserve">and </w:t>
      </w:r>
      <w:bookmarkEnd w:id="2"/>
      <w:r w:rsidR="00642BAD">
        <w:t>Justification</w:t>
      </w:r>
    </w:p>
    <w:p w:rsidRPr="007F1D6B" w:rsidR="00CC7157" w:rsidP="00560202" w:rsidRDefault="00CC7157" w14:paraId="01652DCC" w14:textId="47FE9522">
      <w:pPr>
        <w:pStyle w:val="Heading2"/>
      </w:pPr>
      <w:bookmarkStart w:name="_Toc408480437" w:id="3"/>
      <w:r>
        <w:t>1.</w:t>
      </w:r>
      <w:r w:rsidR="003325FD">
        <w:t>1</w:t>
      </w:r>
      <w:r>
        <w:tab/>
      </w:r>
      <w:r w:rsidRPr="007F1D6B">
        <w:t>Objective</w:t>
      </w:r>
      <w:bookmarkEnd w:id="3"/>
      <w:r w:rsidR="003268BB">
        <w:t>s</w:t>
      </w:r>
    </w:p>
    <w:p w:rsidR="00776A61" w:rsidP="008F4E61" w:rsidRDefault="00776A61" w14:paraId="31FF5036" w14:textId="77777777">
      <w:pPr>
        <w:spacing w:after="0" w:line="240" w:lineRule="auto"/>
        <w:rPr>
          <w:rFonts w:ascii="Calibri" w:hAnsi="Calibri"/>
          <w:sz w:val="22"/>
          <w:szCs w:val="22"/>
        </w:rPr>
      </w:pPr>
    </w:p>
    <w:p w:rsidRPr="008F4E61" w:rsidR="005B0491" w:rsidP="008F4E61" w:rsidRDefault="00776A61" w14:paraId="386FE368" w14:textId="466DBA09">
      <w:pPr>
        <w:spacing w:after="0" w:line="240" w:lineRule="auto"/>
        <w:rPr>
          <w:sz w:val="22"/>
          <w:szCs w:val="22"/>
        </w:rPr>
      </w:pPr>
      <w:r w:rsidRPr="008F4E61">
        <w:rPr>
          <w:sz w:val="22"/>
          <w:szCs w:val="22"/>
        </w:rPr>
        <w:t>T</w:t>
      </w:r>
      <w:r w:rsidRPr="008F4E61" w:rsidR="00826BAD">
        <w:rPr>
          <w:sz w:val="22"/>
          <w:szCs w:val="22"/>
        </w:rPr>
        <w:t>o</w:t>
      </w:r>
      <w:r w:rsidRPr="00CA1577">
        <w:rPr>
          <w:sz w:val="22"/>
          <w:szCs w:val="22"/>
        </w:rPr>
        <w:t xml:space="preserve"> s</w:t>
      </w:r>
      <w:r w:rsidRPr="008F4E61" w:rsidR="00C470E9">
        <w:rPr>
          <w:sz w:val="22"/>
          <w:szCs w:val="22"/>
        </w:rPr>
        <w:t xml:space="preserve">trengthen </w:t>
      </w:r>
      <w:r w:rsidRPr="008F4E61" w:rsidR="005B0491">
        <w:rPr>
          <w:sz w:val="22"/>
          <w:szCs w:val="22"/>
        </w:rPr>
        <w:t xml:space="preserve">state and local </w:t>
      </w:r>
      <w:proofErr w:type="spellStart"/>
      <w:r w:rsidR="003F1A31">
        <w:rPr>
          <w:sz w:val="22"/>
          <w:szCs w:val="22"/>
        </w:rPr>
        <w:t>gonorrhea</w:t>
      </w:r>
      <w:proofErr w:type="spellEnd"/>
      <w:r w:rsidR="003F1A31">
        <w:rPr>
          <w:sz w:val="22"/>
          <w:szCs w:val="22"/>
        </w:rPr>
        <w:t xml:space="preserve"> </w:t>
      </w:r>
      <w:r w:rsidRPr="008F4E61" w:rsidR="005B0491">
        <w:rPr>
          <w:sz w:val="22"/>
          <w:szCs w:val="22"/>
        </w:rPr>
        <w:t>public health infrastructure and build capacity in high-risk local jurisdictions to support rapid detection of and response to threats of antibiotic</w:t>
      </w:r>
      <w:r w:rsidR="00470AC2">
        <w:rPr>
          <w:sz w:val="22"/>
          <w:szCs w:val="22"/>
        </w:rPr>
        <w:t>-</w:t>
      </w:r>
      <w:r w:rsidRPr="008F4E61" w:rsidR="005B0491">
        <w:rPr>
          <w:sz w:val="22"/>
          <w:szCs w:val="22"/>
        </w:rPr>
        <w:t xml:space="preserve">resistant </w:t>
      </w:r>
      <w:proofErr w:type="spellStart"/>
      <w:r w:rsidR="001B3FDE">
        <w:rPr>
          <w:sz w:val="22"/>
          <w:szCs w:val="22"/>
        </w:rPr>
        <w:t>gonorrhea</w:t>
      </w:r>
      <w:proofErr w:type="spellEnd"/>
      <w:r w:rsidRPr="008F4E61" w:rsidR="005B0491">
        <w:rPr>
          <w:sz w:val="22"/>
          <w:szCs w:val="22"/>
        </w:rPr>
        <w:t xml:space="preserve">. </w:t>
      </w:r>
    </w:p>
    <w:p w:rsidRPr="0098453C" w:rsidR="00D50132" w:rsidP="000A3387" w:rsidRDefault="00470AC2" w14:paraId="3773EAE4" w14:textId="7A18B9F3">
      <w:pPr>
        <w:spacing w:before="120"/>
        <w:rPr>
          <w:sz w:val="22"/>
          <w:szCs w:val="22"/>
        </w:rPr>
      </w:pPr>
      <w:r>
        <w:rPr>
          <w:sz w:val="22"/>
          <w:szCs w:val="22"/>
        </w:rPr>
        <w:t>The</w:t>
      </w:r>
      <w:r w:rsidRPr="0098453C" w:rsidR="00D50132">
        <w:rPr>
          <w:sz w:val="22"/>
          <w:szCs w:val="22"/>
        </w:rPr>
        <w:t xml:space="preserve"> aims </w:t>
      </w:r>
      <w:r>
        <w:rPr>
          <w:sz w:val="22"/>
          <w:szCs w:val="22"/>
        </w:rPr>
        <w:t xml:space="preserve">of SURRG </w:t>
      </w:r>
      <w:r w:rsidRPr="0098453C" w:rsidR="00D50132">
        <w:rPr>
          <w:sz w:val="22"/>
          <w:szCs w:val="22"/>
        </w:rPr>
        <w:t>are</w:t>
      </w:r>
      <w:r w:rsidRPr="0098453C" w:rsidR="00826BAD">
        <w:rPr>
          <w:sz w:val="22"/>
          <w:szCs w:val="22"/>
        </w:rPr>
        <w:t xml:space="preserve"> to</w:t>
      </w:r>
      <w:r w:rsidRPr="0098453C" w:rsidR="00D50132">
        <w:rPr>
          <w:sz w:val="22"/>
          <w:szCs w:val="22"/>
        </w:rPr>
        <w:t>:</w:t>
      </w:r>
    </w:p>
    <w:p w:rsidRPr="0098453C" w:rsidR="00D50132" w:rsidP="00507FD7" w:rsidRDefault="00C470E9" w14:paraId="75070C0F" w14:textId="5E0A72FE">
      <w:pPr>
        <w:pStyle w:val="ListParagraph"/>
        <w:numPr>
          <w:ilvl w:val="0"/>
          <w:numId w:val="2"/>
        </w:numPr>
        <w:spacing w:before="120"/>
        <w:rPr>
          <w:sz w:val="22"/>
          <w:szCs w:val="22"/>
        </w:rPr>
      </w:pPr>
      <w:r>
        <w:rPr>
          <w:sz w:val="22"/>
          <w:szCs w:val="22"/>
        </w:rPr>
        <w:t>S</w:t>
      </w:r>
      <w:r w:rsidRPr="0098453C">
        <w:rPr>
          <w:sz w:val="22"/>
          <w:szCs w:val="22"/>
        </w:rPr>
        <w:t xml:space="preserve">trengthen </w:t>
      </w:r>
      <w:r w:rsidRPr="0098453C" w:rsidR="00FD0C52">
        <w:rPr>
          <w:sz w:val="22"/>
          <w:szCs w:val="22"/>
        </w:rPr>
        <w:t xml:space="preserve">local </w:t>
      </w:r>
      <w:r w:rsidR="00470AC2">
        <w:rPr>
          <w:sz w:val="22"/>
          <w:szCs w:val="22"/>
        </w:rPr>
        <w:t>antibiotic-</w:t>
      </w:r>
      <w:r w:rsidRPr="0098453C" w:rsidR="00FD0C52">
        <w:rPr>
          <w:sz w:val="22"/>
          <w:szCs w:val="22"/>
        </w:rPr>
        <w:t xml:space="preserve">resistant </w:t>
      </w:r>
      <w:proofErr w:type="spellStart"/>
      <w:r w:rsidR="00061FCB">
        <w:rPr>
          <w:sz w:val="22"/>
          <w:szCs w:val="22"/>
        </w:rPr>
        <w:t>gonorrhea</w:t>
      </w:r>
      <w:proofErr w:type="spellEnd"/>
      <w:r w:rsidRPr="0098453C" w:rsidR="002938C2">
        <w:rPr>
          <w:sz w:val="22"/>
          <w:szCs w:val="22"/>
        </w:rPr>
        <w:t xml:space="preserve"> </w:t>
      </w:r>
      <w:r w:rsidRPr="0098453C" w:rsidR="00D50132">
        <w:rPr>
          <w:sz w:val="22"/>
          <w:szCs w:val="22"/>
        </w:rPr>
        <w:t>threat coordination</w:t>
      </w:r>
      <w:r w:rsidR="00B831BC">
        <w:rPr>
          <w:sz w:val="22"/>
          <w:szCs w:val="22"/>
        </w:rPr>
        <w:t>, laboratory,</w:t>
      </w:r>
      <w:r w:rsidRPr="0098453C" w:rsidR="00D50132">
        <w:rPr>
          <w:sz w:val="22"/>
          <w:szCs w:val="22"/>
        </w:rPr>
        <w:t xml:space="preserve"> and epidemiological capacity</w:t>
      </w:r>
      <w:r w:rsidR="00061FCB">
        <w:rPr>
          <w:sz w:val="22"/>
          <w:szCs w:val="22"/>
        </w:rPr>
        <w:t xml:space="preserve"> and informatics infrastructure</w:t>
      </w:r>
    </w:p>
    <w:p w:rsidRPr="0098453C" w:rsidR="00D50132" w:rsidP="00507FD7" w:rsidRDefault="00C470E9" w14:paraId="2A66967C" w14:textId="2EADECBC">
      <w:pPr>
        <w:pStyle w:val="ListParagraph"/>
        <w:numPr>
          <w:ilvl w:val="0"/>
          <w:numId w:val="2"/>
        </w:numPr>
        <w:spacing w:before="120"/>
        <w:rPr>
          <w:sz w:val="22"/>
          <w:szCs w:val="22"/>
        </w:rPr>
      </w:pPr>
      <w:r>
        <w:rPr>
          <w:sz w:val="22"/>
          <w:szCs w:val="22"/>
        </w:rPr>
        <w:t>E</w:t>
      </w:r>
      <w:r w:rsidRPr="0098453C">
        <w:rPr>
          <w:sz w:val="22"/>
          <w:szCs w:val="22"/>
        </w:rPr>
        <w:t xml:space="preserve">nhance </w:t>
      </w:r>
      <w:r w:rsidRPr="0098453C" w:rsidR="00D50132">
        <w:rPr>
          <w:sz w:val="22"/>
          <w:szCs w:val="22"/>
        </w:rPr>
        <w:t xml:space="preserve">timely surveillance for detection of resistant </w:t>
      </w:r>
      <w:r w:rsidRPr="00470AC2" w:rsidR="00470AC2">
        <w:rPr>
          <w:i/>
          <w:iCs/>
          <w:sz w:val="22"/>
          <w:szCs w:val="22"/>
        </w:rPr>
        <w:t xml:space="preserve">N. </w:t>
      </w:r>
      <w:r w:rsidRPr="00470AC2" w:rsidR="003F1A31">
        <w:rPr>
          <w:i/>
          <w:iCs/>
          <w:sz w:val="22"/>
          <w:szCs w:val="22"/>
        </w:rPr>
        <w:t>gonorrh</w:t>
      </w:r>
      <w:r w:rsidRPr="00470AC2" w:rsidR="00470AC2">
        <w:rPr>
          <w:i/>
          <w:iCs/>
          <w:sz w:val="22"/>
          <w:szCs w:val="22"/>
        </w:rPr>
        <w:t>o</w:t>
      </w:r>
      <w:r w:rsidRPr="00470AC2" w:rsidR="003F1A31">
        <w:rPr>
          <w:i/>
          <w:iCs/>
          <w:sz w:val="22"/>
          <w:szCs w:val="22"/>
        </w:rPr>
        <w:t>ea</w:t>
      </w:r>
      <w:r w:rsidRPr="00470AC2" w:rsidR="00470AC2">
        <w:rPr>
          <w:i/>
          <w:iCs/>
          <w:sz w:val="22"/>
          <w:szCs w:val="22"/>
        </w:rPr>
        <w:t>e</w:t>
      </w:r>
      <w:r w:rsidRPr="0098453C" w:rsidR="00D50132">
        <w:rPr>
          <w:sz w:val="22"/>
          <w:szCs w:val="22"/>
        </w:rPr>
        <w:t xml:space="preserve"> </w:t>
      </w:r>
      <w:r w:rsidR="003F1A31">
        <w:rPr>
          <w:sz w:val="22"/>
          <w:szCs w:val="22"/>
        </w:rPr>
        <w:t>strains</w:t>
      </w:r>
    </w:p>
    <w:p w:rsidR="00D50132" w:rsidP="00507FD7" w:rsidRDefault="00C470E9" w14:paraId="3CA7D06A" w14:textId="314972B0">
      <w:pPr>
        <w:pStyle w:val="ListParagraph"/>
        <w:numPr>
          <w:ilvl w:val="0"/>
          <w:numId w:val="2"/>
        </w:numPr>
        <w:spacing w:before="120"/>
        <w:rPr>
          <w:sz w:val="22"/>
          <w:szCs w:val="22"/>
        </w:rPr>
      </w:pPr>
      <w:r>
        <w:rPr>
          <w:sz w:val="22"/>
          <w:szCs w:val="22"/>
        </w:rPr>
        <w:t>E</w:t>
      </w:r>
      <w:r w:rsidRPr="0098453C">
        <w:rPr>
          <w:sz w:val="22"/>
          <w:szCs w:val="22"/>
        </w:rPr>
        <w:t xml:space="preserve">nhance </w:t>
      </w:r>
      <w:r w:rsidR="00776A61">
        <w:rPr>
          <w:sz w:val="22"/>
          <w:szCs w:val="22"/>
        </w:rPr>
        <w:t xml:space="preserve">local capacity to rapidly conduct </w:t>
      </w:r>
      <w:proofErr w:type="spellStart"/>
      <w:r w:rsidR="00776A61">
        <w:rPr>
          <w:sz w:val="22"/>
          <w:szCs w:val="22"/>
        </w:rPr>
        <w:t>gonorrhea</w:t>
      </w:r>
      <w:proofErr w:type="spellEnd"/>
      <w:r w:rsidR="00776A61">
        <w:rPr>
          <w:sz w:val="22"/>
          <w:szCs w:val="22"/>
        </w:rPr>
        <w:t xml:space="preserve"> </w:t>
      </w:r>
      <w:r w:rsidRPr="0098453C" w:rsidR="00D50132">
        <w:rPr>
          <w:sz w:val="22"/>
          <w:szCs w:val="22"/>
        </w:rPr>
        <w:t>case investigations</w:t>
      </w:r>
      <w:r w:rsidR="00776A61">
        <w:rPr>
          <w:sz w:val="22"/>
          <w:szCs w:val="22"/>
        </w:rPr>
        <w:t xml:space="preserve">, </w:t>
      </w:r>
      <w:r w:rsidR="00BD77BD">
        <w:rPr>
          <w:sz w:val="22"/>
          <w:szCs w:val="22"/>
        </w:rPr>
        <w:t xml:space="preserve">identify partnership networks </w:t>
      </w:r>
      <w:r w:rsidR="008F4E61">
        <w:rPr>
          <w:sz w:val="22"/>
          <w:szCs w:val="22"/>
        </w:rPr>
        <w:t xml:space="preserve">and </w:t>
      </w:r>
      <w:r w:rsidRPr="0098453C" w:rsidR="008F4E61">
        <w:rPr>
          <w:sz w:val="22"/>
          <w:szCs w:val="22"/>
        </w:rPr>
        <w:t>transmission</w:t>
      </w:r>
      <w:r w:rsidRPr="0098453C" w:rsidR="00D50132">
        <w:rPr>
          <w:sz w:val="22"/>
          <w:szCs w:val="22"/>
        </w:rPr>
        <w:t xml:space="preserve"> dynamics of </w:t>
      </w:r>
      <w:proofErr w:type="spellStart"/>
      <w:r w:rsidR="00776A61">
        <w:rPr>
          <w:sz w:val="22"/>
          <w:szCs w:val="22"/>
        </w:rPr>
        <w:t>gonorrhea</w:t>
      </w:r>
      <w:proofErr w:type="spellEnd"/>
      <w:r w:rsidR="00BD77BD">
        <w:rPr>
          <w:sz w:val="22"/>
          <w:szCs w:val="22"/>
        </w:rPr>
        <w:t xml:space="preserve">, and </w:t>
      </w:r>
      <w:r w:rsidR="003F1A31">
        <w:rPr>
          <w:sz w:val="22"/>
          <w:szCs w:val="22"/>
        </w:rPr>
        <w:t xml:space="preserve">halt the spread of identified resistant </w:t>
      </w:r>
      <w:r w:rsidR="00C86C21">
        <w:rPr>
          <w:sz w:val="22"/>
          <w:szCs w:val="22"/>
        </w:rPr>
        <w:t>infections</w:t>
      </w:r>
      <w:r w:rsidR="0097384E">
        <w:rPr>
          <w:sz w:val="22"/>
          <w:szCs w:val="22"/>
        </w:rPr>
        <w:t>.</w:t>
      </w:r>
    </w:p>
    <w:p w:rsidRPr="008F4E61" w:rsidR="00061FCB" w:rsidP="008F4E61" w:rsidRDefault="00061FCB" w14:paraId="6B89EC1F" w14:textId="475BCB28">
      <w:pPr>
        <w:spacing w:before="120"/>
        <w:rPr>
          <w:sz w:val="22"/>
          <w:szCs w:val="22"/>
        </w:rPr>
      </w:pPr>
      <w:r>
        <w:rPr>
          <w:sz w:val="22"/>
          <w:szCs w:val="22"/>
        </w:rPr>
        <w:t xml:space="preserve">Lessons learned and data generated from Strengthening U.S. Response for Resistant </w:t>
      </w:r>
      <w:proofErr w:type="spellStart"/>
      <w:r>
        <w:rPr>
          <w:sz w:val="22"/>
          <w:szCs w:val="22"/>
        </w:rPr>
        <w:t>Gonorrhea</w:t>
      </w:r>
      <w:proofErr w:type="spellEnd"/>
      <w:r>
        <w:rPr>
          <w:sz w:val="22"/>
          <w:szCs w:val="22"/>
        </w:rPr>
        <w:t xml:space="preserve"> (SURRG) </w:t>
      </w:r>
      <w:r w:rsidR="00470AC2">
        <w:rPr>
          <w:sz w:val="22"/>
          <w:szCs w:val="22"/>
        </w:rPr>
        <w:t>will be</w:t>
      </w:r>
      <w:r>
        <w:rPr>
          <w:sz w:val="22"/>
          <w:szCs w:val="22"/>
        </w:rPr>
        <w:t xml:space="preserve"> applied to other jurisdictions and public health efforts to improve U</w:t>
      </w:r>
      <w:r w:rsidR="00FC3080">
        <w:rPr>
          <w:sz w:val="22"/>
          <w:szCs w:val="22"/>
        </w:rPr>
        <w:t xml:space="preserve">nited </w:t>
      </w:r>
      <w:r>
        <w:rPr>
          <w:sz w:val="22"/>
          <w:szCs w:val="22"/>
        </w:rPr>
        <w:t>S</w:t>
      </w:r>
      <w:r w:rsidR="00FC3080">
        <w:rPr>
          <w:sz w:val="22"/>
          <w:szCs w:val="22"/>
        </w:rPr>
        <w:t>tates</w:t>
      </w:r>
      <w:r>
        <w:rPr>
          <w:sz w:val="22"/>
          <w:szCs w:val="22"/>
        </w:rPr>
        <w:t xml:space="preserve"> preparedness and capacity to respond to </w:t>
      </w:r>
      <w:r w:rsidR="00470AC2">
        <w:rPr>
          <w:sz w:val="22"/>
          <w:szCs w:val="22"/>
        </w:rPr>
        <w:t>antibiotic-</w:t>
      </w:r>
      <w:r>
        <w:rPr>
          <w:sz w:val="22"/>
          <w:szCs w:val="22"/>
        </w:rPr>
        <w:t>resista</w:t>
      </w:r>
      <w:r w:rsidR="00470AC2">
        <w:rPr>
          <w:sz w:val="22"/>
          <w:szCs w:val="22"/>
        </w:rPr>
        <w:t>nt</w:t>
      </w:r>
      <w:r>
        <w:rPr>
          <w:sz w:val="22"/>
          <w:szCs w:val="22"/>
        </w:rPr>
        <w:t xml:space="preserve"> </w:t>
      </w:r>
      <w:r w:rsidRPr="00190638" w:rsidR="00E45DAC">
        <w:rPr>
          <w:i/>
          <w:sz w:val="22"/>
          <w:szCs w:val="22"/>
        </w:rPr>
        <w:t>Neisseria gonorrhoeae</w:t>
      </w:r>
      <w:r>
        <w:rPr>
          <w:sz w:val="22"/>
          <w:szCs w:val="22"/>
        </w:rPr>
        <w:t xml:space="preserve">. </w:t>
      </w:r>
    </w:p>
    <w:p w:rsidRPr="00507FD7" w:rsidR="00E83172" w:rsidP="00507FD7" w:rsidRDefault="00E83172" w14:paraId="6B68F3A6" w14:textId="77777777">
      <w:pPr>
        <w:pStyle w:val="Heading2"/>
      </w:pPr>
      <w:bookmarkStart w:name="_Toc408480438" w:id="4"/>
      <w:r w:rsidRPr="00507FD7">
        <w:t>1.2</w:t>
      </w:r>
      <w:r w:rsidRPr="00507FD7">
        <w:tab/>
      </w:r>
      <w:bookmarkEnd w:id="4"/>
      <w:r w:rsidR="00642BAD">
        <w:t>J</w:t>
      </w:r>
      <w:r w:rsidRPr="00507FD7" w:rsidR="00642BAD">
        <w:t>ustification</w:t>
      </w:r>
    </w:p>
    <w:p w:rsidRPr="00951738" w:rsidR="00E83172" w:rsidP="00E83172" w:rsidRDefault="00E83172" w14:paraId="345826FC" w14:textId="77777777">
      <w:pPr>
        <w:contextualSpacing/>
        <w:rPr>
          <w:sz w:val="12"/>
          <w:szCs w:val="12"/>
        </w:rPr>
      </w:pPr>
    </w:p>
    <w:p w:rsidRPr="00B26E4D" w:rsidR="00A94FBD" w:rsidP="00B26E4D" w:rsidRDefault="00E50973" w14:paraId="22EF3821" w14:textId="1A463239">
      <w:pPr>
        <w:contextualSpacing/>
        <w:rPr>
          <w:sz w:val="22"/>
          <w:szCs w:val="22"/>
        </w:rPr>
      </w:pPr>
      <w:r>
        <w:rPr>
          <w:sz w:val="22"/>
          <w:szCs w:val="22"/>
        </w:rPr>
        <w:t>R</w:t>
      </w:r>
      <w:r w:rsidR="00894173">
        <w:rPr>
          <w:sz w:val="22"/>
          <w:szCs w:val="22"/>
        </w:rPr>
        <w:t>apid detection</w:t>
      </w:r>
      <w:r w:rsidR="009E7B56">
        <w:rPr>
          <w:sz w:val="22"/>
          <w:szCs w:val="22"/>
        </w:rPr>
        <w:t xml:space="preserve"> </w:t>
      </w:r>
      <w:r w:rsidR="00894173">
        <w:rPr>
          <w:sz w:val="22"/>
          <w:szCs w:val="22"/>
        </w:rPr>
        <w:t xml:space="preserve">and effective treatment of </w:t>
      </w:r>
      <w:proofErr w:type="spellStart"/>
      <w:r w:rsidR="00894173">
        <w:rPr>
          <w:sz w:val="22"/>
          <w:szCs w:val="22"/>
        </w:rPr>
        <w:t>gonorrhea</w:t>
      </w:r>
      <w:proofErr w:type="spellEnd"/>
      <w:r w:rsidR="00894173">
        <w:rPr>
          <w:sz w:val="22"/>
          <w:szCs w:val="22"/>
        </w:rPr>
        <w:t xml:space="preserve"> is a cornerstone of public health </w:t>
      </w:r>
      <w:proofErr w:type="spellStart"/>
      <w:r w:rsidR="00894173">
        <w:rPr>
          <w:sz w:val="22"/>
          <w:szCs w:val="22"/>
        </w:rPr>
        <w:t>gonorrhea</w:t>
      </w:r>
      <w:proofErr w:type="spellEnd"/>
      <w:r w:rsidR="00894173">
        <w:rPr>
          <w:sz w:val="22"/>
          <w:szCs w:val="22"/>
        </w:rPr>
        <w:t xml:space="preserve"> control and prevention of complications</w:t>
      </w:r>
      <w:r w:rsidR="00A94FBD">
        <w:rPr>
          <w:sz w:val="22"/>
          <w:szCs w:val="22"/>
        </w:rPr>
        <w:t xml:space="preserve">. </w:t>
      </w:r>
      <w:r w:rsidRPr="00B26E4D" w:rsidR="00B17D22">
        <w:rPr>
          <w:sz w:val="22"/>
          <w:szCs w:val="22"/>
        </w:rPr>
        <w:t>M</w:t>
      </w:r>
      <w:r w:rsidRPr="00B26E4D" w:rsidR="00A94FBD">
        <w:rPr>
          <w:sz w:val="22"/>
          <w:szCs w:val="22"/>
        </w:rPr>
        <w:t xml:space="preserve">onitoring </w:t>
      </w:r>
      <w:proofErr w:type="spellStart"/>
      <w:r w:rsidRPr="00B26E4D" w:rsidR="00B17D22">
        <w:rPr>
          <w:sz w:val="22"/>
          <w:szCs w:val="22"/>
        </w:rPr>
        <w:t>gonorrhea</w:t>
      </w:r>
      <w:proofErr w:type="spellEnd"/>
      <w:r w:rsidRPr="00B26E4D" w:rsidR="000E5C76">
        <w:rPr>
          <w:sz w:val="22"/>
          <w:szCs w:val="22"/>
        </w:rPr>
        <w:t xml:space="preserve"> </w:t>
      </w:r>
      <w:r w:rsidRPr="00B26E4D" w:rsidR="00A94FBD">
        <w:rPr>
          <w:sz w:val="22"/>
          <w:szCs w:val="22"/>
        </w:rPr>
        <w:t xml:space="preserve">is critical to </w:t>
      </w:r>
      <w:r w:rsidRPr="00B26E4D" w:rsidR="00B17D22">
        <w:rPr>
          <w:sz w:val="22"/>
          <w:szCs w:val="22"/>
        </w:rPr>
        <w:t xml:space="preserve">understand </w:t>
      </w:r>
      <w:r w:rsidRPr="00B26E4D" w:rsidR="00A94FBD">
        <w:rPr>
          <w:sz w:val="22"/>
          <w:szCs w:val="22"/>
        </w:rPr>
        <w:t>the</w:t>
      </w:r>
      <w:r w:rsidRPr="00B26E4D" w:rsidR="000E5C76">
        <w:rPr>
          <w:sz w:val="22"/>
          <w:szCs w:val="22"/>
        </w:rPr>
        <w:t xml:space="preserve"> </w:t>
      </w:r>
      <w:r w:rsidRPr="00B26E4D" w:rsidR="00A94FBD">
        <w:rPr>
          <w:sz w:val="22"/>
          <w:szCs w:val="22"/>
        </w:rPr>
        <w:t xml:space="preserve">characteristics of persons and groups affected, </w:t>
      </w:r>
      <w:r w:rsidR="00C86C21">
        <w:rPr>
          <w:sz w:val="22"/>
          <w:szCs w:val="22"/>
        </w:rPr>
        <w:t>trends</w:t>
      </w:r>
      <w:r w:rsidRPr="00B26E4D" w:rsidR="00A94FBD">
        <w:rPr>
          <w:sz w:val="22"/>
          <w:szCs w:val="22"/>
        </w:rPr>
        <w:t xml:space="preserve"> in infection</w:t>
      </w:r>
      <w:r w:rsidR="00C86C21">
        <w:rPr>
          <w:sz w:val="22"/>
          <w:szCs w:val="22"/>
        </w:rPr>
        <w:t xml:space="preserve"> rates</w:t>
      </w:r>
      <w:r w:rsidRPr="00B26E4D" w:rsidR="00A94FBD">
        <w:rPr>
          <w:sz w:val="22"/>
          <w:szCs w:val="22"/>
        </w:rPr>
        <w:t xml:space="preserve"> over time</w:t>
      </w:r>
      <w:r w:rsidRPr="00B26E4D" w:rsidR="000E5C76">
        <w:rPr>
          <w:sz w:val="22"/>
          <w:szCs w:val="22"/>
        </w:rPr>
        <w:t>,</w:t>
      </w:r>
      <w:r w:rsidRPr="00B26E4D" w:rsidR="00A94FBD">
        <w:rPr>
          <w:sz w:val="22"/>
          <w:szCs w:val="22"/>
        </w:rPr>
        <w:t xml:space="preserve"> and</w:t>
      </w:r>
      <w:r w:rsidRPr="00B26E4D" w:rsidR="00D14562">
        <w:rPr>
          <w:sz w:val="22"/>
          <w:szCs w:val="22"/>
        </w:rPr>
        <w:t xml:space="preserve"> the</w:t>
      </w:r>
      <w:r w:rsidRPr="00B26E4D" w:rsidR="00A94FBD">
        <w:rPr>
          <w:sz w:val="22"/>
          <w:szCs w:val="22"/>
        </w:rPr>
        <w:t xml:space="preserve"> geographic extent of affected populations</w:t>
      </w:r>
      <w:r w:rsidRPr="00B26E4D" w:rsidR="00B0408E">
        <w:rPr>
          <w:sz w:val="22"/>
          <w:szCs w:val="22"/>
        </w:rPr>
        <w:t xml:space="preserve">. These </w:t>
      </w:r>
      <w:r w:rsidRPr="00B26E4D" w:rsidR="00B17D22">
        <w:rPr>
          <w:sz w:val="22"/>
          <w:szCs w:val="22"/>
        </w:rPr>
        <w:t xml:space="preserve">data </w:t>
      </w:r>
      <w:r w:rsidR="00470AC2">
        <w:rPr>
          <w:sz w:val="22"/>
          <w:szCs w:val="22"/>
        </w:rPr>
        <w:t xml:space="preserve">from such efforts </w:t>
      </w:r>
      <w:r w:rsidRPr="00B26E4D" w:rsidR="007510A3">
        <w:rPr>
          <w:sz w:val="22"/>
          <w:szCs w:val="22"/>
        </w:rPr>
        <w:t>can provide necessary insight</w:t>
      </w:r>
      <w:r w:rsidRPr="00B26E4D" w:rsidR="00B17D22">
        <w:rPr>
          <w:sz w:val="22"/>
          <w:szCs w:val="22"/>
        </w:rPr>
        <w:t>s</w:t>
      </w:r>
      <w:r w:rsidRPr="00B26E4D" w:rsidR="007510A3">
        <w:rPr>
          <w:sz w:val="22"/>
          <w:szCs w:val="22"/>
        </w:rPr>
        <w:t xml:space="preserve"> into the changing landscape of disease</w:t>
      </w:r>
      <w:r w:rsidRPr="00B26E4D" w:rsidR="00ED518A">
        <w:rPr>
          <w:sz w:val="22"/>
          <w:szCs w:val="22"/>
        </w:rPr>
        <w:t xml:space="preserve"> and </w:t>
      </w:r>
      <w:r w:rsidRPr="00B26E4D" w:rsidR="00F62884">
        <w:rPr>
          <w:sz w:val="22"/>
          <w:szCs w:val="22"/>
        </w:rPr>
        <w:t xml:space="preserve">the impact of </w:t>
      </w:r>
      <w:r w:rsidRPr="00B26E4D" w:rsidR="00ED518A">
        <w:rPr>
          <w:sz w:val="22"/>
          <w:szCs w:val="22"/>
        </w:rPr>
        <w:t>STD prevention program</w:t>
      </w:r>
      <w:r w:rsidRPr="00B26E4D" w:rsidR="00EE0CAE">
        <w:rPr>
          <w:sz w:val="22"/>
          <w:szCs w:val="22"/>
        </w:rPr>
        <w:t>s</w:t>
      </w:r>
      <w:r w:rsidRPr="00B26E4D" w:rsidR="00A94FBD">
        <w:rPr>
          <w:sz w:val="22"/>
          <w:szCs w:val="22"/>
        </w:rPr>
        <w:t xml:space="preserve">. </w:t>
      </w:r>
    </w:p>
    <w:p w:rsidR="00A94FBD" w:rsidP="00CE5A32" w:rsidRDefault="00A94FBD" w14:paraId="0B0A3DBD" w14:textId="2A9F397F">
      <w:pPr>
        <w:contextualSpacing/>
        <w:rPr>
          <w:sz w:val="22"/>
          <w:szCs w:val="22"/>
        </w:rPr>
      </w:pPr>
    </w:p>
    <w:p w:rsidRPr="00B26E4D" w:rsidR="00461471" w:rsidP="00B26E4D" w:rsidRDefault="00852988" w14:paraId="250A1DDF" w14:textId="22F5159E">
      <w:pPr>
        <w:contextualSpacing/>
        <w:rPr>
          <w:sz w:val="22"/>
          <w:szCs w:val="22"/>
        </w:rPr>
      </w:pPr>
      <w:r>
        <w:rPr>
          <w:sz w:val="22"/>
          <w:szCs w:val="22"/>
        </w:rPr>
        <w:t xml:space="preserve">CDC currently conducts surveillance of gonococcal </w:t>
      </w:r>
      <w:r w:rsidR="00AD167E">
        <w:rPr>
          <w:sz w:val="22"/>
          <w:szCs w:val="22"/>
        </w:rPr>
        <w:t xml:space="preserve">antibiotic </w:t>
      </w:r>
      <w:r>
        <w:rPr>
          <w:sz w:val="22"/>
          <w:szCs w:val="22"/>
        </w:rPr>
        <w:t xml:space="preserve">resistance through the Gonococcal Isolate Surveillance Project (GISP), which </w:t>
      </w:r>
      <w:r w:rsidR="00470AC2">
        <w:rPr>
          <w:sz w:val="22"/>
          <w:szCs w:val="22"/>
        </w:rPr>
        <w:t xml:space="preserve">has effectively </w:t>
      </w:r>
      <w:r>
        <w:rPr>
          <w:sz w:val="22"/>
          <w:szCs w:val="22"/>
        </w:rPr>
        <w:t xml:space="preserve">monitored </w:t>
      </w:r>
      <w:r w:rsidR="00C86C21">
        <w:rPr>
          <w:sz w:val="22"/>
          <w:szCs w:val="22"/>
        </w:rPr>
        <w:t xml:space="preserve">long-term </w:t>
      </w:r>
      <w:r>
        <w:rPr>
          <w:sz w:val="22"/>
          <w:szCs w:val="22"/>
        </w:rPr>
        <w:t xml:space="preserve">trends in </w:t>
      </w:r>
      <w:r w:rsidR="00C2560F">
        <w:rPr>
          <w:sz w:val="22"/>
          <w:szCs w:val="22"/>
        </w:rPr>
        <w:t>antibiotic susceptibility</w:t>
      </w:r>
      <w:r>
        <w:rPr>
          <w:sz w:val="22"/>
          <w:szCs w:val="22"/>
        </w:rPr>
        <w:t xml:space="preserve"> and repeatedly informed </w:t>
      </w:r>
      <w:r w:rsidR="00AD167E">
        <w:rPr>
          <w:sz w:val="22"/>
          <w:szCs w:val="22"/>
        </w:rPr>
        <w:t xml:space="preserve">changes in national </w:t>
      </w:r>
      <w:r>
        <w:rPr>
          <w:sz w:val="22"/>
          <w:szCs w:val="22"/>
        </w:rPr>
        <w:t xml:space="preserve">treatment guidelines. However, data from GISP are not sufficiently timely to </w:t>
      </w:r>
      <w:r w:rsidR="00C86C21">
        <w:rPr>
          <w:sz w:val="22"/>
          <w:szCs w:val="22"/>
        </w:rPr>
        <w:t>allow</w:t>
      </w:r>
      <w:r>
        <w:rPr>
          <w:sz w:val="22"/>
          <w:szCs w:val="22"/>
        </w:rPr>
        <w:t xml:space="preserve"> rapid detection and response to </w:t>
      </w:r>
      <w:r w:rsidR="00C2560F">
        <w:rPr>
          <w:sz w:val="22"/>
          <w:szCs w:val="22"/>
        </w:rPr>
        <w:t>antibiotic-</w:t>
      </w:r>
      <w:r>
        <w:rPr>
          <w:sz w:val="22"/>
          <w:szCs w:val="22"/>
        </w:rPr>
        <w:t xml:space="preserve">resistant </w:t>
      </w:r>
      <w:proofErr w:type="spellStart"/>
      <w:r>
        <w:rPr>
          <w:sz w:val="22"/>
          <w:szCs w:val="22"/>
        </w:rPr>
        <w:t>gonorrhea</w:t>
      </w:r>
      <w:proofErr w:type="spellEnd"/>
      <w:r>
        <w:rPr>
          <w:sz w:val="22"/>
          <w:szCs w:val="22"/>
        </w:rPr>
        <w:t xml:space="preserve"> and are limited to </w:t>
      </w:r>
      <w:r w:rsidR="003563C0">
        <w:rPr>
          <w:sz w:val="22"/>
          <w:szCs w:val="22"/>
        </w:rPr>
        <w:t xml:space="preserve">the susceptibility profile of </w:t>
      </w:r>
      <w:r>
        <w:rPr>
          <w:sz w:val="22"/>
          <w:szCs w:val="22"/>
        </w:rPr>
        <w:t>urethral specimens</w:t>
      </w:r>
      <w:r w:rsidR="003563C0">
        <w:rPr>
          <w:sz w:val="22"/>
          <w:szCs w:val="22"/>
        </w:rPr>
        <w:t xml:space="preserve"> from men</w:t>
      </w:r>
      <w:r w:rsidR="00C2560F">
        <w:rPr>
          <w:sz w:val="22"/>
          <w:szCs w:val="22"/>
        </w:rPr>
        <w:t xml:space="preserve"> attending participating sexually transmitted diseases (STD) clinics</w:t>
      </w:r>
      <w:r>
        <w:rPr>
          <w:sz w:val="22"/>
          <w:szCs w:val="22"/>
        </w:rPr>
        <w:t xml:space="preserve">. </w:t>
      </w:r>
      <w:r w:rsidR="00E7730D">
        <w:rPr>
          <w:sz w:val="22"/>
          <w:szCs w:val="22"/>
        </w:rPr>
        <w:t xml:space="preserve">Outside of established surveillance platforms, detection of resistance is extremely limited because of </w:t>
      </w:r>
      <w:r w:rsidR="00C86C21">
        <w:rPr>
          <w:sz w:val="22"/>
          <w:szCs w:val="22"/>
        </w:rPr>
        <w:t xml:space="preserve">widespread use of the </w:t>
      </w:r>
      <w:r w:rsidRPr="005D6BAB" w:rsidR="00C86C21">
        <w:rPr>
          <w:sz w:val="22"/>
          <w:szCs w:val="22"/>
        </w:rPr>
        <w:t>nucleic acid amplification testing (NAAT)</w:t>
      </w:r>
      <w:r w:rsidR="00C86C21">
        <w:rPr>
          <w:sz w:val="22"/>
          <w:szCs w:val="22"/>
        </w:rPr>
        <w:t xml:space="preserve"> for </w:t>
      </w:r>
      <w:proofErr w:type="spellStart"/>
      <w:r w:rsidR="00C86C21">
        <w:rPr>
          <w:sz w:val="22"/>
          <w:szCs w:val="22"/>
        </w:rPr>
        <w:t>gonorrhea</w:t>
      </w:r>
      <w:proofErr w:type="spellEnd"/>
      <w:r w:rsidR="00C86C21">
        <w:rPr>
          <w:sz w:val="22"/>
          <w:szCs w:val="22"/>
        </w:rPr>
        <w:t xml:space="preserve"> diagnosis, which ha</w:t>
      </w:r>
      <w:r w:rsidR="00E7730D">
        <w:rPr>
          <w:sz w:val="22"/>
          <w:szCs w:val="22"/>
        </w:rPr>
        <w:t>s</w:t>
      </w:r>
      <w:r w:rsidR="00C86C21">
        <w:rPr>
          <w:sz w:val="22"/>
          <w:szCs w:val="22"/>
        </w:rPr>
        <w:t xml:space="preserve"> supplanted culture techniques (which are needed for resistance testing). Few clinicians use or have access to </w:t>
      </w:r>
      <w:proofErr w:type="spellStart"/>
      <w:r w:rsidR="00C86C21">
        <w:rPr>
          <w:sz w:val="22"/>
          <w:szCs w:val="22"/>
        </w:rPr>
        <w:t>gonorrhea</w:t>
      </w:r>
      <w:proofErr w:type="spellEnd"/>
      <w:r w:rsidR="00C86C21">
        <w:rPr>
          <w:sz w:val="22"/>
          <w:szCs w:val="22"/>
        </w:rPr>
        <w:t xml:space="preserve"> resistance testing. Local public health capacity to r</w:t>
      </w:r>
      <w:r w:rsidR="00512E8F">
        <w:rPr>
          <w:sz w:val="22"/>
          <w:szCs w:val="22"/>
        </w:rPr>
        <w:t xml:space="preserve">espond rapidly to </w:t>
      </w:r>
      <w:r w:rsidR="00E7730D">
        <w:rPr>
          <w:sz w:val="22"/>
          <w:szCs w:val="22"/>
        </w:rPr>
        <w:t>antibiotic-</w:t>
      </w:r>
      <w:r w:rsidR="00512E8F">
        <w:rPr>
          <w:sz w:val="22"/>
          <w:szCs w:val="22"/>
        </w:rPr>
        <w:t xml:space="preserve">resistant </w:t>
      </w:r>
      <w:proofErr w:type="spellStart"/>
      <w:r w:rsidR="00512E8F">
        <w:rPr>
          <w:sz w:val="22"/>
          <w:szCs w:val="22"/>
        </w:rPr>
        <w:t>gonorrhea</w:t>
      </w:r>
      <w:proofErr w:type="spellEnd"/>
      <w:r w:rsidR="00512E8F">
        <w:rPr>
          <w:sz w:val="22"/>
          <w:szCs w:val="22"/>
        </w:rPr>
        <w:t xml:space="preserve"> is </w:t>
      </w:r>
      <w:r w:rsidR="00C86C21">
        <w:rPr>
          <w:sz w:val="22"/>
          <w:szCs w:val="22"/>
        </w:rPr>
        <w:t xml:space="preserve">further </w:t>
      </w:r>
      <w:r w:rsidR="00512E8F">
        <w:rPr>
          <w:sz w:val="22"/>
          <w:szCs w:val="22"/>
        </w:rPr>
        <w:t xml:space="preserve">challenged by </w:t>
      </w:r>
      <w:r w:rsidR="00C86C21">
        <w:rPr>
          <w:sz w:val="22"/>
          <w:szCs w:val="22"/>
        </w:rPr>
        <w:t xml:space="preserve">increasing STD rates and </w:t>
      </w:r>
      <w:r w:rsidR="00E7730D">
        <w:rPr>
          <w:sz w:val="22"/>
          <w:szCs w:val="22"/>
        </w:rPr>
        <w:t>limited</w:t>
      </w:r>
      <w:r w:rsidR="00512E8F">
        <w:rPr>
          <w:sz w:val="22"/>
          <w:szCs w:val="22"/>
        </w:rPr>
        <w:t xml:space="preserve"> </w:t>
      </w:r>
      <w:r w:rsidRPr="005D6BAB">
        <w:rPr>
          <w:sz w:val="22"/>
          <w:szCs w:val="22"/>
        </w:rPr>
        <w:t>state and local STD public health infrastructure</w:t>
      </w:r>
      <w:r w:rsidR="003563C0">
        <w:rPr>
          <w:sz w:val="22"/>
          <w:szCs w:val="22"/>
        </w:rPr>
        <w:t xml:space="preserve"> and resources</w:t>
      </w:r>
      <w:r w:rsidR="00512E8F">
        <w:rPr>
          <w:sz w:val="22"/>
          <w:szCs w:val="22"/>
        </w:rPr>
        <w:t xml:space="preserve">. </w:t>
      </w:r>
      <w:r>
        <w:rPr>
          <w:sz w:val="22"/>
          <w:szCs w:val="22"/>
        </w:rPr>
        <w:t>T</w:t>
      </w:r>
      <w:r w:rsidR="00C86C21">
        <w:rPr>
          <w:sz w:val="22"/>
          <w:szCs w:val="22"/>
        </w:rPr>
        <w:t xml:space="preserve">o </w:t>
      </w:r>
      <w:r>
        <w:rPr>
          <w:sz w:val="22"/>
          <w:szCs w:val="22"/>
        </w:rPr>
        <w:t xml:space="preserve">support the goals of </w:t>
      </w:r>
      <w:r w:rsidR="00C86C21">
        <w:rPr>
          <w:sz w:val="22"/>
          <w:szCs w:val="22"/>
        </w:rPr>
        <w:t xml:space="preserve">slowing the emergence of and preventing the spread of resistant </w:t>
      </w:r>
      <w:r w:rsidRPr="00257BCD" w:rsidR="00C86C21">
        <w:rPr>
          <w:i/>
          <w:sz w:val="22"/>
          <w:szCs w:val="22"/>
        </w:rPr>
        <w:t>N. gonorrhoeae</w:t>
      </w:r>
      <w:r w:rsidR="00C86C21">
        <w:rPr>
          <w:sz w:val="22"/>
          <w:szCs w:val="22"/>
        </w:rPr>
        <w:t xml:space="preserve"> articulated in </w:t>
      </w:r>
      <w:r>
        <w:rPr>
          <w:sz w:val="22"/>
          <w:szCs w:val="22"/>
        </w:rPr>
        <w:t xml:space="preserve">the </w:t>
      </w:r>
      <w:r w:rsidR="008859B8">
        <w:rPr>
          <w:sz w:val="22"/>
          <w:szCs w:val="22"/>
        </w:rPr>
        <w:t xml:space="preserve">National </w:t>
      </w:r>
      <w:r>
        <w:rPr>
          <w:sz w:val="22"/>
          <w:szCs w:val="22"/>
        </w:rPr>
        <w:t>Action Plan</w:t>
      </w:r>
      <w:r w:rsidR="00C86C21">
        <w:rPr>
          <w:sz w:val="22"/>
          <w:szCs w:val="22"/>
        </w:rPr>
        <w:t xml:space="preserve"> for Combating Antibiotic Bacteria</w:t>
      </w:r>
      <w:r>
        <w:rPr>
          <w:sz w:val="22"/>
          <w:szCs w:val="22"/>
        </w:rPr>
        <w:t xml:space="preserve">, </w:t>
      </w:r>
      <w:r w:rsidR="00C86C21">
        <w:rPr>
          <w:sz w:val="22"/>
          <w:szCs w:val="22"/>
        </w:rPr>
        <w:t xml:space="preserve">strengthening of </w:t>
      </w:r>
      <w:r w:rsidRPr="00B26E4D" w:rsidR="00392DE9">
        <w:rPr>
          <w:sz w:val="22"/>
          <w:szCs w:val="22"/>
        </w:rPr>
        <w:t xml:space="preserve">local and state public health capacity </w:t>
      </w:r>
      <w:r w:rsidR="00C86C21">
        <w:rPr>
          <w:sz w:val="22"/>
          <w:szCs w:val="22"/>
        </w:rPr>
        <w:t xml:space="preserve">to rapidly detect and respond to </w:t>
      </w:r>
      <w:r w:rsidRPr="00B26E4D" w:rsidR="00392DE9">
        <w:rPr>
          <w:sz w:val="22"/>
          <w:szCs w:val="22"/>
        </w:rPr>
        <w:t xml:space="preserve">emerging </w:t>
      </w:r>
      <w:r w:rsidR="00E7730D">
        <w:rPr>
          <w:sz w:val="22"/>
          <w:szCs w:val="22"/>
        </w:rPr>
        <w:t>antibiotic-</w:t>
      </w:r>
      <w:r w:rsidRPr="00B26E4D" w:rsidR="00392DE9">
        <w:rPr>
          <w:sz w:val="22"/>
          <w:szCs w:val="22"/>
        </w:rPr>
        <w:t xml:space="preserve">resistant </w:t>
      </w:r>
      <w:proofErr w:type="spellStart"/>
      <w:r w:rsidRPr="00B26E4D">
        <w:rPr>
          <w:sz w:val="22"/>
          <w:szCs w:val="22"/>
        </w:rPr>
        <w:t>gonorrhea</w:t>
      </w:r>
      <w:proofErr w:type="spellEnd"/>
      <w:r w:rsidRPr="00B26E4D">
        <w:rPr>
          <w:sz w:val="22"/>
          <w:szCs w:val="22"/>
        </w:rPr>
        <w:t xml:space="preserve"> </w:t>
      </w:r>
      <w:r w:rsidRPr="00B26E4D" w:rsidR="00392DE9">
        <w:rPr>
          <w:sz w:val="22"/>
          <w:szCs w:val="22"/>
        </w:rPr>
        <w:t>is urgently needed.</w:t>
      </w:r>
    </w:p>
    <w:p w:rsidRPr="00B26E4D" w:rsidR="00BF36DC" w:rsidP="00B26E4D" w:rsidRDefault="00BF36DC" w14:paraId="2D12EFB8" w14:textId="77777777">
      <w:pPr>
        <w:spacing w:after="0" w:line="240" w:lineRule="auto"/>
        <w:rPr>
          <w:sz w:val="22"/>
          <w:szCs w:val="22"/>
        </w:rPr>
      </w:pPr>
    </w:p>
    <w:p w:rsidR="00BF36DC" w:rsidP="00CE5A32" w:rsidRDefault="00BF36DC" w14:paraId="4A8334BE" w14:textId="6777A87A">
      <w:pPr>
        <w:contextualSpacing/>
        <w:rPr>
          <w:sz w:val="22"/>
          <w:szCs w:val="22"/>
        </w:rPr>
      </w:pPr>
      <w:r w:rsidRPr="00B26E4D">
        <w:rPr>
          <w:sz w:val="22"/>
          <w:szCs w:val="22"/>
        </w:rPr>
        <w:t>Partner services</w:t>
      </w:r>
      <w:r w:rsidR="00E7730D">
        <w:rPr>
          <w:sz w:val="22"/>
          <w:szCs w:val="22"/>
        </w:rPr>
        <w:t xml:space="preserve"> </w:t>
      </w:r>
      <w:r w:rsidR="00E7730D">
        <w:rPr>
          <w:rFonts w:cstheme="minorHAnsi"/>
          <w:sz w:val="22"/>
          <w:szCs w:val="22"/>
        </w:rPr>
        <w:t>—</w:t>
      </w:r>
      <w:r w:rsidR="00E7730D">
        <w:rPr>
          <w:sz w:val="22"/>
          <w:szCs w:val="22"/>
        </w:rPr>
        <w:t xml:space="preserve"> </w:t>
      </w:r>
      <w:r w:rsidRPr="00B26E4D">
        <w:rPr>
          <w:sz w:val="22"/>
          <w:szCs w:val="22"/>
        </w:rPr>
        <w:t>in which potentially infected partners are interviewed, tested, and treated</w:t>
      </w:r>
      <w:r w:rsidR="00E7730D">
        <w:rPr>
          <w:sz w:val="22"/>
          <w:szCs w:val="22"/>
        </w:rPr>
        <w:t xml:space="preserve"> </w:t>
      </w:r>
      <w:r w:rsidR="00E7730D">
        <w:rPr>
          <w:rFonts w:cstheme="minorHAnsi"/>
          <w:sz w:val="22"/>
          <w:szCs w:val="22"/>
        </w:rPr>
        <w:t>—</w:t>
      </w:r>
      <w:r w:rsidRPr="00B26E4D">
        <w:rPr>
          <w:sz w:val="22"/>
          <w:szCs w:val="22"/>
        </w:rPr>
        <w:t xml:space="preserve"> has traditionally been a foundational element of public health STD control efforts</w:t>
      </w:r>
      <w:r w:rsidR="00E7730D">
        <w:rPr>
          <w:sz w:val="22"/>
          <w:szCs w:val="22"/>
        </w:rPr>
        <w:t xml:space="preserve">. </w:t>
      </w:r>
      <w:r w:rsidR="00A65E3F">
        <w:rPr>
          <w:sz w:val="22"/>
          <w:szCs w:val="22"/>
        </w:rPr>
        <w:t>A critical element of partner services is c</w:t>
      </w:r>
      <w:r w:rsidRPr="00B26E4D">
        <w:rPr>
          <w:sz w:val="22"/>
          <w:szCs w:val="22"/>
        </w:rPr>
        <w:t>ontact tracing</w:t>
      </w:r>
      <w:r w:rsidR="00A65E3F">
        <w:rPr>
          <w:sz w:val="22"/>
          <w:szCs w:val="22"/>
        </w:rPr>
        <w:t>; contact tracing</w:t>
      </w:r>
      <w:r w:rsidRPr="00B26E4D">
        <w:rPr>
          <w:sz w:val="22"/>
          <w:szCs w:val="22"/>
        </w:rPr>
        <w:t xml:space="preserve"> is a core element of public health outbreak investigation and control of other infectious diseases</w:t>
      </w:r>
      <w:r w:rsidR="00C86C21">
        <w:rPr>
          <w:sz w:val="22"/>
          <w:szCs w:val="22"/>
        </w:rPr>
        <w:t xml:space="preserve">, such as Ebola </w:t>
      </w:r>
      <w:r w:rsidR="00A65E3F">
        <w:rPr>
          <w:sz w:val="22"/>
          <w:szCs w:val="22"/>
        </w:rPr>
        <w:t>and COVID-19</w:t>
      </w:r>
      <w:r w:rsidRPr="00B26E4D">
        <w:rPr>
          <w:sz w:val="22"/>
          <w:szCs w:val="22"/>
        </w:rPr>
        <w:t xml:space="preserve">. However, few </w:t>
      </w:r>
      <w:r w:rsidRPr="00B26E4D" w:rsidR="00AD167E">
        <w:rPr>
          <w:sz w:val="22"/>
          <w:szCs w:val="22"/>
        </w:rPr>
        <w:t xml:space="preserve">health department STD programs </w:t>
      </w:r>
      <w:r w:rsidRPr="00B26E4D">
        <w:rPr>
          <w:sz w:val="22"/>
          <w:szCs w:val="22"/>
        </w:rPr>
        <w:t>have the resources to conduct routine partner services</w:t>
      </w:r>
      <w:r w:rsidRPr="00B26E4D" w:rsidR="00AD167E">
        <w:rPr>
          <w:sz w:val="22"/>
          <w:szCs w:val="22"/>
        </w:rPr>
        <w:t xml:space="preserve"> for </w:t>
      </w:r>
      <w:proofErr w:type="spellStart"/>
      <w:r w:rsidRPr="00B26E4D" w:rsidR="00AD167E">
        <w:rPr>
          <w:sz w:val="22"/>
          <w:szCs w:val="22"/>
        </w:rPr>
        <w:t>gonorrhea</w:t>
      </w:r>
      <w:proofErr w:type="spellEnd"/>
      <w:r w:rsidRPr="00B26E4D">
        <w:rPr>
          <w:sz w:val="22"/>
          <w:szCs w:val="22"/>
        </w:rPr>
        <w:t xml:space="preserve">, much less enhanced investigations to </w:t>
      </w:r>
      <w:r w:rsidR="009F54D9">
        <w:rPr>
          <w:sz w:val="22"/>
          <w:szCs w:val="22"/>
        </w:rPr>
        <w:t xml:space="preserve">halt the spread of </w:t>
      </w:r>
      <w:r w:rsidR="0011083F">
        <w:rPr>
          <w:sz w:val="22"/>
          <w:szCs w:val="22"/>
        </w:rPr>
        <w:t xml:space="preserve">identified </w:t>
      </w:r>
      <w:r w:rsidRPr="00B26E4D" w:rsidR="0011083F">
        <w:rPr>
          <w:sz w:val="22"/>
          <w:szCs w:val="22"/>
        </w:rPr>
        <w:t>resistant</w:t>
      </w:r>
      <w:r w:rsidRPr="00B26E4D">
        <w:rPr>
          <w:sz w:val="22"/>
          <w:szCs w:val="22"/>
        </w:rPr>
        <w:t xml:space="preserve"> </w:t>
      </w:r>
      <w:r w:rsidR="009F54D9">
        <w:rPr>
          <w:sz w:val="22"/>
          <w:szCs w:val="22"/>
        </w:rPr>
        <w:t>strains</w:t>
      </w:r>
      <w:r w:rsidRPr="00B26E4D">
        <w:rPr>
          <w:sz w:val="22"/>
          <w:szCs w:val="22"/>
        </w:rPr>
        <w:t xml:space="preserve">. SURRG activities focus on building local capacity to respond effectively to </w:t>
      </w:r>
      <w:r w:rsidR="009F54D9">
        <w:rPr>
          <w:sz w:val="22"/>
          <w:szCs w:val="22"/>
        </w:rPr>
        <w:t xml:space="preserve">and halt the spread of </w:t>
      </w:r>
      <w:r w:rsidRPr="00B26E4D" w:rsidR="007B43A2">
        <w:rPr>
          <w:sz w:val="22"/>
          <w:szCs w:val="22"/>
        </w:rPr>
        <w:t xml:space="preserve">outbreaks of </w:t>
      </w:r>
      <w:r w:rsidR="00A65E3F">
        <w:rPr>
          <w:sz w:val="22"/>
          <w:szCs w:val="22"/>
        </w:rPr>
        <w:t>antibiotic-</w:t>
      </w:r>
      <w:r w:rsidRPr="00B26E4D">
        <w:rPr>
          <w:sz w:val="22"/>
          <w:szCs w:val="22"/>
        </w:rPr>
        <w:t xml:space="preserve">resistant </w:t>
      </w:r>
      <w:proofErr w:type="spellStart"/>
      <w:r w:rsidRPr="00B26E4D" w:rsidR="00AD167E">
        <w:rPr>
          <w:sz w:val="22"/>
          <w:szCs w:val="22"/>
        </w:rPr>
        <w:t>gonorrhea</w:t>
      </w:r>
      <w:proofErr w:type="spellEnd"/>
      <w:r w:rsidRPr="00B26E4D">
        <w:rPr>
          <w:sz w:val="22"/>
          <w:szCs w:val="22"/>
        </w:rPr>
        <w:t xml:space="preserve">. </w:t>
      </w:r>
    </w:p>
    <w:p w:rsidR="004A4C39" w:rsidP="00CE5A32" w:rsidRDefault="004A4C39" w14:paraId="105DBEDF" w14:textId="77777777">
      <w:pPr>
        <w:contextualSpacing/>
        <w:rPr>
          <w:sz w:val="22"/>
          <w:szCs w:val="22"/>
        </w:rPr>
      </w:pPr>
    </w:p>
    <w:p w:rsidR="00776A61" w:rsidP="00B26E4D" w:rsidRDefault="00776A61" w14:paraId="74138B20" w14:textId="0B47FE13">
      <w:pPr>
        <w:contextualSpacing/>
        <w:rPr>
          <w:sz w:val="22"/>
          <w:szCs w:val="22"/>
        </w:rPr>
      </w:pPr>
      <w:r w:rsidRPr="00D54920">
        <w:rPr>
          <w:sz w:val="22"/>
          <w:szCs w:val="22"/>
        </w:rPr>
        <w:t xml:space="preserve">The data collected from </w:t>
      </w:r>
      <w:r>
        <w:rPr>
          <w:sz w:val="22"/>
          <w:szCs w:val="22"/>
        </w:rPr>
        <w:t>SURRG</w:t>
      </w:r>
      <w:r w:rsidRPr="00D54920">
        <w:rPr>
          <w:sz w:val="22"/>
          <w:szCs w:val="22"/>
        </w:rPr>
        <w:t xml:space="preserve"> will be used to </w:t>
      </w:r>
      <w:r w:rsidR="00793EDA">
        <w:rPr>
          <w:sz w:val="22"/>
          <w:szCs w:val="22"/>
        </w:rPr>
        <w:t xml:space="preserve">monitor for resistance, advance the understanding of the epidemiology of </w:t>
      </w:r>
      <w:r w:rsidR="00C86C21">
        <w:rPr>
          <w:sz w:val="22"/>
          <w:szCs w:val="22"/>
        </w:rPr>
        <w:t xml:space="preserve">gonorrhoea and </w:t>
      </w:r>
      <w:r w:rsidR="00A65E3F">
        <w:rPr>
          <w:sz w:val="22"/>
          <w:szCs w:val="22"/>
        </w:rPr>
        <w:t xml:space="preserve">antibiotic-resistant </w:t>
      </w:r>
      <w:proofErr w:type="spellStart"/>
      <w:r w:rsidR="00793EDA">
        <w:rPr>
          <w:sz w:val="22"/>
          <w:szCs w:val="22"/>
        </w:rPr>
        <w:t>gonorrhea</w:t>
      </w:r>
      <w:proofErr w:type="spellEnd"/>
      <w:r w:rsidR="00793EDA">
        <w:rPr>
          <w:sz w:val="22"/>
          <w:szCs w:val="22"/>
        </w:rPr>
        <w:t>, including identifying populations most at risk</w:t>
      </w:r>
      <w:r w:rsidR="00C86C21">
        <w:rPr>
          <w:sz w:val="22"/>
          <w:szCs w:val="22"/>
        </w:rPr>
        <w:t xml:space="preserve">, </w:t>
      </w:r>
      <w:r w:rsidR="00C86C21">
        <w:rPr>
          <w:sz w:val="22"/>
          <w:szCs w:val="22"/>
        </w:rPr>
        <w:lastRenderedPageBreak/>
        <w:t xml:space="preserve">factors contributing to the emergence of resistance, and </w:t>
      </w:r>
      <w:r w:rsidR="00A11109">
        <w:rPr>
          <w:sz w:val="22"/>
          <w:szCs w:val="22"/>
        </w:rPr>
        <w:t>transmission of resistant gonorrhoea within a population,</w:t>
      </w:r>
      <w:r w:rsidR="00793EDA">
        <w:rPr>
          <w:sz w:val="22"/>
          <w:szCs w:val="22"/>
        </w:rPr>
        <w:t xml:space="preserve"> </w:t>
      </w:r>
      <w:r w:rsidRPr="00D54920">
        <w:rPr>
          <w:sz w:val="22"/>
          <w:szCs w:val="22"/>
        </w:rPr>
        <w:t xml:space="preserve">evaluate the </w:t>
      </w:r>
      <w:r w:rsidR="00793EDA">
        <w:rPr>
          <w:sz w:val="22"/>
          <w:szCs w:val="22"/>
        </w:rPr>
        <w:t>effectiveness of detection and disease control approaches, and support development of public health interventions to prevent the spread of resistance</w:t>
      </w:r>
      <w:r w:rsidRPr="0098453C">
        <w:rPr>
          <w:sz w:val="22"/>
          <w:szCs w:val="22"/>
        </w:rPr>
        <w:t>.</w:t>
      </w:r>
    </w:p>
    <w:p w:rsidR="00CC7157" w:rsidP="00560202" w:rsidRDefault="006C47E9" w14:paraId="0447A6B7" w14:textId="343AD173">
      <w:pPr>
        <w:pStyle w:val="Heading1"/>
      </w:pPr>
      <w:bookmarkStart w:name="_Toc408480439" w:id="5"/>
      <w:r>
        <w:t>2</w:t>
      </w:r>
      <w:r w:rsidR="00CC7157">
        <w:t>.0</w:t>
      </w:r>
      <w:r w:rsidR="00CC7157">
        <w:tab/>
      </w:r>
      <w:r w:rsidR="00951DC0">
        <w:t>Project</w:t>
      </w:r>
      <w:r w:rsidR="003118C4">
        <w:t xml:space="preserve"> </w:t>
      </w:r>
      <w:bookmarkEnd w:id="5"/>
      <w:r w:rsidR="00E162D3">
        <w:t>Methodology</w:t>
      </w:r>
    </w:p>
    <w:p w:rsidR="0025237F" w:rsidP="00507FD7" w:rsidRDefault="00ED7C6E" w14:paraId="4BD35FB8" w14:textId="77777777">
      <w:pPr>
        <w:pStyle w:val="Heading2"/>
      </w:pPr>
      <w:bookmarkStart w:name="_Toc408480440" w:id="6"/>
      <w:r>
        <w:t>2.1</w:t>
      </w:r>
      <w:r>
        <w:tab/>
      </w:r>
      <w:bookmarkEnd w:id="6"/>
      <w:r w:rsidR="00E162D3">
        <w:t>Target</w:t>
      </w:r>
      <w:r w:rsidR="00134EB3">
        <w:t xml:space="preserve"> Population</w:t>
      </w:r>
    </w:p>
    <w:p w:rsidR="007B43A2" w:rsidP="002741A0" w:rsidRDefault="007B43A2" w14:paraId="1C9EBEB3" w14:textId="77777777">
      <w:pPr>
        <w:spacing w:after="0" w:line="240" w:lineRule="auto"/>
        <w:rPr>
          <w:sz w:val="22"/>
          <w:szCs w:val="22"/>
        </w:rPr>
      </w:pPr>
    </w:p>
    <w:p w:rsidR="00F53A23" w:rsidP="00B26E4D" w:rsidRDefault="00F53A23" w14:paraId="08E20296" w14:textId="0506D433">
      <w:pPr>
        <w:contextualSpacing/>
        <w:rPr>
          <w:sz w:val="22"/>
          <w:szCs w:val="22"/>
        </w:rPr>
      </w:pPr>
      <w:r>
        <w:rPr>
          <w:sz w:val="22"/>
          <w:szCs w:val="22"/>
        </w:rPr>
        <w:t xml:space="preserve">Each grantee </w:t>
      </w:r>
      <w:r w:rsidR="003F4BDC">
        <w:rPr>
          <w:sz w:val="22"/>
          <w:szCs w:val="22"/>
        </w:rPr>
        <w:t xml:space="preserve">voluntarily </w:t>
      </w:r>
      <w:r>
        <w:rPr>
          <w:sz w:val="22"/>
          <w:szCs w:val="22"/>
        </w:rPr>
        <w:t>applied to participate</w:t>
      </w:r>
      <w:r w:rsidR="00A65E3F">
        <w:rPr>
          <w:sz w:val="22"/>
          <w:szCs w:val="22"/>
        </w:rPr>
        <w:t>.</w:t>
      </w:r>
      <w:r>
        <w:rPr>
          <w:sz w:val="22"/>
          <w:szCs w:val="22"/>
        </w:rPr>
        <w:t xml:space="preserve"> </w:t>
      </w:r>
      <w:r w:rsidR="00A65E3F">
        <w:rPr>
          <w:sz w:val="22"/>
          <w:szCs w:val="22"/>
        </w:rPr>
        <w:t>A</w:t>
      </w:r>
      <w:r>
        <w:rPr>
          <w:sz w:val="22"/>
          <w:szCs w:val="22"/>
        </w:rPr>
        <w:t xml:space="preserve">ll applications underwent a competitive evaluation process </w:t>
      </w:r>
      <w:r w:rsidR="0068527D">
        <w:rPr>
          <w:sz w:val="22"/>
          <w:szCs w:val="22"/>
        </w:rPr>
        <w:t>for final selection of</w:t>
      </w:r>
      <w:r>
        <w:rPr>
          <w:sz w:val="22"/>
          <w:szCs w:val="22"/>
        </w:rPr>
        <w:t xml:space="preserve"> grantees.</w:t>
      </w:r>
    </w:p>
    <w:p w:rsidR="00CE5A32" w:rsidP="00B26E4D" w:rsidRDefault="00CE5A32" w14:paraId="6DA9CB28" w14:textId="77777777">
      <w:pPr>
        <w:contextualSpacing/>
        <w:rPr>
          <w:sz w:val="22"/>
          <w:szCs w:val="22"/>
        </w:rPr>
      </w:pPr>
    </w:p>
    <w:p w:rsidR="00A65E3F" w:rsidP="00B26E4D" w:rsidRDefault="00CA1577" w14:paraId="176DCA61" w14:textId="40C06E80">
      <w:pPr>
        <w:contextualSpacing/>
        <w:rPr>
          <w:sz w:val="22"/>
          <w:szCs w:val="22"/>
        </w:rPr>
      </w:pPr>
      <w:r>
        <w:rPr>
          <w:sz w:val="22"/>
          <w:szCs w:val="22"/>
        </w:rPr>
        <w:t>Each funded jurisdiction conduct</w:t>
      </w:r>
      <w:r w:rsidR="00A65E3F">
        <w:rPr>
          <w:sz w:val="22"/>
          <w:szCs w:val="22"/>
        </w:rPr>
        <w:t>s</w:t>
      </w:r>
      <w:r>
        <w:rPr>
          <w:sz w:val="22"/>
          <w:szCs w:val="22"/>
        </w:rPr>
        <w:t xml:space="preserve"> SURRG activities in at least one STD-specialty clinic and at least one other partnering outpatient healthcare setting or clinic (</w:t>
      </w:r>
      <w:r w:rsidR="00A65E3F">
        <w:rPr>
          <w:sz w:val="22"/>
          <w:szCs w:val="22"/>
        </w:rPr>
        <w:t xml:space="preserve">referred to as a </w:t>
      </w:r>
      <w:r>
        <w:rPr>
          <w:sz w:val="22"/>
          <w:szCs w:val="22"/>
        </w:rPr>
        <w:t>non-STD clinic</w:t>
      </w:r>
      <w:r w:rsidR="00A65E3F">
        <w:rPr>
          <w:sz w:val="22"/>
          <w:szCs w:val="22"/>
        </w:rPr>
        <w:t xml:space="preserve"> healthcare facility</w:t>
      </w:r>
      <w:r>
        <w:rPr>
          <w:sz w:val="22"/>
          <w:szCs w:val="22"/>
        </w:rPr>
        <w:t>). Within participating clinics, a</w:t>
      </w:r>
      <w:r w:rsidR="00E162D3">
        <w:rPr>
          <w:sz w:val="22"/>
          <w:szCs w:val="22"/>
        </w:rPr>
        <w:t xml:space="preserve">ll persons with </w:t>
      </w:r>
      <w:r w:rsidR="00F037F2">
        <w:rPr>
          <w:sz w:val="22"/>
          <w:szCs w:val="22"/>
        </w:rPr>
        <w:t xml:space="preserve">symptoms </w:t>
      </w:r>
      <w:r>
        <w:rPr>
          <w:sz w:val="22"/>
          <w:szCs w:val="22"/>
        </w:rPr>
        <w:t xml:space="preserve">consistent with </w:t>
      </w:r>
      <w:proofErr w:type="spellStart"/>
      <w:r w:rsidR="00A65E3F">
        <w:rPr>
          <w:sz w:val="22"/>
          <w:szCs w:val="22"/>
        </w:rPr>
        <w:t>gonorrhea</w:t>
      </w:r>
      <w:proofErr w:type="spellEnd"/>
      <w:r w:rsidR="00A65E3F">
        <w:rPr>
          <w:sz w:val="22"/>
          <w:szCs w:val="22"/>
        </w:rPr>
        <w:t xml:space="preserve">, </w:t>
      </w:r>
      <w:r>
        <w:rPr>
          <w:sz w:val="22"/>
          <w:szCs w:val="22"/>
        </w:rPr>
        <w:t xml:space="preserve">deemed at elevated risk for </w:t>
      </w:r>
      <w:proofErr w:type="spellStart"/>
      <w:r>
        <w:rPr>
          <w:sz w:val="22"/>
          <w:szCs w:val="22"/>
        </w:rPr>
        <w:t>gonorrhea</w:t>
      </w:r>
      <w:proofErr w:type="spellEnd"/>
      <w:r>
        <w:rPr>
          <w:sz w:val="22"/>
          <w:szCs w:val="22"/>
        </w:rPr>
        <w:t xml:space="preserve"> (such as having recently had sex with a person diagnosed with </w:t>
      </w:r>
      <w:proofErr w:type="spellStart"/>
      <w:r>
        <w:rPr>
          <w:sz w:val="22"/>
          <w:szCs w:val="22"/>
        </w:rPr>
        <w:t>gonorrhea</w:t>
      </w:r>
      <w:proofErr w:type="spellEnd"/>
      <w:r>
        <w:rPr>
          <w:sz w:val="22"/>
          <w:szCs w:val="22"/>
        </w:rPr>
        <w:t>)</w:t>
      </w:r>
      <w:r w:rsidR="00A65E3F">
        <w:rPr>
          <w:sz w:val="22"/>
          <w:szCs w:val="22"/>
        </w:rPr>
        <w:t xml:space="preserve">, or who meet U.S. Preventive Services Task Force </w:t>
      </w:r>
      <w:r w:rsidR="00E72B97">
        <w:rPr>
          <w:sz w:val="22"/>
          <w:szCs w:val="22"/>
        </w:rPr>
        <w:t xml:space="preserve">(USPSTF) </w:t>
      </w:r>
      <w:r w:rsidR="00A65E3F">
        <w:rPr>
          <w:sz w:val="22"/>
          <w:szCs w:val="22"/>
        </w:rPr>
        <w:t>or CDC screening criteria</w:t>
      </w:r>
      <w:r>
        <w:rPr>
          <w:sz w:val="22"/>
          <w:szCs w:val="22"/>
        </w:rPr>
        <w:t xml:space="preserve"> and </w:t>
      </w:r>
      <w:r w:rsidR="00FF3E7E">
        <w:rPr>
          <w:sz w:val="22"/>
          <w:szCs w:val="22"/>
        </w:rPr>
        <w:t xml:space="preserve">presenting </w:t>
      </w:r>
      <w:r>
        <w:rPr>
          <w:sz w:val="22"/>
          <w:szCs w:val="22"/>
        </w:rPr>
        <w:t xml:space="preserve">for care </w:t>
      </w:r>
      <w:r w:rsidR="00B778A1">
        <w:rPr>
          <w:sz w:val="22"/>
          <w:szCs w:val="22"/>
        </w:rPr>
        <w:t>will be tested</w:t>
      </w:r>
      <w:r w:rsidR="00A65E3F">
        <w:rPr>
          <w:sz w:val="22"/>
          <w:szCs w:val="22"/>
        </w:rPr>
        <w:t>/</w:t>
      </w:r>
      <w:r w:rsidR="00B778A1">
        <w:rPr>
          <w:sz w:val="22"/>
          <w:szCs w:val="22"/>
        </w:rPr>
        <w:t xml:space="preserve">screened for </w:t>
      </w:r>
      <w:proofErr w:type="spellStart"/>
      <w:r w:rsidR="00B778A1">
        <w:rPr>
          <w:sz w:val="22"/>
          <w:szCs w:val="22"/>
        </w:rPr>
        <w:t>gonorrhea</w:t>
      </w:r>
      <w:proofErr w:type="spellEnd"/>
      <w:r w:rsidR="00B778A1">
        <w:rPr>
          <w:sz w:val="22"/>
          <w:szCs w:val="22"/>
        </w:rPr>
        <w:t xml:space="preserve"> using culture</w:t>
      </w:r>
      <w:r w:rsidR="00180937">
        <w:rPr>
          <w:sz w:val="22"/>
          <w:szCs w:val="22"/>
        </w:rPr>
        <w:t xml:space="preserve"> and nucleic acid amplification tests (NAATs)</w:t>
      </w:r>
      <w:r w:rsidR="00F520D3">
        <w:rPr>
          <w:sz w:val="22"/>
          <w:szCs w:val="22"/>
        </w:rPr>
        <w:t xml:space="preserve"> in accordance with local standards</w:t>
      </w:r>
      <w:r w:rsidR="00B778A1">
        <w:rPr>
          <w:sz w:val="22"/>
          <w:szCs w:val="22"/>
        </w:rPr>
        <w:t xml:space="preserve">. </w:t>
      </w:r>
    </w:p>
    <w:p w:rsidR="00A65E3F" w:rsidP="00B26E4D" w:rsidRDefault="00A65E3F" w14:paraId="290E1B5C" w14:textId="77777777">
      <w:pPr>
        <w:contextualSpacing/>
        <w:rPr>
          <w:sz w:val="22"/>
          <w:szCs w:val="22"/>
        </w:rPr>
      </w:pPr>
    </w:p>
    <w:p w:rsidR="00134EB3" w:rsidP="00B26E4D" w:rsidRDefault="00F520D3" w14:paraId="070BFA40" w14:textId="23B15216">
      <w:pPr>
        <w:contextualSpacing/>
        <w:rPr>
          <w:sz w:val="22"/>
          <w:szCs w:val="22"/>
        </w:rPr>
      </w:pPr>
      <w:r>
        <w:rPr>
          <w:sz w:val="22"/>
          <w:szCs w:val="22"/>
        </w:rPr>
        <w:t xml:space="preserve">Persons found to be infected with an antibiotic-resistant strain or other gonococcal infection of public health significance will be interviewed </w:t>
      </w:r>
      <w:r w:rsidR="00A65E3F">
        <w:rPr>
          <w:sz w:val="22"/>
          <w:szCs w:val="22"/>
        </w:rPr>
        <w:t xml:space="preserve">by health department staff </w:t>
      </w:r>
      <w:r>
        <w:rPr>
          <w:sz w:val="22"/>
          <w:szCs w:val="22"/>
        </w:rPr>
        <w:t>and re-tested to ensure that the</w:t>
      </w:r>
      <w:r w:rsidR="00A65E3F">
        <w:rPr>
          <w:sz w:val="22"/>
          <w:szCs w:val="22"/>
        </w:rPr>
        <w:t xml:space="preserve">ir infection was cured. </w:t>
      </w:r>
      <w:r>
        <w:rPr>
          <w:sz w:val="22"/>
          <w:szCs w:val="22"/>
        </w:rPr>
        <w:t>Their recent sex</w:t>
      </w:r>
      <w:r w:rsidR="00A65E3F">
        <w:rPr>
          <w:sz w:val="22"/>
          <w:szCs w:val="22"/>
        </w:rPr>
        <w:t xml:space="preserve"> partners</w:t>
      </w:r>
      <w:r>
        <w:rPr>
          <w:sz w:val="22"/>
          <w:szCs w:val="22"/>
        </w:rPr>
        <w:t xml:space="preserve"> will</w:t>
      </w:r>
      <w:r w:rsidR="00A65E3F">
        <w:rPr>
          <w:sz w:val="22"/>
          <w:szCs w:val="22"/>
        </w:rPr>
        <w:t xml:space="preserve"> be rapidly interviewed, tested, and treated </w:t>
      </w:r>
      <w:r>
        <w:rPr>
          <w:sz w:val="22"/>
          <w:szCs w:val="22"/>
        </w:rPr>
        <w:t>to break the chain of transmission.</w:t>
      </w:r>
    </w:p>
    <w:p w:rsidR="00CE5A32" w:rsidP="00B26E4D" w:rsidRDefault="00CE5A32" w14:paraId="6526250D" w14:textId="77777777">
      <w:pPr>
        <w:contextualSpacing/>
        <w:rPr>
          <w:sz w:val="22"/>
          <w:szCs w:val="22"/>
        </w:rPr>
      </w:pPr>
    </w:p>
    <w:p w:rsidRPr="00053051" w:rsidR="001C3844" w:rsidP="00053051" w:rsidRDefault="006C47E9" w14:paraId="15D16837" w14:textId="6C5F6F61">
      <w:pPr>
        <w:pStyle w:val="Heading2"/>
      </w:pPr>
      <w:bookmarkStart w:name="_Toc408480443" w:id="7"/>
      <w:r w:rsidRPr="002741A0">
        <w:t>2</w:t>
      </w:r>
      <w:r w:rsidRPr="002741A0" w:rsidR="00894B32">
        <w:t>.</w:t>
      </w:r>
      <w:r w:rsidR="001665C6">
        <w:t>2</w:t>
      </w:r>
      <w:r w:rsidRPr="002741A0" w:rsidR="00CC7157">
        <w:tab/>
      </w:r>
      <w:r w:rsidRPr="002741A0" w:rsidR="001C3844">
        <w:t xml:space="preserve">Specimen and </w:t>
      </w:r>
      <w:r w:rsidRPr="002741A0" w:rsidR="00CC21D5">
        <w:t>D</w:t>
      </w:r>
      <w:r w:rsidRPr="002741A0" w:rsidR="00642BAD">
        <w:t xml:space="preserve">ata </w:t>
      </w:r>
      <w:r w:rsidRPr="002741A0" w:rsidR="00CC21D5">
        <w:t>C</w:t>
      </w:r>
      <w:r w:rsidRPr="002741A0" w:rsidR="00642BAD">
        <w:t>ollection</w:t>
      </w:r>
      <w:bookmarkEnd w:id="7"/>
    </w:p>
    <w:p w:rsidR="00F520D3" w:rsidP="00E845E2" w:rsidRDefault="00F520D3" w14:paraId="5205E54D" w14:textId="77777777">
      <w:pPr>
        <w:autoSpaceDE w:val="0"/>
        <w:autoSpaceDN w:val="0"/>
        <w:adjustRightInd w:val="0"/>
        <w:rPr>
          <w:sz w:val="22"/>
          <w:szCs w:val="22"/>
        </w:rPr>
      </w:pPr>
    </w:p>
    <w:p w:rsidRPr="00B26E4D" w:rsidR="001C3844" w:rsidP="00E845E2" w:rsidRDefault="001C3844" w14:paraId="1D97C99B" w14:textId="0DC2AED3">
      <w:pPr>
        <w:autoSpaceDE w:val="0"/>
        <w:autoSpaceDN w:val="0"/>
        <w:adjustRightInd w:val="0"/>
        <w:rPr>
          <w:sz w:val="22"/>
          <w:szCs w:val="22"/>
        </w:rPr>
      </w:pPr>
      <w:r>
        <w:rPr>
          <w:sz w:val="22"/>
          <w:szCs w:val="22"/>
        </w:rPr>
        <w:t>SURRG</w:t>
      </w:r>
      <w:r w:rsidRPr="00D54920">
        <w:rPr>
          <w:sz w:val="22"/>
          <w:szCs w:val="22"/>
        </w:rPr>
        <w:t xml:space="preserve"> </w:t>
      </w:r>
      <w:r w:rsidR="00292DB8">
        <w:rPr>
          <w:sz w:val="22"/>
          <w:szCs w:val="22"/>
        </w:rPr>
        <w:t xml:space="preserve">activities </w:t>
      </w:r>
      <w:r w:rsidRPr="00D54920">
        <w:rPr>
          <w:sz w:val="22"/>
          <w:szCs w:val="22"/>
        </w:rPr>
        <w:t xml:space="preserve">will </w:t>
      </w:r>
      <w:r w:rsidR="00A65E3F">
        <w:rPr>
          <w:sz w:val="22"/>
          <w:szCs w:val="22"/>
        </w:rPr>
        <w:t>reinforce and enhance</w:t>
      </w:r>
      <w:r w:rsidRPr="00D54920">
        <w:rPr>
          <w:sz w:val="22"/>
          <w:szCs w:val="22"/>
        </w:rPr>
        <w:t xml:space="preserve"> existing </w:t>
      </w:r>
      <w:r w:rsidRPr="0098453C">
        <w:rPr>
          <w:sz w:val="22"/>
          <w:szCs w:val="22"/>
        </w:rPr>
        <w:t xml:space="preserve">STD surveillance </w:t>
      </w:r>
      <w:r>
        <w:rPr>
          <w:sz w:val="22"/>
          <w:szCs w:val="22"/>
        </w:rPr>
        <w:t xml:space="preserve">and public health infrastructure and </w:t>
      </w:r>
      <w:r w:rsidR="00BC6F5B">
        <w:rPr>
          <w:sz w:val="22"/>
          <w:szCs w:val="22"/>
        </w:rPr>
        <w:t>practices</w:t>
      </w:r>
      <w:r w:rsidRPr="0098453C" w:rsidR="00BC6F5B">
        <w:rPr>
          <w:sz w:val="22"/>
          <w:szCs w:val="22"/>
        </w:rPr>
        <w:t xml:space="preserve"> </w:t>
      </w:r>
      <w:r w:rsidRPr="0098453C">
        <w:rPr>
          <w:sz w:val="22"/>
          <w:szCs w:val="22"/>
        </w:rPr>
        <w:t xml:space="preserve">of the funded jurisdictions. </w:t>
      </w:r>
      <w:r w:rsidRPr="00B26E4D">
        <w:rPr>
          <w:sz w:val="22"/>
          <w:szCs w:val="22"/>
        </w:rPr>
        <w:t>Jurisdictions are required to develop local protocols and data collection instruments (paper and/or electronic) for investigators</w:t>
      </w:r>
      <w:r w:rsidRPr="00B26E4D" w:rsidR="00180937">
        <w:rPr>
          <w:sz w:val="22"/>
          <w:szCs w:val="22"/>
        </w:rPr>
        <w:t xml:space="preserve"> and</w:t>
      </w:r>
      <w:r w:rsidRPr="00B26E4D">
        <w:rPr>
          <w:sz w:val="22"/>
          <w:szCs w:val="22"/>
        </w:rPr>
        <w:t xml:space="preserve"> provide adequate training to </w:t>
      </w:r>
      <w:r w:rsidR="00A65E3F">
        <w:rPr>
          <w:sz w:val="22"/>
          <w:szCs w:val="22"/>
        </w:rPr>
        <w:t>health department staff</w:t>
      </w:r>
      <w:r w:rsidRPr="00B26E4D">
        <w:rPr>
          <w:sz w:val="22"/>
          <w:szCs w:val="22"/>
        </w:rPr>
        <w:t xml:space="preserve"> conducting patient </w:t>
      </w:r>
      <w:r w:rsidR="00BC6F5B">
        <w:rPr>
          <w:sz w:val="22"/>
          <w:szCs w:val="22"/>
        </w:rPr>
        <w:t>and partner</w:t>
      </w:r>
      <w:r w:rsidR="00E72B97">
        <w:rPr>
          <w:sz w:val="22"/>
          <w:szCs w:val="22"/>
        </w:rPr>
        <w:t xml:space="preserve"> contact tracing</w:t>
      </w:r>
      <w:r w:rsidRPr="00B26E4D">
        <w:rPr>
          <w:sz w:val="22"/>
          <w:szCs w:val="22"/>
        </w:rPr>
        <w:t xml:space="preserve">. While ensuring that data elements for SURRG are </w:t>
      </w:r>
      <w:r w:rsidRPr="00B26E4D" w:rsidR="00AB3706">
        <w:rPr>
          <w:sz w:val="22"/>
          <w:szCs w:val="22"/>
        </w:rPr>
        <w:t xml:space="preserve">collected </w:t>
      </w:r>
      <w:r w:rsidRPr="00B26E4D">
        <w:rPr>
          <w:sz w:val="22"/>
          <w:szCs w:val="22"/>
        </w:rPr>
        <w:t xml:space="preserve">systematically and consistently, funded jurisdictions </w:t>
      </w:r>
      <w:r w:rsidR="00BC6F5B">
        <w:rPr>
          <w:sz w:val="22"/>
          <w:szCs w:val="22"/>
        </w:rPr>
        <w:t>can</w:t>
      </w:r>
      <w:r w:rsidRPr="00B26E4D">
        <w:rPr>
          <w:sz w:val="22"/>
          <w:szCs w:val="22"/>
        </w:rPr>
        <w:t xml:space="preserve"> integrate SURRG data collection into </w:t>
      </w:r>
      <w:r w:rsidR="00BC6F5B">
        <w:rPr>
          <w:sz w:val="22"/>
          <w:szCs w:val="22"/>
        </w:rPr>
        <w:t xml:space="preserve">established </w:t>
      </w:r>
      <w:r w:rsidRPr="00B26E4D">
        <w:rPr>
          <w:sz w:val="22"/>
          <w:szCs w:val="22"/>
        </w:rPr>
        <w:t>local partner management and treatment assurance protocols.</w:t>
      </w:r>
    </w:p>
    <w:p w:rsidRPr="002741A0" w:rsidR="00286C9D" w:rsidP="00BA2A66" w:rsidRDefault="001665C6" w14:paraId="2B5B1667" w14:textId="61229954">
      <w:pPr>
        <w:spacing w:before="240"/>
        <w:rPr>
          <w:rFonts w:asciiTheme="majorHAnsi" w:hAnsiTheme="majorHAnsi"/>
          <w:color w:val="374C80" w:themeColor="accent1" w:themeShade="BF"/>
          <w:sz w:val="22"/>
          <w:szCs w:val="22"/>
        </w:rPr>
      </w:pPr>
      <w:r w:rsidRPr="00703776">
        <w:rPr>
          <w:rFonts w:asciiTheme="majorHAnsi" w:hAnsiTheme="majorHAnsi"/>
          <w:color w:val="374C80" w:themeColor="accent1" w:themeShade="BF"/>
          <w:sz w:val="24"/>
          <w:szCs w:val="24"/>
        </w:rPr>
        <w:t>2.2.1</w:t>
      </w:r>
      <w:r w:rsidRPr="002741A0" w:rsidR="00D13C82">
        <w:rPr>
          <w:rFonts w:asciiTheme="majorHAnsi" w:hAnsiTheme="majorHAnsi"/>
          <w:color w:val="374C80" w:themeColor="accent1" w:themeShade="BF"/>
          <w:sz w:val="24"/>
          <w:szCs w:val="24"/>
        </w:rPr>
        <w:t xml:space="preserve"> </w:t>
      </w:r>
      <w:r w:rsidRPr="002741A0" w:rsidR="00286C9D">
        <w:rPr>
          <w:rFonts w:asciiTheme="majorHAnsi" w:hAnsiTheme="majorHAnsi"/>
          <w:color w:val="374C80" w:themeColor="accent1" w:themeShade="BF"/>
          <w:sz w:val="24"/>
          <w:szCs w:val="24"/>
        </w:rPr>
        <w:t>S</w:t>
      </w:r>
      <w:r w:rsidRPr="002741A0" w:rsidR="00366026">
        <w:rPr>
          <w:rFonts w:asciiTheme="majorHAnsi" w:hAnsiTheme="majorHAnsi"/>
          <w:color w:val="374C80" w:themeColor="accent1" w:themeShade="BF"/>
          <w:sz w:val="24"/>
          <w:szCs w:val="24"/>
        </w:rPr>
        <w:t xml:space="preserve">pecimen collection </w:t>
      </w:r>
      <w:r w:rsidRPr="002741A0" w:rsidR="00D13C82">
        <w:rPr>
          <w:rFonts w:asciiTheme="majorHAnsi" w:hAnsiTheme="majorHAnsi"/>
          <w:color w:val="374C80" w:themeColor="accent1" w:themeShade="BF"/>
          <w:sz w:val="24"/>
          <w:szCs w:val="24"/>
        </w:rPr>
        <w:t>and</w:t>
      </w:r>
      <w:r w:rsidRPr="002741A0" w:rsidR="00366026">
        <w:rPr>
          <w:rFonts w:asciiTheme="majorHAnsi" w:hAnsiTheme="majorHAnsi"/>
          <w:color w:val="374C80" w:themeColor="accent1" w:themeShade="BF"/>
          <w:sz w:val="24"/>
          <w:szCs w:val="24"/>
        </w:rPr>
        <w:t xml:space="preserve"> </w:t>
      </w:r>
      <w:r w:rsidRPr="002741A0" w:rsidR="00D13C82">
        <w:rPr>
          <w:rFonts w:asciiTheme="majorHAnsi" w:hAnsiTheme="majorHAnsi"/>
          <w:color w:val="374C80" w:themeColor="accent1" w:themeShade="BF"/>
          <w:sz w:val="24"/>
          <w:szCs w:val="24"/>
        </w:rPr>
        <w:t>testing</w:t>
      </w:r>
      <w:r w:rsidRPr="002741A0" w:rsidR="00D13C82">
        <w:rPr>
          <w:rFonts w:asciiTheme="majorHAnsi" w:hAnsiTheme="majorHAnsi"/>
          <w:color w:val="374C80" w:themeColor="accent1" w:themeShade="BF"/>
          <w:sz w:val="22"/>
          <w:szCs w:val="22"/>
        </w:rPr>
        <w:t xml:space="preserve"> </w:t>
      </w:r>
    </w:p>
    <w:p w:rsidR="00E72B97" w:rsidP="00B26E4D" w:rsidRDefault="00F520D3" w14:paraId="3A013967" w14:textId="1DB0F6B6">
      <w:pPr>
        <w:autoSpaceDE w:val="0"/>
        <w:autoSpaceDN w:val="0"/>
        <w:adjustRightInd w:val="0"/>
        <w:rPr>
          <w:sz w:val="22"/>
          <w:szCs w:val="22"/>
        </w:rPr>
      </w:pPr>
      <w:r>
        <w:rPr>
          <w:sz w:val="22"/>
          <w:szCs w:val="22"/>
        </w:rPr>
        <w:t xml:space="preserve">Clinicians in participating clinics will </w:t>
      </w:r>
      <w:r w:rsidRPr="001723B0" w:rsidR="00B778A1">
        <w:rPr>
          <w:sz w:val="22"/>
          <w:szCs w:val="22"/>
        </w:rPr>
        <w:t xml:space="preserve">screen </w:t>
      </w:r>
      <w:r w:rsidR="00E72B97">
        <w:rPr>
          <w:sz w:val="22"/>
          <w:szCs w:val="22"/>
        </w:rPr>
        <w:t xml:space="preserve">and test </w:t>
      </w:r>
      <w:r w:rsidRPr="001723B0" w:rsidR="00B778A1">
        <w:rPr>
          <w:sz w:val="22"/>
          <w:szCs w:val="22"/>
        </w:rPr>
        <w:t xml:space="preserve">for </w:t>
      </w:r>
      <w:proofErr w:type="spellStart"/>
      <w:r w:rsidR="00B778A1">
        <w:rPr>
          <w:sz w:val="22"/>
          <w:szCs w:val="22"/>
        </w:rPr>
        <w:t>gonorrhea</w:t>
      </w:r>
      <w:proofErr w:type="spellEnd"/>
      <w:r w:rsidRPr="001723B0" w:rsidR="00B778A1">
        <w:rPr>
          <w:sz w:val="22"/>
          <w:szCs w:val="22"/>
        </w:rPr>
        <w:t xml:space="preserve"> according to </w:t>
      </w:r>
      <w:r>
        <w:rPr>
          <w:sz w:val="22"/>
          <w:szCs w:val="22"/>
        </w:rPr>
        <w:t>local protocols</w:t>
      </w:r>
      <w:r w:rsidR="00E72B97">
        <w:rPr>
          <w:sz w:val="22"/>
          <w:szCs w:val="22"/>
        </w:rPr>
        <w:t>, USPSTF guidance,</w:t>
      </w:r>
      <w:r>
        <w:rPr>
          <w:sz w:val="22"/>
          <w:szCs w:val="22"/>
        </w:rPr>
        <w:t xml:space="preserve"> and </w:t>
      </w:r>
      <w:r w:rsidRPr="001723B0" w:rsidR="00B778A1">
        <w:rPr>
          <w:sz w:val="22"/>
          <w:szCs w:val="22"/>
        </w:rPr>
        <w:t xml:space="preserve">current </w:t>
      </w:r>
      <w:r w:rsidR="00B778A1">
        <w:rPr>
          <w:sz w:val="22"/>
          <w:szCs w:val="22"/>
        </w:rPr>
        <w:t xml:space="preserve">CDC </w:t>
      </w:r>
      <w:r w:rsidRPr="001723B0" w:rsidR="00B778A1">
        <w:rPr>
          <w:sz w:val="22"/>
          <w:szCs w:val="22"/>
        </w:rPr>
        <w:t>STD treatment guidelines</w:t>
      </w:r>
      <w:r w:rsidR="00E72B97">
        <w:rPr>
          <w:sz w:val="22"/>
          <w:szCs w:val="22"/>
        </w:rPr>
        <w:t>.</w:t>
      </w:r>
      <w:r w:rsidR="0092757C">
        <w:rPr>
          <w:sz w:val="22"/>
          <w:szCs w:val="22"/>
        </w:rPr>
        <w:t xml:space="preserve"> </w:t>
      </w:r>
      <w:r w:rsidR="00E72B97">
        <w:rPr>
          <w:sz w:val="22"/>
          <w:szCs w:val="22"/>
        </w:rPr>
        <w:t xml:space="preserve">Clinicians </w:t>
      </w:r>
      <w:r>
        <w:rPr>
          <w:sz w:val="22"/>
          <w:szCs w:val="22"/>
        </w:rPr>
        <w:t xml:space="preserve">will collect specimens for NAAT and </w:t>
      </w:r>
      <w:r w:rsidR="0092757C">
        <w:rPr>
          <w:sz w:val="22"/>
          <w:szCs w:val="22"/>
        </w:rPr>
        <w:t xml:space="preserve">culture </w:t>
      </w:r>
      <w:r>
        <w:rPr>
          <w:sz w:val="22"/>
          <w:szCs w:val="22"/>
        </w:rPr>
        <w:t>(</w:t>
      </w:r>
      <w:r w:rsidR="0092757C">
        <w:rPr>
          <w:sz w:val="22"/>
          <w:szCs w:val="22"/>
        </w:rPr>
        <w:t xml:space="preserve">as described in the </w:t>
      </w:r>
      <w:proofErr w:type="spellStart"/>
      <w:r w:rsidR="0092757C">
        <w:rPr>
          <w:sz w:val="22"/>
          <w:szCs w:val="22"/>
        </w:rPr>
        <w:t>Etest</w:t>
      </w:r>
      <w:proofErr w:type="spellEnd"/>
      <w:r w:rsidR="0092757C">
        <w:rPr>
          <w:sz w:val="22"/>
          <w:szCs w:val="22"/>
        </w:rPr>
        <w:t xml:space="preserve"> </w:t>
      </w:r>
      <w:r w:rsidRPr="00257BCD" w:rsidR="0092757C">
        <w:rPr>
          <w:sz w:val="22"/>
          <w:szCs w:val="22"/>
        </w:rPr>
        <w:t xml:space="preserve">protocol </w:t>
      </w:r>
      <w:r w:rsidR="00B778A1">
        <w:rPr>
          <w:sz w:val="22"/>
          <w:szCs w:val="22"/>
        </w:rPr>
        <w:t>from relevant anatomic site</w:t>
      </w:r>
      <w:r>
        <w:rPr>
          <w:sz w:val="22"/>
          <w:szCs w:val="22"/>
        </w:rPr>
        <w:t>s</w:t>
      </w:r>
      <w:r w:rsidR="00B778A1">
        <w:rPr>
          <w:sz w:val="22"/>
          <w:szCs w:val="22"/>
        </w:rPr>
        <w:t xml:space="preserve">. </w:t>
      </w:r>
      <w:r w:rsidR="00F17AA9">
        <w:rPr>
          <w:sz w:val="22"/>
          <w:szCs w:val="22"/>
        </w:rPr>
        <w:t>Performance of NAAT provides excellent sensitivity</w:t>
      </w:r>
      <w:r w:rsidR="00180937">
        <w:rPr>
          <w:sz w:val="22"/>
          <w:szCs w:val="22"/>
        </w:rPr>
        <w:t xml:space="preserve"> for </w:t>
      </w:r>
      <w:r w:rsidRPr="00190638" w:rsidR="00180937">
        <w:rPr>
          <w:i/>
          <w:sz w:val="22"/>
          <w:szCs w:val="22"/>
        </w:rPr>
        <w:t>N. gonorrhoeae</w:t>
      </w:r>
      <w:r w:rsidR="00F17AA9">
        <w:rPr>
          <w:sz w:val="22"/>
          <w:szCs w:val="22"/>
        </w:rPr>
        <w:t xml:space="preserve">, allowing clinicians to diagnose </w:t>
      </w:r>
      <w:proofErr w:type="spellStart"/>
      <w:r>
        <w:rPr>
          <w:sz w:val="22"/>
          <w:szCs w:val="22"/>
        </w:rPr>
        <w:t>gonorrhea</w:t>
      </w:r>
      <w:proofErr w:type="spellEnd"/>
      <w:r w:rsidR="00E72B97">
        <w:rPr>
          <w:sz w:val="22"/>
          <w:szCs w:val="22"/>
        </w:rPr>
        <w:t xml:space="preserve"> with a high degree of accuracy</w:t>
      </w:r>
      <w:r>
        <w:rPr>
          <w:sz w:val="22"/>
          <w:szCs w:val="22"/>
        </w:rPr>
        <w:t>. P</w:t>
      </w:r>
      <w:r w:rsidR="00F17AA9">
        <w:rPr>
          <w:sz w:val="22"/>
          <w:szCs w:val="22"/>
        </w:rPr>
        <w:t xml:space="preserve">erformance of culture provides the opportunity to conduct </w:t>
      </w:r>
      <w:r>
        <w:rPr>
          <w:sz w:val="22"/>
          <w:szCs w:val="22"/>
        </w:rPr>
        <w:t>antibiotic susceptibility testing (</w:t>
      </w:r>
      <w:r w:rsidR="00F17AA9">
        <w:rPr>
          <w:sz w:val="22"/>
          <w:szCs w:val="22"/>
        </w:rPr>
        <w:t>AST</w:t>
      </w:r>
      <w:r>
        <w:rPr>
          <w:sz w:val="22"/>
          <w:szCs w:val="22"/>
        </w:rPr>
        <w:t>)</w:t>
      </w:r>
      <w:r w:rsidR="00E72B97">
        <w:rPr>
          <w:sz w:val="22"/>
          <w:szCs w:val="22"/>
        </w:rPr>
        <w:t xml:space="preserve"> </w:t>
      </w:r>
      <w:r w:rsidR="00F17AA9">
        <w:rPr>
          <w:sz w:val="22"/>
          <w:szCs w:val="22"/>
        </w:rPr>
        <w:t xml:space="preserve">for patient care and public health </w:t>
      </w:r>
      <w:r w:rsidR="00E72B97">
        <w:rPr>
          <w:sz w:val="22"/>
          <w:szCs w:val="22"/>
        </w:rPr>
        <w:t>detection</w:t>
      </w:r>
      <w:r w:rsidR="00F17AA9">
        <w:rPr>
          <w:sz w:val="22"/>
          <w:szCs w:val="22"/>
        </w:rPr>
        <w:t xml:space="preserve"> of resistance. Persons diagnosed with </w:t>
      </w:r>
      <w:proofErr w:type="spellStart"/>
      <w:r w:rsidR="00F17AA9">
        <w:rPr>
          <w:sz w:val="22"/>
          <w:szCs w:val="22"/>
        </w:rPr>
        <w:t>gonorrhea</w:t>
      </w:r>
      <w:proofErr w:type="spellEnd"/>
      <w:r w:rsidR="00F17AA9">
        <w:rPr>
          <w:sz w:val="22"/>
          <w:szCs w:val="22"/>
        </w:rPr>
        <w:t xml:space="preserve"> will be treated according to </w:t>
      </w:r>
      <w:r w:rsidR="00E72B97">
        <w:rPr>
          <w:sz w:val="22"/>
          <w:szCs w:val="22"/>
        </w:rPr>
        <w:t xml:space="preserve">the most up-to-date </w:t>
      </w:r>
      <w:r w:rsidR="00F17AA9">
        <w:rPr>
          <w:sz w:val="22"/>
          <w:szCs w:val="22"/>
        </w:rPr>
        <w:t>CDC STD Treatment Guidelines</w:t>
      </w:r>
      <w:r w:rsidR="00C36E54">
        <w:rPr>
          <w:sz w:val="22"/>
          <w:szCs w:val="22"/>
        </w:rPr>
        <w:t>.</w:t>
      </w:r>
      <w:r w:rsidR="00F17AA9">
        <w:rPr>
          <w:sz w:val="22"/>
          <w:szCs w:val="22"/>
        </w:rPr>
        <w:t xml:space="preserve"> </w:t>
      </w:r>
      <w:r w:rsidR="00E72B97">
        <w:rPr>
          <w:sz w:val="22"/>
          <w:szCs w:val="22"/>
        </w:rPr>
        <w:t xml:space="preserve">Consistent with routine clinical care, epidemiological and clinical data will be collected from patients during the clinical encounter (see below). </w:t>
      </w:r>
      <w:r w:rsidR="00C36E54">
        <w:rPr>
          <w:sz w:val="22"/>
          <w:szCs w:val="22"/>
        </w:rPr>
        <w:t>P</w:t>
      </w:r>
      <w:r w:rsidR="00F17AA9">
        <w:rPr>
          <w:sz w:val="22"/>
          <w:szCs w:val="22"/>
        </w:rPr>
        <w:t>artner</w:t>
      </w:r>
      <w:r w:rsidR="00E72B97">
        <w:rPr>
          <w:sz w:val="22"/>
          <w:szCs w:val="22"/>
        </w:rPr>
        <w:t xml:space="preserve"> services</w:t>
      </w:r>
      <w:r w:rsidR="00F17AA9">
        <w:rPr>
          <w:sz w:val="22"/>
          <w:szCs w:val="22"/>
        </w:rPr>
        <w:t xml:space="preserve"> will be provided </w:t>
      </w:r>
      <w:r w:rsidR="00BC6F5B">
        <w:rPr>
          <w:sz w:val="22"/>
          <w:szCs w:val="22"/>
        </w:rPr>
        <w:t>by the local</w:t>
      </w:r>
      <w:r w:rsidR="00E72B97">
        <w:rPr>
          <w:sz w:val="22"/>
          <w:szCs w:val="22"/>
        </w:rPr>
        <w:t xml:space="preserve"> or state</w:t>
      </w:r>
      <w:r w:rsidR="00BC6F5B">
        <w:rPr>
          <w:sz w:val="22"/>
          <w:szCs w:val="22"/>
        </w:rPr>
        <w:t xml:space="preserve"> public health STD program </w:t>
      </w:r>
      <w:r w:rsidR="00F17AA9">
        <w:rPr>
          <w:sz w:val="22"/>
          <w:szCs w:val="22"/>
        </w:rPr>
        <w:t xml:space="preserve">according to CDC STD Treatment Guidelines as adapted for local </w:t>
      </w:r>
      <w:r w:rsidR="00E72B97">
        <w:rPr>
          <w:sz w:val="22"/>
          <w:szCs w:val="22"/>
        </w:rPr>
        <w:t xml:space="preserve">or state </w:t>
      </w:r>
      <w:r w:rsidR="00F17AA9">
        <w:rPr>
          <w:sz w:val="22"/>
          <w:szCs w:val="22"/>
        </w:rPr>
        <w:t xml:space="preserve">resources and practices, and when relevant, </w:t>
      </w:r>
      <w:r w:rsidR="00D038CF">
        <w:rPr>
          <w:sz w:val="22"/>
          <w:szCs w:val="22"/>
        </w:rPr>
        <w:t xml:space="preserve">the </w:t>
      </w:r>
      <w:r w:rsidR="00F17AA9">
        <w:rPr>
          <w:sz w:val="22"/>
          <w:szCs w:val="22"/>
        </w:rPr>
        <w:t>SURRG protocol</w:t>
      </w:r>
      <w:r w:rsidR="00CE0FF0">
        <w:rPr>
          <w:sz w:val="22"/>
          <w:szCs w:val="22"/>
        </w:rPr>
        <w:t xml:space="preserve"> (see laboratory and interview data sections</w:t>
      </w:r>
      <w:r w:rsidR="00990486">
        <w:rPr>
          <w:sz w:val="22"/>
          <w:szCs w:val="22"/>
        </w:rPr>
        <w:t xml:space="preserve"> below</w:t>
      </w:r>
      <w:r w:rsidR="00CE0FF0">
        <w:rPr>
          <w:sz w:val="22"/>
          <w:szCs w:val="22"/>
        </w:rPr>
        <w:t>)</w:t>
      </w:r>
      <w:r w:rsidR="00F17AA9">
        <w:rPr>
          <w:sz w:val="22"/>
          <w:szCs w:val="22"/>
        </w:rPr>
        <w:t xml:space="preserve">. </w:t>
      </w:r>
    </w:p>
    <w:p w:rsidR="00A9231C" w:rsidP="00B26E4D" w:rsidRDefault="00E72B97" w14:paraId="2E1D92E8" w14:textId="250A7A0E">
      <w:pPr>
        <w:autoSpaceDE w:val="0"/>
        <w:autoSpaceDN w:val="0"/>
        <w:adjustRightInd w:val="0"/>
        <w:rPr>
          <w:sz w:val="22"/>
          <w:szCs w:val="22"/>
        </w:rPr>
      </w:pPr>
      <w:r>
        <w:rPr>
          <w:sz w:val="22"/>
          <w:szCs w:val="22"/>
        </w:rPr>
        <w:t xml:space="preserve">Culture specimens will be transported to the local public health laboratory (PHL) for culture and bacterial isolation. </w:t>
      </w:r>
      <w:r w:rsidRPr="00190638" w:rsidR="00DC1B6F">
        <w:rPr>
          <w:i/>
          <w:sz w:val="22"/>
          <w:szCs w:val="22"/>
        </w:rPr>
        <w:t>N. gonorrhoeae</w:t>
      </w:r>
      <w:r w:rsidR="00DC1B6F">
        <w:rPr>
          <w:sz w:val="22"/>
          <w:szCs w:val="22"/>
        </w:rPr>
        <w:t xml:space="preserve"> isolates</w:t>
      </w:r>
      <w:r w:rsidR="00D13C82">
        <w:rPr>
          <w:sz w:val="22"/>
          <w:szCs w:val="22"/>
        </w:rPr>
        <w:t xml:space="preserve"> </w:t>
      </w:r>
      <w:r w:rsidR="00F17AA9">
        <w:rPr>
          <w:sz w:val="22"/>
          <w:szCs w:val="22"/>
        </w:rPr>
        <w:t>will</w:t>
      </w:r>
      <w:r>
        <w:rPr>
          <w:sz w:val="22"/>
          <w:szCs w:val="22"/>
        </w:rPr>
        <w:t xml:space="preserve"> </w:t>
      </w:r>
      <w:r w:rsidR="00F17AA9">
        <w:rPr>
          <w:sz w:val="22"/>
          <w:szCs w:val="22"/>
        </w:rPr>
        <w:t xml:space="preserve">rapidly undergo AST by </w:t>
      </w:r>
      <w:proofErr w:type="spellStart"/>
      <w:r w:rsidR="00F17AA9">
        <w:rPr>
          <w:sz w:val="22"/>
          <w:szCs w:val="22"/>
        </w:rPr>
        <w:t>Etest</w:t>
      </w:r>
      <w:proofErr w:type="spellEnd"/>
      <w:r w:rsidR="00366026">
        <w:rPr>
          <w:sz w:val="22"/>
          <w:szCs w:val="22"/>
        </w:rPr>
        <w:t xml:space="preserve">. </w:t>
      </w:r>
    </w:p>
    <w:p w:rsidR="00E72B97" w:rsidP="00C50BF0" w:rsidRDefault="001665C6" w14:paraId="30876C27" w14:textId="1AC6371E">
      <w:pPr>
        <w:spacing w:before="240"/>
        <w:rPr>
          <w:rFonts w:asciiTheme="majorHAnsi" w:hAnsiTheme="majorHAnsi"/>
          <w:color w:val="374C80" w:themeColor="accent1" w:themeShade="BF"/>
          <w:sz w:val="24"/>
          <w:szCs w:val="24"/>
        </w:rPr>
      </w:pPr>
      <w:r w:rsidRPr="002741A0">
        <w:rPr>
          <w:rFonts w:asciiTheme="majorHAnsi" w:hAnsiTheme="majorHAnsi"/>
          <w:color w:val="374C80" w:themeColor="accent1" w:themeShade="BF"/>
          <w:sz w:val="24"/>
          <w:szCs w:val="24"/>
        </w:rPr>
        <w:t>2.</w:t>
      </w:r>
      <w:r w:rsidRPr="00703776">
        <w:rPr>
          <w:rFonts w:asciiTheme="majorHAnsi" w:hAnsiTheme="majorHAnsi"/>
          <w:color w:val="374C80" w:themeColor="accent1" w:themeShade="BF"/>
          <w:sz w:val="24"/>
          <w:szCs w:val="24"/>
        </w:rPr>
        <w:t>2</w:t>
      </w:r>
      <w:r w:rsidRPr="002741A0">
        <w:rPr>
          <w:rFonts w:asciiTheme="majorHAnsi" w:hAnsiTheme="majorHAnsi"/>
          <w:color w:val="374C80" w:themeColor="accent1" w:themeShade="BF"/>
          <w:sz w:val="24"/>
          <w:szCs w:val="24"/>
        </w:rPr>
        <w:t>.2</w:t>
      </w:r>
      <w:r w:rsidRPr="002741A0" w:rsidR="00D13C82">
        <w:rPr>
          <w:rFonts w:asciiTheme="majorHAnsi" w:hAnsiTheme="majorHAnsi"/>
          <w:color w:val="374C80" w:themeColor="accent1" w:themeShade="BF"/>
          <w:sz w:val="24"/>
          <w:szCs w:val="24"/>
        </w:rPr>
        <w:t xml:space="preserve"> </w:t>
      </w:r>
      <w:r w:rsidR="00E72B97">
        <w:rPr>
          <w:rFonts w:asciiTheme="majorHAnsi" w:hAnsiTheme="majorHAnsi"/>
          <w:color w:val="374C80" w:themeColor="accent1" w:themeShade="BF"/>
          <w:sz w:val="24"/>
          <w:szCs w:val="24"/>
        </w:rPr>
        <w:t>Interpretation of Antibiotic Susceptibility Testing (AST)</w:t>
      </w:r>
    </w:p>
    <w:p w:rsidR="00E72B97" w:rsidP="00E72B97" w:rsidRDefault="00E72B97" w14:paraId="124AB0C9" w14:textId="3E218ABA">
      <w:pPr>
        <w:autoSpaceDE w:val="0"/>
        <w:autoSpaceDN w:val="0"/>
        <w:adjustRightInd w:val="0"/>
        <w:rPr>
          <w:sz w:val="22"/>
          <w:szCs w:val="22"/>
        </w:rPr>
      </w:pPr>
      <w:proofErr w:type="spellStart"/>
      <w:r>
        <w:rPr>
          <w:sz w:val="22"/>
          <w:szCs w:val="22"/>
        </w:rPr>
        <w:lastRenderedPageBreak/>
        <w:t>Etest</w:t>
      </w:r>
      <w:proofErr w:type="spellEnd"/>
      <w:r>
        <w:rPr>
          <w:sz w:val="22"/>
          <w:szCs w:val="22"/>
        </w:rPr>
        <w:t xml:space="preserve"> and agar dilution AST methods are used to </w:t>
      </w:r>
      <w:r w:rsidRPr="009577BD">
        <w:rPr>
          <w:sz w:val="22"/>
          <w:szCs w:val="22"/>
        </w:rPr>
        <w:t xml:space="preserve">measure the growth of </w:t>
      </w:r>
      <w:r w:rsidRPr="009627C6">
        <w:rPr>
          <w:i/>
          <w:sz w:val="22"/>
          <w:szCs w:val="22"/>
        </w:rPr>
        <w:t>N. gonorrhoeae</w:t>
      </w:r>
      <w:r w:rsidRPr="009577BD">
        <w:rPr>
          <w:sz w:val="22"/>
          <w:szCs w:val="22"/>
        </w:rPr>
        <w:t xml:space="preserve"> on </w:t>
      </w:r>
      <w:r>
        <w:rPr>
          <w:sz w:val="22"/>
          <w:szCs w:val="22"/>
        </w:rPr>
        <w:t xml:space="preserve">a </w:t>
      </w:r>
      <w:r w:rsidRPr="009577BD">
        <w:rPr>
          <w:sz w:val="22"/>
          <w:szCs w:val="22"/>
        </w:rPr>
        <w:t xml:space="preserve">GC base agar medium in presence of </w:t>
      </w:r>
      <w:r>
        <w:rPr>
          <w:sz w:val="22"/>
          <w:szCs w:val="22"/>
        </w:rPr>
        <w:t xml:space="preserve">the </w:t>
      </w:r>
      <w:r w:rsidRPr="009577BD">
        <w:rPr>
          <w:sz w:val="22"/>
          <w:szCs w:val="22"/>
        </w:rPr>
        <w:t>antimicrobial agent</w:t>
      </w:r>
      <w:r>
        <w:rPr>
          <w:sz w:val="22"/>
          <w:szCs w:val="22"/>
        </w:rPr>
        <w:t>s</w:t>
      </w:r>
      <w:r w:rsidRPr="009577BD">
        <w:rPr>
          <w:sz w:val="22"/>
          <w:szCs w:val="22"/>
        </w:rPr>
        <w:t xml:space="preserve"> at varying concentrations</w:t>
      </w:r>
      <w:r>
        <w:rPr>
          <w:sz w:val="22"/>
          <w:szCs w:val="22"/>
        </w:rPr>
        <w:t xml:space="preserve"> to determine antibiotic susceptibility and provide results as minimum inhibitory concentrations (MICs) (the lowest concentration of antibiotic that inhibits growth of the bacteria in the laboratory). The Clinical Laboratory Standards Institute (CLSI) have established susceptibility breakpoints for cefixime and ceftriaxone (MICs </w:t>
      </w:r>
      <w:r>
        <w:rPr>
          <w:rFonts w:cstheme="minorHAnsi"/>
          <w:sz w:val="22"/>
          <w:szCs w:val="22"/>
        </w:rPr>
        <w:t>≤</w:t>
      </w:r>
      <w:r w:rsidR="00322D7A">
        <w:rPr>
          <w:rFonts w:cstheme="minorHAnsi"/>
          <w:sz w:val="22"/>
          <w:szCs w:val="22"/>
        </w:rPr>
        <w:t> </w:t>
      </w:r>
      <w:r>
        <w:rPr>
          <w:sz w:val="22"/>
          <w:szCs w:val="22"/>
        </w:rPr>
        <w:t xml:space="preserve">0.25 </w:t>
      </w:r>
      <w:proofErr w:type="spellStart"/>
      <w:r>
        <w:rPr>
          <w:rFonts w:cstheme="minorHAnsi"/>
          <w:sz w:val="22"/>
          <w:szCs w:val="22"/>
        </w:rPr>
        <w:t>μ</w:t>
      </w:r>
      <w:r>
        <w:rPr>
          <w:sz w:val="22"/>
          <w:szCs w:val="22"/>
        </w:rPr>
        <w:t>g</w:t>
      </w:r>
      <w:proofErr w:type="spellEnd"/>
      <w:r>
        <w:rPr>
          <w:sz w:val="22"/>
          <w:szCs w:val="22"/>
        </w:rPr>
        <w:t>/ml)</w:t>
      </w:r>
    </w:p>
    <w:p w:rsidR="00E72B97" w:rsidP="00E72B97" w:rsidRDefault="00E72B97" w14:paraId="45DC726F" w14:textId="27D3D38B">
      <w:pPr>
        <w:autoSpaceDE w:val="0"/>
        <w:autoSpaceDN w:val="0"/>
        <w:adjustRightInd w:val="0"/>
        <w:rPr>
          <w:sz w:val="22"/>
          <w:szCs w:val="22"/>
        </w:rPr>
      </w:pPr>
      <w:r w:rsidRPr="00DC5932">
        <w:rPr>
          <w:sz w:val="22"/>
          <w:szCs w:val="22"/>
        </w:rPr>
        <w:t xml:space="preserve">For surveillance and programmatic purposes, SURRG </w:t>
      </w:r>
      <w:r w:rsidR="00322D7A">
        <w:rPr>
          <w:sz w:val="22"/>
          <w:szCs w:val="22"/>
        </w:rPr>
        <w:t xml:space="preserve">has set lower breakpoints to identify emerging antibiotic resistance threats. These MIC breakpoints are referred to within SURRG as demonstrating reduced susceptibility (Table 1). The local or state PHL will </w:t>
      </w:r>
      <w:r>
        <w:rPr>
          <w:sz w:val="22"/>
          <w:szCs w:val="22"/>
        </w:rPr>
        <w:t>rapidly communicate AST results demonstrating reduced susceptibility to the site SURRG e</w:t>
      </w:r>
      <w:r w:rsidRPr="0098453C">
        <w:rPr>
          <w:sz w:val="22"/>
          <w:szCs w:val="22"/>
        </w:rPr>
        <w:t>pi</w:t>
      </w:r>
      <w:r>
        <w:rPr>
          <w:sz w:val="22"/>
          <w:szCs w:val="22"/>
        </w:rPr>
        <w:t>demiological</w:t>
      </w:r>
      <w:r w:rsidRPr="0098453C">
        <w:rPr>
          <w:sz w:val="22"/>
          <w:szCs w:val="22"/>
        </w:rPr>
        <w:t xml:space="preserve"> coordinator</w:t>
      </w:r>
      <w:r>
        <w:rPr>
          <w:sz w:val="22"/>
          <w:szCs w:val="22"/>
        </w:rPr>
        <w:t>, who will in turn</w:t>
      </w:r>
      <w:r w:rsidRPr="0098453C">
        <w:rPr>
          <w:sz w:val="22"/>
          <w:szCs w:val="22"/>
        </w:rPr>
        <w:t xml:space="preserve"> initiate </w:t>
      </w:r>
      <w:r>
        <w:rPr>
          <w:sz w:val="22"/>
          <w:szCs w:val="22"/>
        </w:rPr>
        <w:t xml:space="preserve">a SURRG field investigation and notify CDC. </w:t>
      </w:r>
    </w:p>
    <w:p w:rsidR="00322D7A" w:rsidP="00E72B97" w:rsidRDefault="00322D7A" w14:paraId="4991FD58" w14:textId="27198541">
      <w:pPr>
        <w:autoSpaceDE w:val="0"/>
        <w:autoSpaceDN w:val="0"/>
        <w:adjustRightInd w:val="0"/>
        <w:rPr>
          <w:sz w:val="22"/>
          <w:szCs w:val="22"/>
        </w:rPr>
      </w:pPr>
      <w:r>
        <w:rPr>
          <w:sz w:val="22"/>
          <w:szCs w:val="22"/>
        </w:rPr>
        <w:t>SURRG has also defined MIC breakpoints that may represent an urgent public health concern and for which the AST results should be urgently confirmed. These are referred to within SURRG as “Quick Send” MIC values, reflecting that isolates demonstrating these MICs will be rapidly transported to CDC for confirmatory testing.</w:t>
      </w:r>
    </w:p>
    <w:p w:rsidR="00E72B97" w:rsidP="00E72B97" w:rsidRDefault="00E72B97" w14:paraId="351EDEE5" w14:textId="4AE60010">
      <w:pPr>
        <w:autoSpaceDE w:val="0"/>
        <w:autoSpaceDN w:val="0"/>
        <w:adjustRightInd w:val="0"/>
        <w:rPr>
          <w:sz w:val="22"/>
          <w:szCs w:val="22"/>
        </w:rPr>
      </w:pPr>
      <w:r>
        <w:rPr>
          <w:sz w:val="22"/>
          <w:szCs w:val="22"/>
        </w:rPr>
        <w:t xml:space="preserve">Funded jurisdictions may opt to conduct </w:t>
      </w:r>
      <w:r w:rsidR="00322D7A">
        <w:rPr>
          <w:sz w:val="22"/>
          <w:szCs w:val="22"/>
        </w:rPr>
        <w:t xml:space="preserve">AST on additional antibiotics, </w:t>
      </w:r>
      <w:r>
        <w:rPr>
          <w:sz w:val="22"/>
          <w:szCs w:val="22"/>
        </w:rPr>
        <w:t>but jurisdictions may be limited in use of SURRG funds for such testing.</w:t>
      </w:r>
      <w:r w:rsidR="00322D7A">
        <w:rPr>
          <w:sz w:val="22"/>
          <w:szCs w:val="22"/>
        </w:rPr>
        <w:t xml:space="preserve"> </w:t>
      </w:r>
    </w:p>
    <w:p w:rsidR="00E72B97" w:rsidP="00E72B97" w:rsidRDefault="00E72B97" w14:paraId="7C59D779" w14:textId="72A81637">
      <w:pPr>
        <w:spacing w:before="240"/>
        <w:rPr>
          <w:sz w:val="22"/>
          <w:szCs w:val="22"/>
        </w:rPr>
      </w:pPr>
      <w:r>
        <w:rPr>
          <w:sz w:val="22"/>
          <w:szCs w:val="22"/>
        </w:rPr>
        <w:t>Table 1: SURRG MIC Interpretive Criteria for Anti</w:t>
      </w:r>
      <w:r w:rsidR="00322D7A">
        <w:rPr>
          <w:sz w:val="22"/>
          <w:szCs w:val="22"/>
        </w:rPr>
        <w:t xml:space="preserve">biotic </w:t>
      </w:r>
      <w:r>
        <w:rPr>
          <w:sz w:val="22"/>
          <w:szCs w:val="22"/>
        </w:rPr>
        <w:t>Agents</w:t>
      </w:r>
    </w:p>
    <w:tbl>
      <w:tblPr>
        <w:tblStyle w:val="TableGrid"/>
        <w:tblW w:w="10170" w:type="dxa"/>
        <w:tblInd w:w="265" w:type="dxa"/>
        <w:tblLook w:val="04A0" w:firstRow="1" w:lastRow="0" w:firstColumn="1" w:lastColumn="0" w:noHBand="0" w:noVBand="1"/>
      </w:tblPr>
      <w:tblGrid>
        <w:gridCol w:w="2340"/>
        <w:gridCol w:w="3420"/>
        <w:gridCol w:w="4410"/>
      </w:tblGrid>
      <w:tr w:rsidRPr="009E5F19" w:rsidR="00E72B97" w:rsidTr="005F099A" w14:paraId="791C5317" w14:textId="77777777">
        <w:tc>
          <w:tcPr>
            <w:tcW w:w="2340" w:type="dxa"/>
            <w:shd w:val="clear" w:color="auto" w:fill="D9D9D9" w:themeFill="background1" w:themeFillShade="D9"/>
          </w:tcPr>
          <w:p w:rsidRPr="009E5F19" w:rsidR="00E72B97" w:rsidP="005F099A" w:rsidRDefault="00E72B97" w14:paraId="1DAC2675" w14:textId="77777777">
            <w:pPr>
              <w:spacing w:after="80"/>
              <w:jc w:val="center"/>
              <w:rPr>
                <w:b/>
              </w:rPr>
            </w:pPr>
            <w:r w:rsidRPr="009E5F19">
              <w:rPr>
                <w:b/>
              </w:rPr>
              <w:t>Antimicrobial Agent</w:t>
            </w:r>
          </w:p>
        </w:tc>
        <w:tc>
          <w:tcPr>
            <w:tcW w:w="3420" w:type="dxa"/>
            <w:shd w:val="clear" w:color="auto" w:fill="D9D9D9" w:themeFill="background1" w:themeFillShade="D9"/>
          </w:tcPr>
          <w:p w:rsidRPr="009E5F19" w:rsidR="00E72B97" w:rsidP="00322D7A" w:rsidRDefault="00E72B97" w14:paraId="34778232" w14:textId="3ED9D7C1">
            <w:pPr>
              <w:spacing w:after="80"/>
              <w:jc w:val="center"/>
              <w:rPr>
                <w:b/>
              </w:rPr>
            </w:pPr>
            <w:r>
              <w:rPr>
                <w:b/>
              </w:rPr>
              <w:t>Reduced Susceptibility</w:t>
            </w:r>
          </w:p>
        </w:tc>
        <w:tc>
          <w:tcPr>
            <w:tcW w:w="4410" w:type="dxa"/>
            <w:shd w:val="clear" w:color="auto" w:fill="D9D9D9" w:themeFill="background1" w:themeFillShade="D9"/>
          </w:tcPr>
          <w:p w:rsidRPr="009E5F19" w:rsidR="00E72B97" w:rsidP="005F099A" w:rsidRDefault="00E72B97" w14:paraId="5FD4931B" w14:textId="36D6A311">
            <w:pPr>
              <w:spacing w:after="80"/>
              <w:jc w:val="center"/>
              <w:rPr>
                <w:b/>
              </w:rPr>
            </w:pPr>
            <w:r w:rsidRPr="009E5F19">
              <w:rPr>
                <w:b/>
              </w:rPr>
              <w:t>Quick Send</w:t>
            </w:r>
          </w:p>
        </w:tc>
      </w:tr>
      <w:tr w:rsidRPr="009E5F19" w:rsidR="00E72B97" w:rsidTr="005F099A" w14:paraId="150E05F5" w14:textId="77777777">
        <w:tc>
          <w:tcPr>
            <w:tcW w:w="2340" w:type="dxa"/>
          </w:tcPr>
          <w:p w:rsidRPr="003D4486" w:rsidR="00E72B97" w:rsidP="005F099A" w:rsidRDefault="00E72B97" w14:paraId="4EAC82DB" w14:textId="77777777">
            <w:pPr>
              <w:jc w:val="center"/>
            </w:pPr>
            <w:r w:rsidRPr="003D4486">
              <w:t>Ceftriaxone</w:t>
            </w:r>
          </w:p>
        </w:tc>
        <w:tc>
          <w:tcPr>
            <w:tcW w:w="3420" w:type="dxa"/>
          </w:tcPr>
          <w:p w:rsidRPr="003D4486" w:rsidR="00E72B97" w:rsidP="005F099A" w:rsidRDefault="00E72B97" w14:paraId="4B24DBCE" w14:textId="77777777">
            <w:pPr>
              <w:spacing w:after="80"/>
              <w:jc w:val="center"/>
            </w:pPr>
            <w:r w:rsidRPr="003D4486">
              <w:t xml:space="preserve">MIC </w:t>
            </w:r>
            <w:r w:rsidRPr="003D4486">
              <w:rPr>
                <w:u w:val="single"/>
              </w:rPr>
              <w:t>&gt;</w:t>
            </w:r>
            <w:r w:rsidRPr="003D4486">
              <w:t xml:space="preserve"> 0.125 </w:t>
            </w:r>
            <w:r w:rsidRPr="003D4486">
              <w:rPr>
                <w:rFonts w:ascii="Symbol" w:hAnsi="Symbol"/>
              </w:rPr>
              <w:t></w:t>
            </w:r>
            <w:r w:rsidRPr="003D4486">
              <w:t>g/ml</w:t>
            </w:r>
          </w:p>
        </w:tc>
        <w:tc>
          <w:tcPr>
            <w:tcW w:w="4410" w:type="dxa"/>
          </w:tcPr>
          <w:p w:rsidRPr="003D4486" w:rsidR="00E72B97" w:rsidP="005F099A" w:rsidRDefault="00E72B97" w14:paraId="60115C47" w14:textId="77777777">
            <w:pPr>
              <w:spacing w:after="80"/>
              <w:jc w:val="center"/>
            </w:pPr>
            <w:r w:rsidRPr="003D4486">
              <w:t xml:space="preserve">MIC </w:t>
            </w:r>
            <w:r w:rsidRPr="003D4486">
              <w:rPr>
                <w:u w:val="single"/>
              </w:rPr>
              <w:t>&gt;</w:t>
            </w:r>
            <w:r w:rsidRPr="003D4486">
              <w:t xml:space="preserve"> 1.0 </w:t>
            </w:r>
            <w:r w:rsidRPr="003D4486">
              <w:rPr>
                <w:rFonts w:ascii="Symbol" w:hAnsi="Symbol"/>
              </w:rPr>
              <w:t></w:t>
            </w:r>
            <w:r w:rsidRPr="003D4486">
              <w:t>g/ml</w:t>
            </w:r>
          </w:p>
        </w:tc>
      </w:tr>
      <w:tr w:rsidRPr="009E5F19" w:rsidR="00E72B97" w:rsidTr="005F099A" w14:paraId="686E3B95" w14:textId="77777777">
        <w:trPr>
          <w:trHeight w:val="368"/>
        </w:trPr>
        <w:tc>
          <w:tcPr>
            <w:tcW w:w="2340" w:type="dxa"/>
          </w:tcPr>
          <w:p w:rsidRPr="003D4486" w:rsidR="00E72B97" w:rsidP="005F099A" w:rsidRDefault="00E72B97" w14:paraId="56074CA3" w14:textId="77777777">
            <w:pPr>
              <w:jc w:val="center"/>
            </w:pPr>
            <w:r w:rsidRPr="003D4486">
              <w:t>Cefixime</w:t>
            </w:r>
          </w:p>
        </w:tc>
        <w:tc>
          <w:tcPr>
            <w:tcW w:w="3420" w:type="dxa"/>
          </w:tcPr>
          <w:p w:rsidRPr="003D4486" w:rsidR="00E72B97" w:rsidP="005F099A" w:rsidRDefault="00E72B97" w14:paraId="7113F1BD" w14:textId="77777777">
            <w:pPr>
              <w:spacing w:after="80"/>
              <w:jc w:val="center"/>
            </w:pPr>
            <w:r w:rsidRPr="003D4486">
              <w:t xml:space="preserve">MIC </w:t>
            </w:r>
            <w:r w:rsidRPr="003D4486">
              <w:rPr>
                <w:u w:val="single"/>
              </w:rPr>
              <w:t>&gt;</w:t>
            </w:r>
            <w:r w:rsidRPr="003D4486">
              <w:t xml:space="preserve"> 0.25 </w:t>
            </w:r>
            <w:r w:rsidRPr="003D4486">
              <w:rPr>
                <w:rFonts w:ascii="Symbol" w:hAnsi="Symbol"/>
              </w:rPr>
              <w:t></w:t>
            </w:r>
            <w:r w:rsidRPr="003D4486">
              <w:t>g/ml</w:t>
            </w:r>
          </w:p>
        </w:tc>
        <w:tc>
          <w:tcPr>
            <w:tcW w:w="4410" w:type="dxa"/>
          </w:tcPr>
          <w:p w:rsidRPr="003D4486" w:rsidR="00E72B97" w:rsidP="005F099A" w:rsidRDefault="00E72B97" w14:paraId="252DC869" w14:textId="39F5ECD6">
            <w:pPr>
              <w:spacing w:after="80"/>
              <w:jc w:val="center"/>
            </w:pPr>
            <w:r w:rsidRPr="003D4486">
              <w:t xml:space="preserve">MIC </w:t>
            </w:r>
            <w:r w:rsidRPr="003D4486">
              <w:rPr>
                <w:u w:val="single"/>
              </w:rPr>
              <w:t>&gt;</w:t>
            </w:r>
            <w:r w:rsidRPr="003D4486">
              <w:t xml:space="preserve"> </w:t>
            </w:r>
            <w:r w:rsidR="00322D7A">
              <w:t>1</w:t>
            </w:r>
            <w:r w:rsidRPr="003D4486">
              <w:t xml:space="preserve">.0 </w:t>
            </w:r>
            <w:r w:rsidRPr="003D4486">
              <w:rPr>
                <w:rFonts w:ascii="Symbol" w:hAnsi="Symbol"/>
              </w:rPr>
              <w:t></w:t>
            </w:r>
            <w:r w:rsidRPr="003D4486">
              <w:t>g/ml</w:t>
            </w:r>
          </w:p>
        </w:tc>
      </w:tr>
    </w:tbl>
    <w:p w:rsidR="00E72B97" w:rsidP="00C50BF0" w:rsidRDefault="00E72B97" w14:paraId="3AF78CAC" w14:textId="77777777">
      <w:pPr>
        <w:spacing w:before="240"/>
        <w:rPr>
          <w:rFonts w:asciiTheme="majorHAnsi" w:hAnsiTheme="majorHAnsi"/>
          <w:color w:val="374C80" w:themeColor="accent1" w:themeShade="BF"/>
          <w:sz w:val="24"/>
          <w:szCs w:val="24"/>
        </w:rPr>
      </w:pPr>
    </w:p>
    <w:p w:rsidRPr="002741A0" w:rsidR="00D13C82" w:rsidP="00C50BF0" w:rsidRDefault="00E72B97" w14:paraId="4E5C44F3" w14:textId="751B7F82">
      <w:pPr>
        <w:spacing w:before="240"/>
        <w:rPr>
          <w:rFonts w:asciiTheme="majorHAnsi" w:hAnsiTheme="majorHAnsi"/>
          <w:color w:val="374C80" w:themeColor="accent1" w:themeShade="BF"/>
          <w:sz w:val="24"/>
          <w:szCs w:val="24"/>
        </w:rPr>
      </w:pPr>
      <w:r>
        <w:rPr>
          <w:rFonts w:asciiTheme="majorHAnsi" w:hAnsiTheme="majorHAnsi"/>
          <w:color w:val="374C80" w:themeColor="accent1" w:themeShade="BF"/>
          <w:sz w:val="24"/>
          <w:szCs w:val="24"/>
        </w:rPr>
        <w:t xml:space="preserve">2.2.3 </w:t>
      </w:r>
      <w:r w:rsidRPr="002741A0" w:rsidR="00366026">
        <w:rPr>
          <w:rFonts w:asciiTheme="majorHAnsi" w:hAnsiTheme="majorHAnsi"/>
          <w:color w:val="374C80" w:themeColor="accent1" w:themeShade="BF"/>
          <w:sz w:val="24"/>
          <w:szCs w:val="24"/>
        </w:rPr>
        <w:t xml:space="preserve">Assigning </w:t>
      </w:r>
      <w:r w:rsidRPr="002741A0" w:rsidR="00D13C82">
        <w:rPr>
          <w:rFonts w:asciiTheme="majorHAnsi" w:hAnsiTheme="majorHAnsi"/>
          <w:color w:val="374C80" w:themeColor="accent1" w:themeShade="BF"/>
          <w:sz w:val="24"/>
          <w:szCs w:val="24"/>
        </w:rPr>
        <w:t xml:space="preserve">Person and Specimen Identifiers </w:t>
      </w:r>
    </w:p>
    <w:p w:rsidR="00D13C82" w:rsidP="00B26E4D" w:rsidRDefault="00D13C82" w14:paraId="1FD1ACD2" w14:textId="7BDAB7A4">
      <w:pPr>
        <w:autoSpaceDE w:val="0"/>
        <w:autoSpaceDN w:val="0"/>
        <w:adjustRightInd w:val="0"/>
        <w:rPr>
          <w:sz w:val="22"/>
          <w:szCs w:val="22"/>
        </w:rPr>
      </w:pPr>
      <w:r>
        <w:rPr>
          <w:sz w:val="22"/>
          <w:szCs w:val="22"/>
        </w:rPr>
        <w:t xml:space="preserve">Participating jurisdictions will generate unique </w:t>
      </w:r>
      <w:r w:rsidR="00207125">
        <w:rPr>
          <w:sz w:val="22"/>
          <w:szCs w:val="22"/>
        </w:rPr>
        <w:t>numbers</w:t>
      </w:r>
      <w:r>
        <w:rPr>
          <w:sz w:val="22"/>
          <w:szCs w:val="22"/>
        </w:rPr>
        <w:t xml:space="preserve"> for persons from whom specimens for </w:t>
      </w:r>
      <w:proofErr w:type="spellStart"/>
      <w:r>
        <w:rPr>
          <w:sz w:val="22"/>
          <w:szCs w:val="22"/>
        </w:rPr>
        <w:t>gonorrhea</w:t>
      </w:r>
      <w:proofErr w:type="spellEnd"/>
      <w:r>
        <w:rPr>
          <w:sz w:val="22"/>
          <w:szCs w:val="22"/>
        </w:rPr>
        <w:t xml:space="preserve"> testing were collected. This </w:t>
      </w:r>
      <w:r w:rsidR="00207125">
        <w:rPr>
          <w:sz w:val="22"/>
          <w:szCs w:val="22"/>
        </w:rPr>
        <w:t xml:space="preserve">assigned </w:t>
      </w:r>
      <w:r>
        <w:rPr>
          <w:sz w:val="22"/>
          <w:szCs w:val="22"/>
        </w:rPr>
        <w:t xml:space="preserve">patient </w:t>
      </w:r>
      <w:r w:rsidR="00207125">
        <w:rPr>
          <w:sz w:val="22"/>
          <w:szCs w:val="22"/>
        </w:rPr>
        <w:t>number</w:t>
      </w:r>
      <w:r w:rsidR="002A2C08">
        <w:rPr>
          <w:sz w:val="22"/>
          <w:szCs w:val="22"/>
        </w:rPr>
        <w:t xml:space="preserve"> </w:t>
      </w:r>
      <w:r>
        <w:rPr>
          <w:sz w:val="22"/>
          <w:szCs w:val="22"/>
        </w:rPr>
        <w:t xml:space="preserve">should be unique within the jurisdiction, remain consistent across visits and the life cycle of SURRG, and not contain </w:t>
      </w:r>
      <w:r w:rsidR="00733747">
        <w:rPr>
          <w:sz w:val="22"/>
          <w:szCs w:val="22"/>
        </w:rPr>
        <w:t>personally identifiable information (</w:t>
      </w:r>
      <w:r>
        <w:rPr>
          <w:sz w:val="22"/>
          <w:szCs w:val="22"/>
        </w:rPr>
        <w:t>PII</w:t>
      </w:r>
      <w:r w:rsidR="00733747">
        <w:rPr>
          <w:sz w:val="22"/>
          <w:szCs w:val="22"/>
        </w:rPr>
        <w:t>)</w:t>
      </w:r>
      <w:r>
        <w:rPr>
          <w:sz w:val="22"/>
          <w:szCs w:val="22"/>
        </w:rPr>
        <w:t xml:space="preserve">. </w:t>
      </w:r>
      <w:r w:rsidR="00D71A46">
        <w:rPr>
          <w:sz w:val="22"/>
          <w:szCs w:val="22"/>
        </w:rPr>
        <w:t>The site</w:t>
      </w:r>
      <w:r w:rsidR="00E211E2">
        <w:rPr>
          <w:sz w:val="22"/>
          <w:szCs w:val="22"/>
        </w:rPr>
        <w:t xml:space="preserve"> SURRG</w:t>
      </w:r>
      <w:r w:rsidR="00D71A46">
        <w:rPr>
          <w:sz w:val="22"/>
          <w:szCs w:val="22"/>
        </w:rPr>
        <w:t xml:space="preserve"> epidemiological coordinator </w:t>
      </w:r>
      <w:r w:rsidR="00B149B9">
        <w:rPr>
          <w:sz w:val="22"/>
          <w:szCs w:val="22"/>
        </w:rPr>
        <w:t xml:space="preserve">or designated data manager </w:t>
      </w:r>
      <w:r w:rsidR="00D71A46">
        <w:rPr>
          <w:sz w:val="22"/>
          <w:szCs w:val="22"/>
        </w:rPr>
        <w:t xml:space="preserve">will be responsible for generating and maintaining the patient </w:t>
      </w:r>
      <w:r w:rsidR="00207125">
        <w:rPr>
          <w:sz w:val="22"/>
          <w:szCs w:val="22"/>
        </w:rPr>
        <w:t>numbers.</w:t>
      </w:r>
    </w:p>
    <w:p w:rsidR="00D13C82" w:rsidP="00B26E4D" w:rsidRDefault="00D13C82" w14:paraId="5832E95F" w14:textId="0E71AAE5">
      <w:pPr>
        <w:autoSpaceDE w:val="0"/>
        <w:autoSpaceDN w:val="0"/>
        <w:adjustRightInd w:val="0"/>
        <w:rPr>
          <w:sz w:val="22"/>
          <w:szCs w:val="22"/>
        </w:rPr>
      </w:pPr>
      <w:r>
        <w:rPr>
          <w:sz w:val="22"/>
          <w:szCs w:val="22"/>
        </w:rPr>
        <w:t xml:space="preserve">Participating jurisdictions will </w:t>
      </w:r>
      <w:r w:rsidR="00207125">
        <w:rPr>
          <w:sz w:val="22"/>
          <w:szCs w:val="22"/>
        </w:rPr>
        <w:t xml:space="preserve">generate and </w:t>
      </w:r>
      <w:r>
        <w:rPr>
          <w:sz w:val="22"/>
          <w:szCs w:val="22"/>
        </w:rPr>
        <w:t>assign</w:t>
      </w:r>
      <w:r w:rsidR="00207125">
        <w:rPr>
          <w:sz w:val="22"/>
          <w:szCs w:val="22"/>
        </w:rPr>
        <w:t xml:space="preserve"> a unique code to</w:t>
      </w:r>
      <w:r>
        <w:rPr>
          <w:sz w:val="22"/>
          <w:szCs w:val="22"/>
        </w:rPr>
        <w:t xml:space="preserve"> each isolate</w:t>
      </w:r>
      <w:r w:rsidR="00D71A46">
        <w:rPr>
          <w:sz w:val="22"/>
          <w:szCs w:val="22"/>
        </w:rPr>
        <w:t xml:space="preserve">; each </w:t>
      </w:r>
      <w:r w:rsidR="00207125">
        <w:rPr>
          <w:sz w:val="22"/>
          <w:szCs w:val="22"/>
        </w:rPr>
        <w:t>code</w:t>
      </w:r>
      <w:r>
        <w:rPr>
          <w:sz w:val="22"/>
          <w:szCs w:val="22"/>
        </w:rPr>
        <w:t xml:space="preserve"> will have a three-character sentinel site abbreviation followed by a </w:t>
      </w:r>
      <w:proofErr w:type="gramStart"/>
      <w:r>
        <w:rPr>
          <w:sz w:val="22"/>
          <w:szCs w:val="22"/>
        </w:rPr>
        <w:t>locally</w:t>
      </w:r>
      <w:r w:rsidR="00207125">
        <w:rPr>
          <w:sz w:val="22"/>
          <w:szCs w:val="22"/>
        </w:rPr>
        <w:t>-</w:t>
      </w:r>
      <w:r>
        <w:rPr>
          <w:sz w:val="22"/>
          <w:szCs w:val="22"/>
        </w:rPr>
        <w:t>assigned</w:t>
      </w:r>
      <w:proofErr w:type="gramEnd"/>
      <w:r>
        <w:rPr>
          <w:sz w:val="22"/>
          <w:szCs w:val="22"/>
        </w:rPr>
        <w:t xml:space="preserve"> accession number. </w:t>
      </w:r>
    </w:p>
    <w:p w:rsidRPr="002741A0" w:rsidR="00D71A46" w:rsidP="00B26E4D" w:rsidRDefault="00D71A46" w14:paraId="350ACACC" w14:textId="187706BE">
      <w:pPr>
        <w:autoSpaceDE w:val="0"/>
        <w:autoSpaceDN w:val="0"/>
        <w:adjustRightInd w:val="0"/>
        <w:rPr>
          <w:sz w:val="22"/>
          <w:szCs w:val="22"/>
        </w:rPr>
      </w:pPr>
      <w:r>
        <w:rPr>
          <w:sz w:val="22"/>
          <w:szCs w:val="22"/>
        </w:rPr>
        <w:t xml:space="preserve">The patient </w:t>
      </w:r>
      <w:r w:rsidR="00207125">
        <w:rPr>
          <w:sz w:val="22"/>
          <w:szCs w:val="22"/>
        </w:rPr>
        <w:t>number</w:t>
      </w:r>
      <w:r>
        <w:rPr>
          <w:sz w:val="22"/>
          <w:szCs w:val="22"/>
        </w:rPr>
        <w:t xml:space="preserve"> and specimen </w:t>
      </w:r>
      <w:r w:rsidR="00207125">
        <w:rPr>
          <w:sz w:val="22"/>
          <w:szCs w:val="22"/>
        </w:rPr>
        <w:t>codes</w:t>
      </w:r>
      <w:r>
        <w:rPr>
          <w:sz w:val="22"/>
          <w:szCs w:val="22"/>
        </w:rPr>
        <w:t xml:space="preserve"> will allow merging of epidemiological and clinical data with AST laboratory results. </w:t>
      </w:r>
    </w:p>
    <w:p w:rsidRPr="00B26E4D" w:rsidR="00512C22" w:rsidP="00B26E4D" w:rsidRDefault="00D71A46" w14:paraId="61976BEE" w14:textId="294A764D">
      <w:pPr>
        <w:autoSpaceDE w:val="0"/>
        <w:autoSpaceDN w:val="0"/>
        <w:adjustRightInd w:val="0"/>
        <w:rPr>
          <w:sz w:val="22"/>
          <w:szCs w:val="22"/>
        </w:rPr>
      </w:pPr>
      <w:r w:rsidRPr="00B26E4D">
        <w:rPr>
          <w:sz w:val="22"/>
          <w:szCs w:val="22"/>
        </w:rPr>
        <w:t xml:space="preserve">Some </w:t>
      </w:r>
      <w:r w:rsidR="00B66194">
        <w:rPr>
          <w:sz w:val="22"/>
          <w:szCs w:val="22"/>
        </w:rPr>
        <w:t>jurisdictions</w:t>
      </w:r>
      <w:r w:rsidRPr="00B26E4D" w:rsidR="00B66194">
        <w:rPr>
          <w:sz w:val="22"/>
          <w:szCs w:val="22"/>
        </w:rPr>
        <w:t xml:space="preserve"> </w:t>
      </w:r>
      <w:r w:rsidRPr="00B26E4D">
        <w:rPr>
          <w:sz w:val="22"/>
          <w:szCs w:val="22"/>
        </w:rPr>
        <w:t xml:space="preserve">participating in SURRG also participate in GISP. For those </w:t>
      </w:r>
      <w:r w:rsidR="00B66194">
        <w:rPr>
          <w:sz w:val="22"/>
          <w:szCs w:val="22"/>
        </w:rPr>
        <w:t>jurisdictions</w:t>
      </w:r>
      <w:r w:rsidRPr="00B26E4D">
        <w:rPr>
          <w:sz w:val="22"/>
          <w:szCs w:val="22"/>
        </w:rPr>
        <w:t xml:space="preserve">, isolates that </w:t>
      </w:r>
      <w:r w:rsidR="00B66194">
        <w:rPr>
          <w:sz w:val="22"/>
          <w:szCs w:val="22"/>
        </w:rPr>
        <w:t>are</w:t>
      </w:r>
      <w:r w:rsidRPr="00B26E4D" w:rsidR="00B66194">
        <w:rPr>
          <w:sz w:val="22"/>
          <w:szCs w:val="22"/>
        </w:rPr>
        <w:t xml:space="preserve"> </w:t>
      </w:r>
      <w:r w:rsidRPr="00B26E4D">
        <w:rPr>
          <w:sz w:val="22"/>
          <w:szCs w:val="22"/>
        </w:rPr>
        <w:t>also included in GISP (i</w:t>
      </w:r>
      <w:r w:rsidRPr="00B26E4D" w:rsidR="002A2C08">
        <w:rPr>
          <w:sz w:val="22"/>
          <w:szCs w:val="22"/>
        </w:rPr>
        <w:t>.</w:t>
      </w:r>
      <w:r w:rsidRPr="00B26E4D">
        <w:rPr>
          <w:sz w:val="22"/>
          <w:szCs w:val="22"/>
        </w:rPr>
        <w:t>e</w:t>
      </w:r>
      <w:r w:rsidRPr="00B26E4D" w:rsidR="002A2C08">
        <w:rPr>
          <w:sz w:val="22"/>
          <w:szCs w:val="22"/>
        </w:rPr>
        <w:t>.</w:t>
      </w:r>
      <w:r w:rsidR="00207125">
        <w:rPr>
          <w:sz w:val="22"/>
          <w:szCs w:val="22"/>
        </w:rPr>
        <w:t>,</w:t>
      </w:r>
      <w:r w:rsidRPr="00B26E4D">
        <w:rPr>
          <w:sz w:val="22"/>
          <w:szCs w:val="22"/>
        </w:rPr>
        <w:t xml:space="preserve"> the first 25 urethral isolates each month) will </w:t>
      </w:r>
      <w:r w:rsidR="00B66194">
        <w:rPr>
          <w:sz w:val="22"/>
          <w:szCs w:val="22"/>
        </w:rPr>
        <w:t>have a</w:t>
      </w:r>
      <w:r w:rsidRPr="00B26E4D" w:rsidR="00A630A8">
        <w:rPr>
          <w:sz w:val="22"/>
          <w:szCs w:val="22"/>
        </w:rPr>
        <w:t xml:space="preserve"> locally assigned</w:t>
      </w:r>
      <w:r w:rsidRPr="00B26E4D">
        <w:rPr>
          <w:sz w:val="22"/>
          <w:szCs w:val="22"/>
        </w:rPr>
        <w:t xml:space="preserve"> GISP specimen ID</w:t>
      </w:r>
      <w:r w:rsidRPr="00B26E4D" w:rsidR="00A630A8">
        <w:rPr>
          <w:sz w:val="22"/>
          <w:szCs w:val="22"/>
        </w:rPr>
        <w:t xml:space="preserve"> consistent with the GISP protocol</w:t>
      </w:r>
      <w:r w:rsidRPr="00B26E4D">
        <w:rPr>
          <w:sz w:val="22"/>
          <w:szCs w:val="22"/>
        </w:rPr>
        <w:t xml:space="preserve">. </w:t>
      </w:r>
    </w:p>
    <w:p w:rsidRPr="002741A0" w:rsidR="00366026" w:rsidP="00366026" w:rsidRDefault="001665C6" w14:paraId="72078035" w14:textId="7B9190CE">
      <w:pPr>
        <w:spacing w:before="240"/>
        <w:rPr>
          <w:rFonts w:asciiTheme="majorHAnsi" w:hAnsiTheme="majorHAnsi"/>
          <w:color w:val="374C80" w:themeColor="accent1" w:themeShade="BF"/>
          <w:sz w:val="24"/>
          <w:szCs w:val="24"/>
        </w:rPr>
      </w:pPr>
      <w:r w:rsidRPr="002741A0">
        <w:rPr>
          <w:rFonts w:asciiTheme="majorHAnsi" w:hAnsiTheme="majorHAnsi"/>
          <w:color w:val="374C80" w:themeColor="accent1" w:themeShade="BF"/>
          <w:sz w:val="24"/>
          <w:szCs w:val="24"/>
        </w:rPr>
        <w:t>2.2.</w:t>
      </w:r>
      <w:r w:rsidR="00207125">
        <w:rPr>
          <w:rFonts w:asciiTheme="majorHAnsi" w:hAnsiTheme="majorHAnsi"/>
          <w:color w:val="374C80" w:themeColor="accent1" w:themeShade="BF"/>
          <w:sz w:val="24"/>
          <w:szCs w:val="24"/>
        </w:rPr>
        <w:t>4</w:t>
      </w:r>
      <w:r w:rsidRPr="002741A0" w:rsidR="00366026">
        <w:rPr>
          <w:rFonts w:asciiTheme="majorHAnsi" w:hAnsiTheme="majorHAnsi"/>
          <w:color w:val="374C80" w:themeColor="accent1" w:themeShade="BF"/>
          <w:sz w:val="24"/>
          <w:szCs w:val="24"/>
        </w:rPr>
        <w:t xml:space="preserve"> Transport of Isolates to the</w:t>
      </w:r>
      <w:r>
        <w:rPr>
          <w:rFonts w:asciiTheme="majorHAnsi" w:hAnsiTheme="majorHAnsi"/>
          <w:color w:val="374C80" w:themeColor="accent1" w:themeShade="BF"/>
          <w:sz w:val="24"/>
          <w:szCs w:val="24"/>
        </w:rPr>
        <w:t xml:space="preserve"> Antibiotic Resistance Laboratory Network</w:t>
      </w:r>
      <w:r w:rsidRPr="002741A0" w:rsidR="00366026">
        <w:rPr>
          <w:rFonts w:asciiTheme="majorHAnsi" w:hAnsiTheme="majorHAnsi"/>
          <w:color w:val="374C80" w:themeColor="accent1" w:themeShade="BF"/>
          <w:sz w:val="24"/>
          <w:szCs w:val="24"/>
        </w:rPr>
        <w:t xml:space="preserve"> </w:t>
      </w:r>
      <w:r>
        <w:rPr>
          <w:rFonts w:asciiTheme="majorHAnsi" w:hAnsiTheme="majorHAnsi"/>
          <w:color w:val="374C80" w:themeColor="accent1" w:themeShade="BF"/>
          <w:sz w:val="24"/>
          <w:szCs w:val="24"/>
        </w:rPr>
        <w:t>(</w:t>
      </w:r>
      <w:r w:rsidRPr="00703776">
        <w:rPr>
          <w:rFonts w:asciiTheme="majorHAnsi" w:hAnsiTheme="majorHAnsi"/>
          <w:color w:val="374C80" w:themeColor="accent1" w:themeShade="BF"/>
          <w:sz w:val="24"/>
          <w:szCs w:val="24"/>
        </w:rPr>
        <w:t>ARLN</w:t>
      </w:r>
      <w:r>
        <w:rPr>
          <w:rFonts w:asciiTheme="majorHAnsi" w:hAnsiTheme="majorHAnsi"/>
          <w:color w:val="374C80" w:themeColor="accent1" w:themeShade="BF"/>
          <w:sz w:val="24"/>
          <w:szCs w:val="24"/>
        </w:rPr>
        <w:t>)</w:t>
      </w:r>
      <w:r w:rsidRPr="002741A0" w:rsidR="00366026">
        <w:rPr>
          <w:rFonts w:asciiTheme="majorHAnsi" w:hAnsiTheme="majorHAnsi"/>
          <w:color w:val="374C80" w:themeColor="accent1" w:themeShade="BF"/>
          <w:sz w:val="24"/>
          <w:szCs w:val="24"/>
        </w:rPr>
        <w:t xml:space="preserve"> and ARLN testing</w:t>
      </w:r>
    </w:p>
    <w:p w:rsidR="00366026" w:rsidP="00B26E4D" w:rsidRDefault="00207125" w14:paraId="78B3D506" w14:textId="3720E55D">
      <w:pPr>
        <w:autoSpaceDE w:val="0"/>
        <w:autoSpaceDN w:val="0"/>
        <w:adjustRightInd w:val="0"/>
        <w:rPr>
          <w:sz w:val="22"/>
          <w:szCs w:val="22"/>
        </w:rPr>
      </w:pPr>
      <w:r w:rsidRPr="00207125">
        <w:rPr>
          <w:i/>
          <w:iCs/>
          <w:sz w:val="22"/>
          <w:szCs w:val="22"/>
        </w:rPr>
        <w:t>N. gonorrhoeae</w:t>
      </w:r>
      <w:r>
        <w:rPr>
          <w:sz w:val="22"/>
          <w:szCs w:val="22"/>
        </w:rPr>
        <w:t xml:space="preserve"> i</w:t>
      </w:r>
      <w:r w:rsidR="00BA7FA5">
        <w:rPr>
          <w:sz w:val="22"/>
          <w:szCs w:val="22"/>
        </w:rPr>
        <w:t>solates</w:t>
      </w:r>
      <w:r w:rsidRPr="0098453C" w:rsidR="00BA7FA5">
        <w:rPr>
          <w:sz w:val="22"/>
          <w:szCs w:val="22"/>
        </w:rPr>
        <w:t xml:space="preserve"> </w:t>
      </w:r>
      <w:r w:rsidR="00366026">
        <w:rPr>
          <w:sz w:val="22"/>
          <w:szCs w:val="22"/>
        </w:rPr>
        <w:t xml:space="preserve">are </w:t>
      </w:r>
      <w:r w:rsidRPr="0098453C" w:rsidR="00366026">
        <w:rPr>
          <w:sz w:val="22"/>
          <w:szCs w:val="22"/>
        </w:rPr>
        <w:t xml:space="preserve">transported from the </w:t>
      </w:r>
      <w:r w:rsidR="00366026">
        <w:rPr>
          <w:sz w:val="22"/>
          <w:szCs w:val="22"/>
        </w:rPr>
        <w:t>local</w:t>
      </w:r>
      <w:r>
        <w:rPr>
          <w:sz w:val="22"/>
          <w:szCs w:val="22"/>
        </w:rPr>
        <w:t xml:space="preserve"> or state</w:t>
      </w:r>
      <w:r w:rsidR="00366026">
        <w:rPr>
          <w:sz w:val="22"/>
          <w:szCs w:val="22"/>
        </w:rPr>
        <w:t xml:space="preserve"> </w:t>
      </w:r>
      <w:r w:rsidR="00BA7FA5">
        <w:rPr>
          <w:sz w:val="22"/>
          <w:szCs w:val="22"/>
        </w:rPr>
        <w:t>PHL</w:t>
      </w:r>
      <w:r w:rsidRPr="0098453C" w:rsidR="00366026">
        <w:rPr>
          <w:sz w:val="22"/>
          <w:szCs w:val="22"/>
        </w:rPr>
        <w:t xml:space="preserve"> to </w:t>
      </w:r>
      <w:r w:rsidR="00BA7FA5">
        <w:rPr>
          <w:sz w:val="22"/>
          <w:szCs w:val="22"/>
        </w:rPr>
        <w:t xml:space="preserve">one of </w:t>
      </w:r>
      <w:r w:rsidR="00366026">
        <w:rPr>
          <w:sz w:val="22"/>
          <w:szCs w:val="22"/>
        </w:rPr>
        <w:t xml:space="preserve">the </w:t>
      </w:r>
      <w:r w:rsidR="00BA7FA5">
        <w:rPr>
          <w:sz w:val="22"/>
          <w:szCs w:val="22"/>
        </w:rPr>
        <w:t xml:space="preserve">four </w:t>
      </w:r>
      <w:r w:rsidRPr="0098453C" w:rsidR="00366026">
        <w:rPr>
          <w:sz w:val="22"/>
          <w:szCs w:val="22"/>
        </w:rPr>
        <w:t>participating Antibiotic R</w:t>
      </w:r>
      <w:r w:rsidR="00366026">
        <w:rPr>
          <w:sz w:val="22"/>
          <w:szCs w:val="22"/>
        </w:rPr>
        <w:t>esistance</w:t>
      </w:r>
      <w:r w:rsidRPr="0098453C" w:rsidR="00366026">
        <w:rPr>
          <w:sz w:val="22"/>
          <w:szCs w:val="22"/>
        </w:rPr>
        <w:t xml:space="preserve"> Laboratory Network (ARLN)</w:t>
      </w:r>
      <w:r w:rsidR="00366026">
        <w:rPr>
          <w:sz w:val="22"/>
          <w:szCs w:val="22"/>
        </w:rPr>
        <w:t xml:space="preserve"> regional</w:t>
      </w:r>
      <w:r w:rsidRPr="0098453C" w:rsidR="00366026">
        <w:rPr>
          <w:sz w:val="22"/>
          <w:szCs w:val="22"/>
        </w:rPr>
        <w:t xml:space="preserve"> laboratories using the laboratory transport syste</w:t>
      </w:r>
      <w:r w:rsidR="000D7406">
        <w:rPr>
          <w:sz w:val="22"/>
          <w:szCs w:val="22"/>
        </w:rPr>
        <w:t>m</w:t>
      </w:r>
      <w:r w:rsidRPr="0098453C" w:rsidR="00366026">
        <w:rPr>
          <w:sz w:val="22"/>
          <w:szCs w:val="22"/>
        </w:rPr>
        <w:t xml:space="preserve">. </w:t>
      </w:r>
    </w:p>
    <w:p w:rsidRPr="00B26E4D" w:rsidR="00366026" w:rsidP="00B26E4D" w:rsidRDefault="000D7406" w14:paraId="54ECF1AD" w14:textId="50CF0149">
      <w:pPr>
        <w:autoSpaceDE w:val="0"/>
        <w:autoSpaceDN w:val="0"/>
        <w:adjustRightInd w:val="0"/>
        <w:rPr>
          <w:sz w:val="22"/>
          <w:szCs w:val="22"/>
        </w:rPr>
      </w:pPr>
      <w:r>
        <w:rPr>
          <w:sz w:val="22"/>
          <w:szCs w:val="22"/>
        </w:rPr>
        <w:t xml:space="preserve">Consistent with sound laboratory practice, </w:t>
      </w:r>
      <w:r w:rsidRPr="00B26E4D" w:rsidR="006D07CE">
        <w:rPr>
          <w:sz w:val="22"/>
          <w:szCs w:val="22"/>
        </w:rPr>
        <w:t>SURRG isolates will be</w:t>
      </w:r>
      <w:r>
        <w:rPr>
          <w:sz w:val="22"/>
          <w:szCs w:val="22"/>
        </w:rPr>
        <w:t xml:space="preserve"> accompanied by a manifest, on which laboratory staff will record a small number of variables, such as </w:t>
      </w:r>
      <w:r w:rsidRPr="00B26E4D" w:rsidR="00BE1343">
        <w:rPr>
          <w:sz w:val="22"/>
          <w:szCs w:val="22"/>
        </w:rPr>
        <w:t>sex</w:t>
      </w:r>
      <w:r w:rsidR="00A73A1C">
        <w:rPr>
          <w:sz w:val="22"/>
          <w:szCs w:val="22"/>
        </w:rPr>
        <w:t xml:space="preserve"> of the patient</w:t>
      </w:r>
      <w:r w:rsidRPr="00B26E4D" w:rsidR="00B33621">
        <w:rPr>
          <w:sz w:val="22"/>
          <w:szCs w:val="22"/>
        </w:rPr>
        <w:t xml:space="preserve">, </w:t>
      </w:r>
      <w:r w:rsidRPr="00B26E4D" w:rsidR="00E447B8">
        <w:rPr>
          <w:sz w:val="22"/>
          <w:szCs w:val="22"/>
        </w:rPr>
        <w:t xml:space="preserve">jurisdiction/city, date of </w:t>
      </w:r>
      <w:r w:rsidR="00A73A1C">
        <w:rPr>
          <w:sz w:val="22"/>
          <w:szCs w:val="22"/>
        </w:rPr>
        <w:t xml:space="preserve">specimen </w:t>
      </w:r>
      <w:r w:rsidRPr="00B26E4D" w:rsidR="00E447B8">
        <w:rPr>
          <w:sz w:val="22"/>
          <w:szCs w:val="22"/>
        </w:rPr>
        <w:t xml:space="preserve">collection, </w:t>
      </w:r>
      <w:r w:rsidRPr="00B26E4D" w:rsidR="00B33621">
        <w:rPr>
          <w:sz w:val="22"/>
          <w:szCs w:val="22"/>
        </w:rPr>
        <w:t>and anatomic site of infection</w:t>
      </w:r>
      <w:r>
        <w:rPr>
          <w:sz w:val="22"/>
          <w:szCs w:val="22"/>
        </w:rPr>
        <w:t xml:space="preserve">, to ensure correct handling and identification of the samples. </w:t>
      </w:r>
    </w:p>
    <w:p w:rsidR="000E0570" w:rsidP="00B26E4D" w:rsidRDefault="00A73A1C" w14:paraId="71567E31" w14:textId="5241C9A0">
      <w:pPr>
        <w:autoSpaceDE w:val="0"/>
        <w:autoSpaceDN w:val="0"/>
        <w:adjustRightInd w:val="0"/>
        <w:rPr>
          <w:sz w:val="22"/>
          <w:szCs w:val="22"/>
        </w:rPr>
      </w:pPr>
      <w:r>
        <w:rPr>
          <w:sz w:val="22"/>
          <w:szCs w:val="22"/>
        </w:rPr>
        <w:t xml:space="preserve">Isolates </w:t>
      </w:r>
      <w:r w:rsidR="000E0570">
        <w:rPr>
          <w:sz w:val="22"/>
          <w:szCs w:val="22"/>
        </w:rPr>
        <w:t xml:space="preserve">with </w:t>
      </w:r>
      <w:r w:rsidR="000D7406">
        <w:rPr>
          <w:sz w:val="22"/>
          <w:szCs w:val="22"/>
        </w:rPr>
        <w:t>reduced susceptibility</w:t>
      </w:r>
      <w:r w:rsidR="000E0570">
        <w:rPr>
          <w:sz w:val="22"/>
          <w:szCs w:val="22"/>
        </w:rPr>
        <w:t xml:space="preserve"> </w:t>
      </w:r>
      <w:r>
        <w:rPr>
          <w:sz w:val="22"/>
          <w:szCs w:val="22"/>
        </w:rPr>
        <w:t xml:space="preserve">by AST </w:t>
      </w:r>
      <w:r w:rsidR="000E0570">
        <w:rPr>
          <w:sz w:val="22"/>
          <w:szCs w:val="22"/>
        </w:rPr>
        <w:t>will be sent to the assigned ARLN laboratory</w:t>
      </w:r>
      <w:r>
        <w:rPr>
          <w:sz w:val="22"/>
          <w:szCs w:val="22"/>
        </w:rPr>
        <w:t xml:space="preserve"> </w:t>
      </w:r>
      <w:r w:rsidR="000E0570">
        <w:rPr>
          <w:sz w:val="22"/>
          <w:szCs w:val="22"/>
        </w:rPr>
        <w:t>within 24 hours</w:t>
      </w:r>
      <w:r w:rsidR="00E75820">
        <w:rPr>
          <w:sz w:val="22"/>
          <w:szCs w:val="22"/>
        </w:rPr>
        <w:t xml:space="preserve"> </w:t>
      </w:r>
      <w:r>
        <w:rPr>
          <w:sz w:val="22"/>
          <w:szCs w:val="22"/>
        </w:rPr>
        <w:t xml:space="preserve">of AST. Isolates with </w:t>
      </w:r>
      <w:r w:rsidR="000D7406">
        <w:rPr>
          <w:sz w:val="22"/>
          <w:szCs w:val="22"/>
        </w:rPr>
        <w:t xml:space="preserve">MICs meeting “Quick Send” criteria </w:t>
      </w:r>
      <w:r w:rsidR="000E0570">
        <w:rPr>
          <w:sz w:val="22"/>
          <w:szCs w:val="22"/>
        </w:rPr>
        <w:t xml:space="preserve">will be sent </w:t>
      </w:r>
      <w:r>
        <w:rPr>
          <w:sz w:val="22"/>
          <w:szCs w:val="22"/>
        </w:rPr>
        <w:t xml:space="preserve">within 24 hours </w:t>
      </w:r>
      <w:r w:rsidR="000E0570">
        <w:rPr>
          <w:sz w:val="22"/>
          <w:szCs w:val="22"/>
        </w:rPr>
        <w:t xml:space="preserve">to both the assigned ARLN and CDC </w:t>
      </w:r>
      <w:r w:rsidR="000E0570">
        <w:rPr>
          <w:sz w:val="22"/>
          <w:szCs w:val="22"/>
        </w:rPr>
        <w:lastRenderedPageBreak/>
        <w:t>laboratories</w:t>
      </w:r>
      <w:r w:rsidR="0035032E">
        <w:rPr>
          <w:sz w:val="22"/>
          <w:szCs w:val="22"/>
        </w:rPr>
        <w:t xml:space="preserve"> </w:t>
      </w:r>
      <w:r w:rsidR="000E0570">
        <w:rPr>
          <w:sz w:val="22"/>
          <w:szCs w:val="22"/>
        </w:rPr>
        <w:t>(</w:t>
      </w:r>
      <w:r>
        <w:rPr>
          <w:sz w:val="22"/>
          <w:szCs w:val="22"/>
        </w:rPr>
        <w:t>Table 1</w:t>
      </w:r>
      <w:r w:rsidRPr="00625F62" w:rsidR="000E0570">
        <w:rPr>
          <w:sz w:val="22"/>
          <w:szCs w:val="22"/>
        </w:rPr>
        <w:t>).</w:t>
      </w:r>
      <w:r w:rsidRPr="00257BCD" w:rsidR="000E0570">
        <w:rPr>
          <w:sz w:val="22"/>
          <w:szCs w:val="22"/>
        </w:rPr>
        <w:t xml:space="preserve"> </w:t>
      </w:r>
      <w:r w:rsidRPr="00257BCD">
        <w:rPr>
          <w:sz w:val="22"/>
          <w:szCs w:val="22"/>
        </w:rPr>
        <w:t>Isolates with AST results</w:t>
      </w:r>
      <w:r w:rsidRPr="00257BCD" w:rsidR="000E0570">
        <w:rPr>
          <w:sz w:val="22"/>
          <w:szCs w:val="22"/>
        </w:rPr>
        <w:t xml:space="preserve"> that do not exceed reduced susceptibility alert values presented in Table 1</w:t>
      </w:r>
      <w:r w:rsidR="000E0570">
        <w:rPr>
          <w:sz w:val="22"/>
          <w:szCs w:val="22"/>
        </w:rPr>
        <w:t xml:space="preserve"> will be sent to the assigned ARLN laboratory in </w:t>
      </w:r>
      <w:r w:rsidR="000D7406">
        <w:rPr>
          <w:sz w:val="22"/>
          <w:szCs w:val="22"/>
        </w:rPr>
        <w:t xml:space="preserve">monthly </w:t>
      </w:r>
      <w:r w:rsidR="000E0570">
        <w:rPr>
          <w:sz w:val="22"/>
          <w:szCs w:val="22"/>
        </w:rPr>
        <w:t xml:space="preserve">batches. </w:t>
      </w:r>
    </w:p>
    <w:p w:rsidR="001665C6" w:rsidP="00B26E4D" w:rsidRDefault="00366026" w14:paraId="0B7A1874" w14:textId="54C0B010">
      <w:pPr>
        <w:autoSpaceDE w:val="0"/>
        <w:autoSpaceDN w:val="0"/>
        <w:adjustRightInd w:val="0"/>
        <w:rPr>
          <w:sz w:val="22"/>
          <w:szCs w:val="22"/>
        </w:rPr>
      </w:pPr>
      <w:r>
        <w:rPr>
          <w:sz w:val="22"/>
          <w:szCs w:val="22"/>
        </w:rPr>
        <w:t>The ARLN laboratory will conduct AST by agar dilution. Selected isolates will undergo whole genome sequencing (WGS)</w:t>
      </w:r>
      <w:r w:rsidR="004B37EF">
        <w:rPr>
          <w:sz w:val="22"/>
          <w:szCs w:val="22"/>
        </w:rPr>
        <w:t xml:space="preserve"> for molecular characterization</w:t>
      </w:r>
      <w:r w:rsidR="00151D54">
        <w:rPr>
          <w:sz w:val="22"/>
          <w:szCs w:val="22"/>
        </w:rPr>
        <w:t xml:space="preserve"> and to support </w:t>
      </w:r>
      <w:r w:rsidR="00EB6D14">
        <w:rPr>
          <w:sz w:val="22"/>
          <w:szCs w:val="22"/>
        </w:rPr>
        <w:t xml:space="preserve">field </w:t>
      </w:r>
      <w:r w:rsidR="00151D54">
        <w:rPr>
          <w:sz w:val="22"/>
          <w:szCs w:val="22"/>
        </w:rPr>
        <w:t xml:space="preserve">investigations of </w:t>
      </w:r>
      <w:r w:rsidR="00923E28">
        <w:rPr>
          <w:sz w:val="22"/>
          <w:szCs w:val="22"/>
        </w:rPr>
        <w:t xml:space="preserve">persons with </w:t>
      </w:r>
      <w:r w:rsidR="00151D54">
        <w:rPr>
          <w:sz w:val="22"/>
          <w:szCs w:val="22"/>
        </w:rPr>
        <w:t>resistant infections</w:t>
      </w:r>
      <w:r>
        <w:rPr>
          <w:sz w:val="22"/>
          <w:szCs w:val="22"/>
        </w:rPr>
        <w:t>.</w:t>
      </w:r>
    </w:p>
    <w:p w:rsidRPr="002741A0" w:rsidR="00AE4714" w:rsidP="00CC21D5" w:rsidRDefault="001665C6" w14:paraId="0A3DE226" w14:textId="5B8CFE08">
      <w:pPr>
        <w:rPr>
          <w:rFonts w:asciiTheme="majorHAnsi" w:hAnsiTheme="majorHAnsi"/>
          <w:color w:val="374C80" w:themeColor="accent1" w:themeShade="BF"/>
          <w:sz w:val="24"/>
          <w:szCs w:val="24"/>
        </w:rPr>
      </w:pPr>
      <w:r w:rsidRPr="002741A0">
        <w:rPr>
          <w:rFonts w:asciiTheme="majorHAnsi" w:hAnsiTheme="majorHAnsi"/>
          <w:color w:val="374C80" w:themeColor="accent1" w:themeShade="BF"/>
          <w:sz w:val="24"/>
          <w:szCs w:val="24"/>
        </w:rPr>
        <w:t>2.2.</w:t>
      </w:r>
      <w:r w:rsidR="000D7406">
        <w:rPr>
          <w:rFonts w:asciiTheme="majorHAnsi" w:hAnsiTheme="majorHAnsi"/>
          <w:color w:val="374C80" w:themeColor="accent1" w:themeShade="BF"/>
          <w:sz w:val="24"/>
          <w:szCs w:val="24"/>
        </w:rPr>
        <w:t>5</w:t>
      </w:r>
      <w:r w:rsidRPr="002741A0" w:rsidR="00366026">
        <w:rPr>
          <w:rFonts w:asciiTheme="majorHAnsi" w:hAnsiTheme="majorHAnsi"/>
          <w:color w:val="374C80" w:themeColor="accent1" w:themeShade="BF"/>
          <w:sz w:val="24"/>
          <w:szCs w:val="24"/>
        </w:rPr>
        <w:t xml:space="preserve"> Core Epidemiological</w:t>
      </w:r>
      <w:r w:rsidR="00334352">
        <w:rPr>
          <w:rFonts w:asciiTheme="majorHAnsi" w:hAnsiTheme="majorHAnsi"/>
          <w:color w:val="374C80" w:themeColor="accent1" w:themeShade="BF"/>
          <w:sz w:val="24"/>
          <w:szCs w:val="24"/>
        </w:rPr>
        <w:t>, Laboratory,</w:t>
      </w:r>
      <w:r w:rsidRPr="002741A0" w:rsidR="00366026">
        <w:rPr>
          <w:rFonts w:asciiTheme="majorHAnsi" w:hAnsiTheme="majorHAnsi"/>
          <w:color w:val="374C80" w:themeColor="accent1" w:themeShade="BF"/>
          <w:sz w:val="24"/>
          <w:szCs w:val="24"/>
        </w:rPr>
        <w:t xml:space="preserve"> and Interview Data Collection</w:t>
      </w:r>
    </w:p>
    <w:p w:rsidRPr="002741A0" w:rsidR="00CD3B1F" w:rsidP="001C3844" w:rsidRDefault="00CD3B1F" w14:paraId="04561DD2" w14:textId="76C2B729">
      <w:pPr>
        <w:autoSpaceDE w:val="0"/>
        <w:autoSpaceDN w:val="0"/>
        <w:adjustRightInd w:val="0"/>
        <w:rPr>
          <w:rFonts w:ascii="Calibri" w:hAnsi="Calibri"/>
          <w:color w:val="374C80" w:themeColor="accent1" w:themeShade="BF"/>
          <w:sz w:val="22"/>
          <w:szCs w:val="22"/>
        </w:rPr>
      </w:pPr>
      <w:r w:rsidRPr="002741A0">
        <w:rPr>
          <w:rFonts w:ascii="Calibri" w:hAnsi="Calibri"/>
          <w:color w:val="374C80" w:themeColor="accent1" w:themeShade="BF"/>
          <w:sz w:val="22"/>
          <w:szCs w:val="22"/>
        </w:rPr>
        <w:t>Clinic-based data</w:t>
      </w:r>
    </w:p>
    <w:p w:rsidR="000D7406" w:rsidP="001C3844" w:rsidRDefault="000D7406" w14:paraId="59F1E34C" w14:textId="77777777">
      <w:pPr>
        <w:autoSpaceDE w:val="0"/>
        <w:autoSpaceDN w:val="0"/>
        <w:adjustRightInd w:val="0"/>
        <w:rPr>
          <w:sz w:val="22"/>
          <w:szCs w:val="22"/>
        </w:rPr>
      </w:pPr>
      <w:r>
        <w:rPr>
          <w:sz w:val="22"/>
          <w:szCs w:val="22"/>
        </w:rPr>
        <w:t xml:space="preserve">Data managers at each funded jurisdiction will: </w:t>
      </w:r>
    </w:p>
    <w:p w:rsidRPr="000D7406" w:rsidR="000D7406" w:rsidP="000D7406" w:rsidRDefault="000D7406" w14:paraId="4D54A0F8" w14:textId="536F5890">
      <w:pPr>
        <w:pStyle w:val="ListParagraph"/>
        <w:numPr>
          <w:ilvl w:val="0"/>
          <w:numId w:val="114"/>
        </w:numPr>
        <w:autoSpaceDE w:val="0"/>
        <w:autoSpaceDN w:val="0"/>
        <w:adjustRightInd w:val="0"/>
        <w:rPr>
          <w:sz w:val="22"/>
          <w:szCs w:val="22"/>
        </w:rPr>
      </w:pPr>
      <w:r w:rsidRPr="000D7406">
        <w:rPr>
          <w:sz w:val="22"/>
          <w:szCs w:val="22"/>
        </w:rPr>
        <w:t>abstract line-listed clinic visit data from participating STD clinics</w:t>
      </w:r>
      <w:r>
        <w:rPr>
          <w:sz w:val="22"/>
          <w:szCs w:val="22"/>
        </w:rPr>
        <w:t>,</w:t>
      </w:r>
    </w:p>
    <w:p w:rsidR="000D7406" w:rsidP="000D7406" w:rsidRDefault="000D7406" w14:paraId="175A7C70" w14:textId="28AB6092">
      <w:pPr>
        <w:pStyle w:val="ListParagraph"/>
        <w:numPr>
          <w:ilvl w:val="0"/>
          <w:numId w:val="114"/>
        </w:numPr>
        <w:autoSpaceDE w:val="0"/>
        <w:autoSpaceDN w:val="0"/>
        <w:adjustRightInd w:val="0"/>
        <w:rPr>
          <w:sz w:val="22"/>
          <w:szCs w:val="22"/>
        </w:rPr>
      </w:pPr>
      <w:r w:rsidRPr="000D7406">
        <w:rPr>
          <w:sz w:val="22"/>
          <w:szCs w:val="22"/>
        </w:rPr>
        <w:t>receive line-listed clinic visit data from participating non-STD clinic healthcare facilities</w:t>
      </w:r>
      <w:r>
        <w:rPr>
          <w:sz w:val="22"/>
          <w:szCs w:val="22"/>
        </w:rPr>
        <w:t>, and</w:t>
      </w:r>
    </w:p>
    <w:p w:rsidR="000D7406" w:rsidP="000D7406" w:rsidRDefault="000D7406" w14:paraId="51A48646" w14:textId="2C19CFAD">
      <w:pPr>
        <w:pStyle w:val="ListParagraph"/>
        <w:numPr>
          <w:ilvl w:val="0"/>
          <w:numId w:val="114"/>
        </w:numPr>
        <w:autoSpaceDE w:val="0"/>
        <w:autoSpaceDN w:val="0"/>
        <w:adjustRightInd w:val="0"/>
        <w:rPr>
          <w:sz w:val="22"/>
          <w:szCs w:val="22"/>
        </w:rPr>
      </w:pPr>
      <w:r>
        <w:rPr>
          <w:sz w:val="22"/>
          <w:szCs w:val="22"/>
        </w:rPr>
        <w:t>clean and merge data</w:t>
      </w:r>
    </w:p>
    <w:p w:rsidR="000D7406" w:rsidP="000D7406" w:rsidRDefault="000D7406" w14:paraId="23A5D3BE" w14:textId="53157B8B">
      <w:pPr>
        <w:autoSpaceDE w:val="0"/>
        <w:autoSpaceDN w:val="0"/>
        <w:adjustRightInd w:val="0"/>
        <w:rPr>
          <w:sz w:val="22"/>
          <w:szCs w:val="22"/>
        </w:rPr>
      </w:pPr>
      <w:r>
        <w:rPr>
          <w:sz w:val="22"/>
          <w:szCs w:val="22"/>
        </w:rPr>
        <w:t>Data managers at non-STD clinic healthcare facilities will:</w:t>
      </w:r>
    </w:p>
    <w:p w:rsidRPr="000D7406" w:rsidR="000D7406" w:rsidP="000D7406" w:rsidRDefault="000D7406" w14:paraId="7A3158C3" w14:textId="42AC8E9A">
      <w:pPr>
        <w:pStyle w:val="ListParagraph"/>
        <w:numPr>
          <w:ilvl w:val="0"/>
          <w:numId w:val="115"/>
        </w:numPr>
        <w:autoSpaceDE w:val="0"/>
        <w:autoSpaceDN w:val="0"/>
        <w:adjustRightInd w:val="0"/>
        <w:rPr>
          <w:sz w:val="22"/>
          <w:szCs w:val="22"/>
        </w:rPr>
      </w:pPr>
      <w:r>
        <w:rPr>
          <w:sz w:val="22"/>
          <w:szCs w:val="22"/>
        </w:rPr>
        <w:t>a</w:t>
      </w:r>
      <w:r w:rsidRPr="000D7406">
        <w:rPr>
          <w:sz w:val="22"/>
          <w:szCs w:val="22"/>
        </w:rPr>
        <w:t>bstract line-listed clinic visit data from their facility</w:t>
      </w:r>
      <w:r>
        <w:rPr>
          <w:sz w:val="22"/>
          <w:szCs w:val="22"/>
        </w:rPr>
        <w:t>, and</w:t>
      </w:r>
    </w:p>
    <w:p w:rsidRPr="000D7406" w:rsidR="000D7406" w:rsidP="000D7406" w:rsidRDefault="000D7406" w14:paraId="7B1D01B4" w14:textId="7E3016BF">
      <w:pPr>
        <w:pStyle w:val="ListParagraph"/>
        <w:numPr>
          <w:ilvl w:val="0"/>
          <w:numId w:val="115"/>
        </w:numPr>
        <w:autoSpaceDE w:val="0"/>
        <w:autoSpaceDN w:val="0"/>
        <w:adjustRightInd w:val="0"/>
        <w:rPr>
          <w:sz w:val="22"/>
          <w:szCs w:val="22"/>
        </w:rPr>
      </w:pPr>
      <w:r>
        <w:rPr>
          <w:sz w:val="22"/>
          <w:szCs w:val="22"/>
        </w:rPr>
        <w:t>t</w:t>
      </w:r>
      <w:r w:rsidRPr="000D7406">
        <w:rPr>
          <w:sz w:val="22"/>
          <w:szCs w:val="22"/>
        </w:rPr>
        <w:t>ransmit the data to the data manager at the funded jurisdiction</w:t>
      </w:r>
      <w:r>
        <w:rPr>
          <w:sz w:val="22"/>
          <w:szCs w:val="22"/>
        </w:rPr>
        <w:t>.</w:t>
      </w:r>
    </w:p>
    <w:p w:rsidRPr="002741A0" w:rsidR="009E3868" w:rsidP="001C3844" w:rsidRDefault="009E3868" w14:paraId="015AE55E" w14:textId="28D567F7">
      <w:pPr>
        <w:autoSpaceDE w:val="0"/>
        <w:autoSpaceDN w:val="0"/>
        <w:adjustRightInd w:val="0"/>
        <w:rPr>
          <w:rFonts w:ascii="Calibri" w:hAnsi="Calibri"/>
          <w:color w:val="374C80" w:themeColor="accent1" w:themeShade="BF"/>
          <w:sz w:val="22"/>
          <w:szCs w:val="22"/>
        </w:rPr>
      </w:pPr>
      <w:r w:rsidRPr="002741A0">
        <w:rPr>
          <w:rFonts w:ascii="Calibri" w:hAnsi="Calibri"/>
          <w:color w:val="374C80" w:themeColor="accent1" w:themeShade="BF"/>
          <w:sz w:val="22"/>
          <w:szCs w:val="22"/>
        </w:rPr>
        <w:t>Laboratory data</w:t>
      </w:r>
    </w:p>
    <w:p w:rsidR="000D7406" w:rsidP="00F42443" w:rsidRDefault="000D7406" w14:paraId="1981F8D3" w14:textId="77777777">
      <w:pPr>
        <w:autoSpaceDE w:val="0"/>
        <w:autoSpaceDN w:val="0"/>
        <w:adjustRightInd w:val="0"/>
        <w:rPr>
          <w:sz w:val="22"/>
          <w:szCs w:val="22"/>
          <w:lang w:val="en"/>
        </w:rPr>
      </w:pPr>
      <w:r>
        <w:rPr>
          <w:sz w:val="22"/>
          <w:szCs w:val="22"/>
          <w:lang w:val="en"/>
        </w:rPr>
        <w:t xml:space="preserve">Data managers at the participating PHL will: </w:t>
      </w:r>
    </w:p>
    <w:p w:rsidRPr="000D7406" w:rsidR="000D7406" w:rsidP="000D7406" w:rsidRDefault="000D7406" w14:paraId="14FEFD2F" w14:textId="77777777">
      <w:pPr>
        <w:pStyle w:val="ListParagraph"/>
        <w:numPr>
          <w:ilvl w:val="0"/>
          <w:numId w:val="116"/>
        </w:numPr>
        <w:autoSpaceDE w:val="0"/>
        <w:autoSpaceDN w:val="0"/>
        <w:adjustRightInd w:val="0"/>
        <w:rPr>
          <w:sz w:val="22"/>
          <w:szCs w:val="22"/>
          <w:lang w:val="en"/>
        </w:rPr>
      </w:pPr>
      <w:r w:rsidRPr="000D7406">
        <w:rPr>
          <w:sz w:val="22"/>
          <w:szCs w:val="22"/>
          <w:lang w:val="en"/>
        </w:rPr>
        <w:t>manage the results within the laboratory’s electronic information system</w:t>
      </w:r>
    </w:p>
    <w:p w:rsidRPr="000D7406" w:rsidR="000D7406" w:rsidP="000D7406" w:rsidRDefault="000D7406" w14:paraId="450B39D9" w14:textId="6C697EA6">
      <w:pPr>
        <w:pStyle w:val="ListParagraph"/>
        <w:numPr>
          <w:ilvl w:val="0"/>
          <w:numId w:val="116"/>
        </w:numPr>
        <w:autoSpaceDE w:val="0"/>
        <w:autoSpaceDN w:val="0"/>
        <w:adjustRightInd w:val="0"/>
        <w:rPr>
          <w:sz w:val="22"/>
          <w:szCs w:val="22"/>
          <w:lang w:val="en"/>
        </w:rPr>
      </w:pPr>
      <w:r w:rsidRPr="000D7406">
        <w:rPr>
          <w:sz w:val="22"/>
          <w:szCs w:val="22"/>
          <w:lang w:val="en"/>
        </w:rPr>
        <w:t>abstract relevant results, and</w:t>
      </w:r>
    </w:p>
    <w:p w:rsidR="000D7406" w:rsidP="000D7406" w:rsidRDefault="000D7406" w14:paraId="57D8FDBA" w14:textId="77777777">
      <w:pPr>
        <w:pStyle w:val="ListParagraph"/>
        <w:numPr>
          <w:ilvl w:val="0"/>
          <w:numId w:val="116"/>
        </w:numPr>
        <w:autoSpaceDE w:val="0"/>
        <w:autoSpaceDN w:val="0"/>
        <w:adjustRightInd w:val="0"/>
        <w:rPr>
          <w:sz w:val="22"/>
          <w:szCs w:val="22"/>
          <w:lang w:val="en"/>
        </w:rPr>
      </w:pPr>
      <w:r w:rsidRPr="000D7406">
        <w:rPr>
          <w:sz w:val="22"/>
          <w:szCs w:val="22"/>
          <w:lang w:val="en"/>
        </w:rPr>
        <w:t xml:space="preserve">transmit the data to the data manager at the funded jurisdiction. </w:t>
      </w:r>
    </w:p>
    <w:p w:rsidRPr="000D7406" w:rsidR="00C31833" w:rsidP="000D7406" w:rsidRDefault="000D7406" w14:paraId="20041A4C" w14:textId="6C7C8CCC">
      <w:pPr>
        <w:autoSpaceDE w:val="0"/>
        <w:autoSpaceDN w:val="0"/>
        <w:adjustRightInd w:val="0"/>
        <w:rPr>
          <w:sz w:val="22"/>
          <w:szCs w:val="22"/>
          <w:lang w:val="en"/>
        </w:rPr>
      </w:pPr>
      <w:r>
        <w:rPr>
          <w:sz w:val="22"/>
          <w:szCs w:val="22"/>
          <w:lang w:val="en"/>
        </w:rPr>
        <w:t>Additionally, laboratory staff will quickly communicate reduced susceptibility results to the local SURRG epidemiological coordinator, to facilitate rapid field investigations.</w:t>
      </w:r>
      <w:r w:rsidR="005A5B39">
        <w:rPr>
          <w:sz w:val="22"/>
          <w:szCs w:val="22"/>
          <w:lang w:val="en"/>
        </w:rPr>
        <w:t xml:space="preserve"> </w:t>
      </w:r>
    </w:p>
    <w:p w:rsidRPr="002741A0" w:rsidR="00CD3B1F" w:rsidP="00CD3B1F" w:rsidRDefault="00CD3B1F" w14:paraId="26F990BD" w14:textId="4F326B6A">
      <w:pPr>
        <w:spacing w:before="240"/>
        <w:rPr>
          <w:color w:val="374C80" w:themeColor="accent1" w:themeShade="BF"/>
          <w:sz w:val="22"/>
          <w:szCs w:val="22"/>
        </w:rPr>
      </w:pPr>
      <w:r w:rsidRPr="002741A0">
        <w:rPr>
          <w:color w:val="374C80" w:themeColor="accent1" w:themeShade="BF"/>
          <w:sz w:val="22"/>
          <w:szCs w:val="22"/>
        </w:rPr>
        <w:t>Interview data</w:t>
      </w:r>
    </w:p>
    <w:p w:rsidRPr="005A5B39" w:rsidR="005A5B39" w:rsidP="00B26E4D" w:rsidRDefault="005A5B39" w14:paraId="3DA5FA72" w14:textId="77777777">
      <w:pPr>
        <w:autoSpaceDE w:val="0"/>
        <w:autoSpaceDN w:val="0"/>
        <w:adjustRightInd w:val="0"/>
        <w:rPr>
          <w:i/>
          <w:iCs/>
          <w:sz w:val="22"/>
          <w:szCs w:val="22"/>
        </w:rPr>
      </w:pPr>
      <w:r w:rsidRPr="005A5B39">
        <w:rPr>
          <w:i/>
          <w:iCs/>
          <w:sz w:val="22"/>
          <w:szCs w:val="22"/>
        </w:rPr>
        <w:t>Collection of interview data</w:t>
      </w:r>
    </w:p>
    <w:p w:rsidR="005A5B39" w:rsidP="00B26E4D" w:rsidRDefault="00CD3B1F" w14:paraId="57E64C2B" w14:textId="77777777">
      <w:pPr>
        <w:autoSpaceDE w:val="0"/>
        <w:autoSpaceDN w:val="0"/>
        <w:adjustRightInd w:val="0"/>
        <w:rPr>
          <w:sz w:val="22"/>
          <w:szCs w:val="22"/>
        </w:rPr>
      </w:pPr>
      <w:r>
        <w:rPr>
          <w:sz w:val="22"/>
          <w:szCs w:val="22"/>
        </w:rPr>
        <w:t xml:space="preserve">Once </w:t>
      </w:r>
      <w:r w:rsidR="000C3FC8">
        <w:rPr>
          <w:sz w:val="22"/>
          <w:szCs w:val="22"/>
        </w:rPr>
        <w:t>the</w:t>
      </w:r>
      <w:r w:rsidR="00FB79A7">
        <w:rPr>
          <w:sz w:val="22"/>
          <w:szCs w:val="22"/>
        </w:rPr>
        <w:t xml:space="preserve"> </w:t>
      </w:r>
      <w:r w:rsidR="001B7047">
        <w:rPr>
          <w:sz w:val="22"/>
          <w:szCs w:val="22"/>
        </w:rPr>
        <w:t xml:space="preserve">site </w:t>
      </w:r>
      <w:r>
        <w:rPr>
          <w:sz w:val="22"/>
          <w:szCs w:val="22"/>
        </w:rPr>
        <w:t xml:space="preserve">epidemiological coordinator is notified by the PHL of an isolate with reduced susceptibility (Table 1), </w:t>
      </w:r>
      <w:r w:rsidR="005A5B39">
        <w:rPr>
          <w:sz w:val="22"/>
          <w:szCs w:val="22"/>
        </w:rPr>
        <w:t>they</w:t>
      </w:r>
      <w:r>
        <w:rPr>
          <w:sz w:val="22"/>
          <w:szCs w:val="22"/>
        </w:rPr>
        <w:t xml:space="preserve"> will initiate a</w:t>
      </w:r>
      <w:r w:rsidR="001B7047">
        <w:rPr>
          <w:sz w:val="22"/>
          <w:szCs w:val="22"/>
        </w:rPr>
        <w:t xml:space="preserve"> field</w:t>
      </w:r>
      <w:r>
        <w:rPr>
          <w:sz w:val="22"/>
          <w:szCs w:val="22"/>
        </w:rPr>
        <w:t xml:space="preserve"> investigation in collaboration with </w:t>
      </w:r>
      <w:r w:rsidR="005A5B39">
        <w:rPr>
          <w:sz w:val="22"/>
          <w:szCs w:val="22"/>
        </w:rPr>
        <w:t xml:space="preserve">specially-trained health department staff (referred to as </w:t>
      </w:r>
      <w:r>
        <w:rPr>
          <w:sz w:val="22"/>
          <w:szCs w:val="22"/>
        </w:rPr>
        <w:t xml:space="preserve">disease investigation specialists </w:t>
      </w:r>
      <w:r w:rsidR="005A5B39">
        <w:rPr>
          <w:sz w:val="22"/>
          <w:szCs w:val="22"/>
        </w:rPr>
        <w:t xml:space="preserve">or </w:t>
      </w:r>
      <w:r>
        <w:rPr>
          <w:sz w:val="22"/>
          <w:szCs w:val="22"/>
        </w:rPr>
        <w:t>DIS)</w:t>
      </w:r>
      <w:r w:rsidR="005A5B39">
        <w:rPr>
          <w:sz w:val="22"/>
          <w:szCs w:val="22"/>
        </w:rPr>
        <w:t xml:space="preserve">. DIS undergo extensive training to interview patients, </w:t>
      </w:r>
      <w:r w:rsidR="00703776">
        <w:rPr>
          <w:sz w:val="22"/>
          <w:szCs w:val="22"/>
        </w:rPr>
        <w:t>elicit names and</w:t>
      </w:r>
      <w:r>
        <w:rPr>
          <w:sz w:val="22"/>
          <w:szCs w:val="22"/>
        </w:rPr>
        <w:t xml:space="preserve"> contact information of recent sexual partners</w:t>
      </w:r>
      <w:r w:rsidR="00573DEF">
        <w:rPr>
          <w:sz w:val="22"/>
          <w:szCs w:val="22"/>
        </w:rPr>
        <w:t>, and locate and interview partners</w:t>
      </w:r>
      <w:r w:rsidR="00151D54">
        <w:rPr>
          <w:sz w:val="22"/>
          <w:szCs w:val="22"/>
        </w:rPr>
        <w:t xml:space="preserve"> as part of routine </w:t>
      </w:r>
      <w:r w:rsidR="007B7C6F">
        <w:rPr>
          <w:sz w:val="22"/>
          <w:szCs w:val="22"/>
        </w:rPr>
        <w:t xml:space="preserve">and established </w:t>
      </w:r>
      <w:r w:rsidR="00151D54">
        <w:rPr>
          <w:sz w:val="22"/>
          <w:szCs w:val="22"/>
        </w:rPr>
        <w:t>public health disease control activities</w:t>
      </w:r>
      <w:r>
        <w:rPr>
          <w:sz w:val="22"/>
          <w:szCs w:val="22"/>
        </w:rPr>
        <w:t xml:space="preserve">. </w:t>
      </w:r>
      <w:r w:rsidR="005A5B39">
        <w:rPr>
          <w:sz w:val="22"/>
          <w:szCs w:val="22"/>
        </w:rPr>
        <w:t>DIS are also extensively trained in maintenance of confidentiality and privacy.</w:t>
      </w:r>
    </w:p>
    <w:p w:rsidR="00CD3B1F" w:rsidP="00B26E4D" w:rsidRDefault="00CD3B1F" w14:paraId="4E63E601" w14:textId="04674A66">
      <w:pPr>
        <w:autoSpaceDE w:val="0"/>
        <w:autoSpaceDN w:val="0"/>
        <w:adjustRightInd w:val="0"/>
        <w:rPr>
          <w:sz w:val="22"/>
          <w:szCs w:val="22"/>
        </w:rPr>
      </w:pPr>
      <w:r>
        <w:rPr>
          <w:sz w:val="22"/>
          <w:szCs w:val="22"/>
        </w:rPr>
        <w:t xml:space="preserve">The assigned DIS </w:t>
      </w:r>
      <w:r w:rsidR="00151D54">
        <w:rPr>
          <w:sz w:val="22"/>
          <w:szCs w:val="22"/>
        </w:rPr>
        <w:t xml:space="preserve">or health department staff member </w:t>
      </w:r>
      <w:r>
        <w:rPr>
          <w:sz w:val="22"/>
          <w:szCs w:val="22"/>
        </w:rPr>
        <w:t>will interview the p</w:t>
      </w:r>
      <w:r w:rsidR="005A5B39">
        <w:rPr>
          <w:sz w:val="22"/>
          <w:szCs w:val="22"/>
        </w:rPr>
        <w:t>atient</w:t>
      </w:r>
      <w:r>
        <w:rPr>
          <w:sz w:val="22"/>
          <w:szCs w:val="22"/>
        </w:rPr>
        <w:t xml:space="preserve"> from whom the isolate was collected to elicit epidemiological data and </w:t>
      </w:r>
      <w:r w:rsidR="005A5B39">
        <w:rPr>
          <w:sz w:val="22"/>
          <w:szCs w:val="22"/>
        </w:rPr>
        <w:t xml:space="preserve">the </w:t>
      </w:r>
      <w:r>
        <w:rPr>
          <w:sz w:val="22"/>
          <w:szCs w:val="22"/>
        </w:rPr>
        <w:t>names and contact information of recent sexual partners</w:t>
      </w:r>
      <w:r w:rsidR="00703776">
        <w:rPr>
          <w:sz w:val="22"/>
          <w:szCs w:val="22"/>
        </w:rPr>
        <w:t xml:space="preserve">. </w:t>
      </w:r>
      <w:r w:rsidR="005A5B39">
        <w:rPr>
          <w:sz w:val="22"/>
          <w:szCs w:val="22"/>
        </w:rPr>
        <w:t>Recent</w:t>
      </w:r>
      <w:r w:rsidR="001B7F04">
        <w:rPr>
          <w:sz w:val="22"/>
          <w:szCs w:val="22"/>
        </w:rPr>
        <w:t xml:space="preserve"> </w:t>
      </w:r>
      <w:r w:rsidR="00703776">
        <w:rPr>
          <w:sz w:val="22"/>
          <w:szCs w:val="22"/>
        </w:rPr>
        <w:t>partners will be interviewed</w:t>
      </w:r>
      <w:r w:rsidR="005A5B39">
        <w:rPr>
          <w:sz w:val="22"/>
          <w:szCs w:val="22"/>
        </w:rPr>
        <w:t xml:space="preserve">, tested, and treated. If a partner’s test results demonstrate an infection, DIS will interview the individual to elicit the names and contact information of their recent sexual partners (who will be interviewed, tested, and treated). </w:t>
      </w:r>
      <w:r w:rsidR="00703776">
        <w:rPr>
          <w:sz w:val="22"/>
          <w:szCs w:val="22"/>
        </w:rPr>
        <w:t xml:space="preserve">DIS </w:t>
      </w:r>
      <w:r w:rsidR="00B149B9">
        <w:rPr>
          <w:sz w:val="22"/>
          <w:szCs w:val="22"/>
        </w:rPr>
        <w:t xml:space="preserve">may </w:t>
      </w:r>
      <w:r w:rsidR="00703776">
        <w:rPr>
          <w:sz w:val="22"/>
          <w:szCs w:val="22"/>
        </w:rPr>
        <w:t xml:space="preserve">use multiple data sources </w:t>
      </w:r>
      <w:r w:rsidR="005A5B39">
        <w:rPr>
          <w:sz w:val="22"/>
          <w:szCs w:val="22"/>
        </w:rPr>
        <w:t xml:space="preserve">available to local health department staff </w:t>
      </w:r>
      <w:r w:rsidR="00703776">
        <w:rPr>
          <w:sz w:val="22"/>
          <w:szCs w:val="22"/>
        </w:rPr>
        <w:t xml:space="preserve">to gather contact information for patients and partners, including vital record or government database searches, contact with healthcare providers, and social media (as allowable by local policy). </w:t>
      </w:r>
      <w:r w:rsidR="00503F96">
        <w:rPr>
          <w:sz w:val="22"/>
          <w:szCs w:val="22"/>
        </w:rPr>
        <w:t xml:space="preserve">To </w:t>
      </w:r>
      <w:r w:rsidR="00ED397B">
        <w:rPr>
          <w:sz w:val="22"/>
          <w:szCs w:val="22"/>
        </w:rPr>
        <w:t xml:space="preserve">expand gonorrhoea control efforts, </w:t>
      </w:r>
      <w:r w:rsidR="00503F96">
        <w:rPr>
          <w:sz w:val="22"/>
          <w:szCs w:val="22"/>
        </w:rPr>
        <w:t xml:space="preserve">deepen the understanding of </w:t>
      </w:r>
      <w:proofErr w:type="spellStart"/>
      <w:r w:rsidR="00ED397B">
        <w:rPr>
          <w:sz w:val="22"/>
          <w:szCs w:val="22"/>
        </w:rPr>
        <w:t>gonorrhea</w:t>
      </w:r>
      <w:proofErr w:type="spellEnd"/>
      <w:r w:rsidR="00ED397B">
        <w:rPr>
          <w:sz w:val="22"/>
          <w:szCs w:val="22"/>
        </w:rPr>
        <w:t xml:space="preserve"> </w:t>
      </w:r>
      <w:r w:rsidR="00503F96">
        <w:rPr>
          <w:sz w:val="22"/>
          <w:szCs w:val="22"/>
        </w:rPr>
        <w:t xml:space="preserve">epidemiology, and identify possible public health prevention approaches, epidemiological coordinators </w:t>
      </w:r>
      <w:r w:rsidR="00B149B9">
        <w:rPr>
          <w:sz w:val="22"/>
          <w:szCs w:val="22"/>
        </w:rPr>
        <w:t>may</w:t>
      </w:r>
      <w:r w:rsidR="001B7F04">
        <w:rPr>
          <w:sz w:val="22"/>
          <w:szCs w:val="22"/>
        </w:rPr>
        <w:t xml:space="preserve"> also </w:t>
      </w:r>
      <w:r w:rsidR="00503F96">
        <w:rPr>
          <w:sz w:val="22"/>
          <w:szCs w:val="22"/>
        </w:rPr>
        <w:t>conduct</w:t>
      </w:r>
      <w:r w:rsidR="00ED397B">
        <w:rPr>
          <w:sz w:val="22"/>
          <w:szCs w:val="22"/>
        </w:rPr>
        <w:t xml:space="preserve"> investigations of </w:t>
      </w:r>
      <w:r w:rsidR="005A5B39">
        <w:rPr>
          <w:sz w:val="22"/>
          <w:szCs w:val="22"/>
        </w:rPr>
        <w:t xml:space="preserve">persons whose gonococcal infection may not demonstrate resistance but is deemed </w:t>
      </w:r>
      <w:r w:rsidR="00B149B9">
        <w:rPr>
          <w:sz w:val="22"/>
          <w:szCs w:val="22"/>
        </w:rPr>
        <w:t>of public health significance</w:t>
      </w:r>
      <w:r w:rsidR="00503F96">
        <w:rPr>
          <w:sz w:val="22"/>
          <w:szCs w:val="22"/>
        </w:rPr>
        <w:t>.</w:t>
      </w:r>
    </w:p>
    <w:p w:rsidR="005A5B39" w:rsidP="00B26E4D" w:rsidRDefault="005A5B39" w14:paraId="1CFBE4E3" w14:textId="2317CAF6">
      <w:pPr>
        <w:autoSpaceDE w:val="0"/>
        <w:autoSpaceDN w:val="0"/>
        <w:adjustRightInd w:val="0"/>
        <w:rPr>
          <w:sz w:val="22"/>
          <w:szCs w:val="22"/>
        </w:rPr>
      </w:pPr>
      <w:r>
        <w:rPr>
          <w:sz w:val="22"/>
          <w:szCs w:val="22"/>
        </w:rPr>
        <w:t>Data managers at each funded jurisdiction will:</w:t>
      </w:r>
    </w:p>
    <w:p w:rsidRPr="005A5B39" w:rsidR="005A5B39" w:rsidP="005A5B39" w:rsidRDefault="005A5B39" w14:paraId="62D1F8D6" w14:textId="14935699">
      <w:pPr>
        <w:pStyle w:val="ListParagraph"/>
        <w:numPr>
          <w:ilvl w:val="0"/>
          <w:numId w:val="117"/>
        </w:numPr>
        <w:autoSpaceDE w:val="0"/>
        <w:autoSpaceDN w:val="0"/>
        <w:adjustRightInd w:val="0"/>
        <w:rPr>
          <w:sz w:val="22"/>
          <w:szCs w:val="22"/>
        </w:rPr>
      </w:pPr>
      <w:r w:rsidRPr="005A5B39">
        <w:rPr>
          <w:sz w:val="22"/>
          <w:szCs w:val="22"/>
        </w:rPr>
        <w:t>Receive field investigation data</w:t>
      </w:r>
    </w:p>
    <w:p w:rsidRPr="005A5B39" w:rsidR="00503F96" w:rsidP="005A5B39" w:rsidRDefault="005A5B39" w14:paraId="52EF054D" w14:textId="29BC3C91">
      <w:pPr>
        <w:pStyle w:val="ListParagraph"/>
        <w:numPr>
          <w:ilvl w:val="0"/>
          <w:numId w:val="117"/>
        </w:numPr>
        <w:autoSpaceDE w:val="0"/>
        <w:autoSpaceDN w:val="0"/>
        <w:adjustRightInd w:val="0"/>
        <w:rPr>
          <w:sz w:val="22"/>
          <w:szCs w:val="22"/>
        </w:rPr>
      </w:pPr>
      <w:r w:rsidRPr="005A5B39">
        <w:rPr>
          <w:sz w:val="22"/>
          <w:szCs w:val="22"/>
        </w:rPr>
        <w:t xml:space="preserve">Link field investigation data </w:t>
      </w:r>
      <w:r w:rsidRPr="005A5B39" w:rsidR="00193CD4">
        <w:rPr>
          <w:sz w:val="22"/>
          <w:szCs w:val="22"/>
        </w:rPr>
        <w:t>to laboratory results and clinic data</w:t>
      </w:r>
      <w:r w:rsidRPr="005A5B39" w:rsidR="00503F96">
        <w:rPr>
          <w:sz w:val="22"/>
          <w:szCs w:val="22"/>
        </w:rPr>
        <w:t xml:space="preserve"> using the assigned patient </w:t>
      </w:r>
      <w:r w:rsidRPr="005A5B39">
        <w:rPr>
          <w:sz w:val="22"/>
          <w:szCs w:val="22"/>
        </w:rPr>
        <w:t>number</w:t>
      </w:r>
      <w:r w:rsidRPr="005A5B39" w:rsidR="00503F96">
        <w:rPr>
          <w:sz w:val="22"/>
          <w:szCs w:val="22"/>
        </w:rPr>
        <w:t>.</w:t>
      </w:r>
      <w:r w:rsidRPr="005A5B39" w:rsidR="00B149B9">
        <w:rPr>
          <w:sz w:val="22"/>
          <w:szCs w:val="22"/>
        </w:rPr>
        <w:t xml:space="preserve"> </w:t>
      </w:r>
      <w:r w:rsidRPr="005A5B39">
        <w:rPr>
          <w:sz w:val="22"/>
          <w:szCs w:val="22"/>
        </w:rPr>
        <w:t>As noted above, the assigned patient number</w:t>
      </w:r>
      <w:r w:rsidRPr="005A5B39" w:rsidR="00B149B9">
        <w:rPr>
          <w:sz w:val="22"/>
          <w:szCs w:val="22"/>
        </w:rPr>
        <w:t xml:space="preserve"> will not contain PII or medical record numbers</w:t>
      </w:r>
      <w:r w:rsidRPr="005A5B39">
        <w:rPr>
          <w:sz w:val="22"/>
          <w:szCs w:val="22"/>
        </w:rPr>
        <w:t>.</w:t>
      </w:r>
    </w:p>
    <w:p w:rsidRPr="005A5B39" w:rsidR="005A5B39" w:rsidP="005A5B39" w:rsidRDefault="005A5B39" w14:paraId="356C42B2" w14:textId="056BCD1B">
      <w:pPr>
        <w:pStyle w:val="ListParagraph"/>
        <w:numPr>
          <w:ilvl w:val="0"/>
          <w:numId w:val="117"/>
        </w:numPr>
        <w:autoSpaceDE w:val="0"/>
        <w:autoSpaceDN w:val="0"/>
        <w:adjustRightInd w:val="0"/>
        <w:rPr>
          <w:sz w:val="22"/>
          <w:szCs w:val="22"/>
        </w:rPr>
      </w:pPr>
      <w:r w:rsidRPr="005A5B39">
        <w:rPr>
          <w:sz w:val="22"/>
          <w:szCs w:val="22"/>
        </w:rPr>
        <w:lastRenderedPageBreak/>
        <w:t>Merge field investigation data with clinic and laboratory data, clean, and structure the data in the request formats</w:t>
      </w:r>
    </w:p>
    <w:p w:rsidR="005A5B39" w:rsidP="005A5B39" w:rsidRDefault="005A5B39" w14:paraId="13A82E3F" w14:textId="4FDCA9D9">
      <w:pPr>
        <w:pStyle w:val="ListParagraph"/>
        <w:numPr>
          <w:ilvl w:val="0"/>
          <w:numId w:val="117"/>
        </w:numPr>
        <w:autoSpaceDE w:val="0"/>
        <w:autoSpaceDN w:val="0"/>
        <w:adjustRightInd w:val="0"/>
        <w:rPr>
          <w:sz w:val="22"/>
          <w:szCs w:val="22"/>
        </w:rPr>
      </w:pPr>
      <w:r w:rsidRPr="005A5B39">
        <w:rPr>
          <w:sz w:val="22"/>
          <w:szCs w:val="22"/>
        </w:rPr>
        <w:t xml:space="preserve">Transmit the data electronically to CDC using a secure electronic platform. </w:t>
      </w:r>
    </w:p>
    <w:p w:rsidRPr="005A5B39" w:rsidR="00532AEC" w:rsidP="00532AEC" w:rsidRDefault="00532AEC" w14:paraId="5F6CD919" w14:textId="77777777">
      <w:pPr>
        <w:pStyle w:val="ListParagraph"/>
        <w:autoSpaceDE w:val="0"/>
        <w:autoSpaceDN w:val="0"/>
        <w:adjustRightInd w:val="0"/>
        <w:rPr>
          <w:sz w:val="22"/>
          <w:szCs w:val="22"/>
        </w:rPr>
      </w:pPr>
    </w:p>
    <w:p w:rsidR="00C87282" w:rsidP="00053051" w:rsidRDefault="00334352" w14:paraId="2EC83120" w14:textId="69087523">
      <w:pPr>
        <w:pStyle w:val="Heading2"/>
      </w:pPr>
      <w:r w:rsidRPr="002741A0">
        <w:t>2.3</w:t>
      </w:r>
      <w:r w:rsidRPr="002741A0" w:rsidR="001C3844">
        <w:t xml:space="preserve"> Data Transmission to CDC</w:t>
      </w:r>
    </w:p>
    <w:p w:rsidRPr="00552DB3" w:rsidR="00B149B9" w:rsidP="00257BCD" w:rsidRDefault="00B149B9" w14:paraId="48A2B448" w14:textId="77777777"/>
    <w:p w:rsidR="001C3844" w:rsidP="002741A0" w:rsidRDefault="00AF331E" w14:paraId="69D7D536" w14:textId="49419DF9">
      <w:pPr>
        <w:autoSpaceDE w:val="0"/>
        <w:autoSpaceDN w:val="0"/>
        <w:adjustRightInd w:val="0"/>
        <w:rPr>
          <w:sz w:val="22"/>
          <w:szCs w:val="22"/>
        </w:rPr>
      </w:pPr>
      <w:r>
        <w:rPr>
          <w:sz w:val="22"/>
          <w:szCs w:val="22"/>
        </w:rPr>
        <w:t>Site</w:t>
      </w:r>
      <w:r w:rsidRPr="00B26E4D">
        <w:rPr>
          <w:sz w:val="22"/>
          <w:szCs w:val="22"/>
        </w:rPr>
        <w:t xml:space="preserve"> </w:t>
      </w:r>
      <w:r w:rsidR="00532AEC">
        <w:rPr>
          <w:sz w:val="22"/>
          <w:szCs w:val="22"/>
        </w:rPr>
        <w:t>data managers</w:t>
      </w:r>
      <w:r w:rsidRPr="00B26E4D" w:rsidR="00C87282">
        <w:rPr>
          <w:sz w:val="22"/>
          <w:szCs w:val="22"/>
        </w:rPr>
        <w:t xml:space="preserve"> will transmit de-identified epidemiological clinic data</w:t>
      </w:r>
      <w:r w:rsidR="00E05BAF">
        <w:rPr>
          <w:sz w:val="22"/>
          <w:szCs w:val="22"/>
        </w:rPr>
        <w:t>,</w:t>
      </w:r>
      <w:r w:rsidR="00C4454A">
        <w:rPr>
          <w:sz w:val="22"/>
          <w:szCs w:val="22"/>
        </w:rPr>
        <w:t xml:space="preserve"> </w:t>
      </w:r>
      <w:r w:rsidRPr="00B26E4D" w:rsidR="003F51D5">
        <w:rPr>
          <w:sz w:val="22"/>
          <w:szCs w:val="22"/>
        </w:rPr>
        <w:t>laboratory</w:t>
      </w:r>
      <w:r w:rsidRPr="00B26E4D" w:rsidR="00C87282">
        <w:rPr>
          <w:sz w:val="22"/>
          <w:szCs w:val="22"/>
        </w:rPr>
        <w:t xml:space="preserve"> results</w:t>
      </w:r>
      <w:r w:rsidRPr="00B26E4D" w:rsidR="003F51D5">
        <w:rPr>
          <w:sz w:val="22"/>
          <w:szCs w:val="22"/>
        </w:rPr>
        <w:t xml:space="preserve"> (NAAT, culture, and AST)</w:t>
      </w:r>
      <w:r w:rsidRPr="00B26E4D" w:rsidR="00C87282">
        <w:rPr>
          <w:sz w:val="22"/>
          <w:szCs w:val="22"/>
        </w:rPr>
        <w:t>, and investigation interview data to CDC</w:t>
      </w:r>
      <w:r w:rsidR="00B149B9">
        <w:rPr>
          <w:sz w:val="22"/>
          <w:szCs w:val="22"/>
        </w:rPr>
        <w:t xml:space="preserve"> using a secure access management service (SAMS)</w:t>
      </w:r>
      <w:r w:rsidRPr="00B26E4D" w:rsidR="00C87282">
        <w:rPr>
          <w:sz w:val="22"/>
          <w:szCs w:val="22"/>
        </w:rPr>
        <w:t xml:space="preserve">. </w:t>
      </w:r>
      <w:r w:rsidRPr="00B26E4D" w:rsidR="009E3868">
        <w:rPr>
          <w:sz w:val="22"/>
          <w:szCs w:val="22"/>
        </w:rPr>
        <w:t xml:space="preserve">No data containing PII will be transmitted to CDC. </w:t>
      </w:r>
    </w:p>
    <w:p w:rsidRPr="0098453C" w:rsidR="00C87282" w:rsidP="00B26E4D" w:rsidRDefault="00C87282" w14:paraId="42D3D41A" w14:textId="328E158C">
      <w:pPr>
        <w:autoSpaceDE w:val="0"/>
        <w:autoSpaceDN w:val="0"/>
        <w:adjustRightInd w:val="0"/>
        <w:rPr>
          <w:sz w:val="22"/>
          <w:szCs w:val="22"/>
        </w:rPr>
      </w:pPr>
      <w:r w:rsidRPr="0098453C">
        <w:rPr>
          <w:sz w:val="22"/>
          <w:szCs w:val="22"/>
        </w:rPr>
        <w:t xml:space="preserve">Funded jurisdictions are expected to institute rigorous procedures to assure </w:t>
      </w:r>
      <w:r w:rsidR="00532AEC">
        <w:rPr>
          <w:sz w:val="22"/>
          <w:szCs w:val="22"/>
        </w:rPr>
        <w:t xml:space="preserve">data </w:t>
      </w:r>
      <w:r w:rsidRPr="0098453C">
        <w:rPr>
          <w:sz w:val="22"/>
          <w:szCs w:val="22"/>
        </w:rPr>
        <w:t xml:space="preserve">quality and validity before submitting data to CDC. CDC will provide data structures with variable names, lengths and types defined for all requested </w:t>
      </w:r>
      <w:r w:rsidR="00D038CF">
        <w:rPr>
          <w:sz w:val="22"/>
          <w:szCs w:val="22"/>
        </w:rPr>
        <w:t xml:space="preserve">SAS </w:t>
      </w:r>
      <w:r w:rsidRPr="0098453C">
        <w:rPr>
          <w:sz w:val="22"/>
          <w:szCs w:val="22"/>
        </w:rPr>
        <w:t xml:space="preserve">datasets. </w:t>
      </w:r>
      <w:r w:rsidRPr="0098453C" w:rsidR="00532AEC">
        <w:rPr>
          <w:sz w:val="22"/>
          <w:szCs w:val="22"/>
        </w:rPr>
        <w:t xml:space="preserve">CDC will </w:t>
      </w:r>
      <w:r w:rsidR="00532AEC">
        <w:rPr>
          <w:sz w:val="22"/>
          <w:szCs w:val="22"/>
        </w:rPr>
        <w:t xml:space="preserve">also </w:t>
      </w:r>
      <w:r w:rsidRPr="0098453C" w:rsidR="00532AEC">
        <w:rPr>
          <w:sz w:val="22"/>
          <w:szCs w:val="22"/>
        </w:rPr>
        <w:t>prepare syntax for data validation that will provide for appropriate quality assurance.</w:t>
      </w:r>
      <w:r w:rsidR="00532AEC">
        <w:rPr>
          <w:sz w:val="22"/>
          <w:szCs w:val="22"/>
        </w:rPr>
        <w:t xml:space="preserve"> </w:t>
      </w:r>
      <w:r w:rsidRPr="0098453C">
        <w:rPr>
          <w:sz w:val="22"/>
          <w:szCs w:val="22"/>
        </w:rPr>
        <w:t xml:space="preserve">Local data should be transformed to conform to these data structures and include only the requested data elements properly coded and in appropriate data formats. Datasets failing to comply with pre-determined data structures will be rejected, with notification to </w:t>
      </w:r>
      <w:r w:rsidR="00C71F44">
        <w:rPr>
          <w:sz w:val="22"/>
          <w:szCs w:val="22"/>
        </w:rPr>
        <w:t>jurisdiction</w:t>
      </w:r>
      <w:r w:rsidRPr="0098453C" w:rsidR="00D32371">
        <w:rPr>
          <w:sz w:val="22"/>
          <w:szCs w:val="22"/>
        </w:rPr>
        <w:t>.</w:t>
      </w:r>
      <w:r w:rsidR="00D32371">
        <w:rPr>
          <w:sz w:val="22"/>
          <w:szCs w:val="22"/>
        </w:rPr>
        <w:t xml:space="preserve"> </w:t>
      </w:r>
      <w:r w:rsidR="00C71F44">
        <w:rPr>
          <w:sz w:val="22"/>
          <w:szCs w:val="22"/>
        </w:rPr>
        <w:t>The j</w:t>
      </w:r>
      <w:r w:rsidR="00D32371">
        <w:rPr>
          <w:sz w:val="22"/>
          <w:szCs w:val="22"/>
        </w:rPr>
        <w:t>urisdiction</w:t>
      </w:r>
      <w:r w:rsidR="00C71F44">
        <w:rPr>
          <w:sz w:val="22"/>
          <w:szCs w:val="22"/>
        </w:rPr>
        <w:t>(</w:t>
      </w:r>
      <w:r w:rsidR="00D32371">
        <w:rPr>
          <w:sz w:val="22"/>
          <w:szCs w:val="22"/>
        </w:rPr>
        <w:t>s</w:t>
      </w:r>
      <w:r w:rsidR="00C71F44">
        <w:rPr>
          <w:sz w:val="22"/>
          <w:szCs w:val="22"/>
        </w:rPr>
        <w:t>)</w:t>
      </w:r>
      <w:r w:rsidRPr="0098453C">
        <w:rPr>
          <w:sz w:val="22"/>
          <w:szCs w:val="22"/>
        </w:rPr>
        <w:t xml:space="preserve"> must re-format, recode or resolve issues</w:t>
      </w:r>
      <w:r w:rsidR="0023467D">
        <w:rPr>
          <w:sz w:val="22"/>
          <w:szCs w:val="22"/>
        </w:rPr>
        <w:t>,</w:t>
      </w:r>
      <w:r w:rsidRPr="0098453C">
        <w:rPr>
          <w:sz w:val="22"/>
          <w:szCs w:val="22"/>
        </w:rPr>
        <w:t xml:space="preserve"> and re</w:t>
      </w:r>
      <w:r w:rsidR="0023467D">
        <w:rPr>
          <w:sz w:val="22"/>
          <w:szCs w:val="22"/>
        </w:rPr>
        <w:t>-</w:t>
      </w:r>
      <w:r w:rsidRPr="0098453C">
        <w:rPr>
          <w:sz w:val="22"/>
          <w:szCs w:val="22"/>
        </w:rPr>
        <w:t xml:space="preserve">transmit corrected datasets. </w:t>
      </w:r>
    </w:p>
    <w:p w:rsidRPr="00B26E4D" w:rsidR="009E3868" w:rsidP="009E3868" w:rsidRDefault="00C87282" w14:paraId="43941953" w14:textId="0B7ED386">
      <w:pPr>
        <w:autoSpaceDE w:val="0"/>
        <w:autoSpaceDN w:val="0"/>
        <w:adjustRightInd w:val="0"/>
        <w:rPr>
          <w:sz w:val="22"/>
          <w:szCs w:val="22"/>
        </w:rPr>
      </w:pPr>
      <w:r w:rsidRPr="00B26E4D">
        <w:rPr>
          <w:sz w:val="22"/>
          <w:szCs w:val="22"/>
        </w:rPr>
        <w:t>Jurisdictions will provide clean</w:t>
      </w:r>
      <w:r w:rsidRPr="00B26E4D" w:rsidR="009E3868">
        <w:rPr>
          <w:sz w:val="22"/>
          <w:szCs w:val="22"/>
        </w:rPr>
        <w:t xml:space="preserve"> and</w:t>
      </w:r>
      <w:r w:rsidRPr="00B26E4D">
        <w:rPr>
          <w:sz w:val="22"/>
          <w:szCs w:val="22"/>
        </w:rPr>
        <w:t xml:space="preserve"> validated datasets to CDC </w:t>
      </w:r>
      <w:r w:rsidR="0023467D">
        <w:rPr>
          <w:sz w:val="22"/>
          <w:szCs w:val="22"/>
        </w:rPr>
        <w:t>every 2</w:t>
      </w:r>
      <w:r w:rsidRPr="00B26E4D">
        <w:rPr>
          <w:sz w:val="22"/>
          <w:szCs w:val="22"/>
        </w:rPr>
        <w:t xml:space="preserve"> month</w:t>
      </w:r>
      <w:r w:rsidR="0023467D">
        <w:rPr>
          <w:sz w:val="22"/>
          <w:szCs w:val="22"/>
        </w:rPr>
        <w:t>s</w:t>
      </w:r>
      <w:r w:rsidRPr="00B26E4D">
        <w:rPr>
          <w:sz w:val="22"/>
          <w:szCs w:val="22"/>
        </w:rPr>
        <w:t xml:space="preserve"> with cumulative data </w:t>
      </w:r>
      <w:r w:rsidR="00532AEC">
        <w:rPr>
          <w:sz w:val="22"/>
          <w:szCs w:val="22"/>
        </w:rPr>
        <w:t xml:space="preserve">starting with records from January 1 of </w:t>
      </w:r>
      <w:r w:rsidRPr="00B26E4D">
        <w:rPr>
          <w:sz w:val="22"/>
          <w:szCs w:val="22"/>
        </w:rPr>
        <w:t xml:space="preserve">each calendar year. </w:t>
      </w:r>
      <w:r w:rsidRPr="00B26E4D" w:rsidR="009E3868">
        <w:rPr>
          <w:sz w:val="22"/>
          <w:szCs w:val="22"/>
        </w:rPr>
        <w:t xml:space="preserve">Required datasets will be securely transmitted to CDC each month. Record-level data will only be transmitted to CDC following the Secure Access Management Service (SAMS) protocols. </w:t>
      </w:r>
      <w:r w:rsidR="00D32371">
        <w:rPr>
          <w:sz w:val="22"/>
          <w:szCs w:val="22"/>
        </w:rPr>
        <w:t>Jurisdictions</w:t>
      </w:r>
      <w:r w:rsidRPr="00B26E4D" w:rsidR="00D32371">
        <w:rPr>
          <w:sz w:val="22"/>
          <w:szCs w:val="22"/>
        </w:rPr>
        <w:t xml:space="preserve"> </w:t>
      </w:r>
      <w:r w:rsidRPr="00B26E4D" w:rsidR="009E3868">
        <w:rPr>
          <w:sz w:val="22"/>
          <w:szCs w:val="22"/>
        </w:rPr>
        <w:t>may also be required to encrypt data using at least 128-bit RSA-compliant strong key-pair encryption (such as PGP).</w:t>
      </w:r>
    </w:p>
    <w:p w:rsidRPr="00B26E4D" w:rsidR="00C87282" w:rsidP="00C87282" w:rsidRDefault="00C87282" w14:paraId="748D76FD" w14:textId="343CB75D">
      <w:pPr>
        <w:autoSpaceDE w:val="0"/>
        <w:autoSpaceDN w:val="0"/>
        <w:adjustRightInd w:val="0"/>
        <w:rPr>
          <w:sz w:val="22"/>
          <w:szCs w:val="22"/>
        </w:rPr>
      </w:pPr>
      <w:r w:rsidRPr="00B26E4D">
        <w:rPr>
          <w:sz w:val="22"/>
          <w:szCs w:val="22"/>
        </w:rPr>
        <w:t xml:space="preserve">A final, validated annual </w:t>
      </w:r>
      <w:r w:rsidR="003F7459">
        <w:rPr>
          <w:sz w:val="22"/>
          <w:szCs w:val="22"/>
        </w:rPr>
        <w:t xml:space="preserve">SAS </w:t>
      </w:r>
      <w:r w:rsidRPr="00B26E4D">
        <w:rPr>
          <w:sz w:val="22"/>
          <w:szCs w:val="22"/>
        </w:rPr>
        <w:t xml:space="preserve">dataset will be transmitted each year and archived to become the primary repository of that site’s annual reporting. These annual datasets should be preserved at the local level as ‘frozen’ data for local analytic purposes.  </w:t>
      </w:r>
    </w:p>
    <w:p w:rsidRPr="00532AEC" w:rsidR="00C0176F" w:rsidP="00532AEC" w:rsidRDefault="00C0176F" w14:paraId="439FB96F" w14:textId="099DE8CD">
      <w:pPr>
        <w:rPr>
          <w:sz w:val="22"/>
          <w:szCs w:val="22"/>
          <w:highlight w:val="yellow"/>
        </w:rPr>
      </w:pPr>
      <w:r w:rsidRPr="0098453C">
        <w:rPr>
          <w:sz w:val="22"/>
          <w:szCs w:val="22"/>
        </w:rPr>
        <w:t xml:space="preserve">CDC will formally acknowledge all data transmissions and data validation results </w:t>
      </w:r>
      <w:r w:rsidR="00A46256">
        <w:rPr>
          <w:sz w:val="22"/>
          <w:szCs w:val="22"/>
        </w:rPr>
        <w:t>by</w:t>
      </w:r>
      <w:r w:rsidRPr="0098453C">
        <w:rPr>
          <w:sz w:val="22"/>
          <w:szCs w:val="22"/>
        </w:rPr>
        <w:t xml:space="preserve"> e-mail.  Datasets received at CDC will be validated</w:t>
      </w:r>
      <w:r w:rsidR="000F1172">
        <w:rPr>
          <w:sz w:val="22"/>
          <w:szCs w:val="22"/>
        </w:rPr>
        <w:t xml:space="preserve"> </w:t>
      </w:r>
      <w:r w:rsidRPr="0098453C">
        <w:rPr>
          <w:sz w:val="22"/>
          <w:szCs w:val="22"/>
        </w:rPr>
        <w:t xml:space="preserve">and merged </w:t>
      </w:r>
      <w:r w:rsidR="000F1172">
        <w:rPr>
          <w:sz w:val="22"/>
          <w:szCs w:val="22"/>
        </w:rPr>
        <w:t>in</w:t>
      </w:r>
      <w:r w:rsidRPr="0098453C">
        <w:rPr>
          <w:sz w:val="22"/>
          <w:szCs w:val="22"/>
        </w:rPr>
        <w:t xml:space="preserve">to the national </w:t>
      </w:r>
      <w:r>
        <w:rPr>
          <w:sz w:val="22"/>
          <w:szCs w:val="22"/>
        </w:rPr>
        <w:t>SURRG</w:t>
      </w:r>
      <w:r w:rsidRPr="0098453C">
        <w:rPr>
          <w:sz w:val="22"/>
          <w:szCs w:val="22"/>
        </w:rPr>
        <w:t xml:space="preserve"> data</w:t>
      </w:r>
      <w:r w:rsidR="00EB207A">
        <w:rPr>
          <w:sz w:val="22"/>
          <w:szCs w:val="22"/>
        </w:rPr>
        <w:t>set</w:t>
      </w:r>
      <w:r w:rsidR="00532AEC">
        <w:rPr>
          <w:sz w:val="22"/>
          <w:szCs w:val="22"/>
        </w:rPr>
        <w:t>.</w:t>
      </w:r>
      <w:r w:rsidRPr="0098453C">
        <w:rPr>
          <w:sz w:val="22"/>
          <w:szCs w:val="22"/>
        </w:rPr>
        <w:t xml:space="preserve"> </w:t>
      </w:r>
      <w:r w:rsidRPr="00B26E4D" w:rsidR="00131E4C">
        <w:rPr>
          <w:sz w:val="22"/>
          <w:szCs w:val="22"/>
        </w:rPr>
        <w:t xml:space="preserve">Project progress will </w:t>
      </w:r>
      <w:r w:rsidRPr="00B26E4D" w:rsidR="007D09CA">
        <w:rPr>
          <w:sz w:val="22"/>
          <w:szCs w:val="22"/>
        </w:rPr>
        <w:t xml:space="preserve">also </w:t>
      </w:r>
      <w:r w:rsidRPr="00B26E4D" w:rsidR="00131E4C">
        <w:rPr>
          <w:sz w:val="22"/>
          <w:szCs w:val="22"/>
        </w:rPr>
        <w:t xml:space="preserve">be measured </w:t>
      </w:r>
      <w:r w:rsidRPr="00B26E4D" w:rsidR="007D09CA">
        <w:rPr>
          <w:sz w:val="22"/>
          <w:szCs w:val="22"/>
        </w:rPr>
        <w:t xml:space="preserve">according to </w:t>
      </w:r>
      <w:r w:rsidR="00FC2EE2">
        <w:rPr>
          <w:sz w:val="22"/>
          <w:szCs w:val="22"/>
        </w:rPr>
        <w:t xml:space="preserve">individual program-related </w:t>
      </w:r>
      <w:r w:rsidRPr="00B26E4D" w:rsidR="00131E4C">
        <w:rPr>
          <w:sz w:val="22"/>
          <w:szCs w:val="22"/>
        </w:rPr>
        <w:t xml:space="preserve">guidelines </w:t>
      </w:r>
      <w:r w:rsidRPr="00B26E4D" w:rsidR="004111D6">
        <w:rPr>
          <w:sz w:val="22"/>
          <w:szCs w:val="22"/>
        </w:rPr>
        <w:t xml:space="preserve">outlined </w:t>
      </w:r>
      <w:r w:rsidRPr="00B26E4D" w:rsidR="00131E4C">
        <w:rPr>
          <w:sz w:val="22"/>
          <w:szCs w:val="22"/>
        </w:rPr>
        <w:t>in the</w:t>
      </w:r>
      <w:r w:rsidR="000F1172">
        <w:rPr>
          <w:sz w:val="22"/>
          <w:szCs w:val="22"/>
        </w:rPr>
        <w:t xml:space="preserve"> Epidemiology and Laboratory Capacity for Infectious Diseases </w:t>
      </w:r>
      <w:r w:rsidR="00FC2EE2">
        <w:rPr>
          <w:sz w:val="22"/>
          <w:szCs w:val="22"/>
        </w:rPr>
        <w:t>(</w:t>
      </w:r>
      <w:r w:rsidRPr="00B26E4D" w:rsidR="00FC2EE2">
        <w:rPr>
          <w:sz w:val="22"/>
          <w:szCs w:val="22"/>
        </w:rPr>
        <w:t>ELC</w:t>
      </w:r>
      <w:r w:rsidR="00FC2EE2">
        <w:rPr>
          <w:sz w:val="22"/>
          <w:szCs w:val="22"/>
        </w:rPr>
        <w:t>)</w:t>
      </w:r>
      <w:r w:rsidRPr="00B26E4D" w:rsidR="00FC2EE2">
        <w:rPr>
          <w:sz w:val="22"/>
          <w:szCs w:val="22"/>
        </w:rPr>
        <w:t xml:space="preserve"> </w:t>
      </w:r>
      <w:r w:rsidR="000F1172">
        <w:rPr>
          <w:sz w:val="22"/>
          <w:szCs w:val="22"/>
        </w:rPr>
        <w:t xml:space="preserve">Cooperative Agreement </w:t>
      </w:r>
      <w:r w:rsidRPr="00B26E4D" w:rsidR="00131E4C">
        <w:rPr>
          <w:sz w:val="22"/>
          <w:szCs w:val="22"/>
        </w:rPr>
        <w:t>Funding opportunity annou</w:t>
      </w:r>
      <w:r w:rsidRPr="00B26E4D" w:rsidR="00A46256">
        <w:rPr>
          <w:sz w:val="22"/>
          <w:szCs w:val="22"/>
        </w:rPr>
        <w:t>n</w:t>
      </w:r>
      <w:r w:rsidRPr="00B26E4D" w:rsidR="00131E4C">
        <w:rPr>
          <w:sz w:val="22"/>
          <w:szCs w:val="22"/>
        </w:rPr>
        <w:t>cement</w:t>
      </w:r>
      <w:r w:rsidR="00EE6BE1">
        <w:rPr>
          <w:sz w:val="22"/>
          <w:szCs w:val="22"/>
        </w:rPr>
        <w:t xml:space="preserve">; additional information about the ELC can be found at </w:t>
      </w:r>
      <w:hyperlink w:history="1" r:id="rId14">
        <w:r w:rsidRPr="00FC2EE2" w:rsidR="00FC2EE2">
          <w:rPr>
            <w:rStyle w:val="Hyperlink"/>
            <w:sz w:val="22"/>
            <w:szCs w:val="22"/>
          </w:rPr>
          <w:t>https://www.cdc.gov/ncezid/dpei/epidemiology-laboratory-capacity.html</w:t>
        </w:r>
      </w:hyperlink>
      <w:r w:rsidRPr="00B26E4D" w:rsidR="00131E4C">
        <w:rPr>
          <w:sz w:val="22"/>
          <w:szCs w:val="22"/>
        </w:rPr>
        <w:t>.</w:t>
      </w:r>
      <w:r w:rsidRPr="0098453C">
        <w:rPr>
          <w:sz w:val="22"/>
          <w:szCs w:val="22"/>
        </w:rPr>
        <w:t xml:space="preserve">    </w:t>
      </w:r>
    </w:p>
    <w:p w:rsidRPr="0098453C" w:rsidR="00C87282" w:rsidP="002741A0" w:rsidRDefault="00C87282" w14:paraId="67A1F901" w14:textId="5D5049AC">
      <w:pPr>
        <w:autoSpaceDE w:val="0"/>
        <w:autoSpaceDN w:val="0"/>
        <w:adjustRightInd w:val="0"/>
        <w:rPr>
          <w:sz w:val="22"/>
          <w:szCs w:val="22"/>
        </w:rPr>
      </w:pPr>
    </w:p>
    <w:p w:rsidR="00FB6C4B" w:rsidP="00FB6C4B" w:rsidRDefault="00FB6C4B" w14:paraId="03197146" w14:textId="75250614">
      <w:pPr>
        <w:pStyle w:val="Heading2"/>
      </w:pPr>
      <w:bookmarkStart w:name="_Toc408480444" w:id="8"/>
      <w:r>
        <w:t>2.</w:t>
      </w:r>
      <w:r w:rsidR="009E3868">
        <w:t>4</w:t>
      </w:r>
      <w:r>
        <w:tab/>
      </w:r>
      <w:r w:rsidR="00E845E2">
        <w:t xml:space="preserve">Confidentiality and Human Subjects </w:t>
      </w:r>
      <w:r>
        <w:t>Considerations</w:t>
      </w:r>
      <w:bookmarkEnd w:id="8"/>
    </w:p>
    <w:p w:rsidR="009E3868" w:rsidP="00CB62E6" w:rsidRDefault="009E3868" w14:paraId="1D340458" w14:textId="0142DA9E">
      <w:pPr>
        <w:rPr>
          <w:sz w:val="22"/>
          <w:szCs w:val="22"/>
        </w:rPr>
      </w:pPr>
    </w:p>
    <w:p w:rsidRPr="0098453C" w:rsidR="00CB62E6" w:rsidP="00B26E4D" w:rsidRDefault="00CB62E6" w14:paraId="745DF40D" w14:textId="5A17513F">
      <w:pPr>
        <w:autoSpaceDE w:val="0"/>
        <w:autoSpaceDN w:val="0"/>
        <w:adjustRightInd w:val="0"/>
        <w:rPr>
          <w:sz w:val="22"/>
          <w:szCs w:val="22"/>
        </w:rPr>
      </w:pPr>
      <w:r w:rsidRPr="0098453C">
        <w:rPr>
          <w:sz w:val="22"/>
          <w:szCs w:val="22"/>
        </w:rPr>
        <w:t xml:space="preserve">All </w:t>
      </w:r>
      <w:r w:rsidR="00163F0D">
        <w:rPr>
          <w:sz w:val="22"/>
          <w:szCs w:val="22"/>
        </w:rPr>
        <w:t>SURRG</w:t>
      </w:r>
      <w:r w:rsidRPr="0098453C">
        <w:rPr>
          <w:sz w:val="22"/>
          <w:szCs w:val="22"/>
        </w:rPr>
        <w:t xml:space="preserve"> participating </w:t>
      </w:r>
      <w:r w:rsidR="001B67EB">
        <w:rPr>
          <w:sz w:val="22"/>
          <w:szCs w:val="22"/>
        </w:rPr>
        <w:t>jurisdictions</w:t>
      </w:r>
      <w:r w:rsidRPr="0098453C" w:rsidR="001B67EB">
        <w:rPr>
          <w:sz w:val="22"/>
          <w:szCs w:val="22"/>
        </w:rPr>
        <w:t xml:space="preserve"> </w:t>
      </w:r>
      <w:r w:rsidRPr="0098453C">
        <w:rPr>
          <w:sz w:val="22"/>
          <w:szCs w:val="22"/>
        </w:rPr>
        <w:t>are public health departments, not covered entities under HIPAA regulation: “Without individual authorization, a covered entity may disclose protected health information to a public health authority that is legally authorized to collect or receive the information for the purposes of preventing or controlling disease, injury, disability including, but not limited to reporting of disease...and conducting public health surveillance…” (</w:t>
      </w:r>
      <w:hyperlink w:history="1" r:id="rId15">
        <w:r w:rsidRPr="003268BB">
          <w:rPr>
            <w:rStyle w:val="Hyperlink"/>
            <w:sz w:val="22"/>
            <w:szCs w:val="22"/>
          </w:rPr>
          <w:t>MMWR, 2003</w:t>
        </w:r>
      </w:hyperlink>
      <w:r w:rsidRPr="0098453C">
        <w:rPr>
          <w:sz w:val="22"/>
          <w:szCs w:val="22"/>
        </w:rPr>
        <w:t xml:space="preserve">). Data sent to CDC will contain no personal identifiers such as name, </w:t>
      </w:r>
      <w:r w:rsidR="007D09CA">
        <w:rPr>
          <w:sz w:val="22"/>
          <w:szCs w:val="22"/>
        </w:rPr>
        <w:t xml:space="preserve">date </w:t>
      </w:r>
      <w:r w:rsidR="00C21DE3">
        <w:rPr>
          <w:sz w:val="22"/>
          <w:szCs w:val="22"/>
        </w:rPr>
        <w:t xml:space="preserve">of birth, </w:t>
      </w:r>
      <w:r w:rsidRPr="0098453C">
        <w:rPr>
          <w:sz w:val="22"/>
          <w:szCs w:val="22"/>
        </w:rPr>
        <w:t>social security number, street address, or medical record number.</w:t>
      </w:r>
    </w:p>
    <w:p w:rsidRPr="00190638" w:rsidR="00CB62E6" w:rsidP="00190638" w:rsidRDefault="00C84ED3" w14:paraId="2381B342" w14:textId="40FCE9D9">
      <w:pPr>
        <w:pStyle w:val="Default"/>
        <w:rPr>
          <w:rFonts w:ascii="Calibri" w:hAnsi="Calibri"/>
          <w:sz w:val="23"/>
          <w:szCs w:val="23"/>
          <w:lang w:val="en-US"/>
        </w:rPr>
      </w:pPr>
      <w:r>
        <w:rPr>
          <w:sz w:val="22"/>
          <w:szCs w:val="22"/>
        </w:rPr>
        <w:t xml:space="preserve">SURRG </w:t>
      </w:r>
      <w:r w:rsidR="00636D9C">
        <w:rPr>
          <w:sz w:val="22"/>
          <w:szCs w:val="22"/>
        </w:rPr>
        <w:t>activities are</w:t>
      </w:r>
      <w:r>
        <w:rPr>
          <w:sz w:val="22"/>
          <w:szCs w:val="22"/>
        </w:rPr>
        <w:t xml:space="preserve"> </w:t>
      </w:r>
      <w:r w:rsidR="00636D9C">
        <w:rPr>
          <w:sz w:val="22"/>
          <w:szCs w:val="22"/>
        </w:rPr>
        <w:t>disease control activities</w:t>
      </w:r>
      <w:r>
        <w:rPr>
          <w:sz w:val="22"/>
          <w:szCs w:val="22"/>
        </w:rPr>
        <w:t xml:space="preserve">, with collected data directly relating to disease control and </w:t>
      </w:r>
      <w:r w:rsidR="00532AEC">
        <w:rPr>
          <w:sz w:val="22"/>
          <w:szCs w:val="22"/>
        </w:rPr>
        <w:t>r</w:t>
      </w:r>
      <w:r>
        <w:rPr>
          <w:sz w:val="22"/>
          <w:szCs w:val="22"/>
        </w:rPr>
        <w:t xml:space="preserve">outine disease surveillance </w:t>
      </w:r>
      <w:r w:rsidR="00636D9C">
        <w:rPr>
          <w:sz w:val="22"/>
          <w:szCs w:val="22"/>
        </w:rPr>
        <w:t xml:space="preserve">activities, with </w:t>
      </w:r>
      <w:r>
        <w:rPr>
          <w:sz w:val="22"/>
          <w:szCs w:val="22"/>
        </w:rPr>
        <w:t xml:space="preserve">collected data directly enhancing local and national surveillance of gonorrhoea resistance. </w:t>
      </w:r>
      <w:r w:rsidRPr="0098453C" w:rsidR="00CB62E6">
        <w:rPr>
          <w:sz w:val="22"/>
          <w:szCs w:val="22"/>
        </w:rPr>
        <w:t>The Associate Director for Science (ADS) of the NCHHSTP</w:t>
      </w:r>
      <w:r w:rsidR="00E3140C">
        <w:rPr>
          <w:sz w:val="22"/>
          <w:szCs w:val="22"/>
        </w:rPr>
        <w:t xml:space="preserve">, CDC, and the Institutional Review Board (IRB) at CDC </w:t>
      </w:r>
      <w:r w:rsidR="00040EFE">
        <w:rPr>
          <w:sz w:val="22"/>
          <w:szCs w:val="22"/>
        </w:rPr>
        <w:t xml:space="preserve">have </w:t>
      </w:r>
      <w:r w:rsidRPr="0098453C" w:rsidR="00CB62E6">
        <w:rPr>
          <w:sz w:val="22"/>
          <w:szCs w:val="22"/>
        </w:rPr>
        <w:t>review</w:t>
      </w:r>
      <w:r w:rsidR="00040EFE">
        <w:rPr>
          <w:sz w:val="22"/>
          <w:szCs w:val="22"/>
        </w:rPr>
        <w:t>ed this</w:t>
      </w:r>
      <w:r w:rsidRPr="0098453C" w:rsidR="00CB62E6">
        <w:rPr>
          <w:sz w:val="22"/>
          <w:szCs w:val="22"/>
        </w:rPr>
        <w:t xml:space="preserve"> </w:t>
      </w:r>
      <w:r w:rsidR="00163F0D">
        <w:rPr>
          <w:sz w:val="22"/>
          <w:szCs w:val="22"/>
        </w:rPr>
        <w:t>SURRG</w:t>
      </w:r>
      <w:r w:rsidRPr="0098453C" w:rsidR="00CB62E6">
        <w:rPr>
          <w:sz w:val="22"/>
          <w:szCs w:val="22"/>
        </w:rPr>
        <w:t xml:space="preserve"> protocol</w:t>
      </w:r>
      <w:r w:rsidR="00040EFE">
        <w:rPr>
          <w:sz w:val="22"/>
          <w:szCs w:val="22"/>
        </w:rPr>
        <w:t xml:space="preserve"> and determined that SURRG is a public health activity and not human subjects research.</w:t>
      </w:r>
      <w:r w:rsidRPr="0098453C" w:rsidR="00CB62E6">
        <w:rPr>
          <w:sz w:val="22"/>
          <w:szCs w:val="22"/>
        </w:rPr>
        <w:t xml:space="preserve"> No incentives are provided to patients or clinic personnel for </w:t>
      </w:r>
      <w:r w:rsidR="00163F0D">
        <w:rPr>
          <w:sz w:val="22"/>
          <w:szCs w:val="22"/>
        </w:rPr>
        <w:t>SURRG</w:t>
      </w:r>
      <w:r w:rsidRPr="0098453C" w:rsidR="00CB62E6">
        <w:rPr>
          <w:sz w:val="22"/>
          <w:szCs w:val="22"/>
        </w:rPr>
        <w:t xml:space="preserve"> activities. </w:t>
      </w:r>
      <w:r w:rsidR="00E3140C">
        <w:rPr>
          <w:sz w:val="22"/>
          <w:szCs w:val="22"/>
        </w:rPr>
        <w:t>Those c</w:t>
      </w:r>
      <w:r w:rsidRPr="0098453C" w:rsidR="00CB62E6">
        <w:rPr>
          <w:sz w:val="22"/>
          <w:szCs w:val="22"/>
        </w:rPr>
        <w:t>ollaborating health departments should assess their local needs for similar determinations</w:t>
      </w:r>
      <w:r>
        <w:rPr>
          <w:sz w:val="22"/>
          <w:szCs w:val="22"/>
        </w:rPr>
        <w:t xml:space="preserve"> or human subject research reviews</w:t>
      </w:r>
      <w:r w:rsidRPr="0098453C" w:rsidR="00CB62E6">
        <w:rPr>
          <w:sz w:val="22"/>
          <w:szCs w:val="22"/>
        </w:rPr>
        <w:t xml:space="preserve">.   </w:t>
      </w:r>
    </w:p>
    <w:p w:rsidRPr="00BE5DC9" w:rsidR="00D54793" w:rsidP="00D54793" w:rsidRDefault="00131E4C" w14:paraId="7EDB891E" w14:textId="46A45F84">
      <w:pPr>
        <w:pStyle w:val="Heading1"/>
      </w:pPr>
      <w:bookmarkStart w:name="_Toc408480450" w:id="9"/>
      <w:r>
        <w:lastRenderedPageBreak/>
        <w:t>3</w:t>
      </w:r>
      <w:r w:rsidR="00387B71">
        <w:t xml:space="preserve">.0 </w:t>
      </w:r>
      <w:r w:rsidR="00571BE4">
        <w:t xml:space="preserve">Project </w:t>
      </w:r>
      <w:r w:rsidR="00D54793">
        <w:t>team</w:t>
      </w:r>
      <w:r w:rsidR="007E0472">
        <w:t xml:space="preserve"> and </w:t>
      </w:r>
      <w:r w:rsidR="006024FC">
        <w:t>I</w:t>
      </w:r>
      <w:r w:rsidR="007E0472">
        <w:t>nstitutional roles</w:t>
      </w:r>
      <w:bookmarkEnd w:id="9"/>
    </w:p>
    <w:p w:rsidRPr="0098453C" w:rsidR="007E0472" w:rsidP="00B26E4D" w:rsidRDefault="00532AEC" w14:paraId="7016DC30" w14:textId="09D0018D">
      <w:pPr>
        <w:autoSpaceDE w:val="0"/>
        <w:autoSpaceDN w:val="0"/>
        <w:adjustRightInd w:val="0"/>
        <w:rPr>
          <w:sz w:val="22"/>
          <w:szCs w:val="22"/>
        </w:rPr>
      </w:pPr>
      <w:r>
        <w:rPr>
          <w:sz w:val="22"/>
          <w:szCs w:val="22"/>
        </w:rPr>
        <w:t>Eight</w:t>
      </w:r>
      <w:r w:rsidR="00F44559">
        <w:rPr>
          <w:sz w:val="22"/>
          <w:szCs w:val="22"/>
        </w:rPr>
        <w:t xml:space="preserve"> </w:t>
      </w:r>
      <w:r w:rsidRPr="0098453C" w:rsidR="00833E61">
        <w:rPr>
          <w:sz w:val="22"/>
          <w:szCs w:val="22"/>
        </w:rPr>
        <w:t>funded jurisdictions are</w:t>
      </w:r>
      <w:r w:rsidRPr="0098453C" w:rsidR="007E0472">
        <w:rPr>
          <w:sz w:val="22"/>
          <w:szCs w:val="22"/>
        </w:rPr>
        <w:t xml:space="preserve"> involved in the concept, design, planning, staff hiring, data collection, analysis, reporting, and data storage. The </w:t>
      </w:r>
      <w:r w:rsidRPr="0098453C" w:rsidR="00833E61">
        <w:rPr>
          <w:sz w:val="22"/>
          <w:szCs w:val="22"/>
        </w:rPr>
        <w:t>jurisdiction</w:t>
      </w:r>
      <w:r>
        <w:rPr>
          <w:sz w:val="22"/>
          <w:szCs w:val="22"/>
        </w:rPr>
        <w:t>s</w:t>
      </w:r>
      <w:r w:rsidRPr="0098453C" w:rsidR="007E0472">
        <w:rPr>
          <w:sz w:val="22"/>
          <w:szCs w:val="22"/>
        </w:rPr>
        <w:t xml:space="preserve"> will ensure coordination of project activities. Data from response activities (case</w:t>
      </w:r>
      <w:r w:rsidR="00636D9C">
        <w:rPr>
          <w:sz w:val="22"/>
          <w:szCs w:val="22"/>
        </w:rPr>
        <w:t xml:space="preserve"> field</w:t>
      </w:r>
      <w:r w:rsidRPr="0098453C" w:rsidR="007E0472">
        <w:rPr>
          <w:sz w:val="22"/>
          <w:szCs w:val="22"/>
        </w:rPr>
        <w:t xml:space="preserve"> investigation and contact tracing) will be shared for project purposes. The </w:t>
      </w:r>
      <w:r w:rsidRPr="0098453C" w:rsidR="00833E61">
        <w:rPr>
          <w:sz w:val="22"/>
          <w:szCs w:val="22"/>
        </w:rPr>
        <w:t>jurisdiction</w:t>
      </w:r>
      <w:r w:rsidRPr="0098453C" w:rsidR="007E0472">
        <w:rPr>
          <w:sz w:val="22"/>
          <w:szCs w:val="22"/>
        </w:rPr>
        <w:t xml:space="preserve"> will hir</w:t>
      </w:r>
      <w:r w:rsidR="00171FA0">
        <w:rPr>
          <w:sz w:val="22"/>
          <w:szCs w:val="22"/>
        </w:rPr>
        <w:t>e</w:t>
      </w:r>
      <w:r w:rsidRPr="0098453C" w:rsidR="007E0472">
        <w:rPr>
          <w:sz w:val="22"/>
          <w:szCs w:val="22"/>
        </w:rPr>
        <w:t xml:space="preserve"> local </w:t>
      </w:r>
      <w:r w:rsidRPr="0098453C" w:rsidR="00225E84">
        <w:rPr>
          <w:sz w:val="22"/>
          <w:szCs w:val="22"/>
        </w:rPr>
        <w:t>staff</w:t>
      </w:r>
      <w:r w:rsidRPr="0098453C" w:rsidR="007E0472">
        <w:rPr>
          <w:sz w:val="22"/>
          <w:szCs w:val="22"/>
        </w:rPr>
        <w:t xml:space="preserve"> </w:t>
      </w:r>
      <w:r w:rsidRPr="0098453C" w:rsidR="00225E84">
        <w:rPr>
          <w:sz w:val="22"/>
          <w:szCs w:val="22"/>
        </w:rPr>
        <w:t>to conduct epidemiologic, laboratory, and informatics activities for the project</w:t>
      </w:r>
      <w:r w:rsidRPr="0098453C" w:rsidR="007E0472">
        <w:rPr>
          <w:sz w:val="22"/>
          <w:szCs w:val="22"/>
        </w:rPr>
        <w:t xml:space="preserve">. </w:t>
      </w:r>
    </w:p>
    <w:p w:rsidR="00E135BB" w:rsidP="00B26E4D" w:rsidRDefault="007E0472" w14:paraId="0151D737" w14:textId="40E0EEFE">
      <w:pPr>
        <w:autoSpaceDE w:val="0"/>
        <w:autoSpaceDN w:val="0"/>
        <w:adjustRightInd w:val="0"/>
        <w:rPr>
          <w:sz w:val="22"/>
          <w:szCs w:val="22"/>
        </w:rPr>
      </w:pPr>
      <w:r w:rsidRPr="0098453C">
        <w:rPr>
          <w:sz w:val="22"/>
          <w:szCs w:val="22"/>
        </w:rPr>
        <w:t xml:space="preserve">CDC will provide technical assistance in all project aspects and will lead </w:t>
      </w:r>
      <w:r w:rsidR="00171FA0">
        <w:rPr>
          <w:sz w:val="22"/>
          <w:szCs w:val="22"/>
        </w:rPr>
        <w:t xml:space="preserve">multisite </w:t>
      </w:r>
      <w:r w:rsidRPr="0098453C">
        <w:rPr>
          <w:sz w:val="22"/>
          <w:szCs w:val="22"/>
        </w:rPr>
        <w:t xml:space="preserve">data </w:t>
      </w:r>
      <w:r w:rsidR="00171FA0">
        <w:rPr>
          <w:sz w:val="22"/>
          <w:szCs w:val="22"/>
        </w:rPr>
        <w:t xml:space="preserve">cleaning, management, and </w:t>
      </w:r>
      <w:r w:rsidRPr="0098453C">
        <w:rPr>
          <w:sz w:val="22"/>
          <w:szCs w:val="22"/>
        </w:rPr>
        <w:t>analys</w:t>
      </w:r>
      <w:r w:rsidR="00171FA0">
        <w:rPr>
          <w:sz w:val="22"/>
          <w:szCs w:val="22"/>
        </w:rPr>
        <w:t>e</w:t>
      </w:r>
      <w:r w:rsidRPr="0098453C">
        <w:rPr>
          <w:sz w:val="22"/>
          <w:szCs w:val="22"/>
        </w:rPr>
        <w:t>s.</w:t>
      </w:r>
      <w:r w:rsidRPr="0098453C" w:rsidR="00C50BF0">
        <w:rPr>
          <w:sz w:val="22"/>
          <w:szCs w:val="22"/>
        </w:rPr>
        <w:t xml:space="preserve"> </w:t>
      </w:r>
    </w:p>
    <w:p w:rsidRPr="0098453C" w:rsidR="00571BE4" w:rsidP="008C475B" w:rsidRDefault="00E135BB" w14:paraId="700E04AB" w14:textId="5F9910FD">
      <w:pPr>
        <w:spacing w:before="120"/>
        <w:rPr>
          <w:sz w:val="22"/>
          <w:szCs w:val="22"/>
        </w:rPr>
      </w:pPr>
      <w:r w:rsidRPr="0098453C">
        <w:rPr>
          <w:sz w:val="22"/>
          <w:szCs w:val="22"/>
        </w:rPr>
        <w:t>Funded Jurisdictions</w:t>
      </w:r>
      <w:r w:rsidRPr="0098453C" w:rsidR="00571BE4">
        <w:rPr>
          <w:sz w:val="22"/>
          <w:szCs w:val="22"/>
        </w:rPr>
        <w:t xml:space="preserve">: </w:t>
      </w:r>
    </w:p>
    <w:p w:rsidRPr="00A04172" w:rsidR="00040EFE" w:rsidP="00040EFE" w:rsidRDefault="00040EFE" w14:paraId="028CBB90" w14:textId="77777777">
      <w:pPr>
        <w:pStyle w:val="ListParagraph"/>
        <w:numPr>
          <w:ilvl w:val="0"/>
          <w:numId w:val="37"/>
        </w:numPr>
        <w:rPr>
          <w:sz w:val="22"/>
          <w:szCs w:val="22"/>
        </w:rPr>
      </w:pPr>
      <w:r w:rsidRPr="00A04172">
        <w:rPr>
          <w:sz w:val="22"/>
          <w:szCs w:val="22"/>
        </w:rPr>
        <w:t>California Department of Public Health</w:t>
      </w:r>
      <w:r>
        <w:rPr>
          <w:sz w:val="22"/>
          <w:szCs w:val="22"/>
        </w:rPr>
        <w:t xml:space="preserve"> &amp; </w:t>
      </w:r>
      <w:r w:rsidRPr="00A04172">
        <w:rPr>
          <w:sz w:val="22"/>
          <w:szCs w:val="22"/>
        </w:rPr>
        <w:t>San Francisco Department of Public Health</w:t>
      </w:r>
    </w:p>
    <w:p w:rsidRPr="00A04172" w:rsidR="00040EFE" w:rsidP="00040EFE" w:rsidRDefault="00040EFE" w14:paraId="6C0437C3" w14:textId="77777777">
      <w:pPr>
        <w:pStyle w:val="ListParagraph"/>
        <w:numPr>
          <w:ilvl w:val="0"/>
          <w:numId w:val="37"/>
        </w:numPr>
        <w:rPr>
          <w:sz w:val="22"/>
          <w:szCs w:val="22"/>
        </w:rPr>
      </w:pPr>
      <w:r w:rsidRPr="00A04172">
        <w:rPr>
          <w:sz w:val="22"/>
          <w:szCs w:val="22"/>
        </w:rPr>
        <w:t xml:space="preserve">Colorado Department of Public Health and Environment </w:t>
      </w:r>
      <w:r>
        <w:rPr>
          <w:sz w:val="22"/>
          <w:szCs w:val="22"/>
        </w:rPr>
        <w:t xml:space="preserve">&amp; </w:t>
      </w:r>
      <w:r w:rsidRPr="00A04172">
        <w:rPr>
          <w:sz w:val="22"/>
          <w:szCs w:val="22"/>
        </w:rPr>
        <w:t>Denver Public Health</w:t>
      </w:r>
    </w:p>
    <w:p w:rsidRPr="00A04172" w:rsidR="00040EFE" w:rsidP="00040EFE" w:rsidRDefault="00040EFE" w14:paraId="0BE0A88F" w14:textId="77777777">
      <w:pPr>
        <w:pStyle w:val="ListParagraph"/>
        <w:numPr>
          <w:ilvl w:val="0"/>
          <w:numId w:val="37"/>
        </w:numPr>
        <w:rPr>
          <w:sz w:val="22"/>
          <w:szCs w:val="22"/>
        </w:rPr>
      </w:pPr>
      <w:r w:rsidRPr="00A04172">
        <w:rPr>
          <w:sz w:val="22"/>
          <w:szCs w:val="22"/>
        </w:rPr>
        <w:t xml:space="preserve">Indiana State Department of Health </w:t>
      </w:r>
      <w:r>
        <w:rPr>
          <w:sz w:val="22"/>
          <w:szCs w:val="22"/>
        </w:rPr>
        <w:t xml:space="preserve">&amp; </w:t>
      </w:r>
      <w:r w:rsidRPr="00A04172">
        <w:rPr>
          <w:sz w:val="22"/>
          <w:szCs w:val="22"/>
        </w:rPr>
        <w:t>Marion County Public Health Department</w:t>
      </w:r>
    </w:p>
    <w:p w:rsidRPr="00A04172" w:rsidR="00040EFE" w:rsidP="00040EFE" w:rsidRDefault="00040EFE" w14:paraId="44AF1BB7" w14:textId="77777777">
      <w:pPr>
        <w:pStyle w:val="ListParagraph"/>
        <w:numPr>
          <w:ilvl w:val="0"/>
          <w:numId w:val="37"/>
        </w:numPr>
        <w:rPr>
          <w:sz w:val="22"/>
          <w:szCs w:val="22"/>
        </w:rPr>
      </w:pPr>
      <w:r w:rsidRPr="00A04172">
        <w:rPr>
          <w:sz w:val="22"/>
          <w:szCs w:val="22"/>
        </w:rPr>
        <w:t xml:space="preserve">North Carolina Division of Public Health </w:t>
      </w:r>
      <w:r>
        <w:rPr>
          <w:sz w:val="22"/>
          <w:szCs w:val="22"/>
        </w:rPr>
        <w:t xml:space="preserve">&amp; </w:t>
      </w:r>
      <w:r w:rsidRPr="00A04172">
        <w:rPr>
          <w:sz w:val="22"/>
          <w:szCs w:val="22"/>
        </w:rPr>
        <w:t>Guilford County Department of Health and Human Services</w:t>
      </w:r>
    </w:p>
    <w:p w:rsidR="00040EFE" w:rsidP="00040EFE" w:rsidRDefault="00040EFE" w14:paraId="0CC703F1" w14:textId="174A17CA">
      <w:pPr>
        <w:pStyle w:val="ListParagraph"/>
        <w:numPr>
          <w:ilvl w:val="0"/>
          <w:numId w:val="37"/>
        </w:numPr>
        <w:rPr>
          <w:sz w:val="22"/>
          <w:szCs w:val="22"/>
        </w:rPr>
      </w:pPr>
      <w:r w:rsidRPr="00A04172">
        <w:rPr>
          <w:sz w:val="22"/>
          <w:szCs w:val="22"/>
        </w:rPr>
        <w:t>New York City Department of Health &amp; Mental Hygiene</w:t>
      </w:r>
    </w:p>
    <w:p w:rsidRPr="00A04172" w:rsidR="004566E4" w:rsidP="00040EFE" w:rsidRDefault="004566E4" w14:paraId="107F714F" w14:textId="7DAEECD6">
      <w:pPr>
        <w:pStyle w:val="ListParagraph"/>
        <w:numPr>
          <w:ilvl w:val="0"/>
          <w:numId w:val="37"/>
        </w:numPr>
        <w:rPr>
          <w:sz w:val="22"/>
          <w:szCs w:val="22"/>
        </w:rPr>
      </w:pPr>
      <w:r>
        <w:rPr>
          <w:sz w:val="22"/>
          <w:szCs w:val="22"/>
        </w:rPr>
        <w:t>Pennsylvania Department of Health &amp; Allegheny County Health Department</w:t>
      </w:r>
    </w:p>
    <w:p w:rsidR="003B3893" w:rsidP="00257BCD" w:rsidRDefault="00040EFE" w14:paraId="721866D8" w14:textId="77777777">
      <w:pPr>
        <w:pStyle w:val="ListParagraph"/>
        <w:numPr>
          <w:ilvl w:val="0"/>
          <w:numId w:val="37"/>
        </w:numPr>
        <w:rPr>
          <w:sz w:val="22"/>
          <w:szCs w:val="22"/>
        </w:rPr>
      </w:pPr>
      <w:r w:rsidRPr="00A04172">
        <w:rPr>
          <w:sz w:val="22"/>
          <w:szCs w:val="22"/>
        </w:rPr>
        <w:t xml:space="preserve">Washington State Department of Health </w:t>
      </w:r>
      <w:r>
        <w:rPr>
          <w:sz w:val="22"/>
          <w:szCs w:val="22"/>
        </w:rPr>
        <w:t xml:space="preserve">&amp; </w:t>
      </w:r>
      <w:r w:rsidRPr="00A04172">
        <w:rPr>
          <w:sz w:val="22"/>
          <w:szCs w:val="22"/>
        </w:rPr>
        <w:t>Public Health – Seattle and King County</w:t>
      </w:r>
    </w:p>
    <w:p w:rsidRPr="00257BCD" w:rsidR="003B3893" w:rsidP="00257BCD" w:rsidRDefault="00040EFE" w14:paraId="1AB404AB" w14:textId="2D2E60D5">
      <w:pPr>
        <w:pStyle w:val="ListParagraph"/>
        <w:numPr>
          <w:ilvl w:val="0"/>
          <w:numId w:val="37"/>
        </w:numPr>
        <w:rPr>
          <w:sz w:val="22"/>
          <w:szCs w:val="22"/>
        </w:rPr>
      </w:pPr>
      <w:r w:rsidRPr="00257BCD">
        <w:rPr>
          <w:sz w:val="22"/>
          <w:szCs w:val="22"/>
        </w:rPr>
        <w:t>Wisconsin Division of Public Health</w:t>
      </w:r>
      <w:r w:rsidRPr="00257BCD">
        <w:rPr>
          <w:rFonts w:ascii="TT15Ct00" w:hAnsi="TT15Ct00" w:cs="TT15Ct00"/>
          <w:sz w:val="22"/>
          <w:szCs w:val="22"/>
          <w:lang w:val="en-US"/>
        </w:rPr>
        <w:t xml:space="preserve"> &amp; </w:t>
      </w:r>
      <w:r w:rsidRPr="00257BCD">
        <w:rPr>
          <w:sz w:val="22"/>
          <w:szCs w:val="22"/>
        </w:rPr>
        <w:t>Milwaukee Health Department</w:t>
      </w:r>
    </w:p>
    <w:p w:rsidRPr="0098453C" w:rsidR="00571BE4" w:rsidP="008C475B" w:rsidRDefault="00571BE4" w14:paraId="71B69DD2" w14:textId="77777777">
      <w:pPr>
        <w:spacing w:before="120"/>
        <w:rPr>
          <w:sz w:val="22"/>
          <w:szCs w:val="22"/>
        </w:rPr>
      </w:pPr>
      <w:proofErr w:type="spellStart"/>
      <w:r w:rsidRPr="0098453C">
        <w:rPr>
          <w:sz w:val="22"/>
          <w:szCs w:val="22"/>
        </w:rPr>
        <w:t>Centers</w:t>
      </w:r>
      <w:proofErr w:type="spellEnd"/>
      <w:r w:rsidRPr="0098453C">
        <w:rPr>
          <w:sz w:val="22"/>
          <w:szCs w:val="22"/>
        </w:rPr>
        <w:t xml:space="preserve"> for Disease Control and Prevention staff: </w:t>
      </w:r>
    </w:p>
    <w:p w:rsidRPr="0098453C" w:rsidR="006024FC" w:rsidP="006024FC" w:rsidRDefault="005D1124" w14:paraId="05D16D6A" w14:textId="77777777">
      <w:pPr>
        <w:pStyle w:val="ListParagraph"/>
        <w:numPr>
          <w:ilvl w:val="0"/>
          <w:numId w:val="2"/>
        </w:numPr>
        <w:spacing w:before="120"/>
        <w:rPr>
          <w:sz w:val="22"/>
          <w:szCs w:val="22"/>
        </w:rPr>
      </w:pPr>
      <w:r w:rsidRPr="0098453C">
        <w:rPr>
          <w:sz w:val="22"/>
          <w:szCs w:val="22"/>
        </w:rPr>
        <w:t>Karen Schlanger</w:t>
      </w:r>
      <w:r w:rsidRPr="0098453C" w:rsidR="001B34D2">
        <w:rPr>
          <w:sz w:val="22"/>
          <w:szCs w:val="22"/>
        </w:rPr>
        <w:t xml:space="preserve">, </w:t>
      </w:r>
      <w:r w:rsidRPr="0098453C" w:rsidR="006024FC">
        <w:rPr>
          <w:sz w:val="22"/>
          <w:szCs w:val="22"/>
        </w:rPr>
        <w:t xml:space="preserve">Project Lead, </w:t>
      </w:r>
      <w:r w:rsidRPr="0098453C" w:rsidR="00BA5E7B">
        <w:rPr>
          <w:sz w:val="22"/>
          <w:szCs w:val="22"/>
        </w:rPr>
        <w:t>Epidemiology and Statistics</w:t>
      </w:r>
      <w:r w:rsidRPr="0098453C" w:rsidR="00487346">
        <w:rPr>
          <w:sz w:val="22"/>
          <w:szCs w:val="22"/>
        </w:rPr>
        <w:t xml:space="preserve"> Branch</w:t>
      </w:r>
    </w:p>
    <w:p w:rsidR="00487346" w:rsidP="006024FC" w:rsidRDefault="00532AEC" w14:paraId="4E5F332E" w14:textId="011A3185">
      <w:pPr>
        <w:pStyle w:val="ListParagraph"/>
        <w:numPr>
          <w:ilvl w:val="0"/>
          <w:numId w:val="22"/>
        </w:numPr>
        <w:spacing w:before="120"/>
        <w:rPr>
          <w:sz w:val="22"/>
          <w:szCs w:val="22"/>
        </w:rPr>
      </w:pPr>
      <w:r>
        <w:rPr>
          <w:sz w:val="22"/>
          <w:szCs w:val="22"/>
        </w:rPr>
        <w:t>Kerry Mauk</w:t>
      </w:r>
      <w:r w:rsidRPr="0098453C" w:rsidR="00BA5E7B">
        <w:rPr>
          <w:sz w:val="22"/>
          <w:szCs w:val="22"/>
        </w:rPr>
        <w:t xml:space="preserve">, </w:t>
      </w:r>
      <w:r>
        <w:rPr>
          <w:sz w:val="22"/>
          <w:szCs w:val="22"/>
        </w:rPr>
        <w:t xml:space="preserve">Epidemiologist, </w:t>
      </w:r>
      <w:r w:rsidRPr="0098453C" w:rsidR="00BA5E7B">
        <w:rPr>
          <w:sz w:val="22"/>
          <w:szCs w:val="22"/>
        </w:rPr>
        <w:t>Epidemiology and Statistics Branch</w:t>
      </w:r>
    </w:p>
    <w:p w:rsidR="00532AEC" w:rsidP="006024FC" w:rsidRDefault="00532AEC" w14:paraId="64EA7921" w14:textId="606E020A">
      <w:pPr>
        <w:pStyle w:val="ListParagraph"/>
        <w:numPr>
          <w:ilvl w:val="0"/>
          <w:numId w:val="22"/>
        </w:numPr>
        <w:spacing w:before="120"/>
        <w:rPr>
          <w:sz w:val="22"/>
          <w:szCs w:val="22"/>
        </w:rPr>
      </w:pPr>
      <w:r>
        <w:rPr>
          <w:sz w:val="22"/>
          <w:szCs w:val="22"/>
        </w:rPr>
        <w:t>Emily Learner, Epidemiologist, Epidemiology and Statistics Branch</w:t>
      </w:r>
    </w:p>
    <w:p w:rsidR="002310E2" w:rsidP="006024FC" w:rsidRDefault="002310E2" w14:paraId="775124A1" w14:textId="63CB3FFE">
      <w:pPr>
        <w:pStyle w:val="ListParagraph"/>
        <w:numPr>
          <w:ilvl w:val="0"/>
          <w:numId w:val="22"/>
        </w:numPr>
        <w:spacing w:before="120"/>
        <w:rPr>
          <w:sz w:val="22"/>
          <w:szCs w:val="22"/>
        </w:rPr>
      </w:pPr>
      <w:r>
        <w:rPr>
          <w:sz w:val="22"/>
          <w:szCs w:val="22"/>
        </w:rPr>
        <w:t>Robert D. Kirkcaldy, Team Lead, Epidemiology and Statistics Branch</w:t>
      </w:r>
    </w:p>
    <w:p w:rsidR="002310E2" w:rsidP="006024FC" w:rsidRDefault="002310E2" w14:paraId="55FA60D9" w14:textId="30908BCD">
      <w:pPr>
        <w:pStyle w:val="ListParagraph"/>
        <w:numPr>
          <w:ilvl w:val="0"/>
          <w:numId w:val="22"/>
        </w:numPr>
        <w:spacing w:before="120"/>
        <w:rPr>
          <w:sz w:val="22"/>
          <w:szCs w:val="22"/>
        </w:rPr>
      </w:pPr>
      <w:r>
        <w:rPr>
          <w:sz w:val="22"/>
          <w:szCs w:val="22"/>
        </w:rPr>
        <w:t>Kyle Bernstein, Branch Chief, Epidemiology and Statistics Branch</w:t>
      </w:r>
    </w:p>
    <w:p w:rsidRPr="0098453C" w:rsidR="002310E2" w:rsidP="002310E2" w:rsidRDefault="002310E2" w14:paraId="3450033A" w14:textId="77777777">
      <w:pPr>
        <w:pStyle w:val="ListParagraph"/>
        <w:spacing w:before="120"/>
        <w:rPr>
          <w:sz w:val="22"/>
          <w:szCs w:val="22"/>
        </w:rPr>
      </w:pPr>
    </w:p>
    <w:p w:rsidRPr="0098453C" w:rsidR="00487346" w:rsidP="00487346" w:rsidRDefault="00BA5E7B" w14:paraId="353B43FA" w14:textId="77777777">
      <w:pPr>
        <w:pStyle w:val="ListParagraph"/>
        <w:numPr>
          <w:ilvl w:val="0"/>
          <w:numId w:val="22"/>
        </w:numPr>
        <w:rPr>
          <w:sz w:val="22"/>
          <w:szCs w:val="22"/>
        </w:rPr>
      </w:pPr>
      <w:r w:rsidRPr="0098453C">
        <w:rPr>
          <w:sz w:val="22"/>
          <w:szCs w:val="22"/>
        </w:rPr>
        <w:t xml:space="preserve">Cau Pham, Laboratory Coordinator, Laboratory Reference </w:t>
      </w:r>
      <w:r w:rsidRPr="0098453C" w:rsidR="006024FC">
        <w:rPr>
          <w:sz w:val="22"/>
          <w:szCs w:val="22"/>
        </w:rPr>
        <w:t xml:space="preserve">and Research </w:t>
      </w:r>
      <w:r w:rsidRPr="0098453C">
        <w:rPr>
          <w:sz w:val="22"/>
          <w:szCs w:val="22"/>
        </w:rPr>
        <w:t>Branch</w:t>
      </w:r>
    </w:p>
    <w:p w:rsidRPr="0098453C" w:rsidR="00487346" w:rsidP="00487346" w:rsidRDefault="00BA5E7B" w14:paraId="3DABA69C" w14:textId="77777777">
      <w:pPr>
        <w:pStyle w:val="ListParagraph"/>
        <w:numPr>
          <w:ilvl w:val="0"/>
          <w:numId w:val="22"/>
        </w:numPr>
        <w:rPr>
          <w:sz w:val="22"/>
          <w:szCs w:val="22"/>
        </w:rPr>
      </w:pPr>
      <w:r w:rsidRPr="0098453C">
        <w:rPr>
          <w:sz w:val="22"/>
          <w:szCs w:val="22"/>
        </w:rPr>
        <w:t xml:space="preserve">Evelyn Nash, Co-Laboratory Coordinator, Laboratory Reference </w:t>
      </w:r>
      <w:r w:rsidRPr="0098453C" w:rsidR="006024FC">
        <w:rPr>
          <w:sz w:val="22"/>
          <w:szCs w:val="22"/>
        </w:rPr>
        <w:t xml:space="preserve">and Research </w:t>
      </w:r>
      <w:r w:rsidRPr="0098453C">
        <w:rPr>
          <w:sz w:val="22"/>
          <w:szCs w:val="22"/>
        </w:rPr>
        <w:t>Branch</w:t>
      </w:r>
    </w:p>
    <w:p w:rsidR="00487346" w:rsidP="006024FC" w:rsidRDefault="002310E2" w14:paraId="7D2391E0" w14:textId="4A6DA173">
      <w:pPr>
        <w:pStyle w:val="ListParagraph"/>
        <w:numPr>
          <w:ilvl w:val="0"/>
          <w:numId w:val="22"/>
        </w:numPr>
        <w:rPr>
          <w:sz w:val="22"/>
          <w:szCs w:val="22"/>
        </w:rPr>
      </w:pPr>
      <w:r>
        <w:rPr>
          <w:sz w:val="22"/>
          <w:szCs w:val="22"/>
        </w:rPr>
        <w:t>Brian Raphael</w:t>
      </w:r>
      <w:r w:rsidRPr="0098453C" w:rsidR="00BA5E7B">
        <w:rPr>
          <w:sz w:val="22"/>
          <w:szCs w:val="22"/>
        </w:rPr>
        <w:t xml:space="preserve">, </w:t>
      </w:r>
      <w:r>
        <w:rPr>
          <w:sz w:val="22"/>
          <w:szCs w:val="22"/>
        </w:rPr>
        <w:t>Team Lead</w:t>
      </w:r>
      <w:r w:rsidRPr="0098453C" w:rsidR="00BA5E7B">
        <w:rPr>
          <w:sz w:val="22"/>
          <w:szCs w:val="22"/>
        </w:rPr>
        <w:t xml:space="preserve">, Laboratory Reference </w:t>
      </w:r>
      <w:r w:rsidRPr="0098453C" w:rsidR="006024FC">
        <w:rPr>
          <w:sz w:val="22"/>
          <w:szCs w:val="22"/>
        </w:rPr>
        <w:t xml:space="preserve">and Research </w:t>
      </w:r>
      <w:r w:rsidRPr="0098453C" w:rsidR="00BA5E7B">
        <w:rPr>
          <w:sz w:val="22"/>
          <w:szCs w:val="22"/>
        </w:rPr>
        <w:t>Branch</w:t>
      </w:r>
    </w:p>
    <w:p w:rsidR="002310E2" w:rsidP="006024FC" w:rsidRDefault="002310E2" w14:paraId="6AD78B1F" w14:textId="139AC073">
      <w:pPr>
        <w:pStyle w:val="ListParagraph"/>
        <w:numPr>
          <w:ilvl w:val="0"/>
          <w:numId w:val="22"/>
        </w:numPr>
        <w:rPr>
          <w:sz w:val="22"/>
          <w:szCs w:val="22"/>
        </w:rPr>
      </w:pPr>
      <w:r>
        <w:rPr>
          <w:sz w:val="22"/>
          <w:szCs w:val="22"/>
        </w:rPr>
        <w:t>Ellen Kersh, Branch Chief, Laboratory Reference and Research Branch</w:t>
      </w:r>
    </w:p>
    <w:p w:rsidRPr="0098453C" w:rsidR="002310E2" w:rsidP="002310E2" w:rsidRDefault="002310E2" w14:paraId="32D5C954" w14:textId="77777777">
      <w:pPr>
        <w:pStyle w:val="ListParagraph"/>
        <w:rPr>
          <w:sz w:val="22"/>
          <w:szCs w:val="22"/>
        </w:rPr>
      </w:pPr>
    </w:p>
    <w:p w:rsidR="00A45B27" w:rsidP="00A45B27" w:rsidRDefault="00A45B27" w14:paraId="689F3F45" w14:textId="77777777">
      <w:pPr>
        <w:pStyle w:val="ListParagraph"/>
        <w:numPr>
          <w:ilvl w:val="0"/>
          <w:numId w:val="22"/>
        </w:numPr>
        <w:rPr>
          <w:sz w:val="22"/>
          <w:szCs w:val="22"/>
        </w:rPr>
      </w:pPr>
      <w:r>
        <w:rPr>
          <w:sz w:val="22"/>
          <w:szCs w:val="22"/>
        </w:rPr>
        <w:t>LaZetta B. Grier, Data/IT Specialist, Data Management Team, Surveillance and Data Management Branch</w:t>
      </w:r>
    </w:p>
    <w:p w:rsidR="002310E2" w:rsidP="00A45B27" w:rsidRDefault="002310E2" w14:paraId="3D93E83D" w14:textId="77777777">
      <w:pPr>
        <w:pStyle w:val="ListParagraph"/>
        <w:numPr>
          <w:ilvl w:val="0"/>
          <w:numId w:val="22"/>
        </w:numPr>
        <w:rPr>
          <w:sz w:val="22"/>
          <w:szCs w:val="22"/>
        </w:rPr>
      </w:pPr>
      <w:r>
        <w:rPr>
          <w:sz w:val="22"/>
          <w:szCs w:val="22"/>
        </w:rPr>
        <w:t>Melissa Pagaoa</w:t>
      </w:r>
      <w:r w:rsidR="00A45B27">
        <w:rPr>
          <w:sz w:val="22"/>
          <w:szCs w:val="22"/>
        </w:rPr>
        <w:t>, Lead, Data Management Team, Surveillance and Data Management Branch</w:t>
      </w:r>
    </w:p>
    <w:p w:rsidR="00A45B27" w:rsidP="002310E2" w:rsidRDefault="00A45B27" w14:paraId="53991A14" w14:textId="2CBDB0DD">
      <w:pPr>
        <w:pStyle w:val="ListParagraph"/>
        <w:rPr>
          <w:sz w:val="22"/>
          <w:szCs w:val="22"/>
        </w:rPr>
      </w:pPr>
      <w:r w:rsidRPr="0098453C">
        <w:rPr>
          <w:sz w:val="22"/>
          <w:szCs w:val="22"/>
        </w:rPr>
        <w:t xml:space="preserve"> </w:t>
      </w:r>
    </w:p>
    <w:p w:rsidR="00387B71" w:rsidP="00487346" w:rsidRDefault="00387B71" w14:paraId="38C685CA" w14:textId="77777777">
      <w:pPr>
        <w:rPr>
          <w:b/>
          <w:bCs/>
          <w:caps/>
          <w:color w:val="FFFFFF"/>
          <w:spacing w:val="15"/>
        </w:rPr>
      </w:pPr>
      <w:r>
        <w:br w:type="page"/>
      </w:r>
    </w:p>
    <w:p w:rsidRPr="00BE5DC9" w:rsidR="002E7551" w:rsidP="002E7551" w:rsidRDefault="007D6D05" w14:paraId="330777B7" w14:textId="77777777">
      <w:pPr>
        <w:pStyle w:val="Heading1"/>
      </w:pPr>
      <w:r>
        <w:lastRenderedPageBreak/>
        <w:t>References</w:t>
      </w:r>
    </w:p>
    <w:p w:rsidR="002E7551" w:rsidP="002E7551" w:rsidRDefault="002E7551" w14:paraId="40887F72" w14:textId="77777777">
      <w:pPr>
        <w:pStyle w:val="title1"/>
        <w:shd w:val="clear" w:color="auto" w:fill="FFFFFF"/>
        <w:rPr>
          <w:rFonts w:cs="Arial" w:asciiTheme="minorHAnsi" w:hAnsiTheme="minorHAnsi"/>
          <w:sz w:val="22"/>
          <w:szCs w:val="22"/>
        </w:rPr>
      </w:pPr>
    </w:p>
    <w:p w:rsidR="00CD4B7D" w:rsidP="003268BB" w:rsidRDefault="00032986" w14:paraId="6266D1A1" w14:textId="40E8CE3C">
      <w:pPr>
        <w:spacing w:line="240" w:lineRule="auto"/>
        <w:rPr>
          <w:color w:val="221E1F"/>
          <w:sz w:val="22"/>
          <w:szCs w:val="22"/>
        </w:rPr>
      </w:pPr>
      <w:proofErr w:type="spellStart"/>
      <w:r w:rsidRPr="00032986">
        <w:rPr>
          <w:bCs/>
          <w:spacing w:val="15"/>
          <w:sz w:val="22"/>
        </w:rPr>
        <w:t>Centers</w:t>
      </w:r>
      <w:proofErr w:type="spellEnd"/>
      <w:r w:rsidRPr="00032986">
        <w:rPr>
          <w:bCs/>
          <w:spacing w:val="15"/>
          <w:sz w:val="22"/>
        </w:rPr>
        <w:t xml:space="preserve"> for Disease Control and Prevention. </w:t>
      </w:r>
      <w:r>
        <w:rPr>
          <w:bCs/>
          <w:spacing w:val="15"/>
          <w:sz w:val="22"/>
        </w:rPr>
        <w:t xml:space="preserve">Sexually Transmitted Diseases Surveillance 2018. </w:t>
      </w:r>
      <w:r>
        <w:rPr>
          <w:color w:val="221E1F"/>
          <w:sz w:val="22"/>
          <w:szCs w:val="22"/>
        </w:rPr>
        <w:t>Atlanta: U.S. Department of Health and Human Services; 2019. DOI: 10.15620/cdc.79370.</w:t>
      </w:r>
    </w:p>
    <w:p w:rsidR="00F3329F" w:rsidP="003268BB" w:rsidRDefault="00F3329F" w14:paraId="1846E254" w14:textId="415AB727">
      <w:pPr>
        <w:spacing w:line="240" w:lineRule="auto"/>
        <w:rPr>
          <w:rFonts w:cstheme="minorHAnsi"/>
          <w:sz w:val="22"/>
          <w:szCs w:val="22"/>
          <w:lang w:val="en-US"/>
        </w:rPr>
      </w:pPr>
      <w:proofErr w:type="spellStart"/>
      <w:r>
        <w:rPr>
          <w:color w:val="221E1F"/>
          <w:sz w:val="22"/>
          <w:szCs w:val="22"/>
        </w:rPr>
        <w:t>Centers</w:t>
      </w:r>
      <w:proofErr w:type="spellEnd"/>
      <w:r>
        <w:rPr>
          <w:color w:val="221E1F"/>
          <w:sz w:val="22"/>
          <w:szCs w:val="22"/>
        </w:rPr>
        <w:t xml:space="preserve"> for Disease Control and Prevention. Sexually Transmitted Diseases Treatment Guidelines, 2015. MMWR </w:t>
      </w:r>
      <w:proofErr w:type="spellStart"/>
      <w:r>
        <w:rPr>
          <w:color w:val="221E1F"/>
          <w:sz w:val="22"/>
          <w:szCs w:val="22"/>
        </w:rPr>
        <w:t>Recomm</w:t>
      </w:r>
      <w:proofErr w:type="spellEnd"/>
      <w:r>
        <w:rPr>
          <w:color w:val="221E1F"/>
          <w:sz w:val="22"/>
          <w:szCs w:val="22"/>
        </w:rPr>
        <w:t xml:space="preserve"> Rep 2015;64(</w:t>
      </w:r>
      <w:r w:rsidRPr="00F3329F">
        <w:rPr>
          <w:rFonts w:cstheme="minorHAnsi"/>
          <w:color w:val="221E1F"/>
          <w:sz w:val="22"/>
          <w:szCs w:val="22"/>
        </w:rPr>
        <w:t>No. 3)</w:t>
      </w:r>
      <w:r w:rsidRPr="00F3329F">
        <w:rPr>
          <w:rFonts w:cstheme="minorHAnsi"/>
          <w:sz w:val="22"/>
          <w:szCs w:val="22"/>
          <w:lang w:val="en-US"/>
        </w:rPr>
        <w:t xml:space="preserve">: </w:t>
      </w:r>
      <w:r w:rsidR="00567F26">
        <w:rPr>
          <w:rFonts w:cstheme="minorHAnsi"/>
          <w:sz w:val="22"/>
          <w:szCs w:val="22"/>
          <w:lang w:val="en-US"/>
        </w:rPr>
        <w:t>1</w:t>
      </w:r>
      <w:r w:rsidRPr="00F3329F">
        <w:rPr>
          <w:rFonts w:cstheme="minorHAnsi"/>
          <w:sz w:val="22"/>
          <w:szCs w:val="22"/>
          <w:lang w:val="en-US"/>
        </w:rPr>
        <w:t>-</w:t>
      </w:r>
      <w:r w:rsidR="00567F26">
        <w:rPr>
          <w:rFonts w:cstheme="minorHAnsi"/>
          <w:sz w:val="22"/>
          <w:szCs w:val="22"/>
          <w:lang w:val="en-US"/>
        </w:rPr>
        <w:t>137</w:t>
      </w:r>
      <w:r w:rsidRPr="00F3329F">
        <w:rPr>
          <w:rFonts w:cstheme="minorHAnsi"/>
          <w:sz w:val="22"/>
          <w:szCs w:val="22"/>
          <w:lang w:val="en-US"/>
        </w:rPr>
        <w:t>.</w:t>
      </w:r>
    </w:p>
    <w:p w:rsidR="00567F26" w:rsidP="003268BB" w:rsidRDefault="00567F26" w14:paraId="5A0111D4" w14:textId="503129C9">
      <w:pPr>
        <w:spacing w:line="240" w:lineRule="auto"/>
        <w:rPr>
          <w:rFonts w:cstheme="minorHAnsi"/>
          <w:sz w:val="22"/>
          <w:szCs w:val="22"/>
          <w:lang w:val="en-US"/>
        </w:rPr>
      </w:pPr>
      <w:r>
        <w:rPr>
          <w:rFonts w:cstheme="minorHAnsi"/>
          <w:sz w:val="22"/>
          <w:szCs w:val="22"/>
          <w:lang w:val="en-US"/>
        </w:rPr>
        <w:t xml:space="preserve">LeFevre M, U.S. Preventive Services Task Force. Screening for Chlamydia and Gonorrhea: U.S. Preventive Services Task Force Recommendation Statement. Annals of Internal Medicine 2014;161: 902-910. </w:t>
      </w:r>
    </w:p>
    <w:p w:rsidR="00F3329F" w:rsidP="003D6969" w:rsidRDefault="00F3329F" w14:paraId="43C8263D" w14:textId="371C6ED1">
      <w:pPr>
        <w:rPr>
          <w:rFonts w:ascii="AGaramondPro-Regular" w:hAnsi="AGaramondPro-Regular" w:cs="AGaramondPro-Regular"/>
          <w:sz w:val="16"/>
          <w:szCs w:val="16"/>
          <w:lang w:val="en-US"/>
        </w:rPr>
      </w:pPr>
    </w:p>
    <w:p w:rsidRPr="00032986" w:rsidR="00F3329F" w:rsidP="003D6969" w:rsidRDefault="00F3329F" w14:paraId="536D0B6B" w14:textId="77777777">
      <w:pPr>
        <w:rPr>
          <w:bCs/>
          <w:spacing w:val="15"/>
          <w:sz w:val="22"/>
        </w:rPr>
      </w:pPr>
    </w:p>
    <w:p w:rsidR="005938A1" w:rsidP="00EB47F4" w:rsidRDefault="005938A1" w14:paraId="27321EEE" w14:textId="77777777">
      <w:pPr>
        <w:rPr>
          <w:b/>
          <w:spacing w:val="15"/>
          <w:sz w:val="22"/>
        </w:rPr>
      </w:pPr>
    </w:p>
    <w:p w:rsidR="005938A1" w:rsidP="00EB47F4" w:rsidRDefault="005938A1" w14:paraId="48D9522C" w14:textId="77777777">
      <w:pPr>
        <w:rPr>
          <w:b/>
          <w:spacing w:val="15"/>
          <w:sz w:val="22"/>
        </w:rPr>
      </w:pPr>
    </w:p>
    <w:p w:rsidR="005938A1" w:rsidP="00EB47F4" w:rsidRDefault="005938A1" w14:paraId="54324749" w14:textId="77777777">
      <w:pPr>
        <w:rPr>
          <w:b/>
          <w:spacing w:val="15"/>
          <w:sz w:val="22"/>
        </w:rPr>
      </w:pPr>
    </w:p>
    <w:p w:rsidR="005938A1" w:rsidP="00EB47F4" w:rsidRDefault="005938A1" w14:paraId="27E5AB8A" w14:textId="77777777">
      <w:pPr>
        <w:rPr>
          <w:b/>
          <w:spacing w:val="15"/>
          <w:sz w:val="22"/>
        </w:rPr>
      </w:pPr>
    </w:p>
    <w:p w:rsidR="005938A1" w:rsidP="00EB47F4" w:rsidRDefault="005938A1" w14:paraId="30F295D1" w14:textId="77777777">
      <w:pPr>
        <w:rPr>
          <w:b/>
          <w:spacing w:val="15"/>
          <w:sz w:val="22"/>
        </w:rPr>
      </w:pPr>
    </w:p>
    <w:p w:rsidR="005938A1" w:rsidP="00EB47F4" w:rsidRDefault="005938A1" w14:paraId="656A2DBE" w14:textId="77777777">
      <w:pPr>
        <w:rPr>
          <w:b/>
          <w:spacing w:val="15"/>
          <w:sz w:val="22"/>
        </w:rPr>
      </w:pPr>
    </w:p>
    <w:p w:rsidR="005938A1" w:rsidP="00EB47F4" w:rsidRDefault="005938A1" w14:paraId="3569C26B" w14:textId="77777777">
      <w:pPr>
        <w:rPr>
          <w:b/>
          <w:spacing w:val="15"/>
          <w:sz w:val="22"/>
        </w:rPr>
      </w:pPr>
    </w:p>
    <w:p w:rsidR="005938A1" w:rsidP="00EB47F4" w:rsidRDefault="005938A1" w14:paraId="35544808" w14:textId="77777777">
      <w:pPr>
        <w:rPr>
          <w:b/>
          <w:spacing w:val="15"/>
          <w:sz w:val="22"/>
        </w:rPr>
      </w:pPr>
    </w:p>
    <w:p w:rsidR="005938A1" w:rsidP="00EB47F4" w:rsidRDefault="005938A1" w14:paraId="7D5C277B" w14:textId="77777777">
      <w:pPr>
        <w:rPr>
          <w:b/>
          <w:spacing w:val="15"/>
          <w:sz w:val="22"/>
        </w:rPr>
      </w:pPr>
    </w:p>
    <w:p w:rsidR="005938A1" w:rsidP="00EB47F4" w:rsidRDefault="005938A1" w14:paraId="53638BF3" w14:textId="77777777">
      <w:pPr>
        <w:rPr>
          <w:b/>
          <w:spacing w:val="15"/>
          <w:sz w:val="22"/>
        </w:rPr>
      </w:pPr>
    </w:p>
    <w:p w:rsidR="005938A1" w:rsidP="00EB47F4" w:rsidRDefault="005938A1" w14:paraId="2CFCC345" w14:textId="77777777">
      <w:pPr>
        <w:rPr>
          <w:b/>
          <w:spacing w:val="15"/>
          <w:sz w:val="22"/>
        </w:rPr>
      </w:pPr>
    </w:p>
    <w:p w:rsidR="005938A1" w:rsidP="00EB47F4" w:rsidRDefault="005938A1" w14:paraId="77DBE74F" w14:textId="77777777">
      <w:pPr>
        <w:rPr>
          <w:b/>
          <w:spacing w:val="15"/>
          <w:sz w:val="22"/>
        </w:rPr>
      </w:pPr>
    </w:p>
    <w:p w:rsidR="005938A1" w:rsidP="00EB47F4" w:rsidRDefault="005938A1" w14:paraId="4A45B936" w14:textId="77777777">
      <w:pPr>
        <w:rPr>
          <w:b/>
          <w:spacing w:val="15"/>
          <w:sz w:val="22"/>
        </w:rPr>
      </w:pPr>
    </w:p>
    <w:p w:rsidR="005938A1" w:rsidP="00EB47F4" w:rsidRDefault="005938A1" w14:paraId="6FDF1BAA" w14:textId="77777777">
      <w:pPr>
        <w:rPr>
          <w:b/>
          <w:spacing w:val="15"/>
          <w:sz w:val="22"/>
        </w:rPr>
      </w:pPr>
    </w:p>
    <w:p w:rsidR="005938A1" w:rsidP="00EB47F4" w:rsidRDefault="005938A1" w14:paraId="5D353ACC" w14:textId="77777777">
      <w:pPr>
        <w:rPr>
          <w:b/>
          <w:spacing w:val="15"/>
          <w:sz w:val="22"/>
        </w:rPr>
      </w:pPr>
    </w:p>
    <w:p w:rsidR="005938A1" w:rsidP="00EB47F4" w:rsidRDefault="005938A1" w14:paraId="5E1D8FA1" w14:textId="77777777">
      <w:pPr>
        <w:rPr>
          <w:b/>
          <w:spacing w:val="15"/>
          <w:sz w:val="22"/>
        </w:rPr>
      </w:pPr>
    </w:p>
    <w:p w:rsidR="005938A1" w:rsidP="00EB47F4" w:rsidRDefault="005938A1" w14:paraId="2F1C066E" w14:textId="77777777">
      <w:pPr>
        <w:rPr>
          <w:b/>
          <w:spacing w:val="15"/>
          <w:sz w:val="22"/>
        </w:rPr>
      </w:pPr>
    </w:p>
    <w:p w:rsidR="005938A1" w:rsidP="00EB47F4" w:rsidRDefault="005938A1" w14:paraId="612F75DD" w14:textId="77777777">
      <w:pPr>
        <w:rPr>
          <w:b/>
          <w:spacing w:val="15"/>
          <w:sz w:val="22"/>
        </w:rPr>
      </w:pPr>
    </w:p>
    <w:p w:rsidR="005938A1" w:rsidP="00EB47F4" w:rsidRDefault="005938A1" w14:paraId="74C97932" w14:textId="77777777">
      <w:pPr>
        <w:rPr>
          <w:b/>
          <w:spacing w:val="15"/>
          <w:sz w:val="22"/>
        </w:rPr>
      </w:pPr>
    </w:p>
    <w:p w:rsidR="005938A1" w:rsidP="00EB47F4" w:rsidRDefault="005938A1" w14:paraId="703B722A" w14:textId="77777777">
      <w:pPr>
        <w:rPr>
          <w:b/>
          <w:spacing w:val="15"/>
          <w:sz w:val="22"/>
        </w:rPr>
      </w:pPr>
    </w:p>
    <w:p w:rsidR="005938A1" w:rsidP="00EB47F4" w:rsidRDefault="005938A1" w14:paraId="3397B0F7" w14:textId="77777777">
      <w:pPr>
        <w:rPr>
          <w:b/>
          <w:spacing w:val="15"/>
          <w:sz w:val="22"/>
        </w:rPr>
      </w:pPr>
    </w:p>
    <w:p w:rsidR="005938A1" w:rsidP="00EB47F4" w:rsidRDefault="005938A1" w14:paraId="5D6CC95F" w14:textId="77777777">
      <w:pPr>
        <w:rPr>
          <w:b/>
          <w:spacing w:val="15"/>
          <w:sz w:val="22"/>
        </w:rPr>
      </w:pPr>
    </w:p>
    <w:p w:rsidR="005938A1" w:rsidP="00EB47F4" w:rsidRDefault="005938A1" w14:paraId="317632F4" w14:textId="77777777">
      <w:pPr>
        <w:rPr>
          <w:b/>
          <w:spacing w:val="15"/>
          <w:sz w:val="22"/>
        </w:rPr>
      </w:pPr>
    </w:p>
    <w:p w:rsidR="005938A1" w:rsidP="00EB47F4" w:rsidRDefault="005938A1" w14:paraId="1E8D94A2" w14:textId="77777777">
      <w:pPr>
        <w:rPr>
          <w:b/>
          <w:spacing w:val="15"/>
          <w:sz w:val="22"/>
        </w:rPr>
      </w:pPr>
    </w:p>
    <w:p w:rsidR="005938A1" w:rsidP="00EB47F4" w:rsidRDefault="005938A1" w14:paraId="388BC419" w14:textId="77777777">
      <w:pPr>
        <w:rPr>
          <w:b/>
          <w:spacing w:val="15"/>
          <w:sz w:val="22"/>
        </w:rPr>
      </w:pPr>
    </w:p>
    <w:p w:rsidR="005938A1" w:rsidP="00EB47F4" w:rsidRDefault="005938A1" w14:paraId="64EEC43A" w14:textId="77777777">
      <w:pPr>
        <w:rPr>
          <w:b/>
          <w:spacing w:val="15"/>
          <w:sz w:val="22"/>
        </w:rPr>
      </w:pPr>
    </w:p>
    <w:p w:rsidR="005938A1" w:rsidP="00EB47F4" w:rsidRDefault="005938A1" w14:paraId="36EADA69" w14:textId="152970CD">
      <w:pPr>
        <w:rPr>
          <w:b/>
          <w:spacing w:val="15"/>
          <w:sz w:val="22"/>
        </w:rPr>
      </w:pPr>
    </w:p>
    <w:p w:rsidR="00803AA6" w:rsidP="00EB47F4" w:rsidRDefault="00803AA6" w14:paraId="71D91D12" w14:textId="77777777">
      <w:pPr>
        <w:rPr>
          <w:b/>
          <w:spacing w:val="15"/>
          <w:sz w:val="22"/>
        </w:rPr>
      </w:pPr>
    </w:p>
    <w:p w:rsidRPr="00D31841" w:rsidR="00552DB3" w:rsidP="00EB47F4" w:rsidRDefault="00552DB3" w14:paraId="072614E4" w14:textId="43502281">
      <w:pPr>
        <w:rPr>
          <w:b/>
          <w:sz w:val="28"/>
          <w:szCs w:val="28"/>
        </w:rPr>
      </w:pPr>
    </w:p>
    <w:sectPr w:rsidRPr="00D31841" w:rsidR="00552DB3" w:rsidSect="00D72EDF">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564A8" w14:textId="77777777" w:rsidR="00764011" w:rsidRDefault="00764011" w:rsidP="00560202">
      <w:r>
        <w:separator/>
      </w:r>
    </w:p>
  </w:endnote>
  <w:endnote w:type="continuationSeparator" w:id="0">
    <w:p w14:paraId="26FCF7F1" w14:textId="77777777" w:rsidR="00764011" w:rsidRDefault="00764011" w:rsidP="0056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T15Ct00">
    <w:altName w:val="Calibri"/>
    <w:panose1 w:val="00000000000000000000"/>
    <w:charset w:val="00"/>
    <w:family w:val="auto"/>
    <w:notTrueType/>
    <w:pitch w:val="default"/>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E169A" w14:textId="77777777" w:rsidR="00764011" w:rsidRDefault="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70829"/>
      <w:docPartObj>
        <w:docPartGallery w:val="Page Numbers (Bottom of Page)"/>
        <w:docPartUnique/>
      </w:docPartObj>
    </w:sdtPr>
    <w:sdtEndPr>
      <w:rPr>
        <w:noProof/>
      </w:rPr>
    </w:sdtEndPr>
    <w:sdtContent>
      <w:p w14:paraId="514FDF6D" w14:textId="314AEAB9" w:rsidR="00764011" w:rsidRDefault="0076401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A9A5383" w14:textId="77777777" w:rsidR="00764011" w:rsidRDefault="007640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7181C" w14:textId="77777777" w:rsidR="00764011" w:rsidRDefault="0076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8E9B5" w14:textId="77777777" w:rsidR="00764011" w:rsidRDefault="00764011" w:rsidP="00560202">
      <w:r>
        <w:separator/>
      </w:r>
    </w:p>
  </w:footnote>
  <w:footnote w:type="continuationSeparator" w:id="0">
    <w:p w14:paraId="4B2BBDC9" w14:textId="77777777" w:rsidR="00764011" w:rsidRDefault="00764011" w:rsidP="0056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3E3F4" w14:textId="77777777" w:rsidR="00764011" w:rsidRDefault="0076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018D" w14:textId="77777777" w:rsidR="00764011" w:rsidRDefault="0076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B38C4" w14:textId="77777777" w:rsidR="00764011" w:rsidRDefault="0076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C8B"/>
    <w:multiLevelType w:val="hybridMultilevel"/>
    <w:tmpl w:val="052232A2"/>
    <w:lvl w:ilvl="0" w:tplc="821278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2AD"/>
    <w:multiLevelType w:val="hybridMultilevel"/>
    <w:tmpl w:val="C5A8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B817F4"/>
    <w:multiLevelType w:val="hybridMultilevel"/>
    <w:tmpl w:val="FDF66E74"/>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52BE8"/>
    <w:multiLevelType w:val="hybridMultilevel"/>
    <w:tmpl w:val="31341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18440E"/>
    <w:multiLevelType w:val="hybridMultilevel"/>
    <w:tmpl w:val="2C7CEB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A962E4"/>
    <w:multiLevelType w:val="hybridMultilevel"/>
    <w:tmpl w:val="0610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62D57"/>
    <w:multiLevelType w:val="hybridMultilevel"/>
    <w:tmpl w:val="190E9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62244"/>
    <w:multiLevelType w:val="hybridMultilevel"/>
    <w:tmpl w:val="85F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A5FC9"/>
    <w:multiLevelType w:val="hybridMultilevel"/>
    <w:tmpl w:val="FBF2FA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EE3A94"/>
    <w:multiLevelType w:val="hybridMultilevel"/>
    <w:tmpl w:val="DFC2A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634CDE"/>
    <w:multiLevelType w:val="hybridMultilevel"/>
    <w:tmpl w:val="71625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D31552"/>
    <w:multiLevelType w:val="hybridMultilevel"/>
    <w:tmpl w:val="BD60A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E27FB"/>
    <w:multiLevelType w:val="hybridMultilevel"/>
    <w:tmpl w:val="29087B1A"/>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F2027"/>
    <w:multiLevelType w:val="hybridMultilevel"/>
    <w:tmpl w:val="50A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67333"/>
    <w:multiLevelType w:val="hybridMultilevel"/>
    <w:tmpl w:val="18DA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075633"/>
    <w:multiLevelType w:val="hybridMultilevel"/>
    <w:tmpl w:val="3AB8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4336CD"/>
    <w:multiLevelType w:val="hybridMultilevel"/>
    <w:tmpl w:val="4C12A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16665"/>
    <w:multiLevelType w:val="hybridMultilevel"/>
    <w:tmpl w:val="71EE1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83341E"/>
    <w:multiLevelType w:val="hybridMultilevel"/>
    <w:tmpl w:val="D6CABFEC"/>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8F806D6"/>
    <w:multiLevelType w:val="hybridMultilevel"/>
    <w:tmpl w:val="6014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9284C85"/>
    <w:multiLevelType w:val="hybridMultilevel"/>
    <w:tmpl w:val="A9C0B500"/>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453F34"/>
    <w:multiLevelType w:val="hybridMultilevel"/>
    <w:tmpl w:val="F85C81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704218"/>
    <w:multiLevelType w:val="hybridMultilevel"/>
    <w:tmpl w:val="0C124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CC7D7A"/>
    <w:multiLevelType w:val="hybridMultilevel"/>
    <w:tmpl w:val="26FCDA70"/>
    <w:lvl w:ilvl="0" w:tplc="2CB0DC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36767B"/>
    <w:multiLevelType w:val="hybridMultilevel"/>
    <w:tmpl w:val="C762AD62"/>
    <w:lvl w:ilvl="0" w:tplc="DACED2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9359B"/>
    <w:multiLevelType w:val="hybridMultilevel"/>
    <w:tmpl w:val="58563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8C35F5"/>
    <w:multiLevelType w:val="hybridMultilevel"/>
    <w:tmpl w:val="7298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014BC9"/>
    <w:multiLevelType w:val="hybridMultilevel"/>
    <w:tmpl w:val="58703E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23C14FD"/>
    <w:multiLevelType w:val="hybridMultilevel"/>
    <w:tmpl w:val="AFEE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203F92"/>
    <w:multiLevelType w:val="hybridMultilevel"/>
    <w:tmpl w:val="80641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700CC0"/>
    <w:multiLevelType w:val="hybridMultilevel"/>
    <w:tmpl w:val="CB98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B44206"/>
    <w:multiLevelType w:val="hybridMultilevel"/>
    <w:tmpl w:val="4CE2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EF108B"/>
    <w:multiLevelType w:val="hybridMultilevel"/>
    <w:tmpl w:val="4F980598"/>
    <w:lvl w:ilvl="0" w:tplc="7BCEE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0B5D0F"/>
    <w:multiLevelType w:val="hybridMultilevel"/>
    <w:tmpl w:val="B4CA3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851E3D"/>
    <w:multiLevelType w:val="hybridMultilevel"/>
    <w:tmpl w:val="97181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59E62C9"/>
    <w:multiLevelType w:val="hybridMultilevel"/>
    <w:tmpl w:val="06902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62C19B4"/>
    <w:multiLevelType w:val="hybridMultilevel"/>
    <w:tmpl w:val="8BE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C805CF"/>
    <w:multiLevelType w:val="hybridMultilevel"/>
    <w:tmpl w:val="F156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EE135F"/>
    <w:multiLevelType w:val="hybridMultilevel"/>
    <w:tmpl w:val="9BAE0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B53E0E"/>
    <w:multiLevelType w:val="hybridMultilevel"/>
    <w:tmpl w:val="48962EFC"/>
    <w:lvl w:ilvl="0" w:tplc="D5663F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2A3E4CC5"/>
    <w:multiLevelType w:val="hybridMultilevel"/>
    <w:tmpl w:val="C1EC0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AC7602B"/>
    <w:multiLevelType w:val="hybridMultilevel"/>
    <w:tmpl w:val="980802D0"/>
    <w:lvl w:ilvl="0" w:tplc="1E948396">
      <w:start w:val="1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2AE25D97"/>
    <w:multiLevelType w:val="hybridMultilevel"/>
    <w:tmpl w:val="EE68B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AA4640"/>
    <w:multiLevelType w:val="hybridMultilevel"/>
    <w:tmpl w:val="7BD2B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D43C5E"/>
    <w:multiLevelType w:val="hybridMultilevel"/>
    <w:tmpl w:val="03AC5104"/>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E53BFF"/>
    <w:multiLevelType w:val="hybridMultilevel"/>
    <w:tmpl w:val="A2C04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5D32D9"/>
    <w:multiLevelType w:val="hybridMultilevel"/>
    <w:tmpl w:val="C5CA90E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8" w15:restartNumberingAfterBreak="0">
    <w:nsid w:val="34670294"/>
    <w:multiLevelType w:val="hybridMultilevel"/>
    <w:tmpl w:val="14848D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4BD0111"/>
    <w:multiLevelType w:val="hybridMultilevel"/>
    <w:tmpl w:val="6CC2B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F60E3E"/>
    <w:multiLevelType w:val="hybridMultilevel"/>
    <w:tmpl w:val="5B204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D82829"/>
    <w:multiLevelType w:val="hybridMultilevel"/>
    <w:tmpl w:val="6D0A762E"/>
    <w:lvl w:ilvl="0" w:tplc="9880E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840509"/>
    <w:multiLevelType w:val="hybridMultilevel"/>
    <w:tmpl w:val="9C3C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1E1A7C"/>
    <w:multiLevelType w:val="hybridMultilevel"/>
    <w:tmpl w:val="CEDA3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C456E88"/>
    <w:multiLevelType w:val="hybridMultilevel"/>
    <w:tmpl w:val="B09490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F3F10CC"/>
    <w:multiLevelType w:val="hybridMultilevel"/>
    <w:tmpl w:val="4A285D4A"/>
    <w:lvl w:ilvl="0" w:tplc="8BA00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887F5D"/>
    <w:multiLevelType w:val="hybridMultilevel"/>
    <w:tmpl w:val="0688C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691D"/>
    <w:multiLevelType w:val="hybridMultilevel"/>
    <w:tmpl w:val="8D289F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113256A"/>
    <w:multiLevelType w:val="hybridMultilevel"/>
    <w:tmpl w:val="1D4E9948"/>
    <w:lvl w:ilvl="0" w:tplc="AE4C4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674AFE"/>
    <w:multiLevelType w:val="hybridMultilevel"/>
    <w:tmpl w:val="F0324216"/>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F770B4"/>
    <w:multiLevelType w:val="hybridMultilevel"/>
    <w:tmpl w:val="26FCDA70"/>
    <w:lvl w:ilvl="0" w:tplc="2CB0DC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623012A"/>
    <w:multiLevelType w:val="hybridMultilevel"/>
    <w:tmpl w:val="0AAE3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436FA6"/>
    <w:multiLevelType w:val="hybridMultilevel"/>
    <w:tmpl w:val="021E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E376CD"/>
    <w:multiLevelType w:val="hybridMultilevel"/>
    <w:tmpl w:val="B224A7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9D77223"/>
    <w:multiLevelType w:val="hybridMultilevel"/>
    <w:tmpl w:val="65389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922DF"/>
    <w:multiLevelType w:val="hybridMultilevel"/>
    <w:tmpl w:val="732CD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8D6A60"/>
    <w:multiLevelType w:val="hybridMultilevel"/>
    <w:tmpl w:val="5AF253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F397401"/>
    <w:multiLevelType w:val="hybridMultilevel"/>
    <w:tmpl w:val="60D08CD8"/>
    <w:lvl w:ilvl="0" w:tplc="04090017">
      <w:start w:val="1"/>
      <w:numFmt w:val="lowerLetter"/>
      <w:lvlText w:val="%1)"/>
      <w:lvlJc w:val="left"/>
      <w:pPr>
        <w:ind w:left="720" w:hanging="360"/>
      </w:pPr>
      <w:rPr>
        <w:rFonts w:hint="default"/>
      </w:rPr>
    </w:lvl>
    <w:lvl w:ilvl="1" w:tplc="E2A8C3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712E97"/>
    <w:multiLevelType w:val="hybridMultilevel"/>
    <w:tmpl w:val="267C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4A57CCA"/>
    <w:multiLevelType w:val="hybridMultilevel"/>
    <w:tmpl w:val="45A0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BD6237"/>
    <w:multiLevelType w:val="multilevel"/>
    <w:tmpl w:val="69FEA1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7995552"/>
    <w:multiLevelType w:val="hybridMultilevel"/>
    <w:tmpl w:val="ECA62F98"/>
    <w:lvl w:ilvl="0" w:tplc="A45CC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82D0BEB"/>
    <w:multiLevelType w:val="hybridMultilevel"/>
    <w:tmpl w:val="E1668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8657327"/>
    <w:multiLevelType w:val="hybridMultilevel"/>
    <w:tmpl w:val="C8F292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A604F18"/>
    <w:multiLevelType w:val="hybridMultilevel"/>
    <w:tmpl w:val="46E298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6" w15:restartNumberingAfterBreak="0">
    <w:nsid w:val="5B72638F"/>
    <w:multiLevelType w:val="hybridMultilevel"/>
    <w:tmpl w:val="185E1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4D35B4"/>
    <w:multiLevelType w:val="hybridMultilevel"/>
    <w:tmpl w:val="E01421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CE04B56"/>
    <w:multiLevelType w:val="hybridMultilevel"/>
    <w:tmpl w:val="345A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0D7684"/>
    <w:multiLevelType w:val="hybridMultilevel"/>
    <w:tmpl w:val="C9DED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EF36434"/>
    <w:multiLevelType w:val="hybridMultilevel"/>
    <w:tmpl w:val="D8C6AB52"/>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F528F2"/>
    <w:multiLevelType w:val="hybridMultilevel"/>
    <w:tmpl w:val="3042B7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F4779C0"/>
    <w:multiLevelType w:val="hybridMultilevel"/>
    <w:tmpl w:val="22FEB22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F783EFB"/>
    <w:multiLevelType w:val="hybridMultilevel"/>
    <w:tmpl w:val="FE60486C"/>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796178"/>
    <w:multiLevelType w:val="hybridMultilevel"/>
    <w:tmpl w:val="FB56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01364A"/>
    <w:multiLevelType w:val="hybridMultilevel"/>
    <w:tmpl w:val="CDB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8D7CD0"/>
    <w:multiLevelType w:val="hybridMultilevel"/>
    <w:tmpl w:val="23B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2DE3B16"/>
    <w:multiLevelType w:val="hybridMultilevel"/>
    <w:tmpl w:val="BFDE3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E66042"/>
    <w:multiLevelType w:val="hybridMultilevel"/>
    <w:tmpl w:val="19AE9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4875D23"/>
    <w:multiLevelType w:val="hybridMultilevel"/>
    <w:tmpl w:val="A8787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5302D71"/>
    <w:multiLevelType w:val="hybridMultilevel"/>
    <w:tmpl w:val="04569896"/>
    <w:lvl w:ilvl="0" w:tplc="538C7E4A">
      <w:start w:val="1"/>
      <w:numFmt w:val="bullet"/>
      <w:lvlText w:val="–"/>
      <w:lvlJc w:val="left"/>
      <w:pPr>
        <w:tabs>
          <w:tab w:val="num" w:pos="720"/>
        </w:tabs>
        <w:ind w:left="720" w:hanging="360"/>
      </w:pPr>
      <w:rPr>
        <w:rFonts w:ascii="Arial" w:hAnsi="Arial" w:hint="default"/>
      </w:rPr>
    </w:lvl>
    <w:lvl w:ilvl="1" w:tplc="4036ECA4">
      <w:start w:val="1"/>
      <w:numFmt w:val="bullet"/>
      <w:lvlText w:val="–"/>
      <w:lvlJc w:val="left"/>
      <w:pPr>
        <w:tabs>
          <w:tab w:val="num" w:pos="1440"/>
        </w:tabs>
        <w:ind w:left="1440" w:hanging="360"/>
      </w:pPr>
      <w:rPr>
        <w:rFonts w:ascii="Arial" w:hAnsi="Arial" w:hint="default"/>
      </w:rPr>
    </w:lvl>
    <w:lvl w:ilvl="2" w:tplc="E102CD00" w:tentative="1">
      <w:start w:val="1"/>
      <w:numFmt w:val="bullet"/>
      <w:lvlText w:val="–"/>
      <w:lvlJc w:val="left"/>
      <w:pPr>
        <w:tabs>
          <w:tab w:val="num" w:pos="2160"/>
        </w:tabs>
        <w:ind w:left="2160" w:hanging="360"/>
      </w:pPr>
      <w:rPr>
        <w:rFonts w:ascii="Arial" w:hAnsi="Arial" w:hint="default"/>
      </w:rPr>
    </w:lvl>
    <w:lvl w:ilvl="3" w:tplc="ECA2985A" w:tentative="1">
      <w:start w:val="1"/>
      <w:numFmt w:val="bullet"/>
      <w:lvlText w:val="–"/>
      <w:lvlJc w:val="left"/>
      <w:pPr>
        <w:tabs>
          <w:tab w:val="num" w:pos="2880"/>
        </w:tabs>
        <w:ind w:left="2880" w:hanging="360"/>
      </w:pPr>
      <w:rPr>
        <w:rFonts w:ascii="Arial" w:hAnsi="Arial" w:hint="default"/>
      </w:rPr>
    </w:lvl>
    <w:lvl w:ilvl="4" w:tplc="2674B442" w:tentative="1">
      <w:start w:val="1"/>
      <w:numFmt w:val="bullet"/>
      <w:lvlText w:val="–"/>
      <w:lvlJc w:val="left"/>
      <w:pPr>
        <w:tabs>
          <w:tab w:val="num" w:pos="3600"/>
        </w:tabs>
        <w:ind w:left="3600" w:hanging="360"/>
      </w:pPr>
      <w:rPr>
        <w:rFonts w:ascii="Arial" w:hAnsi="Arial" w:hint="default"/>
      </w:rPr>
    </w:lvl>
    <w:lvl w:ilvl="5" w:tplc="D6E0F4CA" w:tentative="1">
      <w:start w:val="1"/>
      <w:numFmt w:val="bullet"/>
      <w:lvlText w:val="–"/>
      <w:lvlJc w:val="left"/>
      <w:pPr>
        <w:tabs>
          <w:tab w:val="num" w:pos="4320"/>
        </w:tabs>
        <w:ind w:left="4320" w:hanging="360"/>
      </w:pPr>
      <w:rPr>
        <w:rFonts w:ascii="Arial" w:hAnsi="Arial" w:hint="default"/>
      </w:rPr>
    </w:lvl>
    <w:lvl w:ilvl="6" w:tplc="7B3C2B36" w:tentative="1">
      <w:start w:val="1"/>
      <w:numFmt w:val="bullet"/>
      <w:lvlText w:val="–"/>
      <w:lvlJc w:val="left"/>
      <w:pPr>
        <w:tabs>
          <w:tab w:val="num" w:pos="5040"/>
        </w:tabs>
        <w:ind w:left="5040" w:hanging="360"/>
      </w:pPr>
      <w:rPr>
        <w:rFonts w:ascii="Arial" w:hAnsi="Arial" w:hint="default"/>
      </w:rPr>
    </w:lvl>
    <w:lvl w:ilvl="7" w:tplc="0B36557C" w:tentative="1">
      <w:start w:val="1"/>
      <w:numFmt w:val="bullet"/>
      <w:lvlText w:val="–"/>
      <w:lvlJc w:val="left"/>
      <w:pPr>
        <w:tabs>
          <w:tab w:val="num" w:pos="5760"/>
        </w:tabs>
        <w:ind w:left="5760" w:hanging="360"/>
      </w:pPr>
      <w:rPr>
        <w:rFonts w:ascii="Arial" w:hAnsi="Arial" w:hint="default"/>
      </w:rPr>
    </w:lvl>
    <w:lvl w:ilvl="8" w:tplc="D10AECDA"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7F61F09"/>
    <w:multiLevelType w:val="hybridMultilevel"/>
    <w:tmpl w:val="997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BC0DF2"/>
    <w:multiLevelType w:val="hybridMultilevel"/>
    <w:tmpl w:val="73E6D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966947"/>
    <w:multiLevelType w:val="hybridMultilevel"/>
    <w:tmpl w:val="16423A02"/>
    <w:lvl w:ilvl="0" w:tplc="BDC82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A34278"/>
    <w:multiLevelType w:val="hybridMultilevel"/>
    <w:tmpl w:val="7B140A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2A57C3C"/>
    <w:multiLevelType w:val="hybridMultilevel"/>
    <w:tmpl w:val="BCD0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CF2ED0"/>
    <w:multiLevelType w:val="hybridMultilevel"/>
    <w:tmpl w:val="8094547C"/>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FB31B4"/>
    <w:multiLevelType w:val="hybridMultilevel"/>
    <w:tmpl w:val="5D085A76"/>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3F556C"/>
    <w:multiLevelType w:val="hybridMultilevel"/>
    <w:tmpl w:val="C3CE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AD221F"/>
    <w:multiLevelType w:val="hybridMultilevel"/>
    <w:tmpl w:val="5A3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1F3A79"/>
    <w:multiLevelType w:val="hybridMultilevel"/>
    <w:tmpl w:val="D1A8AE9C"/>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E27D59"/>
    <w:multiLevelType w:val="hybridMultilevel"/>
    <w:tmpl w:val="3AB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2C1DF2"/>
    <w:multiLevelType w:val="hybridMultilevel"/>
    <w:tmpl w:val="167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C80380"/>
    <w:multiLevelType w:val="hybridMultilevel"/>
    <w:tmpl w:val="E1EA8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D6D1069"/>
    <w:multiLevelType w:val="hybridMultilevel"/>
    <w:tmpl w:val="7298927A"/>
    <w:lvl w:ilvl="0" w:tplc="DFFA3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14714B"/>
    <w:multiLevelType w:val="hybridMultilevel"/>
    <w:tmpl w:val="52145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78"/>
  </w:num>
  <w:num w:numId="3">
    <w:abstractNumId w:val="93"/>
  </w:num>
  <w:num w:numId="4">
    <w:abstractNumId w:val="61"/>
  </w:num>
  <w:num w:numId="5">
    <w:abstractNumId w:val="91"/>
  </w:num>
  <w:num w:numId="6">
    <w:abstractNumId w:val="34"/>
  </w:num>
  <w:num w:numId="7">
    <w:abstractNumId w:val="71"/>
  </w:num>
  <w:num w:numId="8">
    <w:abstractNumId w:val="92"/>
  </w:num>
  <w:num w:numId="9">
    <w:abstractNumId w:val="87"/>
  </w:num>
  <w:num w:numId="10">
    <w:abstractNumId w:val="51"/>
  </w:num>
  <w:num w:numId="11">
    <w:abstractNumId w:val="103"/>
  </w:num>
  <w:num w:numId="12">
    <w:abstractNumId w:val="29"/>
  </w:num>
  <w:num w:numId="13">
    <w:abstractNumId w:val="53"/>
  </w:num>
  <w:num w:numId="14">
    <w:abstractNumId w:val="46"/>
  </w:num>
  <w:num w:numId="15">
    <w:abstractNumId w:val="17"/>
  </w:num>
  <w:num w:numId="16">
    <w:abstractNumId w:val="47"/>
  </w:num>
  <w:num w:numId="17">
    <w:abstractNumId w:val="63"/>
  </w:num>
  <w:num w:numId="18">
    <w:abstractNumId w:val="9"/>
  </w:num>
  <w:num w:numId="19">
    <w:abstractNumId w:val="85"/>
  </w:num>
  <w:num w:numId="20">
    <w:abstractNumId w:val="42"/>
  </w:num>
  <w:num w:numId="21">
    <w:abstractNumId w:val="36"/>
  </w:num>
  <w:num w:numId="22">
    <w:abstractNumId w:val="31"/>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32"/>
  </w:num>
  <w:num w:numId="34">
    <w:abstractNumId w:val="70"/>
  </w:num>
  <w:num w:numId="35">
    <w:abstractNumId w:val="82"/>
  </w:num>
  <w:num w:numId="36">
    <w:abstractNumId w:val="44"/>
  </w:num>
  <w:num w:numId="37">
    <w:abstractNumId w:val="101"/>
  </w:num>
  <w:num w:numId="38">
    <w:abstractNumId w:val="75"/>
  </w:num>
  <w:num w:numId="39">
    <w:abstractNumId w:val="40"/>
  </w:num>
  <w:num w:numId="40">
    <w:abstractNumId w:val="15"/>
  </w:num>
  <w:num w:numId="41">
    <w:abstractNumId w:val="104"/>
  </w:num>
  <w:num w:numId="42">
    <w:abstractNumId w:val="66"/>
  </w:num>
  <w:num w:numId="43">
    <w:abstractNumId w:val="13"/>
  </w:num>
  <w:num w:numId="44">
    <w:abstractNumId w:val="88"/>
  </w:num>
  <w:num w:numId="45">
    <w:abstractNumId w:val="39"/>
  </w:num>
  <w:num w:numId="46">
    <w:abstractNumId w:val="25"/>
  </w:num>
  <w:num w:numId="47">
    <w:abstractNumId w:val="27"/>
  </w:num>
  <w:num w:numId="48">
    <w:abstractNumId w:val="30"/>
  </w:num>
  <w:num w:numId="49">
    <w:abstractNumId w:val="6"/>
  </w:num>
  <w:num w:numId="50">
    <w:abstractNumId w:val="72"/>
  </w:num>
  <w:num w:numId="51">
    <w:abstractNumId w:val="54"/>
  </w:num>
  <w:num w:numId="52">
    <w:abstractNumId w:val="62"/>
  </w:num>
  <w:num w:numId="53">
    <w:abstractNumId w:val="64"/>
  </w:num>
  <w:num w:numId="54">
    <w:abstractNumId w:val="56"/>
  </w:num>
  <w:num w:numId="55">
    <w:abstractNumId w:val="8"/>
  </w:num>
  <w:num w:numId="56">
    <w:abstractNumId w:val="52"/>
  </w:num>
  <w:num w:numId="57">
    <w:abstractNumId w:val="73"/>
  </w:num>
  <w:num w:numId="58">
    <w:abstractNumId w:val="23"/>
  </w:num>
  <w:num w:numId="59">
    <w:abstractNumId w:val="95"/>
  </w:num>
  <w:num w:numId="60">
    <w:abstractNumId w:val="20"/>
  </w:num>
  <w:num w:numId="61">
    <w:abstractNumId w:val="35"/>
  </w:num>
  <w:num w:numId="62">
    <w:abstractNumId w:val="59"/>
  </w:num>
  <w:num w:numId="63">
    <w:abstractNumId w:val="69"/>
  </w:num>
  <w:num w:numId="64">
    <w:abstractNumId w:val="48"/>
  </w:num>
  <w:num w:numId="65">
    <w:abstractNumId w:val="22"/>
  </w:num>
  <w:num w:numId="66">
    <w:abstractNumId w:val="68"/>
  </w:num>
  <w:num w:numId="67">
    <w:abstractNumId w:val="90"/>
  </w:num>
  <w:num w:numId="68">
    <w:abstractNumId w:val="107"/>
  </w:num>
  <w:num w:numId="69">
    <w:abstractNumId w:val="28"/>
  </w:num>
  <w:num w:numId="70">
    <w:abstractNumId w:val="0"/>
  </w:num>
  <w:num w:numId="71">
    <w:abstractNumId w:val="105"/>
  </w:num>
  <w:num w:numId="72">
    <w:abstractNumId w:val="11"/>
  </w:num>
  <w:num w:numId="73">
    <w:abstractNumId w:val="1"/>
  </w:num>
  <w:num w:numId="74">
    <w:abstractNumId w:val="49"/>
  </w:num>
  <w:num w:numId="75">
    <w:abstractNumId w:val="67"/>
  </w:num>
  <w:num w:numId="76">
    <w:abstractNumId w:val="45"/>
  </w:num>
  <w:num w:numId="77">
    <w:abstractNumId w:val="4"/>
  </w:num>
  <w:num w:numId="78">
    <w:abstractNumId w:val="102"/>
  </w:num>
  <w:num w:numId="79">
    <w:abstractNumId w:val="10"/>
  </w:num>
  <w:num w:numId="80">
    <w:abstractNumId w:val="33"/>
  </w:num>
  <w:num w:numId="81">
    <w:abstractNumId w:val="50"/>
  </w:num>
  <w:num w:numId="82">
    <w:abstractNumId w:val="96"/>
  </w:num>
  <w:num w:numId="83">
    <w:abstractNumId w:val="21"/>
  </w:num>
  <w:num w:numId="84">
    <w:abstractNumId w:val="83"/>
  </w:num>
  <w:num w:numId="85">
    <w:abstractNumId w:val="12"/>
  </w:num>
  <w:num w:numId="86">
    <w:abstractNumId w:val="80"/>
  </w:num>
  <w:num w:numId="87">
    <w:abstractNumId w:val="58"/>
  </w:num>
  <w:num w:numId="88">
    <w:abstractNumId w:val="106"/>
  </w:num>
  <w:num w:numId="89">
    <w:abstractNumId w:val="41"/>
  </w:num>
  <w:num w:numId="90">
    <w:abstractNumId w:val="2"/>
  </w:num>
  <w:num w:numId="91">
    <w:abstractNumId w:val="81"/>
  </w:num>
  <w:num w:numId="92">
    <w:abstractNumId w:val="74"/>
  </w:num>
  <w:num w:numId="93">
    <w:abstractNumId w:val="60"/>
  </w:num>
  <w:num w:numId="94">
    <w:abstractNumId w:val="77"/>
  </w:num>
  <w:num w:numId="95">
    <w:abstractNumId w:val="98"/>
  </w:num>
  <w:num w:numId="96">
    <w:abstractNumId w:val="55"/>
  </w:num>
  <w:num w:numId="97">
    <w:abstractNumId w:val="18"/>
  </w:num>
  <w:num w:numId="98">
    <w:abstractNumId w:val="5"/>
  </w:num>
  <w:num w:numId="99">
    <w:abstractNumId w:val="43"/>
  </w:num>
  <w:num w:numId="100">
    <w:abstractNumId w:val="86"/>
  </w:num>
  <w:num w:numId="101">
    <w:abstractNumId w:val="14"/>
  </w:num>
  <w:num w:numId="102">
    <w:abstractNumId w:val="65"/>
  </w:num>
  <w:num w:numId="103">
    <w:abstractNumId w:val="94"/>
  </w:num>
  <w:num w:numId="104">
    <w:abstractNumId w:val="99"/>
  </w:num>
  <w:num w:numId="105">
    <w:abstractNumId w:val="38"/>
  </w:num>
  <w:num w:numId="106">
    <w:abstractNumId w:val="76"/>
  </w:num>
  <w:num w:numId="107">
    <w:abstractNumId w:val="79"/>
  </w:num>
  <w:num w:numId="108">
    <w:abstractNumId w:val="57"/>
  </w:num>
  <w:num w:numId="109">
    <w:abstractNumId w:val="3"/>
  </w:num>
  <w:num w:numId="110">
    <w:abstractNumId w:val="16"/>
  </w:num>
  <w:num w:numId="111">
    <w:abstractNumId w:val="26"/>
  </w:num>
  <w:num w:numId="112">
    <w:abstractNumId w:val="89"/>
  </w:num>
  <w:num w:numId="113">
    <w:abstractNumId w:val="97"/>
  </w:num>
  <w:num w:numId="114">
    <w:abstractNumId w:val="84"/>
  </w:num>
  <w:num w:numId="115">
    <w:abstractNumId w:val="100"/>
  </w:num>
  <w:num w:numId="116">
    <w:abstractNumId w:val="37"/>
  </w:num>
  <w:num w:numId="117">
    <w:abstractNumId w:val="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efaultTabStop w:val="720"/>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w209txan0tz20e5wezp0rr909wp9ts5s9ve&quot;&gt;nCoV Literature 020713_MVK-Saved&lt;record-ids&gt;&lt;item&gt;7&lt;/item&gt;&lt;item&gt;17&lt;/item&gt;&lt;item&gt;18&lt;/item&gt;&lt;item&gt;20&lt;/item&gt;&lt;item&gt;69&lt;/item&gt;&lt;item&gt;72&lt;/item&gt;&lt;/record-ids&gt;&lt;/item&gt;&lt;/Libraries&gt;"/>
  </w:docVars>
  <w:rsids>
    <w:rsidRoot w:val="00E72B24"/>
    <w:rsid w:val="00003626"/>
    <w:rsid w:val="0000439E"/>
    <w:rsid w:val="00005553"/>
    <w:rsid w:val="00005FEF"/>
    <w:rsid w:val="000067F3"/>
    <w:rsid w:val="00010FA2"/>
    <w:rsid w:val="00011776"/>
    <w:rsid w:val="000117A4"/>
    <w:rsid w:val="00011CC1"/>
    <w:rsid w:val="00011DCA"/>
    <w:rsid w:val="0001321E"/>
    <w:rsid w:val="00013E8F"/>
    <w:rsid w:val="00014E52"/>
    <w:rsid w:val="00015529"/>
    <w:rsid w:val="00015DC8"/>
    <w:rsid w:val="00017516"/>
    <w:rsid w:val="000205A3"/>
    <w:rsid w:val="0002127E"/>
    <w:rsid w:val="00021DA3"/>
    <w:rsid w:val="000225F3"/>
    <w:rsid w:val="00024BDB"/>
    <w:rsid w:val="00025DFD"/>
    <w:rsid w:val="00030FC0"/>
    <w:rsid w:val="00030FFB"/>
    <w:rsid w:val="0003110D"/>
    <w:rsid w:val="0003188C"/>
    <w:rsid w:val="00031B9E"/>
    <w:rsid w:val="000321E6"/>
    <w:rsid w:val="00032986"/>
    <w:rsid w:val="00032B86"/>
    <w:rsid w:val="0003644D"/>
    <w:rsid w:val="00036C5B"/>
    <w:rsid w:val="0003711E"/>
    <w:rsid w:val="00037236"/>
    <w:rsid w:val="0003794E"/>
    <w:rsid w:val="0004061E"/>
    <w:rsid w:val="00040EFE"/>
    <w:rsid w:val="00040FB0"/>
    <w:rsid w:val="00043294"/>
    <w:rsid w:val="0004353C"/>
    <w:rsid w:val="00045272"/>
    <w:rsid w:val="00045834"/>
    <w:rsid w:val="000462BE"/>
    <w:rsid w:val="0004694E"/>
    <w:rsid w:val="00047E30"/>
    <w:rsid w:val="00047F27"/>
    <w:rsid w:val="000505E2"/>
    <w:rsid w:val="00051460"/>
    <w:rsid w:val="00053051"/>
    <w:rsid w:val="00053B9B"/>
    <w:rsid w:val="00054D69"/>
    <w:rsid w:val="00055149"/>
    <w:rsid w:val="00055599"/>
    <w:rsid w:val="0005573F"/>
    <w:rsid w:val="00056627"/>
    <w:rsid w:val="000568AF"/>
    <w:rsid w:val="000578A1"/>
    <w:rsid w:val="00060AB9"/>
    <w:rsid w:val="00060AC6"/>
    <w:rsid w:val="000619C9"/>
    <w:rsid w:val="00061C31"/>
    <w:rsid w:val="00061EA6"/>
    <w:rsid w:val="00061FCB"/>
    <w:rsid w:val="0006330E"/>
    <w:rsid w:val="000633E3"/>
    <w:rsid w:val="00063E60"/>
    <w:rsid w:val="00064595"/>
    <w:rsid w:val="0006476D"/>
    <w:rsid w:val="00065831"/>
    <w:rsid w:val="0006589A"/>
    <w:rsid w:val="00066920"/>
    <w:rsid w:val="000702D3"/>
    <w:rsid w:val="000705AB"/>
    <w:rsid w:val="00070786"/>
    <w:rsid w:val="00071BD3"/>
    <w:rsid w:val="00071C4D"/>
    <w:rsid w:val="00072064"/>
    <w:rsid w:val="00075FCA"/>
    <w:rsid w:val="000766C7"/>
    <w:rsid w:val="00077782"/>
    <w:rsid w:val="00077AA9"/>
    <w:rsid w:val="00080474"/>
    <w:rsid w:val="00081F18"/>
    <w:rsid w:val="0008376A"/>
    <w:rsid w:val="00084498"/>
    <w:rsid w:val="000847EB"/>
    <w:rsid w:val="00084E28"/>
    <w:rsid w:val="0008571C"/>
    <w:rsid w:val="00090329"/>
    <w:rsid w:val="000909C0"/>
    <w:rsid w:val="0009121C"/>
    <w:rsid w:val="00091427"/>
    <w:rsid w:val="00091F3E"/>
    <w:rsid w:val="00092AF2"/>
    <w:rsid w:val="00092FFA"/>
    <w:rsid w:val="000944CD"/>
    <w:rsid w:val="00094F70"/>
    <w:rsid w:val="00095430"/>
    <w:rsid w:val="000A0A4C"/>
    <w:rsid w:val="000A13F7"/>
    <w:rsid w:val="000A14BD"/>
    <w:rsid w:val="000A1CE7"/>
    <w:rsid w:val="000A2E23"/>
    <w:rsid w:val="000A3387"/>
    <w:rsid w:val="000A53D0"/>
    <w:rsid w:val="000A58A8"/>
    <w:rsid w:val="000A5F37"/>
    <w:rsid w:val="000A5F4E"/>
    <w:rsid w:val="000A6945"/>
    <w:rsid w:val="000A6CA7"/>
    <w:rsid w:val="000B03F2"/>
    <w:rsid w:val="000B05C2"/>
    <w:rsid w:val="000B05E4"/>
    <w:rsid w:val="000B0CB7"/>
    <w:rsid w:val="000B1AB7"/>
    <w:rsid w:val="000B1F2C"/>
    <w:rsid w:val="000B37AE"/>
    <w:rsid w:val="000B3E53"/>
    <w:rsid w:val="000B5AA8"/>
    <w:rsid w:val="000B64BC"/>
    <w:rsid w:val="000B7B80"/>
    <w:rsid w:val="000C08F1"/>
    <w:rsid w:val="000C0DC6"/>
    <w:rsid w:val="000C10AA"/>
    <w:rsid w:val="000C180A"/>
    <w:rsid w:val="000C2424"/>
    <w:rsid w:val="000C261E"/>
    <w:rsid w:val="000C3137"/>
    <w:rsid w:val="000C3FC8"/>
    <w:rsid w:val="000C53F5"/>
    <w:rsid w:val="000C596B"/>
    <w:rsid w:val="000C6014"/>
    <w:rsid w:val="000C66B7"/>
    <w:rsid w:val="000C68A9"/>
    <w:rsid w:val="000C6FCF"/>
    <w:rsid w:val="000C791D"/>
    <w:rsid w:val="000C7DE0"/>
    <w:rsid w:val="000C7F74"/>
    <w:rsid w:val="000D065B"/>
    <w:rsid w:val="000D0E60"/>
    <w:rsid w:val="000D1226"/>
    <w:rsid w:val="000D17F5"/>
    <w:rsid w:val="000D1F62"/>
    <w:rsid w:val="000D2A02"/>
    <w:rsid w:val="000D2C2A"/>
    <w:rsid w:val="000D310B"/>
    <w:rsid w:val="000D3A73"/>
    <w:rsid w:val="000D3B73"/>
    <w:rsid w:val="000D43E3"/>
    <w:rsid w:val="000D4B27"/>
    <w:rsid w:val="000D4EF4"/>
    <w:rsid w:val="000D717D"/>
    <w:rsid w:val="000D7406"/>
    <w:rsid w:val="000E0570"/>
    <w:rsid w:val="000E1903"/>
    <w:rsid w:val="000E388F"/>
    <w:rsid w:val="000E3C32"/>
    <w:rsid w:val="000E40D7"/>
    <w:rsid w:val="000E5C76"/>
    <w:rsid w:val="000E7B2F"/>
    <w:rsid w:val="000E7E10"/>
    <w:rsid w:val="000E7E94"/>
    <w:rsid w:val="000F0263"/>
    <w:rsid w:val="000F0803"/>
    <w:rsid w:val="000F1172"/>
    <w:rsid w:val="000F2AB0"/>
    <w:rsid w:val="000F2D1F"/>
    <w:rsid w:val="000F30C6"/>
    <w:rsid w:val="000F333D"/>
    <w:rsid w:val="000F38C3"/>
    <w:rsid w:val="000F5D60"/>
    <w:rsid w:val="000F62EA"/>
    <w:rsid w:val="000F7925"/>
    <w:rsid w:val="0010099F"/>
    <w:rsid w:val="00100D22"/>
    <w:rsid w:val="001015C8"/>
    <w:rsid w:val="00104A6B"/>
    <w:rsid w:val="0010517D"/>
    <w:rsid w:val="001058B5"/>
    <w:rsid w:val="001067C4"/>
    <w:rsid w:val="00106CB3"/>
    <w:rsid w:val="00110557"/>
    <w:rsid w:val="0011083F"/>
    <w:rsid w:val="0011258C"/>
    <w:rsid w:val="00115423"/>
    <w:rsid w:val="001154C7"/>
    <w:rsid w:val="0011575F"/>
    <w:rsid w:val="001159D4"/>
    <w:rsid w:val="00120174"/>
    <w:rsid w:val="00120DD0"/>
    <w:rsid w:val="001212DA"/>
    <w:rsid w:val="0012256D"/>
    <w:rsid w:val="0012273A"/>
    <w:rsid w:val="0012289B"/>
    <w:rsid w:val="00124B9B"/>
    <w:rsid w:val="00125CBD"/>
    <w:rsid w:val="0012652C"/>
    <w:rsid w:val="0012784B"/>
    <w:rsid w:val="00130B29"/>
    <w:rsid w:val="00130F4F"/>
    <w:rsid w:val="0013189B"/>
    <w:rsid w:val="00131E4C"/>
    <w:rsid w:val="00132481"/>
    <w:rsid w:val="00132C57"/>
    <w:rsid w:val="001332F9"/>
    <w:rsid w:val="00133F75"/>
    <w:rsid w:val="0013469F"/>
    <w:rsid w:val="001348DA"/>
    <w:rsid w:val="00134ADC"/>
    <w:rsid w:val="00134EB3"/>
    <w:rsid w:val="00135575"/>
    <w:rsid w:val="001368B9"/>
    <w:rsid w:val="001371C4"/>
    <w:rsid w:val="001378F7"/>
    <w:rsid w:val="001401A9"/>
    <w:rsid w:val="001416EC"/>
    <w:rsid w:val="0014190B"/>
    <w:rsid w:val="001432FD"/>
    <w:rsid w:val="00143F5E"/>
    <w:rsid w:val="00151D54"/>
    <w:rsid w:val="00152ED5"/>
    <w:rsid w:val="00153C9E"/>
    <w:rsid w:val="00154114"/>
    <w:rsid w:val="00154C94"/>
    <w:rsid w:val="00154FAD"/>
    <w:rsid w:val="00155286"/>
    <w:rsid w:val="00155512"/>
    <w:rsid w:val="00155DCC"/>
    <w:rsid w:val="00155FA9"/>
    <w:rsid w:val="0015614E"/>
    <w:rsid w:val="001569CB"/>
    <w:rsid w:val="001569E3"/>
    <w:rsid w:val="00156DDD"/>
    <w:rsid w:val="00157158"/>
    <w:rsid w:val="001577D6"/>
    <w:rsid w:val="00157B2E"/>
    <w:rsid w:val="001601D0"/>
    <w:rsid w:val="001610B4"/>
    <w:rsid w:val="001632AB"/>
    <w:rsid w:val="00163F0D"/>
    <w:rsid w:val="001640E6"/>
    <w:rsid w:val="001640FB"/>
    <w:rsid w:val="00164C95"/>
    <w:rsid w:val="001665C6"/>
    <w:rsid w:val="001667CF"/>
    <w:rsid w:val="0016792C"/>
    <w:rsid w:val="001704A8"/>
    <w:rsid w:val="00171FA0"/>
    <w:rsid w:val="001721F1"/>
    <w:rsid w:val="001723B0"/>
    <w:rsid w:val="001730F1"/>
    <w:rsid w:val="0017310B"/>
    <w:rsid w:val="00173194"/>
    <w:rsid w:val="00173ADD"/>
    <w:rsid w:val="00174589"/>
    <w:rsid w:val="00174881"/>
    <w:rsid w:val="0017489B"/>
    <w:rsid w:val="0017555F"/>
    <w:rsid w:val="00175CEE"/>
    <w:rsid w:val="00176191"/>
    <w:rsid w:val="001763A8"/>
    <w:rsid w:val="001766AA"/>
    <w:rsid w:val="001772A7"/>
    <w:rsid w:val="00177A96"/>
    <w:rsid w:val="00177DB9"/>
    <w:rsid w:val="0018076D"/>
    <w:rsid w:val="00180937"/>
    <w:rsid w:val="00180DBD"/>
    <w:rsid w:val="00180F17"/>
    <w:rsid w:val="00181EC5"/>
    <w:rsid w:val="00182ADC"/>
    <w:rsid w:val="00184149"/>
    <w:rsid w:val="00185340"/>
    <w:rsid w:val="00190638"/>
    <w:rsid w:val="00190CFB"/>
    <w:rsid w:val="00193CD4"/>
    <w:rsid w:val="00193F3C"/>
    <w:rsid w:val="00194150"/>
    <w:rsid w:val="001945B4"/>
    <w:rsid w:val="0019542F"/>
    <w:rsid w:val="001959C0"/>
    <w:rsid w:val="00196155"/>
    <w:rsid w:val="001963A6"/>
    <w:rsid w:val="00196932"/>
    <w:rsid w:val="00197133"/>
    <w:rsid w:val="00197E06"/>
    <w:rsid w:val="001A10D4"/>
    <w:rsid w:val="001A145F"/>
    <w:rsid w:val="001A1814"/>
    <w:rsid w:val="001A2B31"/>
    <w:rsid w:val="001A3B23"/>
    <w:rsid w:val="001A51D2"/>
    <w:rsid w:val="001A5803"/>
    <w:rsid w:val="001A5AB9"/>
    <w:rsid w:val="001A6E90"/>
    <w:rsid w:val="001A7B4D"/>
    <w:rsid w:val="001B0AFE"/>
    <w:rsid w:val="001B349A"/>
    <w:rsid w:val="001B34D2"/>
    <w:rsid w:val="001B38C6"/>
    <w:rsid w:val="001B3FDE"/>
    <w:rsid w:val="001B40D9"/>
    <w:rsid w:val="001B5C8E"/>
    <w:rsid w:val="001B5F96"/>
    <w:rsid w:val="001B67EB"/>
    <w:rsid w:val="001B7047"/>
    <w:rsid w:val="001B7A1B"/>
    <w:rsid w:val="001B7ADE"/>
    <w:rsid w:val="001B7D66"/>
    <w:rsid w:val="001B7F04"/>
    <w:rsid w:val="001C0086"/>
    <w:rsid w:val="001C1854"/>
    <w:rsid w:val="001C2027"/>
    <w:rsid w:val="001C236D"/>
    <w:rsid w:val="001C2445"/>
    <w:rsid w:val="001C2557"/>
    <w:rsid w:val="001C2D4D"/>
    <w:rsid w:val="001C3844"/>
    <w:rsid w:val="001C5DB1"/>
    <w:rsid w:val="001C74B2"/>
    <w:rsid w:val="001D0596"/>
    <w:rsid w:val="001D1605"/>
    <w:rsid w:val="001D23A6"/>
    <w:rsid w:val="001D3C93"/>
    <w:rsid w:val="001D40B3"/>
    <w:rsid w:val="001D446C"/>
    <w:rsid w:val="001D4D2B"/>
    <w:rsid w:val="001D5D92"/>
    <w:rsid w:val="001D6821"/>
    <w:rsid w:val="001D6C28"/>
    <w:rsid w:val="001D6E4C"/>
    <w:rsid w:val="001D78B6"/>
    <w:rsid w:val="001E0F5B"/>
    <w:rsid w:val="001E18D6"/>
    <w:rsid w:val="001E2974"/>
    <w:rsid w:val="001E33F9"/>
    <w:rsid w:val="001E48BB"/>
    <w:rsid w:val="001E4E8B"/>
    <w:rsid w:val="001E5961"/>
    <w:rsid w:val="001E5EC6"/>
    <w:rsid w:val="001E6737"/>
    <w:rsid w:val="001E6DA6"/>
    <w:rsid w:val="001E708C"/>
    <w:rsid w:val="001E731B"/>
    <w:rsid w:val="001F11C6"/>
    <w:rsid w:val="001F11D5"/>
    <w:rsid w:val="001F1840"/>
    <w:rsid w:val="001F18ED"/>
    <w:rsid w:val="001F1DEF"/>
    <w:rsid w:val="001F23C3"/>
    <w:rsid w:val="001F320B"/>
    <w:rsid w:val="001F35AC"/>
    <w:rsid w:val="001F42C9"/>
    <w:rsid w:val="001F442A"/>
    <w:rsid w:val="001F5570"/>
    <w:rsid w:val="001F5DBC"/>
    <w:rsid w:val="001F72E9"/>
    <w:rsid w:val="001F76E7"/>
    <w:rsid w:val="00201BD7"/>
    <w:rsid w:val="00202C13"/>
    <w:rsid w:val="00202EB3"/>
    <w:rsid w:val="00203184"/>
    <w:rsid w:val="00203C86"/>
    <w:rsid w:val="002051BD"/>
    <w:rsid w:val="002054E7"/>
    <w:rsid w:val="002055C6"/>
    <w:rsid w:val="00205962"/>
    <w:rsid w:val="00206582"/>
    <w:rsid w:val="00206C8A"/>
    <w:rsid w:val="00207125"/>
    <w:rsid w:val="00210245"/>
    <w:rsid w:val="0021026C"/>
    <w:rsid w:val="00210F9E"/>
    <w:rsid w:val="00211801"/>
    <w:rsid w:val="002128AE"/>
    <w:rsid w:val="00213E88"/>
    <w:rsid w:val="0021420F"/>
    <w:rsid w:val="00215DAE"/>
    <w:rsid w:val="002160ED"/>
    <w:rsid w:val="0021664F"/>
    <w:rsid w:val="002209E5"/>
    <w:rsid w:val="00221B03"/>
    <w:rsid w:val="0022268F"/>
    <w:rsid w:val="002228D7"/>
    <w:rsid w:val="00222ECE"/>
    <w:rsid w:val="00223191"/>
    <w:rsid w:val="002238C3"/>
    <w:rsid w:val="002240A0"/>
    <w:rsid w:val="002244E1"/>
    <w:rsid w:val="00224A9D"/>
    <w:rsid w:val="00224F42"/>
    <w:rsid w:val="00224F50"/>
    <w:rsid w:val="00224F6F"/>
    <w:rsid w:val="00225481"/>
    <w:rsid w:val="00225E84"/>
    <w:rsid w:val="0022604D"/>
    <w:rsid w:val="00226070"/>
    <w:rsid w:val="00227190"/>
    <w:rsid w:val="002271A3"/>
    <w:rsid w:val="0022790E"/>
    <w:rsid w:val="002310E2"/>
    <w:rsid w:val="0023247A"/>
    <w:rsid w:val="002327D5"/>
    <w:rsid w:val="00232922"/>
    <w:rsid w:val="00232B5D"/>
    <w:rsid w:val="002335F5"/>
    <w:rsid w:val="0023467D"/>
    <w:rsid w:val="00234690"/>
    <w:rsid w:val="00234967"/>
    <w:rsid w:val="002356F4"/>
    <w:rsid w:val="0023593C"/>
    <w:rsid w:val="00235A90"/>
    <w:rsid w:val="00235E3D"/>
    <w:rsid w:val="00236A0A"/>
    <w:rsid w:val="0023719B"/>
    <w:rsid w:val="0023753B"/>
    <w:rsid w:val="00237B70"/>
    <w:rsid w:val="002402CC"/>
    <w:rsid w:val="00240FE0"/>
    <w:rsid w:val="00242289"/>
    <w:rsid w:val="00242F62"/>
    <w:rsid w:val="002441EC"/>
    <w:rsid w:val="00244507"/>
    <w:rsid w:val="00251917"/>
    <w:rsid w:val="002519E2"/>
    <w:rsid w:val="002521C6"/>
    <w:rsid w:val="00252201"/>
    <w:rsid w:val="0025220D"/>
    <w:rsid w:val="0025237F"/>
    <w:rsid w:val="00254584"/>
    <w:rsid w:val="00255D95"/>
    <w:rsid w:val="0025659E"/>
    <w:rsid w:val="00257134"/>
    <w:rsid w:val="00257379"/>
    <w:rsid w:val="00257BCD"/>
    <w:rsid w:val="0026018A"/>
    <w:rsid w:val="0026085A"/>
    <w:rsid w:val="002610AE"/>
    <w:rsid w:val="00261B60"/>
    <w:rsid w:val="00261FC8"/>
    <w:rsid w:val="00262762"/>
    <w:rsid w:val="00263986"/>
    <w:rsid w:val="00263B44"/>
    <w:rsid w:val="00263EFA"/>
    <w:rsid w:val="00264205"/>
    <w:rsid w:val="0026576E"/>
    <w:rsid w:val="00265ACB"/>
    <w:rsid w:val="00265B86"/>
    <w:rsid w:val="00265D3C"/>
    <w:rsid w:val="00266916"/>
    <w:rsid w:val="0026750C"/>
    <w:rsid w:val="002677D8"/>
    <w:rsid w:val="002703EE"/>
    <w:rsid w:val="00270F68"/>
    <w:rsid w:val="002715C8"/>
    <w:rsid w:val="00271978"/>
    <w:rsid w:val="00271A73"/>
    <w:rsid w:val="00272364"/>
    <w:rsid w:val="00272403"/>
    <w:rsid w:val="0027271C"/>
    <w:rsid w:val="00273CF7"/>
    <w:rsid w:val="00273FDC"/>
    <w:rsid w:val="002741A0"/>
    <w:rsid w:val="00280361"/>
    <w:rsid w:val="00280E65"/>
    <w:rsid w:val="00280F68"/>
    <w:rsid w:val="002817AA"/>
    <w:rsid w:val="00281CD2"/>
    <w:rsid w:val="00282C91"/>
    <w:rsid w:val="00283664"/>
    <w:rsid w:val="00284FC6"/>
    <w:rsid w:val="0028689C"/>
    <w:rsid w:val="00286C82"/>
    <w:rsid w:val="00286C9D"/>
    <w:rsid w:val="00290737"/>
    <w:rsid w:val="00290C37"/>
    <w:rsid w:val="002924F5"/>
    <w:rsid w:val="00292DB8"/>
    <w:rsid w:val="002938C2"/>
    <w:rsid w:val="00293972"/>
    <w:rsid w:val="00294F16"/>
    <w:rsid w:val="002955BD"/>
    <w:rsid w:val="00295B72"/>
    <w:rsid w:val="00295E6E"/>
    <w:rsid w:val="00296559"/>
    <w:rsid w:val="002965A4"/>
    <w:rsid w:val="00297D3C"/>
    <w:rsid w:val="002A04B7"/>
    <w:rsid w:val="002A0CB1"/>
    <w:rsid w:val="002A0FF3"/>
    <w:rsid w:val="002A1065"/>
    <w:rsid w:val="002A1EE3"/>
    <w:rsid w:val="002A22A0"/>
    <w:rsid w:val="002A2C08"/>
    <w:rsid w:val="002A3806"/>
    <w:rsid w:val="002A4129"/>
    <w:rsid w:val="002A496F"/>
    <w:rsid w:val="002A49BE"/>
    <w:rsid w:val="002A683C"/>
    <w:rsid w:val="002A68EF"/>
    <w:rsid w:val="002A79A2"/>
    <w:rsid w:val="002A7FC8"/>
    <w:rsid w:val="002B0461"/>
    <w:rsid w:val="002B3E8B"/>
    <w:rsid w:val="002B492D"/>
    <w:rsid w:val="002B4F98"/>
    <w:rsid w:val="002B61A7"/>
    <w:rsid w:val="002B6A19"/>
    <w:rsid w:val="002B6BCE"/>
    <w:rsid w:val="002B7BC7"/>
    <w:rsid w:val="002C0121"/>
    <w:rsid w:val="002C1504"/>
    <w:rsid w:val="002C1600"/>
    <w:rsid w:val="002C2312"/>
    <w:rsid w:val="002C25A6"/>
    <w:rsid w:val="002C2B8A"/>
    <w:rsid w:val="002C2D97"/>
    <w:rsid w:val="002C2FDA"/>
    <w:rsid w:val="002C3743"/>
    <w:rsid w:val="002C3FE2"/>
    <w:rsid w:val="002C3FFA"/>
    <w:rsid w:val="002C40B8"/>
    <w:rsid w:val="002C4AC7"/>
    <w:rsid w:val="002C4DF4"/>
    <w:rsid w:val="002C62D7"/>
    <w:rsid w:val="002C7F00"/>
    <w:rsid w:val="002D0D40"/>
    <w:rsid w:val="002D1307"/>
    <w:rsid w:val="002D1397"/>
    <w:rsid w:val="002D194D"/>
    <w:rsid w:val="002D1F89"/>
    <w:rsid w:val="002D2183"/>
    <w:rsid w:val="002D27F5"/>
    <w:rsid w:val="002D31E9"/>
    <w:rsid w:val="002D4042"/>
    <w:rsid w:val="002D4366"/>
    <w:rsid w:val="002D5208"/>
    <w:rsid w:val="002D62D6"/>
    <w:rsid w:val="002D69F5"/>
    <w:rsid w:val="002D734C"/>
    <w:rsid w:val="002D7384"/>
    <w:rsid w:val="002D7FBD"/>
    <w:rsid w:val="002E1391"/>
    <w:rsid w:val="002E17DE"/>
    <w:rsid w:val="002E1F25"/>
    <w:rsid w:val="002E214E"/>
    <w:rsid w:val="002E30D3"/>
    <w:rsid w:val="002E4F84"/>
    <w:rsid w:val="002E57AD"/>
    <w:rsid w:val="002E6A29"/>
    <w:rsid w:val="002E7551"/>
    <w:rsid w:val="002F15D9"/>
    <w:rsid w:val="002F1C6F"/>
    <w:rsid w:val="002F2067"/>
    <w:rsid w:val="002F27E3"/>
    <w:rsid w:val="002F3555"/>
    <w:rsid w:val="002F37C0"/>
    <w:rsid w:val="002F5C90"/>
    <w:rsid w:val="002F60CF"/>
    <w:rsid w:val="002F724B"/>
    <w:rsid w:val="002F7E1D"/>
    <w:rsid w:val="003002F2"/>
    <w:rsid w:val="00300530"/>
    <w:rsid w:val="00303049"/>
    <w:rsid w:val="00304FEC"/>
    <w:rsid w:val="00305C85"/>
    <w:rsid w:val="0030607A"/>
    <w:rsid w:val="00307112"/>
    <w:rsid w:val="003071AF"/>
    <w:rsid w:val="00307729"/>
    <w:rsid w:val="003106E8"/>
    <w:rsid w:val="0031082B"/>
    <w:rsid w:val="00310B1D"/>
    <w:rsid w:val="00311592"/>
    <w:rsid w:val="003118C4"/>
    <w:rsid w:val="00311E4F"/>
    <w:rsid w:val="00312B14"/>
    <w:rsid w:val="00313D78"/>
    <w:rsid w:val="0031426A"/>
    <w:rsid w:val="003144BB"/>
    <w:rsid w:val="00314FFB"/>
    <w:rsid w:val="0031538A"/>
    <w:rsid w:val="0031564A"/>
    <w:rsid w:val="00315C04"/>
    <w:rsid w:val="00316253"/>
    <w:rsid w:val="00316C4E"/>
    <w:rsid w:val="00317FCA"/>
    <w:rsid w:val="003200F2"/>
    <w:rsid w:val="003207B1"/>
    <w:rsid w:val="00321861"/>
    <w:rsid w:val="00322631"/>
    <w:rsid w:val="00322D7A"/>
    <w:rsid w:val="00323102"/>
    <w:rsid w:val="0032423A"/>
    <w:rsid w:val="0032546C"/>
    <w:rsid w:val="003268BB"/>
    <w:rsid w:val="003271B2"/>
    <w:rsid w:val="00327ED7"/>
    <w:rsid w:val="00331711"/>
    <w:rsid w:val="00331A03"/>
    <w:rsid w:val="003325FD"/>
    <w:rsid w:val="00332ED9"/>
    <w:rsid w:val="00332F8C"/>
    <w:rsid w:val="00333734"/>
    <w:rsid w:val="0033386B"/>
    <w:rsid w:val="00333DA8"/>
    <w:rsid w:val="00333E8F"/>
    <w:rsid w:val="00334352"/>
    <w:rsid w:val="00334618"/>
    <w:rsid w:val="003354D0"/>
    <w:rsid w:val="00335AB1"/>
    <w:rsid w:val="003361F2"/>
    <w:rsid w:val="00337E26"/>
    <w:rsid w:val="0034066C"/>
    <w:rsid w:val="00340876"/>
    <w:rsid w:val="00341832"/>
    <w:rsid w:val="00341D7B"/>
    <w:rsid w:val="003433A9"/>
    <w:rsid w:val="003448F8"/>
    <w:rsid w:val="003453D7"/>
    <w:rsid w:val="003454B1"/>
    <w:rsid w:val="003462EF"/>
    <w:rsid w:val="00350305"/>
    <w:rsid w:val="0035032E"/>
    <w:rsid w:val="00350FD1"/>
    <w:rsid w:val="003518C4"/>
    <w:rsid w:val="00351D9A"/>
    <w:rsid w:val="00352E73"/>
    <w:rsid w:val="00353EA2"/>
    <w:rsid w:val="003540D7"/>
    <w:rsid w:val="00355083"/>
    <w:rsid w:val="003555F3"/>
    <w:rsid w:val="00355B69"/>
    <w:rsid w:val="003563C0"/>
    <w:rsid w:val="003568F0"/>
    <w:rsid w:val="003578DF"/>
    <w:rsid w:val="00357B74"/>
    <w:rsid w:val="00357D43"/>
    <w:rsid w:val="003601B9"/>
    <w:rsid w:val="003633A4"/>
    <w:rsid w:val="0036518C"/>
    <w:rsid w:val="0036559B"/>
    <w:rsid w:val="00365788"/>
    <w:rsid w:val="00365892"/>
    <w:rsid w:val="0036590D"/>
    <w:rsid w:val="00365B36"/>
    <w:rsid w:val="00365C68"/>
    <w:rsid w:val="00366026"/>
    <w:rsid w:val="0036776A"/>
    <w:rsid w:val="003678F4"/>
    <w:rsid w:val="003723F7"/>
    <w:rsid w:val="00373D87"/>
    <w:rsid w:val="003740B4"/>
    <w:rsid w:val="0037431A"/>
    <w:rsid w:val="003750D4"/>
    <w:rsid w:val="00375160"/>
    <w:rsid w:val="003752DC"/>
    <w:rsid w:val="003753A4"/>
    <w:rsid w:val="00375685"/>
    <w:rsid w:val="00376079"/>
    <w:rsid w:val="00376779"/>
    <w:rsid w:val="00376AD7"/>
    <w:rsid w:val="003801AD"/>
    <w:rsid w:val="0038615A"/>
    <w:rsid w:val="0038618E"/>
    <w:rsid w:val="00386396"/>
    <w:rsid w:val="0038729C"/>
    <w:rsid w:val="003879D8"/>
    <w:rsid w:val="00387B71"/>
    <w:rsid w:val="00390E46"/>
    <w:rsid w:val="0039166F"/>
    <w:rsid w:val="00391770"/>
    <w:rsid w:val="0039274B"/>
    <w:rsid w:val="00392DE9"/>
    <w:rsid w:val="00393CCA"/>
    <w:rsid w:val="00394608"/>
    <w:rsid w:val="003948C6"/>
    <w:rsid w:val="00394B53"/>
    <w:rsid w:val="0039512F"/>
    <w:rsid w:val="00395445"/>
    <w:rsid w:val="003956A6"/>
    <w:rsid w:val="0039683F"/>
    <w:rsid w:val="003A095C"/>
    <w:rsid w:val="003A0BD3"/>
    <w:rsid w:val="003A0FB9"/>
    <w:rsid w:val="003A18E0"/>
    <w:rsid w:val="003A3BFE"/>
    <w:rsid w:val="003A4DC6"/>
    <w:rsid w:val="003A4EE0"/>
    <w:rsid w:val="003A6C9A"/>
    <w:rsid w:val="003B09D6"/>
    <w:rsid w:val="003B0B10"/>
    <w:rsid w:val="003B2099"/>
    <w:rsid w:val="003B2611"/>
    <w:rsid w:val="003B2F51"/>
    <w:rsid w:val="003B3102"/>
    <w:rsid w:val="003B3893"/>
    <w:rsid w:val="003B3CC5"/>
    <w:rsid w:val="003B3D2A"/>
    <w:rsid w:val="003B3E5E"/>
    <w:rsid w:val="003B41C7"/>
    <w:rsid w:val="003B5722"/>
    <w:rsid w:val="003B57ED"/>
    <w:rsid w:val="003C26D5"/>
    <w:rsid w:val="003C270D"/>
    <w:rsid w:val="003C2A86"/>
    <w:rsid w:val="003C2B7F"/>
    <w:rsid w:val="003C350C"/>
    <w:rsid w:val="003C403E"/>
    <w:rsid w:val="003C55E5"/>
    <w:rsid w:val="003C5E08"/>
    <w:rsid w:val="003C694B"/>
    <w:rsid w:val="003C707F"/>
    <w:rsid w:val="003C714E"/>
    <w:rsid w:val="003D0727"/>
    <w:rsid w:val="003D0989"/>
    <w:rsid w:val="003D327B"/>
    <w:rsid w:val="003D32EF"/>
    <w:rsid w:val="003D3469"/>
    <w:rsid w:val="003D3CE3"/>
    <w:rsid w:val="003D405B"/>
    <w:rsid w:val="003D4486"/>
    <w:rsid w:val="003D68FA"/>
    <w:rsid w:val="003D6969"/>
    <w:rsid w:val="003E0E71"/>
    <w:rsid w:val="003E26FF"/>
    <w:rsid w:val="003E3811"/>
    <w:rsid w:val="003E3953"/>
    <w:rsid w:val="003E3C38"/>
    <w:rsid w:val="003E3D91"/>
    <w:rsid w:val="003E3DA0"/>
    <w:rsid w:val="003E4606"/>
    <w:rsid w:val="003E6387"/>
    <w:rsid w:val="003E68DE"/>
    <w:rsid w:val="003E7F44"/>
    <w:rsid w:val="003F05E0"/>
    <w:rsid w:val="003F0877"/>
    <w:rsid w:val="003F179E"/>
    <w:rsid w:val="003F1A31"/>
    <w:rsid w:val="003F1B4F"/>
    <w:rsid w:val="003F2499"/>
    <w:rsid w:val="003F25C3"/>
    <w:rsid w:val="003F28D5"/>
    <w:rsid w:val="003F35C3"/>
    <w:rsid w:val="003F4BDC"/>
    <w:rsid w:val="003F51D5"/>
    <w:rsid w:val="003F6CAE"/>
    <w:rsid w:val="003F7459"/>
    <w:rsid w:val="00401531"/>
    <w:rsid w:val="004018A4"/>
    <w:rsid w:val="00402C71"/>
    <w:rsid w:val="00403085"/>
    <w:rsid w:val="0040329B"/>
    <w:rsid w:val="004039BA"/>
    <w:rsid w:val="00403CF2"/>
    <w:rsid w:val="00404359"/>
    <w:rsid w:val="004055B2"/>
    <w:rsid w:val="00405A93"/>
    <w:rsid w:val="00406B9E"/>
    <w:rsid w:val="0040740F"/>
    <w:rsid w:val="0041085C"/>
    <w:rsid w:val="0041098A"/>
    <w:rsid w:val="004111D6"/>
    <w:rsid w:val="004122D8"/>
    <w:rsid w:val="0041365E"/>
    <w:rsid w:val="00415226"/>
    <w:rsid w:val="0041542C"/>
    <w:rsid w:val="004154F3"/>
    <w:rsid w:val="004156C2"/>
    <w:rsid w:val="00416BC7"/>
    <w:rsid w:val="004179DE"/>
    <w:rsid w:val="004203DD"/>
    <w:rsid w:val="004208EF"/>
    <w:rsid w:val="004221B3"/>
    <w:rsid w:val="00422DB8"/>
    <w:rsid w:val="00423E15"/>
    <w:rsid w:val="00424145"/>
    <w:rsid w:val="00424472"/>
    <w:rsid w:val="00424C81"/>
    <w:rsid w:val="0042519C"/>
    <w:rsid w:val="00425D11"/>
    <w:rsid w:val="004263D1"/>
    <w:rsid w:val="00427448"/>
    <w:rsid w:val="004307C6"/>
    <w:rsid w:val="00430AEB"/>
    <w:rsid w:val="00430EA1"/>
    <w:rsid w:val="00431108"/>
    <w:rsid w:val="00431D43"/>
    <w:rsid w:val="0043285E"/>
    <w:rsid w:val="004338B1"/>
    <w:rsid w:val="004338EE"/>
    <w:rsid w:val="0043463B"/>
    <w:rsid w:val="00435F14"/>
    <w:rsid w:val="0043630A"/>
    <w:rsid w:val="00436786"/>
    <w:rsid w:val="00440091"/>
    <w:rsid w:val="00440710"/>
    <w:rsid w:val="0044262B"/>
    <w:rsid w:val="00442D8A"/>
    <w:rsid w:val="00443483"/>
    <w:rsid w:val="004435EE"/>
    <w:rsid w:val="00443688"/>
    <w:rsid w:val="0044399C"/>
    <w:rsid w:val="00443D6A"/>
    <w:rsid w:val="00443ECC"/>
    <w:rsid w:val="004450B2"/>
    <w:rsid w:val="0044513D"/>
    <w:rsid w:val="0044523F"/>
    <w:rsid w:val="00445282"/>
    <w:rsid w:val="0044585D"/>
    <w:rsid w:val="00445CDB"/>
    <w:rsid w:val="00446297"/>
    <w:rsid w:val="0044692E"/>
    <w:rsid w:val="00450537"/>
    <w:rsid w:val="00451440"/>
    <w:rsid w:val="00451A67"/>
    <w:rsid w:val="004533EA"/>
    <w:rsid w:val="00453E96"/>
    <w:rsid w:val="00454ABA"/>
    <w:rsid w:val="004566E4"/>
    <w:rsid w:val="00457C10"/>
    <w:rsid w:val="0046049B"/>
    <w:rsid w:val="00460724"/>
    <w:rsid w:val="00460D6A"/>
    <w:rsid w:val="004610DC"/>
    <w:rsid w:val="00461194"/>
    <w:rsid w:val="00461471"/>
    <w:rsid w:val="00462624"/>
    <w:rsid w:val="0046400E"/>
    <w:rsid w:val="004650A4"/>
    <w:rsid w:val="0046733F"/>
    <w:rsid w:val="004673D5"/>
    <w:rsid w:val="0047029E"/>
    <w:rsid w:val="00470405"/>
    <w:rsid w:val="00470AC2"/>
    <w:rsid w:val="00471211"/>
    <w:rsid w:val="004734A3"/>
    <w:rsid w:val="00475146"/>
    <w:rsid w:val="004758A6"/>
    <w:rsid w:val="00475AC4"/>
    <w:rsid w:val="00476C08"/>
    <w:rsid w:val="00476CAE"/>
    <w:rsid w:val="00480C27"/>
    <w:rsid w:val="00482A30"/>
    <w:rsid w:val="00484380"/>
    <w:rsid w:val="0048547E"/>
    <w:rsid w:val="0048580B"/>
    <w:rsid w:val="00485D94"/>
    <w:rsid w:val="004861DF"/>
    <w:rsid w:val="00486490"/>
    <w:rsid w:val="0048670A"/>
    <w:rsid w:val="00486D9A"/>
    <w:rsid w:val="00487346"/>
    <w:rsid w:val="0048740F"/>
    <w:rsid w:val="00487455"/>
    <w:rsid w:val="00490B8D"/>
    <w:rsid w:val="00492295"/>
    <w:rsid w:val="00492F55"/>
    <w:rsid w:val="004936F4"/>
    <w:rsid w:val="0049445D"/>
    <w:rsid w:val="0049612E"/>
    <w:rsid w:val="0049618E"/>
    <w:rsid w:val="00497162"/>
    <w:rsid w:val="004A14A7"/>
    <w:rsid w:val="004A2FAE"/>
    <w:rsid w:val="004A4C39"/>
    <w:rsid w:val="004A4E37"/>
    <w:rsid w:val="004A5427"/>
    <w:rsid w:val="004A5FD4"/>
    <w:rsid w:val="004A600B"/>
    <w:rsid w:val="004A7A7A"/>
    <w:rsid w:val="004B082B"/>
    <w:rsid w:val="004B1541"/>
    <w:rsid w:val="004B1E25"/>
    <w:rsid w:val="004B2520"/>
    <w:rsid w:val="004B37EF"/>
    <w:rsid w:val="004B38F2"/>
    <w:rsid w:val="004B4861"/>
    <w:rsid w:val="004B5D81"/>
    <w:rsid w:val="004B5F3B"/>
    <w:rsid w:val="004B6D00"/>
    <w:rsid w:val="004B7899"/>
    <w:rsid w:val="004C18B3"/>
    <w:rsid w:val="004C287D"/>
    <w:rsid w:val="004C4539"/>
    <w:rsid w:val="004C45FC"/>
    <w:rsid w:val="004C4FE3"/>
    <w:rsid w:val="004C5008"/>
    <w:rsid w:val="004C5081"/>
    <w:rsid w:val="004C68F0"/>
    <w:rsid w:val="004C7103"/>
    <w:rsid w:val="004C74CD"/>
    <w:rsid w:val="004C7B2A"/>
    <w:rsid w:val="004D01FF"/>
    <w:rsid w:val="004D097C"/>
    <w:rsid w:val="004D0C5B"/>
    <w:rsid w:val="004D1302"/>
    <w:rsid w:val="004D14D0"/>
    <w:rsid w:val="004D403C"/>
    <w:rsid w:val="004D4BA2"/>
    <w:rsid w:val="004D6F74"/>
    <w:rsid w:val="004D70EC"/>
    <w:rsid w:val="004E01C3"/>
    <w:rsid w:val="004E0463"/>
    <w:rsid w:val="004E1752"/>
    <w:rsid w:val="004E2278"/>
    <w:rsid w:val="004E4D08"/>
    <w:rsid w:val="004F1258"/>
    <w:rsid w:val="004F1EDF"/>
    <w:rsid w:val="004F1FF1"/>
    <w:rsid w:val="004F42B7"/>
    <w:rsid w:val="004F5479"/>
    <w:rsid w:val="004F5FBA"/>
    <w:rsid w:val="004F616F"/>
    <w:rsid w:val="004F6FAF"/>
    <w:rsid w:val="004F7CB1"/>
    <w:rsid w:val="004F7E7F"/>
    <w:rsid w:val="004F7F81"/>
    <w:rsid w:val="00500DA8"/>
    <w:rsid w:val="00500DE5"/>
    <w:rsid w:val="00500E24"/>
    <w:rsid w:val="005010FE"/>
    <w:rsid w:val="0050199E"/>
    <w:rsid w:val="00501F37"/>
    <w:rsid w:val="00502CF0"/>
    <w:rsid w:val="00503D51"/>
    <w:rsid w:val="00503F96"/>
    <w:rsid w:val="0050478E"/>
    <w:rsid w:val="00504C53"/>
    <w:rsid w:val="0050526A"/>
    <w:rsid w:val="00505424"/>
    <w:rsid w:val="0050615C"/>
    <w:rsid w:val="00506B4E"/>
    <w:rsid w:val="00507FD7"/>
    <w:rsid w:val="00511A9D"/>
    <w:rsid w:val="0051205F"/>
    <w:rsid w:val="005128C4"/>
    <w:rsid w:val="00512C22"/>
    <w:rsid w:val="00512D4F"/>
    <w:rsid w:val="00512E8F"/>
    <w:rsid w:val="005138AF"/>
    <w:rsid w:val="00513A2A"/>
    <w:rsid w:val="0051406F"/>
    <w:rsid w:val="005140AF"/>
    <w:rsid w:val="0051415C"/>
    <w:rsid w:val="00515560"/>
    <w:rsid w:val="00515B6D"/>
    <w:rsid w:val="005161B7"/>
    <w:rsid w:val="00516CEA"/>
    <w:rsid w:val="00516D72"/>
    <w:rsid w:val="00517D25"/>
    <w:rsid w:val="005209DF"/>
    <w:rsid w:val="005214C7"/>
    <w:rsid w:val="00522B21"/>
    <w:rsid w:val="00523185"/>
    <w:rsid w:val="005234F8"/>
    <w:rsid w:val="00523535"/>
    <w:rsid w:val="00523570"/>
    <w:rsid w:val="005242A9"/>
    <w:rsid w:val="00524A35"/>
    <w:rsid w:val="00525D7C"/>
    <w:rsid w:val="005263DA"/>
    <w:rsid w:val="00526D99"/>
    <w:rsid w:val="0052742B"/>
    <w:rsid w:val="005275FF"/>
    <w:rsid w:val="00527D70"/>
    <w:rsid w:val="00527FAE"/>
    <w:rsid w:val="00530484"/>
    <w:rsid w:val="00530502"/>
    <w:rsid w:val="00530712"/>
    <w:rsid w:val="00530BDD"/>
    <w:rsid w:val="00532AEC"/>
    <w:rsid w:val="00534F09"/>
    <w:rsid w:val="0053584F"/>
    <w:rsid w:val="00535FDD"/>
    <w:rsid w:val="00536278"/>
    <w:rsid w:val="00537267"/>
    <w:rsid w:val="00541505"/>
    <w:rsid w:val="00541DD8"/>
    <w:rsid w:val="0054206A"/>
    <w:rsid w:val="00542C22"/>
    <w:rsid w:val="00543329"/>
    <w:rsid w:val="00543BFA"/>
    <w:rsid w:val="00544B78"/>
    <w:rsid w:val="00544EEE"/>
    <w:rsid w:val="00545870"/>
    <w:rsid w:val="00545B5C"/>
    <w:rsid w:val="005468C5"/>
    <w:rsid w:val="00546AAC"/>
    <w:rsid w:val="00546CFC"/>
    <w:rsid w:val="00547169"/>
    <w:rsid w:val="0055037C"/>
    <w:rsid w:val="00550F83"/>
    <w:rsid w:val="00552A66"/>
    <w:rsid w:val="00552DB3"/>
    <w:rsid w:val="00553B07"/>
    <w:rsid w:val="00554EBA"/>
    <w:rsid w:val="00554EF9"/>
    <w:rsid w:val="00555741"/>
    <w:rsid w:val="00556184"/>
    <w:rsid w:val="0055619C"/>
    <w:rsid w:val="00556B8E"/>
    <w:rsid w:val="00557A22"/>
    <w:rsid w:val="00557A5B"/>
    <w:rsid w:val="00557ABD"/>
    <w:rsid w:val="00560202"/>
    <w:rsid w:val="005620C7"/>
    <w:rsid w:val="00562E66"/>
    <w:rsid w:val="0056325C"/>
    <w:rsid w:val="00563DE5"/>
    <w:rsid w:val="00564600"/>
    <w:rsid w:val="00564A42"/>
    <w:rsid w:val="0056640F"/>
    <w:rsid w:val="00566AB2"/>
    <w:rsid w:val="005670DA"/>
    <w:rsid w:val="00567F26"/>
    <w:rsid w:val="00571BE4"/>
    <w:rsid w:val="00571E16"/>
    <w:rsid w:val="00572C3B"/>
    <w:rsid w:val="005734CA"/>
    <w:rsid w:val="00573DEF"/>
    <w:rsid w:val="00575F27"/>
    <w:rsid w:val="00575F88"/>
    <w:rsid w:val="005760C5"/>
    <w:rsid w:val="0057629A"/>
    <w:rsid w:val="00577D57"/>
    <w:rsid w:val="00577E35"/>
    <w:rsid w:val="00580AAE"/>
    <w:rsid w:val="00580CE0"/>
    <w:rsid w:val="00582919"/>
    <w:rsid w:val="00582DDA"/>
    <w:rsid w:val="0058491B"/>
    <w:rsid w:val="00585EF0"/>
    <w:rsid w:val="0058642C"/>
    <w:rsid w:val="005878F3"/>
    <w:rsid w:val="00590289"/>
    <w:rsid w:val="00590624"/>
    <w:rsid w:val="0059126F"/>
    <w:rsid w:val="00591F5B"/>
    <w:rsid w:val="0059210A"/>
    <w:rsid w:val="00592337"/>
    <w:rsid w:val="005928BD"/>
    <w:rsid w:val="00592F7F"/>
    <w:rsid w:val="005938A1"/>
    <w:rsid w:val="00594576"/>
    <w:rsid w:val="0059579B"/>
    <w:rsid w:val="00595D87"/>
    <w:rsid w:val="0059754B"/>
    <w:rsid w:val="00597C63"/>
    <w:rsid w:val="005A062D"/>
    <w:rsid w:val="005A06B7"/>
    <w:rsid w:val="005A12A5"/>
    <w:rsid w:val="005A1FA1"/>
    <w:rsid w:val="005A2CEA"/>
    <w:rsid w:val="005A4219"/>
    <w:rsid w:val="005A4478"/>
    <w:rsid w:val="005A5B39"/>
    <w:rsid w:val="005A6182"/>
    <w:rsid w:val="005A635C"/>
    <w:rsid w:val="005A6B8B"/>
    <w:rsid w:val="005A6FD0"/>
    <w:rsid w:val="005A7078"/>
    <w:rsid w:val="005B0491"/>
    <w:rsid w:val="005B18C9"/>
    <w:rsid w:val="005B1CB8"/>
    <w:rsid w:val="005B1FB5"/>
    <w:rsid w:val="005B357A"/>
    <w:rsid w:val="005B3DC5"/>
    <w:rsid w:val="005B4CC9"/>
    <w:rsid w:val="005B4D9E"/>
    <w:rsid w:val="005B4EA1"/>
    <w:rsid w:val="005B66B4"/>
    <w:rsid w:val="005B714A"/>
    <w:rsid w:val="005B7580"/>
    <w:rsid w:val="005B7809"/>
    <w:rsid w:val="005C1F0A"/>
    <w:rsid w:val="005C2BE0"/>
    <w:rsid w:val="005C3719"/>
    <w:rsid w:val="005C4440"/>
    <w:rsid w:val="005C4450"/>
    <w:rsid w:val="005C51F3"/>
    <w:rsid w:val="005C57F3"/>
    <w:rsid w:val="005C768D"/>
    <w:rsid w:val="005C76A4"/>
    <w:rsid w:val="005D1124"/>
    <w:rsid w:val="005D18A0"/>
    <w:rsid w:val="005D21C1"/>
    <w:rsid w:val="005D3EA4"/>
    <w:rsid w:val="005D4AB0"/>
    <w:rsid w:val="005D5719"/>
    <w:rsid w:val="005D6917"/>
    <w:rsid w:val="005D6BAB"/>
    <w:rsid w:val="005D6F75"/>
    <w:rsid w:val="005D74A2"/>
    <w:rsid w:val="005D789E"/>
    <w:rsid w:val="005E0D16"/>
    <w:rsid w:val="005E164A"/>
    <w:rsid w:val="005E2896"/>
    <w:rsid w:val="005E2B9C"/>
    <w:rsid w:val="005E324A"/>
    <w:rsid w:val="005E5008"/>
    <w:rsid w:val="005E7B79"/>
    <w:rsid w:val="005E7C83"/>
    <w:rsid w:val="005F008F"/>
    <w:rsid w:val="005F111D"/>
    <w:rsid w:val="005F1A3B"/>
    <w:rsid w:val="005F2395"/>
    <w:rsid w:val="005F2EA6"/>
    <w:rsid w:val="005F3A31"/>
    <w:rsid w:val="005F45BF"/>
    <w:rsid w:val="005F4CC9"/>
    <w:rsid w:val="005F5BC9"/>
    <w:rsid w:val="005F69A3"/>
    <w:rsid w:val="005F785E"/>
    <w:rsid w:val="005F7F17"/>
    <w:rsid w:val="006016E0"/>
    <w:rsid w:val="0060186B"/>
    <w:rsid w:val="006024FC"/>
    <w:rsid w:val="006025C4"/>
    <w:rsid w:val="00602661"/>
    <w:rsid w:val="0060313C"/>
    <w:rsid w:val="00603D03"/>
    <w:rsid w:val="00603FB4"/>
    <w:rsid w:val="0060725D"/>
    <w:rsid w:val="00610822"/>
    <w:rsid w:val="00610C47"/>
    <w:rsid w:val="00611001"/>
    <w:rsid w:val="00611955"/>
    <w:rsid w:val="006123A5"/>
    <w:rsid w:val="00613032"/>
    <w:rsid w:val="00614444"/>
    <w:rsid w:val="006151DD"/>
    <w:rsid w:val="00615D11"/>
    <w:rsid w:val="00616753"/>
    <w:rsid w:val="00617648"/>
    <w:rsid w:val="00617786"/>
    <w:rsid w:val="006204DC"/>
    <w:rsid w:val="0062167E"/>
    <w:rsid w:val="0062175E"/>
    <w:rsid w:val="006217F8"/>
    <w:rsid w:val="00622A6E"/>
    <w:rsid w:val="00622CF6"/>
    <w:rsid w:val="00622D11"/>
    <w:rsid w:val="0062474F"/>
    <w:rsid w:val="00625871"/>
    <w:rsid w:val="00625A9D"/>
    <w:rsid w:val="00625F62"/>
    <w:rsid w:val="0062680A"/>
    <w:rsid w:val="00626D17"/>
    <w:rsid w:val="00627266"/>
    <w:rsid w:val="00627897"/>
    <w:rsid w:val="00630650"/>
    <w:rsid w:val="00630E08"/>
    <w:rsid w:val="00631C13"/>
    <w:rsid w:val="00631F0B"/>
    <w:rsid w:val="00631FBA"/>
    <w:rsid w:val="0063267A"/>
    <w:rsid w:val="006331DA"/>
    <w:rsid w:val="006339F1"/>
    <w:rsid w:val="00636D9C"/>
    <w:rsid w:val="00637E75"/>
    <w:rsid w:val="00640AFE"/>
    <w:rsid w:val="006411FB"/>
    <w:rsid w:val="00642478"/>
    <w:rsid w:val="00642BAD"/>
    <w:rsid w:val="006435D7"/>
    <w:rsid w:val="00644674"/>
    <w:rsid w:val="00644C6A"/>
    <w:rsid w:val="00645890"/>
    <w:rsid w:val="00645F39"/>
    <w:rsid w:val="00646C10"/>
    <w:rsid w:val="0064740D"/>
    <w:rsid w:val="006506DC"/>
    <w:rsid w:val="00650DD5"/>
    <w:rsid w:val="00650DFD"/>
    <w:rsid w:val="00650FDE"/>
    <w:rsid w:val="0065167B"/>
    <w:rsid w:val="00651A4E"/>
    <w:rsid w:val="0065261D"/>
    <w:rsid w:val="0065325A"/>
    <w:rsid w:val="006536B9"/>
    <w:rsid w:val="00653BBB"/>
    <w:rsid w:val="0065400B"/>
    <w:rsid w:val="00655528"/>
    <w:rsid w:val="006558CF"/>
    <w:rsid w:val="006559D1"/>
    <w:rsid w:val="00655BBE"/>
    <w:rsid w:val="00656382"/>
    <w:rsid w:val="0065686E"/>
    <w:rsid w:val="00656E94"/>
    <w:rsid w:val="00657568"/>
    <w:rsid w:val="006577EA"/>
    <w:rsid w:val="00657FBA"/>
    <w:rsid w:val="006601A7"/>
    <w:rsid w:val="00660615"/>
    <w:rsid w:val="00660898"/>
    <w:rsid w:val="00661C37"/>
    <w:rsid w:val="00662DEC"/>
    <w:rsid w:val="00663852"/>
    <w:rsid w:val="00663A9F"/>
    <w:rsid w:val="00663D5A"/>
    <w:rsid w:val="00664BC7"/>
    <w:rsid w:val="00665907"/>
    <w:rsid w:val="00665995"/>
    <w:rsid w:val="00667029"/>
    <w:rsid w:val="006679FD"/>
    <w:rsid w:val="00667A4D"/>
    <w:rsid w:val="006718A9"/>
    <w:rsid w:val="00671AB6"/>
    <w:rsid w:val="00671EE2"/>
    <w:rsid w:val="006737EA"/>
    <w:rsid w:val="00673B65"/>
    <w:rsid w:val="00673E85"/>
    <w:rsid w:val="006743CD"/>
    <w:rsid w:val="0067548D"/>
    <w:rsid w:val="00677E73"/>
    <w:rsid w:val="006805A5"/>
    <w:rsid w:val="00681452"/>
    <w:rsid w:val="0068153E"/>
    <w:rsid w:val="00682C83"/>
    <w:rsid w:val="006836A6"/>
    <w:rsid w:val="0068527D"/>
    <w:rsid w:val="006857E9"/>
    <w:rsid w:val="00686962"/>
    <w:rsid w:val="00686EC1"/>
    <w:rsid w:val="00686F26"/>
    <w:rsid w:val="00690D5B"/>
    <w:rsid w:val="006919A9"/>
    <w:rsid w:val="0069229B"/>
    <w:rsid w:val="00692CA1"/>
    <w:rsid w:val="006951D0"/>
    <w:rsid w:val="00695BEC"/>
    <w:rsid w:val="00695D68"/>
    <w:rsid w:val="006964E6"/>
    <w:rsid w:val="0069689D"/>
    <w:rsid w:val="00696B01"/>
    <w:rsid w:val="00696C04"/>
    <w:rsid w:val="00696CCA"/>
    <w:rsid w:val="006974A3"/>
    <w:rsid w:val="00697B2E"/>
    <w:rsid w:val="00697C99"/>
    <w:rsid w:val="00697DF7"/>
    <w:rsid w:val="006A000E"/>
    <w:rsid w:val="006A0620"/>
    <w:rsid w:val="006A1481"/>
    <w:rsid w:val="006A1A97"/>
    <w:rsid w:val="006A2785"/>
    <w:rsid w:val="006A3037"/>
    <w:rsid w:val="006A4067"/>
    <w:rsid w:val="006A48FA"/>
    <w:rsid w:val="006B035A"/>
    <w:rsid w:val="006B06C9"/>
    <w:rsid w:val="006B078D"/>
    <w:rsid w:val="006B302E"/>
    <w:rsid w:val="006B4116"/>
    <w:rsid w:val="006B43E7"/>
    <w:rsid w:val="006B48E5"/>
    <w:rsid w:val="006B6DC8"/>
    <w:rsid w:val="006C1117"/>
    <w:rsid w:val="006C239D"/>
    <w:rsid w:val="006C255F"/>
    <w:rsid w:val="006C262A"/>
    <w:rsid w:val="006C2E9A"/>
    <w:rsid w:val="006C4692"/>
    <w:rsid w:val="006C47E9"/>
    <w:rsid w:val="006C5A21"/>
    <w:rsid w:val="006C6921"/>
    <w:rsid w:val="006C6A15"/>
    <w:rsid w:val="006D07CE"/>
    <w:rsid w:val="006D0CF6"/>
    <w:rsid w:val="006D0ED5"/>
    <w:rsid w:val="006D1D21"/>
    <w:rsid w:val="006D22F8"/>
    <w:rsid w:val="006D24AB"/>
    <w:rsid w:val="006D269F"/>
    <w:rsid w:val="006D324E"/>
    <w:rsid w:val="006D559F"/>
    <w:rsid w:val="006D6A02"/>
    <w:rsid w:val="006D6E0E"/>
    <w:rsid w:val="006D6E75"/>
    <w:rsid w:val="006D7362"/>
    <w:rsid w:val="006E0FE7"/>
    <w:rsid w:val="006E2485"/>
    <w:rsid w:val="006E3B0A"/>
    <w:rsid w:val="006E71B2"/>
    <w:rsid w:val="006E7617"/>
    <w:rsid w:val="006F05B0"/>
    <w:rsid w:val="006F1625"/>
    <w:rsid w:val="006F2522"/>
    <w:rsid w:val="006F2FE0"/>
    <w:rsid w:val="006F34CF"/>
    <w:rsid w:val="006F6319"/>
    <w:rsid w:val="006F784B"/>
    <w:rsid w:val="007000F0"/>
    <w:rsid w:val="00701FBD"/>
    <w:rsid w:val="007023D6"/>
    <w:rsid w:val="00702BC1"/>
    <w:rsid w:val="00703776"/>
    <w:rsid w:val="00703979"/>
    <w:rsid w:val="00703A62"/>
    <w:rsid w:val="00703D02"/>
    <w:rsid w:val="00703D38"/>
    <w:rsid w:val="00703EFD"/>
    <w:rsid w:val="00704989"/>
    <w:rsid w:val="007063D9"/>
    <w:rsid w:val="0071102E"/>
    <w:rsid w:val="00711149"/>
    <w:rsid w:val="00711ACA"/>
    <w:rsid w:val="00712468"/>
    <w:rsid w:val="00712DBB"/>
    <w:rsid w:val="00715320"/>
    <w:rsid w:val="00715E94"/>
    <w:rsid w:val="00715EA5"/>
    <w:rsid w:val="00715F25"/>
    <w:rsid w:val="00716193"/>
    <w:rsid w:val="00716792"/>
    <w:rsid w:val="007169BE"/>
    <w:rsid w:val="007175C4"/>
    <w:rsid w:val="00717795"/>
    <w:rsid w:val="007206D7"/>
    <w:rsid w:val="00722812"/>
    <w:rsid w:val="007230F4"/>
    <w:rsid w:val="00723DD8"/>
    <w:rsid w:val="00724352"/>
    <w:rsid w:val="00724BFC"/>
    <w:rsid w:val="007262BA"/>
    <w:rsid w:val="00727419"/>
    <w:rsid w:val="007275A0"/>
    <w:rsid w:val="00730033"/>
    <w:rsid w:val="007335F9"/>
    <w:rsid w:val="00733747"/>
    <w:rsid w:val="00733EC1"/>
    <w:rsid w:val="007357E9"/>
    <w:rsid w:val="007362E5"/>
    <w:rsid w:val="00736B79"/>
    <w:rsid w:val="00737035"/>
    <w:rsid w:val="00737231"/>
    <w:rsid w:val="0073763B"/>
    <w:rsid w:val="00740398"/>
    <w:rsid w:val="0074045C"/>
    <w:rsid w:val="00740816"/>
    <w:rsid w:val="00740FAA"/>
    <w:rsid w:val="0074245E"/>
    <w:rsid w:val="00743B34"/>
    <w:rsid w:val="00743F8B"/>
    <w:rsid w:val="007444F2"/>
    <w:rsid w:val="007453BA"/>
    <w:rsid w:val="0074673F"/>
    <w:rsid w:val="00746D9A"/>
    <w:rsid w:val="00747205"/>
    <w:rsid w:val="00747C38"/>
    <w:rsid w:val="00747E54"/>
    <w:rsid w:val="0075079B"/>
    <w:rsid w:val="007510A3"/>
    <w:rsid w:val="00751A51"/>
    <w:rsid w:val="00752799"/>
    <w:rsid w:val="00753A2B"/>
    <w:rsid w:val="00754E79"/>
    <w:rsid w:val="00756533"/>
    <w:rsid w:val="00756640"/>
    <w:rsid w:val="00756A71"/>
    <w:rsid w:val="00757139"/>
    <w:rsid w:val="007579DC"/>
    <w:rsid w:val="007604D3"/>
    <w:rsid w:val="0076075A"/>
    <w:rsid w:val="00760B34"/>
    <w:rsid w:val="00760D4A"/>
    <w:rsid w:val="007613F4"/>
    <w:rsid w:val="0076152F"/>
    <w:rsid w:val="0076286F"/>
    <w:rsid w:val="00764011"/>
    <w:rsid w:val="007643BD"/>
    <w:rsid w:val="00765149"/>
    <w:rsid w:val="007655B4"/>
    <w:rsid w:val="007656E6"/>
    <w:rsid w:val="007658CE"/>
    <w:rsid w:val="0076680E"/>
    <w:rsid w:val="00766FB7"/>
    <w:rsid w:val="0077028C"/>
    <w:rsid w:val="0077082C"/>
    <w:rsid w:val="00775581"/>
    <w:rsid w:val="00776A61"/>
    <w:rsid w:val="00776AB8"/>
    <w:rsid w:val="00781026"/>
    <w:rsid w:val="007811D5"/>
    <w:rsid w:val="00781A94"/>
    <w:rsid w:val="0078225C"/>
    <w:rsid w:val="00783443"/>
    <w:rsid w:val="0078348F"/>
    <w:rsid w:val="00786957"/>
    <w:rsid w:val="007872C6"/>
    <w:rsid w:val="007901DE"/>
    <w:rsid w:val="00790246"/>
    <w:rsid w:val="00790514"/>
    <w:rsid w:val="0079248D"/>
    <w:rsid w:val="0079305F"/>
    <w:rsid w:val="00793EDA"/>
    <w:rsid w:val="00794FF5"/>
    <w:rsid w:val="00795A4A"/>
    <w:rsid w:val="0079679E"/>
    <w:rsid w:val="007A0081"/>
    <w:rsid w:val="007A0116"/>
    <w:rsid w:val="007A01E6"/>
    <w:rsid w:val="007A187D"/>
    <w:rsid w:val="007A1A7C"/>
    <w:rsid w:val="007A1D74"/>
    <w:rsid w:val="007A25E5"/>
    <w:rsid w:val="007A27C4"/>
    <w:rsid w:val="007A2A23"/>
    <w:rsid w:val="007A2D10"/>
    <w:rsid w:val="007A46DC"/>
    <w:rsid w:val="007A47BA"/>
    <w:rsid w:val="007A73C2"/>
    <w:rsid w:val="007A7DD5"/>
    <w:rsid w:val="007B008D"/>
    <w:rsid w:val="007B0D97"/>
    <w:rsid w:val="007B13B1"/>
    <w:rsid w:val="007B19B6"/>
    <w:rsid w:val="007B218F"/>
    <w:rsid w:val="007B2FCE"/>
    <w:rsid w:val="007B409A"/>
    <w:rsid w:val="007B4230"/>
    <w:rsid w:val="007B43A2"/>
    <w:rsid w:val="007B5032"/>
    <w:rsid w:val="007B6D75"/>
    <w:rsid w:val="007B73B0"/>
    <w:rsid w:val="007B7908"/>
    <w:rsid w:val="007B7B30"/>
    <w:rsid w:val="007B7C6F"/>
    <w:rsid w:val="007B7E53"/>
    <w:rsid w:val="007C229B"/>
    <w:rsid w:val="007C32BA"/>
    <w:rsid w:val="007C4193"/>
    <w:rsid w:val="007C562B"/>
    <w:rsid w:val="007C5DA0"/>
    <w:rsid w:val="007C5F2B"/>
    <w:rsid w:val="007C5FEB"/>
    <w:rsid w:val="007C6D30"/>
    <w:rsid w:val="007D09CA"/>
    <w:rsid w:val="007D0A82"/>
    <w:rsid w:val="007D1424"/>
    <w:rsid w:val="007D22AA"/>
    <w:rsid w:val="007D4346"/>
    <w:rsid w:val="007D44DB"/>
    <w:rsid w:val="007D5F3C"/>
    <w:rsid w:val="007D6138"/>
    <w:rsid w:val="007D669F"/>
    <w:rsid w:val="007D6AC6"/>
    <w:rsid w:val="007D6D05"/>
    <w:rsid w:val="007D72CF"/>
    <w:rsid w:val="007D77EA"/>
    <w:rsid w:val="007E0472"/>
    <w:rsid w:val="007E06B5"/>
    <w:rsid w:val="007E28ED"/>
    <w:rsid w:val="007E3503"/>
    <w:rsid w:val="007E3D90"/>
    <w:rsid w:val="007E421C"/>
    <w:rsid w:val="007E6639"/>
    <w:rsid w:val="007E6666"/>
    <w:rsid w:val="007E68FF"/>
    <w:rsid w:val="007E6E45"/>
    <w:rsid w:val="007E73FB"/>
    <w:rsid w:val="007F04A1"/>
    <w:rsid w:val="007F0EC5"/>
    <w:rsid w:val="007F1B3B"/>
    <w:rsid w:val="007F1D6B"/>
    <w:rsid w:val="007F2034"/>
    <w:rsid w:val="007F2CA5"/>
    <w:rsid w:val="007F3DEE"/>
    <w:rsid w:val="007F4AF3"/>
    <w:rsid w:val="007F5DE9"/>
    <w:rsid w:val="007F5EE1"/>
    <w:rsid w:val="007F5F73"/>
    <w:rsid w:val="007F63DC"/>
    <w:rsid w:val="007F6537"/>
    <w:rsid w:val="007F71D7"/>
    <w:rsid w:val="007F757A"/>
    <w:rsid w:val="007F768A"/>
    <w:rsid w:val="008007D2"/>
    <w:rsid w:val="008022D3"/>
    <w:rsid w:val="008023CE"/>
    <w:rsid w:val="00802FDC"/>
    <w:rsid w:val="0080370C"/>
    <w:rsid w:val="00803AA6"/>
    <w:rsid w:val="00803C64"/>
    <w:rsid w:val="00806626"/>
    <w:rsid w:val="00806FD1"/>
    <w:rsid w:val="008071B0"/>
    <w:rsid w:val="008071DD"/>
    <w:rsid w:val="00810428"/>
    <w:rsid w:val="00810A77"/>
    <w:rsid w:val="00815B04"/>
    <w:rsid w:val="00815DB5"/>
    <w:rsid w:val="00816CB6"/>
    <w:rsid w:val="00817A3A"/>
    <w:rsid w:val="00817CB8"/>
    <w:rsid w:val="00820A7E"/>
    <w:rsid w:val="00821E6F"/>
    <w:rsid w:val="00825D6B"/>
    <w:rsid w:val="008269F8"/>
    <w:rsid w:val="00826A4A"/>
    <w:rsid w:val="00826BAD"/>
    <w:rsid w:val="00827560"/>
    <w:rsid w:val="008315D3"/>
    <w:rsid w:val="00831EDF"/>
    <w:rsid w:val="008321A0"/>
    <w:rsid w:val="008327AE"/>
    <w:rsid w:val="008336D6"/>
    <w:rsid w:val="00833E61"/>
    <w:rsid w:val="00834770"/>
    <w:rsid w:val="00835583"/>
    <w:rsid w:val="00837C80"/>
    <w:rsid w:val="008400EE"/>
    <w:rsid w:val="0084025A"/>
    <w:rsid w:val="0084064D"/>
    <w:rsid w:val="0084068A"/>
    <w:rsid w:val="00841800"/>
    <w:rsid w:val="00844785"/>
    <w:rsid w:val="00844A01"/>
    <w:rsid w:val="00844EDD"/>
    <w:rsid w:val="008474AE"/>
    <w:rsid w:val="0085047C"/>
    <w:rsid w:val="00850542"/>
    <w:rsid w:val="00850673"/>
    <w:rsid w:val="008510FA"/>
    <w:rsid w:val="0085113E"/>
    <w:rsid w:val="0085135D"/>
    <w:rsid w:val="00851EC1"/>
    <w:rsid w:val="00852485"/>
    <w:rsid w:val="00852988"/>
    <w:rsid w:val="00853284"/>
    <w:rsid w:val="00853D01"/>
    <w:rsid w:val="00854F37"/>
    <w:rsid w:val="0085628D"/>
    <w:rsid w:val="00856508"/>
    <w:rsid w:val="00856EFA"/>
    <w:rsid w:val="00857166"/>
    <w:rsid w:val="008578C5"/>
    <w:rsid w:val="00857F1D"/>
    <w:rsid w:val="0086007D"/>
    <w:rsid w:val="00860A87"/>
    <w:rsid w:val="00861608"/>
    <w:rsid w:val="00865E0C"/>
    <w:rsid w:val="00866E02"/>
    <w:rsid w:val="00867673"/>
    <w:rsid w:val="00867A2E"/>
    <w:rsid w:val="00872306"/>
    <w:rsid w:val="00872F0C"/>
    <w:rsid w:val="008735B3"/>
    <w:rsid w:val="00873F03"/>
    <w:rsid w:val="008761EF"/>
    <w:rsid w:val="0087665A"/>
    <w:rsid w:val="00876761"/>
    <w:rsid w:val="00877C83"/>
    <w:rsid w:val="00880093"/>
    <w:rsid w:val="00882706"/>
    <w:rsid w:val="00882798"/>
    <w:rsid w:val="00882CCE"/>
    <w:rsid w:val="00882E39"/>
    <w:rsid w:val="00883316"/>
    <w:rsid w:val="00883C2A"/>
    <w:rsid w:val="0088403C"/>
    <w:rsid w:val="0088451E"/>
    <w:rsid w:val="008859B8"/>
    <w:rsid w:val="0088673B"/>
    <w:rsid w:val="00886975"/>
    <w:rsid w:val="008872CF"/>
    <w:rsid w:val="0089093A"/>
    <w:rsid w:val="0089149F"/>
    <w:rsid w:val="00891FA1"/>
    <w:rsid w:val="00892A96"/>
    <w:rsid w:val="00893995"/>
    <w:rsid w:val="00893D73"/>
    <w:rsid w:val="00894173"/>
    <w:rsid w:val="0089473C"/>
    <w:rsid w:val="00894B32"/>
    <w:rsid w:val="0089506A"/>
    <w:rsid w:val="00895CE8"/>
    <w:rsid w:val="0089681A"/>
    <w:rsid w:val="008968B5"/>
    <w:rsid w:val="0089734D"/>
    <w:rsid w:val="008A0E18"/>
    <w:rsid w:val="008A1DFA"/>
    <w:rsid w:val="008A422B"/>
    <w:rsid w:val="008A467B"/>
    <w:rsid w:val="008A4827"/>
    <w:rsid w:val="008A4D47"/>
    <w:rsid w:val="008A7482"/>
    <w:rsid w:val="008A7B7E"/>
    <w:rsid w:val="008B0E2D"/>
    <w:rsid w:val="008B1086"/>
    <w:rsid w:val="008B118D"/>
    <w:rsid w:val="008B119B"/>
    <w:rsid w:val="008B143A"/>
    <w:rsid w:val="008B2170"/>
    <w:rsid w:val="008B2E4F"/>
    <w:rsid w:val="008B2F78"/>
    <w:rsid w:val="008B2FEB"/>
    <w:rsid w:val="008B39E9"/>
    <w:rsid w:val="008B47DC"/>
    <w:rsid w:val="008B4E8B"/>
    <w:rsid w:val="008B517E"/>
    <w:rsid w:val="008B53FF"/>
    <w:rsid w:val="008B63ED"/>
    <w:rsid w:val="008C0CBE"/>
    <w:rsid w:val="008C0E22"/>
    <w:rsid w:val="008C31C9"/>
    <w:rsid w:val="008C475B"/>
    <w:rsid w:val="008C4871"/>
    <w:rsid w:val="008C528A"/>
    <w:rsid w:val="008C55F4"/>
    <w:rsid w:val="008C5D8F"/>
    <w:rsid w:val="008C5E82"/>
    <w:rsid w:val="008C7717"/>
    <w:rsid w:val="008C7EFC"/>
    <w:rsid w:val="008D0827"/>
    <w:rsid w:val="008D11EA"/>
    <w:rsid w:val="008D1F24"/>
    <w:rsid w:val="008D2FF0"/>
    <w:rsid w:val="008D36CF"/>
    <w:rsid w:val="008D5E8C"/>
    <w:rsid w:val="008D70DC"/>
    <w:rsid w:val="008D7360"/>
    <w:rsid w:val="008E0089"/>
    <w:rsid w:val="008E149F"/>
    <w:rsid w:val="008E14FA"/>
    <w:rsid w:val="008E1B4F"/>
    <w:rsid w:val="008E1FF7"/>
    <w:rsid w:val="008E7EAD"/>
    <w:rsid w:val="008F1B19"/>
    <w:rsid w:val="008F2602"/>
    <w:rsid w:val="008F40C5"/>
    <w:rsid w:val="008F416E"/>
    <w:rsid w:val="008F4A53"/>
    <w:rsid w:val="008F4AAB"/>
    <w:rsid w:val="008F4E61"/>
    <w:rsid w:val="008F513F"/>
    <w:rsid w:val="008F5322"/>
    <w:rsid w:val="008F5F7B"/>
    <w:rsid w:val="008F5FE6"/>
    <w:rsid w:val="008F6306"/>
    <w:rsid w:val="008F63B1"/>
    <w:rsid w:val="008F64F3"/>
    <w:rsid w:val="008F673D"/>
    <w:rsid w:val="008F67F9"/>
    <w:rsid w:val="008F6CAD"/>
    <w:rsid w:val="009007AB"/>
    <w:rsid w:val="00900E51"/>
    <w:rsid w:val="00901C49"/>
    <w:rsid w:val="00902006"/>
    <w:rsid w:val="009026EC"/>
    <w:rsid w:val="00902DFE"/>
    <w:rsid w:val="009039A9"/>
    <w:rsid w:val="00903FB5"/>
    <w:rsid w:val="00904D2E"/>
    <w:rsid w:val="009059B1"/>
    <w:rsid w:val="00906495"/>
    <w:rsid w:val="009065FC"/>
    <w:rsid w:val="00906A30"/>
    <w:rsid w:val="00906A81"/>
    <w:rsid w:val="009077E7"/>
    <w:rsid w:val="00912455"/>
    <w:rsid w:val="00912AFF"/>
    <w:rsid w:val="0091378A"/>
    <w:rsid w:val="00915C0D"/>
    <w:rsid w:val="009160B8"/>
    <w:rsid w:val="0091638A"/>
    <w:rsid w:val="00916833"/>
    <w:rsid w:val="00916863"/>
    <w:rsid w:val="009168CA"/>
    <w:rsid w:val="00917C76"/>
    <w:rsid w:val="00917E6D"/>
    <w:rsid w:val="00921468"/>
    <w:rsid w:val="00922635"/>
    <w:rsid w:val="00922C55"/>
    <w:rsid w:val="00923881"/>
    <w:rsid w:val="00923E28"/>
    <w:rsid w:val="00925E91"/>
    <w:rsid w:val="00926101"/>
    <w:rsid w:val="0092757C"/>
    <w:rsid w:val="0093032B"/>
    <w:rsid w:val="0093097B"/>
    <w:rsid w:val="009323EB"/>
    <w:rsid w:val="009325B0"/>
    <w:rsid w:val="009329B6"/>
    <w:rsid w:val="00934413"/>
    <w:rsid w:val="009346D5"/>
    <w:rsid w:val="0093560C"/>
    <w:rsid w:val="0093628A"/>
    <w:rsid w:val="0093654A"/>
    <w:rsid w:val="0093655C"/>
    <w:rsid w:val="00936701"/>
    <w:rsid w:val="00936704"/>
    <w:rsid w:val="0093721D"/>
    <w:rsid w:val="00937881"/>
    <w:rsid w:val="00937BD0"/>
    <w:rsid w:val="00940D85"/>
    <w:rsid w:val="00941BCE"/>
    <w:rsid w:val="009427C9"/>
    <w:rsid w:val="00944888"/>
    <w:rsid w:val="00946E07"/>
    <w:rsid w:val="0095119D"/>
    <w:rsid w:val="00951738"/>
    <w:rsid w:val="00951915"/>
    <w:rsid w:val="00951DC0"/>
    <w:rsid w:val="0095212B"/>
    <w:rsid w:val="009528B0"/>
    <w:rsid w:val="00952FA9"/>
    <w:rsid w:val="00953255"/>
    <w:rsid w:val="00953957"/>
    <w:rsid w:val="00953CCE"/>
    <w:rsid w:val="009545C3"/>
    <w:rsid w:val="00954C58"/>
    <w:rsid w:val="00956719"/>
    <w:rsid w:val="009575C5"/>
    <w:rsid w:val="00957BC5"/>
    <w:rsid w:val="00960C57"/>
    <w:rsid w:val="009627C6"/>
    <w:rsid w:val="00964B5B"/>
    <w:rsid w:val="0096501E"/>
    <w:rsid w:val="00965386"/>
    <w:rsid w:val="009654CF"/>
    <w:rsid w:val="0096598B"/>
    <w:rsid w:val="00965DDB"/>
    <w:rsid w:val="00966AB1"/>
    <w:rsid w:val="00966F63"/>
    <w:rsid w:val="009671F2"/>
    <w:rsid w:val="00967411"/>
    <w:rsid w:val="00971D45"/>
    <w:rsid w:val="00972D38"/>
    <w:rsid w:val="0097384E"/>
    <w:rsid w:val="00973A8E"/>
    <w:rsid w:val="00973B0B"/>
    <w:rsid w:val="00974929"/>
    <w:rsid w:val="00974ABD"/>
    <w:rsid w:val="00974D7F"/>
    <w:rsid w:val="00974E73"/>
    <w:rsid w:val="00975F6E"/>
    <w:rsid w:val="009761C7"/>
    <w:rsid w:val="009765BE"/>
    <w:rsid w:val="009767E5"/>
    <w:rsid w:val="00976CB8"/>
    <w:rsid w:val="009778B0"/>
    <w:rsid w:val="009778E7"/>
    <w:rsid w:val="009811B1"/>
    <w:rsid w:val="00981CA4"/>
    <w:rsid w:val="00982D15"/>
    <w:rsid w:val="009835FF"/>
    <w:rsid w:val="0098453C"/>
    <w:rsid w:val="00985269"/>
    <w:rsid w:val="009860BF"/>
    <w:rsid w:val="009876AD"/>
    <w:rsid w:val="00987801"/>
    <w:rsid w:val="00990486"/>
    <w:rsid w:val="00990CE1"/>
    <w:rsid w:val="00990F32"/>
    <w:rsid w:val="0099116C"/>
    <w:rsid w:val="00991810"/>
    <w:rsid w:val="009926C6"/>
    <w:rsid w:val="009927E6"/>
    <w:rsid w:val="009938D3"/>
    <w:rsid w:val="00993B22"/>
    <w:rsid w:val="00993F7E"/>
    <w:rsid w:val="009945B9"/>
    <w:rsid w:val="00996B0C"/>
    <w:rsid w:val="009977AB"/>
    <w:rsid w:val="00997ACB"/>
    <w:rsid w:val="009A0233"/>
    <w:rsid w:val="009A06A1"/>
    <w:rsid w:val="009A2488"/>
    <w:rsid w:val="009A2C64"/>
    <w:rsid w:val="009A337D"/>
    <w:rsid w:val="009A3996"/>
    <w:rsid w:val="009A3DBE"/>
    <w:rsid w:val="009A4956"/>
    <w:rsid w:val="009A5371"/>
    <w:rsid w:val="009A6003"/>
    <w:rsid w:val="009A6144"/>
    <w:rsid w:val="009A63AA"/>
    <w:rsid w:val="009A6CC5"/>
    <w:rsid w:val="009B1316"/>
    <w:rsid w:val="009B17DA"/>
    <w:rsid w:val="009B24A7"/>
    <w:rsid w:val="009B3A4A"/>
    <w:rsid w:val="009B3E03"/>
    <w:rsid w:val="009B4AE0"/>
    <w:rsid w:val="009B4E3B"/>
    <w:rsid w:val="009B5B36"/>
    <w:rsid w:val="009B7514"/>
    <w:rsid w:val="009B7B24"/>
    <w:rsid w:val="009B7B58"/>
    <w:rsid w:val="009C079E"/>
    <w:rsid w:val="009C0B7C"/>
    <w:rsid w:val="009C0C3A"/>
    <w:rsid w:val="009C17F3"/>
    <w:rsid w:val="009C2FC5"/>
    <w:rsid w:val="009C53B3"/>
    <w:rsid w:val="009C5740"/>
    <w:rsid w:val="009C5F88"/>
    <w:rsid w:val="009C6825"/>
    <w:rsid w:val="009C7260"/>
    <w:rsid w:val="009C7515"/>
    <w:rsid w:val="009C791F"/>
    <w:rsid w:val="009C7C9A"/>
    <w:rsid w:val="009D0508"/>
    <w:rsid w:val="009D4B28"/>
    <w:rsid w:val="009D5277"/>
    <w:rsid w:val="009D5E76"/>
    <w:rsid w:val="009D5FBB"/>
    <w:rsid w:val="009D60D9"/>
    <w:rsid w:val="009E0C6A"/>
    <w:rsid w:val="009E110C"/>
    <w:rsid w:val="009E1242"/>
    <w:rsid w:val="009E3868"/>
    <w:rsid w:val="009E689F"/>
    <w:rsid w:val="009E7B56"/>
    <w:rsid w:val="009E7BED"/>
    <w:rsid w:val="009F0E31"/>
    <w:rsid w:val="009F2176"/>
    <w:rsid w:val="009F287F"/>
    <w:rsid w:val="009F2906"/>
    <w:rsid w:val="009F2BDB"/>
    <w:rsid w:val="009F2BE9"/>
    <w:rsid w:val="009F2E9D"/>
    <w:rsid w:val="009F3CAC"/>
    <w:rsid w:val="009F3E1A"/>
    <w:rsid w:val="009F445C"/>
    <w:rsid w:val="009F54D9"/>
    <w:rsid w:val="009F55CA"/>
    <w:rsid w:val="009F584C"/>
    <w:rsid w:val="009F5921"/>
    <w:rsid w:val="009F72BF"/>
    <w:rsid w:val="009F7B39"/>
    <w:rsid w:val="00A0066C"/>
    <w:rsid w:val="00A01094"/>
    <w:rsid w:val="00A01783"/>
    <w:rsid w:val="00A017F3"/>
    <w:rsid w:val="00A02193"/>
    <w:rsid w:val="00A02D8D"/>
    <w:rsid w:val="00A032A0"/>
    <w:rsid w:val="00A03A41"/>
    <w:rsid w:val="00A040D8"/>
    <w:rsid w:val="00A04172"/>
    <w:rsid w:val="00A05275"/>
    <w:rsid w:val="00A052AD"/>
    <w:rsid w:val="00A06B73"/>
    <w:rsid w:val="00A06B8B"/>
    <w:rsid w:val="00A07374"/>
    <w:rsid w:val="00A10412"/>
    <w:rsid w:val="00A11109"/>
    <w:rsid w:val="00A111F2"/>
    <w:rsid w:val="00A118FB"/>
    <w:rsid w:val="00A11A65"/>
    <w:rsid w:val="00A11FD4"/>
    <w:rsid w:val="00A12688"/>
    <w:rsid w:val="00A129F0"/>
    <w:rsid w:val="00A12F5D"/>
    <w:rsid w:val="00A1344E"/>
    <w:rsid w:val="00A13C9E"/>
    <w:rsid w:val="00A145F0"/>
    <w:rsid w:val="00A202EF"/>
    <w:rsid w:val="00A2099D"/>
    <w:rsid w:val="00A210C8"/>
    <w:rsid w:val="00A217E2"/>
    <w:rsid w:val="00A218A8"/>
    <w:rsid w:val="00A22482"/>
    <w:rsid w:val="00A22F65"/>
    <w:rsid w:val="00A22FD9"/>
    <w:rsid w:val="00A236B6"/>
    <w:rsid w:val="00A249F1"/>
    <w:rsid w:val="00A25201"/>
    <w:rsid w:val="00A25A0D"/>
    <w:rsid w:val="00A2661A"/>
    <w:rsid w:val="00A27D70"/>
    <w:rsid w:val="00A27ED1"/>
    <w:rsid w:val="00A27FEA"/>
    <w:rsid w:val="00A30A71"/>
    <w:rsid w:val="00A30E65"/>
    <w:rsid w:val="00A32423"/>
    <w:rsid w:val="00A33E02"/>
    <w:rsid w:val="00A3538E"/>
    <w:rsid w:val="00A35448"/>
    <w:rsid w:val="00A35D08"/>
    <w:rsid w:val="00A364F0"/>
    <w:rsid w:val="00A36B80"/>
    <w:rsid w:val="00A41E2A"/>
    <w:rsid w:val="00A4240D"/>
    <w:rsid w:val="00A42925"/>
    <w:rsid w:val="00A42DFF"/>
    <w:rsid w:val="00A4427F"/>
    <w:rsid w:val="00A44724"/>
    <w:rsid w:val="00A44CC2"/>
    <w:rsid w:val="00A45B27"/>
    <w:rsid w:val="00A45C09"/>
    <w:rsid w:val="00A46256"/>
    <w:rsid w:val="00A478D2"/>
    <w:rsid w:val="00A50A41"/>
    <w:rsid w:val="00A5107F"/>
    <w:rsid w:val="00A526C4"/>
    <w:rsid w:val="00A54052"/>
    <w:rsid w:val="00A55A7A"/>
    <w:rsid w:val="00A561E9"/>
    <w:rsid w:val="00A57A20"/>
    <w:rsid w:val="00A57C34"/>
    <w:rsid w:val="00A621E9"/>
    <w:rsid w:val="00A630A8"/>
    <w:rsid w:val="00A641B7"/>
    <w:rsid w:val="00A6550B"/>
    <w:rsid w:val="00A65E3F"/>
    <w:rsid w:val="00A664F4"/>
    <w:rsid w:val="00A66EC3"/>
    <w:rsid w:val="00A67E38"/>
    <w:rsid w:val="00A704DD"/>
    <w:rsid w:val="00A709B6"/>
    <w:rsid w:val="00A70F8E"/>
    <w:rsid w:val="00A724F0"/>
    <w:rsid w:val="00A72B95"/>
    <w:rsid w:val="00A72EBE"/>
    <w:rsid w:val="00A73166"/>
    <w:rsid w:val="00A7324E"/>
    <w:rsid w:val="00A7340E"/>
    <w:rsid w:val="00A73440"/>
    <w:rsid w:val="00A7363E"/>
    <w:rsid w:val="00A73A1C"/>
    <w:rsid w:val="00A73E84"/>
    <w:rsid w:val="00A740B0"/>
    <w:rsid w:val="00A8024A"/>
    <w:rsid w:val="00A80DBA"/>
    <w:rsid w:val="00A81DDF"/>
    <w:rsid w:val="00A830B4"/>
    <w:rsid w:val="00A84917"/>
    <w:rsid w:val="00A86737"/>
    <w:rsid w:val="00A867C9"/>
    <w:rsid w:val="00A870A8"/>
    <w:rsid w:val="00A90E0F"/>
    <w:rsid w:val="00A90F64"/>
    <w:rsid w:val="00A916FC"/>
    <w:rsid w:val="00A91CA6"/>
    <w:rsid w:val="00A9231C"/>
    <w:rsid w:val="00A935E2"/>
    <w:rsid w:val="00A94021"/>
    <w:rsid w:val="00A942CE"/>
    <w:rsid w:val="00A947C6"/>
    <w:rsid w:val="00A94FBD"/>
    <w:rsid w:val="00A97744"/>
    <w:rsid w:val="00AA0D3E"/>
    <w:rsid w:val="00AA20D8"/>
    <w:rsid w:val="00AA2339"/>
    <w:rsid w:val="00AA38F4"/>
    <w:rsid w:val="00AA521D"/>
    <w:rsid w:val="00AA5E74"/>
    <w:rsid w:val="00AA60BB"/>
    <w:rsid w:val="00AA67A0"/>
    <w:rsid w:val="00AA67DA"/>
    <w:rsid w:val="00AA7132"/>
    <w:rsid w:val="00AB05B9"/>
    <w:rsid w:val="00AB10C3"/>
    <w:rsid w:val="00AB3706"/>
    <w:rsid w:val="00AB3C64"/>
    <w:rsid w:val="00AB434D"/>
    <w:rsid w:val="00AB455B"/>
    <w:rsid w:val="00AB4E1B"/>
    <w:rsid w:val="00AB5467"/>
    <w:rsid w:val="00AB6619"/>
    <w:rsid w:val="00AB6BBD"/>
    <w:rsid w:val="00AB79BC"/>
    <w:rsid w:val="00AB7CC7"/>
    <w:rsid w:val="00AC091B"/>
    <w:rsid w:val="00AC1A64"/>
    <w:rsid w:val="00AC3A23"/>
    <w:rsid w:val="00AC428E"/>
    <w:rsid w:val="00AC4807"/>
    <w:rsid w:val="00AC5175"/>
    <w:rsid w:val="00AC5B47"/>
    <w:rsid w:val="00AC5DDA"/>
    <w:rsid w:val="00AC6138"/>
    <w:rsid w:val="00AC7315"/>
    <w:rsid w:val="00AC763E"/>
    <w:rsid w:val="00AC7BA3"/>
    <w:rsid w:val="00AD093E"/>
    <w:rsid w:val="00AD0B57"/>
    <w:rsid w:val="00AD167E"/>
    <w:rsid w:val="00AD206C"/>
    <w:rsid w:val="00AD36A9"/>
    <w:rsid w:val="00AD4F96"/>
    <w:rsid w:val="00AD5375"/>
    <w:rsid w:val="00AD6445"/>
    <w:rsid w:val="00AD7BAE"/>
    <w:rsid w:val="00AE00F8"/>
    <w:rsid w:val="00AE0EDC"/>
    <w:rsid w:val="00AE1DEC"/>
    <w:rsid w:val="00AE293F"/>
    <w:rsid w:val="00AE3355"/>
    <w:rsid w:val="00AE3CCE"/>
    <w:rsid w:val="00AE4714"/>
    <w:rsid w:val="00AE5144"/>
    <w:rsid w:val="00AE6C68"/>
    <w:rsid w:val="00AF0892"/>
    <w:rsid w:val="00AF098F"/>
    <w:rsid w:val="00AF0EA0"/>
    <w:rsid w:val="00AF207C"/>
    <w:rsid w:val="00AF331E"/>
    <w:rsid w:val="00AF34D7"/>
    <w:rsid w:val="00AF3F0F"/>
    <w:rsid w:val="00AF49E8"/>
    <w:rsid w:val="00AF4B1F"/>
    <w:rsid w:val="00AF5635"/>
    <w:rsid w:val="00AF5637"/>
    <w:rsid w:val="00AF5E7E"/>
    <w:rsid w:val="00AF76F9"/>
    <w:rsid w:val="00B01EC2"/>
    <w:rsid w:val="00B032A8"/>
    <w:rsid w:val="00B0408E"/>
    <w:rsid w:val="00B04448"/>
    <w:rsid w:val="00B04C6C"/>
    <w:rsid w:val="00B0564B"/>
    <w:rsid w:val="00B070C8"/>
    <w:rsid w:val="00B073AC"/>
    <w:rsid w:val="00B073EB"/>
    <w:rsid w:val="00B07861"/>
    <w:rsid w:val="00B07E2C"/>
    <w:rsid w:val="00B07E2E"/>
    <w:rsid w:val="00B07FBA"/>
    <w:rsid w:val="00B10002"/>
    <w:rsid w:val="00B11ABC"/>
    <w:rsid w:val="00B11BEA"/>
    <w:rsid w:val="00B13C36"/>
    <w:rsid w:val="00B13D74"/>
    <w:rsid w:val="00B1436E"/>
    <w:rsid w:val="00B1462E"/>
    <w:rsid w:val="00B149B9"/>
    <w:rsid w:val="00B15A23"/>
    <w:rsid w:val="00B15A2F"/>
    <w:rsid w:val="00B17D22"/>
    <w:rsid w:val="00B205F1"/>
    <w:rsid w:val="00B20AFB"/>
    <w:rsid w:val="00B226A6"/>
    <w:rsid w:val="00B22DB4"/>
    <w:rsid w:val="00B231BE"/>
    <w:rsid w:val="00B23E17"/>
    <w:rsid w:val="00B241CC"/>
    <w:rsid w:val="00B24F4B"/>
    <w:rsid w:val="00B25A2C"/>
    <w:rsid w:val="00B266F1"/>
    <w:rsid w:val="00B26A25"/>
    <w:rsid w:val="00B26C05"/>
    <w:rsid w:val="00B26E4D"/>
    <w:rsid w:val="00B27FFA"/>
    <w:rsid w:val="00B30D8E"/>
    <w:rsid w:val="00B31C5C"/>
    <w:rsid w:val="00B32811"/>
    <w:rsid w:val="00B33621"/>
    <w:rsid w:val="00B33A12"/>
    <w:rsid w:val="00B351F4"/>
    <w:rsid w:val="00B36301"/>
    <w:rsid w:val="00B366A5"/>
    <w:rsid w:val="00B36F76"/>
    <w:rsid w:val="00B372D7"/>
    <w:rsid w:val="00B402D4"/>
    <w:rsid w:val="00B40C53"/>
    <w:rsid w:val="00B414F3"/>
    <w:rsid w:val="00B4224F"/>
    <w:rsid w:val="00B4231C"/>
    <w:rsid w:val="00B4272B"/>
    <w:rsid w:val="00B43843"/>
    <w:rsid w:val="00B43D02"/>
    <w:rsid w:val="00B44746"/>
    <w:rsid w:val="00B466F5"/>
    <w:rsid w:val="00B46833"/>
    <w:rsid w:val="00B4770F"/>
    <w:rsid w:val="00B51656"/>
    <w:rsid w:val="00B5431E"/>
    <w:rsid w:val="00B553A3"/>
    <w:rsid w:val="00B555A8"/>
    <w:rsid w:val="00B55AED"/>
    <w:rsid w:val="00B560B2"/>
    <w:rsid w:val="00B5664D"/>
    <w:rsid w:val="00B56C95"/>
    <w:rsid w:val="00B61AE8"/>
    <w:rsid w:val="00B62644"/>
    <w:rsid w:val="00B63B45"/>
    <w:rsid w:val="00B63F35"/>
    <w:rsid w:val="00B63F71"/>
    <w:rsid w:val="00B643A9"/>
    <w:rsid w:val="00B644E2"/>
    <w:rsid w:val="00B66194"/>
    <w:rsid w:val="00B6629A"/>
    <w:rsid w:val="00B671CC"/>
    <w:rsid w:val="00B67FD3"/>
    <w:rsid w:val="00B716DE"/>
    <w:rsid w:val="00B718A3"/>
    <w:rsid w:val="00B7259A"/>
    <w:rsid w:val="00B72935"/>
    <w:rsid w:val="00B72E5F"/>
    <w:rsid w:val="00B738F0"/>
    <w:rsid w:val="00B73AE4"/>
    <w:rsid w:val="00B73C8F"/>
    <w:rsid w:val="00B74B4A"/>
    <w:rsid w:val="00B753D7"/>
    <w:rsid w:val="00B75F79"/>
    <w:rsid w:val="00B77427"/>
    <w:rsid w:val="00B7761B"/>
    <w:rsid w:val="00B778A1"/>
    <w:rsid w:val="00B77AE0"/>
    <w:rsid w:val="00B802A3"/>
    <w:rsid w:val="00B811D4"/>
    <w:rsid w:val="00B813F7"/>
    <w:rsid w:val="00B81B0F"/>
    <w:rsid w:val="00B821D2"/>
    <w:rsid w:val="00B83143"/>
    <w:rsid w:val="00B831BC"/>
    <w:rsid w:val="00B8423C"/>
    <w:rsid w:val="00B843CD"/>
    <w:rsid w:val="00B91AB6"/>
    <w:rsid w:val="00B9277A"/>
    <w:rsid w:val="00B93FB9"/>
    <w:rsid w:val="00B94E1E"/>
    <w:rsid w:val="00B950E2"/>
    <w:rsid w:val="00B95260"/>
    <w:rsid w:val="00BA0118"/>
    <w:rsid w:val="00BA0F40"/>
    <w:rsid w:val="00BA0FE2"/>
    <w:rsid w:val="00BA1B26"/>
    <w:rsid w:val="00BA2A66"/>
    <w:rsid w:val="00BA3719"/>
    <w:rsid w:val="00BA3DAF"/>
    <w:rsid w:val="00BA50A2"/>
    <w:rsid w:val="00BA5235"/>
    <w:rsid w:val="00BA5E7B"/>
    <w:rsid w:val="00BA675C"/>
    <w:rsid w:val="00BA69F9"/>
    <w:rsid w:val="00BA7FA5"/>
    <w:rsid w:val="00BB11D3"/>
    <w:rsid w:val="00BB282C"/>
    <w:rsid w:val="00BB44A4"/>
    <w:rsid w:val="00BB5731"/>
    <w:rsid w:val="00BB5CCB"/>
    <w:rsid w:val="00BB6376"/>
    <w:rsid w:val="00BB7627"/>
    <w:rsid w:val="00BC0411"/>
    <w:rsid w:val="00BC0F06"/>
    <w:rsid w:val="00BC0F33"/>
    <w:rsid w:val="00BC1006"/>
    <w:rsid w:val="00BC1948"/>
    <w:rsid w:val="00BC1B0C"/>
    <w:rsid w:val="00BC23D3"/>
    <w:rsid w:val="00BC2BCD"/>
    <w:rsid w:val="00BC2DFD"/>
    <w:rsid w:val="00BC386D"/>
    <w:rsid w:val="00BC4944"/>
    <w:rsid w:val="00BC5B38"/>
    <w:rsid w:val="00BC696E"/>
    <w:rsid w:val="00BC6F5B"/>
    <w:rsid w:val="00BD0CED"/>
    <w:rsid w:val="00BD1172"/>
    <w:rsid w:val="00BD15C3"/>
    <w:rsid w:val="00BD2986"/>
    <w:rsid w:val="00BD4AE4"/>
    <w:rsid w:val="00BD56A1"/>
    <w:rsid w:val="00BD5B47"/>
    <w:rsid w:val="00BD5CF8"/>
    <w:rsid w:val="00BD5ECC"/>
    <w:rsid w:val="00BD75DF"/>
    <w:rsid w:val="00BD77BD"/>
    <w:rsid w:val="00BD7CA4"/>
    <w:rsid w:val="00BE0284"/>
    <w:rsid w:val="00BE12FE"/>
    <w:rsid w:val="00BE1343"/>
    <w:rsid w:val="00BE16C4"/>
    <w:rsid w:val="00BE1C31"/>
    <w:rsid w:val="00BE27C9"/>
    <w:rsid w:val="00BE3120"/>
    <w:rsid w:val="00BE392D"/>
    <w:rsid w:val="00BE3F3A"/>
    <w:rsid w:val="00BE43D6"/>
    <w:rsid w:val="00BE4437"/>
    <w:rsid w:val="00BE4711"/>
    <w:rsid w:val="00BE5C41"/>
    <w:rsid w:val="00BE5DC9"/>
    <w:rsid w:val="00BE619F"/>
    <w:rsid w:val="00BE6E45"/>
    <w:rsid w:val="00BE7333"/>
    <w:rsid w:val="00BE734A"/>
    <w:rsid w:val="00BE73E4"/>
    <w:rsid w:val="00BF0089"/>
    <w:rsid w:val="00BF12D7"/>
    <w:rsid w:val="00BF236E"/>
    <w:rsid w:val="00BF30C2"/>
    <w:rsid w:val="00BF36DC"/>
    <w:rsid w:val="00BF437F"/>
    <w:rsid w:val="00BF4ACF"/>
    <w:rsid w:val="00BF4B2D"/>
    <w:rsid w:val="00BF4BE9"/>
    <w:rsid w:val="00BF4D24"/>
    <w:rsid w:val="00BF5167"/>
    <w:rsid w:val="00BF55CF"/>
    <w:rsid w:val="00BF5C52"/>
    <w:rsid w:val="00BF5C67"/>
    <w:rsid w:val="00BF61C7"/>
    <w:rsid w:val="00BF652E"/>
    <w:rsid w:val="00BF7490"/>
    <w:rsid w:val="00C00509"/>
    <w:rsid w:val="00C0176F"/>
    <w:rsid w:val="00C0201B"/>
    <w:rsid w:val="00C02134"/>
    <w:rsid w:val="00C02226"/>
    <w:rsid w:val="00C02715"/>
    <w:rsid w:val="00C04724"/>
    <w:rsid w:val="00C04E7D"/>
    <w:rsid w:val="00C05476"/>
    <w:rsid w:val="00C06023"/>
    <w:rsid w:val="00C061A9"/>
    <w:rsid w:val="00C062CC"/>
    <w:rsid w:val="00C0658A"/>
    <w:rsid w:val="00C071C2"/>
    <w:rsid w:val="00C0722F"/>
    <w:rsid w:val="00C114BB"/>
    <w:rsid w:val="00C14C74"/>
    <w:rsid w:val="00C1553E"/>
    <w:rsid w:val="00C15A0A"/>
    <w:rsid w:val="00C15FD1"/>
    <w:rsid w:val="00C1745C"/>
    <w:rsid w:val="00C179CE"/>
    <w:rsid w:val="00C20180"/>
    <w:rsid w:val="00C203FF"/>
    <w:rsid w:val="00C21B8A"/>
    <w:rsid w:val="00C21DE3"/>
    <w:rsid w:val="00C231A1"/>
    <w:rsid w:val="00C23C14"/>
    <w:rsid w:val="00C24861"/>
    <w:rsid w:val="00C251FA"/>
    <w:rsid w:val="00C2560F"/>
    <w:rsid w:val="00C26055"/>
    <w:rsid w:val="00C26155"/>
    <w:rsid w:val="00C2748C"/>
    <w:rsid w:val="00C27ED6"/>
    <w:rsid w:val="00C30532"/>
    <w:rsid w:val="00C30849"/>
    <w:rsid w:val="00C30F7C"/>
    <w:rsid w:val="00C31833"/>
    <w:rsid w:val="00C31E39"/>
    <w:rsid w:val="00C34BDD"/>
    <w:rsid w:val="00C34D63"/>
    <w:rsid w:val="00C3520C"/>
    <w:rsid w:val="00C36321"/>
    <w:rsid w:val="00C36E54"/>
    <w:rsid w:val="00C37D4B"/>
    <w:rsid w:val="00C40013"/>
    <w:rsid w:val="00C40FF5"/>
    <w:rsid w:val="00C42C92"/>
    <w:rsid w:val="00C43823"/>
    <w:rsid w:val="00C4415F"/>
    <w:rsid w:val="00C44204"/>
    <w:rsid w:val="00C4454A"/>
    <w:rsid w:val="00C453B0"/>
    <w:rsid w:val="00C45AFA"/>
    <w:rsid w:val="00C45F64"/>
    <w:rsid w:val="00C470E9"/>
    <w:rsid w:val="00C472B5"/>
    <w:rsid w:val="00C47315"/>
    <w:rsid w:val="00C47768"/>
    <w:rsid w:val="00C4788F"/>
    <w:rsid w:val="00C50BF0"/>
    <w:rsid w:val="00C51759"/>
    <w:rsid w:val="00C518BA"/>
    <w:rsid w:val="00C51E75"/>
    <w:rsid w:val="00C522A1"/>
    <w:rsid w:val="00C52E2A"/>
    <w:rsid w:val="00C53F70"/>
    <w:rsid w:val="00C5408A"/>
    <w:rsid w:val="00C5492F"/>
    <w:rsid w:val="00C566F9"/>
    <w:rsid w:val="00C56700"/>
    <w:rsid w:val="00C57DF1"/>
    <w:rsid w:val="00C61483"/>
    <w:rsid w:val="00C61615"/>
    <w:rsid w:val="00C6388C"/>
    <w:rsid w:val="00C63AA8"/>
    <w:rsid w:val="00C64908"/>
    <w:rsid w:val="00C64B45"/>
    <w:rsid w:val="00C66386"/>
    <w:rsid w:val="00C66C97"/>
    <w:rsid w:val="00C6714F"/>
    <w:rsid w:val="00C71F44"/>
    <w:rsid w:val="00C72096"/>
    <w:rsid w:val="00C726A6"/>
    <w:rsid w:val="00C72E64"/>
    <w:rsid w:val="00C737FE"/>
    <w:rsid w:val="00C74CE5"/>
    <w:rsid w:val="00C7574E"/>
    <w:rsid w:val="00C75888"/>
    <w:rsid w:val="00C75DF4"/>
    <w:rsid w:val="00C76929"/>
    <w:rsid w:val="00C77271"/>
    <w:rsid w:val="00C772EF"/>
    <w:rsid w:val="00C77963"/>
    <w:rsid w:val="00C802BB"/>
    <w:rsid w:val="00C81C43"/>
    <w:rsid w:val="00C829ED"/>
    <w:rsid w:val="00C83850"/>
    <w:rsid w:val="00C84484"/>
    <w:rsid w:val="00C84ED3"/>
    <w:rsid w:val="00C8524A"/>
    <w:rsid w:val="00C85252"/>
    <w:rsid w:val="00C8529B"/>
    <w:rsid w:val="00C8635B"/>
    <w:rsid w:val="00C86C21"/>
    <w:rsid w:val="00C86C5C"/>
    <w:rsid w:val="00C871DE"/>
    <w:rsid w:val="00C87282"/>
    <w:rsid w:val="00C8739B"/>
    <w:rsid w:val="00C87EE8"/>
    <w:rsid w:val="00C906A2"/>
    <w:rsid w:val="00C9188C"/>
    <w:rsid w:val="00C91D4C"/>
    <w:rsid w:val="00C9238D"/>
    <w:rsid w:val="00C928D5"/>
    <w:rsid w:val="00C92DD1"/>
    <w:rsid w:val="00C94835"/>
    <w:rsid w:val="00C94A8E"/>
    <w:rsid w:val="00C9513C"/>
    <w:rsid w:val="00C9633A"/>
    <w:rsid w:val="00C9660B"/>
    <w:rsid w:val="00C969A7"/>
    <w:rsid w:val="00C96E5C"/>
    <w:rsid w:val="00C977E6"/>
    <w:rsid w:val="00C97C22"/>
    <w:rsid w:val="00C97CB8"/>
    <w:rsid w:val="00CA1577"/>
    <w:rsid w:val="00CA17FF"/>
    <w:rsid w:val="00CA1D87"/>
    <w:rsid w:val="00CA1EC7"/>
    <w:rsid w:val="00CA2336"/>
    <w:rsid w:val="00CA26EE"/>
    <w:rsid w:val="00CA32C1"/>
    <w:rsid w:val="00CA33A6"/>
    <w:rsid w:val="00CA4419"/>
    <w:rsid w:val="00CA4A73"/>
    <w:rsid w:val="00CA6313"/>
    <w:rsid w:val="00CA6A1A"/>
    <w:rsid w:val="00CA7770"/>
    <w:rsid w:val="00CB0494"/>
    <w:rsid w:val="00CB1BD8"/>
    <w:rsid w:val="00CB270B"/>
    <w:rsid w:val="00CB2E16"/>
    <w:rsid w:val="00CB31AD"/>
    <w:rsid w:val="00CB417F"/>
    <w:rsid w:val="00CB48D1"/>
    <w:rsid w:val="00CB4AAC"/>
    <w:rsid w:val="00CB4C53"/>
    <w:rsid w:val="00CB52BF"/>
    <w:rsid w:val="00CB5362"/>
    <w:rsid w:val="00CB5ADF"/>
    <w:rsid w:val="00CB5E3C"/>
    <w:rsid w:val="00CB62E6"/>
    <w:rsid w:val="00CB6C13"/>
    <w:rsid w:val="00CB7773"/>
    <w:rsid w:val="00CB7DC9"/>
    <w:rsid w:val="00CC015B"/>
    <w:rsid w:val="00CC0479"/>
    <w:rsid w:val="00CC04FF"/>
    <w:rsid w:val="00CC18AF"/>
    <w:rsid w:val="00CC1F2D"/>
    <w:rsid w:val="00CC21D5"/>
    <w:rsid w:val="00CC28C1"/>
    <w:rsid w:val="00CC31F3"/>
    <w:rsid w:val="00CC3438"/>
    <w:rsid w:val="00CC3D0B"/>
    <w:rsid w:val="00CC40F7"/>
    <w:rsid w:val="00CC4360"/>
    <w:rsid w:val="00CC49A6"/>
    <w:rsid w:val="00CC5D52"/>
    <w:rsid w:val="00CC5FC5"/>
    <w:rsid w:val="00CC6162"/>
    <w:rsid w:val="00CC6A31"/>
    <w:rsid w:val="00CC7157"/>
    <w:rsid w:val="00CC764B"/>
    <w:rsid w:val="00CC79C1"/>
    <w:rsid w:val="00CD0924"/>
    <w:rsid w:val="00CD3B1F"/>
    <w:rsid w:val="00CD4405"/>
    <w:rsid w:val="00CD4B7D"/>
    <w:rsid w:val="00CD527A"/>
    <w:rsid w:val="00CD542E"/>
    <w:rsid w:val="00CD5EE4"/>
    <w:rsid w:val="00CD7247"/>
    <w:rsid w:val="00CD75E0"/>
    <w:rsid w:val="00CE0FF0"/>
    <w:rsid w:val="00CE19DF"/>
    <w:rsid w:val="00CE1D4C"/>
    <w:rsid w:val="00CE1D9D"/>
    <w:rsid w:val="00CE2935"/>
    <w:rsid w:val="00CE4B93"/>
    <w:rsid w:val="00CE51E9"/>
    <w:rsid w:val="00CE577E"/>
    <w:rsid w:val="00CE5A32"/>
    <w:rsid w:val="00CE688D"/>
    <w:rsid w:val="00CE6A60"/>
    <w:rsid w:val="00CE710D"/>
    <w:rsid w:val="00CE7F1C"/>
    <w:rsid w:val="00CF0BA6"/>
    <w:rsid w:val="00CF1023"/>
    <w:rsid w:val="00CF11BA"/>
    <w:rsid w:val="00CF11D8"/>
    <w:rsid w:val="00CF1391"/>
    <w:rsid w:val="00CF146C"/>
    <w:rsid w:val="00CF1819"/>
    <w:rsid w:val="00CF1C55"/>
    <w:rsid w:val="00CF227D"/>
    <w:rsid w:val="00CF229F"/>
    <w:rsid w:val="00CF22E5"/>
    <w:rsid w:val="00CF2D7F"/>
    <w:rsid w:val="00CF398C"/>
    <w:rsid w:val="00CF431E"/>
    <w:rsid w:val="00CF46BF"/>
    <w:rsid w:val="00CF4822"/>
    <w:rsid w:val="00CF4903"/>
    <w:rsid w:val="00CF53DD"/>
    <w:rsid w:val="00CF5C3B"/>
    <w:rsid w:val="00CF7869"/>
    <w:rsid w:val="00D01BB8"/>
    <w:rsid w:val="00D038CF"/>
    <w:rsid w:val="00D047BE"/>
    <w:rsid w:val="00D05B0D"/>
    <w:rsid w:val="00D05C9C"/>
    <w:rsid w:val="00D073A4"/>
    <w:rsid w:val="00D07D29"/>
    <w:rsid w:val="00D07EC1"/>
    <w:rsid w:val="00D10384"/>
    <w:rsid w:val="00D1066B"/>
    <w:rsid w:val="00D106BA"/>
    <w:rsid w:val="00D10DF2"/>
    <w:rsid w:val="00D11A43"/>
    <w:rsid w:val="00D12A15"/>
    <w:rsid w:val="00D13C82"/>
    <w:rsid w:val="00D13EF0"/>
    <w:rsid w:val="00D14132"/>
    <w:rsid w:val="00D14244"/>
    <w:rsid w:val="00D14408"/>
    <w:rsid w:val="00D14562"/>
    <w:rsid w:val="00D150E8"/>
    <w:rsid w:val="00D159D4"/>
    <w:rsid w:val="00D15E82"/>
    <w:rsid w:val="00D16380"/>
    <w:rsid w:val="00D16466"/>
    <w:rsid w:val="00D20032"/>
    <w:rsid w:val="00D20EE8"/>
    <w:rsid w:val="00D211BA"/>
    <w:rsid w:val="00D21289"/>
    <w:rsid w:val="00D214A5"/>
    <w:rsid w:val="00D22B50"/>
    <w:rsid w:val="00D2421B"/>
    <w:rsid w:val="00D25374"/>
    <w:rsid w:val="00D25C78"/>
    <w:rsid w:val="00D26EAF"/>
    <w:rsid w:val="00D278F8"/>
    <w:rsid w:val="00D30485"/>
    <w:rsid w:val="00D30FBF"/>
    <w:rsid w:val="00D31841"/>
    <w:rsid w:val="00D32371"/>
    <w:rsid w:val="00D32E79"/>
    <w:rsid w:val="00D33816"/>
    <w:rsid w:val="00D33FB6"/>
    <w:rsid w:val="00D34378"/>
    <w:rsid w:val="00D3521B"/>
    <w:rsid w:val="00D362EF"/>
    <w:rsid w:val="00D36BB8"/>
    <w:rsid w:val="00D372D5"/>
    <w:rsid w:val="00D37FBD"/>
    <w:rsid w:val="00D4149A"/>
    <w:rsid w:val="00D42815"/>
    <w:rsid w:val="00D42D40"/>
    <w:rsid w:val="00D44F75"/>
    <w:rsid w:val="00D4639D"/>
    <w:rsid w:val="00D463E9"/>
    <w:rsid w:val="00D47876"/>
    <w:rsid w:val="00D478EC"/>
    <w:rsid w:val="00D50132"/>
    <w:rsid w:val="00D50372"/>
    <w:rsid w:val="00D505B1"/>
    <w:rsid w:val="00D5293F"/>
    <w:rsid w:val="00D529A5"/>
    <w:rsid w:val="00D537E4"/>
    <w:rsid w:val="00D5381F"/>
    <w:rsid w:val="00D53FD5"/>
    <w:rsid w:val="00D54793"/>
    <w:rsid w:val="00D54920"/>
    <w:rsid w:val="00D55D6F"/>
    <w:rsid w:val="00D55D72"/>
    <w:rsid w:val="00D56280"/>
    <w:rsid w:val="00D579A9"/>
    <w:rsid w:val="00D600B2"/>
    <w:rsid w:val="00D60B36"/>
    <w:rsid w:val="00D610E9"/>
    <w:rsid w:val="00D61BB9"/>
    <w:rsid w:val="00D623F2"/>
    <w:rsid w:val="00D640CC"/>
    <w:rsid w:val="00D646D7"/>
    <w:rsid w:val="00D65AE4"/>
    <w:rsid w:val="00D667CA"/>
    <w:rsid w:val="00D6723C"/>
    <w:rsid w:val="00D67379"/>
    <w:rsid w:val="00D67989"/>
    <w:rsid w:val="00D67B5A"/>
    <w:rsid w:val="00D70FFA"/>
    <w:rsid w:val="00D718AC"/>
    <w:rsid w:val="00D71A46"/>
    <w:rsid w:val="00D72282"/>
    <w:rsid w:val="00D72619"/>
    <w:rsid w:val="00D72EDF"/>
    <w:rsid w:val="00D73277"/>
    <w:rsid w:val="00D73495"/>
    <w:rsid w:val="00D73B60"/>
    <w:rsid w:val="00D74D4D"/>
    <w:rsid w:val="00D764D4"/>
    <w:rsid w:val="00D77907"/>
    <w:rsid w:val="00D81261"/>
    <w:rsid w:val="00D81DCF"/>
    <w:rsid w:val="00D8272E"/>
    <w:rsid w:val="00D82A88"/>
    <w:rsid w:val="00D832E8"/>
    <w:rsid w:val="00D860EB"/>
    <w:rsid w:val="00D86920"/>
    <w:rsid w:val="00D87F3F"/>
    <w:rsid w:val="00D90A75"/>
    <w:rsid w:val="00D90BBF"/>
    <w:rsid w:val="00D9145C"/>
    <w:rsid w:val="00D9292A"/>
    <w:rsid w:val="00D932D2"/>
    <w:rsid w:val="00D95406"/>
    <w:rsid w:val="00D95DEC"/>
    <w:rsid w:val="00D96327"/>
    <w:rsid w:val="00D9687F"/>
    <w:rsid w:val="00D975B4"/>
    <w:rsid w:val="00D977A4"/>
    <w:rsid w:val="00DA01C6"/>
    <w:rsid w:val="00DA184F"/>
    <w:rsid w:val="00DA2722"/>
    <w:rsid w:val="00DA2D69"/>
    <w:rsid w:val="00DA4869"/>
    <w:rsid w:val="00DA4CE2"/>
    <w:rsid w:val="00DA4ECE"/>
    <w:rsid w:val="00DA611C"/>
    <w:rsid w:val="00DA790C"/>
    <w:rsid w:val="00DB007A"/>
    <w:rsid w:val="00DB012B"/>
    <w:rsid w:val="00DB01D9"/>
    <w:rsid w:val="00DB073E"/>
    <w:rsid w:val="00DB0E4B"/>
    <w:rsid w:val="00DB12B5"/>
    <w:rsid w:val="00DB28AD"/>
    <w:rsid w:val="00DB3162"/>
    <w:rsid w:val="00DB33CE"/>
    <w:rsid w:val="00DB352B"/>
    <w:rsid w:val="00DB385A"/>
    <w:rsid w:val="00DB623E"/>
    <w:rsid w:val="00DB700B"/>
    <w:rsid w:val="00DB7124"/>
    <w:rsid w:val="00DC00F8"/>
    <w:rsid w:val="00DC0335"/>
    <w:rsid w:val="00DC1426"/>
    <w:rsid w:val="00DC15AE"/>
    <w:rsid w:val="00DC1B6F"/>
    <w:rsid w:val="00DC20B0"/>
    <w:rsid w:val="00DC2760"/>
    <w:rsid w:val="00DC37A3"/>
    <w:rsid w:val="00DC4129"/>
    <w:rsid w:val="00DC41C0"/>
    <w:rsid w:val="00DC46EF"/>
    <w:rsid w:val="00DC5932"/>
    <w:rsid w:val="00DD06FF"/>
    <w:rsid w:val="00DD0E4B"/>
    <w:rsid w:val="00DD15FC"/>
    <w:rsid w:val="00DD203A"/>
    <w:rsid w:val="00DD25A6"/>
    <w:rsid w:val="00DD3AEC"/>
    <w:rsid w:val="00DD5DB9"/>
    <w:rsid w:val="00DD66BB"/>
    <w:rsid w:val="00DD67A4"/>
    <w:rsid w:val="00DD7266"/>
    <w:rsid w:val="00DD7A7A"/>
    <w:rsid w:val="00DD7D8F"/>
    <w:rsid w:val="00DD7E2F"/>
    <w:rsid w:val="00DE04A0"/>
    <w:rsid w:val="00DE05C4"/>
    <w:rsid w:val="00DE1421"/>
    <w:rsid w:val="00DE19B8"/>
    <w:rsid w:val="00DE1CFD"/>
    <w:rsid w:val="00DE2256"/>
    <w:rsid w:val="00DE3B52"/>
    <w:rsid w:val="00DE40BA"/>
    <w:rsid w:val="00DE513E"/>
    <w:rsid w:val="00DE5269"/>
    <w:rsid w:val="00DE53F1"/>
    <w:rsid w:val="00DE5EFA"/>
    <w:rsid w:val="00DE64B1"/>
    <w:rsid w:val="00DE686D"/>
    <w:rsid w:val="00DF04AE"/>
    <w:rsid w:val="00DF1ADF"/>
    <w:rsid w:val="00DF2AF7"/>
    <w:rsid w:val="00DF3510"/>
    <w:rsid w:val="00DF399A"/>
    <w:rsid w:val="00DF4962"/>
    <w:rsid w:val="00DF4A09"/>
    <w:rsid w:val="00DF4F15"/>
    <w:rsid w:val="00DF6420"/>
    <w:rsid w:val="00DF64BE"/>
    <w:rsid w:val="00DF65CB"/>
    <w:rsid w:val="00E00962"/>
    <w:rsid w:val="00E01F7A"/>
    <w:rsid w:val="00E024AD"/>
    <w:rsid w:val="00E02C61"/>
    <w:rsid w:val="00E03E71"/>
    <w:rsid w:val="00E03EDB"/>
    <w:rsid w:val="00E048E7"/>
    <w:rsid w:val="00E055AC"/>
    <w:rsid w:val="00E05BAF"/>
    <w:rsid w:val="00E068F9"/>
    <w:rsid w:val="00E12F50"/>
    <w:rsid w:val="00E135BB"/>
    <w:rsid w:val="00E139CB"/>
    <w:rsid w:val="00E15801"/>
    <w:rsid w:val="00E1587C"/>
    <w:rsid w:val="00E162D3"/>
    <w:rsid w:val="00E166C6"/>
    <w:rsid w:val="00E175C8"/>
    <w:rsid w:val="00E20874"/>
    <w:rsid w:val="00E2092F"/>
    <w:rsid w:val="00E20FCD"/>
    <w:rsid w:val="00E211E2"/>
    <w:rsid w:val="00E21294"/>
    <w:rsid w:val="00E21788"/>
    <w:rsid w:val="00E219F1"/>
    <w:rsid w:val="00E21B05"/>
    <w:rsid w:val="00E22991"/>
    <w:rsid w:val="00E22C82"/>
    <w:rsid w:val="00E230E7"/>
    <w:rsid w:val="00E236CE"/>
    <w:rsid w:val="00E24677"/>
    <w:rsid w:val="00E24F77"/>
    <w:rsid w:val="00E273AA"/>
    <w:rsid w:val="00E3140C"/>
    <w:rsid w:val="00E31D7A"/>
    <w:rsid w:val="00E337B0"/>
    <w:rsid w:val="00E35722"/>
    <w:rsid w:val="00E3702B"/>
    <w:rsid w:val="00E3723E"/>
    <w:rsid w:val="00E37972"/>
    <w:rsid w:val="00E41F96"/>
    <w:rsid w:val="00E4255C"/>
    <w:rsid w:val="00E42597"/>
    <w:rsid w:val="00E43795"/>
    <w:rsid w:val="00E43F62"/>
    <w:rsid w:val="00E447B8"/>
    <w:rsid w:val="00E4520A"/>
    <w:rsid w:val="00E452B7"/>
    <w:rsid w:val="00E45623"/>
    <w:rsid w:val="00E4592D"/>
    <w:rsid w:val="00E45DAC"/>
    <w:rsid w:val="00E46F0B"/>
    <w:rsid w:val="00E47F38"/>
    <w:rsid w:val="00E50293"/>
    <w:rsid w:val="00E50973"/>
    <w:rsid w:val="00E51400"/>
    <w:rsid w:val="00E5298C"/>
    <w:rsid w:val="00E53EFB"/>
    <w:rsid w:val="00E54324"/>
    <w:rsid w:val="00E56A6A"/>
    <w:rsid w:val="00E575C9"/>
    <w:rsid w:val="00E60767"/>
    <w:rsid w:val="00E60910"/>
    <w:rsid w:val="00E60C31"/>
    <w:rsid w:val="00E61745"/>
    <w:rsid w:val="00E62ED4"/>
    <w:rsid w:val="00E63BC3"/>
    <w:rsid w:val="00E64B9E"/>
    <w:rsid w:val="00E64F77"/>
    <w:rsid w:val="00E659FC"/>
    <w:rsid w:val="00E670E8"/>
    <w:rsid w:val="00E6799C"/>
    <w:rsid w:val="00E72B24"/>
    <w:rsid w:val="00E72B97"/>
    <w:rsid w:val="00E72E11"/>
    <w:rsid w:val="00E74EDA"/>
    <w:rsid w:val="00E75738"/>
    <w:rsid w:val="00E75820"/>
    <w:rsid w:val="00E75E19"/>
    <w:rsid w:val="00E76419"/>
    <w:rsid w:val="00E7730D"/>
    <w:rsid w:val="00E77324"/>
    <w:rsid w:val="00E77EA9"/>
    <w:rsid w:val="00E800DB"/>
    <w:rsid w:val="00E8136B"/>
    <w:rsid w:val="00E8187A"/>
    <w:rsid w:val="00E819B0"/>
    <w:rsid w:val="00E82AA3"/>
    <w:rsid w:val="00E82CBF"/>
    <w:rsid w:val="00E83172"/>
    <w:rsid w:val="00E83CEC"/>
    <w:rsid w:val="00E845E2"/>
    <w:rsid w:val="00E84940"/>
    <w:rsid w:val="00E850C8"/>
    <w:rsid w:val="00E8531E"/>
    <w:rsid w:val="00E857AB"/>
    <w:rsid w:val="00E86142"/>
    <w:rsid w:val="00E87A46"/>
    <w:rsid w:val="00E9090F"/>
    <w:rsid w:val="00E91F81"/>
    <w:rsid w:val="00E9202B"/>
    <w:rsid w:val="00E92886"/>
    <w:rsid w:val="00E9416B"/>
    <w:rsid w:val="00E94671"/>
    <w:rsid w:val="00E94F0D"/>
    <w:rsid w:val="00E9553B"/>
    <w:rsid w:val="00E95701"/>
    <w:rsid w:val="00E95B45"/>
    <w:rsid w:val="00E96DA5"/>
    <w:rsid w:val="00E977DF"/>
    <w:rsid w:val="00EA04FB"/>
    <w:rsid w:val="00EA1026"/>
    <w:rsid w:val="00EA1DD8"/>
    <w:rsid w:val="00EA20BF"/>
    <w:rsid w:val="00EA2F55"/>
    <w:rsid w:val="00EA36C4"/>
    <w:rsid w:val="00EA4152"/>
    <w:rsid w:val="00EA49CE"/>
    <w:rsid w:val="00EA7F92"/>
    <w:rsid w:val="00EB0ACA"/>
    <w:rsid w:val="00EB0F05"/>
    <w:rsid w:val="00EB207A"/>
    <w:rsid w:val="00EB209C"/>
    <w:rsid w:val="00EB270D"/>
    <w:rsid w:val="00EB380E"/>
    <w:rsid w:val="00EB47F4"/>
    <w:rsid w:val="00EB4F60"/>
    <w:rsid w:val="00EB5233"/>
    <w:rsid w:val="00EB5F21"/>
    <w:rsid w:val="00EB6345"/>
    <w:rsid w:val="00EB6D14"/>
    <w:rsid w:val="00EB7874"/>
    <w:rsid w:val="00EC0FAB"/>
    <w:rsid w:val="00EC1CF2"/>
    <w:rsid w:val="00EC22C9"/>
    <w:rsid w:val="00EC2F47"/>
    <w:rsid w:val="00EC42C6"/>
    <w:rsid w:val="00EC53D1"/>
    <w:rsid w:val="00EC69CF"/>
    <w:rsid w:val="00EC719F"/>
    <w:rsid w:val="00ED258A"/>
    <w:rsid w:val="00ED397B"/>
    <w:rsid w:val="00ED3B74"/>
    <w:rsid w:val="00ED3E92"/>
    <w:rsid w:val="00ED48F3"/>
    <w:rsid w:val="00ED518A"/>
    <w:rsid w:val="00ED6117"/>
    <w:rsid w:val="00ED722B"/>
    <w:rsid w:val="00ED7950"/>
    <w:rsid w:val="00ED7C23"/>
    <w:rsid w:val="00ED7C6E"/>
    <w:rsid w:val="00EE0CAE"/>
    <w:rsid w:val="00EE12A6"/>
    <w:rsid w:val="00EE2064"/>
    <w:rsid w:val="00EE2125"/>
    <w:rsid w:val="00EE32B1"/>
    <w:rsid w:val="00EE3E29"/>
    <w:rsid w:val="00EE40B3"/>
    <w:rsid w:val="00EE4591"/>
    <w:rsid w:val="00EE4D77"/>
    <w:rsid w:val="00EE4E24"/>
    <w:rsid w:val="00EE625C"/>
    <w:rsid w:val="00EE643B"/>
    <w:rsid w:val="00EE6B01"/>
    <w:rsid w:val="00EE6BE1"/>
    <w:rsid w:val="00EE70C2"/>
    <w:rsid w:val="00EE78D4"/>
    <w:rsid w:val="00EF00D0"/>
    <w:rsid w:val="00EF00D2"/>
    <w:rsid w:val="00EF12F1"/>
    <w:rsid w:val="00EF41AB"/>
    <w:rsid w:val="00EF486B"/>
    <w:rsid w:val="00EF504B"/>
    <w:rsid w:val="00EF5260"/>
    <w:rsid w:val="00EF5E8E"/>
    <w:rsid w:val="00EF64DC"/>
    <w:rsid w:val="00EF65AE"/>
    <w:rsid w:val="00EF77AF"/>
    <w:rsid w:val="00EF7EB1"/>
    <w:rsid w:val="00F00F5D"/>
    <w:rsid w:val="00F01AA7"/>
    <w:rsid w:val="00F036A8"/>
    <w:rsid w:val="00F037F2"/>
    <w:rsid w:val="00F038C1"/>
    <w:rsid w:val="00F03FEB"/>
    <w:rsid w:val="00F04493"/>
    <w:rsid w:val="00F04CD8"/>
    <w:rsid w:val="00F051C4"/>
    <w:rsid w:val="00F057C7"/>
    <w:rsid w:val="00F105C2"/>
    <w:rsid w:val="00F12393"/>
    <w:rsid w:val="00F129F9"/>
    <w:rsid w:val="00F13CDC"/>
    <w:rsid w:val="00F1478C"/>
    <w:rsid w:val="00F16A56"/>
    <w:rsid w:val="00F174D9"/>
    <w:rsid w:val="00F17AA9"/>
    <w:rsid w:val="00F17E33"/>
    <w:rsid w:val="00F20070"/>
    <w:rsid w:val="00F20377"/>
    <w:rsid w:val="00F214E0"/>
    <w:rsid w:val="00F22360"/>
    <w:rsid w:val="00F22760"/>
    <w:rsid w:val="00F22786"/>
    <w:rsid w:val="00F248FC"/>
    <w:rsid w:val="00F25FF6"/>
    <w:rsid w:val="00F277FF"/>
    <w:rsid w:val="00F27A78"/>
    <w:rsid w:val="00F31412"/>
    <w:rsid w:val="00F31595"/>
    <w:rsid w:val="00F3329F"/>
    <w:rsid w:val="00F34131"/>
    <w:rsid w:val="00F34A73"/>
    <w:rsid w:val="00F36CD3"/>
    <w:rsid w:val="00F37698"/>
    <w:rsid w:val="00F41264"/>
    <w:rsid w:val="00F41339"/>
    <w:rsid w:val="00F4196C"/>
    <w:rsid w:val="00F41A39"/>
    <w:rsid w:val="00F41CD0"/>
    <w:rsid w:val="00F41DE9"/>
    <w:rsid w:val="00F41F0B"/>
    <w:rsid w:val="00F41F48"/>
    <w:rsid w:val="00F42443"/>
    <w:rsid w:val="00F43843"/>
    <w:rsid w:val="00F44559"/>
    <w:rsid w:val="00F46335"/>
    <w:rsid w:val="00F46E23"/>
    <w:rsid w:val="00F4726D"/>
    <w:rsid w:val="00F475B2"/>
    <w:rsid w:val="00F47CA3"/>
    <w:rsid w:val="00F47DE0"/>
    <w:rsid w:val="00F47F0C"/>
    <w:rsid w:val="00F50447"/>
    <w:rsid w:val="00F5195A"/>
    <w:rsid w:val="00F51986"/>
    <w:rsid w:val="00F520D3"/>
    <w:rsid w:val="00F5251F"/>
    <w:rsid w:val="00F52846"/>
    <w:rsid w:val="00F532ED"/>
    <w:rsid w:val="00F53A23"/>
    <w:rsid w:val="00F54913"/>
    <w:rsid w:val="00F55D0A"/>
    <w:rsid w:val="00F56834"/>
    <w:rsid w:val="00F57873"/>
    <w:rsid w:val="00F57A45"/>
    <w:rsid w:val="00F6110C"/>
    <w:rsid w:val="00F6162B"/>
    <w:rsid w:val="00F61944"/>
    <w:rsid w:val="00F622DD"/>
    <w:rsid w:val="00F626B4"/>
    <w:rsid w:val="00F62884"/>
    <w:rsid w:val="00F63BB1"/>
    <w:rsid w:val="00F63F42"/>
    <w:rsid w:val="00F651B7"/>
    <w:rsid w:val="00F65EF0"/>
    <w:rsid w:val="00F666DC"/>
    <w:rsid w:val="00F677FD"/>
    <w:rsid w:val="00F709C6"/>
    <w:rsid w:val="00F71346"/>
    <w:rsid w:val="00F719D7"/>
    <w:rsid w:val="00F71E69"/>
    <w:rsid w:val="00F72254"/>
    <w:rsid w:val="00F72957"/>
    <w:rsid w:val="00F729E6"/>
    <w:rsid w:val="00F72B7A"/>
    <w:rsid w:val="00F732EC"/>
    <w:rsid w:val="00F75885"/>
    <w:rsid w:val="00F75B7F"/>
    <w:rsid w:val="00F76032"/>
    <w:rsid w:val="00F77D64"/>
    <w:rsid w:val="00F77DB6"/>
    <w:rsid w:val="00F77E00"/>
    <w:rsid w:val="00F81A8C"/>
    <w:rsid w:val="00F81DB1"/>
    <w:rsid w:val="00F82201"/>
    <w:rsid w:val="00F84C22"/>
    <w:rsid w:val="00F84FDA"/>
    <w:rsid w:val="00F85331"/>
    <w:rsid w:val="00F854C1"/>
    <w:rsid w:val="00F872B8"/>
    <w:rsid w:val="00F878F7"/>
    <w:rsid w:val="00F90591"/>
    <w:rsid w:val="00F90681"/>
    <w:rsid w:val="00F9121D"/>
    <w:rsid w:val="00F91449"/>
    <w:rsid w:val="00F94862"/>
    <w:rsid w:val="00F94D38"/>
    <w:rsid w:val="00F96ADD"/>
    <w:rsid w:val="00F96F95"/>
    <w:rsid w:val="00FA0FB6"/>
    <w:rsid w:val="00FA209F"/>
    <w:rsid w:val="00FA2819"/>
    <w:rsid w:val="00FA28CB"/>
    <w:rsid w:val="00FA2C51"/>
    <w:rsid w:val="00FA3633"/>
    <w:rsid w:val="00FA3711"/>
    <w:rsid w:val="00FA56BC"/>
    <w:rsid w:val="00FA61C4"/>
    <w:rsid w:val="00FA661B"/>
    <w:rsid w:val="00FA7596"/>
    <w:rsid w:val="00FB07E9"/>
    <w:rsid w:val="00FB0F93"/>
    <w:rsid w:val="00FB10AB"/>
    <w:rsid w:val="00FB115B"/>
    <w:rsid w:val="00FB1598"/>
    <w:rsid w:val="00FB1B86"/>
    <w:rsid w:val="00FB1B8B"/>
    <w:rsid w:val="00FB1C4F"/>
    <w:rsid w:val="00FB3574"/>
    <w:rsid w:val="00FB4819"/>
    <w:rsid w:val="00FB5172"/>
    <w:rsid w:val="00FB5316"/>
    <w:rsid w:val="00FB5CAA"/>
    <w:rsid w:val="00FB6585"/>
    <w:rsid w:val="00FB6A7C"/>
    <w:rsid w:val="00FB6C4B"/>
    <w:rsid w:val="00FB79A7"/>
    <w:rsid w:val="00FC0FDE"/>
    <w:rsid w:val="00FC109E"/>
    <w:rsid w:val="00FC1FB9"/>
    <w:rsid w:val="00FC2527"/>
    <w:rsid w:val="00FC28A5"/>
    <w:rsid w:val="00FC2EE2"/>
    <w:rsid w:val="00FC3080"/>
    <w:rsid w:val="00FC364F"/>
    <w:rsid w:val="00FC3DBA"/>
    <w:rsid w:val="00FC503A"/>
    <w:rsid w:val="00FC5908"/>
    <w:rsid w:val="00FC6255"/>
    <w:rsid w:val="00FC7867"/>
    <w:rsid w:val="00FD066E"/>
    <w:rsid w:val="00FD0C52"/>
    <w:rsid w:val="00FD0CFE"/>
    <w:rsid w:val="00FD15A3"/>
    <w:rsid w:val="00FD1780"/>
    <w:rsid w:val="00FD17CE"/>
    <w:rsid w:val="00FD19F0"/>
    <w:rsid w:val="00FD1A43"/>
    <w:rsid w:val="00FD21EC"/>
    <w:rsid w:val="00FD24DA"/>
    <w:rsid w:val="00FD282D"/>
    <w:rsid w:val="00FD2ECB"/>
    <w:rsid w:val="00FD42FA"/>
    <w:rsid w:val="00FD4F96"/>
    <w:rsid w:val="00FD66D3"/>
    <w:rsid w:val="00FD6A16"/>
    <w:rsid w:val="00FD6ED0"/>
    <w:rsid w:val="00FD73B8"/>
    <w:rsid w:val="00FD758B"/>
    <w:rsid w:val="00FD764A"/>
    <w:rsid w:val="00FE03F9"/>
    <w:rsid w:val="00FE0F12"/>
    <w:rsid w:val="00FE2C24"/>
    <w:rsid w:val="00FE2EAB"/>
    <w:rsid w:val="00FE3408"/>
    <w:rsid w:val="00FE35D4"/>
    <w:rsid w:val="00FE3692"/>
    <w:rsid w:val="00FE4AC6"/>
    <w:rsid w:val="00FE522D"/>
    <w:rsid w:val="00FE5610"/>
    <w:rsid w:val="00FE688A"/>
    <w:rsid w:val="00FE74CA"/>
    <w:rsid w:val="00FE76D7"/>
    <w:rsid w:val="00FE7A96"/>
    <w:rsid w:val="00FF1AF8"/>
    <w:rsid w:val="00FF1B14"/>
    <w:rsid w:val="00FF1BDA"/>
    <w:rsid w:val="00FF3E7E"/>
    <w:rsid w:val="00FF503F"/>
    <w:rsid w:val="00FF56EA"/>
    <w:rsid w:val="00FF5F61"/>
    <w:rsid w:val="00FF76F8"/>
  </w:rsids>
  <m:mathPr>
    <m:mathFont m:val="Cambria Math"/>
    <m:brkBin m:val="before"/>
    <m:brkBinSub m:val="--"/>
    <m:smallFrac/>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3B2B88"/>
  <w15:docId w15:val="{17064FFE-FF84-44C0-80A1-B9101543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7B"/>
  </w:style>
  <w:style w:type="paragraph" w:styleId="Heading1">
    <w:name w:val="heading 1"/>
    <w:aliases w:val="Heading"/>
    <w:basedOn w:val="Normal"/>
    <w:next w:val="Normal"/>
    <w:link w:val="Heading1Char"/>
    <w:uiPriority w:val="9"/>
    <w:qFormat/>
    <w:rsid w:val="00BA5E7B"/>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BA5E7B"/>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BA5E7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5E7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5E7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BA5E7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BA5E7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aliases w:val="TOC Third Level"/>
    <w:basedOn w:val="Normal"/>
    <w:next w:val="Normal"/>
    <w:link w:val="Heading8Char"/>
    <w:uiPriority w:val="9"/>
    <w:unhideWhenUsed/>
    <w:qFormat/>
    <w:rsid w:val="00BA5E7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BA5E7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locked/>
    <w:rsid w:val="00BA5E7B"/>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locked/>
    <w:rsid w:val="00BA5E7B"/>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locked/>
    <w:rsid w:val="00BA5E7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locked/>
    <w:rsid w:val="00BA5E7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locked/>
    <w:rsid w:val="00BA5E7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locked/>
    <w:rsid w:val="00BA5E7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locked/>
    <w:rsid w:val="00BA5E7B"/>
    <w:rPr>
      <w:rFonts w:asciiTheme="majorHAnsi" w:eastAsiaTheme="majorEastAsia" w:hAnsiTheme="majorHAnsi" w:cstheme="majorBidi"/>
      <w:i/>
      <w:iCs/>
      <w:color w:val="595959" w:themeColor="text1" w:themeTint="A6"/>
    </w:rPr>
  </w:style>
  <w:style w:type="character" w:customStyle="1" w:styleId="Heading8Char">
    <w:name w:val="Heading 8 Char"/>
    <w:aliases w:val="TOC Third Level Char"/>
    <w:basedOn w:val="DefaultParagraphFont"/>
    <w:link w:val="Heading8"/>
    <w:uiPriority w:val="9"/>
    <w:locked/>
    <w:rsid w:val="00BA5E7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locked/>
    <w:rsid w:val="00BA5E7B"/>
    <w:rPr>
      <w:rFonts w:asciiTheme="majorHAnsi" w:eastAsiaTheme="majorEastAsia" w:hAnsiTheme="majorHAnsi" w:cstheme="majorBidi"/>
      <w:i/>
      <w:iCs/>
      <w:smallCaps/>
      <w:color w:val="595959" w:themeColor="text1" w:themeTint="A6"/>
    </w:rPr>
  </w:style>
  <w:style w:type="paragraph" w:styleId="ListParagraph">
    <w:name w:val="List Paragraph"/>
    <w:basedOn w:val="Normal"/>
    <w:link w:val="ListParagraphChar"/>
    <w:uiPriority w:val="34"/>
    <w:qFormat/>
    <w:rsid w:val="000C68A9"/>
    <w:pPr>
      <w:ind w:left="720"/>
      <w:contextualSpacing/>
    </w:pPr>
  </w:style>
  <w:style w:type="character" w:styleId="CommentReference">
    <w:name w:val="annotation reference"/>
    <w:basedOn w:val="DefaultParagraphFont"/>
    <w:uiPriority w:val="99"/>
    <w:semiHidden/>
    <w:rsid w:val="00DD25A6"/>
    <w:rPr>
      <w:sz w:val="16"/>
      <w:szCs w:val="16"/>
    </w:rPr>
  </w:style>
  <w:style w:type="paragraph" w:styleId="CommentText">
    <w:name w:val="annotation text"/>
    <w:basedOn w:val="Normal"/>
    <w:link w:val="CommentTextChar"/>
    <w:uiPriority w:val="99"/>
    <w:rsid w:val="00DD25A6"/>
    <w:rPr>
      <w:sz w:val="20"/>
      <w:szCs w:val="20"/>
    </w:rPr>
  </w:style>
  <w:style w:type="character" w:customStyle="1" w:styleId="CommentTextChar">
    <w:name w:val="Comment Text Char"/>
    <w:basedOn w:val="DefaultParagraphFont"/>
    <w:link w:val="CommentText"/>
    <w:uiPriority w:val="99"/>
    <w:locked/>
    <w:rsid w:val="00DD25A6"/>
    <w:rPr>
      <w:sz w:val="20"/>
      <w:szCs w:val="20"/>
    </w:rPr>
  </w:style>
  <w:style w:type="paragraph" w:styleId="CommentSubject">
    <w:name w:val="annotation subject"/>
    <w:basedOn w:val="CommentText"/>
    <w:next w:val="CommentText"/>
    <w:link w:val="CommentSubjectChar"/>
    <w:uiPriority w:val="99"/>
    <w:semiHidden/>
    <w:rsid w:val="00DD25A6"/>
    <w:rPr>
      <w:b/>
      <w:bCs/>
    </w:rPr>
  </w:style>
  <w:style w:type="character" w:customStyle="1" w:styleId="CommentSubjectChar">
    <w:name w:val="Comment Subject Char"/>
    <w:basedOn w:val="CommentTextChar"/>
    <w:link w:val="CommentSubject"/>
    <w:uiPriority w:val="99"/>
    <w:semiHidden/>
    <w:locked/>
    <w:rsid w:val="00DD25A6"/>
    <w:rPr>
      <w:b/>
      <w:bCs/>
      <w:sz w:val="20"/>
      <w:szCs w:val="20"/>
    </w:rPr>
  </w:style>
  <w:style w:type="paragraph" w:styleId="BalloonText">
    <w:name w:val="Balloon Text"/>
    <w:basedOn w:val="Normal"/>
    <w:link w:val="BalloonTextChar"/>
    <w:uiPriority w:val="99"/>
    <w:semiHidden/>
    <w:rsid w:val="00DD25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5A6"/>
    <w:rPr>
      <w:rFonts w:ascii="Tahoma" w:hAnsi="Tahoma" w:cs="Tahoma"/>
      <w:sz w:val="16"/>
      <w:szCs w:val="16"/>
    </w:rPr>
  </w:style>
  <w:style w:type="table" w:styleId="TableGrid">
    <w:name w:val="Table Grid"/>
    <w:basedOn w:val="TableNormal"/>
    <w:uiPriority w:val="59"/>
    <w:rsid w:val="00F84C2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B1C4F"/>
    <w:pPr>
      <w:spacing w:before="100" w:beforeAutospacing="1" w:after="100" w:afterAutospacing="1"/>
    </w:pPr>
    <w:rPr>
      <w:rFonts w:cs="Times New Roman"/>
      <w:sz w:val="24"/>
      <w:szCs w:val="24"/>
    </w:rPr>
  </w:style>
  <w:style w:type="paragraph" w:styleId="BodyText">
    <w:name w:val="Body Text"/>
    <w:basedOn w:val="Normal"/>
    <w:link w:val="BodyTextChar"/>
    <w:uiPriority w:val="99"/>
    <w:rsid w:val="009F0E31"/>
    <w:pPr>
      <w:spacing w:before="240" w:after="0" w:line="274" w:lineRule="auto"/>
    </w:pPr>
    <w:rPr>
      <w:rFonts w:ascii="Arial" w:eastAsia="SimSun" w:hAnsi="Arial" w:cs="Arial"/>
    </w:rPr>
  </w:style>
  <w:style w:type="character" w:customStyle="1" w:styleId="BodyTextChar">
    <w:name w:val="Body Text Char"/>
    <w:basedOn w:val="DefaultParagraphFont"/>
    <w:link w:val="BodyText"/>
    <w:uiPriority w:val="99"/>
    <w:locked/>
    <w:rsid w:val="009F0E31"/>
    <w:rPr>
      <w:rFonts w:ascii="Arial" w:eastAsia="SimSun" w:hAnsi="Arial" w:cs="Arial"/>
      <w:sz w:val="20"/>
      <w:szCs w:val="20"/>
      <w:lang w:val="en-US"/>
    </w:rPr>
  </w:style>
  <w:style w:type="paragraph" w:styleId="NoSpacing">
    <w:name w:val="No Spacing"/>
    <w:link w:val="NoSpacingChar"/>
    <w:uiPriority w:val="1"/>
    <w:qFormat/>
    <w:rsid w:val="00BA5E7B"/>
    <w:pPr>
      <w:spacing w:after="0" w:line="240" w:lineRule="auto"/>
    </w:pPr>
  </w:style>
  <w:style w:type="paragraph" w:styleId="PlainText">
    <w:name w:val="Plain Text"/>
    <w:basedOn w:val="Normal"/>
    <w:link w:val="PlainTextChar"/>
    <w:uiPriority w:val="99"/>
    <w:rsid w:val="00242289"/>
    <w:pPr>
      <w:spacing w:after="0"/>
    </w:pPr>
    <w:rPr>
      <w:rFonts w:ascii="Consolas" w:hAnsi="Consolas" w:cs="Consolas"/>
    </w:rPr>
  </w:style>
  <w:style w:type="character" w:customStyle="1" w:styleId="PlainTextChar">
    <w:name w:val="Plain Text Char"/>
    <w:basedOn w:val="DefaultParagraphFont"/>
    <w:link w:val="PlainText"/>
    <w:uiPriority w:val="99"/>
    <w:locked/>
    <w:rsid w:val="00242289"/>
    <w:rPr>
      <w:rFonts w:ascii="Consolas" w:hAnsi="Consolas" w:cs="Consolas"/>
      <w:sz w:val="21"/>
      <w:szCs w:val="21"/>
    </w:rPr>
  </w:style>
  <w:style w:type="character" w:styleId="Hyperlink">
    <w:name w:val="Hyperlink"/>
    <w:basedOn w:val="DefaultParagraphFont"/>
    <w:uiPriority w:val="99"/>
    <w:rsid w:val="007F3DEE"/>
    <w:rPr>
      <w:color w:val="0000FF"/>
      <w:u w:val="single"/>
    </w:rPr>
  </w:style>
  <w:style w:type="paragraph" w:styleId="Header">
    <w:name w:val="header"/>
    <w:basedOn w:val="Normal"/>
    <w:link w:val="HeaderChar"/>
    <w:uiPriority w:val="99"/>
    <w:rsid w:val="00405A93"/>
    <w:pPr>
      <w:tabs>
        <w:tab w:val="center" w:pos="4320"/>
        <w:tab w:val="right" w:pos="8640"/>
      </w:tabs>
      <w:spacing w:after="0"/>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locked/>
    <w:rsid w:val="00405A93"/>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rsid w:val="00BA69F9"/>
    <w:rPr>
      <w:color w:val="800080"/>
      <w:u w:val="single"/>
    </w:rPr>
  </w:style>
  <w:style w:type="paragraph" w:customStyle="1" w:styleId="Default">
    <w:name w:val="Default"/>
    <w:rsid w:val="00BA69F9"/>
    <w:pPr>
      <w:autoSpaceDE w:val="0"/>
      <w:autoSpaceDN w:val="0"/>
      <w:adjustRightInd w:val="0"/>
    </w:pPr>
    <w:rPr>
      <w:rFonts w:cs="Calibri"/>
      <w:color w:val="000000"/>
      <w:sz w:val="24"/>
      <w:szCs w:val="24"/>
      <w:lang w:eastAsia="en-US"/>
    </w:rPr>
  </w:style>
  <w:style w:type="paragraph" w:styleId="Footer">
    <w:name w:val="footer"/>
    <w:basedOn w:val="Normal"/>
    <w:link w:val="FooterChar"/>
    <w:uiPriority w:val="99"/>
    <w:rsid w:val="00263B44"/>
    <w:pPr>
      <w:tabs>
        <w:tab w:val="center" w:pos="4513"/>
        <w:tab w:val="right" w:pos="9026"/>
      </w:tabs>
      <w:spacing w:after="0"/>
    </w:pPr>
  </w:style>
  <w:style w:type="character" w:customStyle="1" w:styleId="FooterChar">
    <w:name w:val="Footer Char"/>
    <w:basedOn w:val="DefaultParagraphFont"/>
    <w:link w:val="Footer"/>
    <w:uiPriority w:val="99"/>
    <w:locked/>
    <w:rsid w:val="00263B44"/>
    <w:rPr>
      <w:lang w:val="en-GB"/>
    </w:rPr>
  </w:style>
  <w:style w:type="table" w:customStyle="1" w:styleId="LightShading-Accent11">
    <w:name w:val="Light Shading - Accent 11"/>
    <w:uiPriority w:val="99"/>
    <w:rsid w:val="00A145F0"/>
    <w:rPr>
      <w:rFonts w:cs="Calibri"/>
      <w:color w:val="365F91"/>
      <w:sz w:val="20"/>
      <w:szCs w:val="20"/>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unhideWhenUsed/>
    <w:qFormat/>
    <w:rsid w:val="00BA5E7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5E7B"/>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locked/>
    <w:rsid w:val="00BA5E7B"/>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BA5E7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locked/>
    <w:rsid w:val="00BA5E7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5E7B"/>
    <w:rPr>
      <w:b/>
      <w:bCs/>
    </w:rPr>
  </w:style>
  <w:style w:type="character" w:styleId="Emphasis">
    <w:name w:val="Emphasis"/>
    <w:basedOn w:val="DefaultParagraphFont"/>
    <w:uiPriority w:val="20"/>
    <w:qFormat/>
    <w:rsid w:val="00BA5E7B"/>
    <w:rPr>
      <w:i/>
      <w:iCs/>
    </w:rPr>
  </w:style>
  <w:style w:type="paragraph" w:styleId="Quote">
    <w:name w:val="Quote"/>
    <w:basedOn w:val="Normal"/>
    <w:next w:val="Normal"/>
    <w:link w:val="QuoteChar"/>
    <w:uiPriority w:val="29"/>
    <w:qFormat/>
    <w:rsid w:val="00BA5E7B"/>
    <w:pPr>
      <w:spacing w:before="240" w:after="240" w:line="252" w:lineRule="auto"/>
      <w:ind w:left="864" w:right="864"/>
      <w:jc w:val="center"/>
    </w:pPr>
    <w:rPr>
      <w:i/>
      <w:iCs/>
    </w:rPr>
  </w:style>
  <w:style w:type="character" w:customStyle="1" w:styleId="QuoteChar">
    <w:name w:val="Quote Char"/>
    <w:basedOn w:val="DefaultParagraphFont"/>
    <w:link w:val="Quote"/>
    <w:uiPriority w:val="29"/>
    <w:locked/>
    <w:rsid w:val="00BA5E7B"/>
    <w:rPr>
      <w:i/>
      <w:iCs/>
    </w:rPr>
  </w:style>
  <w:style w:type="paragraph" w:styleId="IntenseQuote">
    <w:name w:val="Intense Quote"/>
    <w:basedOn w:val="Normal"/>
    <w:next w:val="Normal"/>
    <w:link w:val="IntenseQuoteChar"/>
    <w:uiPriority w:val="30"/>
    <w:qFormat/>
    <w:rsid w:val="00BA5E7B"/>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locked/>
    <w:rsid w:val="00BA5E7B"/>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BA5E7B"/>
    <w:rPr>
      <w:i/>
      <w:iCs/>
      <w:color w:val="595959" w:themeColor="text1" w:themeTint="A6"/>
    </w:rPr>
  </w:style>
  <w:style w:type="character" w:styleId="IntenseEmphasis">
    <w:name w:val="Intense Emphasis"/>
    <w:basedOn w:val="DefaultParagraphFont"/>
    <w:uiPriority w:val="21"/>
    <w:qFormat/>
    <w:rsid w:val="00BA5E7B"/>
    <w:rPr>
      <w:b/>
      <w:bCs/>
      <w:i/>
      <w:iCs/>
    </w:rPr>
  </w:style>
  <w:style w:type="character" w:styleId="SubtleReference">
    <w:name w:val="Subtle Reference"/>
    <w:basedOn w:val="DefaultParagraphFont"/>
    <w:uiPriority w:val="31"/>
    <w:qFormat/>
    <w:rsid w:val="00BA5E7B"/>
    <w:rPr>
      <w:smallCaps/>
      <w:color w:val="404040" w:themeColor="text1" w:themeTint="BF"/>
    </w:rPr>
  </w:style>
  <w:style w:type="character" w:styleId="IntenseReference">
    <w:name w:val="Intense Reference"/>
    <w:basedOn w:val="DefaultParagraphFont"/>
    <w:uiPriority w:val="32"/>
    <w:qFormat/>
    <w:rsid w:val="00BA5E7B"/>
    <w:rPr>
      <w:b/>
      <w:bCs/>
      <w:smallCaps/>
      <w:u w:val="single"/>
    </w:rPr>
  </w:style>
  <w:style w:type="character" w:styleId="BookTitle">
    <w:name w:val="Book Title"/>
    <w:basedOn w:val="DefaultParagraphFont"/>
    <w:uiPriority w:val="33"/>
    <w:qFormat/>
    <w:rsid w:val="00BA5E7B"/>
    <w:rPr>
      <w:b/>
      <w:bCs/>
      <w:smallCaps/>
    </w:rPr>
  </w:style>
  <w:style w:type="paragraph" w:styleId="TOCHeading">
    <w:name w:val="TOC Heading"/>
    <w:basedOn w:val="Heading1"/>
    <w:next w:val="Normal"/>
    <w:uiPriority w:val="39"/>
    <w:unhideWhenUsed/>
    <w:qFormat/>
    <w:rsid w:val="00BA5E7B"/>
    <w:pPr>
      <w:outlineLvl w:val="9"/>
    </w:pPr>
  </w:style>
  <w:style w:type="character" w:customStyle="1" w:styleId="NoSpacingChar">
    <w:name w:val="No Spacing Char"/>
    <w:basedOn w:val="DefaultParagraphFont"/>
    <w:link w:val="NoSpacing"/>
    <w:uiPriority w:val="1"/>
    <w:locked/>
    <w:rsid w:val="00AF3F0F"/>
  </w:style>
  <w:style w:type="paragraph" w:styleId="TOC1">
    <w:name w:val="toc 1"/>
    <w:basedOn w:val="Normal"/>
    <w:next w:val="Normal"/>
    <w:autoRedefine/>
    <w:uiPriority w:val="39"/>
    <w:rsid w:val="00B226A6"/>
    <w:pPr>
      <w:spacing w:after="100"/>
    </w:pPr>
  </w:style>
  <w:style w:type="paragraph" w:styleId="TOC2">
    <w:name w:val="toc 2"/>
    <w:basedOn w:val="Normal"/>
    <w:next w:val="Normal"/>
    <w:autoRedefine/>
    <w:uiPriority w:val="39"/>
    <w:rsid w:val="002610AE"/>
    <w:pPr>
      <w:spacing w:after="100"/>
      <w:ind w:left="220"/>
    </w:pPr>
  </w:style>
  <w:style w:type="paragraph" w:styleId="TOC3">
    <w:name w:val="toc 3"/>
    <w:basedOn w:val="Normal"/>
    <w:next w:val="Normal"/>
    <w:autoRedefine/>
    <w:uiPriority w:val="39"/>
    <w:rsid w:val="002610AE"/>
    <w:pPr>
      <w:spacing w:after="100"/>
      <w:ind w:left="440"/>
    </w:pPr>
  </w:style>
  <w:style w:type="paragraph" w:styleId="BodyText3">
    <w:name w:val="Body Text 3"/>
    <w:basedOn w:val="Normal"/>
    <w:link w:val="BodyText3Char"/>
    <w:uiPriority w:val="99"/>
    <w:rsid w:val="00B63F71"/>
    <w:pPr>
      <w:tabs>
        <w:tab w:val="left" w:pos="1440"/>
      </w:tabs>
      <w:spacing w:before="120" w:after="0" w:line="274" w:lineRule="auto"/>
      <w:ind w:left="720"/>
    </w:pPr>
    <w:rPr>
      <w:rFonts w:ascii="Arial" w:eastAsia="SimSun" w:hAnsi="Arial" w:cs="Arial"/>
    </w:rPr>
  </w:style>
  <w:style w:type="character" w:customStyle="1" w:styleId="BodyText3Char">
    <w:name w:val="Body Text 3 Char"/>
    <w:basedOn w:val="DefaultParagraphFont"/>
    <w:link w:val="BodyText3"/>
    <w:uiPriority w:val="99"/>
    <w:locked/>
    <w:rsid w:val="00B63F71"/>
    <w:rPr>
      <w:rFonts w:ascii="Arial" w:eastAsia="SimSun" w:hAnsi="Arial" w:cs="Arial"/>
      <w:sz w:val="20"/>
      <w:szCs w:val="20"/>
    </w:rPr>
  </w:style>
  <w:style w:type="paragraph" w:styleId="FootnoteText">
    <w:name w:val="footnote text"/>
    <w:basedOn w:val="Normal"/>
    <w:link w:val="FootnoteTextChar"/>
    <w:unhideWhenUsed/>
    <w:rsid w:val="003118C4"/>
    <w:pPr>
      <w:spacing w:after="0"/>
    </w:pPr>
    <w:rPr>
      <w:sz w:val="20"/>
      <w:szCs w:val="20"/>
    </w:rPr>
  </w:style>
  <w:style w:type="character" w:customStyle="1" w:styleId="FootnoteTextChar">
    <w:name w:val="Footnote Text Char"/>
    <w:basedOn w:val="DefaultParagraphFont"/>
    <w:link w:val="FootnoteText"/>
    <w:rsid w:val="003118C4"/>
    <w:rPr>
      <w:rFonts w:cs="Calibri"/>
      <w:sz w:val="20"/>
      <w:szCs w:val="20"/>
      <w:lang w:val="en-US" w:eastAsia="en-US"/>
    </w:rPr>
  </w:style>
  <w:style w:type="character" w:styleId="FootnoteReference">
    <w:name w:val="footnote reference"/>
    <w:basedOn w:val="DefaultParagraphFont"/>
    <w:unhideWhenUsed/>
    <w:rsid w:val="003118C4"/>
    <w:rPr>
      <w:vertAlign w:val="superscript"/>
    </w:rPr>
  </w:style>
  <w:style w:type="paragraph" w:styleId="Revision">
    <w:name w:val="Revision"/>
    <w:hidden/>
    <w:uiPriority w:val="99"/>
    <w:semiHidden/>
    <w:rsid w:val="00043294"/>
    <w:pPr>
      <w:spacing w:after="0"/>
    </w:pPr>
    <w:rPr>
      <w:rFonts w:cs="Calibri"/>
      <w:lang w:val="en-US" w:eastAsia="en-US"/>
    </w:rPr>
  </w:style>
  <w:style w:type="paragraph" w:customStyle="1" w:styleId="Normal0">
    <w:name w:val="[Normal]"/>
    <w:rsid w:val="002335F5"/>
    <w:pPr>
      <w:widowControl w:val="0"/>
      <w:autoSpaceDE w:val="0"/>
      <w:autoSpaceDN w:val="0"/>
      <w:adjustRightInd w:val="0"/>
      <w:spacing w:after="0"/>
    </w:pPr>
    <w:rPr>
      <w:rFonts w:ascii="Arial" w:hAnsi="Arial" w:cs="Arial"/>
      <w:sz w:val="24"/>
      <w:szCs w:val="24"/>
      <w:lang w:val="en-US"/>
    </w:rPr>
  </w:style>
  <w:style w:type="paragraph" w:customStyle="1" w:styleId="title1">
    <w:name w:val="title1"/>
    <w:basedOn w:val="Normal"/>
    <w:rsid w:val="002E7551"/>
    <w:pPr>
      <w:spacing w:after="0"/>
    </w:pPr>
    <w:rPr>
      <w:rFonts w:ascii="Times New Roman" w:hAnsi="Times New Roman" w:cs="Times New Roman"/>
      <w:sz w:val="27"/>
      <w:szCs w:val="27"/>
    </w:rPr>
  </w:style>
  <w:style w:type="paragraph" w:customStyle="1" w:styleId="desc2">
    <w:name w:val="desc2"/>
    <w:basedOn w:val="Normal"/>
    <w:rsid w:val="002E7551"/>
    <w:pPr>
      <w:spacing w:after="0"/>
    </w:pPr>
    <w:rPr>
      <w:rFonts w:ascii="Times New Roman" w:hAnsi="Times New Roman" w:cs="Times New Roman"/>
      <w:sz w:val="26"/>
      <w:szCs w:val="26"/>
    </w:rPr>
  </w:style>
  <w:style w:type="paragraph" w:customStyle="1" w:styleId="details1">
    <w:name w:val="details1"/>
    <w:basedOn w:val="Normal"/>
    <w:rsid w:val="002E7551"/>
    <w:pPr>
      <w:spacing w:after="0"/>
    </w:pPr>
    <w:rPr>
      <w:rFonts w:ascii="Times New Roman" w:hAnsi="Times New Roman" w:cs="Times New Roman"/>
      <w:sz w:val="22"/>
      <w:szCs w:val="22"/>
    </w:rPr>
  </w:style>
  <w:style w:type="character" w:customStyle="1" w:styleId="jrnl">
    <w:name w:val="jrnl"/>
    <w:basedOn w:val="DefaultParagraphFont"/>
    <w:rsid w:val="002E7551"/>
  </w:style>
  <w:style w:type="table" w:customStyle="1" w:styleId="TableGrid6">
    <w:name w:val="Table Grid6"/>
    <w:basedOn w:val="TableNormal"/>
    <w:next w:val="TableGrid"/>
    <w:uiPriority w:val="59"/>
    <w:rsid w:val="009C2FC5"/>
    <w:pPr>
      <w:spacing w:after="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F47DE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CB7DC9"/>
  </w:style>
  <w:style w:type="character" w:styleId="UnresolvedMention">
    <w:name w:val="Unresolved Mention"/>
    <w:basedOn w:val="DefaultParagraphFont"/>
    <w:uiPriority w:val="99"/>
    <w:semiHidden/>
    <w:unhideWhenUsed/>
    <w:rsid w:val="00F3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0461">
      <w:bodyDiv w:val="1"/>
      <w:marLeft w:val="0"/>
      <w:marRight w:val="0"/>
      <w:marTop w:val="0"/>
      <w:marBottom w:val="0"/>
      <w:divBdr>
        <w:top w:val="none" w:sz="0" w:space="0" w:color="auto"/>
        <w:left w:val="none" w:sz="0" w:space="0" w:color="auto"/>
        <w:bottom w:val="none" w:sz="0" w:space="0" w:color="auto"/>
        <w:right w:val="none" w:sz="0" w:space="0" w:color="auto"/>
      </w:divBdr>
    </w:div>
    <w:div w:id="95102773">
      <w:bodyDiv w:val="1"/>
      <w:marLeft w:val="0"/>
      <w:marRight w:val="0"/>
      <w:marTop w:val="0"/>
      <w:marBottom w:val="0"/>
      <w:divBdr>
        <w:top w:val="none" w:sz="0" w:space="0" w:color="auto"/>
        <w:left w:val="none" w:sz="0" w:space="0" w:color="auto"/>
        <w:bottom w:val="none" w:sz="0" w:space="0" w:color="auto"/>
        <w:right w:val="none" w:sz="0" w:space="0" w:color="auto"/>
      </w:divBdr>
      <w:divsChild>
        <w:div w:id="1595673579">
          <w:marLeft w:val="1166"/>
          <w:marRight w:val="0"/>
          <w:marTop w:val="115"/>
          <w:marBottom w:val="0"/>
          <w:divBdr>
            <w:top w:val="none" w:sz="0" w:space="0" w:color="auto"/>
            <w:left w:val="none" w:sz="0" w:space="0" w:color="auto"/>
            <w:bottom w:val="none" w:sz="0" w:space="0" w:color="auto"/>
            <w:right w:val="none" w:sz="0" w:space="0" w:color="auto"/>
          </w:divBdr>
        </w:div>
        <w:div w:id="276134656">
          <w:marLeft w:val="1166"/>
          <w:marRight w:val="0"/>
          <w:marTop w:val="115"/>
          <w:marBottom w:val="0"/>
          <w:divBdr>
            <w:top w:val="none" w:sz="0" w:space="0" w:color="auto"/>
            <w:left w:val="none" w:sz="0" w:space="0" w:color="auto"/>
            <w:bottom w:val="none" w:sz="0" w:space="0" w:color="auto"/>
            <w:right w:val="none" w:sz="0" w:space="0" w:color="auto"/>
          </w:divBdr>
        </w:div>
        <w:div w:id="1222013813">
          <w:marLeft w:val="1166"/>
          <w:marRight w:val="0"/>
          <w:marTop w:val="115"/>
          <w:marBottom w:val="0"/>
          <w:divBdr>
            <w:top w:val="none" w:sz="0" w:space="0" w:color="auto"/>
            <w:left w:val="none" w:sz="0" w:space="0" w:color="auto"/>
            <w:bottom w:val="none" w:sz="0" w:space="0" w:color="auto"/>
            <w:right w:val="none" w:sz="0" w:space="0" w:color="auto"/>
          </w:divBdr>
        </w:div>
      </w:divsChild>
    </w:div>
    <w:div w:id="164708503">
      <w:bodyDiv w:val="1"/>
      <w:marLeft w:val="0"/>
      <w:marRight w:val="0"/>
      <w:marTop w:val="0"/>
      <w:marBottom w:val="0"/>
      <w:divBdr>
        <w:top w:val="none" w:sz="0" w:space="0" w:color="auto"/>
        <w:left w:val="none" w:sz="0" w:space="0" w:color="auto"/>
        <w:bottom w:val="none" w:sz="0" w:space="0" w:color="auto"/>
        <w:right w:val="none" w:sz="0" w:space="0" w:color="auto"/>
      </w:divBdr>
    </w:div>
    <w:div w:id="280647338">
      <w:bodyDiv w:val="1"/>
      <w:marLeft w:val="0"/>
      <w:marRight w:val="0"/>
      <w:marTop w:val="0"/>
      <w:marBottom w:val="0"/>
      <w:divBdr>
        <w:top w:val="none" w:sz="0" w:space="0" w:color="auto"/>
        <w:left w:val="none" w:sz="0" w:space="0" w:color="auto"/>
        <w:bottom w:val="none" w:sz="0" w:space="0" w:color="auto"/>
        <w:right w:val="none" w:sz="0" w:space="0" w:color="auto"/>
      </w:divBdr>
    </w:div>
    <w:div w:id="329064008">
      <w:bodyDiv w:val="1"/>
      <w:marLeft w:val="0"/>
      <w:marRight w:val="0"/>
      <w:marTop w:val="0"/>
      <w:marBottom w:val="0"/>
      <w:divBdr>
        <w:top w:val="none" w:sz="0" w:space="0" w:color="auto"/>
        <w:left w:val="none" w:sz="0" w:space="0" w:color="auto"/>
        <w:bottom w:val="none" w:sz="0" w:space="0" w:color="auto"/>
        <w:right w:val="none" w:sz="0" w:space="0" w:color="auto"/>
      </w:divBdr>
    </w:div>
    <w:div w:id="355276483">
      <w:bodyDiv w:val="1"/>
      <w:marLeft w:val="0"/>
      <w:marRight w:val="0"/>
      <w:marTop w:val="0"/>
      <w:marBottom w:val="0"/>
      <w:divBdr>
        <w:top w:val="none" w:sz="0" w:space="0" w:color="auto"/>
        <w:left w:val="none" w:sz="0" w:space="0" w:color="auto"/>
        <w:bottom w:val="none" w:sz="0" w:space="0" w:color="auto"/>
        <w:right w:val="none" w:sz="0" w:space="0" w:color="auto"/>
      </w:divBdr>
    </w:div>
    <w:div w:id="415520150">
      <w:bodyDiv w:val="1"/>
      <w:marLeft w:val="0"/>
      <w:marRight w:val="0"/>
      <w:marTop w:val="0"/>
      <w:marBottom w:val="0"/>
      <w:divBdr>
        <w:top w:val="none" w:sz="0" w:space="0" w:color="auto"/>
        <w:left w:val="none" w:sz="0" w:space="0" w:color="auto"/>
        <w:bottom w:val="none" w:sz="0" w:space="0" w:color="auto"/>
        <w:right w:val="none" w:sz="0" w:space="0" w:color="auto"/>
      </w:divBdr>
    </w:div>
    <w:div w:id="425273902">
      <w:bodyDiv w:val="1"/>
      <w:marLeft w:val="0"/>
      <w:marRight w:val="0"/>
      <w:marTop w:val="0"/>
      <w:marBottom w:val="0"/>
      <w:divBdr>
        <w:top w:val="none" w:sz="0" w:space="0" w:color="auto"/>
        <w:left w:val="none" w:sz="0" w:space="0" w:color="auto"/>
        <w:bottom w:val="none" w:sz="0" w:space="0" w:color="auto"/>
        <w:right w:val="none" w:sz="0" w:space="0" w:color="auto"/>
      </w:divBdr>
    </w:div>
    <w:div w:id="669142513">
      <w:bodyDiv w:val="1"/>
      <w:marLeft w:val="0"/>
      <w:marRight w:val="0"/>
      <w:marTop w:val="0"/>
      <w:marBottom w:val="0"/>
      <w:divBdr>
        <w:top w:val="none" w:sz="0" w:space="0" w:color="auto"/>
        <w:left w:val="none" w:sz="0" w:space="0" w:color="auto"/>
        <w:bottom w:val="none" w:sz="0" w:space="0" w:color="auto"/>
        <w:right w:val="none" w:sz="0" w:space="0" w:color="auto"/>
      </w:divBdr>
    </w:div>
    <w:div w:id="810294653">
      <w:bodyDiv w:val="1"/>
      <w:marLeft w:val="0"/>
      <w:marRight w:val="0"/>
      <w:marTop w:val="0"/>
      <w:marBottom w:val="0"/>
      <w:divBdr>
        <w:top w:val="none" w:sz="0" w:space="0" w:color="auto"/>
        <w:left w:val="none" w:sz="0" w:space="0" w:color="auto"/>
        <w:bottom w:val="none" w:sz="0" w:space="0" w:color="auto"/>
        <w:right w:val="none" w:sz="0" w:space="0" w:color="auto"/>
      </w:divBdr>
    </w:div>
    <w:div w:id="822505104">
      <w:bodyDiv w:val="1"/>
      <w:marLeft w:val="0"/>
      <w:marRight w:val="0"/>
      <w:marTop w:val="0"/>
      <w:marBottom w:val="0"/>
      <w:divBdr>
        <w:top w:val="none" w:sz="0" w:space="0" w:color="auto"/>
        <w:left w:val="none" w:sz="0" w:space="0" w:color="auto"/>
        <w:bottom w:val="none" w:sz="0" w:space="0" w:color="auto"/>
        <w:right w:val="none" w:sz="0" w:space="0" w:color="auto"/>
      </w:divBdr>
      <w:divsChild>
        <w:div w:id="543372907">
          <w:marLeft w:val="0"/>
          <w:marRight w:val="1"/>
          <w:marTop w:val="0"/>
          <w:marBottom w:val="0"/>
          <w:divBdr>
            <w:top w:val="none" w:sz="0" w:space="0" w:color="auto"/>
            <w:left w:val="none" w:sz="0" w:space="0" w:color="auto"/>
            <w:bottom w:val="none" w:sz="0" w:space="0" w:color="auto"/>
            <w:right w:val="none" w:sz="0" w:space="0" w:color="auto"/>
          </w:divBdr>
          <w:divsChild>
            <w:div w:id="1768041356">
              <w:marLeft w:val="0"/>
              <w:marRight w:val="0"/>
              <w:marTop w:val="0"/>
              <w:marBottom w:val="0"/>
              <w:divBdr>
                <w:top w:val="none" w:sz="0" w:space="0" w:color="auto"/>
                <w:left w:val="none" w:sz="0" w:space="0" w:color="auto"/>
                <w:bottom w:val="none" w:sz="0" w:space="0" w:color="auto"/>
                <w:right w:val="none" w:sz="0" w:space="0" w:color="auto"/>
              </w:divBdr>
              <w:divsChild>
                <w:div w:id="1267688257">
                  <w:marLeft w:val="0"/>
                  <w:marRight w:val="1"/>
                  <w:marTop w:val="0"/>
                  <w:marBottom w:val="0"/>
                  <w:divBdr>
                    <w:top w:val="none" w:sz="0" w:space="0" w:color="auto"/>
                    <w:left w:val="none" w:sz="0" w:space="0" w:color="auto"/>
                    <w:bottom w:val="none" w:sz="0" w:space="0" w:color="auto"/>
                    <w:right w:val="none" w:sz="0" w:space="0" w:color="auto"/>
                  </w:divBdr>
                  <w:divsChild>
                    <w:div w:id="721638051">
                      <w:marLeft w:val="0"/>
                      <w:marRight w:val="0"/>
                      <w:marTop w:val="0"/>
                      <w:marBottom w:val="0"/>
                      <w:divBdr>
                        <w:top w:val="none" w:sz="0" w:space="0" w:color="auto"/>
                        <w:left w:val="none" w:sz="0" w:space="0" w:color="auto"/>
                        <w:bottom w:val="none" w:sz="0" w:space="0" w:color="auto"/>
                        <w:right w:val="none" w:sz="0" w:space="0" w:color="auto"/>
                      </w:divBdr>
                      <w:divsChild>
                        <w:div w:id="1329943392">
                          <w:marLeft w:val="0"/>
                          <w:marRight w:val="0"/>
                          <w:marTop w:val="0"/>
                          <w:marBottom w:val="0"/>
                          <w:divBdr>
                            <w:top w:val="none" w:sz="0" w:space="0" w:color="auto"/>
                            <w:left w:val="none" w:sz="0" w:space="0" w:color="auto"/>
                            <w:bottom w:val="none" w:sz="0" w:space="0" w:color="auto"/>
                            <w:right w:val="none" w:sz="0" w:space="0" w:color="auto"/>
                          </w:divBdr>
                          <w:divsChild>
                            <w:div w:id="2100565416">
                              <w:marLeft w:val="0"/>
                              <w:marRight w:val="0"/>
                              <w:marTop w:val="120"/>
                              <w:marBottom w:val="360"/>
                              <w:divBdr>
                                <w:top w:val="none" w:sz="0" w:space="0" w:color="auto"/>
                                <w:left w:val="none" w:sz="0" w:space="0" w:color="auto"/>
                                <w:bottom w:val="none" w:sz="0" w:space="0" w:color="auto"/>
                                <w:right w:val="none" w:sz="0" w:space="0" w:color="auto"/>
                              </w:divBdr>
                              <w:divsChild>
                                <w:div w:id="313527563">
                                  <w:marLeft w:val="420"/>
                                  <w:marRight w:val="0"/>
                                  <w:marTop w:val="0"/>
                                  <w:marBottom w:val="0"/>
                                  <w:divBdr>
                                    <w:top w:val="none" w:sz="0" w:space="0" w:color="auto"/>
                                    <w:left w:val="none" w:sz="0" w:space="0" w:color="auto"/>
                                    <w:bottom w:val="none" w:sz="0" w:space="0" w:color="auto"/>
                                    <w:right w:val="none" w:sz="0" w:space="0" w:color="auto"/>
                                  </w:divBdr>
                                  <w:divsChild>
                                    <w:div w:id="194557418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200726">
      <w:bodyDiv w:val="1"/>
      <w:marLeft w:val="0"/>
      <w:marRight w:val="0"/>
      <w:marTop w:val="0"/>
      <w:marBottom w:val="0"/>
      <w:divBdr>
        <w:top w:val="none" w:sz="0" w:space="0" w:color="auto"/>
        <w:left w:val="none" w:sz="0" w:space="0" w:color="auto"/>
        <w:bottom w:val="none" w:sz="0" w:space="0" w:color="auto"/>
        <w:right w:val="none" w:sz="0" w:space="0" w:color="auto"/>
      </w:divBdr>
    </w:div>
    <w:div w:id="946236079">
      <w:bodyDiv w:val="1"/>
      <w:marLeft w:val="0"/>
      <w:marRight w:val="0"/>
      <w:marTop w:val="0"/>
      <w:marBottom w:val="0"/>
      <w:divBdr>
        <w:top w:val="none" w:sz="0" w:space="0" w:color="auto"/>
        <w:left w:val="none" w:sz="0" w:space="0" w:color="auto"/>
        <w:bottom w:val="none" w:sz="0" w:space="0" w:color="auto"/>
        <w:right w:val="none" w:sz="0" w:space="0" w:color="auto"/>
      </w:divBdr>
    </w:div>
    <w:div w:id="956720638">
      <w:bodyDiv w:val="1"/>
      <w:marLeft w:val="0"/>
      <w:marRight w:val="0"/>
      <w:marTop w:val="0"/>
      <w:marBottom w:val="0"/>
      <w:divBdr>
        <w:top w:val="none" w:sz="0" w:space="0" w:color="auto"/>
        <w:left w:val="none" w:sz="0" w:space="0" w:color="auto"/>
        <w:bottom w:val="none" w:sz="0" w:space="0" w:color="auto"/>
        <w:right w:val="none" w:sz="0" w:space="0" w:color="auto"/>
      </w:divBdr>
      <w:divsChild>
        <w:div w:id="819275823">
          <w:marLeft w:val="0"/>
          <w:marRight w:val="0"/>
          <w:marTop w:val="0"/>
          <w:marBottom w:val="0"/>
          <w:divBdr>
            <w:top w:val="none" w:sz="0" w:space="0" w:color="auto"/>
            <w:left w:val="none" w:sz="0" w:space="0" w:color="auto"/>
            <w:bottom w:val="none" w:sz="0" w:space="0" w:color="auto"/>
            <w:right w:val="none" w:sz="0" w:space="0" w:color="auto"/>
          </w:divBdr>
          <w:divsChild>
            <w:div w:id="1479148909">
              <w:marLeft w:val="0"/>
              <w:marRight w:val="0"/>
              <w:marTop w:val="0"/>
              <w:marBottom w:val="0"/>
              <w:divBdr>
                <w:top w:val="none" w:sz="0" w:space="0" w:color="auto"/>
                <w:left w:val="none" w:sz="0" w:space="0" w:color="auto"/>
                <w:bottom w:val="none" w:sz="0" w:space="0" w:color="auto"/>
                <w:right w:val="none" w:sz="0" w:space="0" w:color="auto"/>
              </w:divBdr>
              <w:divsChild>
                <w:div w:id="1300955315">
                  <w:marLeft w:val="0"/>
                  <w:marRight w:val="0"/>
                  <w:marTop w:val="0"/>
                  <w:marBottom w:val="0"/>
                  <w:divBdr>
                    <w:top w:val="none" w:sz="0" w:space="0" w:color="auto"/>
                    <w:left w:val="none" w:sz="0" w:space="0" w:color="auto"/>
                    <w:bottom w:val="none" w:sz="0" w:space="0" w:color="auto"/>
                    <w:right w:val="none" w:sz="0" w:space="0" w:color="auto"/>
                  </w:divBdr>
                  <w:divsChild>
                    <w:div w:id="915896027">
                      <w:marLeft w:val="0"/>
                      <w:marRight w:val="0"/>
                      <w:marTop w:val="0"/>
                      <w:marBottom w:val="0"/>
                      <w:divBdr>
                        <w:top w:val="none" w:sz="0" w:space="0" w:color="auto"/>
                        <w:left w:val="none" w:sz="0" w:space="0" w:color="auto"/>
                        <w:bottom w:val="none" w:sz="0" w:space="0" w:color="auto"/>
                        <w:right w:val="none" w:sz="0" w:space="0" w:color="auto"/>
                      </w:divBdr>
                      <w:divsChild>
                        <w:div w:id="697238917">
                          <w:marLeft w:val="0"/>
                          <w:marRight w:val="0"/>
                          <w:marTop w:val="0"/>
                          <w:marBottom w:val="0"/>
                          <w:divBdr>
                            <w:top w:val="none" w:sz="0" w:space="0" w:color="auto"/>
                            <w:left w:val="none" w:sz="0" w:space="0" w:color="auto"/>
                            <w:bottom w:val="none" w:sz="0" w:space="0" w:color="auto"/>
                            <w:right w:val="none" w:sz="0" w:space="0" w:color="auto"/>
                          </w:divBdr>
                          <w:divsChild>
                            <w:div w:id="1558858958">
                              <w:marLeft w:val="0"/>
                              <w:marRight w:val="0"/>
                              <w:marTop w:val="0"/>
                              <w:marBottom w:val="0"/>
                              <w:divBdr>
                                <w:top w:val="none" w:sz="0" w:space="0" w:color="auto"/>
                                <w:left w:val="none" w:sz="0" w:space="0" w:color="auto"/>
                                <w:bottom w:val="none" w:sz="0" w:space="0" w:color="auto"/>
                                <w:right w:val="none" w:sz="0" w:space="0" w:color="auto"/>
                              </w:divBdr>
                              <w:divsChild>
                                <w:div w:id="517427815">
                                  <w:marLeft w:val="0"/>
                                  <w:marRight w:val="0"/>
                                  <w:marTop w:val="0"/>
                                  <w:marBottom w:val="0"/>
                                  <w:divBdr>
                                    <w:top w:val="none" w:sz="0" w:space="0" w:color="auto"/>
                                    <w:left w:val="none" w:sz="0" w:space="0" w:color="auto"/>
                                    <w:bottom w:val="none" w:sz="0" w:space="0" w:color="auto"/>
                                    <w:right w:val="none" w:sz="0" w:space="0" w:color="auto"/>
                                  </w:divBdr>
                                  <w:divsChild>
                                    <w:div w:id="39064174">
                                      <w:marLeft w:val="0"/>
                                      <w:marRight w:val="0"/>
                                      <w:marTop w:val="0"/>
                                      <w:marBottom w:val="0"/>
                                      <w:divBdr>
                                        <w:top w:val="none" w:sz="0" w:space="0" w:color="auto"/>
                                        <w:left w:val="none" w:sz="0" w:space="0" w:color="auto"/>
                                        <w:bottom w:val="none" w:sz="0" w:space="0" w:color="auto"/>
                                        <w:right w:val="none" w:sz="0" w:space="0" w:color="auto"/>
                                      </w:divBdr>
                                      <w:divsChild>
                                        <w:div w:id="1828863424">
                                          <w:marLeft w:val="0"/>
                                          <w:marRight w:val="0"/>
                                          <w:marTop w:val="0"/>
                                          <w:marBottom w:val="0"/>
                                          <w:divBdr>
                                            <w:top w:val="none" w:sz="0" w:space="0" w:color="auto"/>
                                            <w:left w:val="none" w:sz="0" w:space="0" w:color="auto"/>
                                            <w:bottom w:val="none" w:sz="0" w:space="0" w:color="auto"/>
                                            <w:right w:val="none" w:sz="0" w:space="0" w:color="auto"/>
                                          </w:divBdr>
                                          <w:divsChild>
                                            <w:div w:id="911697139">
                                              <w:marLeft w:val="0"/>
                                              <w:marRight w:val="0"/>
                                              <w:marTop w:val="0"/>
                                              <w:marBottom w:val="0"/>
                                              <w:divBdr>
                                                <w:top w:val="none" w:sz="0" w:space="0" w:color="auto"/>
                                                <w:left w:val="none" w:sz="0" w:space="0" w:color="auto"/>
                                                <w:bottom w:val="none" w:sz="0" w:space="0" w:color="auto"/>
                                                <w:right w:val="none" w:sz="0" w:space="0" w:color="auto"/>
                                              </w:divBdr>
                                              <w:divsChild>
                                                <w:div w:id="277881443">
                                                  <w:marLeft w:val="0"/>
                                                  <w:marRight w:val="0"/>
                                                  <w:marTop w:val="0"/>
                                                  <w:marBottom w:val="0"/>
                                                  <w:divBdr>
                                                    <w:top w:val="none" w:sz="0" w:space="0" w:color="auto"/>
                                                    <w:left w:val="none" w:sz="0" w:space="0" w:color="auto"/>
                                                    <w:bottom w:val="none" w:sz="0" w:space="0" w:color="auto"/>
                                                    <w:right w:val="none" w:sz="0" w:space="0" w:color="auto"/>
                                                  </w:divBdr>
                                                  <w:divsChild>
                                                    <w:div w:id="2146897518">
                                                      <w:marLeft w:val="0"/>
                                                      <w:marRight w:val="0"/>
                                                      <w:marTop w:val="0"/>
                                                      <w:marBottom w:val="0"/>
                                                      <w:divBdr>
                                                        <w:top w:val="none" w:sz="0" w:space="0" w:color="auto"/>
                                                        <w:left w:val="none" w:sz="0" w:space="0" w:color="auto"/>
                                                        <w:bottom w:val="none" w:sz="0" w:space="0" w:color="auto"/>
                                                        <w:right w:val="none" w:sz="0" w:space="0" w:color="auto"/>
                                                      </w:divBdr>
                                                      <w:divsChild>
                                                        <w:div w:id="453525051">
                                                          <w:marLeft w:val="0"/>
                                                          <w:marRight w:val="0"/>
                                                          <w:marTop w:val="0"/>
                                                          <w:marBottom w:val="0"/>
                                                          <w:divBdr>
                                                            <w:top w:val="none" w:sz="0" w:space="0" w:color="auto"/>
                                                            <w:left w:val="none" w:sz="0" w:space="0" w:color="auto"/>
                                                            <w:bottom w:val="none" w:sz="0" w:space="0" w:color="auto"/>
                                                            <w:right w:val="none" w:sz="0" w:space="0" w:color="auto"/>
                                                          </w:divBdr>
                                                          <w:divsChild>
                                                            <w:div w:id="1328632555">
                                                              <w:marLeft w:val="0"/>
                                                              <w:marRight w:val="0"/>
                                                              <w:marTop w:val="0"/>
                                                              <w:marBottom w:val="0"/>
                                                              <w:divBdr>
                                                                <w:top w:val="none" w:sz="0" w:space="0" w:color="auto"/>
                                                                <w:left w:val="none" w:sz="0" w:space="0" w:color="auto"/>
                                                                <w:bottom w:val="none" w:sz="0" w:space="0" w:color="auto"/>
                                                                <w:right w:val="none" w:sz="0" w:space="0" w:color="auto"/>
                                                              </w:divBdr>
                                                              <w:divsChild>
                                                                <w:div w:id="908153473">
                                                                  <w:marLeft w:val="0"/>
                                                                  <w:marRight w:val="0"/>
                                                                  <w:marTop w:val="0"/>
                                                                  <w:marBottom w:val="0"/>
                                                                  <w:divBdr>
                                                                    <w:top w:val="none" w:sz="0" w:space="0" w:color="auto"/>
                                                                    <w:left w:val="none" w:sz="0" w:space="0" w:color="auto"/>
                                                                    <w:bottom w:val="none" w:sz="0" w:space="0" w:color="auto"/>
                                                                    <w:right w:val="none" w:sz="0" w:space="0" w:color="auto"/>
                                                                  </w:divBdr>
                                                                  <w:divsChild>
                                                                    <w:div w:id="1264801970">
                                                                      <w:marLeft w:val="0"/>
                                                                      <w:marRight w:val="0"/>
                                                                      <w:marTop w:val="0"/>
                                                                      <w:marBottom w:val="0"/>
                                                                      <w:divBdr>
                                                                        <w:top w:val="none" w:sz="0" w:space="0" w:color="auto"/>
                                                                        <w:left w:val="none" w:sz="0" w:space="0" w:color="auto"/>
                                                                        <w:bottom w:val="none" w:sz="0" w:space="0" w:color="auto"/>
                                                                        <w:right w:val="none" w:sz="0" w:space="0" w:color="auto"/>
                                                                      </w:divBdr>
                                                                      <w:divsChild>
                                                                        <w:div w:id="476653870">
                                                                          <w:marLeft w:val="0"/>
                                                                          <w:marRight w:val="0"/>
                                                                          <w:marTop w:val="0"/>
                                                                          <w:marBottom w:val="0"/>
                                                                          <w:divBdr>
                                                                            <w:top w:val="none" w:sz="0" w:space="0" w:color="auto"/>
                                                                            <w:left w:val="none" w:sz="0" w:space="0" w:color="auto"/>
                                                                            <w:bottom w:val="none" w:sz="0" w:space="0" w:color="auto"/>
                                                                            <w:right w:val="none" w:sz="0" w:space="0" w:color="auto"/>
                                                                          </w:divBdr>
                                                                          <w:divsChild>
                                                                            <w:div w:id="163596437">
                                                                              <w:marLeft w:val="0"/>
                                                                              <w:marRight w:val="0"/>
                                                                              <w:marTop w:val="0"/>
                                                                              <w:marBottom w:val="0"/>
                                                                              <w:divBdr>
                                                                                <w:top w:val="none" w:sz="0" w:space="0" w:color="auto"/>
                                                                                <w:left w:val="none" w:sz="0" w:space="0" w:color="auto"/>
                                                                                <w:bottom w:val="none" w:sz="0" w:space="0" w:color="auto"/>
                                                                                <w:right w:val="none" w:sz="0" w:space="0" w:color="auto"/>
                                                                              </w:divBdr>
                                                                              <w:divsChild>
                                                                                <w:div w:id="880364756">
                                                                                  <w:marLeft w:val="0"/>
                                                                                  <w:marRight w:val="0"/>
                                                                                  <w:marTop w:val="0"/>
                                                                                  <w:marBottom w:val="0"/>
                                                                                  <w:divBdr>
                                                                                    <w:top w:val="none" w:sz="0" w:space="0" w:color="auto"/>
                                                                                    <w:left w:val="none" w:sz="0" w:space="0" w:color="auto"/>
                                                                                    <w:bottom w:val="none" w:sz="0" w:space="0" w:color="auto"/>
                                                                                    <w:right w:val="none" w:sz="0" w:space="0" w:color="auto"/>
                                                                                  </w:divBdr>
                                                                                  <w:divsChild>
                                                                                    <w:div w:id="195045617">
                                                                                      <w:marLeft w:val="0"/>
                                                                                      <w:marRight w:val="0"/>
                                                                                      <w:marTop w:val="0"/>
                                                                                      <w:marBottom w:val="0"/>
                                                                                      <w:divBdr>
                                                                                        <w:top w:val="none" w:sz="0" w:space="0" w:color="auto"/>
                                                                                        <w:left w:val="none" w:sz="0" w:space="0" w:color="auto"/>
                                                                                        <w:bottom w:val="none" w:sz="0" w:space="0" w:color="auto"/>
                                                                                        <w:right w:val="none" w:sz="0" w:space="0" w:color="auto"/>
                                                                                      </w:divBdr>
                                                                                      <w:divsChild>
                                                                                        <w:div w:id="738868742">
                                                                                          <w:marLeft w:val="0"/>
                                                                                          <w:marRight w:val="0"/>
                                                                                          <w:marTop w:val="0"/>
                                                                                          <w:marBottom w:val="0"/>
                                                                                          <w:divBdr>
                                                                                            <w:top w:val="none" w:sz="0" w:space="0" w:color="auto"/>
                                                                                            <w:left w:val="none" w:sz="0" w:space="0" w:color="auto"/>
                                                                                            <w:bottom w:val="none" w:sz="0" w:space="0" w:color="auto"/>
                                                                                            <w:right w:val="none" w:sz="0" w:space="0" w:color="auto"/>
                                                                                          </w:divBdr>
                                                                                          <w:divsChild>
                                                                                            <w:div w:id="760032844">
                                                                                              <w:marLeft w:val="0"/>
                                                                                              <w:marRight w:val="0"/>
                                                                                              <w:marTop w:val="0"/>
                                                                                              <w:marBottom w:val="0"/>
                                                                                              <w:divBdr>
                                                                                                <w:top w:val="none" w:sz="0" w:space="0" w:color="auto"/>
                                                                                                <w:left w:val="none" w:sz="0" w:space="0" w:color="auto"/>
                                                                                                <w:bottom w:val="none" w:sz="0" w:space="0" w:color="auto"/>
                                                                                                <w:right w:val="none" w:sz="0" w:space="0" w:color="auto"/>
                                                                                              </w:divBdr>
                                                                                              <w:divsChild>
                                                                                                <w:div w:id="2010401792">
                                                                                                  <w:marLeft w:val="0"/>
                                                                                                  <w:marRight w:val="0"/>
                                                                                                  <w:marTop w:val="0"/>
                                                                                                  <w:marBottom w:val="0"/>
                                                                                                  <w:divBdr>
                                                                                                    <w:top w:val="none" w:sz="0" w:space="0" w:color="auto"/>
                                                                                                    <w:left w:val="none" w:sz="0" w:space="0" w:color="auto"/>
                                                                                                    <w:bottom w:val="none" w:sz="0" w:space="0" w:color="auto"/>
                                                                                                    <w:right w:val="none" w:sz="0" w:space="0" w:color="auto"/>
                                                                                                  </w:divBdr>
                                                                                                  <w:divsChild>
                                                                                                    <w:div w:id="362482325">
                                                                                                      <w:marLeft w:val="0"/>
                                                                                                      <w:marRight w:val="0"/>
                                                                                                      <w:marTop w:val="0"/>
                                                                                                      <w:marBottom w:val="0"/>
                                                                                                      <w:divBdr>
                                                                                                        <w:top w:val="none" w:sz="0" w:space="0" w:color="auto"/>
                                                                                                        <w:left w:val="none" w:sz="0" w:space="0" w:color="auto"/>
                                                                                                        <w:bottom w:val="none" w:sz="0" w:space="0" w:color="auto"/>
                                                                                                        <w:right w:val="none" w:sz="0" w:space="0" w:color="auto"/>
                                                                                                      </w:divBdr>
                                                                                                      <w:divsChild>
                                                                                                        <w:div w:id="487132415">
                                                                                                          <w:marLeft w:val="0"/>
                                                                                                          <w:marRight w:val="0"/>
                                                                                                          <w:marTop w:val="0"/>
                                                                                                          <w:marBottom w:val="0"/>
                                                                                                          <w:divBdr>
                                                                                                            <w:top w:val="none" w:sz="0" w:space="0" w:color="auto"/>
                                                                                                            <w:left w:val="none" w:sz="0" w:space="0" w:color="auto"/>
                                                                                                            <w:bottom w:val="none" w:sz="0" w:space="0" w:color="auto"/>
                                                                                                            <w:right w:val="none" w:sz="0" w:space="0" w:color="auto"/>
                                                                                                          </w:divBdr>
                                                                                                          <w:divsChild>
                                                                                                            <w:div w:id="485627426">
                                                                                                              <w:marLeft w:val="0"/>
                                                                                                              <w:marRight w:val="0"/>
                                                                                                              <w:marTop w:val="0"/>
                                                                                                              <w:marBottom w:val="0"/>
                                                                                                              <w:divBdr>
                                                                                                                <w:top w:val="none" w:sz="0" w:space="0" w:color="auto"/>
                                                                                                                <w:left w:val="none" w:sz="0" w:space="0" w:color="auto"/>
                                                                                                                <w:bottom w:val="none" w:sz="0" w:space="0" w:color="auto"/>
                                                                                                                <w:right w:val="none" w:sz="0" w:space="0" w:color="auto"/>
                                                                                                              </w:divBdr>
                                                                                                              <w:divsChild>
                                                                                                                <w:div w:id="774180148">
                                                                                                                  <w:marLeft w:val="0"/>
                                                                                                                  <w:marRight w:val="0"/>
                                                                                                                  <w:marTop w:val="0"/>
                                                                                                                  <w:marBottom w:val="0"/>
                                                                                                                  <w:divBdr>
                                                                                                                    <w:top w:val="none" w:sz="0" w:space="0" w:color="auto"/>
                                                                                                                    <w:left w:val="none" w:sz="0" w:space="0" w:color="auto"/>
                                                                                                                    <w:bottom w:val="none" w:sz="0" w:space="0" w:color="auto"/>
                                                                                                                    <w:right w:val="none" w:sz="0" w:space="0" w:color="auto"/>
                                                                                                                  </w:divBdr>
                                                                                                                  <w:divsChild>
                                                                                                                    <w:div w:id="1709910630">
                                                                                                                      <w:marLeft w:val="0"/>
                                                                                                                      <w:marRight w:val="0"/>
                                                                                                                      <w:marTop w:val="0"/>
                                                                                                                      <w:marBottom w:val="0"/>
                                                                                                                      <w:divBdr>
                                                                                                                        <w:top w:val="none" w:sz="0" w:space="0" w:color="auto"/>
                                                                                                                        <w:left w:val="none" w:sz="0" w:space="0" w:color="auto"/>
                                                                                                                        <w:bottom w:val="none" w:sz="0" w:space="0" w:color="auto"/>
                                                                                                                        <w:right w:val="none" w:sz="0" w:space="0" w:color="auto"/>
                                                                                                                      </w:divBdr>
                                                                                                                      <w:divsChild>
                                                                                                                        <w:div w:id="1067191052">
                                                                                                                          <w:marLeft w:val="0"/>
                                                                                                                          <w:marRight w:val="0"/>
                                                                                                                          <w:marTop w:val="0"/>
                                                                                                                          <w:marBottom w:val="0"/>
                                                                                                                          <w:divBdr>
                                                                                                                            <w:top w:val="none" w:sz="0" w:space="0" w:color="auto"/>
                                                                                                                            <w:left w:val="none" w:sz="0" w:space="0" w:color="auto"/>
                                                                                                                            <w:bottom w:val="none" w:sz="0" w:space="0" w:color="auto"/>
                                                                                                                            <w:right w:val="none" w:sz="0" w:space="0" w:color="auto"/>
                                                                                                                          </w:divBdr>
                                                                                                                          <w:divsChild>
                                                                                                                            <w:div w:id="1385254509">
                                                                                                                              <w:marLeft w:val="0"/>
                                                                                                                              <w:marRight w:val="0"/>
                                                                                                                              <w:marTop w:val="0"/>
                                                                                                                              <w:marBottom w:val="0"/>
                                                                                                                              <w:divBdr>
                                                                                                                                <w:top w:val="none" w:sz="0" w:space="0" w:color="auto"/>
                                                                                                                                <w:left w:val="none" w:sz="0" w:space="0" w:color="auto"/>
                                                                                                                                <w:bottom w:val="none" w:sz="0" w:space="0" w:color="auto"/>
                                                                                                                                <w:right w:val="none" w:sz="0" w:space="0" w:color="auto"/>
                                                                                                                              </w:divBdr>
                                                                                                                              <w:divsChild>
                                                                                                                                <w:div w:id="1438133940">
                                                                                                                                  <w:marLeft w:val="0"/>
                                                                                                                                  <w:marRight w:val="0"/>
                                                                                                                                  <w:marTop w:val="0"/>
                                                                                                                                  <w:marBottom w:val="0"/>
                                                                                                                                  <w:divBdr>
                                                                                                                                    <w:top w:val="none" w:sz="0" w:space="0" w:color="auto"/>
                                                                                                                                    <w:left w:val="none" w:sz="0" w:space="0" w:color="auto"/>
                                                                                                                                    <w:bottom w:val="none" w:sz="0" w:space="0" w:color="auto"/>
                                                                                                                                    <w:right w:val="none" w:sz="0" w:space="0" w:color="auto"/>
                                                                                                                                  </w:divBdr>
                                                                                                                                  <w:divsChild>
                                                                                                                                    <w:div w:id="5913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295078">
      <w:bodyDiv w:val="1"/>
      <w:marLeft w:val="0"/>
      <w:marRight w:val="0"/>
      <w:marTop w:val="0"/>
      <w:marBottom w:val="0"/>
      <w:divBdr>
        <w:top w:val="none" w:sz="0" w:space="0" w:color="auto"/>
        <w:left w:val="none" w:sz="0" w:space="0" w:color="auto"/>
        <w:bottom w:val="none" w:sz="0" w:space="0" w:color="auto"/>
        <w:right w:val="none" w:sz="0" w:space="0" w:color="auto"/>
      </w:divBdr>
    </w:div>
    <w:div w:id="1145119489">
      <w:bodyDiv w:val="1"/>
      <w:marLeft w:val="0"/>
      <w:marRight w:val="0"/>
      <w:marTop w:val="0"/>
      <w:marBottom w:val="0"/>
      <w:divBdr>
        <w:top w:val="none" w:sz="0" w:space="0" w:color="auto"/>
        <w:left w:val="none" w:sz="0" w:space="0" w:color="auto"/>
        <w:bottom w:val="none" w:sz="0" w:space="0" w:color="auto"/>
        <w:right w:val="none" w:sz="0" w:space="0" w:color="auto"/>
      </w:divBdr>
    </w:div>
    <w:div w:id="1198657981">
      <w:bodyDiv w:val="1"/>
      <w:marLeft w:val="0"/>
      <w:marRight w:val="0"/>
      <w:marTop w:val="0"/>
      <w:marBottom w:val="0"/>
      <w:divBdr>
        <w:top w:val="none" w:sz="0" w:space="0" w:color="auto"/>
        <w:left w:val="none" w:sz="0" w:space="0" w:color="auto"/>
        <w:bottom w:val="none" w:sz="0" w:space="0" w:color="auto"/>
        <w:right w:val="none" w:sz="0" w:space="0" w:color="auto"/>
      </w:divBdr>
    </w:div>
    <w:div w:id="1279021535">
      <w:bodyDiv w:val="1"/>
      <w:marLeft w:val="0"/>
      <w:marRight w:val="0"/>
      <w:marTop w:val="0"/>
      <w:marBottom w:val="0"/>
      <w:divBdr>
        <w:top w:val="none" w:sz="0" w:space="0" w:color="auto"/>
        <w:left w:val="none" w:sz="0" w:space="0" w:color="auto"/>
        <w:bottom w:val="none" w:sz="0" w:space="0" w:color="auto"/>
        <w:right w:val="none" w:sz="0" w:space="0" w:color="auto"/>
      </w:divBdr>
    </w:div>
    <w:div w:id="1313751181">
      <w:bodyDiv w:val="1"/>
      <w:marLeft w:val="0"/>
      <w:marRight w:val="0"/>
      <w:marTop w:val="0"/>
      <w:marBottom w:val="0"/>
      <w:divBdr>
        <w:top w:val="none" w:sz="0" w:space="0" w:color="auto"/>
        <w:left w:val="none" w:sz="0" w:space="0" w:color="auto"/>
        <w:bottom w:val="none" w:sz="0" w:space="0" w:color="auto"/>
        <w:right w:val="none" w:sz="0" w:space="0" w:color="auto"/>
      </w:divBdr>
    </w:div>
    <w:div w:id="1331789024">
      <w:bodyDiv w:val="1"/>
      <w:marLeft w:val="0"/>
      <w:marRight w:val="0"/>
      <w:marTop w:val="0"/>
      <w:marBottom w:val="0"/>
      <w:divBdr>
        <w:top w:val="none" w:sz="0" w:space="0" w:color="auto"/>
        <w:left w:val="none" w:sz="0" w:space="0" w:color="auto"/>
        <w:bottom w:val="none" w:sz="0" w:space="0" w:color="auto"/>
        <w:right w:val="none" w:sz="0" w:space="0" w:color="auto"/>
      </w:divBdr>
    </w:div>
    <w:div w:id="1396776604">
      <w:bodyDiv w:val="1"/>
      <w:marLeft w:val="0"/>
      <w:marRight w:val="0"/>
      <w:marTop w:val="0"/>
      <w:marBottom w:val="0"/>
      <w:divBdr>
        <w:top w:val="none" w:sz="0" w:space="0" w:color="auto"/>
        <w:left w:val="none" w:sz="0" w:space="0" w:color="auto"/>
        <w:bottom w:val="none" w:sz="0" w:space="0" w:color="auto"/>
        <w:right w:val="none" w:sz="0" w:space="0" w:color="auto"/>
      </w:divBdr>
    </w:div>
    <w:div w:id="1449932051">
      <w:bodyDiv w:val="1"/>
      <w:marLeft w:val="0"/>
      <w:marRight w:val="0"/>
      <w:marTop w:val="0"/>
      <w:marBottom w:val="0"/>
      <w:divBdr>
        <w:top w:val="none" w:sz="0" w:space="0" w:color="auto"/>
        <w:left w:val="none" w:sz="0" w:space="0" w:color="auto"/>
        <w:bottom w:val="none" w:sz="0" w:space="0" w:color="auto"/>
        <w:right w:val="none" w:sz="0" w:space="0" w:color="auto"/>
      </w:divBdr>
    </w:div>
    <w:div w:id="1525631418">
      <w:bodyDiv w:val="1"/>
      <w:marLeft w:val="0"/>
      <w:marRight w:val="0"/>
      <w:marTop w:val="0"/>
      <w:marBottom w:val="0"/>
      <w:divBdr>
        <w:top w:val="none" w:sz="0" w:space="0" w:color="auto"/>
        <w:left w:val="none" w:sz="0" w:space="0" w:color="auto"/>
        <w:bottom w:val="none" w:sz="0" w:space="0" w:color="auto"/>
        <w:right w:val="none" w:sz="0" w:space="0" w:color="auto"/>
      </w:divBdr>
      <w:divsChild>
        <w:div w:id="535509008">
          <w:marLeft w:val="0"/>
          <w:marRight w:val="1"/>
          <w:marTop w:val="0"/>
          <w:marBottom w:val="0"/>
          <w:divBdr>
            <w:top w:val="none" w:sz="0" w:space="0" w:color="auto"/>
            <w:left w:val="none" w:sz="0" w:space="0" w:color="auto"/>
            <w:bottom w:val="none" w:sz="0" w:space="0" w:color="auto"/>
            <w:right w:val="none" w:sz="0" w:space="0" w:color="auto"/>
          </w:divBdr>
          <w:divsChild>
            <w:div w:id="644165853">
              <w:marLeft w:val="0"/>
              <w:marRight w:val="0"/>
              <w:marTop w:val="0"/>
              <w:marBottom w:val="0"/>
              <w:divBdr>
                <w:top w:val="none" w:sz="0" w:space="0" w:color="auto"/>
                <w:left w:val="none" w:sz="0" w:space="0" w:color="auto"/>
                <w:bottom w:val="none" w:sz="0" w:space="0" w:color="auto"/>
                <w:right w:val="none" w:sz="0" w:space="0" w:color="auto"/>
              </w:divBdr>
              <w:divsChild>
                <w:div w:id="1433670034">
                  <w:marLeft w:val="0"/>
                  <w:marRight w:val="1"/>
                  <w:marTop w:val="0"/>
                  <w:marBottom w:val="0"/>
                  <w:divBdr>
                    <w:top w:val="none" w:sz="0" w:space="0" w:color="auto"/>
                    <w:left w:val="none" w:sz="0" w:space="0" w:color="auto"/>
                    <w:bottom w:val="none" w:sz="0" w:space="0" w:color="auto"/>
                    <w:right w:val="none" w:sz="0" w:space="0" w:color="auto"/>
                  </w:divBdr>
                  <w:divsChild>
                    <w:div w:id="1511211892">
                      <w:marLeft w:val="0"/>
                      <w:marRight w:val="0"/>
                      <w:marTop w:val="0"/>
                      <w:marBottom w:val="0"/>
                      <w:divBdr>
                        <w:top w:val="none" w:sz="0" w:space="0" w:color="auto"/>
                        <w:left w:val="none" w:sz="0" w:space="0" w:color="auto"/>
                        <w:bottom w:val="none" w:sz="0" w:space="0" w:color="auto"/>
                        <w:right w:val="none" w:sz="0" w:space="0" w:color="auto"/>
                      </w:divBdr>
                      <w:divsChild>
                        <w:div w:id="257713064">
                          <w:marLeft w:val="0"/>
                          <w:marRight w:val="0"/>
                          <w:marTop w:val="0"/>
                          <w:marBottom w:val="0"/>
                          <w:divBdr>
                            <w:top w:val="none" w:sz="0" w:space="0" w:color="auto"/>
                            <w:left w:val="none" w:sz="0" w:space="0" w:color="auto"/>
                            <w:bottom w:val="none" w:sz="0" w:space="0" w:color="auto"/>
                            <w:right w:val="none" w:sz="0" w:space="0" w:color="auto"/>
                          </w:divBdr>
                          <w:divsChild>
                            <w:div w:id="1483891409">
                              <w:marLeft w:val="0"/>
                              <w:marRight w:val="0"/>
                              <w:marTop w:val="120"/>
                              <w:marBottom w:val="360"/>
                              <w:divBdr>
                                <w:top w:val="none" w:sz="0" w:space="0" w:color="auto"/>
                                <w:left w:val="none" w:sz="0" w:space="0" w:color="auto"/>
                                <w:bottom w:val="none" w:sz="0" w:space="0" w:color="auto"/>
                                <w:right w:val="none" w:sz="0" w:space="0" w:color="auto"/>
                              </w:divBdr>
                              <w:divsChild>
                                <w:div w:id="1057431767">
                                  <w:marLeft w:val="420"/>
                                  <w:marRight w:val="0"/>
                                  <w:marTop w:val="0"/>
                                  <w:marBottom w:val="0"/>
                                  <w:divBdr>
                                    <w:top w:val="none" w:sz="0" w:space="0" w:color="auto"/>
                                    <w:left w:val="none" w:sz="0" w:space="0" w:color="auto"/>
                                    <w:bottom w:val="none" w:sz="0" w:space="0" w:color="auto"/>
                                    <w:right w:val="none" w:sz="0" w:space="0" w:color="auto"/>
                                  </w:divBdr>
                                  <w:divsChild>
                                    <w:div w:id="12861527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73560">
      <w:bodyDiv w:val="1"/>
      <w:marLeft w:val="0"/>
      <w:marRight w:val="0"/>
      <w:marTop w:val="0"/>
      <w:marBottom w:val="0"/>
      <w:divBdr>
        <w:top w:val="none" w:sz="0" w:space="0" w:color="auto"/>
        <w:left w:val="none" w:sz="0" w:space="0" w:color="auto"/>
        <w:bottom w:val="none" w:sz="0" w:space="0" w:color="auto"/>
        <w:right w:val="none" w:sz="0" w:space="0" w:color="auto"/>
      </w:divBdr>
    </w:div>
    <w:div w:id="1566181426">
      <w:marLeft w:val="0"/>
      <w:marRight w:val="0"/>
      <w:marTop w:val="0"/>
      <w:marBottom w:val="0"/>
      <w:divBdr>
        <w:top w:val="none" w:sz="0" w:space="0" w:color="auto"/>
        <w:left w:val="none" w:sz="0" w:space="0" w:color="auto"/>
        <w:bottom w:val="none" w:sz="0" w:space="0" w:color="auto"/>
        <w:right w:val="none" w:sz="0" w:space="0" w:color="auto"/>
      </w:divBdr>
    </w:div>
    <w:div w:id="1566181427">
      <w:marLeft w:val="0"/>
      <w:marRight w:val="0"/>
      <w:marTop w:val="0"/>
      <w:marBottom w:val="0"/>
      <w:divBdr>
        <w:top w:val="none" w:sz="0" w:space="0" w:color="auto"/>
        <w:left w:val="none" w:sz="0" w:space="0" w:color="auto"/>
        <w:bottom w:val="none" w:sz="0" w:space="0" w:color="auto"/>
        <w:right w:val="none" w:sz="0" w:space="0" w:color="auto"/>
      </w:divBdr>
    </w:div>
    <w:div w:id="1566181429">
      <w:marLeft w:val="0"/>
      <w:marRight w:val="0"/>
      <w:marTop w:val="0"/>
      <w:marBottom w:val="0"/>
      <w:divBdr>
        <w:top w:val="none" w:sz="0" w:space="0" w:color="auto"/>
        <w:left w:val="none" w:sz="0" w:space="0" w:color="auto"/>
        <w:bottom w:val="none" w:sz="0" w:space="0" w:color="auto"/>
        <w:right w:val="none" w:sz="0" w:space="0" w:color="auto"/>
      </w:divBdr>
    </w:div>
    <w:div w:id="1566181430">
      <w:marLeft w:val="0"/>
      <w:marRight w:val="0"/>
      <w:marTop w:val="0"/>
      <w:marBottom w:val="0"/>
      <w:divBdr>
        <w:top w:val="none" w:sz="0" w:space="0" w:color="auto"/>
        <w:left w:val="none" w:sz="0" w:space="0" w:color="auto"/>
        <w:bottom w:val="none" w:sz="0" w:space="0" w:color="auto"/>
        <w:right w:val="none" w:sz="0" w:space="0" w:color="auto"/>
      </w:divBdr>
      <w:divsChild>
        <w:div w:id="1566181428">
          <w:marLeft w:val="1166"/>
          <w:marRight w:val="0"/>
          <w:marTop w:val="86"/>
          <w:marBottom w:val="120"/>
          <w:divBdr>
            <w:top w:val="none" w:sz="0" w:space="0" w:color="auto"/>
            <w:left w:val="none" w:sz="0" w:space="0" w:color="auto"/>
            <w:bottom w:val="none" w:sz="0" w:space="0" w:color="auto"/>
            <w:right w:val="none" w:sz="0" w:space="0" w:color="auto"/>
          </w:divBdr>
        </w:div>
      </w:divsChild>
    </w:div>
    <w:div w:id="1670936907">
      <w:bodyDiv w:val="1"/>
      <w:marLeft w:val="0"/>
      <w:marRight w:val="0"/>
      <w:marTop w:val="0"/>
      <w:marBottom w:val="0"/>
      <w:divBdr>
        <w:top w:val="none" w:sz="0" w:space="0" w:color="auto"/>
        <w:left w:val="none" w:sz="0" w:space="0" w:color="auto"/>
        <w:bottom w:val="none" w:sz="0" w:space="0" w:color="auto"/>
        <w:right w:val="none" w:sz="0" w:space="0" w:color="auto"/>
      </w:divBdr>
    </w:div>
    <w:div w:id="1788309261">
      <w:bodyDiv w:val="1"/>
      <w:marLeft w:val="0"/>
      <w:marRight w:val="0"/>
      <w:marTop w:val="0"/>
      <w:marBottom w:val="0"/>
      <w:divBdr>
        <w:top w:val="none" w:sz="0" w:space="0" w:color="auto"/>
        <w:left w:val="none" w:sz="0" w:space="0" w:color="auto"/>
        <w:bottom w:val="none" w:sz="0" w:space="0" w:color="auto"/>
        <w:right w:val="none" w:sz="0" w:space="0" w:color="auto"/>
      </w:divBdr>
    </w:div>
    <w:div w:id="2065714087">
      <w:bodyDiv w:val="1"/>
      <w:marLeft w:val="0"/>
      <w:marRight w:val="0"/>
      <w:marTop w:val="0"/>
      <w:marBottom w:val="0"/>
      <w:divBdr>
        <w:top w:val="none" w:sz="0" w:space="0" w:color="auto"/>
        <w:left w:val="none" w:sz="0" w:space="0" w:color="auto"/>
        <w:bottom w:val="none" w:sz="0" w:space="0" w:color="auto"/>
        <w:right w:val="none" w:sz="0" w:space="0" w:color="auto"/>
      </w:divBdr>
    </w:div>
    <w:div w:id="2105295235">
      <w:bodyDiv w:val="1"/>
      <w:marLeft w:val="0"/>
      <w:marRight w:val="0"/>
      <w:marTop w:val="0"/>
      <w:marBottom w:val="0"/>
      <w:divBdr>
        <w:top w:val="none" w:sz="0" w:space="0" w:color="auto"/>
        <w:left w:val="none" w:sz="0" w:space="0" w:color="auto"/>
        <w:bottom w:val="none" w:sz="0" w:space="0" w:color="auto"/>
        <w:right w:val="none" w:sz="0" w:space="0" w:color="auto"/>
      </w:divBdr>
    </w:div>
    <w:div w:id="2111854829">
      <w:bodyDiv w:val="1"/>
      <w:marLeft w:val="0"/>
      <w:marRight w:val="0"/>
      <w:marTop w:val="0"/>
      <w:marBottom w:val="0"/>
      <w:divBdr>
        <w:top w:val="none" w:sz="0" w:space="0" w:color="auto"/>
        <w:left w:val="none" w:sz="0" w:space="0" w:color="auto"/>
        <w:bottom w:val="none" w:sz="0" w:space="0" w:color="auto"/>
        <w:right w:val="none" w:sz="0" w:space="0" w:color="auto"/>
      </w:divBdr>
    </w:div>
    <w:div w:id="21282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gov/healthypeopl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obamawhitehouse.archives.gov/sites/default/files/docs/national_action_plan_for_combating_antibotic-resistant_bacteria.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amawhitehouse.archives.gov/sites/default/files/docs/carb_national_strategy.pdf" TargetMode="External"/><Relationship Id="rId5" Type="http://schemas.openxmlformats.org/officeDocument/2006/relationships/settings" Target="settings.xml"/><Relationship Id="rId15" Type="http://schemas.openxmlformats.org/officeDocument/2006/relationships/hyperlink" Target="https://www.cdc.gov/mmwr/preview/mmwrhtml/m2e411a1.htm" TargetMode="External"/><Relationship Id="rId23" Type="http://schemas.openxmlformats.org/officeDocument/2006/relationships/theme" Target="theme/theme1.xml"/><Relationship Id="rId10" Type="http://schemas.openxmlformats.org/officeDocument/2006/relationships/hyperlink" Target="https://www.cdc.gov/drugresistance/pdf/threats-report/2019-ar-threats-report-508.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ncezid/dpei/epidemiology-laboratory-capaci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B2B0C-16BD-4820-A93A-72386D49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Strengthening the U.S. Response to Resistant Gonorrhea (SURRG) Protocol</vt:lpstr>
    </vt:vector>
  </TitlesOfParts>
  <Company>ECDC</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the U.S. Response to Resistant Gonorrhea (SURRG) Protocol</dc:title>
  <dc:creator>Shacara Johnson</dc:creator>
  <cp:lastModifiedBy>Kirkcaldy, Bob (CDC/DDID/NCHHSTP/DSTDP)</cp:lastModifiedBy>
  <cp:revision>12</cp:revision>
  <cp:lastPrinted>2020-11-17T18:38:00Z</cp:lastPrinted>
  <dcterms:created xsi:type="dcterms:W3CDTF">2020-11-16T19:48:00Z</dcterms:created>
  <dcterms:modified xsi:type="dcterms:W3CDTF">2021-05-31T00:40:00Z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2020-11-16T19:47:37Z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94da6b34-36fa-4636-bf89-94892b29adea</vt:lpwstr>
  </property>
  <property fmtid="{D5CDD505-2E9C-101B-9397-08002B2CF9AE}" pid="9" name="MSIP_Label_8af03ff0-41c5-4c41-b55e-fabb8fae94be_ContentBits">
    <vt:lpwstr>0</vt:lpwstr>
  </property>
</Properties>
</file>