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6D5A1C" w14:paraId="045D67F4" w14:textId="3DE74CB9">
      <w:pPr>
        <w:jc w:val="center"/>
        <w:rPr>
          <w:rFonts w:eastAsia="Calibri"/>
        </w:rPr>
      </w:pPr>
      <w:r w:rsidRPr="00357C8A">
        <w:rPr>
          <w:rFonts w:eastAsia="Calibri"/>
        </w:rPr>
        <w:t>UNITED STATES FOOD AND DRUG ADMINISTRATION</w:t>
      </w:r>
    </w:p>
    <w:p w:rsidR="00357C8A" w:rsidP="006D5A1C" w14:paraId="0E69B5F0" w14:textId="77777777">
      <w:pPr>
        <w:jc w:val="center"/>
        <w:rPr>
          <w:rFonts w:eastAsia="Calibri"/>
        </w:rPr>
      </w:pPr>
    </w:p>
    <w:p w:rsidR="00357C8A" w:rsidP="006D5A1C" w14:paraId="087577CE" w14:textId="77777777">
      <w:pPr>
        <w:jc w:val="center"/>
        <w:rPr>
          <w:rFonts w:eastAsia="Calibri"/>
        </w:rPr>
      </w:pPr>
      <w:bookmarkStart w:id="0" w:name="_Hlk38466422"/>
      <w:bookmarkStart w:id="1" w:name="_Hlk38013336"/>
      <w:r w:rsidRPr="00750F82">
        <w:rPr>
          <w:rFonts w:eastAsia="Calibri"/>
        </w:rPr>
        <w:t>Food Contact Substance Notification Program</w:t>
      </w:r>
      <w:bookmarkEnd w:id="0"/>
    </w:p>
    <w:bookmarkEnd w:id="1"/>
    <w:p w:rsidR="00750F82" w:rsidP="006D5A1C" w14:paraId="1D81D57B" w14:textId="77777777">
      <w:pPr>
        <w:jc w:val="center"/>
        <w:rPr>
          <w:rFonts w:eastAsia="Calibri"/>
        </w:rPr>
      </w:pPr>
    </w:p>
    <w:p w:rsidR="00357C8A" w:rsidRPr="00124825" w:rsidP="006D5A1C" w14:paraId="18E799A4" w14:textId="10361839">
      <w:pPr>
        <w:jc w:val="center"/>
        <w:rPr>
          <w:rFonts w:eastAsia="Calibri"/>
          <w:u w:val="single"/>
        </w:rPr>
      </w:pPr>
      <w:r w:rsidRPr="00124825">
        <w:rPr>
          <w:rFonts w:eastAsia="Calibri"/>
          <w:u w:val="single"/>
        </w:rPr>
        <w:t>OMB Control No. 0910-</w:t>
      </w:r>
      <w:r w:rsidRPr="00124825" w:rsidR="00750F82">
        <w:rPr>
          <w:rFonts w:eastAsia="Calibri"/>
          <w:u w:val="single"/>
        </w:rPr>
        <w:t>0495</w:t>
      </w:r>
      <w:r w:rsidR="00F96FFC">
        <w:rPr>
          <w:rFonts w:eastAsia="Calibri"/>
          <w:u w:val="single"/>
        </w:rPr>
        <w:t xml:space="preserve"> - Revision</w:t>
      </w:r>
    </w:p>
    <w:p w:rsidR="005B12B5" w:rsidP="006D5A1C" w14:paraId="07FDE6C6" w14:textId="127F4BA4">
      <w:pPr>
        <w:jc w:val="center"/>
        <w:rPr>
          <w:rFonts w:eastAsia="Calibri"/>
        </w:rPr>
      </w:pPr>
      <w:r>
        <w:rPr>
          <w:rFonts w:eastAsia="Calibri"/>
        </w:rPr>
        <w:t>RIN 0910-A</w:t>
      </w:r>
      <w:r w:rsidR="00C939AE">
        <w:rPr>
          <w:rFonts w:eastAsia="Calibri"/>
        </w:rPr>
        <w:t>I</w:t>
      </w:r>
      <w:r>
        <w:rPr>
          <w:rFonts w:eastAsia="Calibri"/>
        </w:rPr>
        <w:t>01</w:t>
      </w:r>
      <w:r w:rsidR="00F96FFC">
        <w:rPr>
          <w:rFonts w:eastAsia="Calibri"/>
        </w:rPr>
        <w:t xml:space="preserve"> – Final Rule</w:t>
      </w:r>
    </w:p>
    <w:p w:rsidR="00357C8A" w:rsidP="006D5A1C" w14:paraId="328AE444" w14:textId="77777777">
      <w:pPr>
        <w:jc w:val="center"/>
        <w:rPr>
          <w:rFonts w:eastAsia="Calibri"/>
        </w:rPr>
      </w:pPr>
    </w:p>
    <w:p w:rsidR="00357C8A" w:rsidP="006D5A1C" w14:paraId="1563D03C" w14:textId="15D4E64F">
      <w:pPr>
        <w:jc w:val="center"/>
        <w:rPr>
          <w:rFonts w:eastAsia="Calibri"/>
        </w:rPr>
      </w:pPr>
      <w:r w:rsidRPr="00357C8A">
        <w:rPr>
          <w:rFonts w:eastAsia="Calibri"/>
        </w:rPr>
        <w:t>SUPPORTING STATEMENT</w:t>
      </w:r>
      <w:r w:rsidR="00D22AE1">
        <w:rPr>
          <w:rFonts w:eastAsia="Calibri"/>
        </w:rPr>
        <w:t xml:space="preserve"> </w:t>
      </w:r>
    </w:p>
    <w:p w:rsidR="00357C8A" w:rsidRPr="00357C8A" w:rsidP="006D5A1C" w14:paraId="313844DF" w14:textId="77777777">
      <w:pPr>
        <w:rPr>
          <w:rFonts w:eastAsia="Calibri"/>
          <w:b/>
        </w:rPr>
      </w:pPr>
    </w:p>
    <w:p w:rsidR="00357C8A" w:rsidP="006D5A1C" w14:paraId="56B6E5E5" w14:textId="77777777">
      <w:pPr>
        <w:rPr>
          <w:rFonts w:eastAsia="Calibri"/>
        </w:rPr>
      </w:pPr>
      <w:r w:rsidRPr="00357C8A">
        <w:rPr>
          <w:rFonts w:eastAsia="Calibri"/>
          <w:b/>
        </w:rPr>
        <w:t>Part A:  Justification</w:t>
      </w:r>
      <w:r w:rsidRPr="00357C8A">
        <w:rPr>
          <w:rFonts w:eastAsia="Calibri"/>
        </w:rPr>
        <w:t>:</w:t>
      </w:r>
    </w:p>
    <w:p w:rsidR="000D79CC" w:rsidRPr="00357C8A" w:rsidP="006D5A1C" w14:paraId="419E5596" w14:textId="77777777">
      <w:pPr>
        <w:rPr>
          <w:rFonts w:eastAsia="Calibri"/>
        </w:rPr>
      </w:pPr>
    </w:p>
    <w:p w:rsidR="00357C8A" w:rsidRPr="00357C8A" w:rsidP="006D5A1C" w14:paraId="72463BB3" w14:textId="77777777">
      <w:pPr>
        <w:numPr>
          <w:ilvl w:val="0"/>
          <w:numId w:val="6"/>
        </w:numPr>
        <w:spacing w:after="200"/>
        <w:rPr>
          <w:rFonts w:eastAsia="Calibri"/>
        </w:rPr>
      </w:pPr>
      <w:r w:rsidRPr="00357C8A">
        <w:rPr>
          <w:rFonts w:eastAsia="Calibri"/>
          <w:u w:val="single"/>
        </w:rPr>
        <w:t>Circumstances Making the Collection of Information Necessary</w:t>
      </w:r>
    </w:p>
    <w:p w:rsidR="003331A4" w:rsidP="006D5A1C" w14:paraId="0E0A1ECD" w14:textId="2378E634">
      <w:pPr>
        <w:rPr>
          <w:rFonts w:eastAsia="Calibri"/>
        </w:rPr>
      </w:pPr>
      <w:r w:rsidRPr="005C71CA">
        <w:rPr>
          <w:rFonts w:eastAsia="Calibri"/>
        </w:rPr>
        <w:t xml:space="preserve">This information collection supports Food and Drug Administration (FDA or we) </w:t>
      </w:r>
      <w:r>
        <w:rPr>
          <w:rFonts w:eastAsia="Calibri"/>
        </w:rPr>
        <w:t>rulemaking</w:t>
      </w:r>
      <w:r w:rsidR="00CC17B1">
        <w:rPr>
          <w:rFonts w:eastAsia="Calibri"/>
        </w:rPr>
        <w:t xml:space="preserve"> that will</w:t>
      </w:r>
      <w:r w:rsidRPr="00CC17B1" w:rsidR="00CC17B1">
        <w:t xml:space="preserve"> </w:t>
      </w:r>
      <w:r w:rsidRPr="00CC17B1" w:rsidR="00CC17B1">
        <w:rPr>
          <w:rFonts w:eastAsia="Calibri"/>
        </w:rPr>
        <w:t xml:space="preserve">revise applicable procedures </w:t>
      </w:r>
      <w:r w:rsidRPr="00C17169" w:rsidR="00C17169">
        <w:rPr>
          <w:rFonts w:eastAsia="Calibri"/>
        </w:rPr>
        <w:t xml:space="preserve">found in 21 CFR part 170, subpart D </w:t>
      </w:r>
      <w:r w:rsidRPr="00CC17B1" w:rsidR="00CC17B1">
        <w:rPr>
          <w:rFonts w:eastAsia="Calibri"/>
        </w:rPr>
        <w:t>by which we determine that a premarket notification for a food contact substance (FCN) is no longer effective</w:t>
      </w:r>
      <w:r>
        <w:rPr>
          <w:rFonts w:eastAsia="Calibri"/>
        </w:rPr>
        <w:t xml:space="preserve">.  </w:t>
      </w:r>
      <w:r w:rsidRPr="00353AD0" w:rsidR="00353AD0">
        <w:rPr>
          <w:rFonts w:eastAsia="Calibri"/>
        </w:rPr>
        <w:t xml:space="preserve">The </w:t>
      </w:r>
      <w:r w:rsidR="002314AC">
        <w:rPr>
          <w:rFonts w:eastAsia="Calibri"/>
        </w:rPr>
        <w:t>final</w:t>
      </w:r>
      <w:r w:rsidRPr="00353AD0" w:rsidR="00353AD0">
        <w:rPr>
          <w:rFonts w:eastAsia="Calibri"/>
        </w:rPr>
        <w:t xml:space="preserve"> rule </w:t>
      </w:r>
      <w:r w:rsidR="006F6A10">
        <w:rPr>
          <w:rFonts w:eastAsia="Calibri"/>
        </w:rPr>
        <w:t>will,</w:t>
      </w:r>
      <w:r w:rsidRPr="00353AD0" w:rsidR="00353AD0">
        <w:rPr>
          <w:rFonts w:eastAsia="Calibri"/>
        </w:rPr>
        <w:t xml:space="preserve"> among other things,</w:t>
      </w:r>
      <w:r w:rsidR="006D2098">
        <w:rPr>
          <w:rFonts w:eastAsia="Calibri"/>
        </w:rPr>
        <w:t xml:space="preserve"> </w:t>
      </w:r>
      <w:r w:rsidRPr="00353AD0" w:rsidR="00353AD0">
        <w:rPr>
          <w:rFonts w:eastAsia="Calibri"/>
        </w:rPr>
        <w:t>ensure that manufacturers or suppliers</w:t>
      </w:r>
      <w:r w:rsidR="006D2098">
        <w:rPr>
          <w:rFonts w:eastAsia="Calibri"/>
        </w:rPr>
        <w:t xml:space="preserve"> </w:t>
      </w:r>
      <w:r w:rsidRPr="00353AD0" w:rsidR="00353AD0">
        <w:rPr>
          <w:rFonts w:eastAsia="Calibri"/>
        </w:rPr>
        <w:t>have the opportunity to provide input</w:t>
      </w:r>
      <w:r w:rsidR="006D2098">
        <w:rPr>
          <w:rFonts w:eastAsia="Calibri"/>
        </w:rPr>
        <w:t xml:space="preserve"> </w:t>
      </w:r>
      <w:r w:rsidRPr="00353AD0" w:rsidR="00353AD0">
        <w:rPr>
          <w:rFonts w:eastAsia="Calibri"/>
        </w:rPr>
        <w:t xml:space="preserve">before </w:t>
      </w:r>
      <w:r w:rsidR="00C91214">
        <w:rPr>
          <w:rFonts w:eastAsia="Calibri"/>
        </w:rPr>
        <w:t xml:space="preserve">FDA </w:t>
      </w:r>
      <w:r w:rsidRPr="00353AD0" w:rsidR="00353AD0">
        <w:rPr>
          <w:rFonts w:eastAsia="Calibri"/>
        </w:rPr>
        <w:t>determine</w:t>
      </w:r>
      <w:r w:rsidR="00C91214">
        <w:rPr>
          <w:rFonts w:eastAsia="Calibri"/>
        </w:rPr>
        <w:t>s</w:t>
      </w:r>
      <w:r w:rsidRPr="00353AD0" w:rsidR="00353AD0">
        <w:rPr>
          <w:rFonts w:eastAsia="Calibri"/>
        </w:rPr>
        <w:t xml:space="preserve"> that an FCN</w:t>
      </w:r>
      <w:r w:rsidR="006D2098">
        <w:rPr>
          <w:rFonts w:eastAsia="Calibri"/>
        </w:rPr>
        <w:t xml:space="preserve"> </w:t>
      </w:r>
      <w:r w:rsidRPr="00353AD0" w:rsidR="00353AD0">
        <w:rPr>
          <w:rFonts w:eastAsia="Calibri"/>
        </w:rPr>
        <w:t xml:space="preserve">is no longer effective. </w:t>
      </w:r>
      <w:r w:rsidR="006F6A10">
        <w:rPr>
          <w:rFonts w:eastAsia="Calibri"/>
        </w:rPr>
        <w:t xml:space="preserve"> </w:t>
      </w:r>
      <w:r w:rsidRPr="00353AD0" w:rsidR="00353AD0">
        <w:rPr>
          <w:rFonts w:eastAsia="Calibri"/>
        </w:rPr>
        <w:t xml:space="preserve">The </w:t>
      </w:r>
      <w:r w:rsidR="006F6A10">
        <w:rPr>
          <w:rFonts w:eastAsia="Calibri"/>
        </w:rPr>
        <w:t>final</w:t>
      </w:r>
      <w:r w:rsidRPr="00353AD0" w:rsidR="006F6A10">
        <w:rPr>
          <w:rFonts w:eastAsia="Calibri"/>
        </w:rPr>
        <w:t xml:space="preserve"> </w:t>
      </w:r>
      <w:r w:rsidRPr="00353AD0" w:rsidR="00353AD0">
        <w:rPr>
          <w:rFonts w:eastAsia="Calibri"/>
        </w:rPr>
        <w:t>rule</w:t>
      </w:r>
      <w:r w:rsidR="006D2098">
        <w:rPr>
          <w:rFonts w:eastAsia="Calibri"/>
        </w:rPr>
        <w:t xml:space="preserve"> </w:t>
      </w:r>
      <w:r w:rsidRPr="00353AD0" w:rsidR="00353AD0">
        <w:rPr>
          <w:rFonts w:eastAsia="Calibri"/>
        </w:rPr>
        <w:t>also w</w:t>
      </w:r>
      <w:r w:rsidR="006F6A10">
        <w:rPr>
          <w:rFonts w:eastAsia="Calibri"/>
        </w:rPr>
        <w:t>ill</w:t>
      </w:r>
      <w:r w:rsidRPr="00353AD0" w:rsidR="00353AD0">
        <w:rPr>
          <w:rFonts w:eastAsia="Calibri"/>
        </w:rPr>
        <w:t xml:space="preserve"> </w:t>
      </w:r>
      <w:r w:rsidR="00C91214">
        <w:rPr>
          <w:rFonts w:eastAsia="Calibri"/>
        </w:rPr>
        <w:t xml:space="preserve">permit providing </w:t>
      </w:r>
      <w:r w:rsidRPr="00353AD0" w:rsidR="00353AD0">
        <w:rPr>
          <w:rFonts w:eastAsia="Calibri"/>
        </w:rPr>
        <w:t>additional reasons</w:t>
      </w:r>
      <w:r w:rsidR="006D2098">
        <w:rPr>
          <w:rFonts w:eastAsia="Calibri"/>
        </w:rPr>
        <w:t xml:space="preserve"> </w:t>
      </w:r>
      <w:r w:rsidRPr="00353AD0" w:rsidR="00353AD0">
        <w:rPr>
          <w:rFonts w:eastAsia="Calibri"/>
        </w:rPr>
        <w:t>that could be the basis for FDA to</w:t>
      </w:r>
      <w:r w:rsidR="006D2098">
        <w:rPr>
          <w:rFonts w:eastAsia="Calibri"/>
        </w:rPr>
        <w:t xml:space="preserve"> </w:t>
      </w:r>
      <w:r w:rsidRPr="00353AD0" w:rsidR="00353AD0">
        <w:rPr>
          <w:rFonts w:eastAsia="Calibri"/>
        </w:rPr>
        <w:t>determine that an FCN is no longer</w:t>
      </w:r>
      <w:r w:rsidR="006D2098">
        <w:rPr>
          <w:rFonts w:eastAsia="Calibri"/>
        </w:rPr>
        <w:t xml:space="preserve"> </w:t>
      </w:r>
      <w:r w:rsidRPr="00353AD0" w:rsidR="00353AD0">
        <w:rPr>
          <w:rFonts w:eastAsia="Calibri"/>
        </w:rPr>
        <w:t>effective.</w:t>
      </w:r>
      <w:r w:rsidR="00D54772">
        <w:rPr>
          <w:rFonts w:eastAsia="Calibri"/>
        </w:rPr>
        <w:t xml:space="preserve">  The </w:t>
      </w:r>
      <w:r w:rsidRPr="00353AD0" w:rsidR="00353AD0">
        <w:rPr>
          <w:rFonts w:eastAsia="Calibri"/>
        </w:rPr>
        <w:t xml:space="preserve">changes </w:t>
      </w:r>
      <w:r w:rsidR="00D54772">
        <w:rPr>
          <w:rFonts w:eastAsia="Calibri"/>
        </w:rPr>
        <w:t xml:space="preserve">are intended </w:t>
      </w:r>
      <w:r w:rsidRPr="00353AD0" w:rsidR="00353AD0">
        <w:rPr>
          <w:rFonts w:eastAsia="Calibri"/>
        </w:rPr>
        <w:t>to better enable FDA to respond</w:t>
      </w:r>
      <w:r w:rsidR="006D2098">
        <w:rPr>
          <w:rFonts w:eastAsia="Calibri"/>
        </w:rPr>
        <w:t xml:space="preserve"> </w:t>
      </w:r>
      <w:r w:rsidRPr="00353AD0" w:rsidR="00353AD0">
        <w:rPr>
          <w:rFonts w:eastAsia="Calibri"/>
        </w:rPr>
        <w:t>to new information on the safety and</w:t>
      </w:r>
      <w:r w:rsidR="006D2098">
        <w:rPr>
          <w:rFonts w:eastAsia="Calibri"/>
        </w:rPr>
        <w:t xml:space="preserve"> </w:t>
      </w:r>
      <w:r w:rsidRPr="00353AD0" w:rsidR="00353AD0">
        <w:rPr>
          <w:rFonts w:eastAsia="Calibri"/>
        </w:rPr>
        <w:t>use of food contact substances, as well</w:t>
      </w:r>
      <w:r w:rsidR="006D2098">
        <w:rPr>
          <w:rFonts w:eastAsia="Calibri"/>
        </w:rPr>
        <w:t xml:space="preserve"> </w:t>
      </w:r>
      <w:r w:rsidRPr="00353AD0" w:rsidR="00353AD0">
        <w:rPr>
          <w:rFonts w:eastAsia="Calibri"/>
        </w:rPr>
        <w:t>as manufacturers’ business decisions,</w:t>
      </w:r>
      <w:r w:rsidR="006D2098">
        <w:rPr>
          <w:rFonts w:eastAsia="Calibri"/>
        </w:rPr>
        <w:t xml:space="preserve"> </w:t>
      </w:r>
      <w:r w:rsidRPr="00353AD0" w:rsidR="00353AD0">
        <w:rPr>
          <w:rFonts w:eastAsia="Calibri"/>
        </w:rPr>
        <w:t>which w</w:t>
      </w:r>
      <w:r w:rsidR="007D385F">
        <w:rPr>
          <w:rFonts w:eastAsia="Calibri"/>
        </w:rPr>
        <w:t>ill</w:t>
      </w:r>
      <w:r w:rsidRPr="00353AD0" w:rsidR="00353AD0">
        <w:rPr>
          <w:rFonts w:eastAsia="Calibri"/>
        </w:rPr>
        <w:t xml:space="preserve"> also improve our FCN</w:t>
      </w:r>
      <w:r w:rsidR="006D2098">
        <w:rPr>
          <w:rFonts w:eastAsia="Calibri"/>
        </w:rPr>
        <w:t xml:space="preserve"> </w:t>
      </w:r>
      <w:r w:rsidRPr="00353AD0" w:rsidR="00353AD0">
        <w:rPr>
          <w:rFonts w:eastAsia="Calibri"/>
        </w:rPr>
        <w:t>program’s efficiency</w:t>
      </w:r>
      <w:r w:rsidR="006D2098">
        <w:rPr>
          <w:rFonts w:eastAsia="Calibri"/>
        </w:rPr>
        <w:t>.</w:t>
      </w:r>
    </w:p>
    <w:p w:rsidR="00423272" w:rsidP="006D5A1C" w14:paraId="1240A5B3" w14:textId="77777777">
      <w:pPr>
        <w:rPr>
          <w:rFonts w:eastAsia="Calibri"/>
        </w:rPr>
      </w:pPr>
    </w:p>
    <w:p w:rsidR="00357C8A" w:rsidP="006D5A1C" w14:paraId="5521800B" w14:textId="29CF78AD">
      <w:pPr>
        <w:rPr>
          <w:rFonts w:eastAsia="Calibri"/>
          <w:i/>
        </w:rPr>
      </w:pPr>
      <w:r w:rsidRPr="005C71CA">
        <w:rPr>
          <w:rFonts w:eastAsia="Calibri"/>
        </w:rPr>
        <w:t xml:space="preserve">We therefore request OMB approval of </w:t>
      </w:r>
      <w:r w:rsidR="005A059C">
        <w:rPr>
          <w:rFonts w:eastAsia="Calibri"/>
        </w:rPr>
        <w:t>the reporting provisions</w:t>
      </w:r>
      <w:r w:rsidR="0037517A">
        <w:rPr>
          <w:rFonts w:eastAsia="Calibri"/>
        </w:rPr>
        <w:t xml:space="preserve"> applicable to</w:t>
      </w:r>
      <w:r w:rsidRPr="005C71CA">
        <w:rPr>
          <w:rFonts w:eastAsia="Calibri"/>
        </w:rPr>
        <w:t xml:space="preserve"> 21 CFR </w:t>
      </w:r>
      <w:r w:rsidR="005A059C">
        <w:rPr>
          <w:rFonts w:eastAsia="Calibri"/>
        </w:rPr>
        <w:t>170.105</w:t>
      </w:r>
      <w:r w:rsidR="0037517A">
        <w:rPr>
          <w:rFonts w:eastAsia="Calibri"/>
        </w:rPr>
        <w:t>,</w:t>
      </w:r>
      <w:r w:rsidR="003D09F9">
        <w:rPr>
          <w:rFonts w:eastAsia="Calibri"/>
        </w:rPr>
        <w:t xml:space="preserve"> </w:t>
      </w:r>
      <w:r w:rsidRPr="005C71CA">
        <w:rPr>
          <w:rFonts w:eastAsia="Calibri"/>
        </w:rPr>
        <w:t xml:space="preserve">as </w:t>
      </w:r>
      <w:r w:rsidR="003D09F9">
        <w:rPr>
          <w:rFonts w:eastAsia="Calibri"/>
        </w:rPr>
        <w:t xml:space="preserve">revised by the rulemaking and </w:t>
      </w:r>
      <w:r w:rsidRPr="005C71CA">
        <w:rPr>
          <w:rFonts w:eastAsia="Calibri"/>
        </w:rPr>
        <w:t>discussed in this supporting statement.</w:t>
      </w:r>
    </w:p>
    <w:p w:rsidR="005A059C" w:rsidRPr="005A059C" w:rsidP="006D5A1C" w14:paraId="013A12CC" w14:textId="77777777">
      <w:pPr>
        <w:rPr>
          <w:rFonts w:eastAsia="Calibri"/>
        </w:rPr>
      </w:pPr>
    </w:p>
    <w:p w:rsidR="00357C8A" w:rsidRPr="00357C8A" w:rsidP="006D5A1C" w14:paraId="2BEFC5B2" w14:textId="77777777">
      <w:pPr>
        <w:numPr>
          <w:ilvl w:val="0"/>
          <w:numId w:val="6"/>
        </w:numPr>
        <w:spacing w:after="200"/>
        <w:rPr>
          <w:rFonts w:eastAsia="Calibri"/>
          <w:u w:val="single"/>
        </w:rPr>
      </w:pPr>
      <w:r w:rsidRPr="00357C8A">
        <w:rPr>
          <w:rFonts w:eastAsia="Calibri"/>
          <w:u w:val="single"/>
        </w:rPr>
        <w:t xml:space="preserve">Purpose and Use of the Information Collection </w:t>
      </w:r>
    </w:p>
    <w:p w:rsidR="009818A1" w:rsidP="006D5A1C" w14:paraId="2880103D" w14:textId="77777777">
      <w:pPr>
        <w:spacing w:after="200"/>
        <w:rPr>
          <w:rFonts w:eastAsia="Calibri"/>
        </w:rPr>
      </w:pPr>
      <w:r>
        <w:rPr>
          <w:rFonts w:eastAsia="Calibri"/>
        </w:rPr>
        <w:t>We</w:t>
      </w:r>
      <w:r w:rsidR="00D163D5">
        <w:rPr>
          <w:rFonts w:eastAsia="Calibri"/>
        </w:rPr>
        <w:t xml:space="preserve"> will review relevant i</w:t>
      </w:r>
      <w:r w:rsidRPr="00B95D50" w:rsidR="00D163D5">
        <w:rPr>
          <w:rFonts w:eastAsia="Calibri"/>
        </w:rPr>
        <w:t>nformation and data</w:t>
      </w:r>
      <w:r w:rsidR="00D163D5">
        <w:rPr>
          <w:rFonts w:eastAsia="Calibri"/>
        </w:rPr>
        <w:t xml:space="preserve"> submitted by </w:t>
      </w:r>
      <w:r w:rsidR="00B95D50">
        <w:rPr>
          <w:rFonts w:eastAsia="Calibri"/>
        </w:rPr>
        <w:t xml:space="preserve">the affected </w:t>
      </w:r>
      <w:r w:rsidRPr="00B95D50" w:rsidR="00B95D50">
        <w:rPr>
          <w:rFonts w:eastAsia="Calibri"/>
        </w:rPr>
        <w:t>manufacturer or supplier</w:t>
      </w:r>
      <w:r w:rsidR="00B95D50">
        <w:rPr>
          <w:rFonts w:eastAsia="Calibri"/>
        </w:rPr>
        <w:t xml:space="preserve"> of the </w:t>
      </w:r>
      <w:r w:rsidRPr="00B95D50" w:rsidR="00B95D50">
        <w:rPr>
          <w:rFonts w:eastAsia="Calibri"/>
        </w:rPr>
        <w:t>food contact substance</w:t>
      </w:r>
      <w:r w:rsidR="00B95D50">
        <w:rPr>
          <w:rFonts w:eastAsia="Calibri"/>
        </w:rPr>
        <w:t xml:space="preserve"> </w:t>
      </w:r>
      <w:r w:rsidR="00C56160">
        <w:rPr>
          <w:rFonts w:eastAsia="Calibri"/>
        </w:rPr>
        <w:t>in response</w:t>
      </w:r>
      <w:r w:rsidR="00B95D50">
        <w:rPr>
          <w:rFonts w:eastAsia="Calibri"/>
        </w:rPr>
        <w:t xml:space="preserve"> </w:t>
      </w:r>
      <w:r w:rsidR="00C56160">
        <w:rPr>
          <w:rFonts w:eastAsia="Calibri"/>
        </w:rPr>
        <w:t>to new information that their FCN may</w:t>
      </w:r>
      <w:r w:rsidRPr="00D77C97" w:rsidR="00C56160">
        <w:rPr>
          <w:rFonts w:eastAsia="Calibri"/>
        </w:rPr>
        <w:t xml:space="preserve"> no longer </w:t>
      </w:r>
      <w:r w:rsidR="00C56160">
        <w:rPr>
          <w:rFonts w:eastAsia="Calibri"/>
        </w:rPr>
        <w:t xml:space="preserve">be </w:t>
      </w:r>
      <w:r w:rsidRPr="00D77C97" w:rsidR="00C56160">
        <w:rPr>
          <w:rFonts w:eastAsia="Calibri"/>
        </w:rPr>
        <w:t>effective</w:t>
      </w:r>
      <w:r w:rsidR="00B95D50">
        <w:rPr>
          <w:rFonts w:eastAsia="Calibri"/>
        </w:rPr>
        <w:t>.</w:t>
      </w:r>
      <w:r w:rsidR="00D163D5">
        <w:rPr>
          <w:rFonts w:eastAsia="Calibri"/>
        </w:rPr>
        <w:t xml:space="preserve">  </w:t>
      </w:r>
      <w:r w:rsidR="00C56160">
        <w:rPr>
          <w:rFonts w:eastAsia="Calibri"/>
        </w:rPr>
        <w:t>W</w:t>
      </w:r>
      <w:r w:rsidRPr="00C56160" w:rsidR="00C56160">
        <w:rPr>
          <w:rFonts w:eastAsia="Calibri"/>
        </w:rPr>
        <w:t xml:space="preserve">e may determine that the specified FCN may no longer be effective for its intended use </w:t>
      </w:r>
      <w:r w:rsidR="00C56160">
        <w:rPr>
          <w:rFonts w:eastAsia="Calibri"/>
        </w:rPr>
        <w:t>based on</w:t>
      </w:r>
      <w:r w:rsidR="00D163D5">
        <w:rPr>
          <w:rFonts w:eastAsia="Calibri"/>
        </w:rPr>
        <w:t xml:space="preserve"> either</w:t>
      </w:r>
      <w:r w:rsidR="00BB7977">
        <w:rPr>
          <w:rFonts w:eastAsia="Calibri"/>
        </w:rPr>
        <w:t>:</w:t>
      </w:r>
      <w:r w:rsidR="00D163D5">
        <w:rPr>
          <w:rFonts w:eastAsia="Calibri"/>
        </w:rPr>
        <w:t xml:space="preserve"> </w:t>
      </w:r>
      <w:r w:rsidRPr="00C56160" w:rsidR="00C56160">
        <w:rPr>
          <w:rFonts w:eastAsia="Calibri"/>
        </w:rPr>
        <w:t>(1) not safe for its intended use; or (2) stopped being produced, supplied, or used as a food contact substance for its intended use; or (3) authorized by a food additive regulation; or (4) covered by a threshold of regulation exemption.</w:t>
      </w:r>
      <w:r w:rsidR="00D163D5">
        <w:rPr>
          <w:rFonts w:eastAsia="Calibri"/>
        </w:rPr>
        <w:t xml:space="preserve"> </w:t>
      </w:r>
    </w:p>
    <w:p w:rsidR="00D163D5" w:rsidRPr="00D163D5" w:rsidP="006D5A1C" w14:paraId="53FBB995" w14:textId="77777777">
      <w:pPr>
        <w:spacing w:after="200"/>
        <w:rPr>
          <w:rFonts w:eastAsia="Calibri"/>
        </w:rPr>
      </w:pPr>
      <w:r w:rsidRPr="00D163D5">
        <w:rPr>
          <w:rFonts w:eastAsia="Calibri"/>
          <w:i/>
        </w:rPr>
        <w:t>Description of Respondents</w:t>
      </w:r>
      <w:r w:rsidRPr="00D163D5">
        <w:rPr>
          <w:rFonts w:eastAsia="Calibri"/>
        </w:rPr>
        <w:t xml:space="preserve">:  Respondents to the information collection are manufacturers and suppliers of food contact substances sold in the United States.  Respondents </w:t>
      </w:r>
      <w:r w:rsidR="00C56160">
        <w:rPr>
          <w:rFonts w:eastAsia="Calibri"/>
        </w:rPr>
        <w:t>are from</w:t>
      </w:r>
      <w:r w:rsidRPr="00D163D5">
        <w:rPr>
          <w:rFonts w:eastAsia="Calibri"/>
        </w:rPr>
        <w:t xml:space="preserve"> the private sector (for-profit </w:t>
      </w:r>
      <w:r w:rsidR="00C56160">
        <w:rPr>
          <w:rFonts w:eastAsia="Calibri"/>
        </w:rPr>
        <w:t>businesses</w:t>
      </w:r>
      <w:r w:rsidRPr="00D163D5">
        <w:rPr>
          <w:rFonts w:eastAsia="Calibri"/>
        </w:rPr>
        <w:t>).</w:t>
      </w:r>
    </w:p>
    <w:p w:rsidR="00357C8A" w:rsidRPr="00357C8A" w:rsidP="006D5A1C" w14:paraId="7B0B5AE9" w14:textId="77777777">
      <w:pPr>
        <w:numPr>
          <w:ilvl w:val="0"/>
          <w:numId w:val="6"/>
        </w:numPr>
        <w:spacing w:after="200"/>
        <w:rPr>
          <w:rFonts w:eastAsia="Calibri"/>
          <w:u w:val="single"/>
        </w:rPr>
      </w:pPr>
      <w:r w:rsidRPr="00357C8A">
        <w:rPr>
          <w:rFonts w:eastAsia="Calibri"/>
          <w:u w:val="single"/>
        </w:rPr>
        <w:t>Use of Improved Information Technology and Burden Reduction</w:t>
      </w:r>
    </w:p>
    <w:p w:rsidR="00357C8A" w:rsidP="006D5A1C" w14:paraId="7DAB93A1" w14:textId="530BFFC3">
      <w:pPr>
        <w:spacing w:after="200"/>
        <w:rPr>
          <w:rFonts w:eastAsia="Calibri"/>
        </w:rPr>
      </w:pPr>
      <w:r>
        <w:rPr>
          <w:rFonts w:eastAsia="Calibri"/>
        </w:rPr>
        <w:t>FCNs</w:t>
      </w:r>
      <w:r w:rsidRPr="00BB7977">
        <w:rPr>
          <w:rFonts w:eastAsia="Calibri"/>
        </w:rPr>
        <w:t xml:space="preserve"> and formulations contain summaries of data and narrative text.  FDA currently accepts this information electronically via the </w:t>
      </w:r>
      <w:r w:rsidRPr="00E71E84" w:rsidR="00E71E84">
        <w:rPr>
          <w:rFonts w:eastAsia="Calibri"/>
        </w:rPr>
        <w:t>CFSAN Online Submission Module (COSM)</w:t>
      </w:r>
      <w:r w:rsidRPr="00BB7977">
        <w:rPr>
          <w:rFonts w:eastAsia="Calibri"/>
        </w:rPr>
        <w:t xml:space="preserve"> or electronic media (such as: CD ROM, DVD).  </w:t>
      </w:r>
      <w:r>
        <w:rPr>
          <w:rFonts w:eastAsia="Calibri"/>
        </w:rPr>
        <w:t xml:space="preserve">We expect the requests for withdrawal and responses to be submitted the same way.  </w:t>
      </w:r>
      <w:r w:rsidRPr="00BB7977">
        <w:rPr>
          <w:rFonts w:eastAsia="Calibri"/>
        </w:rPr>
        <w:t xml:space="preserve">The agency estimates that all </w:t>
      </w:r>
      <w:r>
        <w:rPr>
          <w:rFonts w:eastAsia="Calibri"/>
        </w:rPr>
        <w:t>withdrawal requests and responses</w:t>
      </w:r>
      <w:r w:rsidR="00D23B8B">
        <w:rPr>
          <w:rFonts w:eastAsia="Calibri"/>
        </w:rPr>
        <w:t xml:space="preserve"> to it</w:t>
      </w:r>
      <w:r w:rsidRPr="00BB7977">
        <w:rPr>
          <w:rFonts w:eastAsia="Calibri"/>
        </w:rPr>
        <w:t xml:space="preserve"> (100%) will be submitted electronically </w:t>
      </w:r>
      <w:r w:rsidR="00321EE1">
        <w:rPr>
          <w:rFonts w:eastAsia="Calibri"/>
        </w:rPr>
        <w:t>over</w:t>
      </w:r>
      <w:r w:rsidRPr="00BB7977">
        <w:rPr>
          <w:rFonts w:eastAsia="Calibri"/>
        </w:rPr>
        <w:t xml:space="preserve"> the next three years.</w:t>
      </w:r>
    </w:p>
    <w:p w:rsidR="00016F41" w:rsidRPr="00AC44B7" w:rsidP="00AC44B7" w14:paraId="03C49F4D" w14:textId="130828AF">
      <w:pPr>
        <w:spacing w:after="200"/>
        <w:rPr>
          <w:rFonts w:eastAsia="Calibri"/>
          <w:u w:val="single"/>
        </w:rPr>
      </w:pPr>
      <w:r w:rsidRPr="00AC44B7">
        <w:rPr>
          <w:rFonts w:eastAsia="Calibri"/>
        </w:rPr>
        <w:t xml:space="preserve">In addition, to avoid unnecessary duplication for individual submissions, existing data would be used whenever possible by FDA in evaluating notifications for food contact substances.  We use an image-based document management system to permit the agency to track effective notifications and to permit the agency to determine if a food contact substance has already been reviewed by the agency.  </w:t>
      </w:r>
    </w:p>
    <w:p w:rsidR="00357C8A" w:rsidRPr="00357C8A" w:rsidP="006D5A1C" w14:paraId="3A4B7269" w14:textId="4E393575">
      <w:pPr>
        <w:numPr>
          <w:ilvl w:val="0"/>
          <w:numId w:val="6"/>
        </w:numPr>
        <w:spacing w:after="200"/>
        <w:rPr>
          <w:rFonts w:eastAsia="Calibri"/>
        </w:rPr>
      </w:pPr>
      <w:r w:rsidRPr="00357C8A">
        <w:rPr>
          <w:rFonts w:eastAsia="Calibri"/>
          <w:u w:val="single"/>
        </w:rPr>
        <w:t xml:space="preserve">Efforts to Identify Duplication and Use of Similar Information </w:t>
      </w:r>
    </w:p>
    <w:p w:rsidR="00BB7977" w:rsidP="006D5A1C" w14:paraId="7B7107C6" w14:textId="69964F63">
      <w:pPr>
        <w:spacing w:after="200"/>
      </w:pPr>
      <w:r>
        <w:t>We are unaware of duplicative information collection.  W</w:t>
      </w:r>
      <w:r w:rsidR="00BD547D">
        <w:t>e</w:t>
      </w:r>
      <w:r>
        <w:t xml:space="preserve"> continue to work with EPA and USDA to eliminate areas of duplicate data collection and evaluation.  USDA eliminated its approval processes for components of food contact materials that duplicated FDA’s processes.  In addition, the Food Quality Protection Act of 1996 gave sole jurisdiction to EPA for certain substances formerly regulated by FDA as food additives and by EPA as pesticide chemicals.  Currently there is no significant duplication of data collection and evaluation for food contact substances among Federal agencies with jurisdiction.  </w:t>
      </w:r>
      <w:r w:rsidR="00151EF9">
        <w:t>We</w:t>
      </w:r>
      <w:r>
        <w:t xml:space="preserve"> also maintain on the FDA Internet site a list of effective notifications.</w:t>
      </w:r>
      <w:r w:rsidR="001C3086">
        <w:t xml:space="preserve">  </w:t>
      </w:r>
      <w:r w:rsidR="00151EF9">
        <w:t>We</w:t>
      </w:r>
      <w:r w:rsidR="00515B6D">
        <w:t xml:space="preserve"> will be the only agency reviewing</w:t>
      </w:r>
      <w:r w:rsidR="001C3086">
        <w:t xml:space="preserve"> withdrawal </w:t>
      </w:r>
      <w:r w:rsidR="00515B6D">
        <w:t xml:space="preserve">requests </w:t>
      </w:r>
      <w:r w:rsidR="001C3086">
        <w:t xml:space="preserve">and </w:t>
      </w:r>
      <w:r w:rsidR="00515B6D">
        <w:t xml:space="preserve">their </w:t>
      </w:r>
      <w:r w:rsidR="001C3086">
        <w:t xml:space="preserve">corresponding responses. </w:t>
      </w:r>
    </w:p>
    <w:p w:rsidR="00357C8A" w:rsidRPr="00357C8A" w:rsidP="006D5A1C" w14:paraId="3A442AC5" w14:textId="77777777">
      <w:pPr>
        <w:numPr>
          <w:ilvl w:val="0"/>
          <w:numId w:val="6"/>
        </w:numPr>
        <w:spacing w:after="200"/>
        <w:rPr>
          <w:rFonts w:eastAsia="Calibri"/>
        </w:rPr>
      </w:pPr>
      <w:r w:rsidRPr="00357C8A">
        <w:rPr>
          <w:rFonts w:eastAsia="Calibri"/>
          <w:u w:val="single"/>
        </w:rPr>
        <w:t>Impact on Small Businesses or Other Small Entities</w:t>
      </w:r>
    </w:p>
    <w:p w:rsidR="00515B6D" w:rsidRPr="00515B6D" w:rsidP="006D5A1C" w14:paraId="64299A83" w14:textId="0AEFC49D">
      <w:pPr>
        <w:spacing w:after="200"/>
        <w:rPr>
          <w:rFonts w:eastAsia="Calibri"/>
        </w:rPr>
      </w:pPr>
      <w:r>
        <w:rPr>
          <w:rFonts w:eastAsia="Calibri"/>
        </w:rPr>
        <w:t xml:space="preserve">The information collection poses no undue burden on small entities.  </w:t>
      </w:r>
      <w:r w:rsidR="00F33CC1">
        <w:rPr>
          <w:rFonts w:eastAsia="Calibri"/>
        </w:rPr>
        <w:t>We</w:t>
      </w:r>
      <w:r w:rsidRPr="00515B6D" w:rsidR="00F33CC1">
        <w:rPr>
          <w:rFonts w:eastAsia="Calibri"/>
        </w:rPr>
        <w:t xml:space="preserve"> estimate that </w:t>
      </w:r>
      <w:r w:rsidR="00F33CC1">
        <w:rPr>
          <w:rFonts w:eastAsia="Calibri"/>
        </w:rPr>
        <w:t>fifty</w:t>
      </w:r>
      <w:r w:rsidRPr="00515B6D" w:rsidR="00F33CC1">
        <w:rPr>
          <w:rFonts w:eastAsia="Calibri"/>
        </w:rPr>
        <w:t xml:space="preserve"> percent (</w:t>
      </w:r>
      <w:r w:rsidR="00551A17">
        <w:rPr>
          <w:rFonts w:eastAsia="Calibri"/>
        </w:rPr>
        <w:t>50</w:t>
      </w:r>
      <w:r w:rsidRPr="00515B6D" w:rsidR="00F33CC1">
        <w:rPr>
          <w:rFonts w:eastAsia="Calibri"/>
        </w:rPr>
        <w:t xml:space="preserve">%) of respondents are small businesses.  </w:t>
      </w:r>
      <w:r>
        <w:rPr>
          <w:rFonts w:eastAsia="Calibri"/>
        </w:rPr>
        <w:t xml:space="preserve">We believe that </w:t>
      </w:r>
      <w:r w:rsidR="00021ECD">
        <w:rPr>
          <w:rFonts w:eastAsia="Calibri"/>
        </w:rPr>
        <w:t xml:space="preserve">the revised requirements will help simplify </w:t>
      </w:r>
      <w:r w:rsidRPr="00515B6D" w:rsidR="00F33CC1">
        <w:rPr>
          <w:rFonts w:eastAsia="Calibri"/>
        </w:rPr>
        <w:t>premarket notification process</w:t>
      </w:r>
      <w:r w:rsidR="00021ECD">
        <w:rPr>
          <w:rFonts w:eastAsia="Calibri"/>
        </w:rPr>
        <w:t>es</w:t>
      </w:r>
      <w:r w:rsidRPr="00515B6D" w:rsidR="00F33CC1">
        <w:rPr>
          <w:rFonts w:eastAsia="Calibri"/>
        </w:rPr>
        <w:t xml:space="preserve"> for small businesses </w:t>
      </w:r>
      <w:r w:rsidR="00021ECD">
        <w:rPr>
          <w:rFonts w:eastAsia="Calibri"/>
        </w:rPr>
        <w:t xml:space="preserve">who </w:t>
      </w:r>
      <w:r w:rsidR="00551A17">
        <w:rPr>
          <w:rFonts w:eastAsia="Calibri"/>
        </w:rPr>
        <w:t xml:space="preserve">voluntarily </w:t>
      </w:r>
      <w:r w:rsidR="00151EF9">
        <w:rPr>
          <w:rFonts w:eastAsia="Calibri"/>
        </w:rPr>
        <w:t xml:space="preserve">request to </w:t>
      </w:r>
      <w:r w:rsidR="00551A17">
        <w:rPr>
          <w:rFonts w:eastAsia="Calibri"/>
        </w:rPr>
        <w:t>withdraw an FCN</w:t>
      </w:r>
      <w:r w:rsidRPr="00551A17" w:rsidR="00551A17">
        <w:t xml:space="preserve"> </w:t>
      </w:r>
      <w:r w:rsidRPr="00551A17" w:rsidR="00551A17">
        <w:rPr>
          <w:rFonts w:eastAsia="Calibri"/>
        </w:rPr>
        <w:t>instead of submitting data or other information demonstrat</w:t>
      </w:r>
      <w:r w:rsidR="00021ECD">
        <w:rPr>
          <w:rFonts w:eastAsia="Calibri"/>
        </w:rPr>
        <w:t>ing</w:t>
      </w:r>
      <w:r w:rsidRPr="00551A17" w:rsidR="00551A17">
        <w:rPr>
          <w:rFonts w:eastAsia="Calibri"/>
        </w:rPr>
        <w:t xml:space="preserve"> an FCN is no longer safe</w:t>
      </w:r>
      <w:r w:rsidR="004D2813">
        <w:rPr>
          <w:rFonts w:eastAsia="Calibri"/>
        </w:rPr>
        <w:t xml:space="preserve"> for its intended use</w:t>
      </w:r>
      <w:r w:rsidRPr="00515B6D" w:rsidR="00F33CC1">
        <w:rPr>
          <w:rFonts w:eastAsia="Calibri"/>
        </w:rPr>
        <w:t xml:space="preserve">.  </w:t>
      </w:r>
    </w:p>
    <w:p w:rsidR="00515B6D" w:rsidRPr="00515B6D" w:rsidP="006D5A1C" w14:paraId="2B19705A" w14:textId="195E8D63">
      <w:pPr>
        <w:spacing w:after="200"/>
        <w:rPr>
          <w:rFonts w:eastAsia="Calibri"/>
        </w:rPr>
      </w:pPr>
      <w:r>
        <w:rPr>
          <w:rFonts w:eastAsia="Calibri"/>
        </w:rPr>
        <w:t>Additionally, w</w:t>
      </w:r>
      <w:r w:rsidRPr="00515B6D" w:rsidR="00F33CC1">
        <w:rPr>
          <w:rFonts w:eastAsia="Calibri"/>
        </w:rPr>
        <w:t xml:space="preserve">henever possible, individual assistance will be given to requesters to minimize the likelihood that unnecessary work is performed.  </w:t>
      </w:r>
      <w:r w:rsidR="002474A8">
        <w:rPr>
          <w:rFonts w:eastAsia="Calibri"/>
        </w:rPr>
        <w:t>We</w:t>
      </w:r>
      <w:r w:rsidRPr="00515B6D" w:rsidR="00F33CC1">
        <w:rPr>
          <w:rFonts w:eastAsia="Calibri"/>
        </w:rPr>
        <w:t xml:space="preserve"> aid small businesses in complying with its requirements through the agency’s Regional Small Business Representatives and through the scientific and administrative staffs within the agency.</w:t>
      </w:r>
    </w:p>
    <w:p w:rsidR="00357C8A" w:rsidRPr="00357C8A" w:rsidP="006D5A1C" w14:paraId="09F80198" w14:textId="1563A06D">
      <w:pPr>
        <w:spacing w:after="200"/>
        <w:rPr>
          <w:rFonts w:eastAsia="Calibri"/>
        </w:rPr>
      </w:pPr>
      <w:r>
        <w:rPr>
          <w:rFonts w:eastAsia="Calibri"/>
        </w:rPr>
        <w:t>We</w:t>
      </w:r>
      <w:r w:rsidRPr="00515B6D" w:rsidR="00515B6D">
        <w:rPr>
          <w:rFonts w:eastAsia="Calibri"/>
        </w:rPr>
        <w:t xml:space="preserve"> </w:t>
      </w:r>
      <w:r w:rsidR="008174F3">
        <w:rPr>
          <w:rFonts w:eastAsia="Calibri"/>
        </w:rPr>
        <w:t xml:space="preserve">also </w:t>
      </w:r>
      <w:r w:rsidRPr="00515B6D" w:rsidR="00515B6D">
        <w:rPr>
          <w:rFonts w:eastAsia="Calibri"/>
        </w:rPr>
        <w:t xml:space="preserve">provide </w:t>
      </w:r>
      <w:r w:rsidR="00460DD0">
        <w:rPr>
          <w:rFonts w:eastAsia="Calibri"/>
        </w:rPr>
        <w:t>s</w:t>
      </w:r>
      <w:r w:rsidRPr="00515B6D" w:rsidR="00515B6D">
        <w:rPr>
          <w:rFonts w:eastAsia="Calibri"/>
        </w:rPr>
        <w:t xml:space="preserve">mall </w:t>
      </w:r>
      <w:r w:rsidR="00460DD0">
        <w:rPr>
          <w:rFonts w:eastAsia="Calibri"/>
        </w:rPr>
        <w:t>b</w:t>
      </w:r>
      <w:r w:rsidRPr="00515B6D" w:rsidR="00515B6D">
        <w:rPr>
          <w:rFonts w:eastAsia="Calibri"/>
        </w:rPr>
        <w:t xml:space="preserve">usiness </w:t>
      </w:r>
      <w:r w:rsidR="00460DD0">
        <w:rPr>
          <w:rFonts w:eastAsia="Calibri"/>
        </w:rPr>
        <w:t>assistance</w:t>
      </w:r>
      <w:r w:rsidRPr="00515B6D" w:rsidR="00515B6D">
        <w:rPr>
          <w:rFonts w:eastAsia="Calibri"/>
        </w:rPr>
        <w:t xml:space="preserve"> on the agency’s website at  </w:t>
      </w:r>
      <w:hyperlink r:id="rId4" w:history="1">
        <w:r w:rsidRPr="002E4D58" w:rsidR="002E4D58">
          <w:rPr>
            <w:rStyle w:val="Hyperlink"/>
            <w:rFonts w:eastAsia="Calibri"/>
          </w:rPr>
          <w:t>https://www.fda.gov/industry/small-business-assistance</w:t>
        </w:r>
      </w:hyperlink>
      <w:r w:rsidRPr="00515B6D" w:rsidR="00515B6D">
        <w:rPr>
          <w:rFonts w:eastAsia="Calibri"/>
        </w:rPr>
        <w:t>.</w:t>
      </w:r>
    </w:p>
    <w:p w:rsidR="00357C8A" w:rsidRPr="00357C8A" w:rsidP="006D5A1C" w14:paraId="0A61CFFB" w14:textId="77777777">
      <w:pPr>
        <w:numPr>
          <w:ilvl w:val="0"/>
          <w:numId w:val="6"/>
        </w:numPr>
        <w:spacing w:after="200"/>
        <w:rPr>
          <w:rFonts w:eastAsia="Calibri"/>
          <w:u w:val="single"/>
        </w:rPr>
      </w:pPr>
      <w:r w:rsidRPr="00357C8A">
        <w:rPr>
          <w:rFonts w:eastAsia="Calibri"/>
          <w:u w:val="single"/>
        </w:rPr>
        <w:t>Consequences of Collecting the Information Less Frequently</w:t>
      </w:r>
    </w:p>
    <w:p w:rsidR="00357C8A" w:rsidRPr="00860043" w:rsidP="006D5A1C" w14:paraId="657486A8" w14:textId="4DEE56A0">
      <w:pPr>
        <w:spacing w:after="200"/>
        <w:rPr>
          <w:rFonts w:eastAsia="Calibri"/>
        </w:rPr>
      </w:pPr>
      <w:r>
        <w:rPr>
          <w:rFonts w:eastAsia="Calibri"/>
        </w:rPr>
        <w:t>The information collection schedule is consistent with applicable statutory and regulatory authorities.</w:t>
      </w:r>
      <w:r w:rsidR="00425D8E">
        <w:rPr>
          <w:rFonts w:eastAsia="Calibri"/>
        </w:rPr>
        <w:t xml:space="preserve"> </w:t>
      </w:r>
    </w:p>
    <w:p w:rsidR="00357C8A" w:rsidRPr="00357C8A" w:rsidP="006D5A1C" w14:paraId="425EB6E5" w14:textId="77777777">
      <w:pPr>
        <w:numPr>
          <w:ilvl w:val="0"/>
          <w:numId w:val="6"/>
        </w:numPr>
        <w:spacing w:after="200"/>
        <w:rPr>
          <w:rFonts w:eastAsia="Calibri"/>
        </w:rPr>
      </w:pPr>
      <w:r w:rsidRPr="00357C8A">
        <w:rPr>
          <w:rFonts w:eastAsia="Calibri"/>
          <w:u w:val="single"/>
        </w:rPr>
        <w:t>Special Circumstances Relating to the Guidelines of 5 CFR 1320.5</w:t>
      </w:r>
    </w:p>
    <w:p w:rsidR="00357C8A" w:rsidRPr="00357C8A" w:rsidP="006D5A1C" w14:paraId="469B3D31" w14:textId="77777777">
      <w:pPr>
        <w:spacing w:after="200"/>
        <w:rPr>
          <w:rFonts w:eastAsia="Calibri"/>
        </w:rPr>
      </w:pPr>
      <w:r w:rsidRPr="00CD0E79">
        <w:rPr>
          <w:rFonts w:eastAsia="Calibri"/>
        </w:rPr>
        <w:t>There are no special circumstances associated with this collection of information.</w:t>
      </w:r>
    </w:p>
    <w:p w:rsidR="00357C8A" w:rsidRPr="00357C8A" w:rsidP="006D5A1C" w14:paraId="4C875E03" w14:textId="77777777">
      <w:pPr>
        <w:numPr>
          <w:ilvl w:val="0"/>
          <w:numId w:val="6"/>
        </w:numPr>
        <w:spacing w:after="200"/>
        <w:rPr>
          <w:rFonts w:eastAsia="Calibri"/>
        </w:rPr>
      </w:pPr>
      <w:r w:rsidRPr="00357C8A">
        <w:rPr>
          <w:rFonts w:eastAsia="Calibri"/>
          <w:u w:val="single"/>
        </w:rPr>
        <w:t>Comments in Response to the Federal Register Notice and Efforts to Consult Outside the Agency</w:t>
      </w:r>
    </w:p>
    <w:p w:rsidR="00792947" w:rsidP="00BE40C5" w14:paraId="10C268B9" w14:textId="64DEBC48">
      <w:pPr>
        <w:rPr>
          <w:rFonts w:eastAsia="Calibri"/>
        </w:rPr>
      </w:pPr>
      <w:r>
        <w:rPr>
          <w:rFonts w:eastAsia="Calibri"/>
        </w:rPr>
        <w:t xml:space="preserve">In the </w:t>
      </w:r>
      <w:r w:rsidRPr="00CD0E79">
        <w:rPr>
          <w:rFonts w:eastAsia="Calibri"/>
          <w:i/>
        </w:rPr>
        <w:t>Federal Register</w:t>
      </w:r>
      <w:r>
        <w:rPr>
          <w:rFonts w:eastAsia="Calibri"/>
        </w:rPr>
        <w:t xml:space="preserve"> </w:t>
      </w:r>
      <w:r w:rsidRPr="00CD0E79">
        <w:rPr>
          <w:rFonts w:eastAsia="Calibri"/>
        </w:rPr>
        <w:t>of</w:t>
      </w:r>
      <w:r>
        <w:rPr>
          <w:rFonts w:eastAsia="Calibri"/>
        </w:rPr>
        <w:t xml:space="preserve"> January 26, 2022 (87 FR 3949</w:t>
      </w:r>
      <w:r w:rsidRPr="00CD0E79">
        <w:rPr>
          <w:rFonts w:eastAsia="Calibri"/>
        </w:rPr>
        <w:t>)</w:t>
      </w:r>
      <w:r w:rsidR="00916A39">
        <w:rPr>
          <w:rFonts w:eastAsia="Calibri"/>
        </w:rPr>
        <w:t xml:space="preserve">, </w:t>
      </w:r>
      <w:r w:rsidRPr="00E75E93" w:rsidR="00E75E93">
        <w:rPr>
          <w:rFonts w:eastAsia="Calibri"/>
        </w:rPr>
        <w:t>Docket No. FDA-20</w:t>
      </w:r>
      <w:r w:rsidR="00A96E18">
        <w:rPr>
          <w:rFonts w:eastAsia="Calibri"/>
        </w:rPr>
        <w:t>21</w:t>
      </w:r>
      <w:r w:rsidRPr="00E75E93" w:rsidR="00E75E93">
        <w:rPr>
          <w:rFonts w:eastAsia="Calibri"/>
        </w:rPr>
        <w:t>-N-0</w:t>
      </w:r>
      <w:r w:rsidR="00A96E18">
        <w:rPr>
          <w:rFonts w:eastAsia="Calibri"/>
        </w:rPr>
        <w:t>403</w:t>
      </w:r>
      <w:r w:rsidRPr="00E75E93" w:rsidR="00E75E93">
        <w:rPr>
          <w:rFonts w:eastAsia="Calibri"/>
        </w:rPr>
        <w:t xml:space="preserve">, </w:t>
      </w:r>
      <w:r w:rsidRPr="00BE40C5" w:rsidR="00BE40C5">
        <w:rPr>
          <w:rFonts w:eastAsia="Calibri"/>
        </w:rPr>
        <w:t xml:space="preserve">we published a proposed rule inviting public comment on the proposed information collection.  Our </w:t>
      </w:r>
      <w:r w:rsidRPr="00BE40C5" w:rsidR="00BE40C5">
        <w:rPr>
          <w:rFonts w:eastAsia="Calibri"/>
        </w:rPr>
        <w:t xml:space="preserve">responses to the comments are </w:t>
      </w:r>
      <w:r w:rsidR="00A94547">
        <w:rPr>
          <w:rFonts w:eastAsia="Calibri"/>
        </w:rPr>
        <w:t xml:space="preserve">included </w:t>
      </w:r>
      <w:r w:rsidRPr="00BE40C5" w:rsidR="00BE40C5">
        <w:rPr>
          <w:rFonts w:eastAsia="Calibri"/>
        </w:rPr>
        <w:t xml:space="preserve">in Section </w:t>
      </w:r>
      <w:r w:rsidR="00EA431F">
        <w:rPr>
          <w:rFonts w:eastAsia="Calibri"/>
        </w:rPr>
        <w:t>I</w:t>
      </w:r>
      <w:r w:rsidRPr="00BE40C5" w:rsidR="00BE40C5">
        <w:rPr>
          <w:rFonts w:eastAsia="Calibri"/>
        </w:rPr>
        <w:t>V of the final rule</w:t>
      </w:r>
      <w:r w:rsidR="00A94547">
        <w:rPr>
          <w:rFonts w:eastAsia="Calibri"/>
        </w:rPr>
        <w:t xml:space="preserve">, publishing in the </w:t>
      </w:r>
      <w:r w:rsidRPr="00A94547" w:rsidR="00A94547">
        <w:rPr>
          <w:rFonts w:eastAsia="Calibri"/>
          <w:i/>
          <w:iCs/>
        </w:rPr>
        <w:t>Federal Register</w:t>
      </w:r>
      <w:r w:rsidR="00A94547">
        <w:rPr>
          <w:rFonts w:eastAsia="Calibri"/>
        </w:rPr>
        <w:t xml:space="preserve"> of March 22, 2024; docket no. FDA-2021-N-0403</w:t>
      </w:r>
      <w:r w:rsidRPr="00CD0E79">
        <w:rPr>
          <w:rFonts w:eastAsia="Calibri"/>
        </w:rPr>
        <w:t>.</w:t>
      </w:r>
    </w:p>
    <w:p w:rsidR="00CD0E79" w:rsidRPr="00357C8A" w:rsidP="006D5A1C" w14:paraId="18D440D4" w14:textId="77777777">
      <w:pPr>
        <w:rPr>
          <w:rFonts w:eastAsia="Calibri"/>
        </w:rPr>
      </w:pPr>
    </w:p>
    <w:p w:rsidR="00357C8A" w:rsidRPr="00357C8A" w:rsidP="006D5A1C" w14:paraId="21C7B9C4" w14:textId="77777777">
      <w:pPr>
        <w:numPr>
          <w:ilvl w:val="0"/>
          <w:numId w:val="6"/>
        </w:numPr>
        <w:spacing w:after="200"/>
        <w:rPr>
          <w:rFonts w:eastAsia="Calibri"/>
        </w:rPr>
      </w:pPr>
      <w:r w:rsidRPr="00357C8A">
        <w:rPr>
          <w:rFonts w:eastAsia="Calibri"/>
          <w:u w:val="single"/>
        </w:rPr>
        <w:t>Explanation of Any Payment or Gift to Respondents</w:t>
      </w:r>
    </w:p>
    <w:p w:rsidR="00792947" w:rsidRPr="00792947" w:rsidP="006D5A1C" w14:paraId="062E6940"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D5A1C" w14:paraId="3D8875F2" w14:textId="77777777">
      <w:pPr>
        <w:numPr>
          <w:ilvl w:val="0"/>
          <w:numId w:val="6"/>
        </w:numPr>
        <w:spacing w:after="200"/>
        <w:rPr>
          <w:rFonts w:eastAsia="Calibri"/>
        </w:rPr>
      </w:pPr>
      <w:r w:rsidRPr="00357C8A">
        <w:rPr>
          <w:rFonts w:eastAsia="Calibri"/>
          <w:u w:val="single"/>
        </w:rPr>
        <w:t>Assurance of Confidentiality Provided to Respondents</w:t>
      </w:r>
    </w:p>
    <w:p w:rsidR="001E05BA" w:rsidP="001E05BA" w14:paraId="19AC0277" w14:textId="77777777">
      <w:r w:rsidRPr="008608EE">
        <w:rPr>
          <w:b/>
          <w:bCs/>
          <w:color w:val="000000" w:themeColor="text1"/>
        </w:rPr>
        <w:t>Consistent with 5 CFR 1320.5(d)(2)(vii) and agency regulations in 21 CFR § 20.20, data will be kept private to the extent allowed by law</w:t>
      </w:r>
      <w:r>
        <w:rPr>
          <w:color w:val="000000" w:themeColor="text1"/>
        </w:rPr>
        <w:t>:</w:t>
      </w:r>
    </w:p>
    <w:p w:rsidR="001E05BA" w:rsidP="001E05BA" w14:paraId="76E74CAB" w14:textId="77777777"/>
    <w:p w:rsidR="00E701F1" w:rsidRPr="00B4142D" w:rsidP="006D5A1C" w14:paraId="217921D8" w14:textId="77777777">
      <w:pPr>
        <w:spacing w:after="200"/>
        <w:rPr>
          <w:rFonts w:eastAsia="Calibri"/>
          <w:i/>
          <w:iCs/>
        </w:rPr>
      </w:pPr>
      <w:r w:rsidRPr="00B4142D">
        <w:rPr>
          <w:rFonts w:eastAsia="Calibri"/>
          <w:i/>
          <w:iCs/>
        </w:rPr>
        <w:t>The Freedom of Information Act</w:t>
      </w:r>
    </w:p>
    <w:p w:rsidR="00E701F1" w:rsidRPr="00045621" w:rsidP="006D5A1C" w14:paraId="1F775A62" w14:textId="2303B351">
      <w:pPr>
        <w:spacing w:after="200"/>
        <w:rPr>
          <w:rFonts w:eastAsia="Calibri"/>
        </w:rPr>
      </w:pPr>
      <w:r w:rsidRPr="001A6D01">
        <w:rPr>
          <w:rFonts w:eastAsia="Calibri"/>
        </w:rPr>
        <w:t xml:space="preserve">Under </w:t>
      </w:r>
      <w:r w:rsidRPr="00E30348" w:rsidR="00E30348">
        <w:rPr>
          <w:rFonts w:eastAsia="Calibri"/>
        </w:rPr>
        <w:t xml:space="preserve">the Freedom of Information Act </w:t>
      </w:r>
      <w:r w:rsidR="00E30348">
        <w:rPr>
          <w:rFonts w:eastAsia="Calibri"/>
        </w:rPr>
        <w:t>(</w:t>
      </w:r>
      <w:r w:rsidRPr="001A6D01">
        <w:rPr>
          <w:rFonts w:eastAsia="Calibri"/>
        </w:rPr>
        <w:t>FOIA</w:t>
      </w:r>
      <w:r w:rsidR="00E30348">
        <w:rPr>
          <w:rFonts w:eastAsia="Calibri"/>
        </w:rPr>
        <w:t>)</w:t>
      </w:r>
      <w:r w:rsidRPr="001A6D01">
        <w:rPr>
          <w:rFonts w:eastAsia="Calibri"/>
        </w:rPr>
        <w:t xml:space="preserve">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0F691D" w:rsidP="006D5A1C" w14:paraId="37219982" w14:textId="4105899F">
      <w:pPr>
        <w:spacing w:after="200"/>
        <w:rPr>
          <w:rFonts w:eastAsia="Calibri"/>
        </w:rPr>
      </w:pPr>
      <w:r w:rsidRPr="000F691D">
        <w:rPr>
          <w:rFonts w:eastAsia="Calibri"/>
        </w:rPr>
        <w:t xml:space="preserve">We expect that responses to withdrawal requests may contain trade secret and commercial confidential information.  As a result, all files </w:t>
      </w:r>
      <w:r w:rsidR="008F403F">
        <w:rPr>
          <w:rFonts w:eastAsia="Calibri"/>
        </w:rPr>
        <w:t>will be</w:t>
      </w:r>
      <w:r w:rsidRPr="000F691D" w:rsidR="008F403F">
        <w:rPr>
          <w:rFonts w:eastAsia="Calibri"/>
        </w:rPr>
        <w:t xml:space="preserve"> </w:t>
      </w:r>
      <w:r w:rsidRPr="000F691D">
        <w:rPr>
          <w:rFonts w:eastAsia="Calibri"/>
        </w:rPr>
        <w:t xml:space="preserve">maintained in a secured area.  A manufacturer or supplier of the food contact substance may choose to provide a redacted copy of their response, identifying information that the </w:t>
      </w:r>
      <w:r w:rsidR="00045621">
        <w:rPr>
          <w:rFonts w:eastAsia="Calibri"/>
        </w:rPr>
        <w:t xml:space="preserve">submitter </w:t>
      </w:r>
      <w:r w:rsidRPr="000F691D">
        <w:rPr>
          <w:rFonts w:eastAsia="Calibri"/>
        </w:rPr>
        <w:t>views as trade secret or as confidential commercial or financial information.</w:t>
      </w:r>
    </w:p>
    <w:p w:rsidR="00045621" w:rsidP="006D5A1C" w14:paraId="1F0AECD7" w14:textId="09F3CB46">
      <w:pPr>
        <w:spacing w:after="200"/>
        <w:rPr>
          <w:rFonts w:eastAsia="Calibri"/>
        </w:rPr>
      </w:pPr>
      <w:r w:rsidRPr="001A6D01">
        <w:rPr>
          <w:rFonts w:eastAsia="Calibri"/>
        </w:rPr>
        <w:t>Only information that is releasable under the agency’s regulations in 21 CFR part 20 would be released to the public.  This information is also safeguarded by section 301(j) of the FD&amp;C Act and would be protected from disclosure under FOIA under sections 552(a) and (b) (5 U.S.C. 552(a) and (b)).</w:t>
      </w:r>
      <w:r>
        <w:rPr>
          <w:rFonts w:eastAsia="Calibri"/>
        </w:rPr>
        <w:t xml:space="preserve">  </w:t>
      </w:r>
    </w:p>
    <w:p w:rsidR="000F691D" w:rsidP="006D5A1C" w14:paraId="012CBB11" w14:textId="2DBD320D">
      <w:pPr>
        <w:spacing w:after="200"/>
        <w:rPr>
          <w:rFonts w:eastAsia="Calibri"/>
          <w:i/>
        </w:rPr>
      </w:pPr>
      <w:r w:rsidRPr="00D81182">
        <w:rPr>
          <w:rFonts w:eastAsia="Calibri"/>
          <w:i/>
          <w:iCs/>
        </w:rPr>
        <w:t>The</w:t>
      </w:r>
      <w:r>
        <w:rPr>
          <w:rFonts w:eastAsia="Calibri"/>
        </w:rPr>
        <w:t xml:space="preserve"> </w:t>
      </w:r>
      <w:r w:rsidRPr="00045621" w:rsidR="00045621">
        <w:rPr>
          <w:rFonts w:eastAsia="Calibri"/>
          <w:i/>
        </w:rPr>
        <w:t>Privacy Act</w:t>
      </w:r>
      <w:r>
        <w:rPr>
          <w:rFonts w:eastAsia="Calibri"/>
          <w:i/>
        </w:rPr>
        <w:t xml:space="preserve"> of 1974</w:t>
      </w:r>
    </w:p>
    <w:p w:rsidR="001A6D01" w:rsidRPr="001A6D01" w:rsidP="006D5A1C" w14:paraId="2C112F2D" w14:textId="4242C84C">
      <w:pPr>
        <w:spacing w:after="200"/>
        <w:rPr>
          <w:rFonts w:eastAsia="Calibri"/>
        </w:rPr>
      </w:pPr>
      <w:r w:rsidRPr="001A6D01">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w:t>
      </w:r>
      <w:r>
        <w:rPr>
          <w:rFonts w:eastAsia="Calibri"/>
        </w:rPr>
        <w:t>COSM</w:t>
      </w:r>
      <w:r w:rsidRPr="001A6D01">
        <w:rPr>
          <w:rFonts w:eastAsia="Calibri"/>
        </w:rPr>
        <w:t xml:space="preserve"> is name, title, address, email address, telephone number, and fax telephone number.  FDA determined that although PII is collected, it is not subject to the Privacy Act of 1974, and the particular </w:t>
      </w:r>
      <w:r>
        <w:rPr>
          <w:rFonts w:eastAsia="Calibri"/>
        </w:rPr>
        <w:t>submission</w:t>
      </w:r>
      <w:r w:rsidRPr="001A6D01">
        <w:rPr>
          <w:rFonts w:eastAsia="Calibri"/>
        </w:rPr>
        <w:t xml:space="preserve"> and other requirements of the </w:t>
      </w:r>
      <w:r w:rsidR="00E701F1">
        <w:rPr>
          <w:rFonts w:eastAsia="Calibri"/>
        </w:rPr>
        <w:t xml:space="preserve">Privacy </w:t>
      </w:r>
      <w:r w:rsidRPr="001A6D01">
        <w:rPr>
          <w:rFonts w:eastAsia="Calibri"/>
        </w:rPr>
        <w:t>Act do not apply.  Specifically, the contractor or FDA do not use name or any other personal identifier to routinely retrieve records from the information collected.  Through appropriate form design, FDA limited submission fields and minimized the PII collected to protect the privacy of the individuals.</w:t>
      </w:r>
    </w:p>
    <w:p w:rsidR="00357C8A" w:rsidRPr="00357C8A" w:rsidP="006D5A1C" w14:paraId="344969BB" w14:textId="073EB130">
      <w:pPr>
        <w:numPr>
          <w:ilvl w:val="0"/>
          <w:numId w:val="6"/>
        </w:numPr>
        <w:spacing w:after="200"/>
        <w:rPr>
          <w:rFonts w:eastAsia="Calibri"/>
        </w:rPr>
      </w:pPr>
      <w:r w:rsidRPr="00357C8A">
        <w:rPr>
          <w:rFonts w:eastAsia="Calibri"/>
          <w:u w:val="single"/>
        </w:rPr>
        <w:t>Justification for Sensitive Questions</w:t>
      </w:r>
    </w:p>
    <w:p w:rsidR="00357C8A" w:rsidRPr="000F691D" w:rsidP="006D5A1C" w14:paraId="7F6A0A6D" w14:textId="77777777">
      <w:pPr>
        <w:spacing w:after="200"/>
        <w:rPr>
          <w:rFonts w:eastAsia="Calibri"/>
        </w:rPr>
      </w:pPr>
      <w:r w:rsidRPr="000F691D">
        <w:rPr>
          <w:rFonts w:eastAsia="Calibri"/>
        </w:rPr>
        <w:t>The collection of information does not involve sensitive questions.</w:t>
      </w:r>
    </w:p>
    <w:p w:rsidR="00A94547" w14:paraId="15722422" w14:textId="77777777">
      <w:pPr>
        <w:rPr>
          <w:rFonts w:eastAsia="Calibri"/>
        </w:rPr>
      </w:pPr>
      <w:r>
        <w:rPr>
          <w:rFonts w:eastAsia="Calibri"/>
        </w:rPr>
        <w:br w:type="page"/>
      </w:r>
    </w:p>
    <w:p w:rsidR="00357C8A" w:rsidRPr="00357C8A" w:rsidP="006D5A1C" w14:paraId="221EF7D7" w14:textId="778070BE">
      <w:pPr>
        <w:numPr>
          <w:ilvl w:val="0"/>
          <w:numId w:val="6"/>
        </w:numPr>
        <w:spacing w:after="200"/>
        <w:rPr>
          <w:rFonts w:eastAsia="Calibri"/>
          <w:u w:val="single"/>
        </w:rPr>
      </w:pPr>
      <w:r w:rsidRPr="00357C8A">
        <w:rPr>
          <w:rFonts w:eastAsia="Calibri"/>
          <w:u w:val="single"/>
        </w:rPr>
        <w:t>Estimates of Annualized Burden Hours and Cost</w:t>
      </w:r>
    </w:p>
    <w:p w:rsidR="00357C8A" w:rsidRPr="00A6001F" w:rsidP="006D5A1C" w14:paraId="1916B51F" w14:textId="77777777">
      <w:pPr>
        <w:spacing w:after="200"/>
        <w:ind w:left="360"/>
        <w:rPr>
          <w:rFonts w:eastAsia="Calibri"/>
          <w:i/>
          <w:iCs/>
        </w:rPr>
      </w:pPr>
      <w:r w:rsidRPr="00A6001F">
        <w:rPr>
          <w:rFonts w:eastAsia="Calibri"/>
          <w:i/>
          <w:iCs/>
        </w:rPr>
        <w:t>12a.  Annualized Hour Burden Estimate</w:t>
      </w:r>
    </w:p>
    <w:tbl>
      <w:tblPr>
        <w:tblpPr w:leftFromText="180" w:rightFromText="180" w:vertAnchor="text" w:horzAnchor="margin" w:tblpY="293"/>
        <w:tblOverlap w:val="never"/>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592"/>
        <w:gridCol w:w="1260"/>
        <w:gridCol w:w="1350"/>
        <w:gridCol w:w="990"/>
        <w:gridCol w:w="1260"/>
        <w:gridCol w:w="900"/>
      </w:tblGrid>
      <w:tr w14:paraId="5AFFD3BE" w14:textId="77777777" w:rsidTr="00021ECD">
        <w:tblPrEx>
          <w:tblW w:w="9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cantSplit/>
          <w:trHeight w:val="525"/>
        </w:trPr>
        <w:tc>
          <w:tcPr>
            <w:tcW w:w="3592" w:type="dxa"/>
            <w:tcBorders>
              <w:top w:val="single" w:sz="6" w:space="0" w:color="auto"/>
              <w:left w:val="single" w:sz="6" w:space="0" w:color="auto"/>
              <w:bottom w:val="single" w:sz="6" w:space="0" w:color="auto"/>
              <w:right w:val="single" w:sz="6" w:space="0" w:color="auto"/>
            </w:tcBorders>
            <w:shd w:val="clear" w:color="auto" w:fill="auto"/>
            <w:hideMark/>
          </w:tcPr>
          <w:p w:rsidR="00021ECD" w:rsidRPr="00045621" w:rsidP="00021ECD" w14:paraId="1778F49F" w14:textId="77777777">
            <w:pPr>
              <w:pStyle w:val="paragraph"/>
              <w:spacing w:before="0" w:beforeAutospacing="0" w:after="0" w:afterAutospacing="0"/>
              <w:jc w:val="center"/>
              <w:textAlignment w:val="baseline"/>
              <w:rPr>
                <w:rFonts w:ascii="Segoe UI" w:hAnsi="Segoe UI" w:cs="Segoe UI"/>
                <w:sz w:val="20"/>
                <w:szCs w:val="20"/>
              </w:rPr>
            </w:pPr>
            <w:r w:rsidRPr="00045621">
              <w:rPr>
                <w:rStyle w:val="normaltextrun"/>
                <w:sz w:val="20"/>
                <w:szCs w:val="20"/>
              </w:rPr>
              <w:t>21 CFR Section; Activity</w:t>
            </w:r>
            <w:r w:rsidRPr="00045621">
              <w:rPr>
                <w:rStyle w:val="eop"/>
                <w:sz w:val="20"/>
                <w:szCs w:val="20"/>
              </w:rPr>
              <w:t> </w:t>
            </w:r>
          </w:p>
        </w:tc>
        <w:tc>
          <w:tcPr>
            <w:tcW w:w="1260" w:type="dxa"/>
            <w:tcBorders>
              <w:top w:val="single" w:sz="6" w:space="0" w:color="auto"/>
              <w:left w:val="nil"/>
              <w:bottom w:val="single" w:sz="6" w:space="0" w:color="auto"/>
              <w:right w:val="single" w:sz="6" w:space="0" w:color="auto"/>
            </w:tcBorders>
            <w:shd w:val="clear" w:color="auto" w:fill="auto"/>
            <w:hideMark/>
          </w:tcPr>
          <w:p w:rsidR="00021ECD" w:rsidRPr="00045621" w:rsidP="00021ECD" w14:paraId="164D307C" w14:textId="77777777">
            <w:pPr>
              <w:pStyle w:val="paragraph"/>
              <w:spacing w:before="0" w:beforeAutospacing="0" w:after="0" w:afterAutospacing="0"/>
              <w:jc w:val="center"/>
              <w:textAlignment w:val="baseline"/>
              <w:rPr>
                <w:rFonts w:ascii="Segoe UI" w:hAnsi="Segoe UI" w:cs="Segoe UI"/>
                <w:sz w:val="20"/>
                <w:szCs w:val="20"/>
              </w:rPr>
            </w:pPr>
            <w:r w:rsidRPr="00045621">
              <w:rPr>
                <w:rStyle w:val="normaltextrun"/>
                <w:sz w:val="20"/>
                <w:szCs w:val="20"/>
              </w:rPr>
              <w:t>No. of Respondents</w:t>
            </w:r>
            <w:r w:rsidRPr="00045621">
              <w:rPr>
                <w:rStyle w:val="eop"/>
                <w:sz w:val="20"/>
                <w:szCs w:val="20"/>
              </w:rPr>
              <w:t> </w:t>
            </w:r>
          </w:p>
        </w:tc>
        <w:tc>
          <w:tcPr>
            <w:tcW w:w="1350" w:type="dxa"/>
            <w:tcBorders>
              <w:top w:val="single" w:sz="6" w:space="0" w:color="auto"/>
              <w:left w:val="nil"/>
              <w:bottom w:val="single" w:sz="6" w:space="0" w:color="auto"/>
              <w:right w:val="single" w:sz="6" w:space="0" w:color="auto"/>
            </w:tcBorders>
            <w:shd w:val="clear" w:color="auto" w:fill="auto"/>
            <w:hideMark/>
          </w:tcPr>
          <w:p w:rsidR="00021ECD" w:rsidRPr="00045621" w:rsidP="00021ECD" w14:paraId="2A49CBC8" w14:textId="77777777">
            <w:pPr>
              <w:pStyle w:val="paragraph"/>
              <w:spacing w:before="0" w:beforeAutospacing="0" w:after="0" w:afterAutospacing="0"/>
              <w:jc w:val="center"/>
              <w:textAlignment w:val="baseline"/>
              <w:rPr>
                <w:rFonts w:ascii="Segoe UI" w:hAnsi="Segoe UI" w:cs="Segoe UI"/>
                <w:sz w:val="20"/>
                <w:szCs w:val="20"/>
              </w:rPr>
            </w:pPr>
            <w:r w:rsidRPr="00045621">
              <w:rPr>
                <w:rStyle w:val="normaltextrun"/>
                <w:sz w:val="20"/>
                <w:szCs w:val="20"/>
              </w:rPr>
              <w:t>No. of Responses per Respondent</w:t>
            </w:r>
            <w:r w:rsidRPr="00045621">
              <w:rPr>
                <w:rStyle w:val="eop"/>
                <w:sz w:val="20"/>
                <w:szCs w:val="20"/>
              </w:rPr>
              <w:t> </w:t>
            </w:r>
          </w:p>
        </w:tc>
        <w:tc>
          <w:tcPr>
            <w:tcW w:w="990" w:type="dxa"/>
            <w:tcBorders>
              <w:top w:val="single" w:sz="6" w:space="0" w:color="auto"/>
              <w:left w:val="nil"/>
              <w:bottom w:val="single" w:sz="6" w:space="0" w:color="auto"/>
              <w:right w:val="single" w:sz="6" w:space="0" w:color="auto"/>
            </w:tcBorders>
            <w:shd w:val="clear" w:color="auto" w:fill="auto"/>
            <w:hideMark/>
          </w:tcPr>
          <w:p w:rsidR="00021ECD" w:rsidRPr="00045621" w:rsidP="00021ECD" w14:paraId="6C1B7D1D" w14:textId="77777777">
            <w:pPr>
              <w:pStyle w:val="paragraph"/>
              <w:spacing w:before="0" w:beforeAutospacing="0" w:after="0" w:afterAutospacing="0"/>
              <w:jc w:val="center"/>
              <w:textAlignment w:val="baseline"/>
              <w:rPr>
                <w:rFonts w:ascii="Segoe UI" w:hAnsi="Segoe UI" w:cs="Segoe UI"/>
                <w:sz w:val="20"/>
                <w:szCs w:val="20"/>
              </w:rPr>
            </w:pPr>
            <w:r w:rsidRPr="00045621">
              <w:rPr>
                <w:rStyle w:val="normaltextrun"/>
                <w:sz w:val="20"/>
                <w:szCs w:val="20"/>
              </w:rPr>
              <w:t>Total Annual Responses</w:t>
            </w:r>
            <w:r w:rsidRPr="00045621">
              <w:rPr>
                <w:rStyle w:val="eop"/>
                <w:sz w:val="20"/>
                <w:szCs w:val="20"/>
              </w:rPr>
              <w:t> </w:t>
            </w:r>
          </w:p>
        </w:tc>
        <w:tc>
          <w:tcPr>
            <w:tcW w:w="1260" w:type="dxa"/>
            <w:tcBorders>
              <w:top w:val="single" w:sz="6" w:space="0" w:color="auto"/>
              <w:left w:val="nil"/>
              <w:bottom w:val="single" w:sz="6" w:space="0" w:color="auto"/>
              <w:right w:val="single" w:sz="6" w:space="0" w:color="auto"/>
            </w:tcBorders>
            <w:shd w:val="clear" w:color="auto" w:fill="auto"/>
            <w:hideMark/>
          </w:tcPr>
          <w:p w:rsidR="00021ECD" w:rsidRPr="00045621" w:rsidP="00021ECD" w14:paraId="759BA9FB" w14:textId="77777777">
            <w:pPr>
              <w:pStyle w:val="paragraph"/>
              <w:spacing w:before="0" w:beforeAutospacing="0" w:after="0" w:afterAutospacing="0"/>
              <w:jc w:val="center"/>
              <w:textAlignment w:val="baseline"/>
              <w:rPr>
                <w:rFonts w:ascii="Segoe UI" w:hAnsi="Segoe UI" w:cs="Segoe UI"/>
                <w:sz w:val="20"/>
                <w:szCs w:val="20"/>
              </w:rPr>
            </w:pPr>
            <w:r w:rsidRPr="00045621">
              <w:rPr>
                <w:rStyle w:val="normaltextrun"/>
                <w:sz w:val="20"/>
                <w:szCs w:val="20"/>
              </w:rPr>
              <w:t>Average Burden per Response</w:t>
            </w:r>
            <w:r w:rsidRPr="00045621">
              <w:rPr>
                <w:rStyle w:val="eop"/>
                <w:sz w:val="20"/>
                <w:szCs w:val="20"/>
              </w:rPr>
              <w:t> </w:t>
            </w:r>
          </w:p>
        </w:tc>
        <w:tc>
          <w:tcPr>
            <w:tcW w:w="900" w:type="dxa"/>
            <w:tcBorders>
              <w:top w:val="single" w:sz="6" w:space="0" w:color="auto"/>
              <w:left w:val="nil"/>
              <w:bottom w:val="single" w:sz="6" w:space="0" w:color="auto"/>
              <w:right w:val="single" w:sz="6" w:space="0" w:color="auto"/>
            </w:tcBorders>
            <w:shd w:val="clear" w:color="auto" w:fill="auto"/>
            <w:hideMark/>
          </w:tcPr>
          <w:p w:rsidR="00021ECD" w:rsidRPr="00045621" w:rsidP="00021ECD" w14:paraId="6FD50A7A" w14:textId="77777777">
            <w:pPr>
              <w:pStyle w:val="paragraph"/>
              <w:spacing w:before="0" w:beforeAutospacing="0" w:after="0" w:afterAutospacing="0"/>
              <w:jc w:val="center"/>
              <w:textAlignment w:val="baseline"/>
              <w:rPr>
                <w:rFonts w:ascii="Segoe UI" w:hAnsi="Segoe UI" w:cs="Segoe UI"/>
                <w:sz w:val="20"/>
                <w:szCs w:val="20"/>
              </w:rPr>
            </w:pPr>
            <w:r w:rsidRPr="00045621">
              <w:rPr>
                <w:rStyle w:val="normaltextrun"/>
                <w:sz w:val="20"/>
                <w:szCs w:val="20"/>
              </w:rPr>
              <w:t>Total Hours</w:t>
            </w:r>
            <w:r w:rsidRPr="00045621">
              <w:rPr>
                <w:rStyle w:val="eop"/>
                <w:sz w:val="20"/>
                <w:szCs w:val="20"/>
              </w:rPr>
              <w:t> </w:t>
            </w:r>
          </w:p>
        </w:tc>
      </w:tr>
      <w:tr w14:paraId="5BC52BED" w14:textId="77777777" w:rsidTr="00021ECD">
        <w:tblPrEx>
          <w:tblW w:w="9352" w:type="dxa"/>
          <w:tblLayout w:type="fixed"/>
          <w:tblCellMar>
            <w:left w:w="0" w:type="dxa"/>
            <w:right w:w="0" w:type="dxa"/>
          </w:tblCellMar>
          <w:tblLook w:val="04A0"/>
        </w:tblPrEx>
        <w:trPr>
          <w:cantSplit/>
          <w:trHeight w:val="1175"/>
        </w:trPr>
        <w:tc>
          <w:tcPr>
            <w:tcW w:w="3592" w:type="dxa"/>
            <w:tcBorders>
              <w:top w:val="nil"/>
              <w:left w:val="single" w:sz="6" w:space="0" w:color="auto"/>
              <w:bottom w:val="single" w:sz="6" w:space="0" w:color="auto"/>
              <w:right w:val="single" w:sz="6" w:space="0" w:color="auto"/>
            </w:tcBorders>
            <w:shd w:val="clear" w:color="auto" w:fill="auto"/>
            <w:hideMark/>
          </w:tcPr>
          <w:p w:rsidR="00021ECD" w:rsidRPr="00045621" w:rsidP="00021ECD" w14:paraId="236B0FBE" w14:textId="77777777">
            <w:pPr>
              <w:pStyle w:val="paragraph"/>
              <w:spacing w:before="0" w:beforeAutospacing="0" w:after="0" w:afterAutospacing="0"/>
              <w:textAlignment w:val="baseline"/>
              <w:rPr>
                <w:rFonts w:ascii="Segoe UI" w:hAnsi="Segoe UI" w:cs="Segoe UI"/>
                <w:sz w:val="20"/>
                <w:szCs w:val="20"/>
              </w:rPr>
            </w:pPr>
            <w:r w:rsidRPr="00045621">
              <w:rPr>
                <w:rStyle w:val="normaltextrun"/>
                <w:sz w:val="20"/>
                <w:szCs w:val="20"/>
              </w:rPr>
              <w:t>170.105(a); Manufacturer or supplier responds to FDA by providing </w:t>
            </w:r>
            <w:r>
              <w:rPr>
                <w:rStyle w:val="normaltextrun"/>
                <w:sz w:val="20"/>
                <w:szCs w:val="20"/>
              </w:rPr>
              <w:t xml:space="preserve">a written response and </w:t>
            </w:r>
            <w:r w:rsidRPr="00045621">
              <w:rPr>
                <w:rStyle w:val="normaltextrun"/>
                <w:sz w:val="20"/>
                <w:szCs w:val="20"/>
              </w:rPr>
              <w:t>additional data or information to demonstrate that the FCN should continue to be effective</w:t>
            </w:r>
            <w:r w:rsidRPr="00045621">
              <w:rPr>
                <w:rStyle w:val="eop"/>
                <w:sz w:val="20"/>
                <w:szCs w:val="20"/>
              </w:rPr>
              <w:t> </w:t>
            </w:r>
          </w:p>
        </w:tc>
        <w:tc>
          <w:tcPr>
            <w:tcW w:w="1260" w:type="dxa"/>
            <w:tcBorders>
              <w:top w:val="nil"/>
              <w:left w:val="nil"/>
              <w:bottom w:val="single" w:sz="6" w:space="0" w:color="auto"/>
              <w:right w:val="single" w:sz="6" w:space="0" w:color="auto"/>
            </w:tcBorders>
            <w:shd w:val="clear" w:color="auto" w:fill="auto"/>
            <w:hideMark/>
          </w:tcPr>
          <w:p w:rsidR="00021ECD" w:rsidRPr="00045621" w:rsidP="00021ECD" w14:paraId="5D47BF31"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2</w:t>
            </w:r>
            <w:r w:rsidRPr="00045621">
              <w:rPr>
                <w:rStyle w:val="eop"/>
                <w:sz w:val="20"/>
                <w:szCs w:val="20"/>
              </w:rPr>
              <w:t> </w:t>
            </w:r>
          </w:p>
        </w:tc>
        <w:tc>
          <w:tcPr>
            <w:tcW w:w="1350" w:type="dxa"/>
            <w:tcBorders>
              <w:top w:val="nil"/>
              <w:left w:val="nil"/>
              <w:bottom w:val="single" w:sz="6" w:space="0" w:color="auto"/>
              <w:right w:val="single" w:sz="6" w:space="0" w:color="auto"/>
            </w:tcBorders>
            <w:shd w:val="clear" w:color="auto" w:fill="auto"/>
            <w:hideMark/>
          </w:tcPr>
          <w:p w:rsidR="00021ECD" w:rsidRPr="00045621" w:rsidP="00021ECD" w14:paraId="247EAC78"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1</w:t>
            </w:r>
            <w:r w:rsidRPr="00045621">
              <w:rPr>
                <w:rStyle w:val="eop"/>
                <w:sz w:val="20"/>
                <w:szCs w:val="20"/>
              </w:rPr>
              <w:t> </w:t>
            </w:r>
          </w:p>
        </w:tc>
        <w:tc>
          <w:tcPr>
            <w:tcW w:w="990" w:type="dxa"/>
            <w:tcBorders>
              <w:top w:val="nil"/>
              <w:left w:val="nil"/>
              <w:bottom w:val="single" w:sz="6" w:space="0" w:color="auto"/>
              <w:right w:val="single" w:sz="6" w:space="0" w:color="auto"/>
            </w:tcBorders>
            <w:shd w:val="clear" w:color="auto" w:fill="auto"/>
            <w:hideMark/>
          </w:tcPr>
          <w:p w:rsidR="00021ECD" w:rsidRPr="00045621" w:rsidP="00021ECD" w14:paraId="2AAB4020"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2</w:t>
            </w:r>
            <w:r w:rsidRPr="00045621">
              <w:rPr>
                <w:rStyle w:val="eop"/>
                <w:sz w:val="20"/>
                <w:szCs w:val="20"/>
              </w:rPr>
              <w:t> </w:t>
            </w:r>
          </w:p>
        </w:tc>
        <w:tc>
          <w:tcPr>
            <w:tcW w:w="1260" w:type="dxa"/>
            <w:tcBorders>
              <w:top w:val="nil"/>
              <w:left w:val="nil"/>
              <w:bottom w:val="single" w:sz="6" w:space="0" w:color="auto"/>
              <w:right w:val="single" w:sz="6" w:space="0" w:color="auto"/>
            </w:tcBorders>
            <w:shd w:val="clear" w:color="auto" w:fill="auto"/>
            <w:hideMark/>
          </w:tcPr>
          <w:p w:rsidR="00021ECD" w:rsidRPr="00045621" w:rsidP="00021ECD" w14:paraId="06C7DEE0" w14:textId="77777777">
            <w:pPr>
              <w:pStyle w:val="paragraph"/>
              <w:spacing w:before="0" w:beforeAutospacing="0" w:after="0" w:afterAutospacing="0"/>
              <w:ind w:right="80"/>
              <w:jc w:val="right"/>
              <w:textAlignment w:val="baseline"/>
              <w:rPr>
                <w:rFonts w:ascii="Segoe UI" w:hAnsi="Segoe UI" w:cs="Segoe UI"/>
                <w:sz w:val="20"/>
                <w:szCs w:val="20"/>
              </w:rPr>
            </w:pPr>
            <w:r w:rsidRPr="00045621">
              <w:rPr>
                <w:rStyle w:val="normaltextrun"/>
                <w:sz w:val="20"/>
                <w:szCs w:val="20"/>
              </w:rPr>
              <w:t>                  75</w:t>
            </w:r>
          </w:p>
        </w:tc>
        <w:tc>
          <w:tcPr>
            <w:tcW w:w="900" w:type="dxa"/>
            <w:tcBorders>
              <w:top w:val="nil"/>
              <w:left w:val="nil"/>
              <w:bottom w:val="single" w:sz="6" w:space="0" w:color="auto"/>
              <w:right w:val="single" w:sz="6" w:space="0" w:color="auto"/>
            </w:tcBorders>
            <w:shd w:val="clear" w:color="auto" w:fill="auto"/>
            <w:hideMark/>
          </w:tcPr>
          <w:p w:rsidR="00021ECD" w:rsidRPr="00045621" w:rsidP="00021ECD" w14:paraId="3CBDE349"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150</w:t>
            </w:r>
            <w:r w:rsidRPr="00045621">
              <w:rPr>
                <w:rStyle w:val="eop"/>
                <w:sz w:val="20"/>
                <w:szCs w:val="20"/>
              </w:rPr>
              <w:t> </w:t>
            </w:r>
          </w:p>
        </w:tc>
      </w:tr>
      <w:tr w14:paraId="4EC6BDF2" w14:textId="77777777" w:rsidTr="00021ECD">
        <w:tblPrEx>
          <w:tblW w:w="9352" w:type="dxa"/>
          <w:tblLayout w:type="fixed"/>
          <w:tblCellMar>
            <w:left w:w="0" w:type="dxa"/>
            <w:right w:w="0" w:type="dxa"/>
          </w:tblCellMar>
          <w:tblLook w:val="04A0"/>
        </w:tblPrEx>
        <w:trPr>
          <w:cantSplit/>
          <w:trHeight w:val="959"/>
        </w:trPr>
        <w:tc>
          <w:tcPr>
            <w:tcW w:w="3592" w:type="dxa"/>
            <w:tcBorders>
              <w:top w:val="nil"/>
              <w:left w:val="single" w:sz="6" w:space="0" w:color="auto"/>
              <w:bottom w:val="single" w:sz="6" w:space="0" w:color="auto"/>
              <w:right w:val="single" w:sz="6" w:space="0" w:color="auto"/>
            </w:tcBorders>
            <w:shd w:val="clear" w:color="auto" w:fill="auto"/>
            <w:hideMark/>
          </w:tcPr>
          <w:p w:rsidR="00021ECD" w:rsidRPr="00045621" w:rsidP="00021ECD" w14:paraId="36331D15" w14:textId="77777777">
            <w:pPr>
              <w:pStyle w:val="paragraph"/>
              <w:spacing w:before="0" w:beforeAutospacing="0" w:after="0" w:afterAutospacing="0"/>
              <w:textAlignment w:val="baseline"/>
              <w:rPr>
                <w:rFonts w:ascii="Segoe UI" w:hAnsi="Segoe UI" w:cs="Segoe UI"/>
                <w:sz w:val="20"/>
                <w:szCs w:val="20"/>
              </w:rPr>
            </w:pPr>
            <w:r w:rsidRPr="00045621">
              <w:rPr>
                <w:rStyle w:val="normaltextrun"/>
                <w:sz w:val="20"/>
                <w:szCs w:val="20"/>
              </w:rPr>
              <w:t>170.105 (a)(2)(</w:t>
            </w:r>
            <w:r w:rsidRPr="00045621">
              <w:rPr>
                <w:rStyle w:val="spellingerror"/>
                <w:sz w:val="20"/>
                <w:szCs w:val="20"/>
              </w:rPr>
              <w:t>i</w:t>
            </w:r>
            <w:r w:rsidRPr="00045621">
              <w:rPr>
                <w:rStyle w:val="normaltextrun"/>
                <w:sz w:val="20"/>
                <w:szCs w:val="20"/>
              </w:rPr>
              <w:t>); Manufacturer or supplier requests that FDA determine that the FCN should no longer be effective based on non-safety reasons</w:t>
            </w:r>
            <w:r w:rsidRPr="00045621">
              <w:rPr>
                <w:rStyle w:val="eop"/>
                <w:color w:val="D13438"/>
                <w:sz w:val="20"/>
                <w:szCs w:val="20"/>
              </w:rPr>
              <w:t> </w:t>
            </w:r>
          </w:p>
        </w:tc>
        <w:tc>
          <w:tcPr>
            <w:tcW w:w="1260" w:type="dxa"/>
            <w:tcBorders>
              <w:top w:val="nil"/>
              <w:left w:val="nil"/>
              <w:bottom w:val="single" w:sz="6" w:space="0" w:color="auto"/>
              <w:right w:val="single" w:sz="6" w:space="0" w:color="auto"/>
            </w:tcBorders>
            <w:shd w:val="clear" w:color="auto" w:fill="auto"/>
            <w:hideMark/>
          </w:tcPr>
          <w:p w:rsidR="00021ECD" w:rsidRPr="00045621" w:rsidP="00021ECD" w14:paraId="61EF7D60"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5</w:t>
            </w:r>
            <w:r w:rsidRPr="00045621">
              <w:rPr>
                <w:rStyle w:val="eop"/>
                <w:sz w:val="20"/>
                <w:szCs w:val="20"/>
              </w:rPr>
              <w:t> </w:t>
            </w:r>
          </w:p>
        </w:tc>
        <w:tc>
          <w:tcPr>
            <w:tcW w:w="1350" w:type="dxa"/>
            <w:tcBorders>
              <w:top w:val="nil"/>
              <w:left w:val="nil"/>
              <w:bottom w:val="single" w:sz="6" w:space="0" w:color="auto"/>
              <w:right w:val="single" w:sz="6" w:space="0" w:color="auto"/>
            </w:tcBorders>
            <w:shd w:val="clear" w:color="auto" w:fill="auto"/>
            <w:hideMark/>
          </w:tcPr>
          <w:p w:rsidR="00021ECD" w:rsidRPr="00045621" w:rsidP="00021ECD" w14:paraId="3BA9C868"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1</w:t>
            </w:r>
            <w:r w:rsidRPr="00045621">
              <w:rPr>
                <w:rStyle w:val="eop"/>
                <w:sz w:val="20"/>
                <w:szCs w:val="20"/>
              </w:rPr>
              <w:t> </w:t>
            </w:r>
          </w:p>
        </w:tc>
        <w:tc>
          <w:tcPr>
            <w:tcW w:w="990" w:type="dxa"/>
            <w:tcBorders>
              <w:top w:val="nil"/>
              <w:left w:val="nil"/>
              <w:bottom w:val="single" w:sz="6" w:space="0" w:color="auto"/>
              <w:right w:val="single" w:sz="6" w:space="0" w:color="auto"/>
            </w:tcBorders>
            <w:shd w:val="clear" w:color="auto" w:fill="auto"/>
            <w:hideMark/>
          </w:tcPr>
          <w:p w:rsidR="00021ECD" w:rsidRPr="00045621" w:rsidP="00021ECD" w14:paraId="7B7A1345"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5</w:t>
            </w:r>
            <w:r w:rsidRPr="00045621">
              <w:rPr>
                <w:rStyle w:val="eop"/>
                <w:sz w:val="20"/>
                <w:szCs w:val="20"/>
              </w:rPr>
              <w:t> </w:t>
            </w:r>
          </w:p>
        </w:tc>
        <w:tc>
          <w:tcPr>
            <w:tcW w:w="1260" w:type="dxa"/>
            <w:tcBorders>
              <w:top w:val="nil"/>
              <w:left w:val="nil"/>
              <w:bottom w:val="single" w:sz="6" w:space="0" w:color="auto"/>
              <w:right w:val="single" w:sz="6" w:space="0" w:color="auto"/>
            </w:tcBorders>
            <w:shd w:val="clear" w:color="auto" w:fill="auto"/>
            <w:hideMark/>
          </w:tcPr>
          <w:p w:rsidR="00021ECD" w:rsidRPr="00045621" w:rsidP="00021ECD" w14:paraId="154247F0"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2</w:t>
            </w:r>
            <w:r w:rsidRPr="00045621">
              <w:rPr>
                <w:rStyle w:val="eop"/>
                <w:sz w:val="20"/>
                <w:szCs w:val="20"/>
              </w:rPr>
              <w:t> </w:t>
            </w:r>
          </w:p>
        </w:tc>
        <w:tc>
          <w:tcPr>
            <w:tcW w:w="900" w:type="dxa"/>
            <w:tcBorders>
              <w:top w:val="nil"/>
              <w:left w:val="nil"/>
              <w:bottom w:val="single" w:sz="6" w:space="0" w:color="auto"/>
              <w:right w:val="single" w:sz="6" w:space="0" w:color="auto"/>
            </w:tcBorders>
            <w:shd w:val="clear" w:color="auto" w:fill="auto"/>
            <w:hideMark/>
          </w:tcPr>
          <w:p w:rsidR="00021ECD" w:rsidRPr="00045621" w:rsidP="00021ECD" w14:paraId="2ACE7E0F"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10</w:t>
            </w:r>
            <w:r w:rsidRPr="00045621">
              <w:rPr>
                <w:rStyle w:val="eop"/>
                <w:sz w:val="20"/>
                <w:szCs w:val="20"/>
              </w:rPr>
              <w:t> </w:t>
            </w:r>
          </w:p>
        </w:tc>
      </w:tr>
      <w:tr w14:paraId="04D7FDD1" w14:textId="77777777" w:rsidTr="00021ECD">
        <w:tblPrEx>
          <w:tblW w:w="9352" w:type="dxa"/>
          <w:tblLayout w:type="fixed"/>
          <w:tblCellMar>
            <w:left w:w="0" w:type="dxa"/>
            <w:right w:w="0" w:type="dxa"/>
          </w:tblCellMar>
          <w:tblLook w:val="04A0"/>
        </w:tblPrEx>
        <w:trPr>
          <w:cantSplit/>
          <w:trHeight w:val="327"/>
        </w:trPr>
        <w:tc>
          <w:tcPr>
            <w:tcW w:w="8452" w:type="dxa"/>
            <w:gridSpan w:val="5"/>
            <w:tcBorders>
              <w:top w:val="nil"/>
              <w:left w:val="single" w:sz="6" w:space="0" w:color="auto"/>
              <w:bottom w:val="single" w:sz="6" w:space="0" w:color="auto"/>
              <w:right w:val="single" w:sz="6" w:space="0" w:color="auto"/>
            </w:tcBorders>
            <w:shd w:val="clear" w:color="auto" w:fill="auto"/>
            <w:hideMark/>
          </w:tcPr>
          <w:p w:rsidR="00021ECD" w:rsidRPr="00045621" w:rsidP="00021ECD" w14:paraId="3971C51B" w14:textId="77777777">
            <w:pPr>
              <w:pStyle w:val="paragraph"/>
              <w:spacing w:before="0" w:beforeAutospacing="0" w:after="0" w:afterAutospacing="0"/>
              <w:textAlignment w:val="baseline"/>
              <w:rPr>
                <w:rFonts w:ascii="Segoe UI" w:hAnsi="Segoe UI" w:cs="Segoe UI"/>
                <w:sz w:val="20"/>
                <w:szCs w:val="20"/>
              </w:rPr>
            </w:pPr>
            <w:r w:rsidRPr="00045621">
              <w:rPr>
                <w:rStyle w:val="normaltextrun"/>
                <w:sz w:val="20"/>
                <w:szCs w:val="20"/>
              </w:rPr>
              <w:t>Total</w:t>
            </w:r>
            <w:r w:rsidRPr="00045621">
              <w:rPr>
                <w:rStyle w:val="eop"/>
                <w:sz w:val="20"/>
                <w:szCs w:val="20"/>
              </w:rPr>
              <w:t>   </w:t>
            </w:r>
          </w:p>
        </w:tc>
        <w:tc>
          <w:tcPr>
            <w:tcW w:w="900" w:type="dxa"/>
            <w:tcBorders>
              <w:top w:val="nil"/>
              <w:left w:val="nil"/>
              <w:bottom w:val="single" w:sz="6" w:space="0" w:color="auto"/>
              <w:right w:val="single" w:sz="6" w:space="0" w:color="auto"/>
            </w:tcBorders>
            <w:shd w:val="clear" w:color="auto" w:fill="auto"/>
            <w:hideMark/>
          </w:tcPr>
          <w:p w:rsidR="00021ECD" w:rsidRPr="00045621" w:rsidP="00021ECD" w14:paraId="5CA36EA1" w14:textId="77777777">
            <w:pPr>
              <w:pStyle w:val="paragraph"/>
              <w:spacing w:before="0" w:beforeAutospacing="0" w:after="0" w:afterAutospacing="0"/>
              <w:jc w:val="right"/>
              <w:textAlignment w:val="baseline"/>
              <w:rPr>
                <w:rFonts w:ascii="Segoe UI" w:hAnsi="Segoe UI" w:cs="Segoe UI"/>
                <w:sz w:val="20"/>
                <w:szCs w:val="20"/>
              </w:rPr>
            </w:pPr>
            <w:r w:rsidRPr="00045621">
              <w:rPr>
                <w:rStyle w:val="normaltextrun"/>
                <w:sz w:val="20"/>
                <w:szCs w:val="20"/>
              </w:rPr>
              <w:t>          160</w:t>
            </w:r>
            <w:r w:rsidRPr="00045621">
              <w:rPr>
                <w:rStyle w:val="eop"/>
                <w:sz w:val="20"/>
                <w:szCs w:val="20"/>
              </w:rPr>
              <w:t> </w:t>
            </w:r>
          </w:p>
        </w:tc>
      </w:tr>
    </w:tbl>
    <w:p w:rsidR="000F691D" w:rsidRPr="00045621" w:rsidP="006D5A1C" w14:paraId="052097A8" w14:textId="77777777">
      <w:pPr>
        <w:ind w:left="360"/>
        <w:jc w:val="center"/>
        <w:rPr>
          <w:rFonts w:eastAsia="Calibri"/>
          <w:sz w:val="20"/>
          <w:szCs w:val="20"/>
          <w:vertAlign w:val="superscript"/>
        </w:rPr>
      </w:pPr>
      <w:r w:rsidRPr="00045621">
        <w:rPr>
          <w:rFonts w:eastAsia="Calibri"/>
          <w:sz w:val="20"/>
          <w:szCs w:val="20"/>
        </w:rPr>
        <w:t>Table 1.--Estimated Annual Reporting Burden</w:t>
      </w:r>
      <w:r w:rsidRPr="00045621">
        <w:rPr>
          <w:rFonts w:eastAsia="Calibri"/>
          <w:sz w:val="20"/>
          <w:szCs w:val="20"/>
          <w:vertAlign w:val="superscript"/>
        </w:rPr>
        <w:t>1</w:t>
      </w:r>
    </w:p>
    <w:p w:rsidR="000F691D" w:rsidRPr="00DA172C" w:rsidP="006D5A1C" w14:paraId="5CB135DF" w14:textId="77777777">
      <w:pPr>
        <w:spacing w:after="200"/>
        <w:ind w:left="360"/>
        <w:rPr>
          <w:rFonts w:eastAsia="Calibri"/>
          <w:sz w:val="20"/>
          <w:szCs w:val="20"/>
        </w:rPr>
      </w:pPr>
      <w:r w:rsidRPr="00DA172C">
        <w:rPr>
          <w:rFonts w:eastAsia="Calibri"/>
          <w:sz w:val="20"/>
          <w:szCs w:val="20"/>
        </w:rPr>
        <w:t>¹ There are no capital costs or operating and maintenance costs associated with this collection of information.</w:t>
      </w:r>
    </w:p>
    <w:p w:rsidR="00A349F8" w:rsidP="00AC44B7" w14:paraId="26089B4B" w14:textId="6EDE814A">
      <w:pPr>
        <w:spacing w:after="200"/>
        <w:rPr>
          <w:rFonts w:eastAsia="Calibri"/>
        </w:rPr>
      </w:pPr>
      <w:r w:rsidRPr="00705262">
        <w:rPr>
          <w:rFonts w:eastAsia="Calibri"/>
        </w:rPr>
        <w:t xml:space="preserve">We will inform the affected manufacturers or suppliers of the specified FCN about data or other information that their food contact substance may: (1) not be safe for its intended use; or (2) have stopped being produced, supplied, or used as a food contact substance for its intended use; or (3) be authorized by a food additive regulation; or (4) be covered by a threshold of regulation exemption.  As such, we may determine that the specified FCN may no longer be effective for its intended use unless the affected manufacturer or supplier provides additional data or information to demonstrate that the FCN should continue to be effective.   In row 1, we estimate that, annually, 2 respondents will each spend about 75 hours preparing a </w:t>
      </w:r>
      <w:r w:rsidR="00FD42D5">
        <w:rPr>
          <w:rFonts w:eastAsia="Calibri"/>
        </w:rPr>
        <w:t xml:space="preserve">written </w:t>
      </w:r>
      <w:r w:rsidRPr="00705262">
        <w:rPr>
          <w:rFonts w:eastAsia="Calibri"/>
        </w:rPr>
        <w:t>response </w:t>
      </w:r>
      <w:r w:rsidRPr="00E44B62" w:rsidR="00E44B62">
        <w:rPr>
          <w:rFonts w:eastAsia="Calibri"/>
        </w:rPr>
        <w:t xml:space="preserve">followed by submission of additional data or information to demonstrate that the FCN should continue to be effective </w:t>
      </w:r>
      <w:r w:rsidRPr="00705262">
        <w:rPr>
          <w:rFonts w:eastAsia="Calibri"/>
        </w:rPr>
        <w:t>for a total of 150 hours (2 respondents x 75 hours).  In the existing information collection for our Food Contact Substance Notification Program (OMB control no. 0910-0495; 8</w:t>
      </w:r>
      <w:r w:rsidR="00DF307C">
        <w:rPr>
          <w:rFonts w:eastAsia="Calibri"/>
        </w:rPr>
        <w:t>7</w:t>
      </w:r>
      <w:r w:rsidRPr="00705262">
        <w:rPr>
          <w:rFonts w:eastAsia="Calibri"/>
        </w:rPr>
        <w:t xml:space="preserve"> FR </w:t>
      </w:r>
      <w:r w:rsidR="007443EF">
        <w:rPr>
          <w:rFonts w:eastAsia="Calibri"/>
        </w:rPr>
        <w:t>7190</w:t>
      </w:r>
      <w:r w:rsidR="003A6426">
        <w:rPr>
          <w:rFonts w:eastAsia="Calibri"/>
        </w:rPr>
        <w:t xml:space="preserve"> </w:t>
      </w:r>
      <w:r w:rsidRPr="003A6426" w:rsidR="003A6426">
        <w:rPr>
          <w:rFonts w:eastAsia="Calibri"/>
        </w:rPr>
        <w:t>(February 8, 2022)</w:t>
      </w:r>
      <w:r w:rsidRPr="00705262">
        <w:rPr>
          <w:rFonts w:eastAsia="Calibri"/>
        </w:rPr>
        <w:t>), we estimate that it may take up to 150 hours to prepare and submit an FCN depending on the complexity of the submittal.  We assume the time to prepare a response will take about half the time of the initial submittal because the manufacturer or supplier should already have</w:t>
      </w:r>
      <w:r w:rsidR="009B4C0B">
        <w:rPr>
          <w:rFonts w:eastAsia="Calibri"/>
        </w:rPr>
        <w:t xml:space="preserve"> </w:t>
      </w:r>
      <w:r w:rsidRPr="00705262">
        <w:rPr>
          <w:rFonts w:eastAsia="Calibri"/>
        </w:rPr>
        <w:t>compiled and have access to most, if not all the information demonstrating that their</w:t>
      </w:r>
      <w:r w:rsidR="009B4C0B">
        <w:rPr>
          <w:rFonts w:eastAsia="Calibri"/>
        </w:rPr>
        <w:t xml:space="preserve"> </w:t>
      </w:r>
      <w:r w:rsidRPr="00705262">
        <w:rPr>
          <w:rFonts w:eastAsia="Calibri"/>
        </w:rPr>
        <w:t>FCN should continue to be effective and remains safe for its intended use.</w:t>
      </w:r>
    </w:p>
    <w:p w:rsidR="000F691D" w:rsidP="00F96FFC" w14:paraId="05AA86B5" w14:textId="00FD8A55">
      <w:pPr>
        <w:spacing w:after="200"/>
        <w:rPr>
          <w:rFonts w:eastAsia="Calibri"/>
        </w:rPr>
      </w:pPr>
      <w:r>
        <w:rPr>
          <w:rFonts w:eastAsia="Calibri"/>
        </w:rPr>
        <w:t>The</w:t>
      </w:r>
      <w:r w:rsidRPr="00705262" w:rsidR="00F33CC1">
        <w:rPr>
          <w:rFonts w:eastAsia="Calibri"/>
        </w:rPr>
        <w:t xml:space="preserve"> </w:t>
      </w:r>
      <w:r w:rsidR="00716238">
        <w:rPr>
          <w:rFonts w:eastAsia="Calibri"/>
        </w:rPr>
        <w:t>final</w:t>
      </w:r>
      <w:r w:rsidRPr="00705262" w:rsidR="00716238">
        <w:rPr>
          <w:rFonts w:eastAsia="Calibri"/>
        </w:rPr>
        <w:t xml:space="preserve"> </w:t>
      </w:r>
      <w:r w:rsidRPr="00705262" w:rsidR="00F33CC1">
        <w:rPr>
          <w:rFonts w:eastAsia="Calibri"/>
        </w:rPr>
        <w:t>rule w</w:t>
      </w:r>
      <w:r w:rsidR="00716238">
        <w:rPr>
          <w:rFonts w:eastAsia="Calibri"/>
        </w:rPr>
        <w:t>ill</w:t>
      </w:r>
      <w:r w:rsidRPr="00705262" w:rsidR="00F33CC1">
        <w:rPr>
          <w:rFonts w:eastAsia="Calibri"/>
        </w:rPr>
        <w:t xml:space="preserve"> allow a manufacturer or supplier to request that FDA determine that their FCN is no longer effective on the basis that the manufacturer or supplier no longer produces, supplies, or uses the food contact substance for the intended use.  We believe a manufacturer or supplier will not need much time to prepare such a request as it should already have access to information that it has or intends to no longer produce, supply, or use the food contact substance for the intended use.  Based on the </w:t>
      </w:r>
      <w:r w:rsidR="003F2663">
        <w:rPr>
          <w:rFonts w:eastAsia="Calibri"/>
        </w:rPr>
        <w:t>Final</w:t>
      </w:r>
      <w:r w:rsidRPr="00705262" w:rsidR="003F2663">
        <w:rPr>
          <w:rFonts w:eastAsia="Calibri"/>
        </w:rPr>
        <w:t xml:space="preserve"> </w:t>
      </w:r>
      <w:r w:rsidRPr="00705262" w:rsidR="00F33CC1">
        <w:rPr>
          <w:rFonts w:eastAsia="Calibri"/>
        </w:rPr>
        <w:t>Regulatory Impact Analysis</w:t>
      </w:r>
      <w:r w:rsidR="009B4C0B">
        <w:rPr>
          <w:rFonts w:eastAsia="Calibri"/>
        </w:rPr>
        <w:t xml:space="preserve"> for the </w:t>
      </w:r>
      <w:r w:rsidR="00B6415F">
        <w:rPr>
          <w:rFonts w:eastAsia="Calibri"/>
        </w:rPr>
        <w:t>final</w:t>
      </w:r>
      <w:r w:rsidR="009B4C0B">
        <w:rPr>
          <w:rFonts w:eastAsia="Calibri"/>
        </w:rPr>
        <w:t xml:space="preserve"> rule</w:t>
      </w:r>
      <w:r w:rsidRPr="00705262" w:rsidR="00F33CC1">
        <w:rPr>
          <w:rFonts w:eastAsia="Calibri"/>
        </w:rPr>
        <w:t>, we estimate that 5 respondents will voluntarily</w:t>
      </w:r>
      <w:r w:rsidRPr="009B4C0B" w:rsidR="009B4C0B">
        <w:rPr>
          <w:rFonts w:eastAsia="Calibri"/>
        </w:rPr>
        <w:t xml:space="preserve"> </w:t>
      </w:r>
      <w:r w:rsidRPr="00705262" w:rsidR="00F33CC1">
        <w:rPr>
          <w:rFonts w:eastAsia="Calibri"/>
        </w:rPr>
        <w:t xml:space="preserve">request that </w:t>
      </w:r>
      <w:r w:rsidR="009B4C0B">
        <w:rPr>
          <w:rFonts w:eastAsia="Calibri"/>
        </w:rPr>
        <w:t>we determine</w:t>
      </w:r>
      <w:r w:rsidRPr="00705262" w:rsidR="00F33CC1">
        <w:rPr>
          <w:rFonts w:eastAsia="Calibri"/>
        </w:rPr>
        <w:t xml:space="preserve"> that their FCN is no longer effective.  Accordingly, in row 2, we estimate</w:t>
      </w:r>
      <w:r w:rsidR="009B4C0B">
        <w:rPr>
          <w:rFonts w:eastAsia="Calibri"/>
        </w:rPr>
        <w:t xml:space="preserve"> that 5 </w:t>
      </w:r>
      <w:r w:rsidRPr="00705262" w:rsidR="00F33CC1">
        <w:rPr>
          <w:rFonts w:eastAsia="Calibri"/>
        </w:rPr>
        <w:t>respondents will each submit 1 request to us per year with each request taking 2 hours to prepare for a total of about 10 hours (2 respondents x 5 hours). </w:t>
      </w:r>
    </w:p>
    <w:p w:rsidR="00357C8A" w:rsidRPr="0002223C" w:rsidP="00D17F4F" w14:paraId="79FE6E92" w14:textId="77777777">
      <w:pPr>
        <w:spacing w:after="200"/>
        <w:ind w:left="360"/>
        <w:rPr>
          <w:rFonts w:eastAsia="Calibri"/>
          <w:i/>
          <w:iCs/>
        </w:rPr>
      </w:pPr>
      <w:r w:rsidRPr="0002223C">
        <w:rPr>
          <w:rFonts w:eastAsia="Calibri"/>
          <w:i/>
          <w:iCs/>
        </w:rPr>
        <w:t>12b.  Annualized Cost Burden Estimate</w:t>
      </w:r>
    </w:p>
    <w:p w:rsidR="00A707CC" w:rsidP="00F96FFC" w14:paraId="30E4D1CE" w14:textId="10286AFA">
      <w:pPr>
        <w:rPr>
          <w:rFonts w:eastAsia="Calibri"/>
        </w:rPr>
      </w:pPr>
      <w:r w:rsidRPr="00C31738">
        <w:rPr>
          <w:rFonts w:eastAsia="Calibri"/>
        </w:rPr>
        <w:t xml:space="preserve">Gathering the information discussed here and providing it to the agency requires a team of professional employees, which may include toxicologists, chemists, environmental scientists, and lawyers.  </w:t>
      </w:r>
      <w:r w:rsidR="001D5B61">
        <w:rPr>
          <w:rFonts w:eastAsia="Calibri"/>
        </w:rPr>
        <w:t>We</w:t>
      </w:r>
      <w:r w:rsidRPr="00C31738">
        <w:rPr>
          <w:rFonts w:eastAsia="Calibri"/>
        </w:rPr>
        <w:t xml:space="preserve"> estimate that the average hourly wage for these employees would be equivalent to a GS-14/Step-1 level in the locality pay area of Washington-Baltimore in 20</w:t>
      </w:r>
      <w:r w:rsidR="001D5B61">
        <w:rPr>
          <w:rFonts w:eastAsia="Calibri"/>
        </w:rPr>
        <w:t>2</w:t>
      </w:r>
      <w:r w:rsidR="008B4B99">
        <w:rPr>
          <w:rFonts w:eastAsia="Calibri"/>
        </w:rPr>
        <w:t>3</w:t>
      </w:r>
      <w:r w:rsidRPr="00C31738">
        <w:rPr>
          <w:rFonts w:eastAsia="Calibri"/>
        </w:rPr>
        <w:t>, approximately $</w:t>
      </w:r>
      <w:r w:rsidR="00D63E7C">
        <w:rPr>
          <w:rFonts w:eastAsia="Calibri"/>
        </w:rPr>
        <w:t>63.43</w:t>
      </w:r>
      <w:r w:rsidRPr="00C31738">
        <w:rPr>
          <w:rFonts w:eastAsia="Calibri"/>
        </w:rPr>
        <w:t xml:space="preserve">/hour.  Doubling this wage to account for overhead costs, </w:t>
      </w:r>
      <w:r w:rsidR="001D5B61">
        <w:rPr>
          <w:rFonts w:eastAsia="Calibri"/>
        </w:rPr>
        <w:t>we</w:t>
      </w:r>
      <w:r w:rsidRPr="00C31738">
        <w:rPr>
          <w:rFonts w:eastAsia="Calibri"/>
        </w:rPr>
        <w:t xml:space="preserve"> estimate the average hourly cost to respondents to be $</w:t>
      </w:r>
      <w:r w:rsidR="005A4B89">
        <w:rPr>
          <w:rFonts w:eastAsia="Calibri"/>
        </w:rPr>
        <w:t>126.86</w:t>
      </w:r>
      <w:r w:rsidRPr="00C31738">
        <w:rPr>
          <w:rFonts w:eastAsia="Calibri"/>
        </w:rPr>
        <w:t>/hour.  Thus, the overall estimated cost incurred by the respondents is $</w:t>
      </w:r>
      <w:r w:rsidR="00A72D9C">
        <w:rPr>
          <w:rFonts w:eastAsia="Calibri"/>
        </w:rPr>
        <w:t>20,297</w:t>
      </w:r>
      <w:r w:rsidR="00047332">
        <w:rPr>
          <w:rFonts w:eastAsia="Calibri"/>
        </w:rPr>
        <w:t>.60</w:t>
      </w:r>
      <w:r w:rsidRPr="00C31738">
        <w:rPr>
          <w:rFonts w:eastAsia="Calibri"/>
        </w:rPr>
        <w:t xml:space="preserve"> (</w:t>
      </w:r>
      <w:r w:rsidR="00A14AAA">
        <w:rPr>
          <w:rFonts w:eastAsia="Calibri"/>
        </w:rPr>
        <w:t>160</w:t>
      </w:r>
      <w:r w:rsidRPr="00C31738">
        <w:rPr>
          <w:rFonts w:eastAsia="Calibri"/>
        </w:rPr>
        <w:t xml:space="preserve"> burden hours x $</w:t>
      </w:r>
      <w:r w:rsidR="00047332">
        <w:rPr>
          <w:rFonts w:eastAsia="Calibri"/>
        </w:rPr>
        <w:t>126.86</w:t>
      </w:r>
      <w:r w:rsidRPr="00C31738">
        <w:rPr>
          <w:rFonts w:eastAsia="Calibri"/>
        </w:rPr>
        <w:t xml:space="preserve">/hour).  </w:t>
      </w:r>
      <w:r w:rsidR="00B8521F">
        <w:rPr>
          <w:rFonts w:eastAsia="Calibri"/>
        </w:rPr>
        <w:t>This is an update from our proposed rule in which we use 2020 wage figures.</w:t>
      </w:r>
    </w:p>
    <w:p w:rsidR="001D5B61" w:rsidP="006D5A1C" w14:paraId="5551A2AD" w14:textId="77777777">
      <w:pPr>
        <w:rPr>
          <w:rFonts w:eastAsia="Calibri"/>
        </w:rPr>
      </w:pPr>
    </w:p>
    <w:p w:rsidR="00A14AAA" w:rsidRPr="00F16FB4" w:rsidP="00D81182" w14:paraId="37DAB4B1" w14:textId="13BDAFEE">
      <w:pPr>
        <w:ind w:left="360"/>
        <w:jc w:val="center"/>
        <w:rPr>
          <w:rFonts w:eastAsia="Calibri"/>
          <w:sz w:val="20"/>
          <w:szCs w:val="20"/>
        </w:rPr>
      </w:pPr>
      <w:r w:rsidRPr="00F16FB4">
        <w:rPr>
          <w:rFonts w:eastAsia="Calibri"/>
          <w:sz w:val="20"/>
          <w:szCs w:val="20"/>
        </w:rPr>
        <w:t>Table 2.--Estimated Annual Cost Burden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3"/>
        <w:gridCol w:w="1890"/>
        <w:gridCol w:w="1944"/>
        <w:gridCol w:w="1926"/>
      </w:tblGrid>
      <w:tr w14:paraId="0B0E9FD6" w14:textId="77777777" w:rsidTr="00B8521F">
        <w:tblPrEx>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43" w:type="dxa"/>
            <w:shd w:val="clear" w:color="auto" w:fill="auto"/>
          </w:tcPr>
          <w:p w:rsidR="00A707CC" w:rsidRPr="00F16FB4" w:rsidP="006D5A1C" w14:paraId="5C52CF14" w14:textId="77777777">
            <w:pPr>
              <w:jc w:val="center"/>
              <w:rPr>
                <w:sz w:val="20"/>
                <w:szCs w:val="20"/>
              </w:rPr>
            </w:pPr>
            <w:r w:rsidRPr="00F16FB4">
              <w:rPr>
                <w:sz w:val="20"/>
                <w:szCs w:val="20"/>
              </w:rPr>
              <w:t>Type of Respondent</w:t>
            </w:r>
            <w:r w:rsidRPr="00F16FB4">
              <w:rPr>
                <w:sz w:val="20"/>
                <w:szCs w:val="20"/>
              </w:rPr>
              <w:br/>
            </w:r>
          </w:p>
        </w:tc>
        <w:tc>
          <w:tcPr>
            <w:tcW w:w="1890" w:type="dxa"/>
            <w:shd w:val="clear" w:color="auto" w:fill="auto"/>
          </w:tcPr>
          <w:p w:rsidR="00A707CC" w:rsidRPr="00F16FB4" w:rsidP="006D5A1C" w14:paraId="6FDF17DE" w14:textId="77777777">
            <w:pPr>
              <w:jc w:val="center"/>
              <w:rPr>
                <w:sz w:val="20"/>
                <w:szCs w:val="20"/>
              </w:rPr>
            </w:pPr>
            <w:r w:rsidRPr="00F16FB4">
              <w:rPr>
                <w:sz w:val="20"/>
                <w:szCs w:val="20"/>
              </w:rPr>
              <w:t>Total Burden Hours</w:t>
            </w:r>
          </w:p>
        </w:tc>
        <w:tc>
          <w:tcPr>
            <w:tcW w:w="1944" w:type="dxa"/>
            <w:shd w:val="clear" w:color="auto" w:fill="auto"/>
          </w:tcPr>
          <w:p w:rsidR="00A707CC" w:rsidRPr="00F16FB4" w:rsidP="006D5A1C" w14:paraId="5CA3852D" w14:textId="77777777">
            <w:pPr>
              <w:jc w:val="center"/>
              <w:rPr>
                <w:sz w:val="20"/>
                <w:szCs w:val="20"/>
              </w:rPr>
            </w:pPr>
            <w:r w:rsidRPr="00F16FB4">
              <w:rPr>
                <w:sz w:val="20"/>
                <w:szCs w:val="20"/>
              </w:rPr>
              <w:t>Hourly Wage Rate</w:t>
            </w:r>
          </w:p>
        </w:tc>
        <w:tc>
          <w:tcPr>
            <w:tcW w:w="1926" w:type="dxa"/>
            <w:shd w:val="clear" w:color="auto" w:fill="auto"/>
          </w:tcPr>
          <w:p w:rsidR="00A707CC" w:rsidRPr="00F16FB4" w:rsidP="006D5A1C" w14:paraId="0838EDFC" w14:textId="77777777">
            <w:pPr>
              <w:jc w:val="center"/>
              <w:rPr>
                <w:sz w:val="20"/>
                <w:szCs w:val="20"/>
              </w:rPr>
            </w:pPr>
            <w:r w:rsidRPr="00F16FB4">
              <w:rPr>
                <w:sz w:val="20"/>
                <w:szCs w:val="20"/>
              </w:rPr>
              <w:t>Total Respondent Costs</w:t>
            </w:r>
          </w:p>
        </w:tc>
      </w:tr>
      <w:tr w14:paraId="61F8D7D1" w14:textId="77777777" w:rsidTr="00B8521F">
        <w:tblPrEx>
          <w:tblW w:w="0" w:type="auto"/>
          <w:tblInd w:w="-95" w:type="dxa"/>
          <w:tblLook w:val="01E0"/>
        </w:tblPrEx>
        <w:tc>
          <w:tcPr>
            <w:tcW w:w="3443" w:type="dxa"/>
            <w:shd w:val="clear" w:color="auto" w:fill="auto"/>
          </w:tcPr>
          <w:p w:rsidR="00A707CC" w:rsidRPr="00F16FB4" w:rsidP="006D5A1C" w14:paraId="4B168C90" w14:textId="77777777">
            <w:pPr>
              <w:rPr>
                <w:sz w:val="20"/>
                <w:szCs w:val="20"/>
              </w:rPr>
            </w:pPr>
            <w:r w:rsidRPr="00F16FB4">
              <w:rPr>
                <w:sz w:val="20"/>
                <w:szCs w:val="20"/>
              </w:rPr>
              <w:t xml:space="preserve">Manufacturers and suppliers of food contact substances </w:t>
            </w:r>
          </w:p>
        </w:tc>
        <w:tc>
          <w:tcPr>
            <w:tcW w:w="1890" w:type="dxa"/>
            <w:shd w:val="clear" w:color="auto" w:fill="auto"/>
          </w:tcPr>
          <w:p w:rsidR="00A707CC" w:rsidRPr="00F16FB4" w:rsidP="006D5A1C" w14:paraId="3B1B5684" w14:textId="77777777">
            <w:pPr>
              <w:jc w:val="right"/>
              <w:rPr>
                <w:sz w:val="20"/>
                <w:szCs w:val="20"/>
              </w:rPr>
            </w:pPr>
            <w:r w:rsidRPr="00F16FB4">
              <w:rPr>
                <w:sz w:val="20"/>
                <w:szCs w:val="20"/>
              </w:rPr>
              <w:t>160</w:t>
            </w:r>
          </w:p>
        </w:tc>
        <w:tc>
          <w:tcPr>
            <w:tcW w:w="1944" w:type="dxa"/>
            <w:shd w:val="clear" w:color="auto" w:fill="auto"/>
          </w:tcPr>
          <w:p w:rsidR="00A707CC" w:rsidRPr="00F16FB4" w:rsidP="006D5A1C" w14:paraId="22D2D681" w14:textId="16F322DD">
            <w:pPr>
              <w:jc w:val="right"/>
              <w:rPr>
                <w:sz w:val="20"/>
                <w:szCs w:val="20"/>
              </w:rPr>
            </w:pPr>
            <w:r w:rsidRPr="00F16FB4">
              <w:rPr>
                <w:sz w:val="20"/>
                <w:szCs w:val="20"/>
              </w:rPr>
              <w:t>$</w:t>
            </w:r>
            <w:r w:rsidR="00047332">
              <w:rPr>
                <w:sz w:val="20"/>
                <w:szCs w:val="20"/>
              </w:rPr>
              <w:t>126.86</w:t>
            </w:r>
          </w:p>
        </w:tc>
        <w:tc>
          <w:tcPr>
            <w:tcW w:w="1926" w:type="dxa"/>
            <w:shd w:val="clear" w:color="auto" w:fill="auto"/>
          </w:tcPr>
          <w:p w:rsidR="00A707CC" w:rsidRPr="00F16FB4" w:rsidP="006D5A1C" w14:paraId="0D7BD075" w14:textId="088D3FD8">
            <w:pPr>
              <w:jc w:val="right"/>
              <w:rPr>
                <w:sz w:val="20"/>
                <w:szCs w:val="20"/>
              </w:rPr>
            </w:pPr>
            <w:r w:rsidRPr="00F16FB4">
              <w:rPr>
                <w:sz w:val="20"/>
                <w:szCs w:val="20"/>
              </w:rPr>
              <w:t>$</w:t>
            </w:r>
            <w:r w:rsidR="00047332">
              <w:rPr>
                <w:sz w:val="20"/>
                <w:szCs w:val="20"/>
              </w:rPr>
              <w:t>20.297.60</w:t>
            </w:r>
          </w:p>
        </w:tc>
      </w:tr>
    </w:tbl>
    <w:p w:rsidR="00357C8A" w:rsidRPr="00357C8A" w:rsidP="006D5A1C" w14:paraId="227C596D" w14:textId="77777777">
      <w:pPr>
        <w:rPr>
          <w:rFonts w:eastAsia="Calibri"/>
        </w:rPr>
      </w:pPr>
    </w:p>
    <w:p w:rsidR="00357C8A" w:rsidRPr="00357C8A" w:rsidP="006D5A1C" w14:paraId="177F5EAD" w14:textId="77777777">
      <w:pPr>
        <w:numPr>
          <w:ilvl w:val="0"/>
          <w:numId w:val="6"/>
        </w:numPr>
        <w:spacing w:after="20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6D5A1C" w14:paraId="0C5FCF8B" w14:textId="77777777">
      <w:pPr>
        <w:spacing w:after="200"/>
        <w:rPr>
          <w:rFonts w:eastAsia="Calibri"/>
          <w:u w:val="single"/>
        </w:rPr>
      </w:pPr>
      <w:r w:rsidRPr="00183421">
        <w:rPr>
          <w:rFonts w:eastAsia="Calibri"/>
        </w:rPr>
        <w:t>There are no capital, start-up, operating, or maintenance costs associated with this collection.</w:t>
      </w:r>
    </w:p>
    <w:p w:rsidR="00357C8A" w:rsidRPr="00C0646B" w:rsidP="006D5A1C" w14:paraId="52A9BFEB" w14:textId="77777777">
      <w:pPr>
        <w:numPr>
          <w:ilvl w:val="0"/>
          <w:numId w:val="6"/>
        </w:numPr>
        <w:spacing w:after="200"/>
        <w:rPr>
          <w:rFonts w:eastAsia="Calibri"/>
          <w:u w:val="single"/>
        </w:rPr>
      </w:pPr>
      <w:r w:rsidRPr="00C0646B">
        <w:rPr>
          <w:rFonts w:eastAsia="Calibri"/>
          <w:u w:val="single"/>
        </w:rPr>
        <w:t>Annualized Cost to the Federal Government</w:t>
      </w:r>
    </w:p>
    <w:p w:rsidR="00357C8A" w:rsidRPr="00357C8A" w:rsidP="006D5A1C" w14:paraId="55346B98" w14:textId="6912F8F4">
      <w:pPr>
        <w:spacing w:after="200"/>
        <w:rPr>
          <w:rFonts w:eastAsia="Calibri"/>
        </w:rPr>
      </w:pPr>
      <w:r w:rsidRPr="001B7405">
        <w:rPr>
          <w:rFonts w:eastAsia="Calibri"/>
        </w:rPr>
        <w:t xml:space="preserve">We </w:t>
      </w:r>
      <w:r w:rsidR="00B8521F">
        <w:rPr>
          <w:rFonts w:eastAsia="Calibri"/>
        </w:rPr>
        <w:t xml:space="preserve">have updated our </w:t>
      </w:r>
      <w:r w:rsidRPr="001B7405">
        <w:rPr>
          <w:rFonts w:eastAsia="Calibri"/>
        </w:rPr>
        <w:t xml:space="preserve">estimate </w:t>
      </w:r>
      <w:r w:rsidR="00B8521F">
        <w:rPr>
          <w:rFonts w:eastAsia="Calibri"/>
        </w:rPr>
        <w:t xml:space="preserve">of Federal costs reported for the proposed rule based on updated wage rates.  Assuming </w:t>
      </w:r>
      <w:r w:rsidRPr="001B7405">
        <w:rPr>
          <w:rFonts w:eastAsia="Calibri"/>
        </w:rPr>
        <w:t xml:space="preserve">that review of </w:t>
      </w:r>
      <w:r w:rsidR="00C0646B">
        <w:rPr>
          <w:rFonts w:eastAsia="Calibri"/>
        </w:rPr>
        <w:t>withdrawal requests and responses</w:t>
      </w:r>
      <w:r w:rsidRPr="001B7405">
        <w:rPr>
          <w:rFonts w:eastAsia="Calibri"/>
        </w:rPr>
        <w:t xml:space="preserve"> </w:t>
      </w:r>
      <w:r w:rsidR="00C0646B">
        <w:rPr>
          <w:rFonts w:eastAsia="Calibri"/>
        </w:rPr>
        <w:t>will</w:t>
      </w:r>
      <w:r w:rsidRPr="001B7405">
        <w:rPr>
          <w:rFonts w:eastAsia="Calibri"/>
        </w:rPr>
        <w:t xml:space="preserve"> take </w:t>
      </w:r>
      <w:r w:rsidR="00C0646B">
        <w:rPr>
          <w:rFonts w:eastAsia="Calibri"/>
        </w:rPr>
        <w:t>1,500</w:t>
      </w:r>
      <w:r w:rsidRPr="001B7405">
        <w:rPr>
          <w:rFonts w:eastAsia="Calibri"/>
        </w:rPr>
        <w:t xml:space="preserve"> hours per </w:t>
      </w:r>
      <w:r w:rsidR="00C0646B">
        <w:rPr>
          <w:rFonts w:eastAsia="Calibri"/>
        </w:rPr>
        <w:t>submittal</w:t>
      </w:r>
      <w:r w:rsidR="00B8521F">
        <w:rPr>
          <w:rFonts w:eastAsia="Calibri"/>
        </w:rPr>
        <w:t xml:space="preserve">, we calculate </w:t>
      </w:r>
      <w:r w:rsidRPr="001B7405">
        <w:rPr>
          <w:rFonts w:eastAsia="Calibri"/>
        </w:rPr>
        <w:t>the hourly cost for review and evaluation to be $</w:t>
      </w:r>
      <w:r w:rsidR="00E07C97">
        <w:rPr>
          <w:rFonts w:eastAsia="Calibri"/>
        </w:rPr>
        <w:t>63.43</w:t>
      </w:r>
      <w:r w:rsidRPr="001B7405">
        <w:rPr>
          <w:rFonts w:eastAsia="Calibri"/>
        </w:rPr>
        <w:t xml:space="preserve"> per hour, the GS-1</w:t>
      </w:r>
      <w:r w:rsidR="00C0646B">
        <w:rPr>
          <w:rFonts w:eastAsia="Calibri"/>
        </w:rPr>
        <w:t>4</w:t>
      </w:r>
      <w:r w:rsidRPr="001B7405">
        <w:rPr>
          <w:rFonts w:eastAsia="Calibri"/>
        </w:rPr>
        <w:t>/Step-1 rate for the Washington-Baltimore locality pay area for the year 202</w:t>
      </w:r>
      <w:r w:rsidR="006F5553">
        <w:rPr>
          <w:rFonts w:eastAsia="Calibri"/>
        </w:rPr>
        <w:t>3</w:t>
      </w:r>
      <w:r w:rsidRPr="001B7405">
        <w:rPr>
          <w:rFonts w:eastAsia="Calibri"/>
        </w:rPr>
        <w:t>.  To account for overhead, this cost is increased by 100 percent, making the total cost $</w:t>
      </w:r>
      <w:r w:rsidR="006F5553">
        <w:rPr>
          <w:rFonts w:eastAsia="Calibri"/>
        </w:rPr>
        <w:t>126.86</w:t>
      </w:r>
      <w:r w:rsidRPr="001B7405">
        <w:rPr>
          <w:rFonts w:eastAsia="Calibri"/>
        </w:rPr>
        <w:t xml:space="preserve"> per hour.  We estimate the cost to the Federal </w:t>
      </w:r>
      <w:r w:rsidR="006F5553">
        <w:rPr>
          <w:rFonts w:eastAsia="Calibri"/>
        </w:rPr>
        <w:t>g</w:t>
      </w:r>
      <w:r w:rsidRPr="001B7405">
        <w:rPr>
          <w:rFonts w:eastAsia="Calibri"/>
        </w:rPr>
        <w:t xml:space="preserve">overnment for the review </w:t>
      </w:r>
      <w:r w:rsidR="00C0646B">
        <w:rPr>
          <w:rFonts w:eastAsia="Calibri"/>
        </w:rPr>
        <w:t>and determinations</w:t>
      </w:r>
      <w:r w:rsidRPr="001B7405">
        <w:rPr>
          <w:rFonts w:eastAsia="Calibri"/>
        </w:rPr>
        <w:t xml:space="preserve"> to be $</w:t>
      </w:r>
      <w:r w:rsidR="00781665">
        <w:rPr>
          <w:rFonts w:eastAsia="Calibri"/>
        </w:rPr>
        <w:t>190,</w:t>
      </w:r>
      <w:r w:rsidR="00A425A0">
        <w:rPr>
          <w:rFonts w:eastAsia="Calibri"/>
        </w:rPr>
        <w:t>290</w:t>
      </w:r>
      <w:r w:rsidRPr="001B7405">
        <w:rPr>
          <w:rFonts w:eastAsia="Calibri"/>
        </w:rPr>
        <w:t xml:space="preserve"> per review ($</w:t>
      </w:r>
      <w:r w:rsidR="00B3633D">
        <w:rPr>
          <w:rFonts w:eastAsia="Calibri"/>
        </w:rPr>
        <w:t>126.86</w:t>
      </w:r>
      <w:r w:rsidRPr="001B7405">
        <w:rPr>
          <w:rFonts w:eastAsia="Calibri"/>
        </w:rPr>
        <w:t xml:space="preserve">/hour x </w:t>
      </w:r>
      <w:r w:rsidR="00C0646B">
        <w:rPr>
          <w:rFonts w:eastAsia="Calibri"/>
        </w:rPr>
        <w:t>1,500</w:t>
      </w:r>
      <w:r w:rsidRPr="001B7405">
        <w:rPr>
          <w:rFonts w:eastAsia="Calibri"/>
        </w:rPr>
        <w:t xml:space="preserve"> hours) and that we </w:t>
      </w:r>
      <w:r w:rsidR="00C0646B">
        <w:rPr>
          <w:rFonts w:eastAsia="Calibri"/>
        </w:rPr>
        <w:t xml:space="preserve">will </w:t>
      </w:r>
      <w:r w:rsidRPr="001B7405">
        <w:rPr>
          <w:rFonts w:eastAsia="Calibri"/>
        </w:rPr>
        <w:t xml:space="preserve">review </w:t>
      </w:r>
      <w:r w:rsidR="00C0646B">
        <w:rPr>
          <w:rFonts w:eastAsia="Calibri"/>
        </w:rPr>
        <w:t xml:space="preserve">and make determinations for </w:t>
      </w:r>
      <w:r w:rsidR="0091429D">
        <w:rPr>
          <w:rFonts w:eastAsia="Calibri"/>
        </w:rPr>
        <w:t>7</w:t>
      </w:r>
      <w:r w:rsidR="00C0646B">
        <w:rPr>
          <w:rFonts w:eastAsia="Calibri"/>
        </w:rPr>
        <w:t xml:space="preserve"> submittals</w:t>
      </w:r>
      <w:r w:rsidRPr="001B7405">
        <w:rPr>
          <w:rFonts w:eastAsia="Calibri"/>
        </w:rPr>
        <w:t xml:space="preserve">.  Thus, we estimate the total annual cost to the Federal </w:t>
      </w:r>
      <w:r w:rsidR="00A425A0">
        <w:rPr>
          <w:rFonts w:eastAsia="Calibri"/>
        </w:rPr>
        <w:t>g</w:t>
      </w:r>
      <w:r w:rsidRPr="001B7405">
        <w:rPr>
          <w:rFonts w:eastAsia="Calibri"/>
        </w:rPr>
        <w:t>overnment to be $</w:t>
      </w:r>
      <w:r w:rsidR="00A53445">
        <w:rPr>
          <w:rFonts w:eastAsia="Calibri"/>
        </w:rPr>
        <w:t>1,332,030</w:t>
      </w:r>
      <w:r w:rsidR="00010BC0">
        <w:rPr>
          <w:rFonts w:eastAsia="Calibri"/>
        </w:rPr>
        <w:t xml:space="preserve"> </w:t>
      </w:r>
      <w:r w:rsidRPr="001B7405">
        <w:rPr>
          <w:rFonts w:eastAsia="Calibri"/>
        </w:rPr>
        <w:t>($</w:t>
      </w:r>
      <w:r w:rsidR="00A53445">
        <w:rPr>
          <w:rFonts w:eastAsia="Calibri"/>
        </w:rPr>
        <w:t>190,290</w:t>
      </w:r>
      <w:r w:rsidR="00C0646B">
        <w:rPr>
          <w:rFonts w:eastAsia="Calibri"/>
        </w:rPr>
        <w:t>/review</w:t>
      </w:r>
      <w:r w:rsidRPr="00C0646B" w:rsidR="00C0646B">
        <w:rPr>
          <w:rFonts w:eastAsia="Calibri"/>
        </w:rPr>
        <w:t xml:space="preserve"> </w:t>
      </w:r>
      <w:r w:rsidRPr="001B7405">
        <w:rPr>
          <w:rFonts w:eastAsia="Calibri"/>
        </w:rPr>
        <w:t xml:space="preserve">x </w:t>
      </w:r>
      <w:r w:rsidR="00010BC0">
        <w:rPr>
          <w:rFonts w:eastAsia="Calibri"/>
        </w:rPr>
        <w:t>7</w:t>
      </w:r>
      <w:r w:rsidRPr="001B7405">
        <w:rPr>
          <w:rFonts w:eastAsia="Calibri"/>
        </w:rPr>
        <w:t xml:space="preserve"> </w:t>
      </w:r>
      <w:r w:rsidR="00C0646B">
        <w:rPr>
          <w:rFonts w:eastAsia="Calibri"/>
        </w:rPr>
        <w:t>submittals</w:t>
      </w:r>
      <w:r w:rsidRPr="001B7405">
        <w:rPr>
          <w:rFonts w:eastAsia="Calibri"/>
        </w:rPr>
        <w:t>).</w:t>
      </w:r>
      <w:r w:rsidR="00010BC0">
        <w:rPr>
          <w:rFonts w:eastAsia="Calibri"/>
        </w:rPr>
        <w:t xml:space="preserve"> </w:t>
      </w:r>
    </w:p>
    <w:p w:rsidR="00357C8A" w:rsidP="006D5A1C" w14:paraId="57107C29" w14:textId="77777777">
      <w:pPr>
        <w:numPr>
          <w:ilvl w:val="0"/>
          <w:numId w:val="6"/>
        </w:numPr>
        <w:spacing w:after="200"/>
        <w:rPr>
          <w:rFonts w:eastAsia="Calibri"/>
          <w:u w:val="single"/>
        </w:rPr>
      </w:pPr>
      <w:r w:rsidRPr="00357C8A">
        <w:rPr>
          <w:rFonts w:eastAsia="Calibri"/>
          <w:u w:val="single"/>
        </w:rPr>
        <w:t>Explanation for Program Changes or Adjustments</w:t>
      </w:r>
    </w:p>
    <w:p w:rsidR="003624E0" w:rsidRPr="00183421" w:rsidP="006D5A1C" w14:paraId="2AFF2D22" w14:textId="3EBF8D36">
      <w:pPr>
        <w:spacing w:after="200"/>
        <w:rPr>
          <w:rFonts w:eastAsia="Calibri"/>
        </w:rPr>
      </w:pPr>
      <w:r>
        <w:rPr>
          <w:rFonts w:eastAsia="Calibri"/>
        </w:rPr>
        <w:t>This information collection reflects program changes resulting from rulemaking.  As a result, we have adjusted our estimate</w:t>
      </w:r>
      <w:r w:rsidR="003D0DEE">
        <w:rPr>
          <w:rFonts w:eastAsia="Calibri"/>
        </w:rPr>
        <w:t xml:space="preserve"> adding 160 hours and 7 responses annually</w:t>
      </w:r>
      <w:r w:rsidR="0028755F">
        <w:rPr>
          <w:rFonts w:eastAsia="Calibri"/>
        </w:rPr>
        <w:t xml:space="preserve"> to reflect </w:t>
      </w:r>
      <w:r w:rsidR="00605E4E">
        <w:rPr>
          <w:rFonts w:eastAsia="Calibri"/>
        </w:rPr>
        <w:t xml:space="preserve">information collection associated with </w:t>
      </w:r>
      <w:r w:rsidR="0028755F">
        <w:rPr>
          <w:rFonts w:eastAsia="Calibri"/>
        </w:rPr>
        <w:t>new regulatory requirements.</w:t>
      </w:r>
      <w:r w:rsidR="00B8521F">
        <w:rPr>
          <w:rFonts w:eastAsia="Calibri"/>
        </w:rPr>
        <w:t xml:space="preserve">  We have also updated cost estimates previously proffered to reflect 2023 data.</w:t>
      </w:r>
    </w:p>
    <w:p w:rsidR="00357C8A" w:rsidRPr="0023615C" w:rsidP="006D5A1C" w14:paraId="5037A956" w14:textId="6CEEFEA0">
      <w:pPr>
        <w:numPr>
          <w:ilvl w:val="0"/>
          <w:numId w:val="6"/>
        </w:numPr>
        <w:spacing w:after="200"/>
        <w:rPr>
          <w:rFonts w:eastAsia="Calibri"/>
          <w:u w:val="single"/>
        </w:rPr>
      </w:pPr>
      <w:r w:rsidRPr="0023615C">
        <w:rPr>
          <w:rFonts w:eastAsia="Calibri"/>
          <w:u w:val="single"/>
        </w:rPr>
        <w:t>Plans for Tabulation and Publication and Project Time Schedule</w:t>
      </w:r>
    </w:p>
    <w:p w:rsidR="00A506DE" w:rsidRPr="004A5323" w:rsidP="006D5A1C" w14:paraId="0268295A" w14:textId="1056B45B">
      <w:pPr>
        <w:pStyle w:val="Default"/>
      </w:pPr>
      <w:r w:rsidRPr="00183421">
        <w:t xml:space="preserve">No statistics from the information obtained from this data collection will be published.  However, a list of effective notifications is </w:t>
      </w:r>
      <w:r w:rsidR="00B8521F">
        <w:t xml:space="preserve">made </w:t>
      </w:r>
      <w:r w:rsidRPr="00183421">
        <w:t xml:space="preserve">available on the FDA </w:t>
      </w:r>
      <w:r w:rsidR="00D7428D">
        <w:t>website</w:t>
      </w:r>
      <w:r w:rsidRPr="00183421">
        <w:t>.  This list includes the notifier, the identity of the food contact substance, the effective date of the notification, as well as any appropriate limitations on the use of the food contact substance.  It does not include any confidential information.</w:t>
      </w:r>
      <w:r w:rsidRPr="0023615C" w:rsidR="0023615C">
        <w:t xml:space="preserve"> </w:t>
      </w:r>
      <w:r w:rsidR="0023615C">
        <w:t xml:space="preserve"> </w:t>
      </w:r>
      <w:r w:rsidRPr="0023615C" w:rsidR="0023615C">
        <w:t xml:space="preserve">The FCN inventory will be revised dependent on FDA’s determination that </w:t>
      </w:r>
      <w:r w:rsidR="0023615C">
        <w:t>an</w:t>
      </w:r>
      <w:r w:rsidRPr="0023615C" w:rsidR="0023615C">
        <w:t xml:space="preserve"> FCN is no longer effective.</w:t>
      </w:r>
      <w:r w:rsidRPr="00032543" w:rsidR="00032543">
        <w:t xml:space="preserve"> </w:t>
      </w:r>
      <w:r w:rsidR="00032543">
        <w:t xml:space="preserve"> A</w:t>
      </w:r>
      <w:r w:rsidRPr="00032543" w:rsidR="00032543">
        <w:t xml:space="preserve">long with the current inventory of </w:t>
      </w:r>
      <w:r w:rsidRPr="00032543" w:rsidR="00032543">
        <w:t>effective FCNs</w:t>
      </w:r>
      <w:r w:rsidR="00032543">
        <w:t xml:space="preserve">, </w:t>
      </w:r>
      <w:r w:rsidRPr="00157660" w:rsidR="00157660">
        <w:t>FDA intends to establish and maintain a list of FCNs that are no longer effective and the reason for the FDA’s determination on its website</w:t>
      </w:r>
      <w:r w:rsidR="00D7428D">
        <w:t>.</w:t>
      </w:r>
    </w:p>
    <w:p w:rsidR="00A506DE" w:rsidP="006D5A1C" w14:paraId="710724C1" w14:textId="77777777">
      <w:pPr>
        <w:pStyle w:val="Default"/>
        <w:rPr>
          <w:sz w:val="23"/>
          <w:szCs w:val="23"/>
        </w:rPr>
      </w:pPr>
    </w:p>
    <w:p w:rsidR="00357C8A" w:rsidRPr="00357C8A" w:rsidP="006D5A1C" w14:paraId="3A19EFC2" w14:textId="77777777">
      <w:pPr>
        <w:numPr>
          <w:ilvl w:val="0"/>
          <w:numId w:val="6"/>
        </w:numPr>
        <w:spacing w:after="200"/>
        <w:rPr>
          <w:rFonts w:eastAsia="Calibri"/>
          <w:u w:val="single"/>
        </w:rPr>
      </w:pPr>
      <w:r w:rsidRPr="00357C8A">
        <w:rPr>
          <w:rFonts w:eastAsia="Calibri"/>
          <w:u w:val="single"/>
        </w:rPr>
        <w:t>Reason(s) Display of OMB Expiration Date is Inappropriate</w:t>
      </w:r>
    </w:p>
    <w:p w:rsidR="00357C8A" w:rsidRPr="00357C8A" w:rsidP="006D5A1C" w14:paraId="100FC8C3" w14:textId="396FC1F5">
      <w:pPr>
        <w:spacing w:after="200"/>
        <w:rPr>
          <w:rFonts w:eastAsia="Calibri"/>
        </w:rPr>
      </w:pPr>
      <w:r w:rsidRPr="00183421">
        <w:rPr>
          <w:rFonts w:eastAsia="Calibri"/>
        </w:rPr>
        <w:t xml:space="preserve">There are no reasons why display of the expiration date for OMB approval of the information collection would be inappropriate.  </w:t>
      </w:r>
    </w:p>
    <w:p w:rsidR="00357C8A" w:rsidRPr="00357C8A" w:rsidP="006D5A1C" w14:paraId="489587CD" w14:textId="77777777">
      <w:pPr>
        <w:numPr>
          <w:ilvl w:val="0"/>
          <w:numId w:val="6"/>
        </w:numPr>
        <w:spacing w:after="200"/>
        <w:rPr>
          <w:rFonts w:eastAsia="Calibri"/>
          <w:u w:val="single"/>
        </w:rPr>
      </w:pPr>
      <w:r w:rsidRPr="00357C8A">
        <w:rPr>
          <w:rFonts w:eastAsia="Calibri"/>
          <w:u w:val="single"/>
        </w:rPr>
        <w:t>Exceptions to Certification for Paperwork Reduction Act Submissions</w:t>
      </w:r>
    </w:p>
    <w:p w:rsidR="007E59A8" w:rsidP="006D5A1C" w14:paraId="2B87AEB2" w14:textId="77777777">
      <w:pPr>
        <w:spacing w:after="200"/>
        <w:rPr>
          <w:rFonts w:eastAsia="Calibri"/>
        </w:rPr>
      </w:pPr>
      <w:r w:rsidRPr="007E59A8">
        <w:rPr>
          <w:rFonts w:eastAsia="Calibri"/>
        </w:rPr>
        <w:t>There are no exceptions to the certification</w:t>
      </w:r>
      <w:r>
        <w:rPr>
          <w:rFonts w:eastAsia="Calibri"/>
        </w:rPr>
        <w:t>.</w:t>
      </w:r>
    </w:p>
    <w:p w:rsidR="00544138" w:rsidRPr="00C20690" w:rsidP="006D5A1C" w14:paraId="0F45B9BC" w14:textId="77777777">
      <w:pPr>
        <w:spacing w:after="200"/>
        <w:rPr>
          <w:rFonts w:eastAsia="Calibri"/>
        </w:rPr>
      </w:pPr>
    </w:p>
    <w:sectPr w:rsidSect="00D76D0F">
      <w:footerReference w:type="even" r:id="rId5"/>
      <w:footerReference w:type="default" r:id="rId6"/>
      <w:pgSz w:w="12240" w:h="15840" w:code="1"/>
      <w:pgMar w:top="1440" w:right="1440" w:bottom="1440" w:left="1440" w:header="720" w:footer="129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8F0F825" w14:textId="657B0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sidR="00751A05">
      <w:rPr>
        <w:rStyle w:val="PageNumber"/>
        <w:noProof/>
      </w:rPr>
      <w:t>2</w:t>
    </w:r>
    <w:r>
      <w:rPr>
        <w:rStyle w:val="PageNumber"/>
      </w:rPr>
      <w:fldChar w:fldCharType="end"/>
    </w:r>
  </w:p>
  <w:p w:rsidR="00E63DE5" w14:paraId="4F6C9E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733B6D" w14:paraId="3441F22B" w14:textId="77777777">
    <w:pPr>
      <w:pStyle w:val="Footer"/>
      <w:framePr w:wrap="around" w:vAnchor="text" w:hAnchor="margin" w:xAlign="center" w:y="345"/>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0F4311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42199011">
    <w:abstractNumId w:val="5"/>
  </w:num>
  <w:num w:numId="2" w16cid:durableId="1377005418">
    <w:abstractNumId w:val="1"/>
  </w:num>
  <w:num w:numId="3" w16cid:durableId="685713038">
    <w:abstractNumId w:val="6"/>
  </w:num>
  <w:num w:numId="4" w16cid:durableId="1313095183">
    <w:abstractNumId w:val="3"/>
  </w:num>
  <w:num w:numId="5" w16cid:durableId="476266599">
    <w:abstractNumId w:val="7"/>
  </w:num>
  <w:num w:numId="6" w16cid:durableId="286621177">
    <w:abstractNumId w:val="0"/>
  </w:num>
  <w:num w:numId="7" w16cid:durableId="1810853376">
    <w:abstractNumId w:val="2"/>
  </w:num>
  <w:num w:numId="8" w16cid:durableId="1804410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0BC0"/>
    <w:rsid w:val="000155CB"/>
    <w:rsid w:val="00016F41"/>
    <w:rsid w:val="00021ECD"/>
    <w:rsid w:val="0002223C"/>
    <w:rsid w:val="00031A2C"/>
    <w:rsid w:val="00032543"/>
    <w:rsid w:val="00042B93"/>
    <w:rsid w:val="00043C7F"/>
    <w:rsid w:val="00045621"/>
    <w:rsid w:val="000467A8"/>
    <w:rsid w:val="00047332"/>
    <w:rsid w:val="00050733"/>
    <w:rsid w:val="0006570F"/>
    <w:rsid w:val="00075DE8"/>
    <w:rsid w:val="00083C64"/>
    <w:rsid w:val="00087439"/>
    <w:rsid w:val="00092E45"/>
    <w:rsid w:val="000C031C"/>
    <w:rsid w:val="000C1260"/>
    <w:rsid w:val="000C23D7"/>
    <w:rsid w:val="000C560C"/>
    <w:rsid w:val="000D080B"/>
    <w:rsid w:val="000D48FD"/>
    <w:rsid w:val="000D79CC"/>
    <w:rsid w:val="000E1C64"/>
    <w:rsid w:val="000E75E9"/>
    <w:rsid w:val="000F691D"/>
    <w:rsid w:val="000F7119"/>
    <w:rsid w:val="00100739"/>
    <w:rsid w:val="0010493E"/>
    <w:rsid w:val="001075D3"/>
    <w:rsid w:val="00107885"/>
    <w:rsid w:val="00111D6D"/>
    <w:rsid w:val="00114FC4"/>
    <w:rsid w:val="0012329C"/>
    <w:rsid w:val="00124825"/>
    <w:rsid w:val="00134FA7"/>
    <w:rsid w:val="00137950"/>
    <w:rsid w:val="00151EF9"/>
    <w:rsid w:val="00152F29"/>
    <w:rsid w:val="00157660"/>
    <w:rsid w:val="00174D54"/>
    <w:rsid w:val="0017702C"/>
    <w:rsid w:val="00183421"/>
    <w:rsid w:val="00185270"/>
    <w:rsid w:val="00190C08"/>
    <w:rsid w:val="001972CE"/>
    <w:rsid w:val="001A3B5A"/>
    <w:rsid w:val="001A6D01"/>
    <w:rsid w:val="001A6D02"/>
    <w:rsid w:val="001B7405"/>
    <w:rsid w:val="001B7CE9"/>
    <w:rsid w:val="001C084E"/>
    <w:rsid w:val="001C3086"/>
    <w:rsid w:val="001D495A"/>
    <w:rsid w:val="001D57B2"/>
    <w:rsid w:val="001D5B61"/>
    <w:rsid w:val="001E05BA"/>
    <w:rsid w:val="001E244C"/>
    <w:rsid w:val="001F1437"/>
    <w:rsid w:val="0020220B"/>
    <w:rsid w:val="00206799"/>
    <w:rsid w:val="002074FE"/>
    <w:rsid w:val="002133E3"/>
    <w:rsid w:val="0022425B"/>
    <w:rsid w:val="002259EF"/>
    <w:rsid w:val="002314AC"/>
    <w:rsid w:val="0023615C"/>
    <w:rsid w:val="00242ED1"/>
    <w:rsid w:val="002444BB"/>
    <w:rsid w:val="002474A8"/>
    <w:rsid w:val="00254069"/>
    <w:rsid w:val="00270748"/>
    <w:rsid w:val="002734E5"/>
    <w:rsid w:val="002746DB"/>
    <w:rsid w:val="00280CAF"/>
    <w:rsid w:val="00282F09"/>
    <w:rsid w:val="0028755F"/>
    <w:rsid w:val="00290970"/>
    <w:rsid w:val="00291810"/>
    <w:rsid w:val="00294D62"/>
    <w:rsid w:val="00297532"/>
    <w:rsid w:val="00297B7F"/>
    <w:rsid w:val="00297FFD"/>
    <w:rsid w:val="002A1210"/>
    <w:rsid w:val="002A47D2"/>
    <w:rsid w:val="002A7FB5"/>
    <w:rsid w:val="002B2074"/>
    <w:rsid w:val="002D14D8"/>
    <w:rsid w:val="002D4799"/>
    <w:rsid w:val="002E3FA4"/>
    <w:rsid w:val="002E4D58"/>
    <w:rsid w:val="002E53A5"/>
    <w:rsid w:val="002E64B8"/>
    <w:rsid w:val="002E6834"/>
    <w:rsid w:val="002F257E"/>
    <w:rsid w:val="002F6963"/>
    <w:rsid w:val="002F7DD2"/>
    <w:rsid w:val="003113FF"/>
    <w:rsid w:val="00312622"/>
    <w:rsid w:val="00320C71"/>
    <w:rsid w:val="00321EE1"/>
    <w:rsid w:val="0032277F"/>
    <w:rsid w:val="003331A4"/>
    <w:rsid w:val="00336B69"/>
    <w:rsid w:val="0034302B"/>
    <w:rsid w:val="0034620F"/>
    <w:rsid w:val="00350523"/>
    <w:rsid w:val="0035189D"/>
    <w:rsid w:val="00353AD0"/>
    <w:rsid w:val="00355B62"/>
    <w:rsid w:val="00357C8A"/>
    <w:rsid w:val="003624E0"/>
    <w:rsid w:val="003740BC"/>
    <w:rsid w:val="0037456B"/>
    <w:rsid w:val="0037517A"/>
    <w:rsid w:val="003801A3"/>
    <w:rsid w:val="00383D90"/>
    <w:rsid w:val="003870AE"/>
    <w:rsid w:val="003945E0"/>
    <w:rsid w:val="00396C56"/>
    <w:rsid w:val="003A1A27"/>
    <w:rsid w:val="003A50CC"/>
    <w:rsid w:val="003A6426"/>
    <w:rsid w:val="003B42B3"/>
    <w:rsid w:val="003B6384"/>
    <w:rsid w:val="003C0FE2"/>
    <w:rsid w:val="003C4EBB"/>
    <w:rsid w:val="003D09F9"/>
    <w:rsid w:val="003D0DEE"/>
    <w:rsid w:val="003D1531"/>
    <w:rsid w:val="003E4EC6"/>
    <w:rsid w:val="003E527E"/>
    <w:rsid w:val="003E553E"/>
    <w:rsid w:val="003E7078"/>
    <w:rsid w:val="003F2663"/>
    <w:rsid w:val="003F3DF5"/>
    <w:rsid w:val="003F73B8"/>
    <w:rsid w:val="0040297E"/>
    <w:rsid w:val="00411D11"/>
    <w:rsid w:val="00414494"/>
    <w:rsid w:val="00415E23"/>
    <w:rsid w:val="0041670D"/>
    <w:rsid w:val="00423272"/>
    <w:rsid w:val="00424061"/>
    <w:rsid w:val="00425D8E"/>
    <w:rsid w:val="00442A3C"/>
    <w:rsid w:val="00442BDD"/>
    <w:rsid w:val="00443969"/>
    <w:rsid w:val="00447D74"/>
    <w:rsid w:val="00450A74"/>
    <w:rsid w:val="004546BF"/>
    <w:rsid w:val="00460DD0"/>
    <w:rsid w:val="00464AEF"/>
    <w:rsid w:val="00465350"/>
    <w:rsid w:val="00476B91"/>
    <w:rsid w:val="004846BF"/>
    <w:rsid w:val="00487D86"/>
    <w:rsid w:val="004939E8"/>
    <w:rsid w:val="00494912"/>
    <w:rsid w:val="004A5323"/>
    <w:rsid w:val="004A5A99"/>
    <w:rsid w:val="004B30A6"/>
    <w:rsid w:val="004B7C96"/>
    <w:rsid w:val="004C6979"/>
    <w:rsid w:val="004D13A2"/>
    <w:rsid w:val="004D2813"/>
    <w:rsid w:val="004D3E7A"/>
    <w:rsid w:val="004F594B"/>
    <w:rsid w:val="004F61E1"/>
    <w:rsid w:val="00512B3E"/>
    <w:rsid w:val="00515B6D"/>
    <w:rsid w:val="0053380B"/>
    <w:rsid w:val="00541DC2"/>
    <w:rsid w:val="00543194"/>
    <w:rsid w:val="00544138"/>
    <w:rsid w:val="0054704F"/>
    <w:rsid w:val="00551A17"/>
    <w:rsid w:val="00554E34"/>
    <w:rsid w:val="00584583"/>
    <w:rsid w:val="00590E90"/>
    <w:rsid w:val="00590EEB"/>
    <w:rsid w:val="005A059C"/>
    <w:rsid w:val="005A4099"/>
    <w:rsid w:val="005A4B89"/>
    <w:rsid w:val="005B12B5"/>
    <w:rsid w:val="005C08EF"/>
    <w:rsid w:val="005C38B2"/>
    <w:rsid w:val="005C5029"/>
    <w:rsid w:val="005C55C2"/>
    <w:rsid w:val="005C71CA"/>
    <w:rsid w:val="005C745C"/>
    <w:rsid w:val="005D4DF5"/>
    <w:rsid w:val="005D6599"/>
    <w:rsid w:val="005E42BA"/>
    <w:rsid w:val="005F3983"/>
    <w:rsid w:val="006037A4"/>
    <w:rsid w:val="00605E4E"/>
    <w:rsid w:val="00611D6B"/>
    <w:rsid w:val="006276F0"/>
    <w:rsid w:val="006326EC"/>
    <w:rsid w:val="00663A42"/>
    <w:rsid w:val="006641C7"/>
    <w:rsid w:val="006705EA"/>
    <w:rsid w:val="00670BE2"/>
    <w:rsid w:val="006852B8"/>
    <w:rsid w:val="006916D9"/>
    <w:rsid w:val="006A0E05"/>
    <w:rsid w:val="006A26C6"/>
    <w:rsid w:val="006A465A"/>
    <w:rsid w:val="006A7D5D"/>
    <w:rsid w:val="006B488B"/>
    <w:rsid w:val="006D0C12"/>
    <w:rsid w:val="006D2098"/>
    <w:rsid w:val="006D27C7"/>
    <w:rsid w:val="006D5A1C"/>
    <w:rsid w:val="006D5D57"/>
    <w:rsid w:val="006E2538"/>
    <w:rsid w:val="006E302F"/>
    <w:rsid w:val="006F0680"/>
    <w:rsid w:val="006F4D6D"/>
    <w:rsid w:val="006F5553"/>
    <w:rsid w:val="006F618B"/>
    <w:rsid w:val="006F6A10"/>
    <w:rsid w:val="00705086"/>
    <w:rsid w:val="00705262"/>
    <w:rsid w:val="00716238"/>
    <w:rsid w:val="00722001"/>
    <w:rsid w:val="00733B6D"/>
    <w:rsid w:val="007443EF"/>
    <w:rsid w:val="00750F82"/>
    <w:rsid w:val="00751A05"/>
    <w:rsid w:val="00751E66"/>
    <w:rsid w:val="00754497"/>
    <w:rsid w:val="00774376"/>
    <w:rsid w:val="00781665"/>
    <w:rsid w:val="00787C39"/>
    <w:rsid w:val="00792947"/>
    <w:rsid w:val="00795DF3"/>
    <w:rsid w:val="007A373C"/>
    <w:rsid w:val="007A4C17"/>
    <w:rsid w:val="007B225C"/>
    <w:rsid w:val="007C75B1"/>
    <w:rsid w:val="007D385F"/>
    <w:rsid w:val="007D3DFC"/>
    <w:rsid w:val="007E2F07"/>
    <w:rsid w:val="007E59A8"/>
    <w:rsid w:val="007E7295"/>
    <w:rsid w:val="007F125B"/>
    <w:rsid w:val="0080776D"/>
    <w:rsid w:val="00810145"/>
    <w:rsid w:val="008108FA"/>
    <w:rsid w:val="00810FF1"/>
    <w:rsid w:val="00814302"/>
    <w:rsid w:val="00814588"/>
    <w:rsid w:val="008174F3"/>
    <w:rsid w:val="00822336"/>
    <w:rsid w:val="00823DFA"/>
    <w:rsid w:val="00842DB7"/>
    <w:rsid w:val="00843752"/>
    <w:rsid w:val="0084479F"/>
    <w:rsid w:val="00852055"/>
    <w:rsid w:val="0085725E"/>
    <w:rsid w:val="00860043"/>
    <w:rsid w:val="008608EE"/>
    <w:rsid w:val="00866ADE"/>
    <w:rsid w:val="00873D4F"/>
    <w:rsid w:val="0087509F"/>
    <w:rsid w:val="00885B09"/>
    <w:rsid w:val="00892400"/>
    <w:rsid w:val="008A209D"/>
    <w:rsid w:val="008A22BB"/>
    <w:rsid w:val="008B035D"/>
    <w:rsid w:val="008B0E29"/>
    <w:rsid w:val="008B0EFA"/>
    <w:rsid w:val="008B30AB"/>
    <w:rsid w:val="008B4B99"/>
    <w:rsid w:val="008C2351"/>
    <w:rsid w:val="008C3BB8"/>
    <w:rsid w:val="008C4B65"/>
    <w:rsid w:val="008C752F"/>
    <w:rsid w:val="008D2B79"/>
    <w:rsid w:val="008E5F55"/>
    <w:rsid w:val="008F3505"/>
    <w:rsid w:val="008F403F"/>
    <w:rsid w:val="008F60B0"/>
    <w:rsid w:val="009009E7"/>
    <w:rsid w:val="00905DEF"/>
    <w:rsid w:val="00906056"/>
    <w:rsid w:val="009122AE"/>
    <w:rsid w:val="00913B43"/>
    <w:rsid w:val="0091429D"/>
    <w:rsid w:val="00916A39"/>
    <w:rsid w:val="00923AA0"/>
    <w:rsid w:val="00923D9B"/>
    <w:rsid w:val="00930203"/>
    <w:rsid w:val="009311D2"/>
    <w:rsid w:val="009311E6"/>
    <w:rsid w:val="00931275"/>
    <w:rsid w:val="00936AC7"/>
    <w:rsid w:val="00947889"/>
    <w:rsid w:val="00950973"/>
    <w:rsid w:val="00953B64"/>
    <w:rsid w:val="009646A7"/>
    <w:rsid w:val="00970A88"/>
    <w:rsid w:val="009818A1"/>
    <w:rsid w:val="009A1674"/>
    <w:rsid w:val="009B38BE"/>
    <w:rsid w:val="009B48E2"/>
    <w:rsid w:val="009B4C0B"/>
    <w:rsid w:val="009B4DF2"/>
    <w:rsid w:val="009C684F"/>
    <w:rsid w:val="009C6B83"/>
    <w:rsid w:val="009D074C"/>
    <w:rsid w:val="009D6E73"/>
    <w:rsid w:val="009F1F1D"/>
    <w:rsid w:val="009F2B4F"/>
    <w:rsid w:val="009F3C63"/>
    <w:rsid w:val="009F66B5"/>
    <w:rsid w:val="00A00F6E"/>
    <w:rsid w:val="00A02F10"/>
    <w:rsid w:val="00A14AAA"/>
    <w:rsid w:val="00A15D47"/>
    <w:rsid w:val="00A16221"/>
    <w:rsid w:val="00A17A8D"/>
    <w:rsid w:val="00A20A7D"/>
    <w:rsid w:val="00A349F8"/>
    <w:rsid w:val="00A35D42"/>
    <w:rsid w:val="00A425A0"/>
    <w:rsid w:val="00A46CCF"/>
    <w:rsid w:val="00A506DE"/>
    <w:rsid w:val="00A53445"/>
    <w:rsid w:val="00A53451"/>
    <w:rsid w:val="00A6001F"/>
    <w:rsid w:val="00A70426"/>
    <w:rsid w:val="00A707CC"/>
    <w:rsid w:val="00A71410"/>
    <w:rsid w:val="00A72D9C"/>
    <w:rsid w:val="00A91E9A"/>
    <w:rsid w:val="00A93ED9"/>
    <w:rsid w:val="00A94547"/>
    <w:rsid w:val="00A96221"/>
    <w:rsid w:val="00A96E18"/>
    <w:rsid w:val="00AB1E24"/>
    <w:rsid w:val="00AB3F8A"/>
    <w:rsid w:val="00AC2DBB"/>
    <w:rsid w:val="00AC44B7"/>
    <w:rsid w:val="00AC6A99"/>
    <w:rsid w:val="00AD6048"/>
    <w:rsid w:val="00AD7A26"/>
    <w:rsid w:val="00AF6DDE"/>
    <w:rsid w:val="00B055EF"/>
    <w:rsid w:val="00B06B5B"/>
    <w:rsid w:val="00B23769"/>
    <w:rsid w:val="00B3633D"/>
    <w:rsid w:val="00B4142D"/>
    <w:rsid w:val="00B41789"/>
    <w:rsid w:val="00B452BF"/>
    <w:rsid w:val="00B46F0D"/>
    <w:rsid w:val="00B614C7"/>
    <w:rsid w:val="00B6415F"/>
    <w:rsid w:val="00B654CB"/>
    <w:rsid w:val="00B8139A"/>
    <w:rsid w:val="00B81808"/>
    <w:rsid w:val="00B8521F"/>
    <w:rsid w:val="00B86DFA"/>
    <w:rsid w:val="00B936D0"/>
    <w:rsid w:val="00B948C3"/>
    <w:rsid w:val="00B95D50"/>
    <w:rsid w:val="00BB15FB"/>
    <w:rsid w:val="00BB7977"/>
    <w:rsid w:val="00BD3D5B"/>
    <w:rsid w:val="00BD547D"/>
    <w:rsid w:val="00BE1403"/>
    <w:rsid w:val="00BE3600"/>
    <w:rsid w:val="00BE40C5"/>
    <w:rsid w:val="00BF5DC4"/>
    <w:rsid w:val="00BF5FCD"/>
    <w:rsid w:val="00C01F6F"/>
    <w:rsid w:val="00C041EA"/>
    <w:rsid w:val="00C0646B"/>
    <w:rsid w:val="00C13BBD"/>
    <w:rsid w:val="00C149AB"/>
    <w:rsid w:val="00C16929"/>
    <w:rsid w:val="00C17169"/>
    <w:rsid w:val="00C20690"/>
    <w:rsid w:val="00C31738"/>
    <w:rsid w:val="00C36020"/>
    <w:rsid w:val="00C40694"/>
    <w:rsid w:val="00C479BF"/>
    <w:rsid w:val="00C5124B"/>
    <w:rsid w:val="00C56160"/>
    <w:rsid w:val="00C70542"/>
    <w:rsid w:val="00C75CBF"/>
    <w:rsid w:val="00C85409"/>
    <w:rsid w:val="00C91214"/>
    <w:rsid w:val="00C939AE"/>
    <w:rsid w:val="00CB2C37"/>
    <w:rsid w:val="00CC17B1"/>
    <w:rsid w:val="00CC2894"/>
    <w:rsid w:val="00CD0E79"/>
    <w:rsid w:val="00CD77C3"/>
    <w:rsid w:val="00CE112C"/>
    <w:rsid w:val="00CF55D4"/>
    <w:rsid w:val="00D163D5"/>
    <w:rsid w:val="00D17F4F"/>
    <w:rsid w:val="00D22AE1"/>
    <w:rsid w:val="00D23B8B"/>
    <w:rsid w:val="00D37823"/>
    <w:rsid w:val="00D54772"/>
    <w:rsid w:val="00D608DA"/>
    <w:rsid w:val="00D63E7C"/>
    <w:rsid w:val="00D730BF"/>
    <w:rsid w:val="00D7428D"/>
    <w:rsid w:val="00D76D0F"/>
    <w:rsid w:val="00D77C97"/>
    <w:rsid w:val="00D81182"/>
    <w:rsid w:val="00D852F4"/>
    <w:rsid w:val="00DA172C"/>
    <w:rsid w:val="00DB1110"/>
    <w:rsid w:val="00DB3730"/>
    <w:rsid w:val="00DC371B"/>
    <w:rsid w:val="00DC3788"/>
    <w:rsid w:val="00DC76C7"/>
    <w:rsid w:val="00DD09F5"/>
    <w:rsid w:val="00DD0E02"/>
    <w:rsid w:val="00DD4201"/>
    <w:rsid w:val="00DD5E9F"/>
    <w:rsid w:val="00DE406C"/>
    <w:rsid w:val="00DE5711"/>
    <w:rsid w:val="00DF307C"/>
    <w:rsid w:val="00E00525"/>
    <w:rsid w:val="00E00EA0"/>
    <w:rsid w:val="00E021CB"/>
    <w:rsid w:val="00E07C97"/>
    <w:rsid w:val="00E138F1"/>
    <w:rsid w:val="00E2068D"/>
    <w:rsid w:val="00E2309D"/>
    <w:rsid w:val="00E26758"/>
    <w:rsid w:val="00E30348"/>
    <w:rsid w:val="00E32514"/>
    <w:rsid w:val="00E4357B"/>
    <w:rsid w:val="00E443A7"/>
    <w:rsid w:val="00E44B62"/>
    <w:rsid w:val="00E45904"/>
    <w:rsid w:val="00E63DE5"/>
    <w:rsid w:val="00E647AF"/>
    <w:rsid w:val="00E647C7"/>
    <w:rsid w:val="00E65A37"/>
    <w:rsid w:val="00E65EF7"/>
    <w:rsid w:val="00E67EBF"/>
    <w:rsid w:val="00E701F1"/>
    <w:rsid w:val="00E71E84"/>
    <w:rsid w:val="00E75E93"/>
    <w:rsid w:val="00E77B48"/>
    <w:rsid w:val="00E83503"/>
    <w:rsid w:val="00E857FB"/>
    <w:rsid w:val="00E91799"/>
    <w:rsid w:val="00E97DF8"/>
    <w:rsid w:val="00EA21FE"/>
    <w:rsid w:val="00EA34E3"/>
    <w:rsid w:val="00EA431F"/>
    <w:rsid w:val="00EB578F"/>
    <w:rsid w:val="00EB7538"/>
    <w:rsid w:val="00EC1868"/>
    <w:rsid w:val="00EC6B1E"/>
    <w:rsid w:val="00EE6468"/>
    <w:rsid w:val="00EF0D45"/>
    <w:rsid w:val="00F05F13"/>
    <w:rsid w:val="00F1299B"/>
    <w:rsid w:val="00F16FB4"/>
    <w:rsid w:val="00F207A4"/>
    <w:rsid w:val="00F25173"/>
    <w:rsid w:val="00F33CC1"/>
    <w:rsid w:val="00F355AC"/>
    <w:rsid w:val="00F40CF7"/>
    <w:rsid w:val="00F44194"/>
    <w:rsid w:val="00F47FD7"/>
    <w:rsid w:val="00F507DE"/>
    <w:rsid w:val="00F54C8C"/>
    <w:rsid w:val="00F555E3"/>
    <w:rsid w:val="00F651E6"/>
    <w:rsid w:val="00F71A5A"/>
    <w:rsid w:val="00F73A1A"/>
    <w:rsid w:val="00F769E0"/>
    <w:rsid w:val="00F96FFC"/>
    <w:rsid w:val="00FA4A46"/>
    <w:rsid w:val="00FA75FE"/>
    <w:rsid w:val="00FB1032"/>
    <w:rsid w:val="00FB1AFB"/>
    <w:rsid w:val="00FB39BC"/>
    <w:rsid w:val="00FB3DDE"/>
    <w:rsid w:val="00FB6A53"/>
    <w:rsid w:val="00FC11CA"/>
    <w:rsid w:val="00FC6BDE"/>
    <w:rsid w:val="00FD42D5"/>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85A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customStyle="1" w:styleId="paragraph">
    <w:name w:val="paragraph"/>
    <w:basedOn w:val="Normal"/>
    <w:rsid w:val="00045621"/>
    <w:pPr>
      <w:spacing w:before="100" w:beforeAutospacing="1" w:after="100" w:afterAutospacing="1"/>
    </w:pPr>
  </w:style>
  <w:style w:type="character" w:customStyle="1" w:styleId="normaltextrun">
    <w:name w:val="normaltextrun"/>
    <w:rsid w:val="00045621"/>
  </w:style>
  <w:style w:type="character" w:customStyle="1" w:styleId="eop">
    <w:name w:val="eop"/>
    <w:rsid w:val="00045621"/>
  </w:style>
  <w:style w:type="character" w:customStyle="1" w:styleId="spellingerror">
    <w:name w:val="spellingerror"/>
    <w:rsid w:val="00045621"/>
  </w:style>
  <w:style w:type="paragraph" w:styleId="Revision">
    <w:name w:val="Revision"/>
    <w:hidden/>
    <w:uiPriority w:val="99"/>
    <w:semiHidden/>
    <w:rsid w:val="00FB3DDE"/>
    <w:rPr>
      <w:sz w:val="24"/>
      <w:szCs w:val="24"/>
    </w:rPr>
  </w:style>
  <w:style w:type="character" w:styleId="CommentReference">
    <w:name w:val="annotation reference"/>
    <w:basedOn w:val="DefaultParagraphFont"/>
    <w:rsid w:val="003D09F9"/>
    <w:rPr>
      <w:sz w:val="16"/>
      <w:szCs w:val="16"/>
    </w:rPr>
  </w:style>
  <w:style w:type="paragraph" w:styleId="CommentText">
    <w:name w:val="annotation text"/>
    <w:basedOn w:val="Normal"/>
    <w:link w:val="CommentTextChar"/>
    <w:rsid w:val="003D09F9"/>
    <w:rPr>
      <w:sz w:val="20"/>
      <w:szCs w:val="20"/>
    </w:rPr>
  </w:style>
  <w:style w:type="character" w:customStyle="1" w:styleId="CommentTextChar">
    <w:name w:val="Comment Text Char"/>
    <w:basedOn w:val="DefaultParagraphFont"/>
    <w:link w:val="CommentText"/>
    <w:rsid w:val="003D09F9"/>
  </w:style>
  <w:style w:type="paragraph" w:styleId="CommentSubject">
    <w:name w:val="annotation subject"/>
    <w:basedOn w:val="CommentText"/>
    <w:next w:val="CommentText"/>
    <w:link w:val="CommentSubjectChar"/>
    <w:rsid w:val="003D09F9"/>
    <w:rPr>
      <w:b/>
      <w:bCs/>
    </w:rPr>
  </w:style>
  <w:style w:type="character" w:customStyle="1" w:styleId="CommentSubjectChar">
    <w:name w:val="Comment Subject Char"/>
    <w:basedOn w:val="CommentTextChar"/>
    <w:link w:val="CommentSubject"/>
    <w:rsid w:val="003D0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2024-03-21T18:10:00Z</dcterms:created>
  <dcterms:modified xsi:type="dcterms:W3CDTF">2024-03-21T18:11:00Z</dcterms:modified>
</cp:coreProperties>
</file>