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ED08E0" w14:paraId="21B14175" w14:textId="0324BF66">
      <w:pPr>
        <w:pStyle w:val="NormalWeb"/>
        <w:spacing w:before="0" w:beforeAutospacing="0" w:after="0" w:afterAutospacing="0"/>
        <w:ind w:firstLine="480"/>
        <w:jc w:val="center"/>
        <w:rPr>
          <w:rFonts w:ascii="Cambria" w:hAnsi="Cambria"/>
          <w:sz w:val="28"/>
          <w:szCs w:val="28"/>
          <w:u w:val="single"/>
        </w:rPr>
      </w:pPr>
      <w:bookmarkStart w:id="0" w:name="cs31d"/>
      <w:r w:rsidRPr="002C49AE">
        <w:rPr>
          <w:rFonts w:ascii="Cambria" w:hAnsi="Cambria"/>
          <w:sz w:val="28"/>
          <w:szCs w:val="28"/>
          <w:u w:val="single"/>
        </w:rPr>
        <w:t>SUPPORTING STATEMENT</w:t>
      </w:r>
      <w:r w:rsidRPr="002C49AE" w:rsidR="006F3F40">
        <w:rPr>
          <w:rFonts w:ascii="Cambria" w:hAnsi="Cambria"/>
          <w:sz w:val="28"/>
          <w:szCs w:val="28"/>
          <w:u w:val="single"/>
        </w:rPr>
        <w:t xml:space="preserve"> – PART B</w:t>
      </w:r>
    </w:p>
    <w:p w:rsidR="002C49AE" w:rsidP="00ED08E0" w14:paraId="11E16BB9" w14:textId="3FE885CA">
      <w:pPr>
        <w:pStyle w:val="NormalWeb"/>
        <w:spacing w:before="0" w:beforeAutospacing="0" w:after="0" w:afterAutospacing="0"/>
        <w:ind w:firstLine="480"/>
        <w:jc w:val="center"/>
        <w:rPr>
          <w:rFonts w:ascii="Cambria" w:hAnsi="Cambria"/>
        </w:rPr>
      </w:pPr>
      <w:r w:rsidRPr="00911A83">
        <w:rPr>
          <w:rFonts w:ascii="Cambria" w:hAnsi="Cambria"/>
        </w:rPr>
        <w:t xml:space="preserve">Defense Organizational Climate Survey (DEOCS) </w:t>
      </w:r>
      <w:r w:rsidRPr="00911A83" w:rsidR="00911A83">
        <w:rPr>
          <w:rFonts w:ascii="Cambria" w:hAnsi="Cambria"/>
        </w:rPr>
        <w:t xml:space="preserve">Version 5.1 – </w:t>
      </w:r>
      <w:r w:rsidR="00A9034B">
        <w:rPr>
          <w:rFonts w:ascii="Cambria" w:hAnsi="Cambria"/>
        </w:rPr>
        <w:t>0704-0659</w:t>
      </w:r>
    </w:p>
    <w:p w:rsidR="00ED08E0" w:rsidRPr="00911A83" w:rsidP="00ED08E0" w14:paraId="4B8EF50E" w14:textId="77777777">
      <w:pPr>
        <w:pStyle w:val="NormalWeb"/>
        <w:spacing w:before="0" w:beforeAutospacing="0" w:after="0" w:afterAutospacing="0"/>
        <w:ind w:firstLine="480"/>
        <w:jc w:val="center"/>
        <w:rPr>
          <w:rFonts w:ascii="Cambria" w:hAnsi="Cambria"/>
        </w:rPr>
      </w:pPr>
    </w:p>
    <w:p w:rsidR="005E0A0F" w:rsidRPr="00D30145" w:rsidP="00ED08E0" w14:paraId="2828FC33" w14:textId="77777777">
      <w:pPr>
        <w:pStyle w:val="NormalWeb"/>
        <w:spacing w:before="0" w:beforeAutospacing="0" w:after="0" w:afterAutospacing="0"/>
        <w:jc w:val="both"/>
        <w:rPr>
          <w:rFonts w:ascii="Cambria" w:hAnsi="Cambria"/>
        </w:rPr>
      </w:pPr>
      <w:bookmarkStart w:id="1" w:name="cs32"/>
      <w:bookmarkEnd w:id="0"/>
      <w:r w:rsidRPr="00D30145">
        <w:rPr>
          <w:rFonts w:ascii="Cambria" w:hAnsi="Cambria"/>
        </w:rPr>
        <w:t xml:space="preserve">B.  </w:t>
      </w:r>
      <w:r w:rsidRPr="00D30145">
        <w:rPr>
          <w:rFonts w:ascii="Cambria" w:hAnsi="Cambria"/>
          <w:u w:val="single"/>
        </w:rPr>
        <w:t>COLLECTIONS OF INFORMATION EMPLOYING STATISTICAL METHODS</w:t>
      </w:r>
    </w:p>
    <w:bookmarkEnd w:id="1"/>
    <w:p w:rsidR="00AF7F55" w:rsidP="00AF7F55" w14:paraId="7C8145AB" w14:textId="77777777">
      <w:pPr>
        <w:pStyle w:val="NormalWeb"/>
        <w:spacing w:before="0" w:beforeAutospacing="0" w:after="0" w:afterAutospacing="0"/>
        <w:jc w:val="both"/>
        <w:rPr>
          <w:rFonts w:ascii="Cambria" w:hAnsi="Cambria"/>
        </w:rPr>
      </w:pPr>
    </w:p>
    <w:p w:rsidR="005E0A0F" w:rsidRPr="00D30145" w:rsidP="00ED08E0" w14:paraId="45A3A18F" w14:textId="20807E7D">
      <w:pPr>
        <w:pStyle w:val="NormalWeb"/>
        <w:numPr>
          <w:ilvl w:val="0"/>
          <w:numId w:val="2"/>
        </w:numPr>
        <w:spacing w:before="0" w:beforeAutospacing="0" w:after="0" w:afterAutospacing="0"/>
        <w:jc w:val="both"/>
        <w:rPr>
          <w:rFonts w:ascii="Cambria" w:hAnsi="Cambria"/>
        </w:rPr>
      </w:pPr>
      <w:r w:rsidRPr="00D30145">
        <w:rPr>
          <w:rFonts w:ascii="Cambria" w:hAnsi="Cambria"/>
          <w:u w:val="single"/>
        </w:rPr>
        <w:t>Description of the Activity</w:t>
      </w:r>
    </w:p>
    <w:p w:rsidR="003D4672" w:rsidP="087913FB" w14:paraId="2925D80C" w14:textId="4B6ADD72">
      <w:pPr>
        <w:pStyle w:val="NormalWeb"/>
        <w:spacing w:before="0" w:beforeAutospacing="0" w:after="0" w:afterAutospacing="0" w:line="288" w:lineRule="atLeast"/>
        <w:rPr>
          <w:rFonts w:ascii="Cambria" w:hAnsi="Cambria"/>
        </w:rPr>
      </w:pPr>
      <w:r w:rsidRPr="087913FB">
        <w:rPr>
          <w:rFonts w:ascii="Cambria" w:hAnsi="Cambria"/>
        </w:rPr>
        <w:t>The Defense Organizational Climate Survey (DEOCS) is a unit-level climate survey</w:t>
      </w:r>
      <w:r w:rsidRPr="087913FB" w:rsidR="007314BB">
        <w:rPr>
          <w:rFonts w:ascii="Cambria" w:hAnsi="Cambria"/>
        </w:rPr>
        <w:t xml:space="preserve"> that includes both standard, benchmarkable items (i.e., items that are identical across administrations) that ensure broad coverage of core dimensions, and custom items that assess specific areas of need and interest at the unit level</w:t>
      </w:r>
      <w:r w:rsidRPr="087913FB" w:rsidR="001E1942">
        <w:rPr>
          <w:rFonts w:ascii="Cambria" w:hAnsi="Cambria"/>
        </w:rPr>
        <w:t xml:space="preserve">.  </w:t>
      </w:r>
      <w:r w:rsidRPr="087913FB">
        <w:rPr>
          <w:rFonts w:ascii="Cambria" w:hAnsi="Cambria"/>
        </w:rPr>
        <w:t>The DEOCS will be administered to Active Duty and Reserve component members</w:t>
      </w:r>
      <w:r w:rsidRPr="087913FB" w:rsidR="00AF3EC4">
        <w:rPr>
          <w:rFonts w:ascii="Cambria" w:hAnsi="Cambria"/>
        </w:rPr>
        <w:t xml:space="preserve">, </w:t>
      </w:r>
      <w:r w:rsidRPr="087913FB">
        <w:rPr>
          <w:rFonts w:ascii="Cambria" w:hAnsi="Cambria"/>
        </w:rPr>
        <w:t>DoD Civilians</w:t>
      </w:r>
      <w:r w:rsidRPr="087913FB" w:rsidR="00AF3EC4">
        <w:rPr>
          <w:rFonts w:ascii="Cambria" w:hAnsi="Cambria"/>
        </w:rPr>
        <w:t xml:space="preserve">, and </w:t>
      </w:r>
      <w:r w:rsidRPr="087913FB" w:rsidR="00233711">
        <w:rPr>
          <w:rFonts w:ascii="Cambria" w:hAnsi="Cambria"/>
        </w:rPr>
        <w:t xml:space="preserve">Military Service Academy and Preparatory School </w:t>
      </w:r>
      <w:r w:rsidRPr="087913FB" w:rsidR="00C7215A">
        <w:rPr>
          <w:rFonts w:ascii="Cambria" w:hAnsi="Cambria"/>
        </w:rPr>
        <w:t>populations</w:t>
      </w:r>
      <w:r w:rsidRPr="087913FB">
        <w:rPr>
          <w:rFonts w:ascii="Cambria" w:hAnsi="Cambria"/>
        </w:rPr>
        <w:t xml:space="preserve"> to meet this statutory requirement for the DoD.  The universe of the DoD community also includes foreign nationals who are employed by the DoD.  Additionally, the DEOCS will include a census of the Active</w:t>
      </w:r>
      <w:r w:rsidRPr="087913FB" w:rsidR="00C7215A">
        <w:rPr>
          <w:rFonts w:ascii="Cambria" w:hAnsi="Cambria"/>
        </w:rPr>
        <w:t xml:space="preserve">, </w:t>
      </w:r>
      <w:r w:rsidRPr="087913FB">
        <w:rPr>
          <w:rFonts w:ascii="Cambria" w:hAnsi="Cambria"/>
        </w:rPr>
        <w:t>Reserve</w:t>
      </w:r>
      <w:r w:rsidRPr="087913FB" w:rsidR="00C7215A">
        <w:rPr>
          <w:rFonts w:ascii="Cambria" w:hAnsi="Cambria"/>
        </w:rPr>
        <w:t>, and Academy</w:t>
      </w:r>
      <w:r w:rsidRPr="087913FB">
        <w:rPr>
          <w:rFonts w:ascii="Cambria" w:hAnsi="Cambria"/>
        </w:rPr>
        <w:t xml:space="preserve"> components of the United States Coast Guard</w:t>
      </w:r>
      <w:r w:rsidRPr="087913FB" w:rsidR="0017792F">
        <w:rPr>
          <w:rFonts w:ascii="Cambria" w:hAnsi="Cambria"/>
        </w:rPr>
        <w:t xml:space="preserve"> and Academy components of the Merchant Marines</w:t>
      </w:r>
      <w:r w:rsidRPr="087913FB">
        <w:rPr>
          <w:rFonts w:ascii="Cambria" w:hAnsi="Cambria"/>
        </w:rPr>
        <w:t>.  The anticipated response rate</w:t>
      </w:r>
      <w:r w:rsidRPr="087913FB" w:rsidR="00E63925">
        <w:rPr>
          <w:rFonts w:ascii="Cambria" w:hAnsi="Cambria"/>
        </w:rPr>
        <w:t xml:space="preserve"> (</w:t>
      </w:r>
      <w:r w:rsidRPr="001F50A5" w:rsidR="00497895">
        <w:rPr>
          <w:rFonts w:ascii="Cambria" w:hAnsi="Cambria"/>
        </w:rPr>
        <w:t>the number of registrants who complete a DEOCS divided by the total number of registrants, where total number of registrants is not equivalent to the total DoD population</w:t>
      </w:r>
      <w:r w:rsidRPr="087913FB" w:rsidR="00497895">
        <w:rPr>
          <w:rFonts w:ascii="Cambria" w:hAnsi="Cambria"/>
        </w:rPr>
        <w:t>)</w:t>
      </w:r>
      <w:r w:rsidRPr="087913FB">
        <w:rPr>
          <w:rFonts w:ascii="Cambria" w:hAnsi="Cambria"/>
        </w:rPr>
        <w:t xml:space="preserve"> is 40%.</w:t>
      </w:r>
    </w:p>
    <w:p w:rsidR="00ED08E0" w:rsidRPr="00D30145" w:rsidP="00ED08E0" w14:paraId="0B25B481" w14:textId="77777777">
      <w:pPr>
        <w:pStyle w:val="NormalWeb"/>
        <w:spacing w:before="0" w:beforeAutospacing="0" w:after="0" w:afterAutospacing="0" w:line="288" w:lineRule="atLeast"/>
        <w:rPr>
          <w:rFonts w:ascii="Cambria" w:hAnsi="Cambria"/>
        </w:rPr>
      </w:pPr>
    </w:p>
    <w:p w:rsidR="00EB1356" w:rsidP="00ED08E0" w14:paraId="2BDDFF68" w14:textId="33888B50">
      <w:pPr>
        <w:pStyle w:val="NormalWeb"/>
        <w:spacing w:before="0" w:beforeAutospacing="0" w:after="0" w:afterAutospacing="0" w:line="288" w:lineRule="atLeast"/>
        <w:rPr>
          <w:rFonts w:ascii="Cambria" w:hAnsi="Cambria"/>
        </w:rPr>
      </w:pPr>
      <w:r w:rsidRPr="00D30145">
        <w:rPr>
          <w:rFonts w:ascii="Cambria" w:hAnsi="Cambria"/>
        </w:rPr>
        <w:t>A</w:t>
      </w:r>
      <w:r w:rsidRPr="00D30145" w:rsidR="001E1942">
        <w:rPr>
          <w:rFonts w:ascii="Cambria" w:hAnsi="Cambria"/>
        </w:rPr>
        <w:t>ll</w:t>
      </w:r>
      <w:r w:rsidRPr="00D30145">
        <w:rPr>
          <w:rFonts w:ascii="Cambria" w:hAnsi="Cambria"/>
        </w:rPr>
        <w:t xml:space="preserve"> military commanders</w:t>
      </w:r>
      <w:r w:rsidRPr="00D30145" w:rsidR="009F295C">
        <w:rPr>
          <w:rFonts w:ascii="Cambria" w:hAnsi="Cambria"/>
        </w:rPr>
        <w:t xml:space="preserve"> and civilian organizational leaders</w:t>
      </w:r>
      <w:r w:rsidRPr="00D30145">
        <w:rPr>
          <w:rFonts w:ascii="Cambria" w:hAnsi="Cambria"/>
        </w:rPr>
        <w:t xml:space="preserve"> </w:t>
      </w:r>
      <w:r w:rsidRPr="00D30145" w:rsidR="001E1942">
        <w:rPr>
          <w:rFonts w:ascii="Cambria" w:hAnsi="Cambria"/>
        </w:rPr>
        <w:t>are</w:t>
      </w:r>
      <w:r w:rsidRPr="00D30145">
        <w:rPr>
          <w:rFonts w:ascii="Cambria" w:hAnsi="Cambria"/>
        </w:rPr>
        <w:t xml:space="preserve"> required to </w:t>
      </w:r>
      <w:r w:rsidRPr="00D30145">
        <w:rPr>
          <w:rFonts w:ascii="Cambria" w:hAnsi="Cambria"/>
        </w:rPr>
        <w:t xml:space="preserve">annually </w:t>
      </w:r>
      <w:r w:rsidRPr="00D30145">
        <w:rPr>
          <w:rFonts w:ascii="Cambria" w:hAnsi="Cambria"/>
        </w:rPr>
        <w:t xml:space="preserve">administer </w:t>
      </w:r>
      <w:r w:rsidRPr="00D30145">
        <w:rPr>
          <w:rFonts w:ascii="Cambria" w:hAnsi="Cambria"/>
        </w:rPr>
        <w:t xml:space="preserve">a DEOCS to their unit </w:t>
      </w:r>
      <w:r w:rsidRPr="00D30145" w:rsidR="009F295C">
        <w:rPr>
          <w:rFonts w:ascii="Cambria" w:hAnsi="Cambria"/>
        </w:rPr>
        <w:t xml:space="preserve">or organization as part of the Command Climate Assessment (CCA) specified in </w:t>
      </w:r>
      <w:r w:rsidRPr="00D30145" w:rsidR="00CC2DB3">
        <w:rPr>
          <w:rFonts w:ascii="Cambria" w:hAnsi="Cambria"/>
        </w:rPr>
        <w:t>DoD I</w:t>
      </w:r>
      <w:r w:rsidRPr="00D30145" w:rsidR="00DD65A4">
        <w:rPr>
          <w:rFonts w:ascii="Cambria" w:hAnsi="Cambria"/>
        </w:rPr>
        <w:t xml:space="preserve">nstruction (DoDI) 6400.11. </w:t>
      </w:r>
      <w:r w:rsidRPr="00D30145" w:rsidR="008B50FE">
        <w:rPr>
          <w:rFonts w:ascii="Cambria" w:hAnsi="Cambria"/>
        </w:rPr>
        <w:t xml:space="preserve"> </w:t>
      </w:r>
      <w:r w:rsidRPr="00D30145">
        <w:rPr>
          <w:rFonts w:ascii="Cambria" w:hAnsi="Cambria"/>
        </w:rPr>
        <w:t>The National Defense Authorization Act (NDAA) for FY 2013 (Section 572), a</w:t>
      </w:r>
      <w:r w:rsidR="003A4CEB">
        <w:rPr>
          <w:rFonts w:ascii="Cambria" w:hAnsi="Cambria"/>
        </w:rPr>
        <w:t>s</w:t>
      </w:r>
      <w:r w:rsidRPr="00D30145">
        <w:rPr>
          <w:rFonts w:ascii="Cambria" w:hAnsi="Cambria"/>
        </w:rPr>
        <w:t xml:space="preserve"> amended by section 1721 of the NDAA FY 2014 mandates the climate assessment within all DoD organizations</w:t>
      </w:r>
      <w:r w:rsidRPr="00D30145" w:rsidR="00997E5E">
        <w:rPr>
          <w:rFonts w:ascii="Cambria" w:hAnsi="Cambria"/>
        </w:rPr>
        <w:t xml:space="preserve">.  A subsequent November 2015 memo from the Acting Under Secretary of Defense for Personnel and Readiness (USD P&amp;R) designated the DEOCS as the survey tool to support the NDAA requirement for a DoD command climate assessment program. </w:t>
      </w:r>
      <w:r w:rsidRPr="00D30145" w:rsidR="004E34A8">
        <w:rPr>
          <w:rFonts w:ascii="Cambria" w:hAnsi="Cambria"/>
        </w:rPr>
        <w:t xml:space="preserve"> </w:t>
      </w:r>
    </w:p>
    <w:p w:rsidR="00ED08E0" w:rsidRPr="00D30145" w:rsidP="00ED08E0" w14:paraId="18236606" w14:textId="77777777">
      <w:pPr>
        <w:pStyle w:val="NormalWeb"/>
        <w:spacing w:before="0" w:beforeAutospacing="0" w:after="0" w:afterAutospacing="0" w:line="288" w:lineRule="atLeast"/>
        <w:rPr>
          <w:rFonts w:ascii="Cambria" w:hAnsi="Cambria"/>
        </w:rPr>
      </w:pPr>
    </w:p>
    <w:p w:rsidR="00EF334C" w:rsidP="00EF334C" w14:paraId="1DA824FF" w14:textId="74DDE4C6">
      <w:pPr>
        <w:pStyle w:val="NormalWeb"/>
        <w:spacing w:before="0" w:beforeAutospacing="0" w:after="0" w:afterAutospacing="0" w:line="288" w:lineRule="atLeast"/>
        <w:rPr>
          <w:rFonts w:ascii="Cambria" w:hAnsi="Cambria"/>
        </w:rPr>
      </w:pPr>
      <w:r>
        <w:rPr>
          <w:rFonts w:ascii="Cambria" w:hAnsi="Cambria"/>
        </w:rPr>
        <w:t>To reduce the survey burden on members of the DoD, t</w:t>
      </w:r>
      <w:r w:rsidRPr="71EAB16E">
        <w:rPr>
          <w:rFonts w:ascii="Cambria" w:hAnsi="Cambria"/>
        </w:rPr>
        <w:t>he</w:t>
      </w:r>
      <w:r>
        <w:rPr>
          <w:rFonts w:ascii="Cambria" w:hAnsi="Cambria"/>
        </w:rPr>
        <w:t xml:space="preserve"> administration of the</w:t>
      </w:r>
      <w:r w:rsidRPr="71EAB16E">
        <w:rPr>
          <w:rFonts w:ascii="Cambria" w:hAnsi="Cambria"/>
        </w:rPr>
        <w:t xml:space="preserve"> DEOCS </w:t>
      </w:r>
      <w:r>
        <w:rPr>
          <w:rFonts w:ascii="Cambria" w:hAnsi="Cambria"/>
        </w:rPr>
        <w:t xml:space="preserve">5.1 </w:t>
      </w:r>
      <w:r w:rsidRPr="71EAB16E">
        <w:rPr>
          <w:rFonts w:ascii="Cambria" w:hAnsi="Cambria"/>
        </w:rPr>
        <w:t>will include additional content</w:t>
      </w:r>
      <w:r>
        <w:rPr>
          <w:rFonts w:ascii="Cambria" w:hAnsi="Cambria"/>
        </w:rPr>
        <w:t xml:space="preserve"> adapted from the </w:t>
      </w:r>
      <w:r>
        <w:rPr>
          <w:rFonts w:ascii="Cambria" w:hAnsi="Cambria"/>
        </w:rPr>
        <w:t>2022</w:t>
      </w:r>
      <w:r w:rsidRPr="71EAB16E">
        <w:rPr>
          <w:rFonts w:ascii="Cambria" w:hAnsi="Cambria"/>
        </w:rPr>
        <w:t xml:space="preserve"> Armed</w:t>
      </w:r>
      <w:r w:rsidRPr="71EAB16E">
        <w:rPr>
          <w:rFonts w:ascii="Cambria" w:hAnsi="Cambria"/>
        </w:rPr>
        <w:t xml:space="preserve"> Forces Workplace and Equal Opportunity (WEO) survey</w:t>
      </w:r>
      <w:r>
        <w:rPr>
          <w:rFonts w:ascii="Cambria" w:hAnsi="Cambria"/>
        </w:rPr>
        <w:t>s (</w:t>
      </w:r>
      <w:r w:rsidRPr="00A9034B" w:rsidR="00A9034B">
        <w:rPr>
          <w:rFonts w:ascii="Cambria" w:hAnsi="Cambria"/>
        </w:rPr>
        <w:t>O</w:t>
      </w:r>
      <w:r w:rsidRPr="00A9034B">
        <w:rPr>
          <w:rFonts w:ascii="Cambria" w:hAnsi="Cambria"/>
        </w:rPr>
        <w:t xml:space="preserve">MB </w:t>
      </w:r>
      <w:r w:rsidRPr="00A9034B" w:rsidR="00A9034B">
        <w:rPr>
          <w:rFonts w:ascii="Cambria" w:hAnsi="Cambria"/>
        </w:rPr>
        <w:t>0704</w:t>
      </w:r>
      <w:r w:rsidR="00A9034B">
        <w:rPr>
          <w:rFonts w:ascii="Cambria" w:hAnsi="Cambria"/>
        </w:rPr>
        <w:t>-0631</w:t>
      </w:r>
      <w:r>
        <w:rPr>
          <w:rFonts w:ascii="Cambria" w:hAnsi="Cambria"/>
        </w:rPr>
        <w:t xml:space="preserve">).  The module content will be presented </w:t>
      </w:r>
      <w:r w:rsidR="00486C33">
        <w:rPr>
          <w:rFonts w:ascii="Cambria" w:hAnsi="Cambria"/>
        </w:rPr>
        <w:t xml:space="preserve">to </w:t>
      </w:r>
      <w:r>
        <w:rPr>
          <w:rFonts w:ascii="Cambria" w:hAnsi="Cambria"/>
        </w:rPr>
        <w:t xml:space="preserve">a sampled subset of DEOCS Active Duty and Reserve component participants (approximately </w:t>
      </w:r>
      <w:r w:rsidRPr="005D1235" w:rsidR="005D1235">
        <w:rPr>
          <w:rFonts w:ascii="Cambria" w:hAnsi="Cambria"/>
        </w:rPr>
        <w:t>3</w:t>
      </w:r>
      <w:r w:rsidR="005270F6">
        <w:rPr>
          <w:rFonts w:ascii="Cambria" w:hAnsi="Cambria"/>
        </w:rPr>
        <w:t>70</w:t>
      </w:r>
      <w:r w:rsidRPr="005D1235" w:rsidR="005D1235">
        <w:rPr>
          <w:rFonts w:ascii="Cambria" w:hAnsi="Cambria"/>
        </w:rPr>
        <w:t>,</w:t>
      </w:r>
      <w:r w:rsidR="005270F6">
        <w:rPr>
          <w:rFonts w:ascii="Cambria" w:hAnsi="Cambria"/>
        </w:rPr>
        <w:t>00</w:t>
      </w:r>
      <w:r w:rsidR="001772DE">
        <w:rPr>
          <w:rFonts w:ascii="Cambria" w:hAnsi="Cambria"/>
        </w:rPr>
        <w:t>0</w:t>
      </w:r>
      <w:r>
        <w:rPr>
          <w:rFonts w:ascii="Cambria" w:hAnsi="Cambria"/>
        </w:rPr>
        <w:t xml:space="preserve"> of Active Duty and Reserve members)</w:t>
      </w:r>
      <w:r w:rsidRPr="71EAB16E">
        <w:rPr>
          <w:rFonts w:ascii="Cambria" w:hAnsi="Cambria"/>
        </w:rPr>
        <w:t>.</w:t>
      </w:r>
      <w:r>
        <w:rPr>
          <w:rFonts w:ascii="Cambria" w:hAnsi="Cambria"/>
        </w:rPr>
        <w:t xml:space="preserve"> </w:t>
      </w:r>
      <w:r w:rsidRPr="71EAB16E">
        <w:rPr>
          <w:rFonts w:ascii="Cambria" w:hAnsi="Cambria"/>
        </w:rPr>
        <w:t xml:space="preserve"> </w:t>
      </w:r>
      <w:r>
        <w:rPr>
          <w:rFonts w:ascii="Cambria" w:hAnsi="Cambria"/>
        </w:rPr>
        <w:t xml:space="preserve">The module content will be asked after the DEOCS content.  </w:t>
      </w:r>
      <w:r w:rsidRPr="00C65798">
        <w:rPr>
          <w:rFonts w:ascii="Cambria" w:hAnsi="Cambria"/>
        </w:rPr>
        <w:t xml:space="preserve">Respondents </w:t>
      </w:r>
      <w:r>
        <w:rPr>
          <w:rFonts w:ascii="Cambria" w:hAnsi="Cambria"/>
        </w:rPr>
        <w:t xml:space="preserve">in the module sample </w:t>
      </w:r>
      <w:r w:rsidRPr="00C65798">
        <w:rPr>
          <w:rFonts w:ascii="Cambria" w:hAnsi="Cambria"/>
        </w:rPr>
        <w:t xml:space="preserve">will be informed that the </w:t>
      </w:r>
      <w:r>
        <w:rPr>
          <w:rFonts w:ascii="Cambria" w:hAnsi="Cambria"/>
        </w:rPr>
        <w:t xml:space="preserve">module content will be used to create summary estimates for the DoD and will </w:t>
      </w:r>
      <w:r w:rsidRPr="001F50A5">
        <w:rPr>
          <w:rFonts w:ascii="Cambria" w:hAnsi="Cambria"/>
          <w:i/>
          <w:iCs/>
        </w:rPr>
        <w:t>not</w:t>
      </w:r>
      <w:r>
        <w:rPr>
          <w:rFonts w:ascii="Cambria" w:hAnsi="Cambria"/>
        </w:rPr>
        <w:t xml:space="preserve"> be used to generate results specific to their unit/organization for their unit commander or organization leaders.  The inclusion of this module meets the need of the</w:t>
      </w:r>
      <w:r w:rsidRPr="71EAB16E">
        <w:rPr>
          <w:rFonts w:ascii="Cambria" w:hAnsi="Cambria"/>
        </w:rPr>
        <w:t xml:space="preserve"> 2020 Secretary of Defense action memorandum (Esper, 2020), </w:t>
      </w:r>
      <w:r>
        <w:rPr>
          <w:rFonts w:ascii="Cambria" w:hAnsi="Cambria"/>
        </w:rPr>
        <w:t xml:space="preserve">indicating </w:t>
      </w:r>
      <w:r w:rsidRPr="71EAB16E">
        <w:rPr>
          <w:rFonts w:ascii="Cambria" w:hAnsi="Cambria"/>
        </w:rPr>
        <w:t xml:space="preserve">the racial/ ethnic relations surveys </w:t>
      </w:r>
      <w:r>
        <w:rPr>
          <w:rFonts w:ascii="Cambria" w:hAnsi="Cambria"/>
        </w:rPr>
        <w:t>are to</w:t>
      </w:r>
      <w:r w:rsidR="00D10A47">
        <w:rPr>
          <w:rFonts w:ascii="Cambria" w:hAnsi="Cambria"/>
        </w:rPr>
        <w:t xml:space="preserve"> be</w:t>
      </w:r>
      <w:r w:rsidRPr="71EAB16E">
        <w:rPr>
          <w:rFonts w:ascii="Cambria" w:hAnsi="Cambria"/>
        </w:rPr>
        <w:t xml:space="preserve"> administered biennially</w:t>
      </w:r>
      <w:r>
        <w:rPr>
          <w:rFonts w:ascii="Cambria" w:hAnsi="Cambria"/>
        </w:rPr>
        <w:t xml:space="preserve"> </w:t>
      </w:r>
      <w:r w:rsidRPr="71EAB16E">
        <w:rPr>
          <w:rFonts w:ascii="Cambria" w:hAnsi="Cambria"/>
        </w:rPr>
        <w:t xml:space="preserve">to collect more timely data that yields a Total Force picture. </w:t>
      </w:r>
      <w:r>
        <w:rPr>
          <w:rFonts w:ascii="Cambria" w:hAnsi="Cambria"/>
        </w:rPr>
        <w:t xml:space="preserve"> With the administration of the module on the DEOCS, the WEO will not be fielded as</w:t>
      </w:r>
      <w:r w:rsidRPr="71EAB16E">
        <w:rPr>
          <w:rFonts w:ascii="Cambria" w:hAnsi="Cambria"/>
        </w:rPr>
        <w:t xml:space="preserve"> an independent survey</w:t>
      </w:r>
      <w:r>
        <w:rPr>
          <w:rFonts w:ascii="Cambria" w:hAnsi="Cambria"/>
        </w:rPr>
        <w:t xml:space="preserve"> in 2024, reducing overall </w:t>
      </w:r>
      <w:r w:rsidRPr="71EAB16E">
        <w:rPr>
          <w:rFonts w:ascii="Cambria" w:hAnsi="Cambria"/>
        </w:rPr>
        <w:t>survey burden and cost</w:t>
      </w:r>
      <w:r w:rsidR="00DB3044">
        <w:rPr>
          <w:rFonts w:ascii="Cambria" w:hAnsi="Cambria"/>
        </w:rPr>
        <w:t xml:space="preserve"> to the Department</w:t>
      </w:r>
      <w:r w:rsidRPr="71EAB16E">
        <w:rPr>
          <w:rFonts w:ascii="Cambria" w:hAnsi="Cambria"/>
        </w:rPr>
        <w:t xml:space="preserve">.   </w:t>
      </w:r>
    </w:p>
    <w:p w:rsidR="00EF334C" w:rsidP="00EF334C" w14:paraId="5F5CD579" w14:textId="77777777">
      <w:pPr>
        <w:pStyle w:val="NormalWeb"/>
        <w:spacing w:before="0" w:beforeAutospacing="0" w:after="0" w:afterAutospacing="0" w:line="288" w:lineRule="atLeast"/>
        <w:rPr>
          <w:rFonts w:ascii="Cambria" w:hAnsi="Cambria"/>
        </w:rPr>
      </w:pPr>
    </w:p>
    <w:p w:rsidR="4A28F9B7" w:rsidP="087913FB" w14:paraId="45CC1C60" w14:textId="13F6CE75">
      <w:pPr>
        <w:pStyle w:val="NormalWeb"/>
        <w:spacing w:before="0" w:beforeAutospacing="0" w:after="0" w:afterAutospacing="0" w:line="288" w:lineRule="atLeast"/>
        <w:rPr>
          <w:rFonts w:ascii="Cambria" w:hAnsi="Cambria"/>
        </w:rPr>
      </w:pPr>
      <w:r w:rsidRPr="087913FB">
        <w:rPr>
          <w:rFonts w:ascii="Cambria" w:hAnsi="Cambria"/>
        </w:rPr>
        <w:t xml:space="preserve">The DEOCS does not employ </w:t>
      </w:r>
      <w:r w:rsidRPr="087913FB" w:rsidR="00570099">
        <w:rPr>
          <w:rFonts w:ascii="Cambria" w:hAnsi="Cambria"/>
        </w:rPr>
        <w:t xml:space="preserve">traditional </w:t>
      </w:r>
      <w:r w:rsidRPr="087913FB">
        <w:rPr>
          <w:rFonts w:ascii="Cambria" w:hAnsi="Cambria"/>
        </w:rPr>
        <w:t>sampling techniques to identify a subset of a population to be included in the survey sample.  Instead,</w:t>
      </w:r>
      <w:r w:rsidRPr="087913FB" w:rsidR="00DF1993">
        <w:rPr>
          <w:rFonts w:ascii="Cambria" w:hAnsi="Cambria"/>
        </w:rPr>
        <w:t xml:space="preserve"> </w:t>
      </w:r>
      <w:r w:rsidRPr="087913FB" w:rsidR="00E42102">
        <w:rPr>
          <w:rFonts w:ascii="Cambria" w:hAnsi="Cambria"/>
        </w:rPr>
        <w:t xml:space="preserve">the DEOCS is a unit-/organization-level survey that, for each </w:t>
      </w:r>
      <w:r w:rsidRPr="087913FB" w:rsidR="00DF1993">
        <w:rPr>
          <w:rFonts w:ascii="Cambria" w:hAnsi="Cambria"/>
        </w:rPr>
        <w:t>unit or organization</w:t>
      </w:r>
      <w:r w:rsidRPr="087913FB" w:rsidR="00E42102">
        <w:rPr>
          <w:rFonts w:ascii="Cambria" w:hAnsi="Cambria"/>
        </w:rPr>
        <w:t xml:space="preserve">, </w:t>
      </w:r>
      <w:r w:rsidRPr="087913FB" w:rsidR="00631953">
        <w:rPr>
          <w:rFonts w:ascii="Cambria" w:hAnsi="Cambria"/>
        </w:rPr>
        <w:t xml:space="preserve">is intended as a </w:t>
      </w:r>
      <w:r w:rsidRPr="087913FB">
        <w:rPr>
          <w:rFonts w:ascii="Cambria" w:hAnsi="Cambria"/>
        </w:rPr>
        <w:t>census</w:t>
      </w:r>
      <w:r w:rsidRPr="087913FB" w:rsidR="00E42102">
        <w:rPr>
          <w:rFonts w:ascii="Cambria" w:hAnsi="Cambria"/>
        </w:rPr>
        <w:t xml:space="preserve">.  </w:t>
      </w:r>
      <w:r w:rsidRPr="087913FB" w:rsidR="006B37D8">
        <w:rPr>
          <w:rFonts w:ascii="Cambria" w:hAnsi="Cambria"/>
        </w:rPr>
        <w:t xml:space="preserve">The </w:t>
      </w:r>
      <w:r w:rsidRPr="087913FB" w:rsidR="006B37D8">
        <w:rPr>
          <w:rFonts w:ascii="Cambria" w:hAnsi="Cambria"/>
        </w:rPr>
        <w:t>unit/organization survey administrator registers a DEOCS by uploading a full roster of its unit/organization members</w:t>
      </w:r>
      <w:r w:rsidRPr="087913FB" w:rsidR="002F6134">
        <w:rPr>
          <w:rFonts w:ascii="Cambria" w:hAnsi="Cambria"/>
        </w:rPr>
        <w:t>, including foreign national</w:t>
      </w:r>
      <w:r w:rsidRPr="087913FB" w:rsidR="003F5F31">
        <w:rPr>
          <w:rFonts w:ascii="Cambria" w:hAnsi="Cambria"/>
        </w:rPr>
        <w:t xml:space="preserve"> employee</w:t>
      </w:r>
      <w:r w:rsidRPr="087913FB" w:rsidR="002F6134">
        <w:rPr>
          <w:rFonts w:ascii="Cambria" w:hAnsi="Cambria"/>
        </w:rPr>
        <w:t xml:space="preserve">s. </w:t>
      </w:r>
      <w:r w:rsidRPr="087913FB" w:rsidR="00BE3A88">
        <w:rPr>
          <w:rFonts w:ascii="Cambria" w:hAnsi="Cambria"/>
        </w:rPr>
        <w:t xml:space="preserve"> </w:t>
      </w:r>
      <w:r w:rsidRPr="087913FB" w:rsidR="002F6134">
        <w:rPr>
          <w:rFonts w:ascii="Cambria" w:hAnsi="Cambria"/>
        </w:rPr>
        <w:t>DoD civilian contractors are not included in the population</w:t>
      </w:r>
      <w:r w:rsidRPr="087913FB" w:rsidR="00B010E3">
        <w:rPr>
          <w:rFonts w:ascii="Cambria" w:hAnsi="Cambria"/>
        </w:rPr>
        <w:t xml:space="preserve"> for a DEOCS</w:t>
      </w:r>
      <w:r w:rsidRPr="087913FB" w:rsidR="006B37D8">
        <w:rPr>
          <w:rFonts w:ascii="Cambria" w:hAnsi="Cambria"/>
        </w:rPr>
        <w:t xml:space="preserve">. </w:t>
      </w:r>
      <w:r w:rsidRPr="087913FB">
        <w:rPr>
          <w:rFonts w:ascii="Cambria" w:hAnsi="Cambria"/>
        </w:rPr>
        <w:t xml:space="preserve"> Because all DoD unit commanders and organization leaders are required to administer the DEOCS annually, ultimately, the annual population frame for the DEOCS can </w:t>
      </w:r>
      <w:r w:rsidRPr="087913FB">
        <w:rPr>
          <w:rFonts w:ascii="Cambria" w:hAnsi="Cambria"/>
        </w:rPr>
        <w:t>be considered to be</w:t>
      </w:r>
      <w:r w:rsidRPr="087913FB">
        <w:rPr>
          <w:rFonts w:ascii="Cambria" w:hAnsi="Cambria"/>
        </w:rPr>
        <w:t xml:space="preserve"> all DoD military members.  </w:t>
      </w:r>
      <w:r w:rsidRPr="087913FB" w:rsidR="00997E5E">
        <w:rPr>
          <w:rFonts w:ascii="Cambria" w:hAnsi="Cambria"/>
        </w:rPr>
        <w:t xml:space="preserve">In </w:t>
      </w:r>
      <w:r w:rsidRPr="087913FB" w:rsidR="00A55BC5">
        <w:rPr>
          <w:rFonts w:ascii="Cambria" w:hAnsi="Cambria"/>
        </w:rPr>
        <w:t>2022</w:t>
      </w:r>
      <w:r w:rsidRPr="087913FB" w:rsidR="00997E5E">
        <w:rPr>
          <w:rFonts w:ascii="Cambria" w:hAnsi="Cambria"/>
        </w:rPr>
        <w:t>, 1,</w:t>
      </w:r>
      <w:r w:rsidRPr="087913FB" w:rsidR="00A55BC5">
        <w:rPr>
          <w:rFonts w:ascii="Cambria" w:hAnsi="Cambria"/>
        </w:rPr>
        <w:t>084,162</w:t>
      </w:r>
      <w:r w:rsidRPr="087913FB" w:rsidR="00997E5E">
        <w:rPr>
          <w:rFonts w:ascii="Cambria" w:hAnsi="Cambria"/>
        </w:rPr>
        <w:t xml:space="preserve"> DEOCS</w:t>
      </w:r>
      <w:r w:rsidRPr="087913FB" w:rsidR="0000404C">
        <w:rPr>
          <w:rFonts w:ascii="Cambria" w:hAnsi="Cambria"/>
        </w:rPr>
        <w:t>s</w:t>
      </w:r>
      <w:r w:rsidRPr="087913FB" w:rsidR="001E1942">
        <w:rPr>
          <w:rFonts w:ascii="Cambria" w:hAnsi="Cambria"/>
        </w:rPr>
        <w:t xml:space="preserve"> </w:t>
      </w:r>
      <w:r w:rsidRPr="087913FB" w:rsidR="0000404C">
        <w:rPr>
          <w:rFonts w:ascii="Cambria" w:hAnsi="Cambria"/>
        </w:rPr>
        <w:t xml:space="preserve">were taken, </w:t>
      </w:r>
      <w:r w:rsidRPr="087913FB" w:rsidR="0095629C">
        <w:rPr>
          <w:rFonts w:ascii="Cambria" w:hAnsi="Cambria"/>
        </w:rPr>
        <w:t xml:space="preserve">and </w:t>
      </w:r>
      <w:r w:rsidRPr="087913FB" w:rsidR="001E1942">
        <w:rPr>
          <w:rFonts w:ascii="Cambria" w:hAnsi="Cambria"/>
        </w:rPr>
        <w:t>we anticipate similar numbers of respondents annually</w:t>
      </w:r>
      <w:r w:rsidRPr="087913FB" w:rsidR="00050D3E">
        <w:rPr>
          <w:rFonts w:ascii="Cambria" w:hAnsi="Cambria"/>
        </w:rPr>
        <w:t xml:space="preserve"> with a response rate of 40%</w:t>
      </w:r>
      <w:r w:rsidRPr="087913FB" w:rsidR="00814B1D">
        <w:rPr>
          <w:rFonts w:ascii="Cambria" w:hAnsi="Cambria"/>
        </w:rPr>
        <w:t xml:space="preserve"> (Table 1)</w:t>
      </w:r>
      <w:r w:rsidRPr="087913FB" w:rsidR="001E1942">
        <w:rPr>
          <w:rFonts w:ascii="Cambria" w:hAnsi="Cambria"/>
        </w:rPr>
        <w:t xml:space="preserve">.  </w:t>
      </w:r>
      <w:r w:rsidRPr="087913FB" w:rsidR="00B20ACD">
        <w:rPr>
          <w:rFonts w:ascii="Cambria" w:hAnsi="Cambria"/>
        </w:rPr>
        <w:t>For the module subsample, l</w:t>
      </w:r>
      <w:r w:rsidRPr="087913FB" w:rsidR="004327BF">
        <w:rPr>
          <w:rFonts w:ascii="Cambria" w:hAnsi="Cambria"/>
        </w:rPr>
        <w:t>ive interval sampling will be used to identify participants</w:t>
      </w:r>
      <w:r w:rsidRPr="087913FB" w:rsidR="008F52CA">
        <w:rPr>
          <w:rFonts w:ascii="Cambria" w:hAnsi="Cambria"/>
        </w:rPr>
        <w:t xml:space="preserve">.  </w:t>
      </w:r>
      <w:r w:rsidRPr="087913FB" w:rsidR="00814B1D">
        <w:rPr>
          <w:rFonts w:ascii="Cambria" w:hAnsi="Cambria"/>
        </w:rPr>
        <w:t xml:space="preserve">The module subsample </w:t>
      </w:r>
      <w:r w:rsidRPr="087913FB" w:rsidR="0009146C">
        <w:rPr>
          <w:rFonts w:ascii="Cambria" w:hAnsi="Cambria"/>
        </w:rPr>
        <w:t>w</w:t>
      </w:r>
      <w:r w:rsidRPr="087913FB" w:rsidR="002A6F74">
        <w:rPr>
          <w:rFonts w:ascii="Cambria" w:hAnsi="Cambria"/>
        </w:rPr>
        <w:t xml:space="preserve">ill be based on </w:t>
      </w:r>
      <w:r w:rsidRPr="087913FB">
        <w:rPr>
          <w:rFonts w:ascii="Cambria" w:hAnsi="Cambria"/>
        </w:rPr>
        <w:t>an optimization algorithm used to determine the minimum-cost allocation that simultaneously satisfies the precision requirements</w:t>
      </w:r>
      <w:r w:rsidRPr="087913FB" w:rsidR="00340AA8">
        <w:rPr>
          <w:rFonts w:ascii="Cambria" w:hAnsi="Cambria"/>
        </w:rPr>
        <w:t xml:space="preserve"> for key reporting domains</w:t>
      </w:r>
      <w:r w:rsidRPr="087913FB">
        <w:rPr>
          <w:rFonts w:ascii="Cambria" w:hAnsi="Cambria"/>
        </w:rPr>
        <w:t xml:space="preserve">.  </w:t>
      </w:r>
      <w:r w:rsidRPr="087913FB" w:rsidR="000D5B8E">
        <w:rPr>
          <w:rFonts w:ascii="Cambria" w:hAnsi="Cambria"/>
        </w:rPr>
        <w:t xml:space="preserve">Because precise estimates on the percentage of reported racial/ethnic harassment/discrimination rates among even the smallest domains (e.g., Marine Corps racial/ethnic minorities) are required, a sizable sample is necessary for the module.  </w:t>
      </w:r>
      <w:r w:rsidRPr="087913FB" w:rsidR="007017E2">
        <w:rPr>
          <w:rFonts w:ascii="Cambria" w:hAnsi="Cambria"/>
        </w:rPr>
        <w:t>For historical context, t</w:t>
      </w:r>
      <w:r w:rsidRPr="087913FB">
        <w:rPr>
          <w:rFonts w:ascii="Cambria" w:hAnsi="Cambria"/>
        </w:rPr>
        <w:t>he</w:t>
      </w:r>
      <w:r w:rsidRPr="087913FB" w:rsidR="00C24111">
        <w:rPr>
          <w:rFonts w:ascii="Cambria" w:hAnsi="Cambria"/>
        </w:rPr>
        <w:t xml:space="preserve"> </w:t>
      </w:r>
      <w:r w:rsidRPr="087913FB">
        <w:rPr>
          <w:rFonts w:ascii="Cambria" w:hAnsi="Cambria"/>
        </w:rPr>
        <w:t xml:space="preserve">2022 WEO survey </w:t>
      </w:r>
      <w:r w:rsidRPr="087913FB" w:rsidR="004D0BDE">
        <w:rPr>
          <w:rFonts w:ascii="Cambria" w:hAnsi="Cambria"/>
        </w:rPr>
        <w:t xml:space="preserve">had a sample size of </w:t>
      </w:r>
      <w:r w:rsidR="0069488B">
        <w:t>369,234</w:t>
      </w:r>
      <w:r w:rsidR="007017E2">
        <w:t xml:space="preserve"> with an expected response rate of 15%</w:t>
      </w:r>
      <w:r w:rsidRPr="087913FB" w:rsidR="00FD19D5">
        <w:rPr>
          <w:rFonts w:ascii="Cambria" w:hAnsi="Cambria"/>
        </w:rPr>
        <w:t xml:space="preserve"> </w:t>
      </w:r>
      <w:r w:rsidRPr="087913FB" w:rsidR="00C15964">
        <w:rPr>
          <w:rFonts w:ascii="Cambria" w:hAnsi="Cambria"/>
        </w:rPr>
        <w:t xml:space="preserve">and </w:t>
      </w:r>
      <w:r w:rsidRPr="087913FB">
        <w:rPr>
          <w:rFonts w:ascii="Cambria" w:hAnsi="Cambria"/>
        </w:rPr>
        <w:t>a</w:t>
      </w:r>
      <w:r w:rsidRPr="087913FB" w:rsidR="00995C48">
        <w:rPr>
          <w:rFonts w:ascii="Cambria" w:hAnsi="Cambria"/>
        </w:rPr>
        <w:t>n actual</w:t>
      </w:r>
      <w:r w:rsidRPr="087913FB">
        <w:rPr>
          <w:rFonts w:ascii="Cambria" w:hAnsi="Cambria"/>
        </w:rPr>
        <w:t xml:space="preserve"> weighted response rate of 10.8%. </w:t>
      </w:r>
      <w:r w:rsidRPr="087913FB" w:rsidR="00FD19D5">
        <w:rPr>
          <w:rFonts w:ascii="Cambria" w:hAnsi="Cambria"/>
        </w:rPr>
        <w:t xml:space="preserve"> </w:t>
      </w:r>
      <w:r w:rsidRPr="087913FB" w:rsidR="002E3375">
        <w:rPr>
          <w:rFonts w:ascii="Cambria" w:hAnsi="Cambria"/>
        </w:rPr>
        <w:t xml:space="preserve">It is anticipated that the response rates for the </w:t>
      </w:r>
      <w:r w:rsidRPr="087913FB" w:rsidR="00801B77">
        <w:rPr>
          <w:rFonts w:ascii="Cambria" w:hAnsi="Cambria"/>
        </w:rPr>
        <w:t xml:space="preserve">module </w:t>
      </w:r>
      <w:r w:rsidRPr="087913FB" w:rsidR="002E3375">
        <w:rPr>
          <w:rFonts w:ascii="Cambria" w:hAnsi="Cambria"/>
        </w:rPr>
        <w:t>subsample</w:t>
      </w:r>
      <w:r w:rsidRPr="087913FB" w:rsidR="00801B77">
        <w:rPr>
          <w:rFonts w:ascii="Cambria" w:hAnsi="Cambria"/>
        </w:rPr>
        <w:t xml:space="preserve"> will be higher than the </w:t>
      </w:r>
      <w:r w:rsidRPr="087913FB" w:rsidR="00421098">
        <w:rPr>
          <w:rFonts w:ascii="Cambria" w:hAnsi="Cambria"/>
        </w:rPr>
        <w:t>2022 WEO</w:t>
      </w:r>
      <w:r w:rsidRPr="087913FB" w:rsidR="00C24111">
        <w:rPr>
          <w:rFonts w:ascii="Cambria" w:hAnsi="Cambria"/>
        </w:rPr>
        <w:t xml:space="preserve"> because the data collection methods used for the DEOCS have </w:t>
      </w:r>
      <w:r w:rsidRPr="087913FB" w:rsidR="00531C00">
        <w:rPr>
          <w:rFonts w:ascii="Cambria" w:hAnsi="Cambria"/>
        </w:rPr>
        <w:t xml:space="preserve">a higher contact rate for </w:t>
      </w:r>
      <w:r w:rsidRPr="087913FB" w:rsidR="00EA7935">
        <w:rPr>
          <w:rFonts w:ascii="Cambria" w:hAnsi="Cambria"/>
        </w:rPr>
        <w:t>sample members</w:t>
      </w:r>
      <w:r w:rsidRPr="087913FB" w:rsidR="00421098">
        <w:rPr>
          <w:rFonts w:ascii="Cambria" w:hAnsi="Cambria"/>
        </w:rPr>
        <w:t xml:space="preserve">. </w:t>
      </w:r>
      <w:r w:rsidRPr="087913FB" w:rsidR="00EA7935">
        <w:rPr>
          <w:rFonts w:ascii="Cambria" w:hAnsi="Cambria"/>
        </w:rPr>
        <w:t xml:space="preserve"> </w:t>
      </w:r>
      <w:r w:rsidRPr="087913FB" w:rsidR="006D5F9C">
        <w:rPr>
          <w:rFonts w:ascii="Cambria" w:hAnsi="Cambria"/>
        </w:rPr>
        <w:t>We therefore anticipate a response rate to the WEO content of approximately 20%.</w:t>
      </w:r>
    </w:p>
    <w:p w:rsidR="004B7AB4" w14:paraId="3F86E8DB" w14:textId="6E2A1D1D">
      <w:pPr>
        <w:rPr>
          <w:rFonts w:ascii="Cambria" w:hAnsi="Cambria"/>
          <w:b/>
        </w:rPr>
      </w:pPr>
      <w:r>
        <w:rPr>
          <w:rFonts w:ascii="Cambria" w:hAnsi="Cambria"/>
          <w:b/>
        </w:rPr>
        <w:br w:type="page"/>
      </w:r>
    </w:p>
    <w:p w:rsidR="00943D8B" w:rsidP="00ED08E0" w14:paraId="60ABD7FF" w14:textId="77777777">
      <w:pPr>
        <w:pStyle w:val="NormalWeb"/>
        <w:spacing w:before="0" w:beforeAutospacing="0" w:after="0" w:afterAutospacing="0"/>
        <w:rPr>
          <w:rFonts w:ascii="Cambria" w:hAnsi="Cambria"/>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9"/>
        <w:gridCol w:w="1065"/>
        <w:gridCol w:w="264"/>
        <w:gridCol w:w="1893"/>
        <w:gridCol w:w="2158"/>
        <w:gridCol w:w="1709"/>
        <w:gridCol w:w="1352"/>
      </w:tblGrid>
      <w:tr w14:paraId="3B34D761" w14:textId="77777777" w:rsidTr="0061247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60" w:type="pct"/>
            <w:gridSpan w:val="2"/>
            <w:tcBorders>
              <w:bottom w:val="single" w:sz="4" w:space="0" w:color="auto"/>
            </w:tcBorders>
          </w:tcPr>
          <w:p w:rsidR="00B449F5" w:rsidP="00ED08E0" w14:paraId="13F6CCE2" w14:textId="77777777">
            <w:pPr>
              <w:pStyle w:val="NormalWeb"/>
              <w:spacing w:before="0" w:beforeAutospacing="0" w:after="0" w:afterAutospacing="0"/>
              <w:rPr>
                <w:rFonts w:ascii="Cambria" w:hAnsi="Cambria"/>
                <w:b/>
              </w:rPr>
            </w:pPr>
          </w:p>
        </w:tc>
        <w:tc>
          <w:tcPr>
            <w:tcW w:w="3940" w:type="pct"/>
            <w:gridSpan w:val="5"/>
            <w:tcBorders>
              <w:bottom w:val="single" w:sz="4" w:space="0" w:color="auto"/>
            </w:tcBorders>
          </w:tcPr>
          <w:p w:rsidR="00B449F5" w:rsidRPr="00844148" w:rsidP="00ED08E0" w14:paraId="02275D59" w14:textId="4177A691">
            <w:pPr>
              <w:pStyle w:val="NormalWeb"/>
              <w:spacing w:before="0" w:beforeAutospacing="0" w:after="0" w:afterAutospacing="0"/>
              <w:rPr>
                <w:rFonts w:ascii="Cambria" w:hAnsi="Cambria"/>
                <w:bCs/>
              </w:rPr>
            </w:pPr>
            <w:r>
              <w:rPr>
                <w:rFonts w:ascii="Cambria" w:hAnsi="Cambria"/>
                <w:b/>
              </w:rPr>
              <w:t xml:space="preserve">Table 1. </w:t>
            </w:r>
            <w:r>
              <w:rPr>
                <w:rFonts w:ascii="Cambria" w:hAnsi="Cambria"/>
                <w:bCs/>
              </w:rPr>
              <w:t xml:space="preserve"> DEOCS 5.0 and 5.1 Population Summary</w:t>
            </w:r>
          </w:p>
        </w:tc>
      </w:tr>
      <w:tr w14:paraId="11359843" w14:textId="77777777" w:rsidTr="00251EA6">
        <w:tblPrEx>
          <w:tblW w:w="5000" w:type="pct"/>
          <w:tblLayout w:type="fixed"/>
          <w:tblLook w:val="04A0"/>
        </w:tblPrEx>
        <w:tc>
          <w:tcPr>
            <w:tcW w:w="491" w:type="pct"/>
            <w:tcBorders>
              <w:top w:val="single" w:sz="4" w:space="0" w:color="auto"/>
              <w:bottom w:val="single" w:sz="4" w:space="0" w:color="auto"/>
            </w:tcBorders>
            <w:vAlign w:val="center"/>
          </w:tcPr>
          <w:p w:rsidR="00B449F5" w:rsidRPr="004B7AB4" w:rsidP="004B7AB4" w14:paraId="753778FB" w14:textId="263DF1E1">
            <w:pPr>
              <w:pStyle w:val="NormalWeb"/>
              <w:spacing w:before="0" w:beforeAutospacing="0" w:after="0" w:afterAutospacing="0"/>
              <w:jc w:val="center"/>
              <w:rPr>
                <w:rFonts w:ascii="Cambria" w:hAnsi="Cambria"/>
                <w:b/>
              </w:rPr>
            </w:pPr>
            <w:r w:rsidRPr="004B7AB4">
              <w:rPr>
                <w:rFonts w:ascii="Cambria" w:hAnsi="Cambria"/>
                <w:b/>
              </w:rPr>
              <w:t>Year</w:t>
            </w:r>
          </w:p>
        </w:tc>
        <w:tc>
          <w:tcPr>
            <w:tcW w:w="710" w:type="pct"/>
            <w:gridSpan w:val="2"/>
            <w:tcBorders>
              <w:top w:val="single" w:sz="4" w:space="0" w:color="auto"/>
              <w:bottom w:val="single" w:sz="4" w:space="0" w:color="auto"/>
            </w:tcBorders>
          </w:tcPr>
          <w:p w:rsidR="00B449F5" w:rsidRPr="004B7AB4" w:rsidP="004B7AB4" w14:paraId="3DF33BEF" w14:textId="66A59C9F">
            <w:pPr>
              <w:pStyle w:val="NormalWeb"/>
              <w:spacing w:before="0" w:beforeAutospacing="0" w:after="0" w:afterAutospacing="0"/>
              <w:jc w:val="center"/>
              <w:rPr>
                <w:rFonts w:ascii="Cambria" w:hAnsi="Cambria"/>
                <w:b/>
              </w:rPr>
            </w:pPr>
            <w:r>
              <w:rPr>
                <w:rFonts w:ascii="Cambria" w:hAnsi="Cambria"/>
                <w:b/>
              </w:rPr>
              <w:t>Survey Version</w:t>
            </w:r>
          </w:p>
        </w:tc>
        <w:tc>
          <w:tcPr>
            <w:tcW w:w="1011" w:type="pct"/>
            <w:tcBorders>
              <w:top w:val="single" w:sz="4" w:space="0" w:color="auto"/>
              <w:bottom w:val="single" w:sz="4" w:space="0" w:color="auto"/>
            </w:tcBorders>
            <w:vAlign w:val="center"/>
          </w:tcPr>
          <w:p w:rsidR="00B449F5" w:rsidRPr="004B7AB4" w:rsidP="004B7AB4" w14:paraId="6C2936BB" w14:textId="754201BE">
            <w:pPr>
              <w:pStyle w:val="NormalWeb"/>
              <w:spacing w:before="0" w:beforeAutospacing="0" w:after="0" w:afterAutospacing="0"/>
              <w:jc w:val="center"/>
              <w:rPr>
                <w:rFonts w:ascii="Cambria" w:hAnsi="Cambria"/>
                <w:b/>
              </w:rPr>
            </w:pPr>
            <w:r w:rsidRPr="004B7AB4">
              <w:rPr>
                <w:rFonts w:ascii="Cambria" w:hAnsi="Cambria"/>
                <w:b/>
              </w:rPr>
              <w:t>Number of Organization</w:t>
            </w:r>
            <w:r>
              <w:rPr>
                <w:rFonts w:ascii="Cambria" w:hAnsi="Cambria"/>
                <w:b/>
              </w:rPr>
              <w:t>s Registered</w:t>
            </w:r>
          </w:p>
        </w:tc>
        <w:tc>
          <w:tcPr>
            <w:tcW w:w="1153" w:type="pct"/>
            <w:tcBorders>
              <w:top w:val="single" w:sz="4" w:space="0" w:color="auto"/>
              <w:bottom w:val="single" w:sz="4" w:space="0" w:color="auto"/>
            </w:tcBorders>
            <w:vAlign w:val="center"/>
          </w:tcPr>
          <w:p w:rsidR="00B449F5" w:rsidRPr="004B7AB4" w:rsidP="004B7AB4" w14:paraId="0425A663" w14:textId="0A77A862">
            <w:pPr>
              <w:pStyle w:val="NormalWeb"/>
              <w:spacing w:before="0" w:beforeAutospacing="0" w:after="0" w:afterAutospacing="0"/>
              <w:jc w:val="center"/>
              <w:rPr>
                <w:rFonts w:ascii="Cambria" w:hAnsi="Cambria"/>
                <w:b/>
              </w:rPr>
            </w:pPr>
            <w:r w:rsidRPr="004B7AB4">
              <w:rPr>
                <w:rFonts w:ascii="Cambria" w:hAnsi="Cambria"/>
                <w:b/>
              </w:rPr>
              <w:t>Number of Individuals Invited/Rostered</w:t>
            </w:r>
          </w:p>
        </w:tc>
        <w:tc>
          <w:tcPr>
            <w:tcW w:w="913" w:type="pct"/>
            <w:tcBorders>
              <w:top w:val="single" w:sz="4" w:space="0" w:color="auto"/>
              <w:bottom w:val="single" w:sz="4" w:space="0" w:color="auto"/>
            </w:tcBorders>
            <w:vAlign w:val="center"/>
          </w:tcPr>
          <w:p w:rsidR="00B449F5" w:rsidRPr="004B7AB4" w:rsidP="004B7AB4" w14:paraId="336CE095" w14:textId="523AF433">
            <w:pPr>
              <w:pStyle w:val="NormalWeb"/>
              <w:spacing w:before="0" w:beforeAutospacing="0" w:after="0" w:afterAutospacing="0"/>
              <w:jc w:val="center"/>
              <w:rPr>
                <w:rFonts w:ascii="Cambria" w:hAnsi="Cambria"/>
                <w:b/>
              </w:rPr>
            </w:pPr>
            <w:r w:rsidRPr="004B7AB4">
              <w:rPr>
                <w:rFonts w:ascii="Cambria" w:hAnsi="Cambria"/>
                <w:b/>
              </w:rPr>
              <w:t>Number of Individual Respondents</w:t>
            </w:r>
          </w:p>
        </w:tc>
        <w:tc>
          <w:tcPr>
            <w:tcW w:w="722" w:type="pct"/>
            <w:tcBorders>
              <w:top w:val="single" w:sz="4" w:space="0" w:color="auto"/>
              <w:bottom w:val="single" w:sz="4" w:space="0" w:color="auto"/>
            </w:tcBorders>
            <w:vAlign w:val="center"/>
          </w:tcPr>
          <w:p w:rsidR="00B449F5" w:rsidRPr="004B7AB4" w:rsidP="004B7AB4" w14:paraId="72F08BF1" w14:textId="120BEA59">
            <w:pPr>
              <w:pStyle w:val="NormalWeb"/>
              <w:spacing w:before="0" w:beforeAutospacing="0" w:after="0" w:afterAutospacing="0"/>
              <w:jc w:val="center"/>
              <w:rPr>
                <w:rFonts w:ascii="Cambria" w:hAnsi="Cambria"/>
                <w:b/>
              </w:rPr>
            </w:pPr>
            <w:r w:rsidRPr="004B7AB4">
              <w:rPr>
                <w:rFonts w:ascii="Cambria" w:hAnsi="Cambria"/>
                <w:b/>
              </w:rPr>
              <w:t>Response Rate</w:t>
            </w:r>
          </w:p>
        </w:tc>
      </w:tr>
      <w:tr w14:paraId="153A60BC" w14:textId="77777777" w:rsidTr="00251EA6">
        <w:tblPrEx>
          <w:tblW w:w="5000" w:type="pct"/>
          <w:tblLayout w:type="fixed"/>
          <w:tblLook w:val="04A0"/>
        </w:tblPrEx>
        <w:tc>
          <w:tcPr>
            <w:tcW w:w="491" w:type="pct"/>
            <w:tcBorders>
              <w:top w:val="single" w:sz="4" w:space="0" w:color="auto"/>
            </w:tcBorders>
            <w:vAlign w:val="center"/>
          </w:tcPr>
          <w:p w:rsidR="00B449F5" w:rsidP="00FE4F6E" w14:paraId="501EF19E" w14:textId="7DF0BD95">
            <w:pPr>
              <w:pStyle w:val="NormalWeb"/>
              <w:spacing w:before="0" w:beforeAutospacing="0" w:after="0" w:afterAutospacing="0"/>
              <w:jc w:val="center"/>
              <w:rPr>
                <w:rFonts w:ascii="Cambria" w:hAnsi="Cambria"/>
                <w:bCs/>
              </w:rPr>
            </w:pPr>
            <w:r>
              <w:rPr>
                <w:rFonts w:ascii="Cambria" w:hAnsi="Cambria"/>
                <w:bCs/>
              </w:rPr>
              <w:t>2021</w:t>
            </w:r>
          </w:p>
        </w:tc>
        <w:tc>
          <w:tcPr>
            <w:tcW w:w="710" w:type="pct"/>
            <w:gridSpan w:val="2"/>
            <w:tcBorders>
              <w:top w:val="single" w:sz="4" w:space="0" w:color="auto"/>
            </w:tcBorders>
          </w:tcPr>
          <w:p w:rsidR="00B449F5" w:rsidP="00FE4F6E" w14:paraId="2BCEE9EF" w14:textId="4467EC6F">
            <w:pPr>
              <w:pStyle w:val="NormalWeb"/>
              <w:spacing w:before="0" w:beforeAutospacing="0" w:after="0" w:afterAutospacing="0"/>
              <w:jc w:val="center"/>
              <w:rPr>
                <w:rFonts w:ascii="Cambria" w:hAnsi="Cambria"/>
                <w:bCs/>
              </w:rPr>
            </w:pPr>
            <w:r>
              <w:rPr>
                <w:rFonts w:ascii="Cambria" w:hAnsi="Cambria"/>
                <w:bCs/>
              </w:rPr>
              <w:t>5.0</w:t>
            </w:r>
          </w:p>
        </w:tc>
        <w:tc>
          <w:tcPr>
            <w:tcW w:w="1011" w:type="pct"/>
            <w:tcBorders>
              <w:top w:val="single" w:sz="4" w:space="0" w:color="auto"/>
            </w:tcBorders>
            <w:vAlign w:val="center"/>
          </w:tcPr>
          <w:p w:rsidR="00B449F5" w:rsidP="00FE4F6E" w14:paraId="4E282BD7" w14:textId="4282B7B8">
            <w:pPr>
              <w:pStyle w:val="NormalWeb"/>
              <w:spacing w:before="0" w:beforeAutospacing="0" w:after="0" w:afterAutospacing="0"/>
              <w:jc w:val="center"/>
              <w:rPr>
                <w:rFonts w:ascii="Cambria" w:hAnsi="Cambria"/>
                <w:bCs/>
              </w:rPr>
            </w:pPr>
            <w:r>
              <w:rPr>
                <w:rFonts w:ascii="Cambria" w:hAnsi="Cambria"/>
                <w:bCs/>
              </w:rPr>
              <w:t>18,106</w:t>
            </w:r>
          </w:p>
        </w:tc>
        <w:tc>
          <w:tcPr>
            <w:tcW w:w="1153" w:type="pct"/>
            <w:tcBorders>
              <w:top w:val="single" w:sz="4" w:space="0" w:color="auto"/>
            </w:tcBorders>
            <w:vAlign w:val="center"/>
          </w:tcPr>
          <w:p w:rsidR="00B449F5" w:rsidP="00FE4F6E" w14:paraId="7626B117" w14:textId="1A29E1D8">
            <w:pPr>
              <w:pStyle w:val="NormalWeb"/>
              <w:spacing w:before="0" w:beforeAutospacing="0" w:after="0" w:afterAutospacing="0"/>
              <w:jc w:val="center"/>
              <w:rPr>
                <w:rFonts w:ascii="Cambria" w:hAnsi="Cambria"/>
                <w:bCs/>
              </w:rPr>
            </w:pPr>
            <w:r>
              <w:rPr>
                <w:rFonts w:ascii="Cambria" w:hAnsi="Cambria"/>
                <w:bCs/>
              </w:rPr>
              <w:t>3,811,968</w:t>
            </w:r>
          </w:p>
        </w:tc>
        <w:tc>
          <w:tcPr>
            <w:tcW w:w="913" w:type="pct"/>
            <w:tcBorders>
              <w:top w:val="single" w:sz="4" w:space="0" w:color="auto"/>
            </w:tcBorders>
            <w:vAlign w:val="center"/>
          </w:tcPr>
          <w:p w:rsidR="00B449F5" w:rsidP="00FE4F6E" w14:paraId="4564C554" w14:textId="47F767C7">
            <w:pPr>
              <w:pStyle w:val="NormalWeb"/>
              <w:spacing w:before="0" w:beforeAutospacing="0" w:after="0" w:afterAutospacing="0"/>
              <w:jc w:val="center"/>
              <w:rPr>
                <w:rFonts w:ascii="Cambria" w:hAnsi="Cambria"/>
                <w:bCs/>
              </w:rPr>
            </w:pPr>
            <w:r>
              <w:rPr>
                <w:rFonts w:ascii="Cambria" w:hAnsi="Cambria"/>
                <w:bCs/>
              </w:rPr>
              <w:t>1,387,330</w:t>
            </w:r>
          </w:p>
        </w:tc>
        <w:tc>
          <w:tcPr>
            <w:tcW w:w="722" w:type="pct"/>
            <w:tcBorders>
              <w:top w:val="single" w:sz="4" w:space="0" w:color="auto"/>
            </w:tcBorders>
            <w:vAlign w:val="center"/>
          </w:tcPr>
          <w:p w:rsidR="00B449F5" w:rsidP="00FE4F6E" w14:paraId="45F2F8AA" w14:textId="0049CF30">
            <w:pPr>
              <w:pStyle w:val="NormalWeb"/>
              <w:spacing w:before="0" w:beforeAutospacing="0" w:after="0" w:afterAutospacing="0"/>
              <w:jc w:val="center"/>
              <w:rPr>
                <w:rFonts w:ascii="Cambria" w:hAnsi="Cambria"/>
                <w:bCs/>
              </w:rPr>
            </w:pPr>
            <w:r>
              <w:rPr>
                <w:rFonts w:ascii="Cambria" w:hAnsi="Cambria"/>
                <w:bCs/>
              </w:rPr>
              <w:t>36.</w:t>
            </w:r>
            <w:r w:rsidR="00612473">
              <w:rPr>
                <w:rFonts w:ascii="Cambria" w:hAnsi="Cambria"/>
                <w:bCs/>
              </w:rPr>
              <w:t>4</w:t>
            </w:r>
            <w:r>
              <w:rPr>
                <w:rFonts w:ascii="Cambria" w:hAnsi="Cambria"/>
                <w:bCs/>
              </w:rPr>
              <w:t>%</w:t>
            </w:r>
          </w:p>
        </w:tc>
      </w:tr>
      <w:tr w14:paraId="66144915" w14:textId="77777777" w:rsidTr="00251EA6">
        <w:tblPrEx>
          <w:tblW w:w="5000" w:type="pct"/>
          <w:tblLayout w:type="fixed"/>
          <w:tblLook w:val="04A0"/>
        </w:tblPrEx>
        <w:tc>
          <w:tcPr>
            <w:tcW w:w="491" w:type="pct"/>
            <w:vAlign w:val="center"/>
          </w:tcPr>
          <w:p w:rsidR="00B449F5" w:rsidP="00FE4F6E" w14:paraId="3CA3A56A" w14:textId="2A9E0CFA">
            <w:pPr>
              <w:pStyle w:val="NormalWeb"/>
              <w:spacing w:before="0" w:beforeAutospacing="0" w:after="0" w:afterAutospacing="0"/>
              <w:jc w:val="center"/>
              <w:rPr>
                <w:rFonts w:ascii="Cambria" w:hAnsi="Cambria"/>
                <w:bCs/>
              </w:rPr>
            </w:pPr>
            <w:r>
              <w:rPr>
                <w:rFonts w:ascii="Cambria" w:hAnsi="Cambria"/>
                <w:bCs/>
              </w:rPr>
              <w:t>2022</w:t>
            </w:r>
          </w:p>
        </w:tc>
        <w:tc>
          <w:tcPr>
            <w:tcW w:w="710" w:type="pct"/>
            <w:gridSpan w:val="2"/>
          </w:tcPr>
          <w:p w:rsidR="00B449F5" w:rsidRPr="00F6795A" w:rsidP="00FE4F6E" w14:paraId="1FB01AA4" w14:textId="27A307EE">
            <w:pPr>
              <w:pStyle w:val="NormalWeb"/>
              <w:spacing w:before="0" w:beforeAutospacing="0" w:after="0" w:afterAutospacing="0"/>
              <w:jc w:val="center"/>
              <w:rPr>
                <w:rFonts w:ascii="Cambria" w:hAnsi="Cambria"/>
                <w:bCs/>
              </w:rPr>
            </w:pPr>
            <w:r>
              <w:rPr>
                <w:rFonts w:ascii="Cambria" w:hAnsi="Cambria"/>
                <w:bCs/>
              </w:rPr>
              <w:t>5.0</w:t>
            </w:r>
          </w:p>
        </w:tc>
        <w:tc>
          <w:tcPr>
            <w:tcW w:w="1011" w:type="pct"/>
            <w:vAlign w:val="center"/>
          </w:tcPr>
          <w:p w:rsidR="00B449F5" w:rsidP="00FE4F6E" w14:paraId="6D0D97FD" w14:textId="565991DF">
            <w:pPr>
              <w:pStyle w:val="NormalWeb"/>
              <w:spacing w:before="0" w:beforeAutospacing="0" w:after="0" w:afterAutospacing="0"/>
              <w:jc w:val="center"/>
              <w:rPr>
                <w:rFonts w:ascii="Cambria" w:hAnsi="Cambria"/>
                <w:bCs/>
              </w:rPr>
            </w:pPr>
            <w:r w:rsidRPr="00F6795A">
              <w:rPr>
                <w:rFonts w:ascii="Cambria" w:hAnsi="Cambria"/>
                <w:bCs/>
              </w:rPr>
              <w:t>13,863</w:t>
            </w:r>
          </w:p>
        </w:tc>
        <w:tc>
          <w:tcPr>
            <w:tcW w:w="1153" w:type="pct"/>
            <w:vAlign w:val="center"/>
          </w:tcPr>
          <w:p w:rsidR="00B449F5" w:rsidP="00FE4F6E" w14:paraId="3D8CC5DD" w14:textId="0E7F7A7B">
            <w:pPr>
              <w:pStyle w:val="NormalWeb"/>
              <w:spacing w:before="0" w:beforeAutospacing="0" w:after="0" w:afterAutospacing="0"/>
              <w:jc w:val="center"/>
              <w:rPr>
                <w:rFonts w:ascii="Cambria" w:hAnsi="Cambria"/>
                <w:bCs/>
              </w:rPr>
            </w:pPr>
            <w:r w:rsidRPr="00661810">
              <w:rPr>
                <w:rFonts w:ascii="Cambria" w:hAnsi="Cambria"/>
                <w:bCs/>
              </w:rPr>
              <w:t>2,629,693</w:t>
            </w:r>
          </w:p>
        </w:tc>
        <w:tc>
          <w:tcPr>
            <w:tcW w:w="913" w:type="pct"/>
            <w:vAlign w:val="center"/>
          </w:tcPr>
          <w:p w:rsidR="00B449F5" w:rsidP="00FE4F6E" w14:paraId="5C8F79FD" w14:textId="4B8A7AAD">
            <w:pPr>
              <w:pStyle w:val="NormalWeb"/>
              <w:spacing w:before="0" w:beforeAutospacing="0" w:after="0" w:afterAutospacing="0"/>
              <w:jc w:val="center"/>
              <w:rPr>
                <w:rFonts w:ascii="Cambria" w:hAnsi="Cambria"/>
                <w:bCs/>
              </w:rPr>
            </w:pPr>
            <w:r w:rsidRPr="00661810">
              <w:rPr>
                <w:rFonts w:ascii="Cambria" w:hAnsi="Cambria"/>
                <w:bCs/>
              </w:rPr>
              <w:t>1,084,162</w:t>
            </w:r>
          </w:p>
        </w:tc>
        <w:tc>
          <w:tcPr>
            <w:tcW w:w="722" w:type="pct"/>
            <w:vAlign w:val="center"/>
          </w:tcPr>
          <w:p w:rsidR="00B449F5" w:rsidP="00FE4F6E" w14:paraId="0747BC6D" w14:textId="4ED1028D">
            <w:pPr>
              <w:pStyle w:val="NormalWeb"/>
              <w:spacing w:before="0" w:beforeAutospacing="0" w:after="0" w:afterAutospacing="0"/>
              <w:jc w:val="center"/>
              <w:rPr>
                <w:rFonts w:ascii="Cambria" w:hAnsi="Cambria"/>
                <w:bCs/>
              </w:rPr>
            </w:pPr>
            <w:r>
              <w:rPr>
                <w:rFonts w:ascii="Cambria" w:hAnsi="Cambria"/>
                <w:bCs/>
              </w:rPr>
              <w:t>41.2%</w:t>
            </w:r>
          </w:p>
        </w:tc>
      </w:tr>
      <w:tr w14:paraId="0B0879A1" w14:textId="77777777" w:rsidTr="00251EA6">
        <w:tblPrEx>
          <w:tblW w:w="5000" w:type="pct"/>
          <w:tblLayout w:type="fixed"/>
          <w:tblLook w:val="04A0"/>
        </w:tblPrEx>
        <w:tc>
          <w:tcPr>
            <w:tcW w:w="491" w:type="pct"/>
            <w:tcBorders>
              <w:bottom w:val="single" w:sz="4" w:space="0" w:color="auto"/>
            </w:tcBorders>
            <w:vAlign w:val="center"/>
          </w:tcPr>
          <w:p w:rsidR="00B449F5" w:rsidP="00FE4F6E" w14:paraId="5050CD4E" w14:textId="78D061AE">
            <w:pPr>
              <w:pStyle w:val="NormalWeb"/>
              <w:spacing w:before="0" w:beforeAutospacing="0" w:after="0" w:afterAutospacing="0"/>
              <w:jc w:val="center"/>
              <w:rPr>
                <w:rFonts w:ascii="Cambria" w:hAnsi="Cambria"/>
                <w:bCs/>
              </w:rPr>
            </w:pPr>
            <w:r>
              <w:rPr>
                <w:rFonts w:ascii="Cambria" w:hAnsi="Cambria"/>
                <w:bCs/>
              </w:rPr>
              <w:t>2023*</w:t>
            </w:r>
          </w:p>
        </w:tc>
        <w:tc>
          <w:tcPr>
            <w:tcW w:w="710" w:type="pct"/>
            <w:gridSpan w:val="2"/>
            <w:tcBorders>
              <w:bottom w:val="single" w:sz="4" w:space="0" w:color="auto"/>
            </w:tcBorders>
          </w:tcPr>
          <w:p w:rsidR="00B449F5" w:rsidP="00FE4F6E" w14:paraId="46E118D4" w14:textId="40502069">
            <w:pPr>
              <w:pStyle w:val="NormalWeb"/>
              <w:spacing w:before="0" w:beforeAutospacing="0" w:after="0" w:afterAutospacing="0"/>
              <w:jc w:val="center"/>
              <w:rPr>
                <w:rFonts w:ascii="Cambria" w:hAnsi="Cambria"/>
                <w:bCs/>
              </w:rPr>
            </w:pPr>
            <w:r>
              <w:rPr>
                <w:rFonts w:ascii="Cambria" w:hAnsi="Cambria"/>
                <w:bCs/>
              </w:rPr>
              <w:t>5.1</w:t>
            </w:r>
          </w:p>
        </w:tc>
        <w:tc>
          <w:tcPr>
            <w:tcW w:w="1011" w:type="pct"/>
            <w:tcBorders>
              <w:bottom w:val="single" w:sz="4" w:space="0" w:color="auto"/>
            </w:tcBorders>
            <w:vAlign w:val="center"/>
          </w:tcPr>
          <w:p w:rsidR="00B449F5" w:rsidRPr="00F6795A" w:rsidP="00FE4F6E" w14:paraId="448261A5" w14:textId="3F4812DE">
            <w:pPr>
              <w:pStyle w:val="NormalWeb"/>
              <w:spacing w:before="0" w:beforeAutospacing="0" w:after="0" w:afterAutospacing="0"/>
              <w:jc w:val="center"/>
              <w:rPr>
                <w:rFonts w:ascii="Cambria" w:hAnsi="Cambria"/>
                <w:bCs/>
              </w:rPr>
            </w:pPr>
            <w:r w:rsidRPr="00157188">
              <w:rPr>
                <w:rFonts w:ascii="Cambria" w:hAnsi="Cambria"/>
                <w:bCs/>
              </w:rPr>
              <w:t>11,293</w:t>
            </w:r>
          </w:p>
        </w:tc>
        <w:tc>
          <w:tcPr>
            <w:tcW w:w="1153" w:type="pct"/>
            <w:tcBorders>
              <w:bottom w:val="single" w:sz="4" w:space="0" w:color="auto"/>
            </w:tcBorders>
            <w:vAlign w:val="center"/>
          </w:tcPr>
          <w:p w:rsidR="00B449F5" w:rsidRPr="00661810" w:rsidP="00FE4F6E" w14:paraId="58E8CE9B" w14:textId="572939B7">
            <w:pPr>
              <w:pStyle w:val="NormalWeb"/>
              <w:spacing w:before="0" w:beforeAutospacing="0" w:after="0" w:afterAutospacing="0"/>
              <w:jc w:val="center"/>
              <w:rPr>
                <w:rFonts w:ascii="Cambria" w:hAnsi="Cambria"/>
                <w:bCs/>
              </w:rPr>
            </w:pPr>
            <w:r w:rsidRPr="007A1CC1">
              <w:rPr>
                <w:rFonts w:ascii="Cambria" w:hAnsi="Cambria"/>
                <w:bCs/>
              </w:rPr>
              <w:t>2,392,255</w:t>
            </w:r>
          </w:p>
        </w:tc>
        <w:tc>
          <w:tcPr>
            <w:tcW w:w="913" w:type="pct"/>
            <w:tcBorders>
              <w:bottom w:val="single" w:sz="4" w:space="0" w:color="auto"/>
            </w:tcBorders>
            <w:vAlign w:val="center"/>
          </w:tcPr>
          <w:p w:rsidR="00B449F5" w:rsidRPr="00661810" w:rsidP="00FE4F6E" w14:paraId="764AFE13" w14:textId="57A903D0">
            <w:pPr>
              <w:pStyle w:val="NormalWeb"/>
              <w:spacing w:before="0" w:beforeAutospacing="0" w:after="0" w:afterAutospacing="0"/>
              <w:jc w:val="center"/>
              <w:rPr>
                <w:rFonts w:ascii="Cambria" w:hAnsi="Cambria"/>
                <w:bCs/>
              </w:rPr>
            </w:pPr>
            <w:r w:rsidRPr="007A1CC1">
              <w:rPr>
                <w:rFonts w:ascii="Cambria" w:hAnsi="Cambria"/>
                <w:bCs/>
              </w:rPr>
              <w:t>864,475</w:t>
            </w:r>
          </w:p>
        </w:tc>
        <w:tc>
          <w:tcPr>
            <w:tcW w:w="722" w:type="pct"/>
            <w:tcBorders>
              <w:bottom w:val="single" w:sz="4" w:space="0" w:color="auto"/>
            </w:tcBorders>
            <w:vAlign w:val="center"/>
          </w:tcPr>
          <w:p w:rsidR="00B449F5" w:rsidP="00FE4F6E" w14:paraId="36022314" w14:textId="4AAF156C">
            <w:pPr>
              <w:pStyle w:val="NormalWeb"/>
              <w:spacing w:before="0" w:beforeAutospacing="0" w:after="0" w:afterAutospacing="0"/>
              <w:jc w:val="center"/>
              <w:rPr>
                <w:rFonts w:ascii="Cambria" w:hAnsi="Cambria"/>
                <w:bCs/>
              </w:rPr>
            </w:pPr>
            <w:r>
              <w:rPr>
                <w:rFonts w:ascii="Cambria" w:hAnsi="Cambria"/>
                <w:bCs/>
              </w:rPr>
              <w:t>37.6%</w:t>
            </w:r>
          </w:p>
        </w:tc>
      </w:tr>
      <w:tr w14:paraId="42BBE96A" w14:textId="77777777" w:rsidTr="00B449F5">
        <w:tblPrEx>
          <w:tblW w:w="5000" w:type="pct"/>
          <w:tblLayout w:type="fixed"/>
          <w:tblLook w:val="04A0"/>
        </w:tblPrEx>
        <w:tc>
          <w:tcPr>
            <w:tcW w:w="5000" w:type="pct"/>
            <w:gridSpan w:val="7"/>
            <w:tcBorders>
              <w:top w:val="single" w:sz="4" w:space="0" w:color="auto"/>
            </w:tcBorders>
          </w:tcPr>
          <w:p w:rsidR="00B449F5" w:rsidP="00172F13" w14:paraId="68A0C74D" w14:textId="5C424511">
            <w:pPr>
              <w:pStyle w:val="NormalWeb"/>
              <w:spacing w:before="0" w:beforeAutospacing="0" w:after="0" w:afterAutospacing="0"/>
              <w:rPr>
                <w:rFonts w:ascii="Cambria" w:hAnsi="Cambria"/>
                <w:bCs/>
                <w:sz w:val="20"/>
                <w:szCs w:val="20"/>
              </w:rPr>
            </w:pPr>
            <w:r w:rsidRPr="00B52FBF">
              <w:rPr>
                <w:rFonts w:ascii="Cambria" w:hAnsi="Cambria"/>
                <w:bCs/>
                <w:sz w:val="20"/>
                <w:szCs w:val="20"/>
                <w:u w:val="single"/>
              </w:rPr>
              <w:t>Notes</w:t>
            </w:r>
            <w:r>
              <w:rPr>
                <w:rFonts w:ascii="Cambria" w:hAnsi="Cambria"/>
                <w:bCs/>
                <w:sz w:val="20"/>
                <w:szCs w:val="20"/>
              </w:rPr>
              <w:t xml:space="preserve">: The DEOCS 5.0 </w:t>
            </w:r>
            <w:r w:rsidR="00B20469">
              <w:rPr>
                <w:rFonts w:ascii="Cambria" w:hAnsi="Cambria"/>
                <w:bCs/>
                <w:sz w:val="20"/>
                <w:szCs w:val="20"/>
              </w:rPr>
              <w:t>was</w:t>
            </w:r>
            <w:r>
              <w:rPr>
                <w:rFonts w:ascii="Cambria" w:hAnsi="Cambria"/>
                <w:bCs/>
                <w:sz w:val="20"/>
                <w:szCs w:val="20"/>
              </w:rPr>
              <w:t xml:space="preserve"> fielded </w:t>
            </w:r>
            <w:r w:rsidR="00B20469">
              <w:rPr>
                <w:rFonts w:ascii="Cambria" w:hAnsi="Cambria"/>
                <w:bCs/>
                <w:sz w:val="20"/>
                <w:szCs w:val="20"/>
              </w:rPr>
              <w:t>under</w:t>
            </w:r>
            <w:r>
              <w:rPr>
                <w:rFonts w:ascii="Cambria" w:hAnsi="Cambria"/>
                <w:bCs/>
                <w:sz w:val="20"/>
                <w:szCs w:val="20"/>
              </w:rPr>
              <w:t xml:space="preserve"> RCS license (DD-P&amp;R-2338; January 31</w:t>
            </w:r>
            <w:r w:rsidRPr="00997B5E">
              <w:rPr>
                <w:rFonts w:ascii="Cambria" w:hAnsi="Cambria"/>
                <w:bCs/>
                <w:sz w:val="20"/>
                <w:szCs w:val="20"/>
                <w:vertAlign w:val="superscript"/>
              </w:rPr>
              <w:t>st</w:t>
            </w:r>
            <w:r>
              <w:rPr>
                <w:rFonts w:ascii="Cambria" w:hAnsi="Cambria"/>
                <w:bCs/>
                <w:sz w:val="20"/>
                <w:szCs w:val="20"/>
              </w:rPr>
              <w:t>, 2024)</w:t>
            </w:r>
            <w:r w:rsidR="00B20469">
              <w:rPr>
                <w:rFonts w:ascii="Cambria" w:hAnsi="Cambria"/>
                <w:bCs/>
                <w:sz w:val="20"/>
                <w:szCs w:val="20"/>
              </w:rPr>
              <w:t xml:space="preserve"> and DEOCS 5.1 was fielded under OMB </w:t>
            </w:r>
            <w:r w:rsidR="00A9034B">
              <w:rPr>
                <w:rFonts w:ascii="Cambria" w:hAnsi="Cambria"/>
                <w:bCs/>
                <w:sz w:val="20"/>
                <w:szCs w:val="20"/>
              </w:rPr>
              <w:t>0704-</w:t>
            </w:r>
            <w:r w:rsidR="00A9034B">
              <w:rPr>
                <w:rFonts w:ascii="Cambria" w:hAnsi="Cambria"/>
                <w:bCs/>
                <w:sz w:val="20"/>
                <w:szCs w:val="20"/>
              </w:rPr>
              <w:t>0659</w:t>
            </w:r>
            <w:r w:rsidR="00B20469">
              <w:rPr>
                <w:rFonts w:ascii="Cambria" w:hAnsi="Cambria"/>
                <w:bCs/>
                <w:sz w:val="20"/>
                <w:szCs w:val="20"/>
              </w:rPr>
              <w:t xml:space="preserve"> </w:t>
            </w:r>
            <w:r>
              <w:rPr>
                <w:rFonts w:ascii="Cambria" w:hAnsi="Cambria"/>
                <w:bCs/>
                <w:sz w:val="20"/>
                <w:szCs w:val="20"/>
              </w:rPr>
              <w:t>.</w:t>
            </w:r>
            <w:r>
              <w:rPr>
                <w:rFonts w:ascii="Cambria" w:hAnsi="Cambria"/>
                <w:bCs/>
                <w:sz w:val="20"/>
                <w:szCs w:val="20"/>
              </w:rPr>
              <w:t xml:space="preserve"> Each count is the raw overall calendar year counts for surveys ending in that timeframe, whether reportable or not. The overall roster counts </w:t>
            </w:r>
            <w:r w:rsidR="009958CA">
              <w:rPr>
                <w:rFonts w:ascii="Cambria" w:hAnsi="Cambria"/>
                <w:bCs/>
                <w:sz w:val="20"/>
                <w:szCs w:val="20"/>
              </w:rPr>
              <w:t>do</w:t>
            </w:r>
            <w:r>
              <w:rPr>
                <w:rFonts w:ascii="Cambria" w:hAnsi="Cambria"/>
                <w:bCs/>
                <w:sz w:val="20"/>
                <w:szCs w:val="20"/>
              </w:rPr>
              <w:t xml:space="preserve"> not remove duplicates and therefore may be overcounting the overall individual population. The response rate is calculated </w:t>
            </w:r>
            <w:r w:rsidR="002B7BEB">
              <w:rPr>
                <w:rFonts w:ascii="Cambria" w:hAnsi="Cambria"/>
                <w:bCs/>
                <w:sz w:val="20"/>
                <w:szCs w:val="20"/>
              </w:rPr>
              <w:t>considering t</w:t>
            </w:r>
            <w:r w:rsidR="00B676F6">
              <w:rPr>
                <w:rFonts w:ascii="Cambria" w:hAnsi="Cambria"/>
                <w:bCs/>
                <w:sz w:val="20"/>
                <w:szCs w:val="20"/>
              </w:rPr>
              <w:t xml:space="preserve">he number of individuals registered for a DEOCS, the percentage of respondents </w:t>
            </w:r>
            <w:r>
              <w:rPr>
                <w:rFonts w:ascii="Cambria" w:hAnsi="Cambria"/>
                <w:bCs/>
                <w:sz w:val="20"/>
                <w:szCs w:val="20"/>
              </w:rPr>
              <w:t xml:space="preserve">who completed at least 50% of the survey. </w:t>
            </w:r>
          </w:p>
          <w:p w:rsidR="00B449F5" w:rsidRPr="00172F13" w:rsidP="00172F13" w14:paraId="3231FCCC" w14:textId="10354EAA">
            <w:pPr>
              <w:pStyle w:val="NormalWeb"/>
              <w:spacing w:before="0" w:beforeAutospacing="0" w:after="0" w:afterAutospacing="0"/>
              <w:rPr>
                <w:rFonts w:ascii="Cambria" w:hAnsi="Cambria"/>
                <w:bCs/>
                <w:sz w:val="20"/>
                <w:szCs w:val="20"/>
              </w:rPr>
            </w:pPr>
            <w:r>
              <w:rPr>
                <w:rFonts w:ascii="Cambria" w:hAnsi="Cambria"/>
                <w:bCs/>
                <w:sz w:val="20"/>
                <w:szCs w:val="20"/>
              </w:rPr>
              <w:t xml:space="preserve">*Numbers based on data collected from August through December 2023. </w:t>
            </w:r>
          </w:p>
        </w:tc>
      </w:tr>
    </w:tbl>
    <w:p w:rsidR="009944DB" w:rsidRPr="00D30145" w:rsidP="00ED08E0" w14:paraId="03052B4F" w14:textId="1E71725A">
      <w:pPr>
        <w:pStyle w:val="NormalWeb"/>
        <w:spacing w:before="0" w:beforeAutospacing="0" w:after="0" w:afterAutospacing="0"/>
        <w:rPr>
          <w:rFonts w:ascii="Cambria" w:hAnsi="Cambria"/>
          <w:b/>
        </w:rPr>
      </w:pPr>
    </w:p>
    <w:p w:rsidR="005E0A0F" w:rsidRPr="00D30145" w:rsidP="00ED08E0" w14:paraId="359FE769"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Procedures for the Collection of Information</w:t>
      </w:r>
    </w:p>
    <w:p w:rsidR="005E0A0F" w:rsidRPr="00D30145" w:rsidP="00ED08E0" w14:paraId="527D766B" w14:textId="77777777">
      <w:pPr>
        <w:pStyle w:val="NormalWeb"/>
        <w:spacing w:before="0" w:beforeAutospacing="0" w:after="0" w:afterAutospacing="0"/>
        <w:jc w:val="both"/>
        <w:rPr>
          <w:rFonts w:ascii="Cambria" w:hAnsi="Cambria"/>
        </w:rPr>
      </w:pPr>
      <w:r w:rsidRPr="00D30145">
        <w:rPr>
          <w:rFonts w:ascii="Cambria" w:hAnsi="Cambria"/>
        </w:rPr>
        <w:t>Describe any of the following if they are used in the collection of information:</w:t>
      </w:r>
    </w:p>
    <w:p w:rsidR="00ED08E0" w:rsidRPr="00ED08E0" w:rsidP="00ED08E0" w14:paraId="41AA5A37" w14:textId="7A1724B3">
      <w:pPr>
        <w:pStyle w:val="NormalWeb"/>
        <w:numPr>
          <w:ilvl w:val="1"/>
          <w:numId w:val="2"/>
        </w:numPr>
        <w:spacing w:before="0" w:beforeAutospacing="0" w:after="0" w:afterAutospacing="0"/>
        <w:ind w:left="360"/>
        <w:jc w:val="both"/>
        <w:rPr>
          <w:rFonts w:ascii="Cambria" w:hAnsi="Cambria"/>
        </w:rPr>
      </w:pPr>
      <w:r w:rsidRPr="00D30145">
        <w:rPr>
          <w:rFonts w:ascii="Cambria" w:hAnsi="Cambria"/>
        </w:rPr>
        <w:t xml:space="preserve">Statistical methodologies for stratification and sample </w:t>
      </w:r>
      <w:r w:rsidRPr="00D30145">
        <w:rPr>
          <w:rFonts w:ascii="Cambria" w:hAnsi="Cambria"/>
        </w:rPr>
        <w:t>selection;</w:t>
      </w:r>
    </w:p>
    <w:p w:rsidR="007859C3" w:rsidP="71EAB16E" w14:paraId="5F4CEA44" w14:textId="77777777">
      <w:pPr>
        <w:pStyle w:val="NormalWeb"/>
        <w:spacing w:before="0" w:beforeAutospacing="0" w:after="0" w:afterAutospacing="0" w:line="288" w:lineRule="atLeast"/>
        <w:rPr>
          <w:rFonts w:ascii="Cambria" w:hAnsi="Cambria"/>
        </w:rPr>
      </w:pPr>
      <w:r w:rsidRPr="71EAB16E">
        <w:rPr>
          <w:rFonts w:ascii="Cambria" w:hAnsi="Cambria"/>
        </w:rPr>
        <w:t xml:space="preserve">As described above, </w:t>
      </w:r>
      <w:r w:rsidRPr="71EAB16E" w:rsidR="001E1942">
        <w:rPr>
          <w:rFonts w:ascii="Cambria" w:hAnsi="Cambria"/>
        </w:rPr>
        <w:t xml:space="preserve">DEOCS does not employ </w:t>
      </w:r>
      <w:r w:rsidRPr="71EAB16E" w:rsidR="24189E37">
        <w:rPr>
          <w:rFonts w:ascii="Cambria" w:hAnsi="Cambria"/>
        </w:rPr>
        <w:t xml:space="preserve">traditional </w:t>
      </w:r>
      <w:r w:rsidRPr="71EAB16E" w:rsidR="001E1942">
        <w:rPr>
          <w:rFonts w:ascii="Cambria" w:hAnsi="Cambria"/>
        </w:rPr>
        <w:t xml:space="preserve">sampling techniques because </w:t>
      </w:r>
      <w:r w:rsidRPr="71EAB16E" w:rsidR="00B9257A">
        <w:rPr>
          <w:rFonts w:ascii="Cambria" w:hAnsi="Cambria"/>
        </w:rPr>
        <w:t xml:space="preserve">it is </w:t>
      </w:r>
      <w:r w:rsidRPr="71EAB16E" w:rsidR="00857CE5">
        <w:rPr>
          <w:rFonts w:ascii="Cambria" w:hAnsi="Cambria"/>
        </w:rPr>
        <w:t xml:space="preserve">a unit-/organizational-level survey. </w:t>
      </w:r>
      <w:r w:rsidRPr="71EAB16E" w:rsidR="00100340">
        <w:rPr>
          <w:rFonts w:ascii="Cambria" w:hAnsi="Cambria"/>
        </w:rPr>
        <w:t xml:space="preserve"> </w:t>
      </w:r>
      <w:r w:rsidRPr="71EAB16E" w:rsidR="00857CE5">
        <w:rPr>
          <w:rFonts w:ascii="Cambria" w:hAnsi="Cambria"/>
        </w:rPr>
        <w:t xml:space="preserve">Specifically, the DEOCS is a non-probability sample </w:t>
      </w:r>
      <w:r w:rsidRPr="71EAB16E" w:rsidR="00EC3F9D">
        <w:rPr>
          <w:rFonts w:ascii="Cambria" w:hAnsi="Cambria"/>
        </w:rPr>
        <w:t xml:space="preserve">that </w:t>
      </w:r>
      <w:r w:rsidRPr="71EAB16E" w:rsidR="00857CE5">
        <w:rPr>
          <w:rFonts w:ascii="Cambria" w:hAnsi="Cambria"/>
        </w:rPr>
        <w:t>units/organizations within the DoD, with a</w:t>
      </w:r>
      <w:r w:rsidRPr="71EAB16E" w:rsidR="0090443B">
        <w:rPr>
          <w:rFonts w:ascii="Cambria" w:hAnsi="Cambria"/>
        </w:rPr>
        <w:t xml:space="preserve"> minimum size requirement of </w:t>
      </w:r>
      <w:r w:rsidRPr="71EAB16E" w:rsidR="009D5259">
        <w:rPr>
          <w:rFonts w:ascii="Cambria" w:hAnsi="Cambria"/>
        </w:rPr>
        <w:t xml:space="preserve">16 </w:t>
      </w:r>
      <w:r w:rsidRPr="71EAB16E" w:rsidR="00857CE5">
        <w:rPr>
          <w:rFonts w:ascii="Cambria" w:hAnsi="Cambria"/>
        </w:rPr>
        <w:t>personnel</w:t>
      </w:r>
      <w:r w:rsidRPr="71EAB16E" w:rsidR="008C0EB4">
        <w:rPr>
          <w:rFonts w:ascii="Cambria" w:hAnsi="Cambria"/>
        </w:rPr>
        <w:t>, administer</w:t>
      </w:r>
      <w:r w:rsidRPr="71EAB16E" w:rsidR="0090443B">
        <w:rPr>
          <w:rFonts w:ascii="Cambria" w:hAnsi="Cambria"/>
        </w:rPr>
        <w:t xml:space="preserve">. </w:t>
      </w:r>
      <w:r w:rsidRPr="71EAB16E" w:rsidR="00852A70">
        <w:rPr>
          <w:rFonts w:ascii="Cambria" w:hAnsi="Cambria"/>
        </w:rPr>
        <w:t xml:space="preserve"> </w:t>
      </w:r>
      <w:r w:rsidRPr="71EAB16E" w:rsidR="00857CE5">
        <w:rPr>
          <w:rFonts w:ascii="Cambria" w:hAnsi="Cambria"/>
        </w:rPr>
        <w:t xml:space="preserve">Each unit/organization survey is intended as a census of the unit/organization. </w:t>
      </w:r>
      <w:r w:rsidRPr="71EAB16E" w:rsidR="00556C58">
        <w:rPr>
          <w:rFonts w:ascii="Cambria" w:hAnsi="Cambria"/>
        </w:rPr>
        <w:t xml:space="preserve"> </w:t>
      </w:r>
      <w:r w:rsidRPr="71EAB16E" w:rsidR="00857CE5">
        <w:rPr>
          <w:rFonts w:ascii="Cambria" w:hAnsi="Cambria"/>
        </w:rPr>
        <w:t>The unit/organization survey administrator registers a DEOCS by uploading a full roster of its unit/organization members.</w:t>
      </w:r>
      <w:r w:rsidR="00B87823">
        <w:rPr>
          <w:rFonts w:ascii="Cambria" w:hAnsi="Cambria"/>
        </w:rPr>
        <w:t xml:space="preserve">  </w:t>
      </w:r>
    </w:p>
    <w:p w:rsidR="007859C3" w:rsidP="71EAB16E" w14:paraId="3C332EC4" w14:textId="77777777">
      <w:pPr>
        <w:pStyle w:val="NormalWeb"/>
        <w:spacing w:before="0" w:beforeAutospacing="0" w:after="0" w:afterAutospacing="0" w:line="288" w:lineRule="atLeast"/>
        <w:rPr>
          <w:rFonts w:ascii="Cambria" w:hAnsi="Cambria"/>
        </w:rPr>
      </w:pPr>
    </w:p>
    <w:p w:rsidR="32730899" w:rsidP="00E464BD" w14:paraId="2191AD7E" w14:textId="57FDFF61">
      <w:pPr>
        <w:pStyle w:val="NormalWeb"/>
        <w:spacing w:before="0" w:beforeAutospacing="0" w:after="0" w:afterAutospacing="0" w:line="288" w:lineRule="atLeast"/>
        <w:rPr>
          <w:rFonts w:ascii="Cambria" w:hAnsi="Cambria"/>
        </w:rPr>
      </w:pPr>
      <w:r>
        <w:rPr>
          <w:rFonts w:ascii="Cambria" w:hAnsi="Cambria"/>
        </w:rPr>
        <w:t>DEOCS</w:t>
      </w:r>
      <w:r w:rsidR="007859C3">
        <w:rPr>
          <w:rFonts w:ascii="Cambria" w:hAnsi="Cambria"/>
        </w:rPr>
        <w:t xml:space="preserve"> respondents </w:t>
      </w:r>
      <w:r>
        <w:rPr>
          <w:rFonts w:ascii="Cambria" w:hAnsi="Cambria"/>
        </w:rPr>
        <w:t xml:space="preserve">will be randomly selected for participation in the module </w:t>
      </w:r>
      <w:r w:rsidR="002A74D7">
        <w:rPr>
          <w:rFonts w:ascii="Cambria" w:hAnsi="Cambria"/>
        </w:rPr>
        <w:t xml:space="preserve">to </w:t>
      </w:r>
      <w:r w:rsidRPr="71EAB16E" w:rsidR="006944E7">
        <w:rPr>
          <w:rFonts w:ascii="Cambria" w:hAnsi="Cambria"/>
        </w:rPr>
        <w:t>achieve 95% confidence and an associated precision of 5% or less on each reporting category domain</w:t>
      </w:r>
      <w:r w:rsidR="00B50338">
        <w:rPr>
          <w:rFonts w:ascii="Cambria" w:hAnsi="Cambria"/>
        </w:rPr>
        <w:t>, where achievable</w:t>
      </w:r>
      <w:r w:rsidRPr="71EAB16E" w:rsidR="002A74D7">
        <w:rPr>
          <w:rFonts w:ascii="Cambria" w:hAnsi="Cambria"/>
        </w:rPr>
        <w:t>.</w:t>
      </w:r>
      <w:r w:rsidR="006944E7">
        <w:rPr>
          <w:rFonts w:ascii="Cambria" w:hAnsi="Cambria"/>
        </w:rPr>
        <w:t xml:space="preserve">  </w:t>
      </w:r>
      <w:r w:rsidR="00CF1990">
        <w:rPr>
          <w:rFonts w:ascii="Cambria" w:hAnsi="Cambria"/>
        </w:rPr>
        <w:t>B</w:t>
      </w:r>
      <w:r w:rsidRPr="71EAB16E">
        <w:rPr>
          <w:rFonts w:ascii="Cambria" w:hAnsi="Cambria"/>
        </w:rPr>
        <w:t xml:space="preserve">ecause allocation of the </w:t>
      </w:r>
      <w:r w:rsidR="007859C3">
        <w:rPr>
          <w:rFonts w:ascii="Cambria" w:hAnsi="Cambria"/>
        </w:rPr>
        <w:t>sub</w:t>
      </w:r>
      <w:r w:rsidRPr="71EAB16E">
        <w:rPr>
          <w:rFonts w:ascii="Cambria" w:hAnsi="Cambria"/>
        </w:rPr>
        <w:t xml:space="preserve">sample will not be proportional to the size of the strata, selection probabilities will vary among strata, and individuals will not be selected with equal probability overall.  Non-proportional allocation will be used to achieve adequate </w:t>
      </w:r>
      <w:r w:rsidR="00CD233D">
        <w:rPr>
          <w:rFonts w:ascii="Cambria" w:hAnsi="Cambria"/>
        </w:rPr>
        <w:t>representation</w:t>
      </w:r>
      <w:r w:rsidRPr="71EAB16E">
        <w:rPr>
          <w:rFonts w:ascii="Cambria" w:hAnsi="Cambria"/>
        </w:rPr>
        <w:t xml:space="preserve"> for small subpopulations of analytic interest for the </w:t>
      </w:r>
      <w:r w:rsidR="00BB2EA1">
        <w:rPr>
          <w:rFonts w:ascii="Cambria" w:hAnsi="Cambria"/>
        </w:rPr>
        <w:t>module</w:t>
      </w:r>
      <w:r w:rsidRPr="71EAB16E">
        <w:rPr>
          <w:rFonts w:ascii="Cambria" w:hAnsi="Cambria"/>
        </w:rPr>
        <w:t xml:space="preserve"> reporting domains.  These domains will include subpopulations defined by the stratification characteristics, as well as others.</w:t>
      </w:r>
    </w:p>
    <w:p w:rsidR="71EAB16E" w:rsidP="71EAB16E" w14:paraId="677BCDD2" w14:textId="1491CDE7">
      <w:pPr>
        <w:pStyle w:val="NormalWeb"/>
        <w:spacing w:before="0" w:beforeAutospacing="0" w:after="0" w:afterAutospacing="0" w:line="288" w:lineRule="atLeast"/>
        <w:rPr>
          <w:rFonts w:ascii="Cambria" w:hAnsi="Cambria"/>
        </w:rPr>
      </w:pPr>
    </w:p>
    <w:p w:rsidR="71EAB16E" w:rsidP="71EAB16E" w14:paraId="4143A5A0" w14:textId="17460BED">
      <w:pPr>
        <w:pStyle w:val="NormalWeb"/>
        <w:spacing w:before="0" w:beforeAutospacing="0" w:after="0" w:afterAutospacing="0" w:line="288" w:lineRule="atLeast"/>
        <w:rPr>
          <w:rFonts w:ascii="Cambria" w:hAnsi="Cambria"/>
        </w:rPr>
      </w:pPr>
      <w:r w:rsidRPr="71EAB16E">
        <w:rPr>
          <w:rFonts w:ascii="Cambria" w:hAnsi="Cambria"/>
        </w:rPr>
        <w:t>The OPA Sample Planning Tool, Version 2.1 (Dever and Mason, 2003) will be used to accomplish the allocation.  This application will be based on the method originally developed by J. R. Chromy (1987), and is described in Mason, Wheeless, George, Dever, Riemer, and Elig (1995).  The Sampling Tool defines domain variance equations in terms of unknown stratum sample sizes and user-specified precision constraints.  A cost function is defined in terms of the unknown stratum sample sizes and per-unit costs of data collection, editing, and processing.  The variance equations are solved simultaneously, subject to the constraints imposed, for the sample size that minimizes the cost function.  Eligibility rates modify estimated prevalence rates that are components of the variance equations, thus affecting the allocation; response rates inflate the allocation, thus affecting the final sample size.</w:t>
      </w:r>
    </w:p>
    <w:p w:rsidR="00ED08E0" w:rsidRPr="00D30145" w:rsidP="00ED08E0" w14:paraId="253E9A30" w14:textId="77777777">
      <w:pPr>
        <w:pStyle w:val="NormalWeb"/>
        <w:spacing w:before="0" w:beforeAutospacing="0" w:after="0" w:afterAutospacing="0" w:line="288" w:lineRule="atLeast"/>
        <w:rPr>
          <w:rFonts w:ascii="Cambria" w:hAnsi="Cambria"/>
        </w:rPr>
      </w:pPr>
    </w:p>
    <w:p w:rsidR="005E0A0F" w:rsidRPr="00D30145" w:rsidP="00ED08E0" w14:paraId="4E1173EE" w14:textId="754437FE">
      <w:pPr>
        <w:pStyle w:val="NormalWeb"/>
        <w:numPr>
          <w:ilvl w:val="1"/>
          <w:numId w:val="2"/>
        </w:numPr>
        <w:spacing w:before="0" w:beforeAutospacing="0" w:after="0" w:afterAutospacing="0"/>
        <w:ind w:left="360"/>
        <w:jc w:val="both"/>
        <w:rPr>
          <w:rFonts w:ascii="Cambria" w:hAnsi="Cambria"/>
        </w:rPr>
      </w:pPr>
      <w:r w:rsidRPr="00D30145">
        <w:rPr>
          <w:rFonts w:ascii="Cambria" w:hAnsi="Cambria"/>
        </w:rPr>
        <w:t>Estimation procedures</w:t>
      </w:r>
    </w:p>
    <w:p w:rsidR="00A919A6" w:rsidP="71EAB16E" w14:paraId="0E996168" w14:textId="0E84B9F5">
      <w:pPr>
        <w:pStyle w:val="NormalWeb"/>
        <w:spacing w:before="0" w:beforeAutospacing="0" w:after="0" w:afterAutospacing="0" w:line="288" w:lineRule="atLeast"/>
        <w:rPr>
          <w:rFonts w:ascii="Cambria" w:hAnsi="Cambria"/>
        </w:rPr>
      </w:pPr>
      <w:r w:rsidRPr="71EAB16E">
        <w:rPr>
          <w:rFonts w:ascii="Cambria" w:hAnsi="Cambria"/>
        </w:rPr>
        <w:t xml:space="preserve">As a tool designed to provide information to commanders and leaders about the climate of their unit or organization, </w:t>
      </w:r>
      <w:r w:rsidR="00602CC0">
        <w:rPr>
          <w:rFonts w:ascii="Cambria" w:hAnsi="Cambria"/>
        </w:rPr>
        <w:t>the DEOCS</w:t>
      </w:r>
      <w:r w:rsidR="00D52214">
        <w:rPr>
          <w:rFonts w:ascii="Cambria" w:hAnsi="Cambria"/>
        </w:rPr>
        <w:t xml:space="preserve"> </w:t>
      </w:r>
      <w:r w:rsidRPr="71EAB16E">
        <w:rPr>
          <w:rFonts w:ascii="Cambria" w:hAnsi="Cambria"/>
        </w:rPr>
        <w:t xml:space="preserve">results will be provided to commanders and leaders at the unit/organization level. </w:t>
      </w:r>
      <w:r w:rsidRPr="71EAB16E" w:rsidR="00327D47">
        <w:rPr>
          <w:rFonts w:ascii="Cambria" w:hAnsi="Cambria"/>
        </w:rPr>
        <w:t xml:space="preserve"> </w:t>
      </w:r>
      <w:r w:rsidR="00F8742E">
        <w:rPr>
          <w:rFonts w:ascii="Cambria" w:hAnsi="Cambria"/>
        </w:rPr>
        <w:t xml:space="preserve">Estimates will be adjusted based on non-response at the unit/organization level.  </w:t>
      </w:r>
      <w:r w:rsidRPr="71EAB16E">
        <w:rPr>
          <w:rFonts w:ascii="Cambria" w:hAnsi="Cambria"/>
        </w:rPr>
        <w:t xml:space="preserve">Aggregate </w:t>
      </w:r>
      <w:r w:rsidR="006F5890">
        <w:rPr>
          <w:rFonts w:ascii="Cambria" w:hAnsi="Cambria"/>
        </w:rPr>
        <w:t xml:space="preserve">DEOCS </w:t>
      </w:r>
      <w:r w:rsidRPr="71EAB16E">
        <w:rPr>
          <w:rFonts w:ascii="Cambria" w:hAnsi="Cambria"/>
        </w:rPr>
        <w:t xml:space="preserve">factor ratings (e.g., </w:t>
      </w:r>
      <w:r w:rsidRPr="71EAB16E">
        <w:rPr>
          <w:rFonts w:ascii="Cambria" w:hAnsi="Cambria"/>
        </w:rPr>
        <w:t>favorable</w:t>
      </w:r>
      <w:r w:rsidRPr="71EAB16E">
        <w:rPr>
          <w:rFonts w:ascii="Cambria" w:hAnsi="Cambria"/>
        </w:rPr>
        <w:t xml:space="preserve"> and unfavorable factor ratings) and item tabulations will be provided for </w:t>
      </w:r>
      <w:r w:rsidRPr="71EAB16E" w:rsidR="00C85994">
        <w:rPr>
          <w:rFonts w:ascii="Cambria" w:hAnsi="Cambria"/>
        </w:rPr>
        <w:t>commands</w:t>
      </w:r>
      <w:r w:rsidRPr="71EAB16E">
        <w:rPr>
          <w:rFonts w:ascii="Cambria" w:hAnsi="Cambria"/>
        </w:rPr>
        <w:t xml:space="preserve"> with at least 16 complete responses. </w:t>
      </w:r>
      <w:r w:rsidRPr="71EAB16E" w:rsidR="003B4664">
        <w:rPr>
          <w:rFonts w:ascii="Cambria" w:hAnsi="Cambria"/>
        </w:rPr>
        <w:t xml:space="preserve"> </w:t>
      </w:r>
      <w:r w:rsidRPr="71EAB16E">
        <w:rPr>
          <w:rFonts w:ascii="Cambria" w:hAnsi="Cambria"/>
        </w:rPr>
        <w:t xml:space="preserve">Additionally, demographic and administrator defined subgroups will be reported if there are at least </w:t>
      </w:r>
      <w:r w:rsidRPr="71EAB16E" w:rsidR="00D811C3">
        <w:rPr>
          <w:rFonts w:ascii="Cambria" w:hAnsi="Cambria"/>
        </w:rPr>
        <w:t xml:space="preserve">five </w:t>
      </w:r>
      <w:r w:rsidRPr="71EAB16E">
        <w:rPr>
          <w:rFonts w:ascii="Cambria" w:hAnsi="Cambria"/>
        </w:rPr>
        <w:t>complete responses for each combination.</w:t>
      </w:r>
      <w:r w:rsidRPr="71EAB16E" w:rsidR="311DA8B7">
        <w:rPr>
          <w:rFonts w:ascii="Cambria" w:hAnsi="Cambria"/>
        </w:rPr>
        <w:t xml:space="preserve"> </w:t>
      </w:r>
      <w:r w:rsidR="00B531D2">
        <w:rPr>
          <w:rFonts w:ascii="Cambria" w:hAnsi="Cambria"/>
        </w:rPr>
        <w:t xml:space="preserve"> The module results will not be provided to the unit/organization level leadership and will instead be combined across all unit level DEOCS to generate </w:t>
      </w:r>
      <w:r w:rsidR="008D34B2">
        <w:rPr>
          <w:rFonts w:ascii="Cambria" w:hAnsi="Cambria"/>
        </w:rPr>
        <w:t>a</w:t>
      </w:r>
      <w:r w:rsidR="006B65A5">
        <w:rPr>
          <w:rFonts w:ascii="Cambria" w:hAnsi="Cambria"/>
        </w:rPr>
        <w:t xml:space="preserve">ggregate and item tabulations </w:t>
      </w:r>
      <w:r w:rsidR="009F4B93">
        <w:rPr>
          <w:rFonts w:ascii="Cambria" w:hAnsi="Cambria"/>
        </w:rPr>
        <w:t xml:space="preserve">of results </w:t>
      </w:r>
      <w:r w:rsidR="00A114CE">
        <w:rPr>
          <w:rFonts w:ascii="Cambria" w:hAnsi="Cambria"/>
        </w:rPr>
        <w:t>at the</w:t>
      </w:r>
      <w:r w:rsidR="006B65A5">
        <w:rPr>
          <w:rFonts w:ascii="Cambria" w:hAnsi="Cambria"/>
        </w:rPr>
        <w:t xml:space="preserve"> </w:t>
      </w:r>
      <w:r w:rsidR="00B531D2">
        <w:rPr>
          <w:rFonts w:ascii="Cambria" w:hAnsi="Cambria"/>
        </w:rPr>
        <w:t xml:space="preserve">DoD and Service level for senior DoD and Service level leadership.  </w:t>
      </w:r>
      <w:r w:rsidR="009F4B93">
        <w:rPr>
          <w:rFonts w:ascii="Cambria" w:hAnsi="Cambria"/>
        </w:rPr>
        <w:t>Estimates from the module will be weighted to reflect the DoD and Service populations.</w:t>
      </w:r>
    </w:p>
    <w:p w:rsidR="00ED08E0" w:rsidRPr="00D30145" w:rsidP="00ED08E0" w14:paraId="1DD282A9" w14:textId="77777777">
      <w:pPr>
        <w:pStyle w:val="NormalWeb"/>
        <w:spacing w:before="0" w:beforeAutospacing="0" w:after="0" w:afterAutospacing="0" w:line="288" w:lineRule="atLeast"/>
        <w:rPr>
          <w:rFonts w:ascii="Cambria" w:hAnsi="Cambria"/>
        </w:rPr>
      </w:pPr>
    </w:p>
    <w:p w:rsidR="005E0A0F" w:rsidRPr="00D30145" w:rsidP="00ED08E0" w14:paraId="2D3A947F" w14:textId="0A94C94B">
      <w:pPr>
        <w:pStyle w:val="NormalWeb"/>
        <w:numPr>
          <w:ilvl w:val="1"/>
          <w:numId w:val="2"/>
        </w:numPr>
        <w:spacing w:before="0" w:beforeAutospacing="0" w:after="0" w:afterAutospacing="0"/>
        <w:ind w:left="360"/>
        <w:jc w:val="both"/>
        <w:rPr>
          <w:rFonts w:ascii="Cambria" w:hAnsi="Cambria"/>
        </w:rPr>
      </w:pPr>
      <w:r w:rsidRPr="00D30145">
        <w:rPr>
          <w:rFonts w:ascii="Cambria" w:hAnsi="Cambria"/>
        </w:rPr>
        <w:t xml:space="preserve">Degree of accuracy needed for the Purpose discussed in the </w:t>
      </w:r>
      <w:r w:rsidRPr="00D30145">
        <w:rPr>
          <w:rFonts w:ascii="Cambria" w:hAnsi="Cambria"/>
        </w:rPr>
        <w:t>justification</w:t>
      </w:r>
    </w:p>
    <w:p w:rsidR="00A919A6" w:rsidP="00ED08E0" w14:paraId="3B5F8B14" w14:textId="77777777">
      <w:pPr>
        <w:pStyle w:val="NormalWeb"/>
        <w:spacing w:before="0" w:beforeAutospacing="0" w:after="0" w:afterAutospacing="0" w:line="288" w:lineRule="atLeast"/>
        <w:rPr>
          <w:rFonts w:ascii="Cambria" w:hAnsi="Cambria"/>
        </w:rPr>
      </w:pPr>
      <w:r w:rsidRPr="00D30145">
        <w:rPr>
          <w:rFonts w:ascii="Cambria" w:hAnsi="Cambria"/>
        </w:rPr>
        <w:t>N/A</w:t>
      </w:r>
    </w:p>
    <w:p w:rsidR="00ED08E0" w:rsidRPr="00D30145" w:rsidP="00ED08E0" w14:paraId="0379906C" w14:textId="77777777">
      <w:pPr>
        <w:pStyle w:val="NormalWeb"/>
        <w:spacing w:before="0" w:beforeAutospacing="0" w:after="0" w:afterAutospacing="0" w:line="288" w:lineRule="atLeast"/>
        <w:rPr>
          <w:rFonts w:ascii="Cambria" w:hAnsi="Cambria"/>
        </w:rPr>
      </w:pPr>
    </w:p>
    <w:p w:rsidR="005E0A0F" w:rsidRPr="00D30145" w:rsidP="00ED08E0" w14:paraId="5B6747EB" w14:textId="08FAF833">
      <w:pPr>
        <w:pStyle w:val="NormalWeb"/>
        <w:numPr>
          <w:ilvl w:val="1"/>
          <w:numId w:val="2"/>
        </w:numPr>
        <w:spacing w:before="0" w:beforeAutospacing="0" w:after="0" w:afterAutospacing="0"/>
        <w:ind w:left="360"/>
        <w:jc w:val="both"/>
        <w:rPr>
          <w:rFonts w:ascii="Cambria" w:hAnsi="Cambria"/>
        </w:rPr>
      </w:pPr>
      <w:r w:rsidRPr="00D30145">
        <w:rPr>
          <w:rFonts w:ascii="Cambria" w:hAnsi="Cambria"/>
        </w:rPr>
        <w:t xml:space="preserve">Unusual problems requiring specialized sampling </w:t>
      </w:r>
      <w:r w:rsidRPr="00D30145">
        <w:rPr>
          <w:rFonts w:ascii="Cambria" w:hAnsi="Cambria"/>
        </w:rPr>
        <w:t>procedures</w:t>
      </w:r>
    </w:p>
    <w:p w:rsidR="00A919A6" w:rsidP="00ED08E0" w14:paraId="243EF16B" w14:textId="77777777">
      <w:pPr>
        <w:pStyle w:val="NormalWeb"/>
        <w:spacing w:before="0" w:beforeAutospacing="0" w:after="0" w:afterAutospacing="0"/>
        <w:jc w:val="both"/>
        <w:rPr>
          <w:rFonts w:ascii="Cambria" w:hAnsi="Cambria"/>
        </w:rPr>
      </w:pPr>
      <w:r w:rsidRPr="00D30145">
        <w:rPr>
          <w:rFonts w:ascii="Cambria" w:hAnsi="Cambria"/>
        </w:rPr>
        <w:t>None.</w:t>
      </w:r>
    </w:p>
    <w:p w:rsidR="00ED08E0" w:rsidRPr="00D30145" w:rsidP="00ED08E0" w14:paraId="294A5267" w14:textId="77777777">
      <w:pPr>
        <w:pStyle w:val="NormalWeb"/>
        <w:spacing w:before="0" w:beforeAutospacing="0" w:after="0" w:afterAutospacing="0"/>
        <w:jc w:val="both"/>
        <w:rPr>
          <w:rFonts w:ascii="Cambria" w:hAnsi="Cambria"/>
        </w:rPr>
      </w:pPr>
    </w:p>
    <w:p w:rsidR="005E0A0F" w:rsidRPr="00D30145" w:rsidP="00ED08E0" w14:paraId="1DC050B1" w14:textId="1F10679D">
      <w:pPr>
        <w:pStyle w:val="NormalWeb"/>
        <w:numPr>
          <w:ilvl w:val="1"/>
          <w:numId w:val="2"/>
        </w:numPr>
        <w:spacing w:before="0" w:beforeAutospacing="0" w:after="0" w:afterAutospacing="0"/>
        <w:ind w:left="360"/>
        <w:jc w:val="both"/>
        <w:rPr>
          <w:rFonts w:ascii="Cambria" w:hAnsi="Cambria"/>
        </w:rPr>
      </w:pPr>
      <w:r w:rsidRPr="00D30145">
        <w:rPr>
          <w:rFonts w:ascii="Cambria" w:hAnsi="Cambria"/>
        </w:rPr>
        <w:t xml:space="preserve">Use of periodic or cyclical data collections to reduce respondent </w:t>
      </w:r>
      <w:r w:rsidRPr="00D30145">
        <w:rPr>
          <w:rFonts w:ascii="Cambria" w:hAnsi="Cambria"/>
        </w:rPr>
        <w:t>burden</w:t>
      </w:r>
    </w:p>
    <w:p w:rsidR="00445F9F" w:rsidP="00ED08E0" w14:paraId="1FAAE31F" w14:textId="3ED7BDFB">
      <w:pPr>
        <w:pStyle w:val="NormalWeb"/>
        <w:spacing w:before="0" w:beforeAutospacing="0" w:after="0" w:afterAutospacing="0"/>
        <w:jc w:val="both"/>
        <w:rPr>
          <w:rFonts w:ascii="Cambria" w:hAnsi="Cambria"/>
        </w:rPr>
      </w:pPr>
      <w:r w:rsidRPr="00D30145">
        <w:rPr>
          <w:rFonts w:ascii="Cambria" w:hAnsi="Cambria"/>
        </w:rPr>
        <w:t xml:space="preserve">The purpose of the annual DEOCS data collection is to reduce the frequency of unit level surveys by providing a core group of survey items to be tracked over time along with a set of items selected by unit commanders to address their local data needs. </w:t>
      </w:r>
      <w:r w:rsidR="00E96C4F">
        <w:rPr>
          <w:rFonts w:ascii="Cambria" w:hAnsi="Cambria"/>
        </w:rPr>
        <w:t xml:space="preserve"> </w:t>
      </w:r>
      <w:r w:rsidRPr="00D30145">
        <w:rPr>
          <w:rFonts w:ascii="Cambria" w:hAnsi="Cambria"/>
        </w:rPr>
        <w:t>This unique survey design reduces respondent burden by consolidating surveys.</w:t>
      </w:r>
      <w:r w:rsidRPr="00D30145" w:rsidR="002B03D3">
        <w:rPr>
          <w:rFonts w:ascii="Cambria" w:hAnsi="Cambria"/>
        </w:rPr>
        <w:t xml:space="preserve"> </w:t>
      </w:r>
      <w:r w:rsidRPr="00D30145">
        <w:rPr>
          <w:rFonts w:ascii="Cambria" w:hAnsi="Cambria"/>
        </w:rPr>
        <w:t xml:space="preserve"> </w:t>
      </w:r>
      <w:r w:rsidRPr="00D30145" w:rsidR="005E2BEF">
        <w:rPr>
          <w:rFonts w:ascii="Cambria" w:hAnsi="Cambria"/>
        </w:rPr>
        <w:t xml:space="preserve">In addition, there was previously no standardized method for defining at which level in the hierarchy units/organizations were required to take the DEOCS, how to define a unit/organization, or how to define unit/organization membership. </w:t>
      </w:r>
      <w:r w:rsidRPr="00D30145" w:rsidR="00AC3A90">
        <w:rPr>
          <w:rFonts w:ascii="Cambria" w:hAnsi="Cambria"/>
        </w:rPr>
        <w:t xml:space="preserve"> </w:t>
      </w:r>
      <w:r w:rsidRPr="00D30145" w:rsidR="005E2BEF">
        <w:rPr>
          <w:rFonts w:ascii="Cambria" w:hAnsi="Cambria"/>
        </w:rPr>
        <w:t xml:space="preserve">With new guidance (DoDI 6400.11), however, commanders of military units and civilian organization leaders are now required to administer the DEOCS at the echelon or level of command specified by their respective OSD and DoD Component head. </w:t>
      </w:r>
      <w:r w:rsidRPr="00D30145" w:rsidR="00AC3A90">
        <w:rPr>
          <w:rFonts w:ascii="Cambria" w:hAnsi="Cambria"/>
        </w:rPr>
        <w:t xml:space="preserve"> </w:t>
      </w:r>
      <w:r w:rsidRPr="00D30145" w:rsidR="005E2BEF">
        <w:rPr>
          <w:rFonts w:ascii="Cambria" w:hAnsi="Cambria"/>
        </w:rPr>
        <w:t xml:space="preserve">The policy is meant to reduce the potential overlap between DEOCS </w:t>
      </w:r>
      <w:r w:rsidRPr="00D30145" w:rsidR="00FF3D2E">
        <w:rPr>
          <w:rFonts w:ascii="Cambria" w:hAnsi="Cambria"/>
        </w:rPr>
        <w:t>units/organizations</w:t>
      </w:r>
      <w:r w:rsidRPr="00D30145" w:rsidR="005E2BEF">
        <w:rPr>
          <w:rFonts w:ascii="Cambria" w:hAnsi="Cambria"/>
        </w:rPr>
        <w:t>, however, as a unit</w:t>
      </w:r>
      <w:r w:rsidRPr="00D30145" w:rsidR="00FF3D2E">
        <w:rPr>
          <w:rFonts w:ascii="Cambria" w:hAnsi="Cambria"/>
        </w:rPr>
        <w:t>-</w:t>
      </w:r>
      <w:r w:rsidRPr="00D30145" w:rsidR="005E2BEF">
        <w:rPr>
          <w:rFonts w:ascii="Cambria" w:hAnsi="Cambria"/>
        </w:rPr>
        <w:t>/organization</w:t>
      </w:r>
      <w:r w:rsidRPr="00D30145" w:rsidR="00FF3D2E">
        <w:rPr>
          <w:rFonts w:ascii="Cambria" w:hAnsi="Cambria"/>
        </w:rPr>
        <w:t>-level</w:t>
      </w:r>
      <w:r w:rsidRPr="00D30145" w:rsidR="005E2BEF">
        <w:rPr>
          <w:rFonts w:ascii="Cambria" w:hAnsi="Cambria"/>
        </w:rPr>
        <w:t xml:space="preserve"> administered survey, possible overlap of personnel may occur.</w:t>
      </w:r>
      <w:r w:rsidR="00FB0754">
        <w:rPr>
          <w:rFonts w:ascii="Cambria" w:hAnsi="Cambria"/>
        </w:rPr>
        <w:t xml:space="preserve">  </w:t>
      </w:r>
      <w:r>
        <w:rPr>
          <w:rFonts w:ascii="Cambria" w:hAnsi="Cambria"/>
        </w:rPr>
        <w:t xml:space="preserve">The use of the module content is </w:t>
      </w:r>
      <w:r w:rsidR="00CB37B0">
        <w:rPr>
          <w:rFonts w:ascii="Cambria" w:hAnsi="Cambria"/>
        </w:rPr>
        <w:t xml:space="preserve">also </w:t>
      </w:r>
      <w:r>
        <w:rPr>
          <w:rFonts w:ascii="Cambria" w:hAnsi="Cambria"/>
        </w:rPr>
        <w:t xml:space="preserve">intended to reduce overall respondent burden by replacing a traditionally independent </w:t>
      </w:r>
      <w:r w:rsidR="00FD42B7">
        <w:rPr>
          <w:rFonts w:ascii="Cambria" w:hAnsi="Cambria"/>
        </w:rPr>
        <w:t xml:space="preserve">WEO </w:t>
      </w:r>
      <w:r>
        <w:rPr>
          <w:rFonts w:ascii="Cambria" w:hAnsi="Cambria"/>
        </w:rPr>
        <w:t>survey</w:t>
      </w:r>
      <w:r w:rsidR="00FD42B7">
        <w:rPr>
          <w:rFonts w:ascii="Cambria" w:hAnsi="Cambria"/>
        </w:rPr>
        <w:t xml:space="preserve">.  </w:t>
      </w:r>
      <w:r>
        <w:rPr>
          <w:rFonts w:ascii="Cambria" w:hAnsi="Cambria"/>
        </w:rPr>
        <w:t xml:space="preserve"> </w:t>
      </w:r>
      <w:r w:rsidR="00FD42B7">
        <w:rPr>
          <w:rFonts w:ascii="Cambria" w:hAnsi="Cambria"/>
        </w:rPr>
        <w:t>Compared to when the 2022 WEO was fielded as an independent survey, t</w:t>
      </w:r>
      <w:r w:rsidR="001A486B">
        <w:rPr>
          <w:rFonts w:ascii="Cambria" w:hAnsi="Cambria"/>
        </w:rPr>
        <w:t xml:space="preserve">he module content has been reduced by 90% to only measure the topics of most importance to the DoD.  The higher response rate on DEOCS will also reduce the sample size required to </w:t>
      </w:r>
      <w:r w:rsidRPr="71EAB16E" w:rsidR="001A486B">
        <w:rPr>
          <w:rFonts w:ascii="Cambria" w:hAnsi="Cambria"/>
        </w:rPr>
        <w:t>satisf</w:t>
      </w:r>
      <w:r w:rsidR="00680DAC">
        <w:rPr>
          <w:rFonts w:ascii="Cambria" w:hAnsi="Cambria"/>
        </w:rPr>
        <w:t>y</w:t>
      </w:r>
      <w:r w:rsidRPr="71EAB16E" w:rsidR="001A486B">
        <w:rPr>
          <w:rFonts w:ascii="Cambria" w:hAnsi="Cambria"/>
        </w:rPr>
        <w:t xml:space="preserve"> the precision requirements</w:t>
      </w:r>
      <w:r w:rsidR="001A486B">
        <w:rPr>
          <w:rFonts w:ascii="Cambria" w:hAnsi="Cambria"/>
        </w:rPr>
        <w:t xml:space="preserve"> </w:t>
      </w:r>
      <w:r w:rsidRPr="71EAB16E" w:rsidR="001A486B">
        <w:rPr>
          <w:rFonts w:ascii="Cambria" w:hAnsi="Cambria"/>
        </w:rPr>
        <w:t>for key reporting domains</w:t>
      </w:r>
      <w:r w:rsidR="001A486B">
        <w:rPr>
          <w:rFonts w:ascii="Cambria" w:hAnsi="Cambria"/>
        </w:rPr>
        <w:t xml:space="preserve"> for the module.</w:t>
      </w:r>
    </w:p>
    <w:p w:rsidR="00ED08E0" w:rsidRPr="00D30145" w:rsidP="00ED08E0" w14:paraId="1A85B149" w14:textId="77777777">
      <w:pPr>
        <w:pStyle w:val="NormalWeb"/>
        <w:spacing w:before="0" w:beforeAutospacing="0" w:after="0" w:afterAutospacing="0"/>
        <w:jc w:val="both"/>
        <w:rPr>
          <w:rFonts w:ascii="Cambria" w:hAnsi="Cambria"/>
        </w:rPr>
      </w:pPr>
    </w:p>
    <w:p w:rsidR="005E0A0F" w:rsidRPr="00D30145" w:rsidP="00ED08E0" w14:paraId="55506209"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Maximization of Response Rates, Non-response, and Reliability</w:t>
      </w:r>
    </w:p>
    <w:p w:rsidR="005E0A0F" w:rsidP="00ED08E0" w14:paraId="07CDE64A" w14:textId="77777777">
      <w:pPr>
        <w:pStyle w:val="NormalWeb"/>
        <w:spacing w:before="0" w:beforeAutospacing="0" w:after="0" w:afterAutospacing="0"/>
        <w:jc w:val="both"/>
        <w:rPr>
          <w:rFonts w:ascii="Cambria" w:hAnsi="Cambria"/>
        </w:rPr>
      </w:pPr>
      <w:r w:rsidRPr="00D30145">
        <w:rPr>
          <w:rFonts w:ascii="Cambria" w:hAnsi="Cambria"/>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ED08E0" w:rsidRPr="00D30145" w:rsidP="00ED08E0" w14:paraId="0EB3A95E" w14:textId="77777777">
      <w:pPr>
        <w:pStyle w:val="NormalWeb"/>
        <w:spacing w:before="0" w:beforeAutospacing="0" w:after="0" w:afterAutospacing="0"/>
        <w:jc w:val="both"/>
        <w:rPr>
          <w:rFonts w:ascii="Cambria" w:hAnsi="Cambria"/>
        </w:rPr>
      </w:pPr>
    </w:p>
    <w:p w:rsidR="00A919A6" w:rsidP="00ED08E0" w14:paraId="01085165" w14:textId="434AB62F">
      <w:pPr>
        <w:pStyle w:val="NormalWeb"/>
        <w:spacing w:before="0" w:beforeAutospacing="0" w:after="0" w:afterAutospacing="0"/>
        <w:rPr>
          <w:rFonts w:ascii="Cambria" w:hAnsi="Cambria"/>
        </w:rPr>
      </w:pPr>
      <w:r w:rsidRPr="00D30145">
        <w:rPr>
          <w:rFonts w:ascii="Cambria" w:hAnsi="Cambria"/>
        </w:rPr>
        <w:t xml:space="preserve">To reduce respondent burden, web-based surveys use “smart skip” technology to ensure respondents only answer questions that are applicable to them.  </w:t>
      </w:r>
      <w:r w:rsidRPr="00D30145" w:rsidR="00AA78F8">
        <w:rPr>
          <w:rFonts w:ascii="Cambria" w:hAnsi="Cambria"/>
        </w:rPr>
        <w:t xml:space="preserve">To maximize response rates, </w:t>
      </w:r>
      <w:r w:rsidRPr="00D30145" w:rsidR="00131F1E">
        <w:rPr>
          <w:rFonts w:ascii="Cambria" w:hAnsi="Cambria"/>
        </w:rPr>
        <w:t>Office of People Analytics (</w:t>
      </w:r>
      <w:r w:rsidRPr="00D30145" w:rsidR="00AA78F8">
        <w:rPr>
          <w:rFonts w:ascii="Cambria" w:hAnsi="Cambria"/>
        </w:rPr>
        <w:t>OPA</w:t>
      </w:r>
      <w:r w:rsidRPr="00D30145" w:rsidR="00131F1E">
        <w:rPr>
          <w:rFonts w:ascii="Cambria" w:hAnsi="Cambria"/>
        </w:rPr>
        <w:t>)</w:t>
      </w:r>
      <w:r w:rsidRPr="00D30145" w:rsidR="00AA78F8">
        <w:rPr>
          <w:rFonts w:ascii="Cambria" w:hAnsi="Cambria"/>
        </w:rPr>
        <w:t xml:space="preserve"> offers the survey via the web and uses reminder emails to </w:t>
      </w:r>
      <w:r w:rsidRPr="00D30145">
        <w:rPr>
          <w:rFonts w:ascii="Cambria" w:hAnsi="Cambria"/>
        </w:rPr>
        <w:t>encourage participation throughout the survey’s fielding window</w:t>
      </w:r>
      <w:r w:rsidRPr="00D30145" w:rsidR="00AA78F8">
        <w:rPr>
          <w:rFonts w:ascii="Cambria" w:hAnsi="Cambria"/>
        </w:rPr>
        <w:t xml:space="preserve">.  </w:t>
      </w:r>
      <w:r w:rsidRPr="00D30145" w:rsidR="00AC13DE">
        <w:rPr>
          <w:rFonts w:ascii="Cambria" w:hAnsi="Cambria"/>
        </w:rPr>
        <w:t>E</w:t>
      </w:r>
      <w:r w:rsidRPr="00D30145">
        <w:rPr>
          <w:rFonts w:ascii="Cambria" w:hAnsi="Cambria"/>
        </w:rPr>
        <w:t>-mail</w:t>
      </w:r>
      <w:r w:rsidRPr="00D30145" w:rsidR="00AC13DE">
        <w:rPr>
          <w:rFonts w:ascii="Cambria" w:hAnsi="Cambria"/>
        </w:rPr>
        <w:t xml:space="preserve"> reminders</w:t>
      </w:r>
      <w:r w:rsidRPr="00D30145">
        <w:rPr>
          <w:rFonts w:ascii="Cambria" w:hAnsi="Cambria"/>
        </w:rPr>
        <w:t xml:space="preserve"> will be sent to </w:t>
      </w:r>
      <w:r w:rsidRPr="00D30145" w:rsidR="007314BB">
        <w:rPr>
          <w:rFonts w:ascii="Cambria" w:hAnsi="Cambria"/>
        </w:rPr>
        <w:t xml:space="preserve">unit </w:t>
      </w:r>
      <w:r w:rsidRPr="00D30145">
        <w:rPr>
          <w:rFonts w:ascii="Cambria" w:hAnsi="Cambria"/>
        </w:rPr>
        <w:t>members until they respond or indicate that they no longer wish to be contacted.  T</w:t>
      </w:r>
      <w:r w:rsidRPr="00D30145" w:rsidR="00691286">
        <w:rPr>
          <w:rFonts w:ascii="Cambria" w:hAnsi="Cambria"/>
        </w:rPr>
        <w:t xml:space="preserve">he outreach communications </w:t>
      </w:r>
      <w:r w:rsidRPr="00D30145">
        <w:rPr>
          <w:rFonts w:ascii="Cambria" w:hAnsi="Cambria"/>
        </w:rPr>
        <w:t>include text highlightin</w:t>
      </w:r>
      <w:r w:rsidRPr="00D30145" w:rsidR="007314BB">
        <w:rPr>
          <w:rFonts w:ascii="Cambria" w:hAnsi="Cambria"/>
        </w:rPr>
        <w:t>g the importance of the surveys</w:t>
      </w:r>
      <w:r w:rsidRPr="00D30145">
        <w:rPr>
          <w:rFonts w:ascii="Cambria" w:hAnsi="Cambria"/>
        </w:rPr>
        <w:t xml:space="preserve">.  </w:t>
      </w:r>
      <w:r w:rsidRPr="00D30145" w:rsidR="007314BB">
        <w:rPr>
          <w:rFonts w:ascii="Cambria" w:hAnsi="Cambria"/>
        </w:rPr>
        <w:t>As DEOCS are administered at the unit level, commanders conducting a DEOCS are also able to monitor response rates and promote the DEOCS in meetings, e</w:t>
      </w:r>
      <w:r w:rsidRPr="00D30145" w:rsidR="009E3C37">
        <w:rPr>
          <w:rFonts w:ascii="Cambria" w:hAnsi="Cambria"/>
        </w:rPr>
        <w:t>-</w:t>
      </w:r>
      <w:r w:rsidRPr="00D30145" w:rsidR="007314BB">
        <w:rPr>
          <w:rFonts w:ascii="Cambria" w:hAnsi="Cambria"/>
        </w:rPr>
        <w:t xml:space="preserve">mails, and unit common areas.  </w:t>
      </w:r>
    </w:p>
    <w:p w:rsidR="00ED08E0" w:rsidRPr="00D30145" w:rsidP="00ED08E0" w14:paraId="3381E230" w14:textId="77777777">
      <w:pPr>
        <w:pStyle w:val="NormalWeb"/>
        <w:spacing w:before="0" w:beforeAutospacing="0" w:after="0" w:afterAutospacing="0"/>
        <w:rPr>
          <w:rFonts w:ascii="Cambria" w:hAnsi="Cambria"/>
        </w:rPr>
      </w:pPr>
    </w:p>
    <w:p w:rsidR="005E0A0F" w:rsidRPr="00D30145" w:rsidP="00ED08E0" w14:paraId="37273F1F"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Tests of Procedures</w:t>
      </w:r>
    </w:p>
    <w:p w:rsidR="00F73A8E" w:rsidP="00ED08E0" w14:paraId="5179BE01" w14:textId="6AA87979">
      <w:pPr>
        <w:pStyle w:val="NormalWeb"/>
        <w:spacing w:before="0" w:beforeAutospacing="0" w:after="0" w:afterAutospacing="0" w:line="288" w:lineRule="atLeast"/>
        <w:rPr>
          <w:rFonts w:ascii="Cambria" w:hAnsi="Cambria"/>
        </w:rPr>
      </w:pPr>
      <w:r w:rsidRPr="00D30145">
        <w:rPr>
          <w:rFonts w:ascii="Cambria" w:hAnsi="Cambria"/>
        </w:rPr>
        <w:t>In accordance with the DoD Survey Burden Action Plan, we went to great length</w:t>
      </w:r>
      <w:r w:rsidRPr="00D30145" w:rsidR="001B4563">
        <w:rPr>
          <w:rFonts w:ascii="Cambria" w:hAnsi="Cambria"/>
        </w:rPr>
        <w:t>s</w:t>
      </w:r>
      <w:r w:rsidRPr="00D30145">
        <w:rPr>
          <w:rFonts w:ascii="Cambria" w:hAnsi="Cambria"/>
        </w:rPr>
        <w:t xml:space="preserve"> to develop a survey instrument that collected </w:t>
      </w:r>
      <w:r w:rsidRPr="00D30145" w:rsidR="00691286">
        <w:rPr>
          <w:rFonts w:ascii="Cambria" w:hAnsi="Cambria"/>
        </w:rPr>
        <w:t xml:space="preserve">only </w:t>
      </w:r>
      <w:r w:rsidRPr="00D30145">
        <w:rPr>
          <w:rFonts w:ascii="Cambria" w:hAnsi="Cambria"/>
        </w:rPr>
        <w:t xml:space="preserve">the information required to support policy and program development and/or assessments.  To accomplish this, </w:t>
      </w:r>
      <w:r w:rsidRPr="00D30145" w:rsidR="003D4672">
        <w:rPr>
          <w:rFonts w:ascii="Cambria" w:hAnsi="Cambria"/>
        </w:rPr>
        <w:t>we conducted a literature review on potential topics</w:t>
      </w:r>
      <w:r w:rsidRPr="00D30145" w:rsidR="00DF5B69">
        <w:rPr>
          <w:rFonts w:ascii="Cambria" w:hAnsi="Cambria"/>
        </w:rPr>
        <w:t>/constructs</w:t>
      </w:r>
      <w:r w:rsidRPr="00D30145" w:rsidR="003D4672">
        <w:rPr>
          <w:rFonts w:ascii="Cambria" w:hAnsi="Cambria"/>
        </w:rPr>
        <w:t xml:space="preserve"> to be included on the DEOCS for measuring organizational climate.  The constructs were assessed to determine if they were related to the strategic target outcomes for DoD, </w:t>
      </w:r>
      <w:r w:rsidRPr="00D30145" w:rsidR="00D60E85">
        <w:rPr>
          <w:rFonts w:ascii="Cambria" w:hAnsi="Cambria"/>
        </w:rPr>
        <w:t xml:space="preserve">the </w:t>
      </w:r>
      <w:r w:rsidRPr="00D30145" w:rsidR="003D4672">
        <w:rPr>
          <w:rFonts w:ascii="Cambria" w:hAnsi="Cambria"/>
        </w:rPr>
        <w:t xml:space="preserve">outcomes including retention, readiness, suicide, sexual assault, sexual harassment, and racial/ethnic harassment/discrimination.  The factors selected from this process constituted the design of the DEOCS 5.0.  We conducted an analysis of the DEOCS 5.0 data collected in 2021 and determined that the DEOCS 5.0 factors are valid, highly reliable, and unidimensional (i.e., measuring one underlying concept). </w:t>
      </w:r>
      <w:r w:rsidRPr="00D30145" w:rsidR="002560B7">
        <w:rPr>
          <w:rFonts w:ascii="Cambria" w:hAnsi="Cambria"/>
        </w:rPr>
        <w:t xml:space="preserve"> </w:t>
      </w:r>
      <w:r w:rsidRPr="00D30145" w:rsidR="003D4672">
        <w:rPr>
          <w:rFonts w:ascii="Cambria" w:hAnsi="Cambria"/>
        </w:rPr>
        <w:t xml:space="preserve">Cronbach’s alphas are high overall and across demographic groups. </w:t>
      </w:r>
      <w:r w:rsidRPr="00D30145" w:rsidR="007D7F9F">
        <w:rPr>
          <w:rFonts w:ascii="Cambria" w:hAnsi="Cambria"/>
        </w:rPr>
        <w:t xml:space="preserve"> </w:t>
      </w:r>
      <w:r w:rsidRPr="00D30145" w:rsidR="003D4672">
        <w:rPr>
          <w:rFonts w:ascii="Cambria" w:hAnsi="Cambria"/>
        </w:rPr>
        <w:t xml:space="preserve">There was no meaningful nonresponse bias evident across demographic groups, and factors were associated with one another in expected ways (e.g., protective factors are negatively correlated with risk factors, </w:t>
      </w:r>
      <w:r w:rsidRPr="00D30145" w:rsidR="00BA128B">
        <w:rPr>
          <w:rFonts w:ascii="Cambria" w:hAnsi="Cambria"/>
        </w:rPr>
        <w:t>and</w:t>
      </w:r>
      <w:r w:rsidRPr="00D30145" w:rsidR="003D4672">
        <w:rPr>
          <w:rFonts w:ascii="Cambria" w:hAnsi="Cambria"/>
        </w:rPr>
        <w:t xml:space="preserve"> risk factors are positively correlated with other risk factors).  We then conducted an alpha-if-item-deleted analysis using a threshold of .80 where analyses continued dropping the least reliable item until the alpha reached a number below .80.  This analysis, in conjunction with a qualitative assessment of the survey items based on 43 cognitive interviews, led us to </w:t>
      </w:r>
      <w:r w:rsidRPr="00D30145" w:rsidR="00157304">
        <w:rPr>
          <w:rFonts w:ascii="Cambria" w:hAnsi="Cambria"/>
        </w:rPr>
        <w:t>1)</w:t>
      </w:r>
      <w:r w:rsidRPr="00D30145" w:rsidR="0004688E">
        <w:rPr>
          <w:rFonts w:ascii="Cambria" w:hAnsi="Cambria"/>
        </w:rPr>
        <w:t xml:space="preserve"> </w:t>
      </w:r>
      <w:r w:rsidRPr="00D30145" w:rsidR="003D4672">
        <w:rPr>
          <w:rFonts w:ascii="Cambria" w:hAnsi="Cambria"/>
        </w:rPr>
        <w:t xml:space="preserve">remove </w:t>
      </w:r>
      <w:r w:rsidRPr="00D30145" w:rsidR="00160E56">
        <w:rPr>
          <w:rFonts w:ascii="Cambria" w:hAnsi="Cambria"/>
        </w:rPr>
        <w:t xml:space="preserve">items </w:t>
      </w:r>
      <w:r w:rsidRPr="00D30145" w:rsidR="003D4672">
        <w:rPr>
          <w:rFonts w:ascii="Cambria" w:hAnsi="Cambria"/>
        </w:rPr>
        <w:t xml:space="preserve">from the survey to reduce survey burden without diminishing the measurement of factors (DEOCS 5.1 factors are measured by 58 items down from 78 on DEOCS 5.0), </w:t>
      </w:r>
      <w:r w:rsidRPr="00D30145" w:rsidR="00157304">
        <w:rPr>
          <w:rFonts w:ascii="Cambria" w:hAnsi="Cambria"/>
        </w:rPr>
        <w:t xml:space="preserve">2) </w:t>
      </w:r>
      <w:r w:rsidRPr="00D30145" w:rsidR="003D4672">
        <w:rPr>
          <w:rFonts w:ascii="Cambria" w:hAnsi="Cambria"/>
        </w:rPr>
        <w:t xml:space="preserve">to revise the wording of existing items to reduce cognitive burden, and </w:t>
      </w:r>
      <w:r w:rsidRPr="00D30145" w:rsidR="00157304">
        <w:rPr>
          <w:rFonts w:ascii="Cambria" w:hAnsi="Cambria"/>
        </w:rPr>
        <w:t>3)</w:t>
      </w:r>
      <w:r w:rsidRPr="00D30145" w:rsidR="003D4672">
        <w:rPr>
          <w:rFonts w:ascii="Cambria" w:hAnsi="Cambria"/>
        </w:rPr>
        <w:t xml:space="preserve"> to identify new items needed </w:t>
      </w:r>
      <w:r w:rsidRPr="00D30145" w:rsidR="005E3F14">
        <w:rPr>
          <w:rFonts w:ascii="Cambria" w:hAnsi="Cambria"/>
        </w:rPr>
        <w:t xml:space="preserve">to </w:t>
      </w:r>
      <w:r w:rsidRPr="00D30145" w:rsidR="003D4672">
        <w:rPr>
          <w:rFonts w:ascii="Cambria" w:hAnsi="Cambria"/>
        </w:rPr>
        <w:t xml:space="preserve">address important gaps in knowledge.  </w:t>
      </w:r>
      <w:r w:rsidRPr="00D30145" w:rsidR="00057F82">
        <w:rPr>
          <w:rFonts w:ascii="Cambria" w:hAnsi="Cambria"/>
        </w:rPr>
        <w:t xml:space="preserve">The </w:t>
      </w:r>
      <w:r w:rsidRPr="00D30145" w:rsidR="003D4672">
        <w:rPr>
          <w:rFonts w:ascii="Cambria" w:hAnsi="Cambria"/>
        </w:rPr>
        <w:t>DEOCS 5.1</w:t>
      </w:r>
      <w:r w:rsidRPr="00D30145" w:rsidR="00057F82">
        <w:rPr>
          <w:rFonts w:ascii="Cambria" w:hAnsi="Cambria"/>
        </w:rPr>
        <w:t xml:space="preserve"> take</w:t>
      </w:r>
      <w:r w:rsidR="008D04E5">
        <w:rPr>
          <w:rFonts w:ascii="Cambria" w:hAnsi="Cambria"/>
        </w:rPr>
        <w:t>s</w:t>
      </w:r>
      <w:r w:rsidRPr="00D30145" w:rsidR="00057F82">
        <w:rPr>
          <w:rFonts w:ascii="Cambria" w:hAnsi="Cambria"/>
        </w:rPr>
        <w:t xml:space="preserve"> </w:t>
      </w:r>
      <w:r w:rsidRPr="00D30145" w:rsidR="00CC6E45">
        <w:rPr>
          <w:rFonts w:ascii="Cambria" w:hAnsi="Cambria"/>
        </w:rPr>
        <w:t xml:space="preserve">about </w:t>
      </w:r>
      <w:r w:rsidR="00750F0E">
        <w:rPr>
          <w:rFonts w:ascii="Cambria" w:hAnsi="Cambria"/>
        </w:rPr>
        <w:t>20</w:t>
      </w:r>
      <w:r w:rsidRPr="00D30145" w:rsidR="00750F0E">
        <w:rPr>
          <w:rFonts w:ascii="Cambria" w:hAnsi="Cambria"/>
        </w:rPr>
        <w:t xml:space="preserve"> </w:t>
      </w:r>
      <w:r w:rsidRPr="00D30145" w:rsidR="00057F82">
        <w:rPr>
          <w:rFonts w:ascii="Cambria" w:hAnsi="Cambria"/>
        </w:rPr>
        <w:t>minutes for most participants to complete.</w:t>
      </w:r>
      <w:r w:rsidRPr="00D30145">
        <w:rPr>
          <w:rFonts w:ascii="Cambria" w:hAnsi="Cambria"/>
        </w:rPr>
        <w:t xml:space="preserve"> </w:t>
      </w:r>
      <w:r w:rsidR="00050B3A">
        <w:rPr>
          <w:rFonts w:ascii="Cambria" w:hAnsi="Cambria"/>
        </w:rPr>
        <w:t xml:space="preserve">  To develop </w:t>
      </w:r>
      <w:r w:rsidR="00421553">
        <w:rPr>
          <w:rFonts w:ascii="Cambria" w:hAnsi="Cambria"/>
        </w:rPr>
        <w:t xml:space="preserve">the content for the </w:t>
      </w:r>
      <w:r w:rsidR="006925E1">
        <w:rPr>
          <w:rFonts w:ascii="Cambria" w:hAnsi="Cambria"/>
        </w:rPr>
        <w:t xml:space="preserve">module, we </w:t>
      </w:r>
      <w:r w:rsidRPr="00D30145" w:rsidR="006925E1">
        <w:rPr>
          <w:rFonts w:ascii="Cambria" w:hAnsi="Cambria"/>
        </w:rPr>
        <w:t xml:space="preserve">conducted an alpha-if-item-deleted analysis </w:t>
      </w:r>
      <w:r w:rsidR="006925E1">
        <w:rPr>
          <w:rFonts w:ascii="Cambria" w:hAnsi="Cambria"/>
        </w:rPr>
        <w:t xml:space="preserve">of the key </w:t>
      </w:r>
      <w:r w:rsidR="00774600">
        <w:rPr>
          <w:rFonts w:ascii="Cambria" w:hAnsi="Cambria"/>
        </w:rPr>
        <w:t xml:space="preserve">harassment and discrimination </w:t>
      </w:r>
      <w:r w:rsidR="006925E1">
        <w:rPr>
          <w:rFonts w:ascii="Cambria" w:hAnsi="Cambria"/>
        </w:rPr>
        <w:t xml:space="preserve">metrics from the 2022 WEO </w:t>
      </w:r>
      <w:r w:rsidRPr="00D30145" w:rsidR="006925E1">
        <w:rPr>
          <w:rFonts w:ascii="Cambria" w:hAnsi="Cambria"/>
        </w:rPr>
        <w:t xml:space="preserve">using a threshold of .80 where analyses continued dropping the least reliable item until the alpha reached a number below .80.  This analysis, in conjunction with </w:t>
      </w:r>
      <w:r w:rsidR="006925E1">
        <w:rPr>
          <w:rFonts w:ascii="Cambria" w:hAnsi="Cambria"/>
        </w:rPr>
        <w:t>subject matter</w:t>
      </w:r>
      <w:r w:rsidR="00316205">
        <w:rPr>
          <w:rFonts w:ascii="Cambria" w:hAnsi="Cambria"/>
        </w:rPr>
        <w:t xml:space="preserve"> expert input, we reduced </w:t>
      </w:r>
      <w:r w:rsidR="00DD130B">
        <w:rPr>
          <w:rFonts w:ascii="Cambria" w:hAnsi="Cambria"/>
        </w:rPr>
        <w:t xml:space="preserve">the </w:t>
      </w:r>
      <w:r w:rsidR="00774600">
        <w:rPr>
          <w:rFonts w:ascii="Cambria" w:hAnsi="Cambria"/>
        </w:rPr>
        <w:t>key harassment and discrimination from 24 items to 12.</w:t>
      </w:r>
      <w:r w:rsidR="00750F0E">
        <w:rPr>
          <w:rFonts w:ascii="Cambria" w:hAnsi="Cambria"/>
        </w:rPr>
        <w:t xml:space="preserve">  The </w:t>
      </w:r>
      <w:r w:rsidR="00230DE2">
        <w:rPr>
          <w:rFonts w:ascii="Cambria" w:hAnsi="Cambria"/>
        </w:rPr>
        <w:t>module is expected to take about 10 minutes for most participants to complete.</w:t>
      </w:r>
    </w:p>
    <w:p w:rsidR="00046FC1" w:rsidRPr="00D30145" w:rsidP="00ED08E0" w14:paraId="402A862A" w14:textId="77777777">
      <w:pPr>
        <w:pStyle w:val="NormalWeb"/>
        <w:spacing w:before="0" w:beforeAutospacing="0" w:after="0" w:afterAutospacing="0" w:line="288" w:lineRule="atLeast"/>
        <w:rPr>
          <w:rFonts w:ascii="Cambria" w:hAnsi="Cambria"/>
        </w:rPr>
      </w:pPr>
    </w:p>
    <w:p w:rsidR="005E0A0F" w:rsidRPr="00046FC1" w:rsidP="00ED08E0" w14:paraId="467B04B4" w14:textId="77777777">
      <w:pPr>
        <w:pStyle w:val="NormalWeb"/>
        <w:numPr>
          <w:ilvl w:val="0"/>
          <w:numId w:val="2"/>
        </w:numPr>
        <w:spacing w:before="0" w:beforeAutospacing="0" w:after="0" w:afterAutospacing="0"/>
        <w:jc w:val="both"/>
        <w:rPr>
          <w:rFonts w:ascii="Cambria" w:hAnsi="Cambria"/>
        </w:rPr>
      </w:pPr>
      <w:r w:rsidRPr="00D30145">
        <w:rPr>
          <w:rFonts w:ascii="Cambria" w:hAnsi="Cambria"/>
          <w:u w:val="single"/>
        </w:rPr>
        <w:t>Statistical Consultation and Information Analysis</w:t>
      </w:r>
    </w:p>
    <w:p w:rsidR="00046FC1" w:rsidRPr="00D30145" w:rsidP="00046FC1" w14:paraId="0AAE826B" w14:textId="77777777">
      <w:pPr>
        <w:pStyle w:val="NormalWeb"/>
        <w:spacing w:before="0" w:beforeAutospacing="0" w:after="0" w:afterAutospacing="0"/>
        <w:jc w:val="both"/>
        <w:rPr>
          <w:rFonts w:ascii="Cambria" w:hAnsi="Cambria"/>
        </w:rPr>
      </w:pPr>
    </w:p>
    <w:p w:rsidR="00F434B6" w:rsidP="00ED08E0" w14:paraId="78704D25"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Provide names and telephone number of individual(s) consulted on statistical aspects of the design.</w:t>
      </w:r>
    </w:p>
    <w:p w:rsidR="00046FC1" w:rsidRPr="00D30145" w:rsidP="00046FC1" w14:paraId="70F4948B" w14:textId="77777777">
      <w:pPr>
        <w:pStyle w:val="NormalWeb"/>
        <w:spacing w:before="0" w:beforeAutospacing="0" w:after="0" w:afterAutospacing="0"/>
        <w:jc w:val="both"/>
        <w:rPr>
          <w:rFonts w:ascii="Cambria" w:hAnsi="Cambria"/>
        </w:rPr>
      </w:pPr>
    </w:p>
    <w:p w:rsidR="002D0BB7" w:rsidRPr="00D30145" w:rsidP="00ED08E0" w14:paraId="30A38EC0" w14:textId="42B4CD97">
      <w:pPr>
        <w:pStyle w:val="DocParagraphOutlineLevel3"/>
        <w:numPr>
          <w:ilvl w:val="0"/>
          <w:numId w:val="6"/>
        </w:numPr>
        <w:tabs>
          <w:tab w:val="left" w:pos="720"/>
        </w:tabs>
        <w:spacing w:before="0" w:after="0"/>
        <w:rPr>
          <w:rFonts w:ascii="Cambria" w:hAnsi="Cambria"/>
        </w:rPr>
      </w:pPr>
      <w:r w:rsidRPr="00D30145">
        <w:rPr>
          <w:rFonts w:ascii="Cambria" w:hAnsi="Cambria"/>
        </w:rPr>
        <w:t>Mr</w:t>
      </w:r>
      <w:r w:rsidRPr="00D30145" w:rsidR="00C87682">
        <w:rPr>
          <w:rFonts w:ascii="Cambria" w:hAnsi="Cambria"/>
        </w:rPr>
        <w:t>.</w:t>
      </w:r>
      <w:r w:rsidRPr="00D30145">
        <w:rPr>
          <w:rFonts w:ascii="Cambria" w:hAnsi="Cambria"/>
        </w:rPr>
        <w:t xml:space="preserve"> </w:t>
      </w:r>
      <w:r w:rsidRPr="00D30145" w:rsidR="00224C31">
        <w:rPr>
          <w:rFonts w:ascii="Cambria" w:hAnsi="Cambria"/>
        </w:rPr>
        <w:t xml:space="preserve">Stephen Busselberg, </w:t>
      </w:r>
      <w:r w:rsidRPr="00D30145">
        <w:rPr>
          <w:rFonts w:ascii="Cambria" w:hAnsi="Cambria"/>
        </w:rPr>
        <w:t xml:space="preserve">Associate Director – STAT, Fors Marsh, </w:t>
      </w:r>
      <w:hyperlink r:id="rId8" w:history="1">
        <w:r w:rsidRPr="00D30145">
          <w:rPr>
            <w:rStyle w:val="Hyperlink"/>
            <w:rFonts w:ascii="Cambria" w:hAnsi="Cambria"/>
            <w:color w:val="auto"/>
          </w:rPr>
          <w:t>sbusselberg@forsmarsh.com</w:t>
        </w:r>
      </w:hyperlink>
    </w:p>
    <w:p w:rsidR="00F371C3" w:rsidP="00046FC1" w14:paraId="62550670" w14:textId="75A01DD9">
      <w:pPr>
        <w:pStyle w:val="DocParagraphOutlineLevel3"/>
        <w:numPr>
          <w:ilvl w:val="0"/>
          <w:numId w:val="6"/>
        </w:numPr>
        <w:tabs>
          <w:tab w:val="left" w:pos="720"/>
        </w:tabs>
        <w:spacing w:before="0" w:after="0"/>
        <w:rPr>
          <w:rFonts w:ascii="Cambria" w:hAnsi="Cambria"/>
        </w:rPr>
      </w:pPr>
      <w:r>
        <w:rPr>
          <w:rFonts w:ascii="Cambria" w:hAnsi="Cambria"/>
        </w:rPr>
        <w:t>D</w:t>
      </w:r>
      <w:r w:rsidRPr="00292385">
        <w:rPr>
          <w:rFonts w:ascii="Cambria" w:hAnsi="Cambria"/>
        </w:rPr>
        <w:t>r. Matthew Scheidt, Statistics Team Lead</w:t>
      </w:r>
      <w:r w:rsidRPr="007B7E88">
        <w:rPr>
          <w:rFonts w:ascii="Cambria" w:hAnsi="Cambria"/>
        </w:rPr>
        <w:t xml:space="preserve"> </w:t>
      </w:r>
      <w:hyperlink r:id="rId9" w:history="1">
        <w:r w:rsidRPr="00292385">
          <w:rPr>
            <w:rStyle w:val="Hyperlink"/>
            <w:rFonts w:ascii="Cambria" w:hAnsi="Cambria"/>
            <w:color w:val="auto"/>
          </w:rPr>
          <w:t>matthew.s.scheidt.civ@mail.mil</w:t>
        </w:r>
      </w:hyperlink>
      <w:r w:rsidRPr="007B7E88">
        <w:rPr>
          <w:rFonts w:ascii="Cambria" w:hAnsi="Cambria"/>
        </w:rPr>
        <w:t xml:space="preserve"> </w:t>
      </w:r>
    </w:p>
    <w:p w:rsidR="00046FC1" w:rsidRPr="00D30145" w:rsidP="00046FC1" w14:paraId="3B6089A4" w14:textId="77777777">
      <w:pPr>
        <w:pStyle w:val="DocParagraphOutlineLevel3"/>
        <w:numPr>
          <w:ilvl w:val="0"/>
          <w:numId w:val="0"/>
        </w:numPr>
        <w:tabs>
          <w:tab w:val="left" w:pos="720"/>
        </w:tabs>
        <w:spacing w:before="0" w:after="0"/>
        <w:rPr>
          <w:rFonts w:ascii="Cambria" w:hAnsi="Cambria"/>
        </w:rPr>
      </w:pPr>
    </w:p>
    <w:p w:rsidR="00F1447C" w:rsidP="00ED08E0" w14:paraId="663557A4" w14:textId="77777777">
      <w:pPr>
        <w:pStyle w:val="NormalWeb"/>
        <w:numPr>
          <w:ilvl w:val="1"/>
          <w:numId w:val="2"/>
        </w:numPr>
        <w:spacing w:before="0" w:beforeAutospacing="0" w:after="0" w:afterAutospacing="0"/>
        <w:ind w:left="360"/>
        <w:jc w:val="both"/>
        <w:rPr>
          <w:rFonts w:ascii="Cambria" w:hAnsi="Cambria"/>
        </w:rPr>
      </w:pPr>
      <w:r w:rsidRPr="00D30145">
        <w:rPr>
          <w:rFonts w:ascii="Cambria" w:hAnsi="Cambria"/>
        </w:rPr>
        <w:t xml:space="preserve">Provide name and organization of person(s) who will </w:t>
      </w:r>
      <w:r w:rsidRPr="00D30145">
        <w:rPr>
          <w:rFonts w:ascii="Cambria" w:hAnsi="Cambria"/>
        </w:rPr>
        <w:t>actually collect</w:t>
      </w:r>
      <w:r w:rsidRPr="00D30145">
        <w:rPr>
          <w:rFonts w:ascii="Cambria" w:hAnsi="Cambria"/>
        </w:rPr>
        <w:t xml:space="preserve"> and analyze the collected information.</w:t>
      </w:r>
    </w:p>
    <w:p w:rsidR="00046FC1" w:rsidRPr="00D30145" w:rsidP="00046FC1" w14:paraId="0FF6E5DE" w14:textId="77777777">
      <w:pPr>
        <w:pStyle w:val="NormalWeb"/>
        <w:spacing w:before="0" w:beforeAutospacing="0" w:after="0" w:afterAutospacing="0"/>
        <w:jc w:val="both"/>
        <w:rPr>
          <w:rFonts w:ascii="Cambria" w:hAnsi="Cambria"/>
        </w:rPr>
      </w:pPr>
    </w:p>
    <w:p w:rsidR="00A919A6" w:rsidP="00ED08E0" w14:paraId="277012E9" w14:textId="77777777">
      <w:pPr>
        <w:pStyle w:val="NormalWeb"/>
        <w:spacing w:before="0" w:beforeAutospacing="0" w:after="0" w:afterAutospacing="0" w:line="288" w:lineRule="atLeast"/>
        <w:rPr>
          <w:rFonts w:ascii="Cambria" w:hAnsi="Cambria"/>
        </w:rPr>
      </w:pPr>
      <w:r w:rsidRPr="00D30145">
        <w:rPr>
          <w:rFonts w:ascii="Cambria" w:hAnsi="Cambria"/>
        </w:rPr>
        <w:t>Data will be collected by Data Recognition Corporation, OPA’s operations contractor.  Contact information is listed below.</w:t>
      </w:r>
    </w:p>
    <w:p w:rsidR="00046FC1" w:rsidRPr="00D30145" w:rsidP="00ED08E0" w14:paraId="7B0C04F0" w14:textId="77777777">
      <w:pPr>
        <w:pStyle w:val="NormalWeb"/>
        <w:spacing w:before="0" w:beforeAutospacing="0" w:after="0" w:afterAutospacing="0" w:line="288" w:lineRule="atLeast"/>
        <w:rPr>
          <w:rFonts w:ascii="Cambria" w:hAnsi="Cambria"/>
        </w:rPr>
      </w:pPr>
    </w:p>
    <w:p w:rsidR="00A919A6" w:rsidRPr="00D30145" w:rsidP="00ED08E0" w14:paraId="11923071" w14:textId="60C217EF">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Ms. Valerie Waller, </w:t>
      </w:r>
      <w:r w:rsidRPr="00D30145" w:rsidR="002B7736">
        <w:rPr>
          <w:rFonts w:ascii="Cambria" w:hAnsi="Cambria"/>
        </w:rPr>
        <w:t>Vice President</w:t>
      </w:r>
      <w:r w:rsidRPr="00D30145">
        <w:rPr>
          <w:rFonts w:ascii="Cambria" w:hAnsi="Cambria"/>
        </w:rPr>
        <w:t xml:space="preserve">, Data Recognition Corporation, </w:t>
      </w:r>
      <w:hyperlink r:id="rId10" w:history="1">
        <w:r w:rsidRPr="00D30145" w:rsidR="00E657FF">
          <w:rPr>
            <w:rStyle w:val="Hyperlink"/>
            <w:rFonts w:ascii="Cambria" w:hAnsi="Cambria"/>
            <w:color w:val="auto"/>
          </w:rPr>
          <w:t>valerie.waller@datarecognitioncorps.com</w:t>
        </w:r>
      </w:hyperlink>
    </w:p>
    <w:p w:rsidR="00C55A6F" w:rsidRPr="00D30145" w:rsidP="00ED08E0" w14:paraId="2ED6C5A6" w14:textId="062C6B09">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Mr. </w:t>
      </w:r>
      <w:r w:rsidRPr="00D30145">
        <w:rPr>
          <w:rFonts w:ascii="Cambria" w:hAnsi="Cambria"/>
        </w:rPr>
        <w:t>Mi</w:t>
      </w:r>
      <w:r w:rsidRPr="00D30145">
        <w:rPr>
          <w:rFonts w:ascii="Cambria" w:hAnsi="Cambria"/>
        </w:rPr>
        <w:t>chael Knutson, Director – Surveys, Data Recognition Corpor</w:t>
      </w:r>
      <w:r w:rsidRPr="00D30145" w:rsidR="003475C6">
        <w:rPr>
          <w:rFonts w:ascii="Cambria" w:hAnsi="Cambria"/>
        </w:rPr>
        <w:t xml:space="preserve">ation, </w:t>
      </w:r>
      <w:hyperlink r:id="rId11" w:history="1">
        <w:r w:rsidRPr="00D30145" w:rsidR="003475C6">
          <w:rPr>
            <w:rStyle w:val="Hyperlink"/>
            <w:rFonts w:ascii="Cambria" w:hAnsi="Cambria"/>
            <w:color w:val="auto"/>
          </w:rPr>
          <w:t>mknutson@datarecognitioncorp.com</w:t>
        </w:r>
      </w:hyperlink>
    </w:p>
    <w:p w:rsidR="00046FC1" w:rsidP="00046FC1" w14:paraId="35AB2741" w14:textId="29CDB02B">
      <w:pPr>
        <w:pStyle w:val="NormalWeb"/>
        <w:numPr>
          <w:ilvl w:val="0"/>
          <w:numId w:val="5"/>
        </w:numPr>
        <w:spacing w:before="0" w:beforeAutospacing="0" w:after="0" w:afterAutospacing="0" w:line="288" w:lineRule="atLeast"/>
        <w:rPr>
          <w:rStyle w:val="Hyperlink"/>
          <w:rFonts w:ascii="Cambria" w:hAnsi="Cambria"/>
          <w:color w:val="auto"/>
          <w:u w:val="none"/>
        </w:rPr>
      </w:pPr>
      <w:r w:rsidRPr="00D30145">
        <w:rPr>
          <w:rFonts w:ascii="Cambria" w:hAnsi="Cambria"/>
        </w:rPr>
        <w:t xml:space="preserve">Mr. </w:t>
      </w:r>
      <w:r w:rsidRPr="00D30145" w:rsidR="00C55A6F">
        <w:rPr>
          <w:rFonts w:ascii="Cambria" w:hAnsi="Cambria"/>
        </w:rPr>
        <w:t>Brad</w:t>
      </w:r>
      <w:r w:rsidRPr="00D30145" w:rsidR="00E32EEB">
        <w:rPr>
          <w:rFonts w:ascii="Cambria" w:hAnsi="Cambria"/>
        </w:rPr>
        <w:t xml:space="preserve"> </w:t>
      </w:r>
      <w:r w:rsidRPr="00D30145" w:rsidR="00DD39B4">
        <w:rPr>
          <w:rFonts w:ascii="Cambria" w:hAnsi="Cambria"/>
        </w:rPr>
        <w:t xml:space="preserve">Goenner, </w:t>
      </w:r>
      <w:r w:rsidRPr="00D30145" w:rsidR="009F71D9">
        <w:rPr>
          <w:rFonts w:ascii="Cambria" w:hAnsi="Cambria"/>
        </w:rPr>
        <w:t xml:space="preserve">Senior Business Analyst, </w:t>
      </w:r>
      <w:r w:rsidRPr="00D30145" w:rsidR="00E657FF">
        <w:rPr>
          <w:rFonts w:ascii="Cambria" w:hAnsi="Cambria"/>
        </w:rPr>
        <w:t xml:space="preserve">Data Recognition Corporation, </w:t>
      </w:r>
      <w:hyperlink r:id="rId12" w:history="1">
        <w:r w:rsidRPr="00D30145" w:rsidR="000E07DC">
          <w:rPr>
            <w:rStyle w:val="Hyperlink"/>
            <w:rFonts w:ascii="Cambria" w:hAnsi="Cambria"/>
            <w:color w:val="auto"/>
          </w:rPr>
          <w:t>bgoenner@datarecognitioncorp.com</w:t>
        </w:r>
      </w:hyperlink>
    </w:p>
    <w:p w:rsidR="00046FC1" w:rsidRPr="00046FC1" w:rsidP="00046FC1" w14:paraId="4BA6700E" w14:textId="77777777">
      <w:pPr>
        <w:pStyle w:val="NormalWeb"/>
        <w:spacing w:before="0" w:beforeAutospacing="0" w:after="0" w:afterAutospacing="0" w:line="288" w:lineRule="atLeast"/>
        <w:rPr>
          <w:rFonts w:ascii="Cambria" w:hAnsi="Cambria"/>
        </w:rPr>
      </w:pPr>
    </w:p>
    <w:p w:rsidR="00A919A6" w:rsidP="00ED08E0" w14:paraId="30591094" w14:textId="77777777">
      <w:pPr>
        <w:pStyle w:val="NormalWeb"/>
        <w:spacing w:before="0" w:beforeAutospacing="0" w:after="0" w:afterAutospacing="0" w:line="288" w:lineRule="atLeast"/>
        <w:rPr>
          <w:rFonts w:ascii="Cambria" w:hAnsi="Cambria"/>
        </w:rPr>
      </w:pPr>
      <w:r w:rsidRPr="00D30145">
        <w:rPr>
          <w:rFonts w:ascii="Cambria" w:hAnsi="Cambria"/>
        </w:rPr>
        <w:t>Data will be analyzed by OPA social scientists &amp; analysts.  Contact information is listed below.</w:t>
      </w:r>
    </w:p>
    <w:p w:rsidR="00046FC1" w:rsidRPr="00D30145" w:rsidP="00ED08E0" w14:paraId="004F5419" w14:textId="77777777">
      <w:pPr>
        <w:pStyle w:val="NormalWeb"/>
        <w:spacing w:before="0" w:beforeAutospacing="0" w:after="0" w:afterAutospacing="0" w:line="288" w:lineRule="atLeast"/>
        <w:rPr>
          <w:rFonts w:ascii="Cambria" w:hAnsi="Cambria"/>
        </w:rPr>
      </w:pPr>
    </w:p>
    <w:p w:rsidR="00785214" w:rsidP="00ED08E0" w14:paraId="2F8307DF" w14:textId="0B552190">
      <w:pPr>
        <w:pStyle w:val="NormalWeb"/>
        <w:spacing w:before="0" w:beforeAutospacing="0" w:after="0" w:afterAutospacing="0" w:line="288" w:lineRule="atLeast"/>
        <w:rPr>
          <w:rFonts w:ascii="Cambria" w:hAnsi="Cambria"/>
        </w:rPr>
      </w:pPr>
      <w:r>
        <w:rPr>
          <w:rFonts w:ascii="Cambria" w:hAnsi="Cambria"/>
        </w:rPr>
        <w:t xml:space="preserve">Office of People Analytics </w:t>
      </w:r>
      <w:r w:rsidR="00BB67E7">
        <w:rPr>
          <w:rFonts w:ascii="Cambria" w:hAnsi="Cambria"/>
        </w:rPr>
        <w:t>(OPA)</w:t>
      </w:r>
    </w:p>
    <w:p w:rsidR="000B46F9" w:rsidRPr="002C5FF7" w:rsidP="000B46F9" w14:paraId="34A40858" w14:textId="31A394CB">
      <w:pPr>
        <w:pStyle w:val="NormalWeb"/>
        <w:numPr>
          <w:ilvl w:val="0"/>
          <w:numId w:val="5"/>
        </w:numPr>
        <w:spacing w:before="0" w:beforeAutospacing="0" w:after="0" w:afterAutospacing="0" w:line="288" w:lineRule="atLeast"/>
        <w:rPr>
          <w:rStyle w:val="Hyperlink"/>
          <w:rFonts w:ascii="Cambria" w:hAnsi="Cambria"/>
          <w:color w:val="auto"/>
          <w:u w:val="none"/>
        </w:rPr>
      </w:pPr>
      <w:r w:rsidRPr="00D50F3A">
        <w:rPr>
          <w:rFonts w:ascii="Cambria" w:hAnsi="Cambria"/>
        </w:rPr>
        <w:t xml:space="preserve">Dr. Ashlea Klahr, Acting Director </w:t>
      </w:r>
      <w:hyperlink r:id="rId13" w:history="1">
        <w:r w:rsidRPr="00D50F3A">
          <w:rPr>
            <w:rStyle w:val="Hyperlink"/>
            <w:rFonts w:ascii="Cambria" w:hAnsi="Cambria"/>
            <w:color w:val="auto"/>
          </w:rPr>
          <w:t>ashlea.m.klahr.civ@mail.mil</w:t>
        </w:r>
      </w:hyperlink>
    </w:p>
    <w:p w:rsidR="00785214" w:rsidP="00ED08E0" w14:paraId="1995534A" w14:textId="77777777">
      <w:pPr>
        <w:pStyle w:val="NormalWeb"/>
        <w:spacing w:before="0" w:beforeAutospacing="0" w:after="0" w:afterAutospacing="0" w:line="288" w:lineRule="atLeast"/>
        <w:rPr>
          <w:rFonts w:ascii="Cambria" w:hAnsi="Cambria"/>
        </w:rPr>
      </w:pPr>
    </w:p>
    <w:p w:rsidR="002F7965" w:rsidRPr="00D50F3A" w:rsidP="00ED08E0" w14:paraId="08B59EB6" w14:textId="77FB4F55">
      <w:pPr>
        <w:pStyle w:val="NormalWeb"/>
        <w:spacing w:before="0" w:beforeAutospacing="0" w:after="0" w:afterAutospacing="0" w:line="288" w:lineRule="atLeast"/>
        <w:rPr>
          <w:rFonts w:ascii="Cambria" w:hAnsi="Cambria"/>
        </w:rPr>
      </w:pPr>
      <w:r>
        <w:rPr>
          <w:rFonts w:ascii="Cambria" w:hAnsi="Cambria"/>
        </w:rPr>
        <w:t>OPA</w:t>
      </w:r>
      <w:r w:rsidR="00CF4376">
        <w:rPr>
          <w:rFonts w:ascii="Cambria" w:hAnsi="Cambria"/>
        </w:rPr>
        <w:t xml:space="preserve"> Health &amp; Resilience Research Division</w:t>
      </w:r>
    </w:p>
    <w:p w:rsidR="000B46F9" w:rsidRPr="00D50F3A" w:rsidP="000B46F9" w14:paraId="64CF66A6"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Ms. Lisa Davis, Acting Director </w:t>
      </w:r>
      <w:hyperlink r:id="rId14" w:history="1">
        <w:r w:rsidRPr="00787620">
          <w:rPr>
            <w:rStyle w:val="Hyperlink"/>
            <w:rFonts w:ascii="Cambria" w:hAnsi="Cambria"/>
            <w:color w:val="auto"/>
          </w:rPr>
          <w:t>elizabeth.h.davis18.civ@mail.mil</w:t>
        </w:r>
      </w:hyperlink>
      <w:r w:rsidRPr="00D50F3A">
        <w:rPr>
          <w:rFonts w:ascii="Cambria" w:hAnsi="Cambria"/>
        </w:rPr>
        <w:t xml:space="preserve">  </w:t>
      </w:r>
    </w:p>
    <w:p w:rsidR="00A919A6" w:rsidRPr="00D30145" w:rsidP="00ED08E0" w14:paraId="63DDDA13" w14:textId="0D4C8EBA">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w:t>
      </w:r>
      <w:r w:rsidRPr="00D30145" w:rsidR="00997E5E">
        <w:rPr>
          <w:rFonts w:ascii="Cambria" w:hAnsi="Cambria"/>
        </w:rPr>
        <w:t>Rachel Lipari</w:t>
      </w:r>
      <w:r w:rsidRPr="00D30145">
        <w:rPr>
          <w:rFonts w:ascii="Cambria" w:hAnsi="Cambria"/>
        </w:rPr>
        <w:t xml:space="preserve">, </w:t>
      </w:r>
      <w:r w:rsidR="000965D6">
        <w:rPr>
          <w:rFonts w:ascii="Cambria" w:hAnsi="Cambria"/>
        </w:rPr>
        <w:t>Chief Military Sociologist</w:t>
      </w:r>
      <w:r w:rsidRPr="00D30145">
        <w:rPr>
          <w:rFonts w:ascii="Cambria" w:hAnsi="Cambria"/>
        </w:rPr>
        <w:t xml:space="preserve"> </w:t>
      </w:r>
      <w:hyperlink r:id="rId15" w:history="1">
        <w:r w:rsidRPr="00D30145" w:rsidR="001E3291">
          <w:rPr>
            <w:rStyle w:val="Hyperlink"/>
            <w:rFonts w:ascii="Cambria" w:hAnsi="Cambria"/>
            <w:color w:val="auto"/>
          </w:rPr>
          <w:t>rachel.n.lipari.civ@mail.mil</w:t>
        </w:r>
      </w:hyperlink>
    </w:p>
    <w:p w:rsidR="00997E5E" w:rsidRPr="00D30145" w:rsidP="00ED08E0" w14:paraId="510402B6" w14:textId="6A01FB53">
      <w:pPr>
        <w:pStyle w:val="NormalWeb"/>
        <w:numPr>
          <w:ilvl w:val="0"/>
          <w:numId w:val="5"/>
        </w:numPr>
        <w:spacing w:before="0" w:beforeAutospacing="0" w:after="0" w:afterAutospacing="0" w:line="288" w:lineRule="atLeast"/>
        <w:rPr>
          <w:rFonts w:ascii="Cambria" w:hAnsi="Cambria"/>
        </w:rPr>
      </w:pPr>
      <w:r w:rsidRPr="00D30145">
        <w:rPr>
          <w:rFonts w:ascii="Cambria" w:hAnsi="Cambria"/>
        </w:rPr>
        <w:t xml:space="preserve">Dr. Austin Lawhead, Senior Applied Anthropologist </w:t>
      </w:r>
      <w:hyperlink r:id="rId16" w:history="1">
        <w:r w:rsidRPr="00D30145" w:rsidR="001E3291">
          <w:rPr>
            <w:rStyle w:val="Hyperlink"/>
            <w:rFonts w:ascii="Cambria" w:hAnsi="Cambria"/>
            <w:color w:val="auto"/>
          </w:rPr>
          <w:t>austin.r.lawhead.civ@mail.mil</w:t>
        </w:r>
      </w:hyperlink>
    </w:p>
    <w:p w:rsidR="000F28D8" w:rsidRPr="00D30145" w:rsidP="000F28D8" w14:paraId="46ADF87F" w14:textId="15167140">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Dr. Sela Harcey, </w:t>
      </w:r>
      <w:r w:rsidR="00482FF4">
        <w:rPr>
          <w:rFonts w:ascii="Cambria" w:hAnsi="Cambria"/>
        </w:rPr>
        <w:t>Applied Quantitative Sociologist</w:t>
      </w:r>
      <w:r w:rsidRPr="00D50F3A">
        <w:rPr>
          <w:rFonts w:ascii="Cambria" w:hAnsi="Cambria"/>
        </w:rPr>
        <w:t xml:space="preserve"> </w:t>
      </w:r>
      <w:hyperlink r:id="rId17" w:history="1">
        <w:r w:rsidRPr="00482FF4" w:rsidR="00482FF4">
          <w:rPr>
            <w:rStyle w:val="Hyperlink"/>
            <w:rFonts w:ascii="Cambria" w:hAnsi="Cambria"/>
            <w:color w:val="auto"/>
          </w:rPr>
          <w:t>sela.r.harcey.civ@mail.mil</w:t>
        </w:r>
      </w:hyperlink>
    </w:p>
    <w:p w:rsidR="000F28D8" w:rsidRPr="00D30145" w:rsidP="000F28D8" w14:paraId="44485778" w14:textId="648D0164">
      <w:pPr>
        <w:pStyle w:val="NormalWeb"/>
        <w:numPr>
          <w:ilvl w:val="0"/>
          <w:numId w:val="5"/>
        </w:numPr>
        <w:spacing w:before="0" w:beforeAutospacing="0" w:after="0" w:afterAutospacing="0" w:line="288" w:lineRule="atLeast"/>
        <w:rPr>
          <w:rFonts w:ascii="Cambria" w:hAnsi="Cambria"/>
        </w:rPr>
      </w:pPr>
      <w:r>
        <w:rPr>
          <w:rFonts w:ascii="Cambria" w:hAnsi="Cambria"/>
        </w:rPr>
        <w:t>Mr. W. Xav Klauberg</w:t>
      </w:r>
      <w:r w:rsidRPr="00D30145">
        <w:rPr>
          <w:rFonts w:ascii="Cambria" w:hAnsi="Cambria"/>
        </w:rPr>
        <w:t>, Research</w:t>
      </w:r>
      <w:r>
        <w:rPr>
          <w:rFonts w:ascii="Cambria" w:hAnsi="Cambria"/>
        </w:rPr>
        <w:t xml:space="preserve"> Psychologist</w:t>
      </w:r>
      <w:r w:rsidRPr="00D30145">
        <w:rPr>
          <w:rFonts w:ascii="Cambria" w:hAnsi="Cambria"/>
        </w:rPr>
        <w:t xml:space="preserve"> </w:t>
      </w:r>
      <w:hyperlink r:id="rId18" w:history="1">
        <w:r w:rsidRPr="00B64F48" w:rsidR="00FF263E">
          <w:rPr>
            <w:rStyle w:val="Hyperlink"/>
            <w:rFonts w:ascii="Cambria" w:hAnsi="Cambria"/>
            <w:color w:val="auto"/>
          </w:rPr>
          <w:t>William.x.klauberg.civ@mail.mil</w:t>
        </w:r>
      </w:hyperlink>
      <w:r w:rsidRPr="00D50F3A" w:rsidR="00FF263E">
        <w:rPr>
          <w:rFonts w:ascii="Cambria" w:hAnsi="Cambria"/>
        </w:rPr>
        <w:t xml:space="preserve"> </w:t>
      </w:r>
    </w:p>
    <w:p w:rsidR="00853B04" w:rsidRPr="00D30145" w:rsidP="00853B04" w14:paraId="6D69C7D9" w14:textId="15E648E8">
      <w:pPr>
        <w:pStyle w:val="NormalWeb"/>
        <w:numPr>
          <w:ilvl w:val="0"/>
          <w:numId w:val="5"/>
        </w:numPr>
        <w:spacing w:before="0" w:beforeAutospacing="0" w:after="0" w:afterAutospacing="0" w:line="288" w:lineRule="atLeast"/>
        <w:rPr>
          <w:rStyle w:val="Hyperlink"/>
          <w:rFonts w:ascii="Cambria" w:hAnsi="Cambria"/>
          <w:color w:val="auto"/>
          <w:u w:val="none"/>
        </w:rPr>
      </w:pPr>
      <w:r w:rsidRPr="00D30145">
        <w:rPr>
          <w:rFonts w:ascii="Cambria" w:hAnsi="Cambria"/>
        </w:rPr>
        <w:t xml:space="preserve">Ms. Kimberly Hylton, </w:t>
      </w:r>
      <w:r>
        <w:rPr>
          <w:rFonts w:ascii="Cambria" w:hAnsi="Cambria"/>
        </w:rPr>
        <w:t>Chief of Survey Operations</w:t>
      </w:r>
      <w:r w:rsidRPr="00D50F3A">
        <w:rPr>
          <w:rFonts w:ascii="Cambria" w:hAnsi="Cambria"/>
        </w:rPr>
        <w:t xml:space="preserve"> </w:t>
      </w:r>
      <w:hyperlink r:id="rId19" w:history="1">
        <w:r w:rsidRPr="00D50F3A" w:rsidR="00FF263E">
          <w:rPr>
            <w:rStyle w:val="Hyperlink"/>
            <w:rFonts w:ascii="Cambria" w:hAnsi="Cambria"/>
            <w:color w:val="auto"/>
          </w:rPr>
          <w:t>kimberly.r.hylton.civ@mail.mil</w:t>
        </w:r>
      </w:hyperlink>
      <w:r w:rsidRPr="00B64F48" w:rsidR="00FF263E">
        <w:rPr>
          <w:rFonts w:ascii="Cambria" w:hAnsi="Cambria"/>
        </w:rPr>
        <w:t xml:space="preserve"> </w:t>
      </w:r>
    </w:p>
    <w:p w:rsidR="005F6CFB" w:rsidRPr="00D50F3A" w:rsidP="005F6CFB" w14:paraId="66C46349"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Ms. Ariel Hill, Senior Researcher, Military Workplace Climate Research – Fors Marsh Group, </w:t>
      </w:r>
      <w:hyperlink r:id="rId20" w:history="1">
        <w:r w:rsidRPr="0010548D">
          <w:rPr>
            <w:rFonts w:ascii="Cambria" w:hAnsi="Cambria"/>
            <w:u w:val="single"/>
          </w:rPr>
          <w:t>ariel.e.hill.ctr@mail.mil</w:t>
        </w:r>
      </w:hyperlink>
      <w:r w:rsidRPr="00D50F3A">
        <w:rPr>
          <w:rFonts w:ascii="Cambria" w:hAnsi="Cambria"/>
        </w:rPr>
        <w:t xml:space="preserve"> </w:t>
      </w:r>
    </w:p>
    <w:p w:rsidR="005F6CFB" w:rsidRPr="0010548D" w:rsidP="005F6CFB" w14:paraId="1721C2C9" w14:textId="77777777">
      <w:pPr>
        <w:pStyle w:val="NormalWeb"/>
        <w:numPr>
          <w:ilvl w:val="0"/>
          <w:numId w:val="5"/>
        </w:numPr>
        <w:spacing w:before="0" w:beforeAutospacing="0" w:after="0" w:afterAutospacing="0" w:line="288" w:lineRule="atLeast"/>
        <w:rPr>
          <w:rStyle w:val="Hyperlink"/>
          <w:rFonts w:ascii="Cambria" w:hAnsi="Cambria"/>
          <w:color w:val="auto"/>
        </w:rPr>
      </w:pPr>
      <w:r w:rsidRPr="00D50F3A">
        <w:rPr>
          <w:rFonts w:ascii="Cambria" w:hAnsi="Cambria"/>
        </w:rPr>
        <w:t xml:space="preserve">Ms. Jess Tercha, Associate Director, Military Workplace Climate Research – Fors Marsh Group, </w:t>
      </w:r>
      <w:r w:rsidRPr="00D50F3A">
        <w:rPr>
          <w:rFonts w:ascii="Cambria" w:hAnsi="Cambria"/>
        </w:rPr>
        <w:fldChar w:fldCharType="begin"/>
      </w:r>
      <w:r w:rsidRPr="00D50F3A">
        <w:rPr>
          <w:rFonts w:ascii="Cambria" w:hAnsi="Cambria"/>
        </w:rPr>
        <w:instrText>HYPERLINK "mailto:Jessica.m.tercha.ctr@mail.mil"</w:instrText>
      </w:r>
      <w:r w:rsidRPr="00D50F3A">
        <w:rPr>
          <w:rFonts w:ascii="Cambria" w:hAnsi="Cambria"/>
        </w:rPr>
        <w:fldChar w:fldCharType="separate"/>
      </w:r>
      <w:r w:rsidRPr="0010548D">
        <w:rPr>
          <w:rStyle w:val="Hyperlink"/>
          <w:rFonts w:ascii="Cambria" w:hAnsi="Cambria"/>
          <w:color w:val="auto"/>
        </w:rPr>
        <w:t>Jessica.m.tercha.ctr@mail.mil</w:t>
      </w:r>
    </w:p>
    <w:p w:rsidR="005F6CFB" w:rsidRPr="00D50F3A" w:rsidP="005F6CFB" w14:paraId="053A55A4"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fldChar w:fldCharType="end"/>
      </w:r>
      <w:r w:rsidRPr="00D50F3A">
        <w:rPr>
          <w:rFonts w:ascii="Cambria" w:hAnsi="Cambria"/>
        </w:rPr>
        <w:t xml:space="preserve">Ms. Amanda Barry, Director, Military Workplace Climate Research – Fors Marsh Group, </w:t>
      </w:r>
      <w:hyperlink r:id="rId21" w:history="1">
        <w:r w:rsidRPr="0010548D">
          <w:rPr>
            <w:rFonts w:ascii="Cambria" w:hAnsi="Cambria"/>
            <w:u w:val="single"/>
          </w:rPr>
          <w:t>amanda.j.barry2.ctr@mail.mil</w:t>
        </w:r>
      </w:hyperlink>
    </w:p>
    <w:p w:rsidR="005F6CFB" w:rsidRPr="00D50F3A" w:rsidP="005F6CFB" w14:paraId="29F42608"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Dr. Rachel Trump-Steele, Senior Researcher, Military Workplace Climate Research – Fors Marsh, </w:t>
      </w:r>
      <w:hyperlink r:id="rId22" w:history="1">
        <w:r w:rsidRPr="00D50F3A">
          <w:rPr>
            <w:rStyle w:val="Hyperlink"/>
            <w:rFonts w:ascii="Cambria" w:hAnsi="Cambria"/>
            <w:color w:val="auto"/>
          </w:rPr>
          <w:t>rachel.c.trump-steele.ctr@mail.mil</w:t>
        </w:r>
      </w:hyperlink>
    </w:p>
    <w:p w:rsidR="006F1925" w:rsidRPr="00D50F3A" w:rsidP="006F1925" w14:paraId="0E50392F"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Ms. Alyssa McHoes, Research Analyst, Military Workplace Climate Research – Fors Marsh, </w:t>
      </w:r>
      <w:hyperlink r:id="rId23" w:history="1">
        <w:r w:rsidRPr="00D50F3A">
          <w:rPr>
            <w:rStyle w:val="Hyperlink"/>
            <w:rFonts w:ascii="Cambria" w:hAnsi="Cambria"/>
            <w:color w:val="auto"/>
          </w:rPr>
          <w:t>alyssa.n.mchoes.ctr@mail.mil</w:t>
        </w:r>
      </w:hyperlink>
    </w:p>
    <w:p w:rsidR="0042280F" w:rsidRPr="007B7E88" w:rsidP="0042280F" w14:paraId="6AD4278F" w14:textId="77777777">
      <w:pPr>
        <w:pStyle w:val="NormalWeb"/>
        <w:numPr>
          <w:ilvl w:val="0"/>
          <w:numId w:val="5"/>
        </w:numPr>
        <w:spacing w:before="0" w:beforeAutospacing="0" w:after="0" w:afterAutospacing="0" w:line="288" w:lineRule="atLeast"/>
        <w:rPr>
          <w:rFonts w:ascii="Cambria" w:hAnsi="Cambria"/>
        </w:rPr>
      </w:pPr>
      <w:r w:rsidRPr="007B7E88">
        <w:rPr>
          <w:rFonts w:ascii="Cambria" w:hAnsi="Cambria"/>
        </w:rPr>
        <w:t xml:space="preserve">Dr. Chelsea Lonergan, Research Associate, Military Workplace Climate Research – Fors Marsh, </w:t>
      </w:r>
      <w:hyperlink r:id="rId24" w:history="1">
        <w:r w:rsidRPr="007B7E88">
          <w:rPr>
            <w:rStyle w:val="Hyperlink"/>
            <w:rFonts w:ascii="Cambria" w:hAnsi="Cambria"/>
            <w:color w:val="auto"/>
          </w:rPr>
          <w:t>chelsea.a.lonergan.ctr@mail.mil</w:t>
        </w:r>
      </w:hyperlink>
    </w:p>
    <w:p w:rsidR="005F6CFB" w:rsidRPr="00D50F3A" w:rsidP="005F6CFB" w14:paraId="1663D641"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Dr. Marissa Oliver, Quantitative Research Associate, Military Workplace Climate Research – Fors Marsh, </w:t>
      </w:r>
      <w:hyperlink r:id="rId25" w:history="1">
        <w:r w:rsidRPr="00D50F3A">
          <w:rPr>
            <w:rStyle w:val="Hyperlink"/>
            <w:rFonts w:ascii="Cambria" w:hAnsi="Cambria"/>
            <w:color w:val="auto"/>
          </w:rPr>
          <w:t>marissa.l.oliver2.ctr@mail.mil</w:t>
        </w:r>
      </w:hyperlink>
    </w:p>
    <w:p w:rsidR="005F6CFB" w:rsidRPr="00D50F3A" w:rsidP="005F6CFB" w14:paraId="0F1F2AD2"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Dr. Tina Killoran, Senior Researcher, Military Workplace Climate Research – Fors Marsh, </w:t>
      </w:r>
      <w:hyperlink r:id="rId26" w:history="1">
        <w:r w:rsidRPr="00D50F3A">
          <w:rPr>
            <w:rStyle w:val="Hyperlink"/>
            <w:rFonts w:ascii="Cambria" w:hAnsi="Cambria"/>
            <w:color w:val="auto"/>
          </w:rPr>
          <w:t>tina.c.killoran.ctr@mail.mil</w:t>
        </w:r>
      </w:hyperlink>
    </w:p>
    <w:p w:rsidR="005F6CFB" w:rsidRPr="007B7E88" w:rsidP="005F6CFB" w14:paraId="428FED2A" w14:textId="77777777">
      <w:pPr>
        <w:pStyle w:val="NormalWeb"/>
        <w:numPr>
          <w:ilvl w:val="0"/>
          <w:numId w:val="5"/>
        </w:numPr>
        <w:spacing w:before="0" w:beforeAutospacing="0" w:after="0" w:afterAutospacing="0" w:line="288" w:lineRule="atLeast"/>
        <w:rPr>
          <w:rFonts w:ascii="Cambria" w:hAnsi="Cambria"/>
        </w:rPr>
      </w:pPr>
      <w:r w:rsidRPr="00D50F3A">
        <w:rPr>
          <w:rFonts w:ascii="Cambria" w:hAnsi="Cambria"/>
        </w:rPr>
        <w:t xml:space="preserve">Mr. Willie Cosner, Research Analyst, Military Workplace Climate Research – Fors Marsh, </w:t>
      </w:r>
      <w:hyperlink r:id="rId27" w:history="1">
        <w:r w:rsidRPr="007B7E88">
          <w:rPr>
            <w:rStyle w:val="Hyperlink"/>
            <w:rFonts w:ascii="Cambria" w:hAnsi="Cambria"/>
            <w:color w:val="auto"/>
          </w:rPr>
          <w:t>william.p.cosner.ctr@mail.mil</w:t>
        </w:r>
      </w:hyperlink>
    </w:p>
    <w:p w:rsidR="005F6CFB" w:rsidRPr="007B7E88" w:rsidP="005F6CFB" w14:paraId="268A437E" w14:textId="77777777">
      <w:pPr>
        <w:pStyle w:val="NormalWeb"/>
        <w:numPr>
          <w:ilvl w:val="0"/>
          <w:numId w:val="5"/>
        </w:numPr>
        <w:spacing w:before="0" w:beforeAutospacing="0" w:after="0" w:afterAutospacing="0" w:line="288" w:lineRule="atLeast"/>
        <w:rPr>
          <w:rFonts w:ascii="Cambria" w:hAnsi="Cambria"/>
        </w:rPr>
      </w:pPr>
      <w:r w:rsidRPr="007B7E88">
        <w:rPr>
          <w:rFonts w:ascii="Cambria" w:hAnsi="Cambria"/>
        </w:rPr>
        <w:t xml:space="preserve">Dr. Andrew Pomerville, Research Associate, Military Workplace Climate Research – Fors Marsh, </w:t>
      </w:r>
      <w:hyperlink r:id="rId28" w:history="1">
        <w:r w:rsidRPr="007B7E88">
          <w:rPr>
            <w:rStyle w:val="Hyperlink"/>
            <w:rFonts w:ascii="Cambria" w:hAnsi="Cambria"/>
            <w:color w:val="auto"/>
          </w:rPr>
          <w:t>andrew.j.pomerville.ctr@mail.mil</w:t>
        </w:r>
      </w:hyperlink>
    </w:p>
    <w:p w:rsidR="000B46F9" w:rsidRPr="007B7E88" w:rsidP="000B46F9" w14:paraId="5142AC15" w14:textId="49CBA309">
      <w:pPr>
        <w:pStyle w:val="NormalWeb"/>
        <w:spacing w:before="0" w:beforeAutospacing="0" w:after="0" w:afterAutospacing="0" w:line="288" w:lineRule="atLeast"/>
        <w:rPr>
          <w:rStyle w:val="Hyperlink"/>
          <w:rFonts w:ascii="Cambria" w:hAnsi="Cambria"/>
          <w:color w:val="auto"/>
        </w:rPr>
      </w:pPr>
    </w:p>
    <w:p w:rsidR="000B46F9" w:rsidRPr="007B7E88" w:rsidP="00B64F48" w14:paraId="2A988450" w14:textId="09D5E92E">
      <w:pPr>
        <w:pStyle w:val="NormalWeb"/>
        <w:spacing w:before="0" w:beforeAutospacing="0" w:after="0" w:afterAutospacing="0" w:line="288" w:lineRule="atLeast"/>
        <w:rPr>
          <w:rFonts w:ascii="Cambria" w:hAnsi="Cambria"/>
        </w:rPr>
      </w:pPr>
      <w:r w:rsidRPr="007B7E88">
        <w:rPr>
          <w:rFonts w:ascii="Cambria" w:hAnsi="Cambria"/>
        </w:rPr>
        <w:t>OPA Methods, Analysis, and Systems Support</w:t>
      </w:r>
    </w:p>
    <w:p w:rsidR="007B7E88" w:rsidRPr="007B7E88" w:rsidP="007B7E88" w14:paraId="3C4141CD" w14:textId="1AA5FB9B">
      <w:pPr>
        <w:pStyle w:val="NormalWeb"/>
        <w:numPr>
          <w:ilvl w:val="0"/>
          <w:numId w:val="5"/>
        </w:numPr>
        <w:spacing w:before="0" w:beforeAutospacing="0" w:after="0" w:afterAutospacing="0" w:line="288" w:lineRule="atLeast"/>
        <w:rPr>
          <w:rFonts w:ascii="Cambria" w:hAnsi="Cambria"/>
        </w:rPr>
      </w:pPr>
      <w:r>
        <w:rPr>
          <w:rFonts w:ascii="Cambria" w:hAnsi="Cambria"/>
        </w:rPr>
        <w:t>D</w:t>
      </w:r>
      <w:r w:rsidRPr="00292385">
        <w:rPr>
          <w:rFonts w:ascii="Cambria" w:hAnsi="Cambria"/>
        </w:rPr>
        <w:t>r. Matthew Scheidt, Statistics Team Lead</w:t>
      </w:r>
      <w:r w:rsidRPr="007B7E88">
        <w:rPr>
          <w:rFonts w:ascii="Cambria" w:hAnsi="Cambria"/>
        </w:rPr>
        <w:t xml:space="preserve"> </w:t>
      </w:r>
      <w:hyperlink r:id="rId9" w:history="1">
        <w:r w:rsidRPr="00292385">
          <w:rPr>
            <w:rStyle w:val="Hyperlink"/>
            <w:rFonts w:ascii="Cambria" w:hAnsi="Cambria"/>
            <w:color w:val="auto"/>
          </w:rPr>
          <w:t>matthew.s.scheidt.civ@mail.mil</w:t>
        </w:r>
      </w:hyperlink>
      <w:r w:rsidRPr="007B7E88">
        <w:rPr>
          <w:rFonts w:ascii="Cambria" w:hAnsi="Cambria"/>
        </w:rPr>
        <w:t xml:space="preserve"> </w:t>
      </w:r>
    </w:p>
    <w:p w:rsidR="00E629EF" w:rsidRPr="00B64F48" w:rsidP="00ED08E0" w14:paraId="217EC968" w14:textId="66C20CF1">
      <w:pPr>
        <w:pStyle w:val="NormalWeb"/>
        <w:numPr>
          <w:ilvl w:val="0"/>
          <w:numId w:val="5"/>
        </w:numPr>
        <w:spacing w:before="0" w:beforeAutospacing="0" w:after="0" w:afterAutospacing="0" w:line="288" w:lineRule="atLeast"/>
        <w:rPr>
          <w:rStyle w:val="Hyperlink"/>
          <w:color w:val="auto"/>
          <w:u w:val="none"/>
        </w:rPr>
      </w:pPr>
      <w:r w:rsidRPr="007B7E88">
        <w:rPr>
          <w:rFonts w:ascii="Cambria" w:hAnsi="Cambria"/>
        </w:rPr>
        <w:t xml:space="preserve">Mr. </w:t>
      </w:r>
      <w:r w:rsidRPr="00D30145">
        <w:rPr>
          <w:rFonts w:ascii="Cambria" w:hAnsi="Cambria"/>
        </w:rPr>
        <w:t>J</w:t>
      </w:r>
      <w:r w:rsidRPr="00D30145" w:rsidR="00CE3643">
        <w:rPr>
          <w:rFonts w:ascii="Cambria" w:hAnsi="Cambria"/>
        </w:rPr>
        <w:t xml:space="preserve">ohn Paul Bisciotti, </w:t>
      </w:r>
      <w:r w:rsidRPr="00D30145" w:rsidR="002E7CE1">
        <w:rPr>
          <w:rFonts w:ascii="Cambria" w:hAnsi="Cambria"/>
        </w:rPr>
        <w:t xml:space="preserve">Operations Research Analyst </w:t>
      </w:r>
      <w:hyperlink r:id="rId29" w:history="1">
        <w:r w:rsidRPr="007B7E88" w:rsidR="007B7E88">
          <w:rPr>
            <w:rStyle w:val="Hyperlink"/>
            <w:rFonts w:ascii="Cambria" w:hAnsi="Cambria"/>
            <w:color w:val="auto"/>
          </w:rPr>
          <w:t>johnpaul.bisciotti.civ@mail.mil</w:t>
        </w:r>
      </w:hyperlink>
    </w:p>
    <w:p w:rsidR="00FB7D29" w:rsidP="00ED08E0" w14:paraId="6DA708CC" w14:textId="77777777">
      <w:pPr>
        <w:pStyle w:val="NormalWeb"/>
        <w:spacing w:before="0" w:beforeAutospacing="0" w:after="0" w:afterAutospacing="0" w:line="288" w:lineRule="atLeast"/>
        <w:ind w:left="360"/>
        <w:rPr>
          <w:rFonts w:ascii="Cambria" w:hAnsi="Cambria"/>
        </w:rPr>
      </w:pPr>
    </w:p>
    <w:p w:rsidR="00046FC1" w:rsidRPr="00D30145" w:rsidP="00ED08E0" w14:paraId="5C549D9F" w14:textId="77777777">
      <w:pPr>
        <w:pStyle w:val="NormalWeb"/>
        <w:spacing w:before="0" w:beforeAutospacing="0" w:after="0" w:afterAutospacing="0" w:line="288" w:lineRule="atLeast"/>
        <w:ind w:left="360"/>
        <w:rPr>
          <w:rFonts w:ascii="Cambria" w:hAnsi="Cambria"/>
        </w:rPr>
      </w:pPr>
    </w:p>
    <w:sectPr w:rsidSect="00FC6F85">
      <w:footerReference w:type="default" r:id="rId3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4231BE08" w14:textId="77777777">
    <w:pPr>
      <w:pStyle w:val="Footer"/>
      <w:jc w:val="center"/>
    </w:pPr>
    <w:r>
      <w:fldChar w:fldCharType="begin"/>
    </w:r>
    <w:r>
      <w:instrText xml:space="preserve"> PAGE   \* MERGEFORMAT </w:instrText>
    </w:r>
    <w:r>
      <w:fldChar w:fldCharType="separate"/>
    </w:r>
    <w:r w:rsidR="00560BED">
      <w:rPr>
        <w:noProof/>
      </w:rPr>
      <w:t>2</w:t>
    </w:r>
    <w:r>
      <w:fldChar w:fldCharType="end"/>
    </w:r>
  </w:p>
  <w:p w:rsidR="00977A74" w14:paraId="095412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551F"/>
    <w:multiLevelType w:val="hybridMultilevel"/>
    <w:tmpl w:val="94FC059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
    <w:nsid w:val="062E33E8"/>
    <w:multiLevelType w:val="hybridMultilevel"/>
    <w:tmpl w:val="C0924D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D21993"/>
    <w:multiLevelType w:val="hybridMultilevel"/>
    <w:tmpl w:val="971A4EC6"/>
    <w:lvl w:ilvl="0">
      <w:start w:val="1"/>
      <w:numFmt w:val="lowerLetter"/>
      <w:lvlText w:val="%1."/>
      <w:lvlJc w:val="left"/>
      <w:pPr>
        <w:ind w:left="198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43F429C4"/>
    <w:multiLevelType w:val="hybridMultilevel"/>
    <w:tmpl w:val="3696856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4">
    <w:nsid w:val="677374B1"/>
    <w:multiLevelType w:val="hybridMultilevel"/>
    <w:tmpl w:val="8A2AEDD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90461B6"/>
    <w:multiLevelType w:val="hybridMultilevel"/>
    <w:tmpl w:val="85662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1492770">
    <w:abstractNumId w:val="0"/>
  </w:num>
  <w:num w:numId="2" w16cid:durableId="1579947675">
    <w:abstractNumId w:val="1"/>
  </w:num>
  <w:num w:numId="3" w16cid:durableId="1651330455">
    <w:abstractNumId w:val="2"/>
  </w:num>
  <w:num w:numId="4" w16cid:durableId="650408847">
    <w:abstractNumId w:val="3"/>
  </w:num>
  <w:num w:numId="5" w16cid:durableId="1824157407">
    <w:abstractNumId w:val="6"/>
  </w:num>
  <w:num w:numId="6" w16cid:durableId="1695303379">
    <w:abstractNumId w:val="4"/>
  </w:num>
  <w:num w:numId="7" w16cid:durableId="1745564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404C"/>
    <w:rsid w:val="00010E50"/>
    <w:rsid w:val="00011DC0"/>
    <w:rsid w:val="0001590C"/>
    <w:rsid w:val="00022610"/>
    <w:rsid w:val="00024778"/>
    <w:rsid w:val="000300D1"/>
    <w:rsid w:val="00036198"/>
    <w:rsid w:val="00037234"/>
    <w:rsid w:val="000408C2"/>
    <w:rsid w:val="0004688E"/>
    <w:rsid w:val="00046FC1"/>
    <w:rsid w:val="00050B3A"/>
    <w:rsid w:val="00050D3E"/>
    <w:rsid w:val="00054A2C"/>
    <w:rsid w:val="00057F82"/>
    <w:rsid w:val="0006023B"/>
    <w:rsid w:val="00061600"/>
    <w:rsid w:val="00063307"/>
    <w:rsid w:val="0006528A"/>
    <w:rsid w:val="000656BA"/>
    <w:rsid w:val="00066DD5"/>
    <w:rsid w:val="000711A4"/>
    <w:rsid w:val="0007457F"/>
    <w:rsid w:val="000770B5"/>
    <w:rsid w:val="00077CEF"/>
    <w:rsid w:val="00082BD9"/>
    <w:rsid w:val="00084EC4"/>
    <w:rsid w:val="0009146C"/>
    <w:rsid w:val="000953BD"/>
    <w:rsid w:val="000965D6"/>
    <w:rsid w:val="000A0B3F"/>
    <w:rsid w:val="000A12C1"/>
    <w:rsid w:val="000A3E93"/>
    <w:rsid w:val="000B1B9D"/>
    <w:rsid w:val="000B46F9"/>
    <w:rsid w:val="000B76A5"/>
    <w:rsid w:val="000C5D97"/>
    <w:rsid w:val="000C619D"/>
    <w:rsid w:val="000C6FB1"/>
    <w:rsid w:val="000D26DA"/>
    <w:rsid w:val="000D352F"/>
    <w:rsid w:val="000D4383"/>
    <w:rsid w:val="000D5B8E"/>
    <w:rsid w:val="000D7744"/>
    <w:rsid w:val="000E07DC"/>
    <w:rsid w:val="000E0CDC"/>
    <w:rsid w:val="000E4879"/>
    <w:rsid w:val="000E5B03"/>
    <w:rsid w:val="000F28D8"/>
    <w:rsid w:val="000F3F2A"/>
    <w:rsid w:val="00100340"/>
    <w:rsid w:val="0010548D"/>
    <w:rsid w:val="0010778C"/>
    <w:rsid w:val="00111B5D"/>
    <w:rsid w:val="0011279F"/>
    <w:rsid w:val="00122788"/>
    <w:rsid w:val="00125BE7"/>
    <w:rsid w:val="00130BBC"/>
    <w:rsid w:val="00131F1E"/>
    <w:rsid w:val="00140399"/>
    <w:rsid w:val="00145B86"/>
    <w:rsid w:val="00153289"/>
    <w:rsid w:val="00157188"/>
    <w:rsid w:val="00157304"/>
    <w:rsid w:val="00160E56"/>
    <w:rsid w:val="00162F24"/>
    <w:rsid w:val="001635C2"/>
    <w:rsid w:val="00164ABC"/>
    <w:rsid w:val="00165D17"/>
    <w:rsid w:val="00166BAE"/>
    <w:rsid w:val="00172F13"/>
    <w:rsid w:val="001772DE"/>
    <w:rsid w:val="0017792F"/>
    <w:rsid w:val="0019117B"/>
    <w:rsid w:val="001A486B"/>
    <w:rsid w:val="001A606E"/>
    <w:rsid w:val="001A765D"/>
    <w:rsid w:val="001B0413"/>
    <w:rsid w:val="001B4563"/>
    <w:rsid w:val="001C03B8"/>
    <w:rsid w:val="001C29B1"/>
    <w:rsid w:val="001C34D8"/>
    <w:rsid w:val="001C4393"/>
    <w:rsid w:val="001C4E58"/>
    <w:rsid w:val="001C6678"/>
    <w:rsid w:val="001D0396"/>
    <w:rsid w:val="001D6098"/>
    <w:rsid w:val="001E1942"/>
    <w:rsid w:val="001E3291"/>
    <w:rsid w:val="001F3797"/>
    <w:rsid w:val="001F50A5"/>
    <w:rsid w:val="001F6082"/>
    <w:rsid w:val="001F7261"/>
    <w:rsid w:val="00207B06"/>
    <w:rsid w:val="002111F3"/>
    <w:rsid w:val="00211574"/>
    <w:rsid w:val="002207E2"/>
    <w:rsid w:val="00222121"/>
    <w:rsid w:val="00224C31"/>
    <w:rsid w:val="0022700A"/>
    <w:rsid w:val="00230DE2"/>
    <w:rsid w:val="00231D11"/>
    <w:rsid w:val="00231DF5"/>
    <w:rsid w:val="00233711"/>
    <w:rsid w:val="0024009B"/>
    <w:rsid w:val="00250A09"/>
    <w:rsid w:val="00251EA6"/>
    <w:rsid w:val="002560B7"/>
    <w:rsid w:val="002710F7"/>
    <w:rsid w:val="00271B44"/>
    <w:rsid w:val="00271FAE"/>
    <w:rsid w:val="0029085D"/>
    <w:rsid w:val="00292385"/>
    <w:rsid w:val="00296B4E"/>
    <w:rsid w:val="00297DDA"/>
    <w:rsid w:val="002A6F74"/>
    <w:rsid w:val="002A74D7"/>
    <w:rsid w:val="002B03D3"/>
    <w:rsid w:val="002B0BE8"/>
    <w:rsid w:val="002B6672"/>
    <w:rsid w:val="002B6C0E"/>
    <w:rsid w:val="002B7736"/>
    <w:rsid w:val="002B7BEB"/>
    <w:rsid w:val="002C49AE"/>
    <w:rsid w:val="002C5FF7"/>
    <w:rsid w:val="002D0BB7"/>
    <w:rsid w:val="002D7F37"/>
    <w:rsid w:val="002E3375"/>
    <w:rsid w:val="002E7CE1"/>
    <w:rsid w:val="002F35A8"/>
    <w:rsid w:val="002F6134"/>
    <w:rsid w:val="002F7965"/>
    <w:rsid w:val="002F7C5C"/>
    <w:rsid w:val="0030008B"/>
    <w:rsid w:val="00302450"/>
    <w:rsid w:val="00303A8A"/>
    <w:rsid w:val="00316205"/>
    <w:rsid w:val="003200E3"/>
    <w:rsid w:val="00327D47"/>
    <w:rsid w:val="00331D91"/>
    <w:rsid w:val="0033798C"/>
    <w:rsid w:val="00340AA8"/>
    <w:rsid w:val="00343E00"/>
    <w:rsid w:val="003469CF"/>
    <w:rsid w:val="003475C6"/>
    <w:rsid w:val="00365065"/>
    <w:rsid w:val="003673B3"/>
    <w:rsid w:val="00370877"/>
    <w:rsid w:val="00382278"/>
    <w:rsid w:val="00382801"/>
    <w:rsid w:val="00383907"/>
    <w:rsid w:val="00387767"/>
    <w:rsid w:val="00392F36"/>
    <w:rsid w:val="00395B85"/>
    <w:rsid w:val="003A4CEB"/>
    <w:rsid w:val="003A666D"/>
    <w:rsid w:val="003B20B1"/>
    <w:rsid w:val="003B4664"/>
    <w:rsid w:val="003B7338"/>
    <w:rsid w:val="003C6280"/>
    <w:rsid w:val="003D00DC"/>
    <w:rsid w:val="003D4672"/>
    <w:rsid w:val="003E1AEE"/>
    <w:rsid w:val="003E32E1"/>
    <w:rsid w:val="003F5F31"/>
    <w:rsid w:val="00400CD3"/>
    <w:rsid w:val="004078AD"/>
    <w:rsid w:val="00421098"/>
    <w:rsid w:val="00421553"/>
    <w:rsid w:val="0042280F"/>
    <w:rsid w:val="00424D39"/>
    <w:rsid w:val="004273C8"/>
    <w:rsid w:val="004327BF"/>
    <w:rsid w:val="00436752"/>
    <w:rsid w:val="004375A6"/>
    <w:rsid w:val="0044017F"/>
    <w:rsid w:val="00441944"/>
    <w:rsid w:val="00445F9F"/>
    <w:rsid w:val="00451611"/>
    <w:rsid w:val="00471B3A"/>
    <w:rsid w:val="004815F9"/>
    <w:rsid w:val="00482FF4"/>
    <w:rsid w:val="00486C33"/>
    <w:rsid w:val="00486DE2"/>
    <w:rsid w:val="004915A2"/>
    <w:rsid w:val="00492562"/>
    <w:rsid w:val="00492BCB"/>
    <w:rsid w:val="00493F52"/>
    <w:rsid w:val="00494293"/>
    <w:rsid w:val="00497895"/>
    <w:rsid w:val="004A314E"/>
    <w:rsid w:val="004A4199"/>
    <w:rsid w:val="004A4A00"/>
    <w:rsid w:val="004B02E5"/>
    <w:rsid w:val="004B37AC"/>
    <w:rsid w:val="004B55E9"/>
    <w:rsid w:val="004B6DF8"/>
    <w:rsid w:val="004B7345"/>
    <w:rsid w:val="004B7AB4"/>
    <w:rsid w:val="004C0C75"/>
    <w:rsid w:val="004D0BDE"/>
    <w:rsid w:val="004D6D6D"/>
    <w:rsid w:val="004D71D6"/>
    <w:rsid w:val="004D740E"/>
    <w:rsid w:val="004E34A8"/>
    <w:rsid w:val="004E66DF"/>
    <w:rsid w:val="004F20AF"/>
    <w:rsid w:val="00502AF1"/>
    <w:rsid w:val="00511F22"/>
    <w:rsid w:val="00514762"/>
    <w:rsid w:val="0051759E"/>
    <w:rsid w:val="00517F70"/>
    <w:rsid w:val="0052153C"/>
    <w:rsid w:val="005270F6"/>
    <w:rsid w:val="00527FC2"/>
    <w:rsid w:val="00531201"/>
    <w:rsid w:val="00531C00"/>
    <w:rsid w:val="005350A6"/>
    <w:rsid w:val="0053799F"/>
    <w:rsid w:val="0054131B"/>
    <w:rsid w:val="00547B16"/>
    <w:rsid w:val="00554E79"/>
    <w:rsid w:val="00556C58"/>
    <w:rsid w:val="00560BED"/>
    <w:rsid w:val="00563CB3"/>
    <w:rsid w:val="00564882"/>
    <w:rsid w:val="00570099"/>
    <w:rsid w:val="00580229"/>
    <w:rsid w:val="00580F92"/>
    <w:rsid w:val="00590142"/>
    <w:rsid w:val="0059308E"/>
    <w:rsid w:val="005A630E"/>
    <w:rsid w:val="005C10B7"/>
    <w:rsid w:val="005D1235"/>
    <w:rsid w:val="005D4F9B"/>
    <w:rsid w:val="005D5E28"/>
    <w:rsid w:val="005D665A"/>
    <w:rsid w:val="005E0A0F"/>
    <w:rsid w:val="005E2BEF"/>
    <w:rsid w:val="005E3F14"/>
    <w:rsid w:val="005F6CFB"/>
    <w:rsid w:val="006022F0"/>
    <w:rsid w:val="00602CC0"/>
    <w:rsid w:val="00604773"/>
    <w:rsid w:val="00611135"/>
    <w:rsid w:val="0061138D"/>
    <w:rsid w:val="00612473"/>
    <w:rsid w:val="006143F3"/>
    <w:rsid w:val="00623D00"/>
    <w:rsid w:val="00631953"/>
    <w:rsid w:val="00631BBC"/>
    <w:rsid w:val="00634207"/>
    <w:rsid w:val="0063581A"/>
    <w:rsid w:val="00635A9E"/>
    <w:rsid w:val="006507D1"/>
    <w:rsid w:val="00651651"/>
    <w:rsid w:val="00656FC7"/>
    <w:rsid w:val="0066019F"/>
    <w:rsid w:val="006608D3"/>
    <w:rsid w:val="00661810"/>
    <w:rsid w:val="00661D51"/>
    <w:rsid w:val="006664B9"/>
    <w:rsid w:val="0067229D"/>
    <w:rsid w:val="00673A51"/>
    <w:rsid w:val="00680DAC"/>
    <w:rsid w:val="006908DE"/>
    <w:rsid w:val="00691286"/>
    <w:rsid w:val="006922CA"/>
    <w:rsid w:val="006925E1"/>
    <w:rsid w:val="006944E7"/>
    <w:rsid w:val="0069488B"/>
    <w:rsid w:val="0069711C"/>
    <w:rsid w:val="00697518"/>
    <w:rsid w:val="00697B1C"/>
    <w:rsid w:val="006A3990"/>
    <w:rsid w:val="006A7927"/>
    <w:rsid w:val="006B2B17"/>
    <w:rsid w:val="006B37D8"/>
    <w:rsid w:val="006B65A5"/>
    <w:rsid w:val="006C3367"/>
    <w:rsid w:val="006D12B4"/>
    <w:rsid w:val="006D5F9C"/>
    <w:rsid w:val="006E05FB"/>
    <w:rsid w:val="006F0EB0"/>
    <w:rsid w:val="006F1925"/>
    <w:rsid w:val="006F36D4"/>
    <w:rsid w:val="006F3F40"/>
    <w:rsid w:val="006F4D07"/>
    <w:rsid w:val="006F5527"/>
    <w:rsid w:val="006F5890"/>
    <w:rsid w:val="007017E2"/>
    <w:rsid w:val="00707FFE"/>
    <w:rsid w:val="0071648A"/>
    <w:rsid w:val="007165EF"/>
    <w:rsid w:val="0072383B"/>
    <w:rsid w:val="00730B9C"/>
    <w:rsid w:val="007314BB"/>
    <w:rsid w:val="00731AAD"/>
    <w:rsid w:val="0073332F"/>
    <w:rsid w:val="00736774"/>
    <w:rsid w:val="00740066"/>
    <w:rsid w:val="00750F0E"/>
    <w:rsid w:val="00754704"/>
    <w:rsid w:val="00757E0B"/>
    <w:rsid w:val="00761B19"/>
    <w:rsid w:val="00765C01"/>
    <w:rsid w:val="007708C4"/>
    <w:rsid w:val="00772FA4"/>
    <w:rsid w:val="0077382D"/>
    <w:rsid w:val="00774600"/>
    <w:rsid w:val="00775FC3"/>
    <w:rsid w:val="00785214"/>
    <w:rsid w:val="007859C3"/>
    <w:rsid w:val="00787620"/>
    <w:rsid w:val="00793374"/>
    <w:rsid w:val="007A07DA"/>
    <w:rsid w:val="007A0B90"/>
    <w:rsid w:val="007A1CC1"/>
    <w:rsid w:val="007A2107"/>
    <w:rsid w:val="007A2B48"/>
    <w:rsid w:val="007A4D60"/>
    <w:rsid w:val="007A67DF"/>
    <w:rsid w:val="007B66B7"/>
    <w:rsid w:val="007B7E88"/>
    <w:rsid w:val="007C530A"/>
    <w:rsid w:val="007D218C"/>
    <w:rsid w:val="007D3652"/>
    <w:rsid w:val="007D7D94"/>
    <w:rsid w:val="007D7F9F"/>
    <w:rsid w:val="007E6CAD"/>
    <w:rsid w:val="008010E4"/>
    <w:rsid w:val="00801B77"/>
    <w:rsid w:val="00803D15"/>
    <w:rsid w:val="00805CFF"/>
    <w:rsid w:val="00806D95"/>
    <w:rsid w:val="0081302C"/>
    <w:rsid w:val="00814B1D"/>
    <w:rsid w:val="00817293"/>
    <w:rsid w:val="008237CE"/>
    <w:rsid w:val="0082606C"/>
    <w:rsid w:val="008279A3"/>
    <w:rsid w:val="0083350F"/>
    <w:rsid w:val="0083798C"/>
    <w:rsid w:val="00844148"/>
    <w:rsid w:val="008478E2"/>
    <w:rsid w:val="00852A70"/>
    <w:rsid w:val="00853B04"/>
    <w:rsid w:val="00857CE5"/>
    <w:rsid w:val="00860E27"/>
    <w:rsid w:val="00861064"/>
    <w:rsid w:val="00861CEF"/>
    <w:rsid w:val="00867CAA"/>
    <w:rsid w:val="0088582F"/>
    <w:rsid w:val="00894891"/>
    <w:rsid w:val="0089728A"/>
    <w:rsid w:val="008A019F"/>
    <w:rsid w:val="008A1504"/>
    <w:rsid w:val="008A640C"/>
    <w:rsid w:val="008B20D1"/>
    <w:rsid w:val="008B50FE"/>
    <w:rsid w:val="008C0EB4"/>
    <w:rsid w:val="008C59FB"/>
    <w:rsid w:val="008C5DA9"/>
    <w:rsid w:val="008C79CD"/>
    <w:rsid w:val="008D04E5"/>
    <w:rsid w:val="008D1A00"/>
    <w:rsid w:val="008D34B2"/>
    <w:rsid w:val="008D5A56"/>
    <w:rsid w:val="008E7374"/>
    <w:rsid w:val="008F1237"/>
    <w:rsid w:val="008F270B"/>
    <w:rsid w:val="008F52CA"/>
    <w:rsid w:val="009034B5"/>
    <w:rsid w:val="0090443B"/>
    <w:rsid w:val="00905C56"/>
    <w:rsid w:val="009105CA"/>
    <w:rsid w:val="00911A83"/>
    <w:rsid w:val="00912299"/>
    <w:rsid w:val="00912BC6"/>
    <w:rsid w:val="00912D2F"/>
    <w:rsid w:val="009133CA"/>
    <w:rsid w:val="009179F2"/>
    <w:rsid w:val="009209A7"/>
    <w:rsid w:val="00922BB3"/>
    <w:rsid w:val="00934480"/>
    <w:rsid w:val="00934CE1"/>
    <w:rsid w:val="00943A38"/>
    <w:rsid w:val="00943D8B"/>
    <w:rsid w:val="009544F4"/>
    <w:rsid w:val="00955EB1"/>
    <w:rsid w:val="0095629C"/>
    <w:rsid w:val="00957133"/>
    <w:rsid w:val="00960B7C"/>
    <w:rsid w:val="00963F7D"/>
    <w:rsid w:val="009709BD"/>
    <w:rsid w:val="00977A74"/>
    <w:rsid w:val="00990030"/>
    <w:rsid w:val="009926FB"/>
    <w:rsid w:val="009944DB"/>
    <w:rsid w:val="009958CA"/>
    <w:rsid w:val="00995C48"/>
    <w:rsid w:val="00997B5E"/>
    <w:rsid w:val="00997E5E"/>
    <w:rsid w:val="009A391B"/>
    <w:rsid w:val="009B1415"/>
    <w:rsid w:val="009C1353"/>
    <w:rsid w:val="009C2135"/>
    <w:rsid w:val="009C54D3"/>
    <w:rsid w:val="009C6A18"/>
    <w:rsid w:val="009D2B0F"/>
    <w:rsid w:val="009D3C56"/>
    <w:rsid w:val="009D49F3"/>
    <w:rsid w:val="009D5259"/>
    <w:rsid w:val="009D7672"/>
    <w:rsid w:val="009E2F27"/>
    <w:rsid w:val="009E3C37"/>
    <w:rsid w:val="009F0B30"/>
    <w:rsid w:val="009F1A35"/>
    <w:rsid w:val="009F28DB"/>
    <w:rsid w:val="009F295C"/>
    <w:rsid w:val="009F2C0E"/>
    <w:rsid w:val="009F4B93"/>
    <w:rsid w:val="009F71D9"/>
    <w:rsid w:val="00A01A12"/>
    <w:rsid w:val="00A040BB"/>
    <w:rsid w:val="00A114CE"/>
    <w:rsid w:val="00A11A57"/>
    <w:rsid w:val="00A14018"/>
    <w:rsid w:val="00A164C0"/>
    <w:rsid w:val="00A24253"/>
    <w:rsid w:val="00A24D4B"/>
    <w:rsid w:val="00A25737"/>
    <w:rsid w:val="00A27CB4"/>
    <w:rsid w:val="00A31682"/>
    <w:rsid w:val="00A4284B"/>
    <w:rsid w:val="00A50CDA"/>
    <w:rsid w:val="00A547C7"/>
    <w:rsid w:val="00A55BC5"/>
    <w:rsid w:val="00A62247"/>
    <w:rsid w:val="00A62276"/>
    <w:rsid w:val="00A73F16"/>
    <w:rsid w:val="00A740EE"/>
    <w:rsid w:val="00A763FC"/>
    <w:rsid w:val="00A82DFD"/>
    <w:rsid w:val="00A87951"/>
    <w:rsid w:val="00A9034B"/>
    <w:rsid w:val="00A919A6"/>
    <w:rsid w:val="00A93CBF"/>
    <w:rsid w:val="00A94E4F"/>
    <w:rsid w:val="00A95304"/>
    <w:rsid w:val="00AA21B7"/>
    <w:rsid w:val="00AA78F8"/>
    <w:rsid w:val="00AC111F"/>
    <w:rsid w:val="00AC11F7"/>
    <w:rsid w:val="00AC13DE"/>
    <w:rsid w:val="00AC3A90"/>
    <w:rsid w:val="00AC6E27"/>
    <w:rsid w:val="00AD00FE"/>
    <w:rsid w:val="00AE7FFA"/>
    <w:rsid w:val="00AF2AA7"/>
    <w:rsid w:val="00AF3EC4"/>
    <w:rsid w:val="00AF7F55"/>
    <w:rsid w:val="00B010E3"/>
    <w:rsid w:val="00B111F6"/>
    <w:rsid w:val="00B126BF"/>
    <w:rsid w:val="00B16D96"/>
    <w:rsid w:val="00B20469"/>
    <w:rsid w:val="00B20ACD"/>
    <w:rsid w:val="00B219F7"/>
    <w:rsid w:val="00B449F5"/>
    <w:rsid w:val="00B4545C"/>
    <w:rsid w:val="00B46944"/>
    <w:rsid w:val="00B501DB"/>
    <w:rsid w:val="00B50338"/>
    <w:rsid w:val="00B52FBF"/>
    <w:rsid w:val="00B531D2"/>
    <w:rsid w:val="00B565D7"/>
    <w:rsid w:val="00B56E42"/>
    <w:rsid w:val="00B571A0"/>
    <w:rsid w:val="00B62999"/>
    <w:rsid w:val="00B64F48"/>
    <w:rsid w:val="00B676F6"/>
    <w:rsid w:val="00B708D9"/>
    <w:rsid w:val="00B76D67"/>
    <w:rsid w:val="00B803D2"/>
    <w:rsid w:val="00B85717"/>
    <w:rsid w:val="00B87823"/>
    <w:rsid w:val="00B9257A"/>
    <w:rsid w:val="00B944B0"/>
    <w:rsid w:val="00B95489"/>
    <w:rsid w:val="00BA128B"/>
    <w:rsid w:val="00BA12C7"/>
    <w:rsid w:val="00BA1394"/>
    <w:rsid w:val="00BB2EA1"/>
    <w:rsid w:val="00BB4214"/>
    <w:rsid w:val="00BB4993"/>
    <w:rsid w:val="00BB67E7"/>
    <w:rsid w:val="00BD1F17"/>
    <w:rsid w:val="00BD7C05"/>
    <w:rsid w:val="00BE1D45"/>
    <w:rsid w:val="00BE3A88"/>
    <w:rsid w:val="00BF220B"/>
    <w:rsid w:val="00BF2588"/>
    <w:rsid w:val="00BF2828"/>
    <w:rsid w:val="00BF456F"/>
    <w:rsid w:val="00BF6DF1"/>
    <w:rsid w:val="00C0405A"/>
    <w:rsid w:val="00C0563C"/>
    <w:rsid w:val="00C152A4"/>
    <w:rsid w:val="00C15964"/>
    <w:rsid w:val="00C221C2"/>
    <w:rsid w:val="00C24111"/>
    <w:rsid w:val="00C25DCC"/>
    <w:rsid w:val="00C3085B"/>
    <w:rsid w:val="00C31AC6"/>
    <w:rsid w:val="00C34C80"/>
    <w:rsid w:val="00C34D08"/>
    <w:rsid w:val="00C503CE"/>
    <w:rsid w:val="00C53FA6"/>
    <w:rsid w:val="00C5560E"/>
    <w:rsid w:val="00C55A6F"/>
    <w:rsid w:val="00C6328D"/>
    <w:rsid w:val="00C64BE7"/>
    <w:rsid w:val="00C65798"/>
    <w:rsid w:val="00C66D8C"/>
    <w:rsid w:val="00C7215A"/>
    <w:rsid w:val="00C802DA"/>
    <w:rsid w:val="00C85994"/>
    <w:rsid w:val="00C86A9F"/>
    <w:rsid w:val="00C87682"/>
    <w:rsid w:val="00C9367D"/>
    <w:rsid w:val="00CA5089"/>
    <w:rsid w:val="00CA7E4D"/>
    <w:rsid w:val="00CB1A63"/>
    <w:rsid w:val="00CB2564"/>
    <w:rsid w:val="00CB37B0"/>
    <w:rsid w:val="00CC23E6"/>
    <w:rsid w:val="00CC2DB3"/>
    <w:rsid w:val="00CC6224"/>
    <w:rsid w:val="00CC6E45"/>
    <w:rsid w:val="00CD1690"/>
    <w:rsid w:val="00CD233D"/>
    <w:rsid w:val="00CE3643"/>
    <w:rsid w:val="00CE67F0"/>
    <w:rsid w:val="00CF0873"/>
    <w:rsid w:val="00CF1990"/>
    <w:rsid w:val="00CF4376"/>
    <w:rsid w:val="00CF5821"/>
    <w:rsid w:val="00D10A47"/>
    <w:rsid w:val="00D11577"/>
    <w:rsid w:val="00D1246D"/>
    <w:rsid w:val="00D124C2"/>
    <w:rsid w:val="00D2256F"/>
    <w:rsid w:val="00D243F0"/>
    <w:rsid w:val="00D247CE"/>
    <w:rsid w:val="00D30145"/>
    <w:rsid w:val="00D32E0E"/>
    <w:rsid w:val="00D342A9"/>
    <w:rsid w:val="00D34678"/>
    <w:rsid w:val="00D41EE4"/>
    <w:rsid w:val="00D46148"/>
    <w:rsid w:val="00D4646C"/>
    <w:rsid w:val="00D469BA"/>
    <w:rsid w:val="00D50F3A"/>
    <w:rsid w:val="00D52214"/>
    <w:rsid w:val="00D53703"/>
    <w:rsid w:val="00D60E85"/>
    <w:rsid w:val="00D655FF"/>
    <w:rsid w:val="00D709FC"/>
    <w:rsid w:val="00D7157C"/>
    <w:rsid w:val="00D77FA5"/>
    <w:rsid w:val="00D811C3"/>
    <w:rsid w:val="00D833D5"/>
    <w:rsid w:val="00D87848"/>
    <w:rsid w:val="00D90464"/>
    <w:rsid w:val="00D96853"/>
    <w:rsid w:val="00DA1A4B"/>
    <w:rsid w:val="00DA53D2"/>
    <w:rsid w:val="00DA6ADA"/>
    <w:rsid w:val="00DB0A10"/>
    <w:rsid w:val="00DB3044"/>
    <w:rsid w:val="00DB41B9"/>
    <w:rsid w:val="00DB51C7"/>
    <w:rsid w:val="00DC3D8A"/>
    <w:rsid w:val="00DC7C26"/>
    <w:rsid w:val="00DD0B62"/>
    <w:rsid w:val="00DD130B"/>
    <w:rsid w:val="00DD27EE"/>
    <w:rsid w:val="00DD39B4"/>
    <w:rsid w:val="00DD65A4"/>
    <w:rsid w:val="00DE60BA"/>
    <w:rsid w:val="00DE7990"/>
    <w:rsid w:val="00DF1993"/>
    <w:rsid w:val="00DF5B69"/>
    <w:rsid w:val="00E06279"/>
    <w:rsid w:val="00E066C1"/>
    <w:rsid w:val="00E07D94"/>
    <w:rsid w:val="00E1029C"/>
    <w:rsid w:val="00E11C44"/>
    <w:rsid w:val="00E163A3"/>
    <w:rsid w:val="00E26578"/>
    <w:rsid w:val="00E32EEB"/>
    <w:rsid w:val="00E368D5"/>
    <w:rsid w:val="00E36B31"/>
    <w:rsid w:val="00E4040E"/>
    <w:rsid w:val="00E42102"/>
    <w:rsid w:val="00E464BD"/>
    <w:rsid w:val="00E61C8F"/>
    <w:rsid w:val="00E629EF"/>
    <w:rsid w:val="00E63925"/>
    <w:rsid w:val="00E657FF"/>
    <w:rsid w:val="00E671EC"/>
    <w:rsid w:val="00E75626"/>
    <w:rsid w:val="00E84BF9"/>
    <w:rsid w:val="00E91377"/>
    <w:rsid w:val="00E9385A"/>
    <w:rsid w:val="00E96C4F"/>
    <w:rsid w:val="00E970CC"/>
    <w:rsid w:val="00EA1C24"/>
    <w:rsid w:val="00EA397E"/>
    <w:rsid w:val="00EA6615"/>
    <w:rsid w:val="00EA7935"/>
    <w:rsid w:val="00EB1356"/>
    <w:rsid w:val="00EB5F6F"/>
    <w:rsid w:val="00EB6011"/>
    <w:rsid w:val="00EC3F9D"/>
    <w:rsid w:val="00EC4B5E"/>
    <w:rsid w:val="00EC5EA7"/>
    <w:rsid w:val="00ED08E0"/>
    <w:rsid w:val="00ED5C22"/>
    <w:rsid w:val="00ED6CE2"/>
    <w:rsid w:val="00EE491B"/>
    <w:rsid w:val="00EF334C"/>
    <w:rsid w:val="00EF61E1"/>
    <w:rsid w:val="00F01F81"/>
    <w:rsid w:val="00F02FD7"/>
    <w:rsid w:val="00F1447C"/>
    <w:rsid w:val="00F16A2B"/>
    <w:rsid w:val="00F216F7"/>
    <w:rsid w:val="00F33540"/>
    <w:rsid w:val="00F371C3"/>
    <w:rsid w:val="00F3762D"/>
    <w:rsid w:val="00F400E6"/>
    <w:rsid w:val="00F434B6"/>
    <w:rsid w:val="00F47BCA"/>
    <w:rsid w:val="00F52056"/>
    <w:rsid w:val="00F614D2"/>
    <w:rsid w:val="00F62B32"/>
    <w:rsid w:val="00F65DF8"/>
    <w:rsid w:val="00F6795A"/>
    <w:rsid w:val="00F73A8E"/>
    <w:rsid w:val="00F8230B"/>
    <w:rsid w:val="00F83935"/>
    <w:rsid w:val="00F8714B"/>
    <w:rsid w:val="00F8742E"/>
    <w:rsid w:val="00F92085"/>
    <w:rsid w:val="00F92ACC"/>
    <w:rsid w:val="00F93BF3"/>
    <w:rsid w:val="00F961C9"/>
    <w:rsid w:val="00F96730"/>
    <w:rsid w:val="00FA2539"/>
    <w:rsid w:val="00FA36CE"/>
    <w:rsid w:val="00FB0754"/>
    <w:rsid w:val="00FB7D29"/>
    <w:rsid w:val="00FC2C11"/>
    <w:rsid w:val="00FC5C1B"/>
    <w:rsid w:val="00FC6356"/>
    <w:rsid w:val="00FC6F85"/>
    <w:rsid w:val="00FD19D5"/>
    <w:rsid w:val="00FD42B7"/>
    <w:rsid w:val="00FE107D"/>
    <w:rsid w:val="00FE2EB1"/>
    <w:rsid w:val="00FE4F6E"/>
    <w:rsid w:val="00FE6D94"/>
    <w:rsid w:val="00FF191C"/>
    <w:rsid w:val="00FF263E"/>
    <w:rsid w:val="00FF3D2E"/>
    <w:rsid w:val="03086D51"/>
    <w:rsid w:val="04774030"/>
    <w:rsid w:val="087913FB"/>
    <w:rsid w:val="0DF7E38A"/>
    <w:rsid w:val="125EBC86"/>
    <w:rsid w:val="130B9FE4"/>
    <w:rsid w:val="1E3841C4"/>
    <w:rsid w:val="207CCD03"/>
    <w:rsid w:val="24189E37"/>
    <w:rsid w:val="2BD3F117"/>
    <w:rsid w:val="2FE202B4"/>
    <w:rsid w:val="311DA8B7"/>
    <w:rsid w:val="318DF3D6"/>
    <w:rsid w:val="32730899"/>
    <w:rsid w:val="3405BF93"/>
    <w:rsid w:val="342D60CB"/>
    <w:rsid w:val="34C59498"/>
    <w:rsid w:val="3B29C974"/>
    <w:rsid w:val="3E53B3B3"/>
    <w:rsid w:val="423AEA37"/>
    <w:rsid w:val="4757EEF8"/>
    <w:rsid w:val="49DECAE1"/>
    <w:rsid w:val="4A28F9B7"/>
    <w:rsid w:val="4E04911D"/>
    <w:rsid w:val="4F4B5857"/>
    <w:rsid w:val="541B7006"/>
    <w:rsid w:val="59C18E39"/>
    <w:rsid w:val="5A02CE17"/>
    <w:rsid w:val="5A9E86AF"/>
    <w:rsid w:val="5BD756DB"/>
    <w:rsid w:val="5D6E4353"/>
    <w:rsid w:val="5EC8D1D6"/>
    <w:rsid w:val="6291E0C7"/>
    <w:rsid w:val="648930F4"/>
    <w:rsid w:val="6AA5360A"/>
    <w:rsid w:val="6B31AB04"/>
    <w:rsid w:val="6D7917F7"/>
    <w:rsid w:val="6E1D0C33"/>
    <w:rsid w:val="704EE10D"/>
    <w:rsid w:val="71EAB16E"/>
    <w:rsid w:val="7EE65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1F807"/>
  <w15:chartTrackingRefBased/>
  <w15:docId w15:val="{8F857090-E7D8-4EA4-867C-B4CFAFF2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A919A6"/>
    <w:rPr>
      <w:sz w:val="16"/>
      <w:szCs w:val="16"/>
    </w:rPr>
  </w:style>
  <w:style w:type="paragraph" w:styleId="CommentText">
    <w:name w:val="annotation text"/>
    <w:basedOn w:val="Normal"/>
    <w:link w:val="CommentTextChar"/>
    <w:uiPriority w:val="99"/>
    <w:unhideWhenUsed/>
    <w:rsid w:val="00A919A6"/>
    <w:rPr>
      <w:sz w:val="20"/>
      <w:szCs w:val="20"/>
    </w:rPr>
  </w:style>
  <w:style w:type="character" w:customStyle="1" w:styleId="CommentTextChar">
    <w:name w:val="Comment Text Char"/>
    <w:link w:val="CommentText"/>
    <w:uiPriority w:val="99"/>
    <w:rsid w:val="00A919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919A6"/>
    <w:rPr>
      <w:b/>
      <w:bCs/>
    </w:rPr>
  </w:style>
  <w:style w:type="character" w:customStyle="1" w:styleId="CommentSubjectChar">
    <w:name w:val="Comment Subject Char"/>
    <w:link w:val="CommentSubject"/>
    <w:uiPriority w:val="99"/>
    <w:semiHidden/>
    <w:rsid w:val="00A919A6"/>
    <w:rPr>
      <w:rFonts w:ascii="Times New Roman" w:eastAsia="Times New Roman" w:hAnsi="Times New Roman"/>
      <w:b/>
      <w:bCs/>
    </w:rPr>
  </w:style>
  <w:style w:type="paragraph" w:styleId="Revision">
    <w:name w:val="Revision"/>
    <w:hidden/>
    <w:uiPriority w:val="99"/>
    <w:semiHidden/>
    <w:rsid w:val="000B76A5"/>
    <w:rPr>
      <w:rFonts w:ascii="Times New Roman" w:eastAsia="Times New Roman" w:hAnsi="Times New Roman"/>
      <w:sz w:val="24"/>
      <w:szCs w:val="24"/>
    </w:rPr>
  </w:style>
  <w:style w:type="character" w:styleId="Hyperlink">
    <w:name w:val="Hyperlink"/>
    <w:uiPriority w:val="99"/>
    <w:unhideWhenUsed/>
    <w:rsid w:val="00CA7E4D"/>
    <w:rPr>
      <w:color w:val="0563C1"/>
      <w:u w:val="single"/>
    </w:rPr>
  </w:style>
  <w:style w:type="character" w:customStyle="1" w:styleId="UnresolvedMention1">
    <w:name w:val="Unresolved Mention1"/>
    <w:uiPriority w:val="99"/>
    <w:semiHidden/>
    <w:unhideWhenUsed/>
    <w:rsid w:val="00CA7E4D"/>
    <w:rPr>
      <w:color w:val="605E5C"/>
      <w:shd w:val="clear" w:color="auto" w:fill="E1DFDD"/>
    </w:rPr>
  </w:style>
  <w:style w:type="paragraph" w:styleId="BalloonText">
    <w:name w:val="Balloon Text"/>
    <w:basedOn w:val="Normal"/>
    <w:link w:val="BalloonTextChar"/>
    <w:uiPriority w:val="99"/>
    <w:semiHidden/>
    <w:unhideWhenUsed/>
    <w:rsid w:val="00395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5"/>
    <w:rPr>
      <w:rFonts w:ascii="Segoe UI" w:eastAsia="Times New Roman" w:hAnsi="Segoe UI" w:cs="Segoe UI"/>
      <w:sz w:val="18"/>
      <w:szCs w:val="18"/>
    </w:rPr>
  </w:style>
  <w:style w:type="paragraph" w:customStyle="1" w:styleId="DocParagraphOutlineLevel3">
    <w:name w:val="Doc_Paragraph Outline Level 3"/>
    <w:basedOn w:val="Normal"/>
    <w:rsid w:val="00990030"/>
    <w:pPr>
      <w:numPr>
        <w:numId w:val="7"/>
      </w:numPr>
      <w:spacing w:before="240" w:after="240"/>
    </w:pPr>
  </w:style>
  <w:style w:type="paragraph" w:styleId="FootnoteText">
    <w:name w:val="footnote text"/>
    <w:basedOn w:val="Normal"/>
    <w:link w:val="FootnoteTextChar"/>
    <w:uiPriority w:val="99"/>
    <w:semiHidden/>
    <w:unhideWhenUsed/>
    <w:rsid w:val="00761B19"/>
    <w:rPr>
      <w:sz w:val="20"/>
      <w:szCs w:val="20"/>
    </w:rPr>
  </w:style>
  <w:style w:type="character" w:customStyle="1" w:styleId="FootnoteTextChar">
    <w:name w:val="Footnote Text Char"/>
    <w:basedOn w:val="DefaultParagraphFont"/>
    <w:link w:val="FootnoteText"/>
    <w:uiPriority w:val="99"/>
    <w:semiHidden/>
    <w:rsid w:val="00761B19"/>
    <w:rPr>
      <w:rFonts w:ascii="Times New Roman" w:eastAsia="Times New Roman" w:hAnsi="Times New Roman"/>
    </w:rPr>
  </w:style>
  <w:style w:type="character" w:styleId="FootnoteReference">
    <w:name w:val="footnote reference"/>
    <w:basedOn w:val="DefaultParagraphFont"/>
    <w:uiPriority w:val="99"/>
    <w:semiHidden/>
    <w:unhideWhenUsed/>
    <w:rsid w:val="00761B19"/>
    <w:rPr>
      <w:vertAlign w:val="superscript"/>
    </w:rPr>
  </w:style>
  <w:style w:type="character" w:styleId="UnresolvedMention">
    <w:name w:val="Unresolved Mention"/>
    <w:basedOn w:val="DefaultParagraphFont"/>
    <w:uiPriority w:val="99"/>
    <w:semiHidden/>
    <w:unhideWhenUsed/>
    <w:rsid w:val="000E5B03"/>
    <w:rPr>
      <w:color w:val="605E5C"/>
      <w:shd w:val="clear" w:color="auto" w:fill="E1DFDD"/>
    </w:rPr>
  </w:style>
  <w:style w:type="table" w:styleId="TableGrid">
    <w:name w:val="Table Grid"/>
    <w:basedOn w:val="TableNormal"/>
    <w:uiPriority w:val="59"/>
    <w:rsid w:val="0084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0CDC"/>
    <w:rPr>
      <w:color w:val="2B579A"/>
      <w:shd w:val="clear" w:color="auto" w:fill="E1DFDD"/>
    </w:rPr>
  </w:style>
  <w:style w:type="character" w:customStyle="1" w:styleId="cf01">
    <w:name w:val="cf01"/>
    <w:basedOn w:val="DefaultParagraphFont"/>
    <w:rsid w:val="004978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lerie.waller@datarecognitioncorps.com" TargetMode="External" /><Relationship Id="rId11" Type="http://schemas.openxmlformats.org/officeDocument/2006/relationships/hyperlink" Target="mailto:mknutson@datarecognitioncorp.com" TargetMode="External" /><Relationship Id="rId12" Type="http://schemas.openxmlformats.org/officeDocument/2006/relationships/hyperlink" Target="mailto:bgoenner@datarecognitioncorp.com" TargetMode="External" /><Relationship Id="rId13" Type="http://schemas.openxmlformats.org/officeDocument/2006/relationships/hyperlink" Target="mailto:ashlea.m.klahr.civ@mail.mil" TargetMode="External" /><Relationship Id="rId14" Type="http://schemas.openxmlformats.org/officeDocument/2006/relationships/hyperlink" Target="mailto:elizabeth.h.davis18.civ@mail.mil" TargetMode="External" /><Relationship Id="rId15" Type="http://schemas.openxmlformats.org/officeDocument/2006/relationships/hyperlink" Target="mailto:rachel.n.lipari.civ@mail.mil" TargetMode="External" /><Relationship Id="rId16" Type="http://schemas.openxmlformats.org/officeDocument/2006/relationships/hyperlink" Target="mailto:austin.r.lawhead.civ@mail.mil" TargetMode="External" /><Relationship Id="rId17" Type="http://schemas.openxmlformats.org/officeDocument/2006/relationships/hyperlink" Target="mailto:sela.r.harcey.civ@mail.mil" TargetMode="External" /><Relationship Id="rId18" Type="http://schemas.openxmlformats.org/officeDocument/2006/relationships/hyperlink" Target="mailto:William.x.klauberg.civ@mail.mil" TargetMode="External" /><Relationship Id="rId19" Type="http://schemas.openxmlformats.org/officeDocument/2006/relationships/hyperlink" Target="mailto:kimberly.r.hylton.civ@mail.mil" TargetMode="External" /><Relationship Id="rId2" Type="http://schemas.openxmlformats.org/officeDocument/2006/relationships/webSettings" Target="webSettings.xml" /><Relationship Id="rId20" Type="http://schemas.openxmlformats.org/officeDocument/2006/relationships/hyperlink" Target="mailto:ariel.e.hill.ctr@mail.mil" TargetMode="External" /><Relationship Id="rId21" Type="http://schemas.openxmlformats.org/officeDocument/2006/relationships/hyperlink" Target="mailto:amanda.j.barry2.ctr@mail.mil" TargetMode="External" /><Relationship Id="rId22" Type="http://schemas.openxmlformats.org/officeDocument/2006/relationships/hyperlink" Target="mailto:rachel.c.trump-steele.ctr@mail.mil" TargetMode="External" /><Relationship Id="rId23" Type="http://schemas.openxmlformats.org/officeDocument/2006/relationships/hyperlink" Target="mailto:alyssa.n.mchoes.ctr@mail.mil" TargetMode="External" /><Relationship Id="rId24" Type="http://schemas.openxmlformats.org/officeDocument/2006/relationships/hyperlink" Target="mailto:chelsea.a.lonergan.ctr@mail.mil" TargetMode="External" /><Relationship Id="rId25" Type="http://schemas.openxmlformats.org/officeDocument/2006/relationships/hyperlink" Target="mailto:marissa.l.oliver2.ctr@mail.mil" TargetMode="External" /><Relationship Id="rId26" Type="http://schemas.openxmlformats.org/officeDocument/2006/relationships/hyperlink" Target="mailto:tina.c.killoran.ctr@mail.mil" TargetMode="External" /><Relationship Id="rId27" Type="http://schemas.openxmlformats.org/officeDocument/2006/relationships/hyperlink" Target="mailto:william.p.cosner.ctr@mail.mil" TargetMode="External" /><Relationship Id="rId28" Type="http://schemas.openxmlformats.org/officeDocument/2006/relationships/hyperlink" Target="mailto:andrew.j.pomerville.ctr@mail.mil" TargetMode="External" /><Relationship Id="rId29" Type="http://schemas.openxmlformats.org/officeDocument/2006/relationships/hyperlink" Target="mailto:johnpaul.bisciotti.civ@mail.mil"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busselberg@forsmarsh.com" TargetMode="External" /><Relationship Id="rId9" Type="http://schemas.openxmlformats.org/officeDocument/2006/relationships/hyperlink" Target="mailto:matthew.s.scheidt.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A241F1712B148B98FB0F880BFC285" ma:contentTypeVersion="12" ma:contentTypeDescription="Create a new document." ma:contentTypeScope="" ma:versionID="c2f3fa26e64415cc79e53f739e2cee53">
  <xsd:schema xmlns:xsd="http://www.w3.org/2001/XMLSchema" xmlns:xs="http://www.w3.org/2001/XMLSchema" xmlns:p="http://schemas.microsoft.com/office/2006/metadata/properties" xmlns:ns2="b9b3f6fd-1076-4608-93e3-72a3d2084562" xmlns:ns3="a7272e39-2fa0-480c-a354-67440abc0259" targetNamespace="http://schemas.microsoft.com/office/2006/metadata/properties" ma:root="true" ma:fieldsID="045c7af7e681a22e1bba040d3189a41e" ns2:_="" ns3:_="">
    <xsd:import namespace="b9b3f6fd-1076-4608-93e3-72a3d2084562"/>
    <xsd:import namespace="a7272e39-2fa0-480c-a354-67440abc0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3f6fd-1076-4608-93e3-72a3d208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72e39-2fa0-480c-a354-67440abc02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425e1e-cce0-451d-87b2-09443330017f}" ma:internalName="TaxCatchAll" ma:showField="CatchAllData" ma:web="a7272e39-2fa0-480c-a354-67440abc0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3f6fd-1076-4608-93e3-72a3d2084562">
      <Terms xmlns="http://schemas.microsoft.com/office/infopath/2007/PartnerControls"/>
    </lcf76f155ced4ddcb4097134ff3c332f>
    <TaxCatchAll xmlns="a7272e39-2fa0-480c-a354-67440abc0259" xsi:nil="true"/>
  </documentManagement>
</p:properties>
</file>

<file path=customXml/itemProps1.xml><?xml version="1.0" encoding="utf-8"?>
<ds:datastoreItem xmlns:ds="http://schemas.openxmlformats.org/officeDocument/2006/customXml" ds:itemID="{154705E6-663E-4E14-9E8A-7D9B9A28E2AA}">
  <ds:schemaRefs>
    <ds:schemaRef ds:uri="http://schemas.microsoft.com/sharepoint/v3/contenttype/forms"/>
  </ds:schemaRefs>
</ds:datastoreItem>
</file>

<file path=customXml/itemProps2.xml><?xml version="1.0" encoding="utf-8"?>
<ds:datastoreItem xmlns:ds="http://schemas.openxmlformats.org/officeDocument/2006/customXml" ds:itemID="{8AC617A5-80F2-4BC2-BA90-5675F8B867D4}">
  <ds:schemaRefs>
    <ds:schemaRef ds:uri="http://schemas.openxmlformats.org/officeDocument/2006/bibliography"/>
  </ds:schemaRefs>
</ds:datastoreItem>
</file>

<file path=customXml/itemProps3.xml><?xml version="1.0" encoding="utf-8"?>
<ds:datastoreItem xmlns:ds="http://schemas.openxmlformats.org/officeDocument/2006/customXml" ds:itemID="{3AE66D31-059F-44C6-9E55-5288CEE8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3f6fd-1076-4608-93e3-72a3d2084562"/>
    <ds:schemaRef ds:uri="a7272e39-2fa0-480c-a354-67440abc0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D5121-5A5B-4055-80A1-5376AC469E03}">
  <ds:schemaRefs>
    <ds:schemaRef ds:uri="http://purl.org/dc/terms/"/>
    <ds:schemaRef ds:uri="http://schemas.microsoft.com/office/2006/documentManagement/types"/>
    <ds:schemaRef ds:uri="http://purl.org/dc/dcmitype/"/>
    <ds:schemaRef ds:uri="http://schemas.microsoft.com/office/infopath/2007/PartnerControls"/>
    <ds:schemaRef ds:uri="b9b3f6fd-1076-4608-93e3-72a3d2084562"/>
    <ds:schemaRef ds:uri="http://www.w3.org/XML/1998/namespace"/>
    <ds:schemaRef ds:uri="http://schemas.openxmlformats.org/package/2006/metadata/core-properties"/>
    <ds:schemaRef ds:uri="a7272e39-2fa0-480c-a354-67440abc025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2760</Words>
  <Characters>15732</Characters>
  <Application>Microsoft Office Word</Application>
  <DocSecurity>0</DocSecurity>
  <Lines>131</Lines>
  <Paragraphs>36</Paragraphs>
  <ScaleCrop>false</ScaleCrop>
  <Company>WHS</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Yeargins, Latarsha R CIV (USA)</cp:lastModifiedBy>
  <cp:revision>4</cp:revision>
  <cp:lastPrinted>2013-01-25T22:13:00Z</cp:lastPrinted>
  <dcterms:created xsi:type="dcterms:W3CDTF">2024-01-22T15:30:00Z</dcterms:created>
  <dcterms:modified xsi:type="dcterms:W3CDTF">2024-02-28T20:23:00Z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0x01010052CA241F1712B148B98FB0F880BFC285</vt:lpwstr>
  </property>
  <property fmtid="{D5CDD505-2E9C-101B-9397-08002B2CF9AE}" pid="3" name="MediaServiceImageTags">
    <vt:lpwstr/>
  </property>
</Properties>
</file>