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6D50" w:rsidP="00101B75" w14:paraId="09158CFB" w14:textId="77777777">
      <w:pPr>
        <w:pStyle w:val="NoSpacing"/>
      </w:pPr>
      <w:r>
        <w:t>SUPPORTING STATEMENT</w:t>
      </w:r>
    </w:p>
    <w:p w:rsidR="00D06D50" w:rsidP="00D06D50" w14:paraId="1ACE2851" w14:textId="77777777">
      <w:pPr>
        <w:pStyle w:val="NoSpacing"/>
        <w:jc w:val="center"/>
        <w:rPr>
          <w:b/>
        </w:rPr>
      </w:pPr>
      <w:r>
        <w:rPr>
          <w:b/>
        </w:rPr>
        <w:t>U.S. Department of Commerce</w:t>
      </w:r>
    </w:p>
    <w:p w:rsidR="00D06D50" w:rsidP="00D06D50" w14:paraId="71ED6891" w14:textId="77777777">
      <w:pPr>
        <w:pStyle w:val="NoSpacing"/>
        <w:jc w:val="center"/>
        <w:rPr>
          <w:b/>
        </w:rPr>
      </w:pPr>
      <w:r>
        <w:rPr>
          <w:b/>
        </w:rPr>
        <w:t>Economic Development Administration</w:t>
      </w:r>
    </w:p>
    <w:p w:rsidR="00D06D50" w:rsidP="00D06D50" w14:paraId="3BD164E8" w14:textId="77777777">
      <w:pPr>
        <w:pStyle w:val="NoSpacing"/>
        <w:jc w:val="center"/>
        <w:rPr>
          <w:b/>
        </w:rPr>
      </w:pPr>
    </w:p>
    <w:p w:rsidR="00735BF2" w:rsidRPr="00D06D50" w:rsidP="00266A1C" w14:paraId="6B18F737" w14:textId="2E0013C7">
      <w:pPr>
        <w:pStyle w:val="NoSpacing"/>
        <w:jc w:val="center"/>
        <w:rPr>
          <w:b/>
        </w:rPr>
      </w:pPr>
      <w:r w:rsidRPr="00D06D50">
        <w:rPr>
          <w:b/>
        </w:rPr>
        <w:t>Title:</w:t>
      </w:r>
      <w:r w:rsidRPr="00266A1C" w:rsidR="00266A1C">
        <w:t xml:space="preserve"> </w:t>
      </w:r>
      <w:r w:rsidRPr="00E46077" w:rsidR="00E46077">
        <w:rPr>
          <w:b/>
        </w:rPr>
        <w:t>Semi-Annual and Annual Data Collection Instruments for Economic Development Administration Grant and Cooperative Agreement Award Recipients</w:t>
      </w:r>
    </w:p>
    <w:p w:rsidR="00C21B43" w:rsidRPr="00D06D50" w:rsidP="00266A1C" w14:paraId="37D0D824" w14:textId="197473EB">
      <w:pPr>
        <w:pStyle w:val="NoSpacing"/>
        <w:jc w:val="center"/>
        <w:rPr>
          <w:b/>
        </w:rPr>
      </w:pPr>
      <w:r w:rsidRPr="00D06D50">
        <w:rPr>
          <w:b/>
        </w:rPr>
        <w:t>Form Names and Numbers:</w:t>
      </w:r>
      <w:r w:rsidRPr="00266A1C" w:rsidR="00266A1C">
        <w:t xml:space="preserve"> </w:t>
      </w:r>
      <w:r w:rsidRPr="00266A1C" w:rsidR="00266A1C">
        <w:rPr>
          <w:b/>
        </w:rPr>
        <w:t>ED–915, ED–916,</w:t>
      </w:r>
      <w:r w:rsidR="00266A1C">
        <w:rPr>
          <w:b/>
        </w:rPr>
        <w:t xml:space="preserve"> </w:t>
      </w:r>
      <w:r w:rsidRPr="00266A1C" w:rsidR="00266A1C">
        <w:rPr>
          <w:b/>
        </w:rPr>
        <w:t>ED–917, ED–918</w:t>
      </w:r>
    </w:p>
    <w:p w:rsidR="00C21B43" w:rsidP="00D06D50" w14:paraId="6200AAED" w14:textId="199109F1">
      <w:pPr>
        <w:pStyle w:val="NoSpacing"/>
        <w:jc w:val="center"/>
        <w:rPr>
          <w:b/>
        </w:rPr>
      </w:pPr>
      <w:r w:rsidRPr="00D06D50">
        <w:rPr>
          <w:b/>
        </w:rPr>
        <w:t xml:space="preserve">OMB Control Number: </w:t>
      </w:r>
      <w:r w:rsidRPr="00266A1C" w:rsidR="00266A1C">
        <w:rPr>
          <w:b/>
        </w:rPr>
        <w:t>0610–0098</w:t>
      </w:r>
    </w:p>
    <w:p w:rsidR="00921B5F" w:rsidRPr="00D06D50" w:rsidP="006239F0" w14:paraId="0450B3C9" w14:textId="77777777">
      <w:pPr>
        <w:pStyle w:val="NoSpacing"/>
        <w:rPr>
          <w:b/>
        </w:rPr>
      </w:pPr>
    </w:p>
    <w:p w:rsidR="00C21B43" w:rsidP="00C21B43" w14:paraId="4EAA3BBC" w14:textId="77777777">
      <w:pPr>
        <w:pStyle w:val="NoSpacing"/>
      </w:pPr>
    </w:p>
    <w:p w:rsidR="00C21B43" w:rsidRPr="00A8706E" w:rsidP="00C21B43" w14:paraId="73C27BE0" w14:textId="77777777">
      <w:pPr>
        <w:pStyle w:val="NoSpacing"/>
        <w:rPr>
          <w:b/>
        </w:rPr>
      </w:pPr>
      <w:r w:rsidRPr="00A8706E">
        <w:rPr>
          <w:b/>
        </w:rPr>
        <w:t xml:space="preserve">A. </w:t>
      </w:r>
      <w:r w:rsidRPr="00D06D50">
        <w:rPr>
          <w:b/>
          <w:u w:val="single"/>
        </w:rPr>
        <w:t>JUSTIFICATION</w:t>
      </w:r>
    </w:p>
    <w:p w:rsidR="00C21B43" w:rsidP="00C21B43" w14:paraId="071745C0" w14:textId="77777777">
      <w:pPr>
        <w:pStyle w:val="NoSpacing"/>
      </w:pPr>
    </w:p>
    <w:p w:rsidR="00C21B43" w:rsidP="00C21B43" w14:paraId="22DB9684" w14:textId="77777777">
      <w:pPr>
        <w:pStyle w:val="NoSpacing"/>
        <w:numPr>
          <w:ilvl w:val="0"/>
          <w:numId w:val="1"/>
        </w:numPr>
        <w:rPr>
          <w:b/>
          <w:u w:val="single"/>
        </w:rPr>
      </w:pPr>
      <w:r w:rsidRPr="00D06D50">
        <w:rPr>
          <w:b/>
          <w:u w:val="single"/>
        </w:rPr>
        <w:t>Explain the circumstances that make the collection of information necessary.</w:t>
      </w:r>
    </w:p>
    <w:p w:rsidR="00EB2A32" w:rsidRPr="00D06D50" w:rsidP="00EB2A32" w14:paraId="5D2A0F88" w14:textId="77777777">
      <w:pPr>
        <w:pStyle w:val="NoSpacing"/>
        <w:rPr>
          <w:b/>
          <w:u w:val="single"/>
        </w:rPr>
      </w:pPr>
    </w:p>
    <w:p w:rsidR="008C2C64" w:rsidP="008C2C64" w14:paraId="4496B33A" w14:textId="11CDBA21">
      <w:pPr>
        <w:pStyle w:val="NoSpacing"/>
      </w:pPr>
      <w:r w:rsidRPr="00D80CD9">
        <w:t xml:space="preserve">Guided by the basic principle that sustainable economic development should be </w:t>
      </w:r>
      <w:r w:rsidRPr="00D80CD9" w:rsidR="00061C31">
        <w:t>locally driven</w:t>
      </w:r>
      <w:r w:rsidRPr="00D80CD9">
        <w:t>, EDA works directly with communities and regions to help them build capacity for economic development based on local business conditions and needs.</w:t>
      </w:r>
      <w:r w:rsidR="00CB4C6E">
        <w:t xml:space="preserve"> EDA’s organic authority, t</w:t>
      </w:r>
      <w:r>
        <w:t xml:space="preserve">he Public </w:t>
      </w:r>
      <w:r>
        <w:t>Works</w:t>
      </w:r>
      <w:r>
        <w:t xml:space="preserve"> and Economic Development Act of 1965 (PWEDA) (42 U.S.C. </w:t>
      </w:r>
      <w:r w:rsidRPr="00266A1C" w:rsidR="00266A1C">
        <w:t>3121 et seq</w:t>
      </w:r>
      <w:r w:rsidR="00266A1C">
        <w:t>.</w:t>
      </w:r>
      <w:r>
        <w:t>)</w:t>
      </w:r>
      <w:r w:rsidR="00CB4C6E">
        <w:t xml:space="preserve">, enables EDA to </w:t>
      </w:r>
      <w:r>
        <w:t>provide financial assistance to both rural and urban distressed communities by fostering entrepreneurship, innovation and productivity through investments in infrastructure development, capacity building and business development in order to attract private capital investments and new and better jobs to regions experiencing substantial and persistent economic distress.</w:t>
      </w:r>
    </w:p>
    <w:p w:rsidR="00D06D50" w:rsidRPr="00EB2A32" w:rsidP="00C21B43" w14:paraId="4B259FFC" w14:textId="77777777">
      <w:pPr>
        <w:pStyle w:val="NoSpacing"/>
      </w:pPr>
    </w:p>
    <w:p w:rsidR="00C6235D" w:rsidRPr="00EB2A32" w:rsidP="00D06D50" w14:paraId="54FFC164" w14:textId="735139A9">
      <w:pPr>
        <w:pStyle w:val="NoSpacing"/>
      </w:pPr>
      <w:r w:rsidRPr="00EB2A32">
        <w:t xml:space="preserve">In order to effectively administer and monitor its economic development assistance programs, EDA collects certain information from applications for, and recipients </w:t>
      </w:r>
      <w:r w:rsidRPr="00EB2A32">
        <w:t>of</w:t>
      </w:r>
      <w:r w:rsidRPr="00EB2A32">
        <w:t xml:space="preserve"> EDA investment assistance. </w:t>
      </w:r>
      <w:r w:rsidRPr="00EB2A32">
        <w:t>EDA collects and reports on performance measures in compliance with Government Performance and Results Act of 1993</w:t>
      </w:r>
      <w:r w:rsidRPr="00EB2A32" w:rsidR="0054549A">
        <w:t xml:space="preserve"> </w:t>
      </w:r>
      <w:r w:rsidR="002C146C">
        <w:t>(</w:t>
      </w:r>
      <w:r w:rsidRPr="00EB2A32" w:rsidR="0054549A">
        <w:t>P.</w:t>
      </w:r>
      <w:r w:rsidR="000E0BAA">
        <w:t xml:space="preserve"> </w:t>
      </w:r>
      <w:r w:rsidRPr="00EB2A32" w:rsidR="0054549A">
        <w:t>L. 103-62</w:t>
      </w:r>
      <w:r w:rsidR="002C146C">
        <w:t>)</w:t>
      </w:r>
      <w:r w:rsidRPr="00EB2A32" w:rsidR="002C146C">
        <w:t xml:space="preserve"> </w:t>
      </w:r>
      <w:r w:rsidRPr="00EB2A32">
        <w:t>that, as amended by the GPRA Modernization Act of 2010</w:t>
      </w:r>
      <w:r w:rsidRPr="00EB2A32" w:rsidR="00577243">
        <w:t xml:space="preserve"> </w:t>
      </w:r>
      <w:r w:rsidR="002C146C">
        <w:t>(</w:t>
      </w:r>
      <w:r w:rsidRPr="00EB2A32" w:rsidR="00577243">
        <w:t>P.</w:t>
      </w:r>
      <w:r w:rsidR="000E0BAA">
        <w:t xml:space="preserve"> </w:t>
      </w:r>
      <w:r w:rsidRPr="00EB2A32" w:rsidR="00577243">
        <w:t>L. 111-352</w:t>
      </w:r>
      <w:r w:rsidR="002C146C">
        <w:t>)</w:t>
      </w:r>
      <w:r w:rsidRPr="00EB2A32" w:rsidR="002C146C">
        <w:t xml:space="preserve">, </w:t>
      </w:r>
      <w:r w:rsidRPr="00EB2A32">
        <w:t>establishes requirements for all agencies to collect, analyze, and repo</w:t>
      </w:r>
      <w:r w:rsidRPr="00EB2A32" w:rsidR="00577243">
        <w:t>rt on their performance.</w:t>
      </w:r>
      <w:r w:rsidR="00061C31">
        <w:t xml:space="preserve"> </w:t>
      </w:r>
    </w:p>
    <w:p w:rsidR="0054549A" w:rsidRPr="00EB2A32" w:rsidP="00D06D50" w14:paraId="72AAF15E" w14:textId="77777777">
      <w:pPr>
        <w:pStyle w:val="NoSpacing"/>
      </w:pPr>
    </w:p>
    <w:p w:rsidR="008C2C64" w:rsidP="00D06D50" w14:paraId="1E6A2570" w14:textId="5ADF67FD">
      <w:pPr>
        <w:pStyle w:val="NoSpacing"/>
      </w:pPr>
      <w:r w:rsidRPr="00EB2A32">
        <w:t>EDA’s performance goals and spec</w:t>
      </w:r>
      <w:r w:rsidRPr="00EB2A32" w:rsidR="00A95D10">
        <w:t xml:space="preserve">ific performance </w:t>
      </w:r>
      <w:r w:rsidR="003013B4">
        <w:t xml:space="preserve">and outcome </w:t>
      </w:r>
      <w:r w:rsidRPr="00EB2A32" w:rsidR="00A95D10">
        <w:t>metrics are ti</w:t>
      </w:r>
      <w:r w:rsidRPr="00EB2A32">
        <w:t>ed to the U.S. Department of Commerce’s performance management structure. The performance data are analyzed for economic and program trends and used to enhance EDA’s program performance. The data are reported via departmental publications and reviewed by key stakeholders, such as the Office of Management and Budget (OMB), the Government Accountability Office (GAO), and Congress. EDA’s performance targets are tied to its annual budget request and appropriations. DOC and relevant stakeholders consider EDA’s performance results w</w:t>
      </w:r>
      <w:r>
        <w:t>hen</w:t>
      </w:r>
      <w:r w:rsidRPr="00EB2A32">
        <w:t xml:space="preserve"> EDA submits its annual budget request. EDA’s Annual Performance Plan (APP) identifies anticipated outcomes based on the investment of appropriated funds by program and by performance measure.</w:t>
      </w:r>
    </w:p>
    <w:p w:rsidR="008C2C64" w:rsidP="00D06D50" w14:paraId="54F7F383" w14:textId="77777777">
      <w:pPr>
        <w:pStyle w:val="NoSpacing"/>
      </w:pPr>
    </w:p>
    <w:p w:rsidR="007E2CBD" w:rsidP="009724CA" w14:paraId="3901E4C2" w14:textId="77777777">
      <w:pPr>
        <w:pStyle w:val="NoSpacing"/>
      </w:pPr>
    </w:p>
    <w:p w:rsidR="007E2CBD" w:rsidP="009724CA" w14:paraId="540A7420" w14:textId="77777777">
      <w:pPr>
        <w:pStyle w:val="NoSpacing"/>
      </w:pPr>
    </w:p>
    <w:p w:rsidR="00A0394C" w:rsidP="004F2D7A" w14:paraId="4462DEC3" w14:textId="6CD84280">
      <w:pPr>
        <w:pStyle w:val="NoSpacing"/>
      </w:pPr>
      <w:r>
        <w:t xml:space="preserve">The Foundations for Evidence-Based </w:t>
      </w:r>
      <w:r w:rsidR="009724CA">
        <w:t xml:space="preserve">Policymaking Act of 2018 (P. L. 115–435) emphasizes the importance of updating existing methodologies for performance measurement and program </w:t>
      </w:r>
      <w:r w:rsidR="009724CA">
        <w:t>evaluation to align with evolving best practices.</w:t>
      </w:r>
      <w:r w:rsidR="00E458F3">
        <w:t xml:space="preserve"> </w:t>
      </w:r>
      <w:r w:rsidR="00DD7EA1">
        <w:t xml:space="preserve">In 2020, EDA received OMB approval for revised forms ED-916, ED-917, ED-918, which cover all EDA’s non-infrastructure programs </w:t>
      </w:r>
      <w:r>
        <w:t>except for</w:t>
      </w:r>
      <w:r w:rsidR="00DD7EA1">
        <w:t xml:space="preserve"> the Build Back Better Regional Challenge</w:t>
      </w:r>
      <w:r w:rsidR="00D51978">
        <w:t xml:space="preserve"> (BBBRC)</w:t>
      </w:r>
      <w:r w:rsidR="00DD7EA1">
        <w:t xml:space="preserve"> and the Good Jobs Challenge</w:t>
      </w:r>
      <w:r w:rsidR="00D51978">
        <w:t xml:space="preserve"> (GJC)</w:t>
      </w:r>
      <w:r w:rsidR="00DD7EA1">
        <w:t xml:space="preserve">. These forms were revised to include additional metrics with updated methodologies for performance measurement and program evaluation to align with evolving best practices, stemming from years of working with third-party research institutions like SRI International. </w:t>
      </w:r>
    </w:p>
    <w:p w:rsidR="00A0394C" w:rsidP="004F2D7A" w14:paraId="0C1FE02D" w14:textId="77777777">
      <w:pPr>
        <w:pStyle w:val="NoSpacing"/>
      </w:pPr>
    </w:p>
    <w:p w:rsidR="007E2CBD" w:rsidP="004F2D7A" w14:paraId="00E300F2" w14:textId="1F5C3778">
      <w:pPr>
        <w:pStyle w:val="NoSpacing"/>
      </w:pPr>
      <w:r>
        <w:t>EDA began collecting data on the revised ED-916, ED-917 and ED-918 forms in December 2020.</w:t>
      </w:r>
      <w:r>
        <w:t xml:space="preserve"> EDA proposes extending, without change, all its data collection forms: ED-915, ED-916, ED-917 and ED-918 to continue data collection </w:t>
      </w:r>
      <w:r w:rsidR="00A0394C">
        <w:t xml:space="preserve">to </w:t>
      </w:r>
      <w:r w:rsidR="00D51978">
        <w:t>help EDA analyze and speak to its performance.</w:t>
      </w:r>
    </w:p>
    <w:p w:rsidR="00D06D50" w:rsidP="00C21B43" w14:paraId="4613C4BB" w14:textId="77777777">
      <w:pPr>
        <w:pStyle w:val="NoSpacing"/>
      </w:pPr>
    </w:p>
    <w:p w:rsidR="00C21B43" w:rsidRPr="00EB2A32" w:rsidP="004A18C1" w14:paraId="7F6F0DED" w14:textId="24F824A8">
      <w:pPr>
        <w:pStyle w:val="NoSpacing"/>
        <w:numPr>
          <w:ilvl w:val="0"/>
          <w:numId w:val="1"/>
        </w:numPr>
        <w:rPr>
          <w:b/>
          <w:u w:val="single"/>
        </w:rPr>
      </w:pPr>
      <w:r w:rsidRPr="00EB2A32">
        <w:rPr>
          <w:b/>
          <w:u w:val="single"/>
        </w:rPr>
        <w:t xml:space="preserve">Indicate how, by whom, and for what purpose the information is to be used. Except for a new collection, indicate the actual use the agency has made of the information received from the current collection. </w:t>
      </w:r>
    </w:p>
    <w:p w:rsidR="00D06D50" w:rsidP="00D06D50" w14:paraId="62762EB0" w14:textId="77777777">
      <w:pPr>
        <w:pStyle w:val="NoSpacing"/>
        <w:rPr>
          <w:b/>
        </w:rPr>
      </w:pPr>
    </w:p>
    <w:p w:rsidR="00D06D50" w:rsidP="00D06D50" w14:paraId="6AE9FDDC" w14:textId="0CA7A080">
      <w:pPr>
        <w:pStyle w:val="HTMLPreformatted"/>
        <w:rPr>
          <w:rFonts w:ascii="Times New Roman" w:hAnsi="Times New Roman" w:cs="Times New Roman"/>
          <w:sz w:val="24"/>
        </w:rPr>
      </w:pPr>
      <w:r w:rsidRPr="00EB2A32">
        <w:rPr>
          <w:rFonts w:ascii="Times New Roman" w:hAnsi="Times New Roman" w:cs="Times New Roman"/>
          <w:iCs/>
          <w:sz w:val="24"/>
          <w:szCs w:val="24"/>
        </w:rPr>
        <w:t xml:space="preserve">The information </w:t>
      </w:r>
      <w:r w:rsidR="00095C30">
        <w:rPr>
          <w:rFonts w:ascii="Times New Roman" w:hAnsi="Times New Roman" w:cs="Times New Roman"/>
          <w:iCs/>
          <w:sz w:val="24"/>
          <w:szCs w:val="24"/>
        </w:rPr>
        <w:t xml:space="preserve">collected through the </w:t>
      </w:r>
      <w:r w:rsidR="004F2D7A">
        <w:rPr>
          <w:rFonts w:ascii="Times New Roman" w:hAnsi="Times New Roman" w:cs="Times New Roman"/>
          <w:iCs/>
          <w:sz w:val="24"/>
          <w:szCs w:val="24"/>
        </w:rPr>
        <w:t>collection</w:t>
      </w:r>
      <w:r w:rsidR="00095C30">
        <w:rPr>
          <w:rFonts w:ascii="Times New Roman" w:hAnsi="Times New Roman" w:cs="Times New Roman"/>
          <w:iCs/>
          <w:sz w:val="24"/>
          <w:szCs w:val="24"/>
        </w:rPr>
        <w:t xml:space="preserve"> instruments will be </w:t>
      </w:r>
      <w:r w:rsidRPr="00EB2A32">
        <w:rPr>
          <w:rFonts w:ascii="Times New Roman" w:hAnsi="Times New Roman" w:cs="Times New Roman"/>
          <w:iCs/>
          <w:sz w:val="24"/>
          <w:szCs w:val="24"/>
        </w:rPr>
        <w:t xml:space="preserve">used by EDA personnel </w:t>
      </w:r>
      <w:r w:rsidRPr="00EB2A32">
        <w:rPr>
          <w:rFonts w:ascii="Times New Roman" w:hAnsi="Times New Roman" w:cs="Times New Roman"/>
          <w:sz w:val="24"/>
          <w:szCs w:val="24"/>
        </w:rPr>
        <w:t>to monitor recipients</w:t>
      </w:r>
      <w:r w:rsidR="004F2D7A">
        <w:rPr>
          <w:rFonts w:ascii="Times New Roman" w:hAnsi="Times New Roman" w:cs="Times New Roman"/>
          <w:sz w:val="24"/>
          <w:szCs w:val="24"/>
        </w:rPr>
        <w:t>’</w:t>
      </w:r>
      <w:r w:rsidRPr="00EB2A32">
        <w:rPr>
          <w:rFonts w:ascii="Times New Roman" w:hAnsi="Times New Roman" w:cs="Times New Roman"/>
          <w:sz w:val="24"/>
          <w:szCs w:val="24"/>
        </w:rPr>
        <w:t xml:space="preserve"> compliance with EDA</w:t>
      </w:r>
      <w:r w:rsidR="004F2D7A">
        <w:rPr>
          <w:rFonts w:ascii="Times New Roman" w:hAnsi="Times New Roman" w:cs="Times New Roman"/>
          <w:sz w:val="24"/>
          <w:szCs w:val="24"/>
        </w:rPr>
        <w:t>’</w:t>
      </w:r>
      <w:r w:rsidRPr="00EB2A32">
        <w:rPr>
          <w:rFonts w:ascii="Times New Roman" w:hAnsi="Times New Roman" w:cs="Times New Roman"/>
          <w:sz w:val="24"/>
          <w:szCs w:val="24"/>
        </w:rPr>
        <w:t>s statutory and regulatory requirements and specific terms and conditions relating to individual awards</w:t>
      </w:r>
      <w:r w:rsidR="00095C30">
        <w:rPr>
          <w:rFonts w:ascii="Times New Roman" w:hAnsi="Times New Roman" w:cs="Times New Roman"/>
          <w:sz w:val="24"/>
          <w:szCs w:val="24"/>
        </w:rPr>
        <w:t xml:space="preserve">, as well as for </w:t>
      </w:r>
      <w:r w:rsidR="00921B5F">
        <w:rPr>
          <w:rFonts w:ascii="Times New Roman" w:hAnsi="Times New Roman" w:cs="Times New Roman"/>
          <w:sz w:val="24"/>
          <w:szCs w:val="24"/>
        </w:rPr>
        <w:t xml:space="preserve">performance measurement and </w:t>
      </w:r>
      <w:r w:rsidR="00095C30">
        <w:rPr>
          <w:rFonts w:ascii="Times New Roman" w:hAnsi="Times New Roman" w:cs="Times New Roman"/>
          <w:sz w:val="24"/>
          <w:szCs w:val="24"/>
        </w:rPr>
        <w:t>program evaluation analyses to ensure effectiveness of EDA’s programs.</w:t>
      </w:r>
      <w:r w:rsidRPr="00EB2A32">
        <w:rPr>
          <w:rFonts w:ascii="Times New Roman" w:hAnsi="Times New Roman" w:cs="Times New Roman"/>
          <w:sz w:val="32"/>
          <w:szCs w:val="24"/>
        </w:rPr>
        <w:t xml:space="preserve"> </w:t>
      </w:r>
      <w:r w:rsidRPr="00EB2A32">
        <w:rPr>
          <w:rFonts w:ascii="Times New Roman" w:hAnsi="Times New Roman" w:cs="Times New Roman"/>
          <w:sz w:val="24"/>
        </w:rPr>
        <w:t>The information collected will not be disseminated to the public</w:t>
      </w:r>
      <w:r w:rsidR="00736337">
        <w:rPr>
          <w:rFonts w:ascii="Times New Roman" w:hAnsi="Times New Roman" w:cs="Times New Roman"/>
          <w:sz w:val="24"/>
        </w:rPr>
        <w:t>, except at the aggregated level in studies and reports</w:t>
      </w:r>
      <w:r w:rsidR="007E091F">
        <w:rPr>
          <w:rFonts w:ascii="Times New Roman" w:hAnsi="Times New Roman" w:cs="Times New Roman"/>
          <w:sz w:val="24"/>
        </w:rPr>
        <w:t>.</w:t>
      </w:r>
    </w:p>
    <w:p w:rsidR="007B7C47" w:rsidP="00D06D50" w14:paraId="27498E4B" w14:textId="6DA5824E">
      <w:pPr>
        <w:pStyle w:val="HTMLPreformatted"/>
        <w:rPr>
          <w:rFonts w:ascii="Times New Roman" w:hAnsi="Times New Roman" w:cs="Times New Roman"/>
          <w:sz w:val="24"/>
        </w:rPr>
      </w:pPr>
    </w:p>
    <w:p w:rsidR="007B7C47" w:rsidP="00D06D50" w14:paraId="0184DDBB" w14:textId="073CDACB">
      <w:pPr>
        <w:pStyle w:val="HTMLPreformatted"/>
        <w:rPr>
          <w:rFonts w:ascii="Times New Roman" w:hAnsi="Times New Roman" w:cs="Times New Roman"/>
          <w:sz w:val="24"/>
        </w:rPr>
      </w:pPr>
      <w:r>
        <w:rPr>
          <w:rFonts w:ascii="Times New Roman" w:hAnsi="Times New Roman" w:cs="Times New Roman"/>
          <w:sz w:val="24"/>
        </w:rPr>
        <w:t xml:space="preserve">Specifically, </w:t>
      </w:r>
      <w:r w:rsidR="002C7CCD">
        <w:rPr>
          <w:rFonts w:ascii="Times New Roman" w:hAnsi="Times New Roman" w:cs="Times New Roman"/>
          <w:sz w:val="24"/>
        </w:rPr>
        <w:t>the extended</w:t>
      </w:r>
      <w:bookmarkStart w:id="0" w:name="_Hlk31638026"/>
      <w:r w:rsidR="002C7CCD">
        <w:rPr>
          <w:rFonts w:ascii="Times New Roman" w:hAnsi="Times New Roman" w:cs="Times New Roman"/>
          <w:sz w:val="24"/>
        </w:rPr>
        <w:t xml:space="preserve"> </w:t>
      </w:r>
      <w:r w:rsidRPr="00EC0D54" w:rsidR="00EC0D54">
        <w:rPr>
          <w:rFonts w:ascii="Times New Roman" w:hAnsi="Times New Roman" w:cs="Times New Roman"/>
          <w:sz w:val="24"/>
        </w:rPr>
        <w:t>ED-916, ED-917, and ED-918</w:t>
      </w:r>
      <w:r w:rsidR="00843300">
        <w:rPr>
          <w:rFonts w:ascii="Times New Roman" w:hAnsi="Times New Roman" w:cs="Times New Roman"/>
          <w:sz w:val="24"/>
        </w:rPr>
        <w:t xml:space="preserve"> </w:t>
      </w:r>
      <w:bookmarkEnd w:id="0"/>
      <w:r>
        <w:rPr>
          <w:rFonts w:ascii="Times New Roman" w:hAnsi="Times New Roman" w:cs="Times New Roman"/>
          <w:sz w:val="24"/>
        </w:rPr>
        <w:t>will gather information from the grantees of the following programs: Economic Adjustment Assistance</w:t>
      </w:r>
      <w:r w:rsidR="00921B5F">
        <w:rPr>
          <w:rFonts w:ascii="Times New Roman" w:hAnsi="Times New Roman" w:cs="Times New Roman"/>
          <w:sz w:val="24"/>
        </w:rPr>
        <w:t xml:space="preserve"> (non-infrastructure projects),</w:t>
      </w:r>
      <w:r>
        <w:rPr>
          <w:rFonts w:ascii="Times New Roman" w:hAnsi="Times New Roman" w:cs="Times New Roman"/>
          <w:sz w:val="24"/>
        </w:rPr>
        <w:t xml:space="preserve"> including</w:t>
      </w:r>
      <w:r w:rsidR="00EC0D54">
        <w:rPr>
          <w:rFonts w:ascii="Times New Roman" w:hAnsi="Times New Roman" w:cs="Times New Roman"/>
          <w:sz w:val="24"/>
        </w:rPr>
        <w:t xml:space="preserve"> new</w:t>
      </w:r>
      <w:r>
        <w:rPr>
          <w:rFonts w:ascii="Times New Roman" w:hAnsi="Times New Roman" w:cs="Times New Roman"/>
          <w:sz w:val="24"/>
        </w:rPr>
        <w:t xml:space="preserve"> Revolving Loan Fund</w:t>
      </w:r>
      <w:r w:rsidR="00EC0D54">
        <w:rPr>
          <w:rFonts w:ascii="Times New Roman" w:hAnsi="Times New Roman" w:cs="Times New Roman"/>
          <w:sz w:val="24"/>
        </w:rPr>
        <w:t>s;</w:t>
      </w:r>
      <w:r>
        <w:rPr>
          <w:rFonts w:ascii="Times New Roman" w:hAnsi="Times New Roman" w:cs="Times New Roman"/>
          <w:sz w:val="24"/>
        </w:rPr>
        <w:t xml:space="preserve"> Planning</w:t>
      </w:r>
      <w:r w:rsidR="006F45CC">
        <w:rPr>
          <w:rFonts w:ascii="Times New Roman" w:hAnsi="Times New Roman" w:cs="Times New Roman"/>
          <w:sz w:val="24"/>
        </w:rPr>
        <w:t>, including Partnership Planning</w:t>
      </w:r>
      <w:r w:rsidR="00EC0D54">
        <w:rPr>
          <w:rFonts w:ascii="Times New Roman" w:hAnsi="Times New Roman" w:cs="Times New Roman"/>
          <w:sz w:val="24"/>
        </w:rPr>
        <w:t>;</w:t>
      </w:r>
      <w:r>
        <w:rPr>
          <w:rFonts w:ascii="Times New Roman" w:hAnsi="Times New Roman" w:cs="Times New Roman"/>
          <w:sz w:val="24"/>
        </w:rPr>
        <w:t xml:space="preserve"> Local Technical Assistance, including University Center</w:t>
      </w:r>
      <w:r w:rsidR="00921B5F">
        <w:rPr>
          <w:rFonts w:ascii="Times New Roman" w:hAnsi="Times New Roman" w:cs="Times New Roman"/>
          <w:sz w:val="24"/>
        </w:rPr>
        <w:t>s</w:t>
      </w:r>
      <w:r w:rsidR="00EC0D54">
        <w:rPr>
          <w:rFonts w:ascii="Times New Roman" w:hAnsi="Times New Roman" w:cs="Times New Roman"/>
          <w:sz w:val="24"/>
        </w:rPr>
        <w:t>;</w:t>
      </w:r>
      <w:r>
        <w:rPr>
          <w:rFonts w:ascii="Times New Roman" w:hAnsi="Times New Roman" w:cs="Times New Roman"/>
          <w:sz w:val="24"/>
        </w:rPr>
        <w:t xml:space="preserve"> </w:t>
      </w:r>
      <w:r w:rsidR="0095175E">
        <w:rPr>
          <w:rFonts w:ascii="Times New Roman" w:hAnsi="Times New Roman" w:cs="Times New Roman"/>
          <w:sz w:val="24"/>
        </w:rPr>
        <w:t>Build to Scale</w:t>
      </w:r>
      <w:r w:rsidR="00EC0D54">
        <w:rPr>
          <w:rFonts w:ascii="Times New Roman" w:hAnsi="Times New Roman" w:cs="Times New Roman"/>
          <w:sz w:val="24"/>
        </w:rPr>
        <w:t>;</w:t>
      </w:r>
      <w:r>
        <w:rPr>
          <w:rFonts w:ascii="Times New Roman" w:hAnsi="Times New Roman" w:cs="Times New Roman"/>
          <w:sz w:val="24"/>
        </w:rPr>
        <w:t xml:space="preserve"> Research and National Technical Assistance</w:t>
      </w:r>
      <w:r w:rsidR="00EC0D54">
        <w:rPr>
          <w:rFonts w:ascii="Times New Roman" w:hAnsi="Times New Roman" w:cs="Times New Roman"/>
          <w:sz w:val="24"/>
        </w:rPr>
        <w:t>;</w:t>
      </w:r>
      <w:r>
        <w:rPr>
          <w:rFonts w:ascii="Times New Roman" w:hAnsi="Times New Roman" w:cs="Times New Roman"/>
          <w:sz w:val="24"/>
        </w:rPr>
        <w:t xml:space="preserve"> and Trade Adjustment Assistance</w:t>
      </w:r>
      <w:r w:rsidR="00EC0D54">
        <w:rPr>
          <w:rFonts w:ascii="Times New Roman" w:hAnsi="Times New Roman" w:cs="Times New Roman"/>
          <w:sz w:val="24"/>
        </w:rPr>
        <w:t xml:space="preserve"> for Firms</w:t>
      </w:r>
      <w:r w:rsidR="002C7CCD">
        <w:rPr>
          <w:rFonts w:ascii="Times New Roman" w:hAnsi="Times New Roman" w:cs="Times New Roman"/>
          <w:sz w:val="24"/>
        </w:rPr>
        <w:t>, and all American Rescue Plan Act programs, except for BBBRC and GJC</w:t>
      </w:r>
      <w:r>
        <w:rPr>
          <w:rFonts w:ascii="Times New Roman" w:hAnsi="Times New Roman" w:cs="Times New Roman"/>
          <w:sz w:val="24"/>
        </w:rPr>
        <w:t xml:space="preserve">. The data on program-sponsored activities and associated outcomes will be collected on </w:t>
      </w:r>
      <w:r w:rsidR="002C7CCD">
        <w:rPr>
          <w:rFonts w:ascii="Times New Roman" w:hAnsi="Times New Roman" w:cs="Times New Roman"/>
          <w:sz w:val="24"/>
        </w:rPr>
        <w:t>a semiannual</w:t>
      </w:r>
      <w:r>
        <w:rPr>
          <w:rFonts w:ascii="Times New Roman" w:hAnsi="Times New Roman" w:cs="Times New Roman"/>
          <w:sz w:val="24"/>
        </w:rPr>
        <w:t xml:space="preserve"> and annual </w:t>
      </w:r>
      <w:r w:rsidR="002C7CCD">
        <w:rPr>
          <w:rFonts w:ascii="Times New Roman" w:hAnsi="Times New Roman" w:cs="Times New Roman"/>
          <w:sz w:val="24"/>
        </w:rPr>
        <w:t>basis</w:t>
      </w:r>
      <w:r>
        <w:rPr>
          <w:rFonts w:ascii="Times New Roman" w:hAnsi="Times New Roman" w:cs="Times New Roman"/>
          <w:sz w:val="24"/>
        </w:rPr>
        <w:t>, respectively.</w:t>
      </w:r>
      <w:r w:rsidR="00EC0D54">
        <w:rPr>
          <w:rFonts w:ascii="Times New Roman" w:hAnsi="Times New Roman" w:cs="Times New Roman"/>
          <w:sz w:val="24"/>
        </w:rPr>
        <w:t xml:space="preserve"> </w:t>
      </w:r>
      <w:r w:rsidRPr="00EC0D54" w:rsidR="00EC0D54">
        <w:rPr>
          <w:rFonts w:ascii="Times New Roman" w:hAnsi="Times New Roman" w:cs="Times New Roman"/>
          <w:sz w:val="24"/>
        </w:rPr>
        <w:t xml:space="preserve">Form ED-915, </w:t>
      </w:r>
      <w:r w:rsidR="002C7CCD">
        <w:rPr>
          <w:rFonts w:ascii="Times New Roman" w:hAnsi="Times New Roman" w:cs="Times New Roman"/>
          <w:sz w:val="24"/>
        </w:rPr>
        <w:t xml:space="preserve">will gather </w:t>
      </w:r>
      <w:r w:rsidRPr="00EC0D54" w:rsidR="002C7CCD">
        <w:rPr>
          <w:rFonts w:ascii="Times New Roman" w:hAnsi="Times New Roman" w:cs="Times New Roman"/>
          <w:sz w:val="24"/>
        </w:rPr>
        <w:t>information</w:t>
      </w:r>
      <w:r w:rsidRPr="00EC0D54" w:rsidR="00EC0D54">
        <w:rPr>
          <w:rFonts w:ascii="Times New Roman" w:hAnsi="Times New Roman" w:cs="Times New Roman"/>
          <w:sz w:val="24"/>
        </w:rPr>
        <w:t xml:space="preserve"> on infrastructure and existing revolving loan fund projects</w:t>
      </w:r>
      <w:r w:rsidR="003814BF">
        <w:rPr>
          <w:rFonts w:ascii="Times New Roman" w:hAnsi="Times New Roman" w:cs="Times New Roman"/>
          <w:sz w:val="24"/>
        </w:rPr>
        <w:t>.)</w:t>
      </w:r>
    </w:p>
    <w:p w:rsidR="007B7C47" w:rsidP="00D06D50" w14:paraId="2F9189E7" w14:textId="299CD7B2">
      <w:pPr>
        <w:pStyle w:val="HTMLPreformatted"/>
        <w:rPr>
          <w:rFonts w:ascii="Times New Roman" w:hAnsi="Times New Roman" w:cs="Times New Roman"/>
          <w:sz w:val="24"/>
        </w:rPr>
      </w:pPr>
    </w:p>
    <w:p w:rsidR="00C50919" w:rsidRPr="003760D6" w:rsidP="00BD4670" w14:paraId="5EC2F51E" w14:textId="19629334">
      <w:pPr>
        <w:pStyle w:val="HTMLPreformatted"/>
        <w:rPr>
          <w:rFonts w:ascii="Times New Roman" w:hAnsi="Times New Roman" w:cs="Times New Roman"/>
          <w:sz w:val="10"/>
        </w:rPr>
      </w:pPr>
      <w:r>
        <w:rPr>
          <w:rFonts w:ascii="Times New Roman" w:hAnsi="Times New Roman" w:cs="Times New Roman"/>
          <w:sz w:val="24"/>
        </w:rPr>
        <w:t xml:space="preserve">The data collected through the </w:t>
      </w:r>
      <w:r w:rsidR="002C7CCD">
        <w:rPr>
          <w:rFonts w:ascii="Times New Roman" w:hAnsi="Times New Roman" w:cs="Times New Roman"/>
          <w:sz w:val="24"/>
        </w:rPr>
        <w:t>forms will be</w:t>
      </w:r>
      <w:r>
        <w:rPr>
          <w:rFonts w:ascii="Times New Roman" w:hAnsi="Times New Roman" w:cs="Times New Roman"/>
          <w:sz w:val="24"/>
        </w:rPr>
        <w:t xml:space="preserve"> analyzed for internal program performance and incorporated as part of </w:t>
      </w:r>
      <w:r w:rsidR="00CF00D8">
        <w:rPr>
          <w:rFonts w:ascii="Times New Roman" w:hAnsi="Times New Roman" w:cs="Times New Roman"/>
          <w:sz w:val="24"/>
        </w:rPr>
        <w:t>EDA’s APP</w:t>
      </w:r>
      <w:r w:rsidR="00EF720A">
        <w:rPr>
          <w:rFonts w:ascii="Times New Roman" w:hAnsi="Times New Roman" w:cs="Times New Roman"/>
          <w:sz w:val="24"/>
        </w:rPr>
        <w:t>R</w:t>
      </w:r>
      <w:r w:rsidR="00095144">
        <w:rPr>
          <w:rFonts w:ascii="Times New Roman" w:hAnsi="Times New Roman" w:cs="Times New Roman"/>
          <w:sz w:val="24"/>
        </w:rPr>
        <w:t>.</w:t>
      </w:r>
      <w:r w:rsidR="00CF00D8">
        <w:rPr>
          <w:rFonts w:ascii="Times New Roman" w:hAnsi="Times New Roman" w:cs="Times New Roman"/>
          <w:sz w:val="24"/>
        </w:rPr>
        <w:t xml:space="preserve"> </w:t>
      </w:r>
      <w:r w:rsidR="00095144">
        <w:rPr>
          <w:rFonts w:ascii="Times New Roman" w:hAnsi="Times New Roman" w:cs="Times New Roman"/>
          <w:sz w:val="24"/>
        </w:rPr>
        <w:t>The collection instruments will capture</w:t>
      </w:r>
      <w:r w:rsidR="007B7C47">
        <w:rPr>
          <w:rFonts w:ascii="Times New Roman" w:hAnsi="Times New Roman" w:cs="Times New Roman"/>
          <w:sz w:val="24"/>
        </w:rPr>
        <w:t xml:space="preserve"> the key activities identified in the course of cooperative research by SRI International </w:t>
      </w:r>
      <w:r w:rsidR="00545A4C">
        <w:rPr>
          <w:rFonts w:ascii="Times New Roman" w:hAnsi="Times New Roman" w:cs="Times New Roman"/>
          <w:sz w:val="24"/>
        </w:rPr>
        <w:t>UNC at Chapel Hill, GW Uni</w:t>
      </w:r>
      <w:r w:rsidR="00D5499E">
        <w:rPr>
          <w:rFonts w:ascii="Times New Roman" w:hAnsi="Times New Roman" w:cs="Times New Roman"/>
          <w:sz w:val="24"/>
        </w:rPr>
        <w:t xml:space="preserve">versity, and SRI International. </w:t>
      </w:r>
    </w:p>
    <w:p w:rsidR="00BD4670" w:rsidP="007B7C47" w14:paraId="46F45842" w14:textId="77777777">
      <w:pPr>
        <w:pStyle w:val="HTMLPreformatted"/>
        <w:rPr>
          <w:rFonts w:ascii="Times New Roman" w:hAnsi="Times New Roman" w:cs="Times New Roman"/>
          <w:sz w:val="24"/>
        </w:rPr>
      </w:pPr>
    </w:p>
    <w:p w:rsidR="003B0A70" w:rsidP="007B7C47" w14:paraId="326A3012" w14:textId="4D591264">
      <w:pPr>
        <w:pStyle w:val="HTMLPreformatted"/>
        <w:rPr>
          <w:rFonts w:ascii="Times New Roman" w:hAnsi="Times New Roman" w:cs="Times New Roman"/>
          <w:sz w:val="24"/>
        </w:rPr>
      </w:pPr>
      <w:r>
        <w:rPr>
          <w:rFonts w:ascii="Times New Roman" w:hAnsi="Times New Roman" w:cs="Times New Roman"/>
          <w:sz w:val="24"/>
        </w:rPr>
        <w:t>Grantees will only respond to</w:t>
      </w:r>
      <w:r w:rsidRPr="007B7C47" w:rsidR="007B7C47">
        <w:rPr>
          <w:rFonts w:ascii="Times New Roman" w:hAnsi="Times New Roman" w:cs="Times New Roman"/>
          <w:sz w:val="24"/>
        </w:rPr>
        <w:t xml:space="preserve"> categories of questions </w:t>
      </w:r>
      <w:r>
        <w:rPr>
          <w:rFonts w:ascii="Times New Roman" w:hAnsi="Times New Roman" w:cs="Times New Roman"/>
          <w:sz w:val="24"/>
        </w:rPr>
        <w:t xml:space="preserve">that </w:t>
      </w:r>
      <w:r w:rsidRPr="007B7C47" w:rsidR="007B7C47">
        <w:rPr>
          <w:rFonts w:ascii="Times New Roman" w:hAnsi="Times New Roman" w:cs="Times New Roman"/>
          <w:sz w:val="24"/>
        </w:rPr>
        <w:t>apply to the activi</w:t>
      </w:r>
      <w:r w:rsidR="007B7C47">
        <w:rPr>
          <w:rFonts w:ascii="Times New Roman" w:hAnsi="Times New Roman" w:cs="Times New Roman"/>
          <w:sz w:val="24"/>
        </w:rPr>
        <w:t xml:space="preserve">ties undertaken as part of </w:t>
      </w:r>
      <w:r>
        <w:rPr>
          <w:rFonts w:ascii="Times New Roman" w:hAnsi="Times New Roman" w:cs="Times New Roman"/>
          <w:sz w:val="24"/>
        </w:rPr>
        <w:t>their</w:t>
      </w:r>
      <w:r w:rsidR="007B7C47">
        <w:rPr>
          <w:rFonts w:ascii="Times New Roman" w:hAnsi="Times New Roman" w:cs="Times New Roman"/>
          <w:sz w:val="24"/>
        </w:rPr>
        <w:t xml:space="preserve"> </w:t>
      </w:r>
      <w:r w:rsidRPr="007B7C47" w:rsidR="001C3291">
        <w:rPr>
          <w:rFonts w:ascii="Times New Roman" w:hAnsi="Times New Roman" w:cs="Times New Roman"/>
          <w:sz w:val="24"/>
        </w:rPr>
        <w:t>project and</w:t>
      </w:r>
      <w:r w:rsidR="0077725D">
        <w:rPr>
          <w:rFonts w:ascii="Times New Roman" w:hAnsi="Times New Roman" w:cs="Times New Roman"/>
          <w:sz w:val="24"/>
        </w:rPr>
        <w:t xml:space="preserve"> </w:t>
      </w:r>
      <w:r w:rsidR="007B7C47">
        <w:rPr>
          <w:rFonts w:ascii="Times New Roman" w:hAnsi="Times New Roman" w:cs="Times New Roman"/>
          <w:sz w:val="24"/>
        </w:rPr>
        <w:t>will be able</w:t>
      </w:r>
      <w:r w:rsidRPr="007B7C47" w:rsidR="007B7C47">
        <w:rPr>
          <w:rFonts w:ascii="Times New Roman" w:hAnsi="Times New Roman" w:cs="Times New Roman"/>
          <w:sz w:val="24"/>
        </w:rPr>
        <w:t xml:space="preserve"> to bypass any category</w:t>
      </w:r>
      <w:r w:rsidR="0099451A">
        <w:rPr>
          <w:rFonts w:ascii="Times New Roman" w:hAnsi="Times New Roman" w:cs="Times New Roman"/>
          <w:sz w:val="24"/>
        </w:rPr>
        <w:t xml:space="preserve"> of questions</w:t>
      </w:r>
      <w:r w:rsidRPr="007B7C47" w:rsidR="007B7C47">
        <w:rPr>
          <w:rFonts w:ascii="Times New Roman" w:hAnsi="Times New Roman" w:cs="Times New Roman"/>
          <w:sz w:val="24"/>
        </w:rPr>
        <w:t xml:space="preserve"> that is not applicable.</w:t>
      </w:r>
      <w:r>
        <w:rPr>
          <w:rFonts w:ascii="Times New Roman" w:hAnsi="Times New Roman" w:cs="Times New Roman"/>
          <w:sz w:val="24"/>
        </w:rPr>
        <w:t xml:space="preserve"> </w:t>
      </w:r>
      <w:r>
        <w:rPr>
          <w:rFonts w:ascii="Times New Roman" w:hAnsi="Times New Roman" w:cs="Times New Roman"/>
          <w:sz w:val="24"/>
        </w:rPr>
        <w:t>N</w:t>
      </w:r>
      <w:r>
        <w:rPr>
          <w:rFonts w:ascii="Times New Roman" w:hAnsi="Times New Roman" w:cs="Times New Roman"/>
          <w:sz w:val="24"/>
        </w:rPr>
        <w:t xml:space="preserve">ot every </w:t>
      </w:r>
      <w:r w:rsidR="00921B5F">
        <w:rPr>
          <w:rFonts w:ascii="Times New Roman" w:hAnsi="Times New Roman" w:cs="Times New Roman"/>
          <w:sz w:val="24"/>
        </w:rPr>
        <w:t xml:space="preserve">question within any given category </w:t>
      </w:r>
      <w:r>
        <w:rPr>
          <w:rFonts w:ascii="Times New Roman" w:hAnsi="Times New Roman" w:cs="Times New Roman"/>
          <w:sz w:val="24"/>
        </w:rPr>
        <w:t xml:space="preserve">will apply to each project, so the respondent </w:t>
      </w:r>
      <w:r>
        <w:rPr>
          <w:rFonts w:ascii="Times New Roman" w:hAnsi="Times New Roman" w:cs="Times New Roman"/>
          <w:sz w:val="24"/>
        </w:rPr>
        <w:t>is</w:t>
      </w:r>
      <w:r w:rsidR="0099451A">
        <w:rPr>
          <w:rFonts w:ascii="Times New Roman" w:hAnsi="Times New Roman" w:cs="Times New Roman"/>
          <w:sz w:val="24"/>
        </w:rPr>
        <w:t xml:space="preserve"> </w:t>
      </w:r>
      <w:r>
        <w:rPr>
          <w:rFonts w:ascii="Times New Roman" w:hAnsi="Times New Roman" w:cs="Times New Roman"/>
          <w:sz w:val="24"/>
        </w:rPr>
        <w:t>provided with an option to check</w:t>
      </w:r>
      <w:r w:rsidR="007E091F">
        <w:rPr>
          <w:rFonts w:ascii="Times New Roman" w:hAnsi="Times New Roman" w:cs="Times New Roman"/>
          <w:sz w:val="24"/>
        </w:rPr>
        <w:t xml:space="preserve"> a</w:t>
      </w:r>
      <w:r>
        <w:rPr>
          <w:rFonts w:ascii="Times New Roman" w:hAnsi="Times New Roman" w:cs="Times New Roman"/>
          <w:sz w:val="24"/>
        </w:rPr>
        <w:t xml:space="preserve"> “not applicable” radio button </w:t>
      </w:r>
      <w:r w:rsidR="00EC0D54">
        <w:rPr>
          <w:rFonts w:ascii="Times New Roman" w:hAnsi="Times New Roman" w:cs="Times New Roman"/>
          <w:sz w:val="24"/>
        </w:rPr>
        <w:t>for many</w:t>
      </w:r>
      <w:r>
        <w:rPr>
          <w:rFonts w:ascii="Times New Roman" w:hAnsi="Times New Roman" w:cs="Times New Roman"/>
          <w:sz w:val="24"/>
        </w:rPr>
        <w:t xml:space="preserve"> questions</w:t>
      </w:r>
      <w:r w:rsidR="00EC0D54">
        <w:rPr>
          <w:rFonts w:ascii="Times New Roman" w:hAnsi="Times New Roman" w:cs="Times New Roman"/>
          <w:sz w:val="24"/>
        </w:rPr>
        <w:t xml:space="preserve"> in </w:t>
      </w:r>
      <w:r>
        <w:rPr>
          <w:rFonts w:ascii="Times New Roman" w:hAnsi="Times New Roman" w:cs="Times New Roman"/>
          <w:sz w:val="24"/>
        </w:rPr>
        <w:t>all</w:t>
      </w:r>
      <w:r w:rsidR="00EC0D54">
        <w:rPr>
          <w:rFonts w:ascii="Times New Roman" w:hAnsi="Times New Roman" w:cs="Times New Roman"/>
          <w:sz w:val="24"/>
        </w:rPr>
        <w:t xml:space="preserve"> the forms</w:t>
      </w:r>
      <w:r w:rsidR="002A16F7">
        <w:rPr>
          <w:rFonts w:ascii="Times New Roman" w:hAnsi="Times New Roman" w:cs="Times New Roman"/>
          <w:sz w:val="24"/>
        </w:rPr>
        <w:t>.</w:t>
      </w:r>
      <w:r>
        <w:rPr>
          <w:rFonts w:ascii="Times New Roman" w:hAnsi="Times New Roman" w:cs="Times New Roman"/>
          <w:sz w:val="24"/>
        </w:rPr>
        <w:t xml:space="preserve"> </w:t>
      </w:r>
    </w:p>
    <w:p w:rsidR="003B0A70" w:rsidP="007B7C47" w14:paraId="0047B94C" w14:textId="77777777">
      <w:pPr>
        <w:pStyle w:val="HTMLPreformatted"/>
        <w:rPr>
          <w:rFonts w:ascii="Times New Roman" w:hAnsi="Times New Roman" w:cs="Times New Roman"/>
          <w:sz w:val="24"/>
        </w:rPr>
      </w:pPr>
    </w:p>
    <w:p w:rsidR="003B0A70" w:rsidP="007B7C47" w14:paraId="4F240939" w14:textId="14DE2899">
      <w:pPr>
        <w:pStyle w:val="HTMLPreformatted"/>
        <w:rPr>
          <w:rFonts w:ascii="Times New Roman" w:hAnsi="Times New Roman" w:cs="Times New Roman"/>
          <w:sz w:val="24"/>
        </w:rPr>
      </w:pPr>
      <w:r>
        <w:rPr>
          <w:rFonts w:ascii="Times New Roman" w:hAnsi="Times New Roman" w:cs="Times New Roman"/>
          <w:sz w:val="24"/>
        </w:rPr>
        <w:t xml:space="preserve">This flexibility </w:t>
      </w:r>
      <w:r w:rsidR="002C7CCD">
        <w:rPr>
          <w:rFonts w:ascii="Times New Roman" w:hAnsi="Times New Roman" w:cs="Times New Roman"/>
          <w:sz w:val="24"/>
        </w:rPr>
        <w:t xml:space="preserve">is intended to </w:t>
      </w:r>
      <w:r>
        <w:rPr>
          <w:rFonts w:ascii="Times New Roman" w:hAnsi="Times New Roman" w:cs="Times New Roman"/>
          <w:sz w:val="24"/>
        </w:rPr>
        <w:t xml:space="preserve">alleviate </w:t>
      </w:r>
      <w:r w:rsidR="007E091F">
        <w:rPr>
          <w:rFonts w:ascii="Times New Roman" w:hAnsi="Times New Roman" w:cs="Times New Roman"/>
          <w:sz w:val="24"/>
        </w:rPr>
        <w:t xml:space="preserve">the reporting </w:t>
      </w:r>
      <w:r>
        <w:rPr>
          <w:rFonts w:ascii="Times New Roman" w:hAnsi="Times New Roman" w:cs="Times New Roman"/>
          <w:sz w:val="24"/>
        </w:rPr>
        <w:t>burden on the grantee, as well as provide an additional insight</w:t>
      </w:r>
      <w:r w:rsidR="008912EC">
        <w:rPr>
          <w:rFonts w:ascii="Times New Roman" w:hAnsi="Times New Roman" w:cs="Times New Roman"/>
          <w:sz w:val="24"/>
        </w:rPr>
        <w:t xml:space="preserve"> for the agency </w:t>
      </w:r>
      <w:r w:rsidR="002C7CCD">
        <w:rPr>
          <w:rFonts w:ascii="Times New Roman" w:hAnsi="Times New Roman" w:cs="Times New Roman"/>
          <w:sz w:val="24"/>
        </w:rPr>
        <w:t>to</w:t>
      </w:r>
      <w:r w:rsidR="002A16F7">
        <w:rPr>
          <w:rFonts w:ascii="Times New Roman" w:hAnsi="Times New Roman" w:cs="Times New Roman"/>
          <w:sz w:val="24"/>
        </w:rPr>
        <w:t xml:space="preserve"> </w:t>
      </w:r>
      <w:r>
        <w:rPr>
          <w:rFonts w:ascii="Times New Roman" w:hAnsi="Times New Roman" w:cs="Times New Roman"/>
          <w:sz w:val="24"/>
        </w:rPr>
        <w:t>help create a typology of activities</w:t>
      </w:r>
      <w:r w:rsidR="008912EC">
        <w:rPr>
          <w:rFonts w:ascii="Times New Roman" w:hAnsi="Times New Roman" w:cs="Times New Roman"/>
          <w:sz w:val="24"/>
        </w:rPr>
        <w:t xml:space="preserve"> and outcomes</w:t>
      </w:r>
      <w:r>
        <w:rPr>
          <w:rFonts w:ascii="Times New Roman" w:hAnsi="Times New Roman" w:cs="Times New Roman"/>
          <w:sz w:val="24"/>
        </w:rPr>
        <w:t xml:space="preserve"> by program for performance measurement, as well as process evaluation analyses by EDA personnel.</w:t>
      </w:r>
    </w:p>
    <w:p w:rsidR="00D06D50" w:rsidP="00C21B43" w14:paraId="2DBCDEA7" w14:textId="77777777">
      <w:pPr>
        <w:pStyle w:val="NoSpacing"/>
      </w:pPr>
    </w:p>
    <w:p w:rsidR="00C21B43" w:rsidRPr="00EB2A32" w:rsidP="002A16F7" w14:paraId="41B67EB7" w14:textId="77777777">
      <w:pPr>
        <w:pStyle w:val="NoSpacing"/>
        <w:numPr>
          <w:ilvl w:val="0"/>
          <w:numId w:val="1"/>
        </w:numPr>
        <w:rPr>
          <w:b/>
          <w:u w:val="single"/>
        </w:rPr>
      </w:pPr>
      <w:r w:rsidRPr="00EB2A32">
        <w:rPr>
          <w:b/>
          <w:u w:val="single"/>
        </w:rPr>
        <w:t>Describe whether, and to what extent, the collection of information involves the use of automated, electronic, mechanical, or other technological collection techniques or other forms of information technology.</w:t>
      </w:r>
    </w:p>
    <w:p w:rsidR="00D42410" w:rsidRPr="002A16F7" w:rsidP="002A16F7" w14:paraId="1128085A" w14:textId="77777777">
      <w:pPr>
        <w:pStyle w:val="NoSpacing"/>
        <w:ind w:left="720"/>
        <w:rPr>
          <w:b/>
          <w:u w:val="single"/>
        </w:rPr>
      </w:pPr>
    </w:p>
    <w:p w:rsidR="00D42410" w:rsidP="00D42410" w14:paraId="47D51E51" w14:textId="09B16630">
      <w:pPr>
        <w:pStyle w:val="NoSpacing"/>
      </w:pPr>
      <w:r>
        <w:t>Data c</w:t>
      </w:r>
      <w:r>
        <w:t xml:space="preserve">ollection of </w:t>
      </w:r>
      <w:r w:rsidR="00570775">
        <w:t xml:space="preserve">the </w:t>
      </w:r>
      <w:r>
        <w:t xml:space="preserve">information </w:t>
      </w:r>
      <w:r>
        <w:t>is</w:t>
      </w:r>
      <w:r>
        <w:t xml:space="preserve"> </w:t>
      </w:r>
      <w:r w:rsidR="00921B5F">
        <w:t xml:space="preserve">conducted </w:t>
      </w:r>
      <w:r>
        <w:t>through a web-based instrument</w:t>
      </w:r>
      <w:r>
        <w:t>,</w:t>
      </w:r>
      <w:r w:rsidR="00E63442">
        <w:t xml:space="preserve"> namely</w:t>
      </w:r>
      <w:r>
        <w:t xml:space="preserve"> Qualtrics</w:t>
      </w:r>
      <w:r>
        <w:t xml:space="preserve">. </w:t>
      </w:r>
      <w:r w:rsidR="00E63442">
        <w:t>The current data collection process is as follows:</w:t>
      </w:r>
    </w:p>
    <w:p w:rsidR="00D42410" w:rsidP="00D42410" w14:paraId="55F8D70D" w14:textId="77777777">
      <w:pPr>
        <w:pStyle w:val="NoSpacing"/>
      </w:pPr>
    </w:p>
    <w:p w:rsidR="00D42410" w:rsidP="00D42410" w14:paraId="465EEE74" w14:textId="56948FCA">
      <w:pPr>
        <w:pStyle w:val="NoSpacing"/>
        <w:numPr>
          <w:ilvl w:val="0"/>
          <w:numId w:val="5"/>
        </w:numPr>
      </w:pPr>
      <w:r>
        <w:t>Email addresses are collected from the participants’</w:t>
      </w:r>
      <w:r w:rsidR="00F000C8">
        <w:t xml:space="preserve"> </w:t>
      </w:r>
      <w:r>
        <w:t>grant application contact information</w:t>
      </w:r>
      <w:r w:rsidR="006531C6">
        <w:t>.</w:t>
      </w:r>
    </w:p>
    <w:p w:rsidR="00D42410" w:rsidP="00D42410" w14:paraId="42EEC516" w14:textId="06F04D01">
      <w:pPr>
        <w:pStyle w:val="NoSpacing"/>
        <w:numPr>
          <w:ilvl w:val="0"/>
          <w:numId w:val="5"/>
        </w:numPr>
      </w:pPr>
      <w:r>
        <w:t xml:space="preserve">EDA personnel </w:t>
      </w:r>
      <w:r>
        <w:t>sends</w:t>
      </w:r>
      <w:r>
        <w:t xml:space="preserve"> </w:t>
      </w:r>
      <w:r w:rsidR="0029780D">
        <w:t xml:space="preserve">distribution </w:t>
      </w:r>
      <w:r w:rsidR="00EB2A32">
        <w:t>emails to respondents with a URL</w:t>
      </w:r>
      <w:r>
        <w:t xml:space="preserve"> to access the </w:t>
      </w:r>
      <w:r w:rsidR="00D654C0">
        <w:t>data collection instrument</w:t>
      </w:r>
      <w:r w:rsidR="00E42D67">
        <w:t>.</w:t>
      </w:r>
    </w:p>
    <w:p w:rsidR="00D42410" w:rsidP="00D42410" w14:paraId="5D0BBAE0" w14:textId="438C520C">
      <w:pPr>
        <w:pStyle w:val="NoSpacing"/>
        <w:numPr>
          <w:ilvl w:val="0"/>
          <w:numId w:val="5"/>
        </w:numPr>
      </w:pPr>
      <w:r>
        <w:t xml:space="preserve">Respondents access the </w:t>
      </w:r>
      <w:r w:rsidR="00D654C0">
        <w:t>data collection instrument</w:t>
      </w:r>
      <w:r w:rsidR="00235854">
        <w:t xml:space="preserve"> via link in the email</w:t>
      </w:r>
      <w:r w:rsidR="00E42D67">
        <w:t>.</w:t>
      </w:r>
    </w:p>
    <w:p w:rsidR="00235854" w:rsidP="00235854" w14:paraId="260D1412" w14:textId="4A388DC9">
      <w:pPr>
        <w:pStyle w:val="NoSpacing"/>
        <w:numPr>
          <w:ilvl w:val="0"/>
          <w:numId w:val="5"/>
        </w:numPr>
      </w:pPr>
      <w:r>
        <w:t xml:space="preserve">EDA personnel </w:t>
      </w:r>
      <w:r w:rsidR="00300F0A">
        <w:t>send</w:t>
      </w:r>
      <w:r>
        <w:t xml:space="preserve"> </w:t>
      </w:r>
      <w:r w:rsidR="0029780D">
        <w:t xml:space="preserve">reminder </w:t>
      </w:r>
      <w:r>
        <w:t xml:space="preserve">emails to respondents on a weekly basis to respondents that have not completed the </w:t>
      </w:r>
      <w:r w:rsidR="00D654C0">
        <w:t>data collection instrument</w:t>
      </w:r>
      <w:r w:rsidR="007E091F">
        <w:t>.</w:t>
      </w:r>
    </w:p>
    <w:p w:rsidR="00300F0A" w:rsidP="00235854" w14:paraId="2959421F" w14:textId="65AA2A3C">
      <w:pPr>
        <w:pStyle w:val="NoSpacing"/>
        <w:numPr>
          <w:ilvl w:val="0"/>
          <w:numId w:val="5"/>
        </w:numPr>
      </w:pPr>
      <w:r>
        <w:t>Respondents and EDA personnel receive an automated email with a PDF copy of responses upon survey submission.</w:t>
      </w:r>
    </w:p>
    <w:p w:rsidR="00235854" w:rsidP="00235854" w14:paraId="5EC7B135" w14:textId="77777777">
      <w:pPr>
        <w:pStyle w:val="NoSpacing"/>
      </w:pPr>
    </w:p>
    <w:p w:rsidR="00B32D00" w:rsidP="008C7F73" w14:paraId="758E7B62" w14:textId="6BB5E59D">
      <w:pPr>
        <w:pStyle w:val="NoSpacing"/>
      </w:pPr>
      <w:r>
        <w:t>While the individual responses won’t be disseminated</w:t>
      </w:r>
      <w:r w:rsidR="00924DAA">
        <w:t xml:space="preserve"> to the public</w:t>
      </w:r>
      <w:r>
        <w:t>, aggregate informatio</w:t>
      </w:r>
      <w:r w:rsidR="00924DAA">
        <w:t>n</w:t>
      </w:r>
      <w:r w:rsidR="00E42D67">
        <w:t xml:space="preserve"> on performance</w:t>
      </w:r>
      <w:r w:rsidR="00A87DB8">
        <w:t xml:space="preserve">, </w:t>
      </w:r>
      <w:r w:rsidR="00924DAA">
        <w:t xml:space="preserve">highlight data points, </w:t>
      </w:r>
      <w:r w:rsidR="00A87DB8">
        <w:t xml:space="preserve">and </w:t>
      </w:r>
      <w:r>
        <w:t xml:space="preserve">results of </w:t>
      </w:r>
      <w:r w:rsidR="00924DAA">
        <w:t>internal and external analyse</w:t>
      </w:r>
      <w:r>
        <w:t xml:space="preserve">s of the </w:t>
      </w:r>
      <w:r w:rsidR="00A87DB8">
        <w:t xml:space="preserve">collected </w:t>
      </w:r>
      <w:r>
        <w:t>data</w:t>
      </w:r>
      <w:r w:rsidR="00924DAA">
        <w:t xml:space="preserve">, </w:t>
      </w:r>
      <w:r>
        <w:t xml:space="preserve">will be increasingly shared on </w:t>
      </w:r>
      <w:hyperlink r:id="rId9" w:history="1">
        <w:r w:rsidRPr="00E42D67">
          <w:rPr>
            <w:rStyle w:val="Hyperlink"/>
          </w:rPr>
          <w:t>EDA’s performance web page</w:t>
        </w:r>
      </w:hyperlink>
      <w:r w:rsidR="00300F0A">
        <w:t xml:space="preserve"> starting in Q4 FY2023.</w:t>
      </w:r>
    </w:p>
    <w:p w:rsidR="007E1C43" w:rsidP="008C7F73" w14:paraId="762061B9" w14:textId="77777777">
      <w:pPr>
        <w:pStyle w:val="NoSpacing"/>
      </w:pPr>
    </w:p>
    <w:p w:rsidR="007E1C43" w:rsidP="00E42D67" w14:paraId="5351F19D" w14:textId="6A46FD22">
      <w:pPr>
        <w:pStyle w:val="NoSpacing"/>
        <w:numPr>
          <w:ilvl w:val="0"/>
          <w:numId w:val="1"/>
        </w:numPr>
        <w:rPr>
          <w:b/>
          <w:u w:val="single"/>
        </w:rPr>
      </w:pPr>
      <w:r w:rsidRPr="00EB2A32">
        <w:rPr>
          <w:b/>
          <w:u w:val="single"/>
        </w:rPr>
        <w:t xml:space="preserve">Describe efforts to identify duplication. Show specifically why any similar information already available cannot be used or modified for use for the purposes described in item 2 above. </w:t>
      </w:r>
    </w:p>
    <w:p w:rsidR="00004E55" w:rsidRPr="00EB2A32" w:rsidP="00BD4670" w14:paraId="4069F92A" w14:textId="77777777">
      <w:pPr>
        <w:pStyle w:val="NoSpacing"/>
        <w:ind w:left="720"/>
        <w:rPr>
          <w:b/>
          <w:u w:val="single"/>
        </w:rPr>
      </w:pPr>
    </w:p>
    <w:p w:rsidR="00004E55" w:rsidP="00BD4670" w14:paraId="502B5B4A" w14:textId="1EA23113">
      <w:r w:rsidRPr="00234FDD">
        <w:t xml:space="preserve">EDA is unaware of any duplication with respect to this information collection. </w:t>
      </w:r>
      <w:r w:rsidRPr="00EB17C9">
        <w:t xml:space="preserve">EDA reviews existing </w:t>
      </w:r>
      <w:r>
        <w:t>information</w:t>
      </w:r>
      <w:r w:rsidRPr="00EB17C9">
        <w:t xml:space="preserve"> collection</w:t>
      </w:r>
      <w:r>
        <w:t>s</w:t>
      </w:r>
      <w:r w:rsidRPr="00EB17C9">
        <w:t xml:space="preserve"> to ensure</w:t>
      </w:r>
      <w:r>
        <w:t xml:space="preserve"> that there is no duplication. </w:t>
      </w:r>
      <w:r w:rsidRPr="00EB17C9">
        <w:t xml:space="preserve">The </w:t>
      </w:r>
      <w:r>
        <w:t xml:space="preserve">outcome </w:t>
      </w:r>
      <w:r w:rsidRPr="00EB17C9">
        <w:t xml:space="preserve">information </w:t>
      </w:r>
      <w:r>
        <w:t>collected is unique to the EDA programs and is not collected elsewhere.</w:t>
      </w:r>
    </w:p>
    <w:p w:rsidR="00FD264E" w:rsidP="007E1C43" w14:paraId="1F067091" w14:textId="77777777">
      <w:pPr>
        <w:pStyle w:val="NoSpacing"/>
      </w:pPr>
    </w:p>
    <w:p w:rsidR="00FD264E" w:rsidRPr="00EB2A32" w:rsidP="008D09AD" w14:paraId="55193202" w14:textId="042DCA1B">
      <w:pPr>
        <w:pStyle w:val="NoSpacing"/>
        <w:numPr>
          <w:ilvl w:val="0"/>
          <w:numId w:val="1"/>
        </w:numPr>
        <w:rPr>
          <w:b/>
          <w:u w:val="single"/>
        </w:rPr>
      </w:pPr>
      <w:r w:rsidRPr="00EB2A32">
        <w:rPr>
          <w:b/>
          <w:u w:val="single"/>
        </w:rPr>
        <w:t xml:space="preserve">If the collection of information impacts small businesses or other small entities, describe any methods used to minimize burden. </w:t>
      </w:r>
    </w:p>
    <w:p w:rsidR="00453AD2" w:rsidP="00453AD2" w14:paraId="42A04D92" w14:textId="77777777">
      <w:pPr>
        <w:pStyle w:val="NoSpacing"/>
        <w:rPr>
          <w:b/>
        </w:rPr>
      </w:pPr>
    </w:p>
    <w:p w:rsidR="00A713CB" w:rsidP="00453AD2" w14:paraId="253D77C7" w14:textId="48FF5C7D">
      <w:pPr>
        <w:pStyle w:val="NoSpacing"/>
      </w:pPr>
      <w:r>
        <w:t>This collection does</w:t>
      </w:r>
      <w:r>
        <w:t xml:space="preserve"> not directly</w:t>
      </w:r>
      <w:r w:rsidR="00EB2A32">
        <w:t xml:space="preserve"> </w:t>
      </w:r>
      <w:r>
        <w:t>involve small businesses</w:t>
      </w:r>
      <w:r w:rsidR="00875501">
        <w:t xml:space="preserve">. </w:t>
      </w:r>
      <w:r w:rsidR="00517497">
        <w:t xml:space="preserve">The respondent </w:t>
      </w:r>
      <w:r w:rsidR="00875501">
        <w:t>EDA grantees</w:t>
      </w:r>
      <w:r w:rsidR="00A838DE">
        <w:t xml:space="preserve"> are </w:t>
      </w:r>
      <w:r w:rsidR="00517497">
        <w:t xml:space="preserve">almost exclusively </w:t>
      </w:r>
      <w:r w:rsidR="00F02150">
        <w:t>State</w:t>
      </w:r>
      <w:r w:rsidR="00517497">
        <w:t>s</w:t>
      </w:r>
      <w:r w:rsidR="00B82BC7">
        <w:t xml:space="preserve"> and local </w:t>
      </w:r>
      <w:r w:rsidR="00517497">
        <w:t>governments</w:t>
      </w:r>
      <w:r w:rsidR="00B82BC7">
        <w:t>, institutions of higher education, non-profit organizations,</w:t>
      </w:r>
      <w:r w:rsidR="00875501">
        <w:t xml:space="preserve"> </w:t>
      </w:r>
      <w:r w:rsidR="00B82BC7">
        <w:t>Tribal entities, and District Organizations</w:t>
      </w:r>
      <w:r w:rsidR="00BD4670">
        <w:t>.</w:t>
      </w:r>
      <w:r>
        <w:rPr>
          <w:rStyle w:val="FootnoteReference"/>
        </w:rPr>
        <w:footnoteReference w:id="3"/>
      </w:r>
      <w:r>
        <w:t xml:space="preserve"> In the cases where EDA grantees serve small businesses, </w:t>
      </w:r>
      <w:r w:rsidR="00BD4670">
        <w:t xml:space="preserve">such grantees </w:t>
      </w:r>
      <w:r w:rsidR="00875501">
        <w:t>might</w:t>
      </w:r>
      <w:r>
        <w:t xml:space="preserve"> collect pertinent information based on existing arrangements</w:t>
      </w:r>
      <w:r w:rsidR="00875501">
        <w:t xml:space="preserve"> with clients, borrowers, or beneficiaries</w:t>
      </w:r>
      <w:r>
        <w:t>.</w:t>
      </w:r>
      <w:r>
        <w:rPr>
          <w:rStyle w:val="FootnoteReference"/>
        </w:rPr>
        <w:footnoteReference w:id="4"/>
      </w:r>
    </w:p>
    <w:p w:rsidR="00453AD2" w:rsidRPr="00453AD2" w:rsidP="00453AD2" w14:paraId="1ACCA186" w14:textId="58D95D27">
      <w:pPr>
        <w:pStyle w:val="NoSpacing"/>
      </w:pPr>
    </w:p>
    <w:p w:rsidR="006A1CB4" w:rsidRPr="00EB2A32" w:rsidP="008D09AD" w14:paraId="6F1EC550" w14:textId="3B867043">
      <w:pPr>
        <w:pStyle w:val="NoSpacing"/>
        <w:numPr>
          <w:ilvl w:val="0"/>
          <w:numId w:val="1"/>
        </w:numPr>
        <w:rPr>
          <w:b/>
          <w:u w:val="single"/>
        </w:rPr>
      </w:pPr>
      <w:r w:rsidRPr="00EB2A32">
        <w:rPr>
          <w:b/>
          <w:u w:val="single"/>
        </w:rPr>
        <w:t>Describe the consequence to Federal program or policy activities if the collection is not conducted or is conducted less frequently, as well as any technical or legal obstacles to reducing the burden.</w:t>
      </w:r>
    </w:p>
    <w:p w:rsidR="00453AD2" w:rsidP="00453AD2" w14:paraId="0A8492FD" w14:textId="77777777">
      <w:pPr>
        <w:pStyle w:val="NoSpacing"/>
        <w:rPr>
          <w:b/>
        </w:rPr>
      </w:pPr>
    </w:p>
    <w:p w:rsidR="00F46B1B" w:rsidP="007F3C24" w14:paraId="2E5D8FA7" w14:textId="103445D5">
      <w:pPr>
        <w:pStyle w:val="NoSpacing"/>
      </w:pPr>
      <w:r>
        <w:t>The data collected will help EDA</w:t>
      </w:r>
      <w:r w:rsidR="00934898">
        <w:t xml:space="preserve"> construct more robust performance me</w:t>
      </w:r>
      <w:r>
        <w:t>trics</w:t>
      </w:r>
      <w:r w:rsidR="00A0394C">
        <w:t xml:space="preserve"> </w:t>
      </w:r>
      <w:r w:rsidR="007F3C24">
        <w:t>and increase accountability and transparency of the agency</w:t>
      </w:r>
      <w:r w:rsidR="00143106">
        <w:t>’s work</w:t>
      </w:r>
      <w:r w:rsidR="007F3C24">
        <w:t xml:space="preserve"> by providing</w:t>
      </w:r>
      <w:r w:rsidR="00934898">
        <w:t xml:space="preserve"> better insight into the efficiency and effectiveness of </w:t>
      </w:r>
      <w:r w:rsidR="00F000C8">
        <w:t xml:space="preserve">all the programs under </w:t>
      </w:r>
      <w:r w:rsidR="00934898">
        <w:t xml:space="preserve">its non-infrastructure portfolio. </w:t>
      </w:r>
    </w:p>
    <w:p w:rsidR="00F46B1B" w:rsidP="007F3C24" w14:paraId="0D880169" w14:textId="77777777">
      <w:pPr>
        <w:pStyle w:val="NoSpacing"/>
      </w:pPr>
    </w:p>
    <w:p w:rsidR="00511032" w:rsidP="007F3C24" w14:paraId="583C8393" w14:textId="644B8997">
      <w:pPr>
        <w:pStyle w:val="NoSpacing"/>
      </w:pPr>
      <w:r>
        <w:t>The data will be collected on semi-annual and annual bas</w:t>
      </w:r>
      <w:r w:rsidR="00D51978">
        <w:t>is</w:t>
      </w:r>
      <w:r>
        <w:t xml:space="preserve">. </w:t>
      </w:r>
      <w:r w:rsidR="00D9153D">
        <w:t xml:space="preserve">According to the recommendations by SRI International, </w:t>
      </w:r>
      <w:r w:rsidR="00BD4670">
        <w:t xml:space="preserve">to not collect the data or </w:t>
      </w:r>
      <w:r w:rsidR="00D9153D">
        <w:t xml:space="preserve">less </w:t>
      </w:r>
      <w:r>
        <w:t>frequent</w:t>
      </w:r>
      <w:r w:rsidR="00BD4670">
        <w:t>ly</w:t>
      </w:r>
      <w:r>
        <w:t xml:space="preserve"> collect</w:t>
      </w:r>
      <w:r w:rsidR="00BD4670">
        <w:t xml:space="preserve"> the</w:t>
      </w:r>
      <w:r>
        <w:t xml:space="preserve"> data would result in</w:t>
      </w:r>
      <w:r w:rsidR="00F46B1B">
        <w:t xml:space="preserve"> a less robust performance measurement system that would in turn decrease </w:t>
      </w:r>
      <w:r>
        <w:t xml:space="preserve">the agency’s ability to </w:t>
      </w:r>
      <w:r w:rsidR="00F000C8">
        <w:t>maximize accountability, transparency</w:t>
      </w:r>
      <w:r w:rsidR="00606779">
        <w:t>,</w:t>
      </w:r>
      <w:r w:rsidR="00F000C8">
        <w:t xml:space="preserve"> and </w:t>
      </w:r>
      <w:r>
        <w:t xml:space="preserve">conduct program evaluation studies. </w:t>
      </w:r>
    </w:p>
    <w:p w:rsidR="00934898" w:rsidP="00453AD2" w14:paraId="6B5484D9" w14:textId="00277158">
      <w:pPr>
        <w:pStyle w:val="NoSpacing"/>
      </w:pPr>
    </w:p>
    <w:p w:rsidR="006A1CB4" w:rsidP="008D09AD" w14:paraId="7E7770DD" w14:textId="77777777">
      <w:pPr>
        <w:pStyle w:val="NoSpacing"/>
        <w:numPr>
          <w:ilvl w:val="0"/>
          <w:numId w:val="1"/>
        </w:numPr>
        <w:rPr>
          <w:b/>
          <w:u w:val="single"/>
        </w:rPr>
      </w:pPr>
      <w:r w:rsidRPr="00D06D50">
        <w:rPr>
          <w:b/>
          <w:u w:val="single"/>
        </w:rPr>
        <w:t>Explain any special circumstances that would cause information collection</w:t>
      </w:r>
      <w:r w:rsidRPr="00D06D50" w:rsidR="00D06D50">
        <w:rPr>
          <w:b/>
          <w:u w:val="single"/>
        </w:rPr>
        <w:t xml:space="preserve"> to be conducted in a manner inconsistent with OMB guidelines. </w:t>
      </w:r>
      <w:r w:rsidR="00EB2A32">
        <w:rPr>
          <w:b/>
          <w:u w:val="single"/>
        </w:rPr>
        <w:br/>
      </w:r>
    </w:p>
    <w:p w:rsidR="00D06D50" w:rsidP="00D06D50" w14:paraId="4731BFCD" w14:textId="7969E832">
      <w:pPr>
        <w:pStyle w:val="NoSpacing"/>
      </w:pPr>
      <w:r>
        <w:t>There are no special circumstances that would cause</w:t>
      </w:r>
      <w:r w:rsidR="00BA26F5">
        <w:t xml:space="preserve"> the</w:t>
      </w:r>
      <w:r>
        <w:t xml:space="preserve"> information collection to be conducted in a manner inconsistent with OMB guidelines. </w:t>
      </w:r>
    </w:p>
    <w:p w:rsidR="00B55E0B" w:rsidRPr="00A8706E" w:rsidP="00294086" w14:paraId="5A97FC81" w14:textId="51FCB3F6">
      <w:pPr>
        <w:tabs>
          <w:tab w:val="left" w:pos="2913"/>
        </w:tabs>
        <w:spacing w:after="0" w:line="240" w:lineRule="auto"/>
        <w:rPr>
          <w:rFonts w:eastAsia="Times New Roman"/>
          <w:b/>
        </w:rPr>
      </w:pPr>
      <w:r>
        <w:rPr>
          <w:rFonts w:eastAsia="Times New Roman"/>
          <w:b/>
        </w:rPr>
        <w:tab/>
      </w:r>
    </w:p>
    <w:p w:rsidR="00B55E0B" w:rsidP="008D09AD" w14:paraId="13BEC352" w14:textId="4CD8054C">
      <w:pPr>
        <w:pStyle w:val="ListParagraph"/>
        <w:numPr>
          <w:ilvl w:val="0"/>
          <w:numId w:val="1"/>
        </w:numPr>
        <w:spacing w:after="0" w:line="240" w:lineRule="auto"/>
        <w:rPr>
          <w:rFonts w:eastAsia="Times New Roman"/>
          <w:b/>
          <w:u w:val="single"/>
        </w:rPr>
      </w:pPr>
      <w:r w:rsidRPr="00EB2A32">
        <w:rPr>
          <w:rFonts w:eastAsia="Times New Roman"/>
          <w:b/>
          <w:u w:val="single"/>
        </w:rPr>
        <w:t xml:space="preserve">If applicable, provide a copy and identify the date and page number of </w:t>
      </w:r>
      <w:r w:rsidRPr="00EB2A32">
        <w:rPr>
          <w:rFonts w:eastAsia="Times New Roman"/>
          <w:b/>
          <w:u w:val="single"/>
        </w:rPr>
        <w:t>publication</w:t>
      </w:r>
      <w:r w:rsidRPr="00EB2A32">
        <w:rPr>
          <w:rFonts w:eastAsia="Times New Roman"/>
          <w:b/>
          <w:u w:val="single"/>
        </w:rPr>
        <w:t xml:space="preserve"> in the Federal Register of the agency's notice, required by 5 CFR 1320.8(d), soliciting comments on the information collection prior to submission to OMB. </w:t>
      </w:r>
    </w:p>
    <w:p w:rsidR="004923E4" w:rsidRPr="00EB2A32" w:rsidP="004923E4" w14:paraId="1650199E" w14:textId="77777777">
      <w:pPr>
        <w:pStyle w:val="ListParagraph"/>
        <w:spacing w:after="0" w:line="240" w:lineRule="auto"/>
        <w:ind w:left="1080"/>
        <w:rPr>
          <w:rFonts w:eastAsia="Times New Roman"/>
          <w:b/>
          <w:u w:val="single"/>
        </w:rPr>
      </w:pPr>
    </w:p>
    <w:p w:rsidR="00B55E0B" w:rsidP="00346B46" w14:paraId="1857EE31" w14:textId="3272B8AF">
      <w:pPr>
        <w:spacing w:after="0" w:line="240" w:lineRule="auto"/>
        <w:rPr>
          <w:rFonts w:eastAsia="Times New Roman"/>
        </w:rPr>
      </w:pPr>
      <w:r w:rsidRPr="03DCB33A">
        <w:rPr>
          <w:rFonts w:eastAsia="Times New Roman"/>
        </w:rPr>
        <w:t>On</w:t>
      </w:r>
      <w:r w:rsidRPr="03DCB33A" w:rsidR="61097462">
        <w:rPr>
          <w:rFonts w:eastAsia="Times New Roman"/>
        </w:rPr>
        <w:t xml:space="preserve"> </w:t>
      </w:r>
      <w:r w:rsidRPr="03DCB33A" w:rsidR="46655C2C">
        <w:rPr>
          <w:rFonts w:eastAsia="Times New Roman"/>
        </w:rPr>
        <w:t>February 16, 2023</w:t>
      </w:r>
      <w:r w:rsidRPr="03DCB33A" w:rsidR="61097462">
        <w:rPr>
          <w:rFonts w:eastAsia="Times New Roman"/>
        </w:rPr>
        <w:t>,</w:t>
      </w:r>
      <w:r w:rsidRPr="03DCB33A">
        <w:rPr>
          <w:rFonts w:eastAsia="Times New Roman"/>
        </w:rPr>
        <w:t xml:space="preserve"> a Federal Register Notice was published to solicit public comments on this information collection</w:t>
      </w:r>
      <w:r w:rsidRPr="03DCB33A" w:rsidR="61097462">
        <w:rPr>
          <w:rFonts w:eastAsia="Times New Roman"/>
        </w:rPr>
        <w:t xml:space="preserve"> (</w:t>
      </w:r>
      <w:r w:rsidR="46655C2C">
        <w:t>88 FR 10086</w:t>
      </w:r>
      <w:r w:rsidRPr="03DCB33A" w:rsidR="61097462">
        <w:rPr>
          <w:rFonts w:eastAsia="Times New Roman"/>
        </w:rPr>
        <w:t>)</w:t>
      </w:r>
      <w:r w:rsidRPr="03DCB33A">
        <w:rPr>
          <w:rFonts w:eastAsia="Times New Roman"/>
        </w:rPr>
        <w:t xml:space="preserve">. No </w:t>
      </w:r>
      <w:r w:rsidRPr="03DCB33A" w:rsidR="6173ADA9">
        <w:rPr>
          <w:rFonts w:eastAsia="Times New Roman"/>
        </w:rPr>
        <w:t xml:space="preserve">public </w:t>
      </w:r>
      <w:r w:rsidRPr="03DCB33A">
        <w:rPr>
          <w:rFonts w:eastAsia="Times New Roman"/>
        </w:rPr>
        <w:t>comments were received.</w:t>
      </w:r>
    </w:p>
    <w:p w:rsidR="00B55E0B" w:rsidP="00B55E0B" w14:paraId="005999A2" w14:textId="77777777">
      <w:pPr>
        <w:spacing w:after="0" w:line="240" w:lineRule="auto"/>
        <w:rPr>
          <w:rFonts w:eastAsia="Times New Roman"/>
        </w:rPr>
      </w:pPr>
    </w:p>
    <w:p w:rsidR="00B55E0B" w:rsidRPr="00D06D50" w:rsidP="008D09AD" w14:paraId="08678870" w14:textId="77777777">
      <w:pPr>
        <w:pStyle w:val="ListParagraph"/>
        <w:numPr>
          <w:ilvl w:val="0"/>
          <w:numId w:val="1"/>
        </w:numPr>
        <w:spacing w:after="0" w:line="240" w:lineRule="auto"/>
        <w:rPr>
          <w:rFonts w:eastAsia="Times New Roman"/>
          <w:b/>
          <w:u w:val="single"/>
        </w:rPr>
      </w:pPr>
      <w:r w:rsidRPr="00D06D50">
        <w:rPr>
          <w:rFonts w:eastAsia="Times New Roman"/>
          <w:b/>
          <w:u w:val="single"/>
        </w:rPr>
        <w:t>Explain any decision to provide any payment or gift to respondents, other than remuneration of contractors or grantees.</w:t>
      </w:r>
    </w:p>
    <w:p w:rsidR="00D06D50" w:rsidRPr="00D06D50" w:rsidP="00D06D50" w14:paraId="06E9E717" w14:textId="77777777">
      <w:pPr>
        <w:spacing w:after="0" w:line="240" w:lineRule="auto"/>
        <w:rPr>
          <w:rFonts w:eastAsia="Times New Roman"/>
        </w:rPr>
      </w:pPr>
    </w:p>
    <w:p w:rsidR="00D06D50" w:rsidRPr="00D06D50" w:rsidP="00D06D50" w14:paraId="56531A43" w14:textId="23AB084F">
      <w:pPr>
        <w:spacing w:after="0" w:line="240" w:lineRule="auto"/>
        <w:rPr>
          <w:rFonts w:eastAsia="Times New Roman"/>
        </w:rPr>
      </w:pPr>
      <w:r w:rsidRPr="00D06D50">
        <w:rPr>
          <w:rFonts w:eastAsia="Times New Roman"/>
        </w:rPr>
        <w:t xml:space="preserve">Gifts or payments </w:t>
      </w:r>
      <w:r w:rsidR="00D42258">
        <w:rPr>
          <w:rFonts w:eastAsia="Times New Roman"/>
        </w:rPr>
        <w:t>will</w:t>
      </w:r>
      <w:r w:rsidRPr="00D06D50" w:rsidR="00D42258">
        <w:rPr>
          <w:rFonts w:eastAsia="Times New Roman"/>
        </w:rPr>
        <w:t xml:space="preserve"> </w:t>
      </w:r>
      <w:r w:rsidRPr="00D06D50">
        <w:rPr>
          <w:rFonts w:eastAsia="Times New Roman"/>
        </w:rPr>
        <w:t xml:space="preserve">not </w:t>
      </w:r>
      <w:r w:rsidR="00D42258">
        <w:rPr>
          <w:rFonts w:eastAsia="Times New Roman"/>
        </w:rPr>
        <w:t xml:space="preserve">be </w:t>
      </w:r>
      <w:r w:rsidRPr="00D06D50">
        <w:rPr>
          <w:rFonts w:eastAsia="Times New Roman"/>
        </w:rPr>
        <w:t>provided to respondents.</w:t>
      </w:r>
    </w:p>
    <w:p w:rsidR="00B55E0B" w:rsidP="00B55E0B" w14:paraId="4D2360C5" w14:textId="77777777">
      <w:pPr>
        <w:spacing w:after="0" w:line="240" w:lineRule="auto"/>
        <w:rPr>
          <w:rFonts w:eastAsia="Times New Roman"/>
        </w:rPr>
      </w:pPr>
    </w:p>
    <w:p w:rsidR="00B55E0B" w:rsidRPr="00D06D50" w:rsidP="008D09AD" w14:paraId="6144561B" w14:textId="77777777">
      <w:pPr>
        <w:pStyle w:val="ListParagraph"/>
        <w:numPr>
          <w:ilvl w:val="0"/>
          <w:numId w:val="1"/>
        </w:numPr>
        <w:spacing w:after="0" w:line="240" w:lineRule="auto"/>
        <w:rPr>
          <w:rFonts w:eastAsia="Times New Roman"/>
          <w:b/>
          <w:u w:val="single"/>
        </w:rPr>
      </w:pPr>
      <w:r w:rsidRPr="00D06D50">
        <w:rPr>
          <w:rFonts w:eastAsia="Times New Roman"/>
          <w:b/>
          <w:u w:val="single"/>
        </w:rPr>
        <w:t>Describe any assurance of confidentiality provided to respondents and the basis for the assurance in statute, regulation, or agency policy.</w:t>
      </w:r>
    </w:p>
    <w:p w:rsidR="00D06D50" w:rsidP="00D06D50" w14:paraId="15A84345" w14:textId="77777777">
      <w:pPr>
        <w:spacing w:after="0" w:line="240" w:lineRule="auto"/>
        <w:rPr>
          <w:rFonts w:eastAsia="Times New Roman"/>
          <w:b/>
        </w:rPr>
      </w:pPr>
    </w:p>
    <w:p w:rsidR="00D06D50" w:rsidRPr="00D06D50" w:rsidP="00D06D50" w14:paraId="73297266" w14:textId="77777777">
      <w:pPr>
        <w:spacing w:after="0" w:line="240" w:lineRule="auto"/>
        <w:rPr>
          <w:rFonts w:eastAsia="Times New Roman"/>
        </w:rPr>
      </w:pPr>
      <w:r w:rsidRPr="00D06D50">
        <w:rPr>
          <w:rFonts w:eastAsia="Times New Roman"/>
        </w:rPr>
        <w:t>There is no assurance of confidentiality provided to respondents of this information collection.</w:t>
      </w:r>
    </w:p>
    <w:p w:rsidR="00D06D50" w:rsidP="00D06D50" w14:paraId="1816A613" w14:textId="77777777">
      <w:pPr>
        <w:spacing w:after="0" w:line="240" w:lineRule="auto"/>
        <w:rPr>
          <w:rFonts w:eastAsia="Times New Roman"/>
          <w:b/>
        </w:rPr>
      </w:pPr>
    </w:p>
    <w:p w:rsidR="00B55E0B" w:rsidP="00D42258" w14:paraId="37EDD37C" w14:textId="736A8115">
      <w:pPr>
        <w:spacing w:after="0"/>
      </w:pPr>
      <w:r w:rsidRPr="00234FDD">
        <w:t xml:space="preserve">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Pr="00EB2A32">
        <w:t>See</w:t>
      </w:r>
      <w:r w:rsidRPr="00234FDD">
        <w:rPr>
          <w:i/>
        </w:rPr>
        <w:t xml:space="preserve"> </w:t>
      </w:r>
      <w:r w:rsidRPr="00234FDD">
        <w:t>5 U.S.C. 552(b)(4).</w:t>
      </w:r>
    </w:p>
    <w:p w:rsidR="00D42258" w:rsidP="00BD4670" w14:paraId="2315E41A" w14:textId="77777777">
      <w:pPr>
        <w:spacing w:after="0"/>
      </w:pPr>
    </w:p>
    <w:p w:rsidR="00B55E0B" w:rsidRPr="00941E35" w:rsidP="008D09AD" w14:paraId="39D718CF" w14:textId="77777777">
      <w:pPr>
        <w:pStyle w:val="ListParagraph"/>
        <w:numPr>
          <w:ilvl w:val="0"/>
          <w:numId w:val="1"/>
        </w:numPr>
        <w:spacing w:after="0" w:line="240" w:lineRule="auto"/>
        <w:rPr>
          <w:rFonts w:eastAsia="Times New Roman"/>
          <w:b/>
          <w:u w:val="single"/>
        </w:rPr>
      </w:pPr>
      <w:r w:rsidRPr="00941E35">
        <w:rPr>
          <w:rFonts w:eastAsia="Times New Roman"/>
          <w:b/>
          <w:u w:val="single"/>
        </w:rPr>
        <w:t>Provide additional justification for any questions of a sensitive nature, such as sexual behavior and attitudes, religious beliefs, and other matters that are commonly considered private.</w:t>
      </w:r>
    </w:p>
    <w:p w:rsidR="00D06D50" w:rsidP="00D06D50" w14:paraId="0BDF9219" w14:textId="77777777">
      <w:pPr>
        <w:spacing w:after="0" w:line="240" w:lineRule="auto"/>
        <w:rPr>
          <w:rFonts w:eastAsia="Times New Roman"/>
          <w:b/>
        </w:rPr>
      </w:pPr>
    </w:p>
    <w:p w:rsidR="00D06D50" w:rsidP="00D06D50" w14:paraId="1AF474D8" w14:textId="3B1F6504">
      <w:pPr>
        <w:spacing w:after="0" w:line="240" w:lineRule="auto"/>
        <w:rPr>
          <w:rFonts w:eastAsia="Times New Roman"/>
        </w:rPr>
      </w:pPr>
      <w:r>
        <w:rPr>
          <w:rFonts w:eastAsia="Times New Roman"/>
        </w:rPr>
        <w:t>Th</w:t>
      </w:r>
      <w:r w:rsidR="00862DC2">
        <w:rPr>
          <w:rFonts w:eastAsia="Times New Roman"/>
        </w:rPr>
        <w:t>e proposed data collection instruments do not</w:t>
      </w:r>
      <w:r>
        <w:rPr>
          <w:rFonts w:eastAsia="Times New Roman"/>
        </w:rPr>
        <w:t xml:space="preserve"> </w:t>
      </w:r>
      <w:r w:rsidR="00941E35">
        <w:rPr>
          <w:rFonts w:eastAsia="Times New Roman"/>
        </w:rPr>
        <w:t xml:space="preserve">ask any questions of a sensitive nature. </w:t>
      </w:r>
    </w:p>
    <w:p w:rsidR="00903F00" w:rsidP="00B55E0B" w14:paraId="2F3338F1" w14:textId="77777777">
      <w:pPr>
        <w:spacing w:after="0" w:line="240" w:lineRule="auto"/>
        <w:rPr>
          <w:rFonts w:eastAsia="Times New Roman"/>
        </w:rPr>
      </w:pPr>
    </w:p>
    <w:p w:rsidR="00903F00" w:rsidRPr="00EB2A32" w:rsidP="008D09AD" w14:paraId="5B1C5169" w14:textId="77777777">
      <w:pPr>
        <w:pStyle w:val="ListParagraph"/>
        <w:numPr>
          <w:ilvl w:val="0"/>
          <w:numId w:val="1"/>
        </w:numPr>
        <w:spacing w:after="0" w:line="240" w:lineRule="auto"/>
        <w:rPr>
          <w:rFonts w:eastAsia="Times New Roman"/>
          <w:b/>
          <w:u w:val="single"/>
        </w:rPr>
      </w:pPr>
      <w:r w:rsidRPr="00EB2A32">
        <w:rPr>
          <w:rFonts w:eastAsia="Times New Roman"/>
          <w:b/>
          <w:u w:val="single"/>
        </w:rPr>
        <w:t>Provide estimates of the hour burden of the collection on information.</w:t>
      </w:r>
    </w:p>
    <w:p w:rsidR="00CF42C7" w:rsidP="00CF42C7" w14:paraId="686C1D82" w14:textId="7FF325F1">
      <w:pPr>
        <w:spacing w:after="0" w:line="240" w:lineRule="auto"/>
        <w:rPr>
          <w:rFonts w:eastAsia="Times New Roman"/>
          <w:b/>
        </w:rPr>
      </w:pPr>
    </w:p>
    <w:p w:rsidR="00C92BF7" w:rsidP="00C92BF7" w14:paraId="4BC94713" w14:textId="061168E7">
      <w:pPr>
        <w:spacing w:after="0" w:line="240" w:lineRule="auto"/>
        <w:rPr>
          <w:rFonts w:eastAsia="Times New Roman"/>
        </w:rPr>
      </w:pPr>
    </w:p>
    <w:tbl>
      <w:tblPr>
        <w:tblStyle w:val="TableGrid"/>
        <w:tblW w:w="0" w:type="auto"/>
        <w:tblInd w:w="805" w:type="dxa"/>
        <w:tblLook w:val="04A0"/>
      </w:tblPr>
      <w:tblGrid>
        <w:gridCol w:w="2430"/>
        <w:gridCol w:w="2250"/>
        <w:gridCol w:w="1890"/>
        <w:gridCol w:w="1890"/>
      </w:tblGrid>
      <w:tr w14:paraId="0B9289E8" w14:textId="77777777" w:rsidTr="00292D2D">
        <w:tblPrEx>
          <w:tblW w:w="0" w:type="auto"/>
          <w:tblInd w:w="805" w:type="dxa"/>
          <w:tblLook w:val="04A0"/>
        </w:tblPrEx>
        <w:tc>
          <w:tcPr>
            <w:tcW w:w="2430" w:type="dxa"/>
          </w:tcPr>
          <w:p w:rsidR="00827AD6" w:rsidRPr="008E435F" w:rsidP="00292D2D" w14:paraId="7A754E45" w14:textId="77777777">
            <w:pPr>
              <w:textAlignment w:val="baseline"/>
              <w:rPr>
                <w:rFonts w:ascii="Times New Roman" w:eastAsia="Times New Roman" w:hAnsi="Times New Roman" w:cs="Times New Roman"/>
                <w:b/>
                <w:bCs/>
                <w:sz w:val="24"/>
                <w:szCs w:val="24"/>
              </w:rPr>
            </w:pPr>
            <w:r w:rsidRPr="008E435F">
              <w:rPr>
                <w:rFonts w:ascii="Times New Roman" w:eastAsia="Times New Roman" w:hAnsi="Times New Roman" w:cs="Times New Roman"/>
                <w:b/>
                <w:bCs/>
                <w:sz w:val="24"/>
                <w:szCs w:val="24"/>
              </w:rPr>
              <w:t>Data Collection Form</w:t>
            </w:r>
          </w:p>
        </w:tc>
        <w:tc>
          <w:tcPr>
            <w:tcW w:w="2250" w:type="dxa"/>
          </w:tcPr>
          <w:p w:rsidR="00827AD6" w:rsidRPr="008E435F" w:rsidP="00292D2D" w14:paraId="0148B2AB" w14:textId="77777777">
            <w:pPr>
              <w:textAlignment w:val="baseline"/>
              <w:rPr>
                <w:rFonts w:ascii="Times New Roman" w:eastAsia="Times New Roman" w:hAnsi="Times New Roman" w:cs="Times New Roman"/>
                <w:b/>
                <w:bCs/>
                <w:sz w:val="24"/>
                <w:szCs w:val="24"/>
              </w:rPr>
            </w:pPr>
            <w:r w:rsidRPr="008E435F">
              <w:rPr>
                <w:rFonts w:ascii="Times New Roman" w:eastAsia="Times New Roman" w:hAnsi="Times New Roman" w:cs="Times New Roman"/>
                <w:b/>
                <w:bCs/>
                <w:sz w:val="24"/>
                <w:szCs w:val="24"/>
              </w:rPr>
              <w:t>Estimated Number of Respondents</w:t>
            </w:r>
          </w:p>
        </w:tc>
        <w:tc>
          <w:tcPr>
            <w:tcW w:w="1890" w:type="dxa"/>
          </w:tcPr>
          <w:p w:rsidR="00827AD6" w:rsidRPr="008E435F" w:rsidP="00292D2D" w14:paraId="5CFAF880" w14:textId="77777777">
            <w:pPr>
              <w:textAlignment w:val="baseline"/>
              <w:rPr>
                <w:rFonts w:ascii="Times New Roman" w:eastAsia="Times New Roman" w:hAnsi="Times New Roman" w:cs="Times New Roman"/>
                <w:b/>
                <w:bCs/>
                <w:sz w:val="24"/>
                <w:szCs w:val="24"/>
              </w:rPr>
            </w:pPr>
            <w:r w:rsidRPr="008E435F">
              <w:rPr>
                <w:rFonts w:ascii="Times New Roman" w:eastAsia="Times New Roman" w:hAnsi="Times New Roman" w:cs="Times New Roman"/>
                <w:b/>
                <w:bCs/>
                <w:sz w:val="24"/>
                <w:szCs w:val="24"/>
              </w:rPr>
              <w:t>Estimated Time Per Response</w:t>
            </w:r>
          </w:p>
        </w:tc>
        <w:tc>
          <w:tcPr>
            <w:tcW w:w="1890" w:type="dxa"/>
          </w:tcPr>
          <w:p w:rsidR="00827AD6" w:rsidRPr="008E435F" w:rsidP="00292D2D" w14:paraId="231C310D" w14:textId="77777777">
            <w:pPr>
              <w:textAlignment w:val="baseline"/>
              <w:rPr>
                <w:rFonts w:ascii="Times New Roman" w:eastAsia="Times New Roman" w:hAnsi="Times New Roman" w:cs="Times New Roman"/>
                <w:b/>
                <w:bCs/>
                <w:sz w:val="24"/>
                <w:szCs w:val="24"/>
              </w:rPr>
            </w:pPr>
            <w:r w:rsidRPr="008E435F">
              <w:rPr>
                <w:rFonts w:ascii="Times New Roman" w:eastAsia="Times New Roman" w:hAnsi="Times New Roman" w:cs="Times New Roman"/>
                <w:b/>
                <w:bCs/>
                <w:sz w:val="24"/>
                <w:szCs w:val="24"/>
              </w:rPr>
              <w:t>Estimated Total Burden Hours</w:t>
            </w:r>
          </w:p>
        </w:tc>
      </w:tr>
      <w:tr w14:paraId="113D56E1" w14:textId="77777777" w:rsidTr="00292D2D">
        <w:tblPrEx>
          <w:tblW w:w="0" w:type="auto"/>
          <w:tblInd w:w="805" w:type="dxa"/>
          <w:tblLook w:val="04A0"/>
        </w:tblPrEx>
        <w:tc>
          <w:tcPr>
            <w:tcW w:w="2430" w:type="dxa"/>
          </w:tcPr>
          <w:p w:rsidR="00827AD6" w:rsidRPr="008E435F" w:rsidP="00292D2D" w14:paraId="0FC13604" w14:textId="2FC8BD2D">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ED-915 (3-6-9 years)</w:t>
            </w:r>
          </w:p>
        </w:tc>
        <w:tc>
          <w:tcPr>
            <w:tcW w:w="2250" w:type="dxa"/>
          </w:tcPr>
          <w:p w:rsidR="00827AD6" w:rsidRPr="008E435F" w:rsidP="00292D2D" w14:paraId="0241FBCB"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742</w:t>
            </w:r>
          </w:p>
        </w:tc>
        <w:tc>
          <w:tcPr>
            <w:tcW w:w="1890" w:type="dxa"/>
          </w:tcPr>
          <w:p w:rsidR="00827AD6" w:rsidRPr="008E435F" w:rsidP="00292D2D" w14:paraId="38654109" w14:textId="45435DC1">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1 hour</w:t>
            </w:r>
          </w:p>
        </w:tc>
        <w:tc>
          <w:tcPr>
            <w:tcW w:w="1890" w:type="dxa"/>
          </w:tcPr>
          <w:p w:rsidR="00827AD6" w:rsidRPr="008E435F" w:rsidP="00292D2D" w14:paraId="1F7CC925"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742</w:t>
            </w:r>
          </w:p>
        </w:tc>
      </w:tr>
      <w:tr w14:paraId="0F4B5CAD" w14:textId="77777777" w:rsidTr="00292D2D">
        <w:tblPrEx>
          <w:tblW w:w="0" w:type="auto"/>
          <w:tblInd w:w="805" w:type="dxa"/>
          <w:tblLook w:val="04A0"/>
        </w:tblPrEx>
        <w:tc>
          <w:tcPr>
            <w:tcW w:w="2430" w:type="dxa"/>
          </w:tcPr>
          <w:p w:rsidR="00827AD6" w:rsidRPr="008E435F" w:rsidP="00292D2D" w14:paraId="793A9F52"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ED-916 (semi-annual)</w:t>
            </w:r>
          </w:p>
        </w:tc>
        <w:tc>
          <w:tcPr>
            <w:tcW w:w="2250" w:type="dxa"/>
          </w:tcPr>
          <w:p w:rsidR="00827AD6" w:rsidRPr="008E435F" w:rsidP="00292D2D" w14:paraId="58FF05B9"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1,067</w:t>
            </w:r>
          </w:p>
        </w:tc>
        <w:tc>
          <w:tcPr>
            <w:tcW w:w="1890" w:type="dxa"/>
          </w:tcPr>
          <w:p w:rsidR="00827AD6" w:rsidRPr="008E435F" w:rsidP="00292D2D" w14:paraId="4A8B6AA4"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1.5 (X 2)</w:t>
            </w:r>
          </w:p>
        </w:tc>
        <w:tc>
          <w:tcPr>
            <w:tcW w:w="1890" w:type="dxa"/>
          </w:tcPr>
          <w:p w:rsidR="00827AD6" w:rsidRPr="008E435F" w:rsidP="00292D2D" w14:paraId="6186E6A6"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3,201</w:t>
            </w:r>
          </w:p>
        </w:tc>
      </w:tr>
      <w:tr w14:paraId="3AA29603" w14:textId="77777777" w:rsidTr="00292D2D">
        <w:tblPrEx>
          <w:tblW w:w="0" w:type="auto"/>
          <w:tblInd w:w="805" w:type="dxa"/>
          <w:tblLook w:val="04A0"/>
        </w:tblPrEx>
        <w:tc>
          <w:tcPr>
            <w:tcW w:w="2430" w:type="dxa"/>
          </w:tcPr>
          <w:p w:rsidR="00827AD6" w:rsidRPr="008E435F" w:rsidP="00292D2D" w14:paraId="592F21AD"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ED-917 (annual)</w:t>
            </w:r>
          </w:p>
        </w:tc>
        <w:tc>
          <w:tcPr>
            <w:tcW w:w="2250" w:type="dxa"/>
          </w:tcPr>
          <w:p w:rsidR="00827AD6" w:rsidRPr="008E435F" w:rsidP="00292D2D" w14:paraId="002BD8F8"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416</w:t>
            </w:r>
          </w:p>
        </w:tc>
        <w:tc>
          <w:tcPr>
            <w:tcW w:w="1890" w:type="dxa"/>
            <w:shd w:val="clear" w:color="auto" w:fill="auto"/>
          </w:tcPr>
          <w:p w:rsidR="00827AD6" w:rsidRPr="008E435F" w:rsidP="00292D2D" w14:paraId="2D2F63E2"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8</w:t>
            </w:r>
          </w:p>
        </w:tc>
        <w:tc>
          <w:tcPr>
            <w:tcW w:w="1890" w:type="dxa"/>
          </w:tcPr>
          <w:p w:rsidR="00827AD6" w:rsidRPr="008E435F" w:rsidP="00292D2D" w14:paraId="0E179B04"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3,328</w:t>
            </w:r>
          </w:p>
        </w:tc>
      </w:tr>
      <w:tr w14:paraId="229E72BC" w14:textId="77777777" w:rsidTr="00292D2D">
        <w:tblPrEx>
          <w:tblW w:w="0" w:type="auto"/>
          <w:tblInd w:w="805" w:type="dxa"/>
          <w:tblLook w:val="04A0"/>
        </w:tblPrEx>
        <w:tc>
          <w:tcPr>
            <w:tcW w:w="2430" w:type="dxa"/>
          </w:tcPr>
          <w:p w:rsidR="00827AD6" w:rsidRPr="008E435F" w:rsidP="00292D2D" w14:paraId="0A61B55A"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ED-918 (annual)</w:t>
            </w:r>
          </w:p>
        </w:tc>
        <w:tc>
          <w:tcPr>
            <w:tcW w:w="2250" w:type="dxa"/>
          </w:tcPr>
          <w:p w:rsidR="00827AD6" w:rsidRPr="008E435F" w:rsidP="00292D2D" w14:paraId="61770360"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1,285</w:t>
            </w:r>
          </w:p>
        </w:tc>
        <w:tc>
          <w:tcPr>
            <w:tcW w:w="1890" w:type="dxa"/>
            <w:shd w:val="clear" w:color="auto" w:fill="auto"/>
          </w:tcPr>
          <w:p w:rsidR="00827AD6" w:rsidRPr="008E435F" w:rsidP="00292D2D" w14:paraId="2DC9773B"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6</w:t>
            </w:r>
          </w:p>
        </w:tc>
        <w:tc>
          <w:tcPr>
            <w:tcW w:w="1890" w:type="dxa"/>
          </w:tcPr>
          <w:p w:rsidR="00827AD6" w:rsidRPr="008E435F" w:rsidP="00292D2D" w14:paraId="24EFE7DB"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7,710</w:t>
            </w:r>
          </w:p>
        </w:tc>
      </w:tr>
      <w:tr w14:paraId="61CFB1F8" w14:textId="77777777" w:rsidTr="00292D2D">
        <w:tblPrEx>
          <w:tblW w:w="0" w:type="auto"/>
          <w:tblInd w:w="805" w:type="dxa"/>
          <w:tblLook w:val="04A0"/>
        </w:tblPrEx>
        <w:tc>
          <w:tcPr>
            <w:tcW w:w="2430" w:type="dxa"/>
          </w:tcPr>
          <w:p w:rsidR="00827AD6" w:rsidRPr="008E435F" w:rsidP="00292D2D" w14:paraId="33A45649" w14:textId="77777777">
            <w:pPr>
              <w:textAlignment w:val="baseline"/>
              <w:rPr>
                <w:rFonts w:ascii="Times New Roman" w:eastAsia="Times New Roman" w:hAnsi="Times New Roman" w:cs="Times New Roman"/>
                <w:b/>
                <w:bCs/>
                <w:sz w:val="24"/>
                <w:szCs w:val="24"/>
              </w:rPr>
            </w:pPr>
            <w:r w:rsidRPr="008E435F">
              <w:rPr>
                <w:rFonts w:ascii="Times New Roman" w:eastAsia="Times New Roman" w:hAnsi="Times New Roman" w:cs="Times New Roman"/>
                <w:b/>
                <w:bCs/>
                <w:sz w:val="24"/>
                <w:szCs w:val="24"/>
              </w:rPr>
              <w:t>Total</w:t>
            </w:r>
          </w:p>
        </w:tc>
        <w:tc>
          <w:tcPr>
            <w:tcW w:w="2250" w:type="dxa"/>
          </w:tcPr>
          <w:p w:rsidR="00827AD6" w:rsidRPr="008E435F" w:rsidP="00292D2D" w14:paraId="428F0D01"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3,510</w:t>
            </w:r>
          </w:p>
        </w:tc>
        <w:tc>
          <w:tcPr>
            <w:tcW w:w="1890" w:type="dxa"/>
          </w:tcPr>
          <w:p w:rsidR="00827AD6" w:rsidRPr="008E435F" w:rsidP="00292D2D" w14:paraId="04F2BB14" w14:textId="77777777">
            <w:pPr>
              <w:textAlignment w:val="baseline"/>
              <w:rPr>
                <w:rFonts w:ascii="Times New Roman" w:eastAsia="Times New Roman" w:hAnsi="Times New Roman" w:cs="Times New Roman"/>
                <w:sz w:val="24"/>
                <w:szCs w:val="24"/>
              </w:rPr>
            </w:pPr>
          </w:p>
        </w:tc>
        <w:tc>
          <w:tcPr>
            <w:tcW w:w="1890" w:type="dxa"/>
          </w:tcPr>
          <w:p w:rsidR="00827AD6" w:rsidRPr="008E435F" w:rsidP="00292D2D" w14:paraId="6EFFAE54" w14:textId="77777777">
            <w:pPr>
              <w:textAlignment w:val="baseline"/>
              <w:rPr>
                <w:rFonts w:ascii="Times New Roman" w:eastAsia="Times New Roman" w:hAnsi="Times New Roman" w:cs="Times New Roman"/>
                <w:sz w:val="24"/>
                <w:szCs w:val="24"/>
              </w:rPr>
            </w:pPr>
            <w:r w:rsidRPr="008E435F">
              <w:rPr>
                <w:rFonts w:ascii="Times New Roman" w:eastAsia="Times New Roman" w:hAnsi="Times New Roman" w:cs="Times New Roman"/>
                <w:sz w:val="24"/>
                <w:szCs w:val="24"/>
              </w:rPr>
              <w:t>14,981</w:t>
            </w:r>
          </w:p>
        </w:tc>
      </w:tr>
    </w:tbl>
    <w:p w:rsidR="00827AD6" w:rsidP="00C92BF7" w14:paraId="4EE9A044" w14:textId="77777777">
      <w:pPr>
        <w:spacing w:after="0" w:line="240" w:lineRule="auto"/>
        <w:rPr>
          <w:rFonts w:eastAsia="Times New Roman"/>
        </w:rPr>
      </w:pPr>
    </w:p>
    <w:p w:rsidR="00A07E3B" w:rsidP="00A07E3B" w14:paraId="344C8B13" w14:textId="20D5C4F3">
      <w:pPr>
        <w:spacing w:after="0" w:line="240" w:lineRule="auto"/>
        <w:rPr>
          <w:rFonts w:eastAsia="Times New Roman"/>
          <w:b/>
        </w:rPr>
      </w:pPr>
      <w:r w:rsidRPr="00BD4670">
        <w:rPr>
          <w:rFonts w:eastAsia="Times New Roman"/>
          <w:u w:val="single"/>
        </w:rPr>
        <w:t>Estimated Total Annual Cost to Public</w:t>
      </w:r>
      <w:r w:rsidRPr="00C92BF7">
        <w:rPr>
          <w:rFonts w:eastAsia="Times New Roman"/>
        </w:rPr>
        <w:t xml:space="preserve">: </w:t>
      </w:r>
      <w:r w:rsidRPr="00BD4670">
        <w:rPr>
          <w:rFonts w:eastAsia="Times New Roman"/>
          <w:b/>
        </w:rPr>
        <w:t>$</w:t>
      </w:r>
      <w:r w:rsidR="0029780D">
        <w:rPr>
          <w:rFonts w:eastAsia="Times New Roman"/>
          <w:b/>
        </w:rPr>
        <w:t>945,001</w:t>
      </w:r>
      <w:r>
        <w:rPr>
          <w:rFonts w:eastAsia="Times New Roman"/>
          <w:b/>
        </w:rPr>
        <w:t xml:space="preserve"> </w:t>
      </w:r>
      <w:r w:rsidRPr="00BD4670">
        <w:rPr>
          <w:rFonts w:eastAsia="Times New Roman"/>
          <w:b/>
        </w:rPr>
        <w:t>per year.</w:t>
      </w:r>
    </w:p>
    <w:p w:rsidR="00C92BF7" w:rsidP="00A07E3B" w14:paraId="6B825086" w14:textId="6DF12748">
      <w:pPr>
        <w:spacing w:after="0" w:line="240" w:lineRule="auto"/>
        <w:rPr>
          <w:rFonts w:eastAsia="Times New Roman"/>
        </w:rPr>
      </w:pPr>
      <w:r w:rsidRPr="03DCB33A">
        <w:rPr>
          <w:rFonts w:eastAsia="Times New Roman"/>
        </w:rPr>
        <w:t>(</w:t>
      </w:r>
      <w:r w:rsidRPr="03DCB33A" w:rsidR="759E5229">
        <w:rPr>
          <w:rFonts w:eastAsia="Times New Roman"/>
        </w:rPr>
        <w:t>cost</w:t>
      </w:r>
      <w:r w:rsidRPr="03DCB33A" w:rsidR="759E5229">
        <w:rPr>
          <w:rFonts w:eastAsia="Times New Roman"/>
        </w:rPr>
        <w:t xml:space="preserve"> assumes application of U.S. Bureau of Labor Statistics May 2022 mean hourly wage for Management occupations of $63.08</w:t>
      </w:r>
      <w:r w:rsidRPr="03DCB33A">
        <w:rPr>
          <w:rFonts w:eastAsia="Times New Roman"/>
        </w:rPr>
        <w:t>).</w:t>
      </w:r>
    </w:p>
    <w:p w:rsidR="03DCB33A" w:rsidP="03DCB33A" w14:paraId="08754C99" w14:textId="5F50828B">
      <w:pPr>
        <w:spacing w:after="0" w:line="240" w:lineRule="auto"/>
        <w:rPr>
          <w:rFonts w:eastAsia="Times New Roman"/>
        </w:rPr>
      </w:pPr>
    </w:p>
    <w:p w:rsidR="00A54E49" w:rsidRPr="00EB2A32" w:rsidP="008D09AD" w14:paraId="7A91E935" w14:textId="77777777">
      <w:pPr>
        <w:pStyle w:val="ListParagraph"/>
        <w:numPr>
          <w:ilvl w:val="0"/>
          <w:numId w:val="1"/>
        </w:numPr>
        <w:spacing w:after="0" w:line="240" w:lineRule="auto"/>
        <w:rPr>
          <w:rFonts w:eastAsia="Times New Roman"/>
          <w:b/>
          <w:u w:val="single"/>
        </w:rPr>
      </w:pPr>
      <w:r w:rsidRPr="00EB2A32">
        <w:rPr>
          <w:rFonts w:eastAsia="Times New Roman"/>
          <w:b/>
          <w:u w:val="single"/>
        </w:rPr>
        <w:t xml:space="preserve">Provide an estimate for the total annual cost burden to respondents or record-keepers resulting from the collection of information. </w:t>
      </w:r>
    </w:p>
    <w:p w:rsidR="00980506" w:rsidP="00A54E49" w14:paraId="35647EFE" w14:textId="77777777">
      <w:pPr>
        <w:spacing w:after="0" w:line="240" w:lineRule="auto"/>
        <w:rPr>
          <w:rFonts w:eastAsia="Times New Roman"/>
          <w:b/>
        </w:rPr>
      </w:pPr>
    </w:p>
    <w:p w:rsidR="003836FB" w:rsidP="003836FB" w14:paraId="59B31CA6" w14:textId="4D431D5E">
      <w:pPr>
        <w:spacing w:after="0" w:line="240" w:lineRule="auto"/>
        <w:rPr>
          <w:rFonts w:eastAsia="Times New Roman"/>
        </w:rPr>
      </w:pPr>
      <w:r w:rsidRPr="004923E4">
        <w:rPr>
          <w:rFonts w:eastAsia="Times New Roman"/>
        </w:rPr>
        <w:t>Excluding the value of the burden hours, there</w:t>
      </w:r>
      <w:r w:rsidRPr="004923E4">
        <w:rPr>
          <w:rFonts w:eastAsia="Times New Roman"/>
        </w:rPr>
        <w:t xml:space="preserve"> is no cost to the respondent associated with this information collection.</w:t>
      </w:r>
    </w:p>
    <w:p w:rsidR="004923E4" w:rsidP="003836FB" w14:paraId="22CA723F" w14:textId="77777777">
      <w:pPr>
        <w:spacing w:after="0" w:line="240" w:lineRule="auto"/>
        <w:rPr>
          <w:rFonts w:eastAsia="Times New Roman"/>
        </w:rPr>
      </w:pPr>
    </w:p>
    <w:p w:rsidR="00980506" w:rsidP="008D09AD" w14:paraId="681DE742" w14:textId="5F014D5C">
      <w:pPr>
        <w:pStyle w:val="ListParagraph"/>
        <w:numPr>
          <w:ilvl w:val="0"/>
          <w:numId w:val="1"/>
        </w:numPr>
        <w:spacing w:after="0" w:line="240" w:lineRule="auto"/>
        <w:rPr>
          <w:rFonts w:eastAsia="Times New Roman"/>
          <w:b/>
          <w:u w:val="single"/>
        </w:rPr>
      </w:pPr>
      <w:r w:rsidRPr="00EB2A32">
        <w:rPr>
          <w:rFonts w:eastAsia="Times New Roman"/>
          <w:b/>
          <w:u w:val="single"/>
        </w:rPr>
        <w:t>Provide estimates of annualized costs to the Federal Government.</w:t>
      </w:r>
    </w:p>
    <w:p w:rsidR="004923E4" w:rsidP="004923E4" w14:paraId="5001B297" w14:textId="77777777">
      <w:pPr>
        <w:pStyle w:val="ListParagraph"/>
        <w:spacing w:after="0" w:line="240" w:lineRule="auto"/>
        <w:ind w:left="1080"/>
        <w:rPr>
          <w:rFonts w:eastAsia="Times New Roman"/>
          <w:b/>
          <w:u w:val="single"/>
        </w:rPr>
      </w:pPr>
    </w:p>
    <w:p w:rsidR="004923E4" w:rsidRPr="004923E4" w:rsidP="004923E4" w14:paraId="01D11CAC" w14:textId="0140BDC4">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s>
        <w:spacing w:line="240" w:lineRule="auto"/>
      </w:pPr>
      <w:r>
        <w:rPr>
          <w:lang w:val="en-CA"/>
        </w:rPr>
        <w:t>T</w:t>
      </w:r>
      <w:r>
        <w:t>he hourly burden on the Federal government</w:t>
      </w:r>
      <w:r>
        <w:t xml:space="preserve"> is as follows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1658"/>
        <w:gridCol w:w="3479"/>
        <w:gridCol w:w="1964"/>
      </w:tblGrid>
      <w:tr w14:paraId="671D8AC2" w14:textId="77777777" w:rsidTr="004923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9" w:type="dxa"/>
          </w:tcPr>
          <w:p w:rsidR="00980506" w:rsidRPr="00AA75C0" w:rsidP="0040341B" w14:paraId="3AA3535B" w14:textId="77777777">
            <w:pPr>
              <w:widowControl w:val="0"/>
              <w:jc w:val="center"/>
              <w:rPr>
                <w:b/>
              </w:rPr>
            </w:pPr>
            <w:r>
              <w:rPr>
                <w:b/>
              </w:rPr>
              <w:t>Type of Response</w:t>
            </w:r>
          </w:p>
        </w:tc>
        <w:tc>
          <w:tcPr>
            <w:tcW w:w="1658" w:type="dxa"/>
            <w:shd w:val="clear" w:color="auto" w:fill="auto"/>
          </w:tcPr>
          <w:p w:rsidR="00980506" w:rsidRPr="00AA75C0" w:rsidP="0040341B" w14:paraId="26C18AA6" w14:textId="77777777">
            <w:pPr>
              <w:widowControl w:val="0"/>
              <w:jc w:val="center"/>
              <w:rPr>
                <w:b/>
              </w:rPr>
            </w:pPr>
            <w:r>
              <w:rPr>
                <w:b/>
              </w:rPr>
              <w:t>Number of Responses</w:t>
            </w:r>
          </w:p>
        </w:tc>
        <w:tc>
          <w:tcPr>
            <w:tcW w:w="3479" w:type="dxa"/>
            <w:shd w:val="clear" w:color="auto" w:fill="auto"/>
          </w:tcPr>
          <w:p w:rsidR="00980506" w:rsidRPr="00AA75C0" w:rsidP="004746E0" w14:paraId="69F0CBCF" w14:textId="2D9C68D8">
            <w:pPr>
              <w:widowControl w:val="0"/>
              <w:jc w:val="center"/>
              <w:rPr>
                <w:b/>
              </w:rPr>
            </w:pPr>
            <w:r>
              <w:rPr>
                <w:b/>
              </w:rPr>
              <w:t>Review</w:t>
            </w:r>
            <w:r w:rsidR="004746E0">
              <w:rPr>
                <w:b/>
              </w:rPr>
              <w:t xml:space="preserve"> and Analysis</w:t>
            </w:r>
            <w:r>
              <w:rPr>
                <w:b/>
              </w:rPr>
              <w:t xml:space="preserve"> Hours </w:t>
            </w:r>
          </w:p>
        </w:tc>
        <w:tc>
          <w:tcPr>
            <w:tcW w:w="1964" w:type="dxa"/>
            <w:shd w:val="clear" w:color="auto" w:fill="auto"/>
          </w:tcPr>
          <w:p w:rsidR="00980506" w:rsidRPr="00AA75C0" w:rsidP="0040341B" w14:paraId="55C7A54E" w14:textId="77777777">
            <w:pPr>
              <w:widowControl w:val="0"/>
              <w:jc w:val="center"/>
              <w:rPr>
                <w:b/>
              </w:rPr>
            </w:pPr>
            <w:r w:rsidRPr="00AA75C0">
              <w:rPr>
                <w:b/>
              </w:rPr>
              <w:t>Total Estimated Time</w:t>
            </w:r>
          </w:p>
        </w:tc>
      </w:tr>
      <w:tr w14:paraId="6111AFF7" w14:textId="77777777" w:rsidTr="004923E4">
        <w:tblPrEx>
          <w:tblW w:w="0" w:type="auto"/>
          <w:tblLook w:val="04A0"/>
        </w:tblPrEx>
        <w:tc>
          <w:tcPr>
            <w:tcW w:w="2249" w:type="dxa"/>
          </w:tcPr>
          <w:p w:rsidR="00980506" w:rsidRPr="00AA75C0" w:rsidP="0040341B" w14:paraId="7361241E" w14:textId="155559A3">
            <w:pPr>
              <w:widowControl w:val="0"/>
              <w:spacing w:line="480" w:lineRule="auto"/>
            </w:pPr>
            <w:r>
              <w:t>Semi-Annual</w:t>
            </w:r>
            <w:r w:rsidR="00113DF3">
              <w:t xml:space="preserve"> </w:t>
            </w:r>
          </w:p>
        </w:tc>
        <w:tc>
          <w:tcPr>
            <w:tcW w:w="1658" w:type="dxa"/>
            <w:shd w:val="clear" w:color="auto" w:fill="auto"/>
          </w:tcPr>
          <w:p w:rsidR="00980506" w:rsidRPr="00AA75C0" w:rsidP="0040341B" w14:paraId="70B38576" w14:textId="31D22AEB">
            <w:pPr>
              <w:widowControl w:val="0"/>
              <w:spacing w:line="480" w:lineRule="auto"/>
            </w:pPr>
            <w:r>
              <w:t>1,</w:t>
            </w:r>
            <w:r w:rsidR="00A07E3B">
              <w:t>067</w:t>
            </w:r>
          </w:p>
        </w:tc>
        <w:tc>
          <w:tcPr>
            <w:tcW w:w="3479" w:type="dxa"/>
            <w:shd w:val="clear" w:color="auto" w:fill="auto"/>
          </w:tcPr>
          <w:p w:rsidR="00980506" w:rsidRPr="00AA75C0" w:rsidP="004746E0" w14:paraId="3213F5BB" w14:textId="14423432">
            <w:pPr>
              <w:widowControl w:val="0"/>
              <w:spacing w:line="480" w:lineRule="auto"/>
            </w:pPr>
            <w:r>
              <w:t>5</w:t>
            </w:r>
            <w:r w:rsidR="004746E0">
              <w:t>0 hours per quarter</w:t>
            </w:r>
          </w:p>
        </w:tc>
        <w:tc>
          <w:tcPr>
            <w:tcW w:w="1964" w:type="dxa"/>
            <w:shd w:val="clear" w:color="auto" w:fill="auto"/>
          </w:tcPr>
          <w:p w:rsidR="00980506" w:rsidRPr="00AA75C0" w:rsidP="0040341B" w14:paraId="42C6D622" w14:textId="136197A1">
            <w:pPr>
              <w:widowControl w:val="0"/>
              <w:spacing w:line="480" w:lineRule="auto"/>
              <w:jc w:val="right"/>
            </w:pPr>
            <w:r>
              <w:t>200</w:t>
            </w:r>
            <w:r w:rsidRPr="00AA75C0">
              <w:t xml:space="preserve"> </w:t>
            </w:r>
            <w:r w:rsidRPr="00AA75C0">
              <w:t>hours</w:t>
            </w:r>
          </w:p>
        </w:tc>
      </w:tr>
      <w:tr w14:paraId="6DC8196D" w14:textId="77777777" w:rsidTr="004923E4">
        <w:tblPrEx>
          <w:tblW w:w="0" w:type="auto"/>
          <w:tblLook w:val="04A0"/>
        </w:tblPrEx>
        <w:tc>
          <w:tcPr>
            <w:tcW w:w="2249" w:type="dxa"/>
          </w:tcPr>
          <w:p w:rsidR="00980506" w:rsidRPr="00AA75C0" w:rsidP="0040341B" w14:paraId="7E9879DB" w14:textId="3DAA5EF0">
            <w:pPr>
              <w:widowControl w:val="0"/>
              <w:spacing w:line="480" w:lineRule="auto"/>
            </w:pPr>
            <w:r>
              <w:t>Annual</w:t>
            </w:r>
          </w:p>
        </w:tc>
        <w:tc>
          <w:tcPr>
            <w:tcW w:w="1658" w:type="dxa"/>
            <w:shd w:val="clear" w:color="auto" w:fill="auto"/>
          </w:tcPr>
          <w:p w:rsidR="00980506" w:rsidRPr="00AA75C0" w:rsidP="0040341B" w14:paraId="3A87D2AD" w14:textId="4B71F4C1">
            <w:pPr>
              <w:widowControl w:val="0"/>
              <w:spacing w:line="480" w:lineRule="auto"/>
            </w:pPr>
            <w:r>
              <w:t>2443</w:t>
            </w:r>
          </w:p>
        </w:tc>
        <w:tc>
          <w:tcPr>
            <w:tcW w:w="3479" w:type="dxa"/>
            <w:shd w:val="clear" w:color="auto" w:fill="auto"/>
          </w:tcPr>
          <w:p w:rsidR="00980506" w:rsidRPr="00AA75C0" w:rsidP="004746E0" w14:paraId="07AA041A" w14:textId="15E80AF0">
            <w:pPr>
              <w:widowControl w:val="0"/>
              <w:spacing w:line="480" w:lineRule="auto"/>
            </w:pPr>
            <w:r>
              <w:t xml:space="preserve">100 </w:t>
            </w:r>
            <w:r w:rsidRPr="00AA75C0">
              <w:t>hours</w:t>
            </w:r>
            <w:r w:rsidR="004746E0">
              <w:t xml:space="preserve"> </w:t>
            </w:r>
            <w:r w:rsidR="00A95BC1">
              <w:t>semi</w:t>
            </w:r>
            <w:r w:rsidR="004746E0">
              <w:t>annually</w:t>
            </w:r>
          </w:p>
        </w:tc>
        <w:tc>
          <w:tcPr>
            <w:tcW w:w="1964" w:type="dxa"/>
            <w:shd w:val="clear" w:color="auto" w:fill="auto"/>
          </w:tcPr>
          <w:p w:rsidR="00980506" w:rsidRPr="00AA75C0" w:rsidP="0040341B" w14:paraId="206C1757" w14:textId="20F11EEA">
            <w:pPr>
              <w:widowControl w:val="0"/>
              <w:spacing w:line="480" w:lineRule="auto"/>
              <w:jc w:val="right"/>
            </w:pPr>
            <w:r>
              <w:t xml:space="preserve">200 </w:t>
            </w:r>
            <w:r w:rsidRPr="00AA75C0">
              <w:t>hours</w:t>
            </w:r>
          </w:p>
        </w:tc>
      </w:tr>
      <w:tr w14:paraId="3BC060C3" w14:textId="77777777" w:rsidTr="004923E4">
        <w:tblPrEx>
          <w:tblW w:w="0" w:type="auto"/>
          <w:tblLook w:val="04A0"/>
        </w:tblPrEx>
        <w:tc>
          <w:tcPr>
            <w:tcW w:w="2249" w:type="dxa"/>
          </w:tcPr>
          <w:p w:rsidR="00980506" w:rsidRPr="00AA75C0" w:rsidP="0040341B" w14:paraId="30846CF9" w14:textId="2CA240BA">
            <w:pPr>
              <w:widowControl w:val="0"/>
            </w:pPr>
            <w:r>
              <w:t>E</w:t>
            </w:r>
            <w:r w:rsidR="004746E0">
              <w:t xml:space="preserve">conometric testing, and reporting </w:t>
            </w:r>
          </w:p>
        </w:tc>
        <w:tc>
          <w:tcPr>
            <w:tcW w:w="1658" w:type="dxa"/>
            <w:shd w:val="clear" w:color="auto" w:fill="auto"/>
          </w:tcPr>
          <w:p w:rsidR="00980506" w:rsidRPr="00AA75C0" w:rsidP="0040341B" w14:paraId="63556864" w14:textId="4B2B83D3">
            <w:pPr>
              <w:widowControl w:val="0"/>
            </w:pPr>
            <w:r>
              <w:t>3510</w:t>
            </w:r>
          </w:p>
        </w:tc>
        <w:tc>
          <w:tcPr>
            <w:tcW w:w="3479" w:type="dxa"/>
            <w:shd w:val="clear" w:color="auto" w:fill="auto"/>
          </w:tcPr>
          <w:p w:rsidR="00980506" w:rsidRPr="00AA75C0" w:rsidP="004746E0" w14:paraId="5E92BFA9" w14:textId="66A74890">
            <w:pPr>
              <w:widowControl w:val="0"/>
              <w:spacing w:line="480" w:lineRule="auto"/>
            </w:pPr>
            <w:r>
              <w:t>1</w:t>
            </w:r>
            <w:r w:rsidR="00A07E3B">
              <w:t>4</w:t>
            </w:r>
            <w:r>
              <w:t>0</w:t>
            </w:r>
            <w:r w:rsidRPr="00AA75C0">
              <w:t xml:space="preserve"> </w:t>
            </w:r>
            <w:r w:rsidRPr="00AA75C0">
              <w:t>hours/</w:t>
            </w:r>
            <w:r>
              <w:t>annually</w:t>
            </w:r>
          </w:p>
        </w:tc>
        <w:tc>
          <w:tcPr>
            <w:tcW w:w="1964" w:type="dxa"/>
            <w:shd w:val="clear" w:color="auto" w:fill="auto"/>
          </w:tcPr>
          <w:p w:rsidR="00980506" w:rsidRPr="00AA75C0" w:rsidP="0040341B" w14:paraId="3ECF8F7C" w14:textId="3FDE6669">
            <w:pPr>
              <w:widowControl w:val="0"/>
              <w:spacing w:line="480" w:lineRule="auto"/>
              <w:jc w:val="right"/>
            </w:pPr>
            <w:r>
              <w:t xml:space="preserve">140 </w:t>
            </w:r>
            <w:r w:rsidRPr="00AA75C0">
              <w:t>hours</w:t>
            </w:r>
          </w:p>
        </w:tc>
      </w:tr>
      <w:tr w14:paraId="63A55C8F" w14:textId="77777777" w:rsidTr="004923E4">
        <w:tblPrEx>
          <w:tblW w:w="0" w:type="auto"/>
          <w:tblLook w:val="04A0"/>
        </w:tblPrEx>
        <w:tc>
          <w:tcPr>
            <w:tcW w:w="2249" w:type="dxa"/>
          </w:tcPr>
          <w:p w:rsidR="00980506" w:rsidRPr="00AA75C0" w:rsidP="0040341B" w14:paraId="5E4CF513" w14:textId="77777777">
            <w:pPr>
              <w:widowControl w:val="0"/>
              <w:spacing w:line="480" w:lineRule="auto"/>
            </w:pPr>
          </w:p>
        </w:tc>
        <w:tc>
          <w:tcPr>
            <w:tcW w:w="1658" w:type="dxa"/>
            <w:shd w:val="clear" w:color="auto" w:fill="auto"/>
          </w:tcPr>
          <w:p w:rsidR="00980506" w:rsidRPr="00AA75C0" w:rsidP="0040341B" w14:paraId="4962CABE" w14:textId="77777777">
            <w:pPr>
              <w:widowControl w:val="0"/>
              <w:spacing w:line="480" w:lineRule="auto"/>
            </w:pPr>
          </w:p>
        </w:tc>
        <w:tc>
          <w:tcPr>
            <w:tcW w:w="3479" w:type="dxa"/>
            <w:shd w:val="clear" w:color="auto" w:fill="auto"/>
          </w:tcPr>
          <w:p w:rsidR="00980506" w:rsidRPr="00AA75C0" w:rsidP="0040341B" w14:paraId="6E08C9FD" w14:textId="77777777">
            <w:pPr>
              <w:widowControl w:val="0"/>
              <w:spacing w:line="480" w:lineRule="auto"/>
              <w:jc w:val="right"/>
            </w:pPr>
            <w:r w:rsidRPr="00AA75C0">
              <w:t>Total</w:t>
            </w:r>
          </w:p>
        </w:tc>
        <w:tc>
          <w:tcPr>
            <w:tcW w:w="1964" w:type="dxa"/>
            <w:shd w:val="clear" w:color="auto" w:fill="auto"/>
          </w:tcPr>
          <w:p w:rsidR="00980506" w:rsidRPr="00AA75C0" w:rsidP="0040341B" w14:paraId="6239EF7C" w14:textId="41614832">
            <w:pPr>
              <w:widowControl w:val="0"/>
              <w:spacing w:line="480" w:lineRule="auto"/>
              <w:jc w:val="right"/>
            </w:pPr>
            <w:r>
              <w:t>5</w:t>
            </w:r>
            <w:r w:rsidR="008D0635">
              <w:t>40</w:t>
            </w:r>
            <w:r w:rsidRPr="00AA75C0">
              <w:t xml:space="preserve"> hours</w:t>
            </w:r>
          </w:p>
        </w:tc>
      </w:tr>
    </w:tbl>
    <w:p w:rsidR="004923E4" w:rsidP="004923E4" w14:paraId="03DF0E33" w14:textId="2947BA2F">
      <w:pPr>
        <w:pStyle w:val="ListParagraph"/>
        <w:spacing w:after="0" w:line="240" w:lineRule="auto"/>
        <w:ind w:left="0"/>
        <w:rPr>
          <w:rFonts w:eastAsia="Times New Roman"/>
        </w:rPr>
      </w:pPr>
      <w:r w:rsidRPr="00EB2A32">
        <w:rPr>
          <w:rFonts w:eastAsia="Times New Roman"/>
          <w:b/>
          <w:u w:val="single"/>
        </w:rPr>
        <w:br/>
      </w:r>
      <w:r w:rsidR="00D42258">
        <w:rPr>
          <w:rFonts w:eastAsia="Times New Roman"/>
        </w:rPr>
        <w:t>B</w:t>
      </w:r>
      <w:r w:rsidRPr="004923E4">
        <w:rPr>
          <w:rFonts w:eastAsia="Times New Roman"/>
        </w:rPr>
        <w:t xml:space="preserve">eyond the </w:t>
      </w:r>
      <w:r w:rsidR="00C92BF7">
        <w:rPr>
          <w:rFonts w:eastAsia="Times New Roman"/>
        </w:rPr>
        <w:t xml:space="preserve">labor </w:t>
      </w:r>
      <w:r w:rsidRPr="004923E4">
        <w:rPr>
          <w:rFonts w:eastAsia="Times New Roman"/>
        </w:rPr>
        <w:t xml:space="preserve">burden </w:t>
      </w:r>
      <w:r w:rsidR="00C92BF7">
        <w:rPr>
          <w:rFonts w:eastAsia="Times New Roman"/>
        </w:rPr>
        <w:t>of</w:t>
      </w:r>
      <w:r w:rsidRPr="004923E4">
        <w:rPr>
          <w:rFonts w:eastAsia="Times New Roman"/>
        </w:rPr>
        <w:t xml:space="preserve"> EDA’s </w:t>
      </w:r>
      <w:r>
        <w:rPr>
          <w:rFonts w:eastAsia="Times New Roman"/>
        </w:rPr>
        <w:t xml:space="preserve">collection and analysis of the data, </w:t>
      </w:r>
      <w:r w:rsidRPr="004923E4">
        <w:rPr>
          <w:rFonts w:eastAsia="Times New Roman"/>
        </w:rPr>
        <w:t>there is no</w:t>
      </w:r>
      <w:r>
        <w:rPr>
          <w:rFonts w:eastAsia="Times New Roman"/>
        </w:rPr>
        <w:t xml:space="preserve"> </w:t>
      </w:r>
      <w:r w:rsidRPr="00C92BF7" w:rsidR="00C92BF7">
        <w:rPr>
          <w:rFonts w:eastAsia="Times New Roman"/>
        </w:rPr>
        <w:t>annualized cost to the Federal Government</w:t>
      </w:r>
      <w:r>
        <w:rPr>
          <w:rFonts w:eastAsia="Times New Roman"/>
        </w:rPr>
        <w:t>.</w:t>
      </w:r>
    </w:p>
    <w:p w:rsidR="00F46741" w:rsidP="004923E4" w14:paraId="26545496" w14:textId="0C3DCCCC">
      <w:pPr>
        <w:pStyle w:val="ListParagraph"/>
        <w:spacing w:after="0" w:line="240" w:lineRule="auto"/>
        <w:ind w:left="0"/>
        <w:rPr>
          <w:rFonts w:eastAsia="Times New Roman"/>
        </w:rPr>
      </w:pPr>
    </w:p>
    <w:p w:rsidR="003836FB" w:rsidRPr="00572698" w:rsidP="00572698" w14:paraId="475EDF53" w14:textId="541C85EE">
      <w:pPr>
        <w:pStyle w:val="ListParagraph"/>
        <w:spacing w:after="0" w:line="240" w:lineRule="auto"/>
        <w:ind w:left="0"/>
        <w:rPr>
          <w:rFonts w:eastAsia="Times New Roman"/>
        </w:rPr>
      </w:pPr>
      <w:r w:rsidRPr="004923E4">
        <w:rPr>
          <w:rFonts w:eastAsia="Times New Roman"/>
        </w:rPr>
        <w:t>The annualized cost to the Federal Government is therefore estimated as:</w:t>
      </w:r>
      <w:r w:rsidRPr="00572698" w:rsidR="00C92BF7">
        <w:rPr>
          <w:rFonts w:eastAsia="Times New Roman"/>
        </w:rPr>
        <w:t xml:space="preserve"> </w:t>
      </w:r>
      <w:r w:rsidR="00E63442">
        <w:rPr>
          <w:rFonts w:eastAsia="Times New Roman"/>
        </w:rPr>
        <w:t>54</w:t>
      </w:r>
      <w:r w:rsidRPr="00572698" w:rsidR="008D0635">
        <w:rPr>
          <w:rFonts w:eastAsia="Times New Roman"/>
        </w:rPr>
        <w:t>0</w:t>
      </w:r>
      <w:r w:rsidRPr="00572698" w:rsidR="004746E0">
        <w:rPr>
          <w:rFonts w:eastAsia="Times New Roman"/>
        </w:rPr>
        <w:t xml:space="preserve"> </w:t>
      </w:r>
      <w:r w:rsidRPr="00572698" w:rsidR="00980506">
        <w:rPr>
          <w:rFonts w:eastAsia="Times New Roman"/>
        </w:rPr>
        <w:t>hours * $</w:t>
      </w:r>
      <w:r w:rsidR="00E63442">
        <w:rPr>
          <w:rFonts w:eastAsia="Times New Roman"/>
        </w:rPr>
        <w:t>55.64</w:t>
      </w:r>
      <w:r w:rsidRPr="00572698" w:rsidR="00980506">
        <w:rPr>
          <w:rFonts w:eastAsia="Times New Roman"/>
        </w:rPr>
        <w:t>/hour</w:t>
      </w:r>
      <w:r w:rsidR="00A95BC1">
        <w:rPr>
          <w:rFonts w:eastAsia="Times New Roman"/>
        </w:rPr>
        <w:t xml:space="preserve"> (</w:t>
      </w:r>
      <w:r w:rsidR="00A95BC1">
        <w:t xml:space="preserve">Grade 13, step </w:t>
      </w:r>
      <w:r w:rsidR="00E63442">
        <w:t>2</w:t>
      </w:r>
      <w:r w:rsidR="00A95BC1">
        <w:t>)</w:t>
      </w:r>
      <w:r w:rsidRPr="00572698" w:rsidR="00980506">
        <w:rPr>
          <w:rFonts w:eastAsia="Times New Roman"/>
        </w:rPr>
        <w:t xml:space="preserve"> = </w:t>
      </w:r>
      <w:r w:rsidRPr="00572698" w:rsidR="00980506">
        <w:rPr>
          <w:rFonts w:eastAsia="Times New Roman"/>
          <w:b/>
        </w:rPr>
        <w:t>$</w:t>
      </w:r>
      <w:r w:rsidR="00E63442">
        <w:rPr>
          <w:rFonts w:eastAsia="Times New Roman"/>
          <w:b/>
        </w:rPr>
        <w:t>30,045</w:t>
      </w:r>
    </w:p>
    <w:p w:rsidR="00C637F9" w:rsidP="003836FB" w14:paraId="1DAA56E2" w14:textId="77777777">
      <w:pPr>
        <w:spacing w:after="0" w:line="240" w:lineRule="auto"/>
        <w:rPr>
          <w:rFonts w:eastAsia="Times New Roman"/>
        </w:rPr>
      </w:pPr>
    </w:p>
    <w:p w:rsidR="00C637F9" w:rsidRPr="00A54E49" w:rsidP="008D09AD" w14:paraId="2AD3ECE0" w14:textId="77777777">
      <w:pPr>
        <w:pStyle w:val="ListParagraph"/>
        <w:numPr>
          <w:ilvl w:val="0"/>
          <w:numId w:val="1"/>
        </w:numPr>
        <w:spacing w:after="0" w:line="240" w:lineRule="auto"/>
        <w:rPr>
          <w:rFonts w:eastAsia="Times New Roman"/>
          <w:b/>
          <w:u w:val="single"/>
        </w:rPr>
      </w:pPr>
      <w:r w:rsidRPr="00A54E49">
        <w:rPr>
          <w:rFonts w:eastAsia="Times New Roman"/>
          <w:b/>
          <w:u w:val="single"/>
        </w:rPr>
        <w:t>Explain the reasons for any program changes or adjustments reported on the burden worksheet.</w:t>
      </w:r>
    </w:p>
    <w:p w:rsidR="00A54E49" w:rsidP="00A54E49" w14:paraId="1F331FE0" w14:textId="77777777">
      <w:pPr>
        <w:spacing w:after="0" w:line="240" w:lineRule="auto"/>
        <w:rPr>
          <w:rFonts w:eastAsia="Times New Roman"/>
          <w:b/>
        </w:rPr>
      </w:pPr>
    </w:p>
    <w:p w:rsidR="00A54E49" w:rsidRPr="00A54E49" w:rsidP="00A54E49" w14:paraId="075A8754" w14:textId="4E05FAD2">
      <w:pPr>
        <w:spacing w:after="0" w:line="240" w:lineRule="auto"/>
        <w:rPr>
          <w:rFonts w:eastAsia="Times New Roman"/>
        </w:rPr>
      </w:pPr>
      <w:r>
        <w:rPr>
          <w:rFonts w:eastAsia="Times New Roman"/>
        </w:rPr>
        <w:t>In the review of this collection over the last 3 years, burden hours and cost were</w:t>
      </w:r>
      <w:r w:rsidR="00BA26F5">
        <w:rPr>
          <w:rFonts w:eastAsia="Times New Roman"/>
        </w:rPr>
        <w:t xml:space="preserve"> adjus</w:t>
      </w:r>
      <w:r>
        <w:rPr>
          <w:rFonts w:eastAsia="Times New Roman"/>
        </w:rPr>
        <w:t>ted</w:t>
      </w:r>
      <w:r w:rsidR="00BA26F5">
        <w:rPr>
          <w:rFonts w:eastAsia="Times New Roman"/>
        </w:rPr>
        <w:t>.</w:t>
      </w:r>
    </w:p>
    <w:p w:rsidR="00C637F9" w:rsidP="00C637F9" w14:paraId="370668C6" w14:textId="77777777">
      <w:pPr>
        <w:spacing w:after="0" w:line="240" w:lineRule="auto"/>
        <w:rPr>
          <w:rFonts w:eastAsia="Times New Roman"/>
        </w:rPr>
      </w:pPr>
    </w:p>
    <w:p w:rsidR="00C637F9" w:rsidP="008D09AD" w14:paraId="0BEE43CF" w14:textId="49020218">
      <w:pPr>
        <w:pStyle w:val="ListParagraph"/>
        <w:numPr>
          <w:ilvl w:val="0"/>
          <w:numId w:val="1"/>
        </w:numPr>
        <w:spacing w:after="0" w:line="240" w:lineRule="auto"/>
        <w:rPr>
          <w:rFonts w:eastAsia="Times New Roman"/>
          <w:b/>
          <w:u w:val="single"/>
        </w:rPr>
      </w:pPr>
      <w:r w:rsidRPr="00EB2A32">
        <w:rPr>
          <w:rFonts w:eastAsia="Times New Roman"/>
          <w:b/>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B18BD" w:rsidP="005B18BD" w14:paraId="6D173506" w14:textId="3A2E31F6">
      <w:pPr>
        <w:pStyle w:val="ListParagraph"/>
        <w:spacing w:after="0" w:line="240" w:lineRule="auto"/>
        <w:ind w:left="1080"/>
        <w:rPr>
          <w:rFonts w:eastAsia="Times New Roman"/>
          <w:b/>
          <w:u w:val="single"/>
        </w:rPr>
      </w:pPr>
    </w:p>
    <w:p w:rsidR="00A769F4" w:rsidP="005B18BD" w14:paraId="18A91D30" w14:textId="5402BB86">
      <w:pPr>
        <w:pStyle w:val="ListParagraph"/>
        <w:spacing w:after="0" w:line="240" w:lineRule="auto"/>
        <w:ind w:left="0"/>
        <w:rPr>
          <w:rFonts w:eastAsia="Times New Roman"/>
        </w:rPr>
      </w:pPr>
      <w:r>
        <w:rPr>
          <w:rFonts w:eastAsia="Times New Roman"/>
        </w:rPr>
        <w:t>Aggregated data on program outputs and capacity outcomes will be tabulated and published annually on EDA’s</w:t>
      </w:r>
      <w:hyperlink r:id="rId9" w:history="1">
        <w:r w:rsidRPr="00A769F4">
          <w:rPr>
            <w:rStyle w:val="Hyperlink"/>
            <w:rFonts w:eastAsia="Times New Roman"/>
          </w:rPr>
          <w:t xml:space="preserve"> performance page.</w:t>
        </w:r>
      </w:hyperlink>
      <w:r>
        <w:rPr>
          <w:rFonts w:eastAsia="Times New Roman"/>
        </w:rPr>
        <w:t xml:space="preserve"> As more data become available, EDA expects to publish findings from </w:t>
      </w:r>
      <w:r w:rsidR="002A7E2B">
        <w:rPr>
          <w:rFonts w:eastAsia="Times New Roman"/>
        </w:rPr>
        <w:t xml:space="preserve">internal </w:t>
      </w:r>
      <w:r>
        <w:rPr>
          <w:rFonts w:eastAsia="Times New Roman"/>
        </w:rPr>
        <w:t>analyses and studies (e.g., process evaluation, impact evaluation)</w:t>
      </w:r>
      <w:r w:rsidR="00C92BF7">
        <w:rPr>
          <w:rFonts w:eastAsia="Times New Roman"/>
        </w:rPr>
        <w:t xml:space="preserve">. </w:t>
      </w:r>
      <w:r w:rsidR="002A7E2B">
        <w:rPr>
          <w:rFonts w:eastAsia="Times New Roman"/>
        </w:rPr>
        <w:t>EDA may also provide aggregated or suppressed (for privacy) data to third party evaluators for independent assessments.</w:t>
      </w:r>
    </w:p>
    <w:p w:rsidR="00A769F4" w:rsidP="005B18BD" w14:paraId="63038986" w14:textId="3CAE5194">
      <w:pPr>
        <w:pStyle w:val="ListParagraph"/>
        <w:spacing w:after="0" w:line="240" w:lineRule="auto"/>
        <w:ind w:left="0"/>
        <w:rPr>
          <w:rFonts w:eastAsia="Times New Roman"/>
        </w:rPr>
      </w:pPr>
    </w:p>
    <w:p w:rsidR="00A769F4" w:rsidRPr="00EB2A32" w:rsidP="005B18BD" w14:paraId="067C7D13" w14:textId="1D8129CA">
      <w:pPr>
        <w:pStyle w:val="ListParagraph"/>
        <w:spacing w:after="0" w:line="240" w:lineRule="auto"/>
        <w:ind w:left="0"/>
        <w:rPr>
          <w:rFonts w:eastAsia="Times New Roman"/>
          <w:b/>
          <w:u w:val="single"/>
        </w:rPr>
      </w:pPr>
      <w:r>
        <w:rPr>
          <w:rFonts w:eastAsia="Times New Roman"/>
        </w:rPr>
        <w:t xml:space="preserve">It is also expected that EDA will incorporate findings into constructing new targets for performance in order to continually assess the effectiveness of its non-infrastructure investments. </w:t>
      </w:r>
    </w:p>
    <w:p w:rsidR="00C637F9" w:rsidP="00C637F9" w14:paraId="4EAC0170" w14:textId="77777777">
      <w:pPr>
        <w:spacing w:after="0" w:line="240" w:lineRule="auto"/>
        <w:rPr>
          <w:rFonts w:eastAsia="Times New Roman"/>
        </w:rPr>
      </w:pPr>
    </w:p>
    <w:p w:rsidR="00DF09DB" w:rsidRPr="00941E35" w:rsidP="008D09AD" w14:paraId="5D4FFD7A" w14:textId="77777777">
      <w:pPr>
        <w:pStyle w:val="ListParagraph"/>
        <w:numPr>
          <w:ilvl w:val="0"/>
          <w:numId w:val="1"/>
        </w:numPr>
        <w:spacing w:after="0" w:line="240" w:lineRule="auto"/>
        <w:rPr>
          <w:rFonts w:eastAsia="Times New Roman"/>
          <w:b/>
          <w:u w:val="single"/>
        </w:rPr>
      </w:pPr>
      <w:r w:rsidRPr="00941E35">
        <w:rPr>
          <w:rFonts w:eastAsia="Times New Roman"/>
          <w:b/>
          <w:u w:val="single"/>
        </w:rPr>
        <w:t>If you are seeking approval to not display the expiration date for OMB approval of the information collection, explain the reasons that display would be inappropriate.</w:t>
      </w:r>
    </w:p>
    <w:p w:rsidR="00DF09DB" w:rsidP="00DF09DB" w14:paraId="60BC2B74" w14:textId="77777777">
      <w:pPr>
        <w:spacing w:after="0" w:line="240" w:lineRule="auto"/>
        <w:rPr>
          <w:rFonts w:eastAsia="Times New Roman"/>
        </w:rPr>
      </w:pPr>
    </w:p>
    <w:p w:rsidR="00941E35" w:rsidP="00DF09DB" w14:paraId="2DDBDDD4" w14:textId="77777777">
      <w:pPr>
        <w:spacing w:after="0" w:line="240" w:lineRule="auto"/>
        <w:rPr>
          <w:rFonts w:eastAsia="Times New Roman"/>
        </w:rPr>
      </w:pPr>
      <w:r>
        <w:rPr>
          <w:rFonts w:eastAsia="Times New Roman"/>
        </w:rPr>
        <w:t>The information collection is not seeking to claim this exemption; it will display the expiration date for OMB approval.</w:t>
      </w:r>
    </w:p>
    <w:p w:rsidR="00DF09DB" w:rsidP="00DF09DB" w14:paraId="66D9DBF0" w14:textId="77777777">
      <w:pPr>
        <w:spacing w:after="0" w:line="240" w:lineRule="auto"/>
        <w:rPr>
          <w:rFonts w:eastAsia="Times New Roman"/>
        </w:rPr>
      </w:pPr>
    </w:p>
    <w:p w:rsidR="00DF09DB" w:rsidP="008D09AD" w14:paraId="4ED782CB" w14:textId="77777777">
      <w:pPr>
        <w:pStyle w:val="ListParagraph"/>
        <w:numPr>
          <w:ilvl w:val="0"/>
          <w:numId w:val="1"/>
        </w:numPr>
        <w:spacing w:after="0" w:line="240" w:lineRule="auto"/>
        <w:rPr>
          <w:rFonts w:eastAsia="Times New Roman"/>
          <w:b/>
          <w:u w:val="single"/>
        </w:rPr>
      </w:pPr>
      <w:r w:rsidRPr="00941E35">
        <w:rPr>
          <w:rFonts w:eastAsia="Times New Roman"/>
          <w:b/>
          <w:u w:val="single"/>
        </w:rPr>
        <w:t>Explain each exception to the topics of the certification statement identified in Certification for Paperwork Reduction Act Submissions.</w:t>
      </w:r>
    </w:p>
    <w:p w:rsidR="00941E35" w:rsidP="00941E35" w14:paraId="3CC18235" w14:textId="77777777">
      <w:pPr>
        <w:spacing w:after="0" w:line="240" w:lineRule="auto"/>
        <w:rPr>
          <w:rFonts w:eastAsia="Times New Roman"/>
          <w:b/>
          <w:u w:val="single"/>
        </w:rPr>
      </w:pPr>
    </w:p>
    <w:p w:rsidR="00941E35" w:rsidP="00941E35" w14:paraId="66AD0AA3" w14:textId="0A50245F">
      <w:pPr>
        <w:spacing w:after="0" w:line="240" w:lineRule="auto"/>
        <w:rPr>
          <w:rFonts w:eastAsia="Times New Roman"/>
        </w:rPr>
      </w:pPr>
      <w:r>
        <w:rPr>
          <w:rFonts w:eastAsia="Times New Roman"/>
        </w:rPr>
        <w:t xml:space="preserve">No exceptions are requested. </w:t>
      </w:r>
    </w:p>
    <w:p w:rsidR="00EC0D54" w:rsidP="00941E35" w14:paraId="3F8FFD18" w14:textId="11ED5E7C">
      <w:pPr>
        <w:spacing w:after="0" w:line="240" w:lineRule="auto"/>
        <w:rPr>
          <w:rFonts w:eastAsia="Times New Roman"/>
        </w:rPr>
      </w:pPr>
    </w:p>
    <w:p w:rsidR="00EC0D54" w:rsidP="00941E35" w14:paraId="5A4E6993" w14:textId="0D3524E4">
      <w:pPr>
        <w:spacing w:after="0" w:line="240" w:lineRule="auto"/>
        <w:rPr>
          <w:rFonts w:eastAsia="Times New Roman"/>
        </w:rPr>
      </w:pPr>
    </w:p>
    <w:p w:rsidR="00EC0D54" w:rsidRPr="0067051C" w:rsidP="00EC0D54" w14:paraId="66D366D5" w14:textId="07E0D6B4">
      <w:pPr>
        <w:tabs>
          <w:tab w:val="left" w:pos="1080"/>
        </w:tabs>
        <w:ind w:left="360" w:hanging="360"/>
        <w:rPr>
          <w:b/>
          <w:u w:val="single"/>
        </w:rPr>
      </w:pPr>
      <w:r w:rsidRPr="0067051C">
        <w:rPr>
          <w:b/>
        </w:rPr>
        <w:t xml:space="preserve">B. </w:t>
      </w:r>
      <w:r w:rsidRPr="00EC0D54">
        <w:rPr>
          <w:b/>
          <w:u w:val="single"/>
        </w:rPr>
        <w:t>COLLECTIONS OF INFORMATION EMPLOYING STATISTICAL METHODS</w:t>
      </w:r>
    </w:p>
    <w:p w:rsidR="00EC0D54" w:rsidRPr="00EC0D54" w:rsidP="00EC0D54" w14:paraId="0BD96F3D" w14:textId="77777777">
      <w:pPr>
        <w:spacing w:after="0" w:line="240" w:lineRule="auto"/>
        <w:rPr>
          <w:rFonts w:eastAsia="Times New Roman"/>
        </w:rPr>
      </w:pPr>
      <w:r w:rsidRPr="00EC0D54">
        <w:rPr>
          <w:rFonts w:eastAsia="Times New Roman"/>
        </w:rPr>
        <w:t>EDA does not employ statistical methods to collect data using these forms.</w:t>
      </w:r>
    </w:p>
    <w:p w:rsidR="00EC0D54" w:rsidRPr="00941E35" w:rsidP="00941E35" w14:paraId="4AD4F54D" w14:textId="77777777">
      <w:pPr>
        <w:spacing w:after="0" w:line="240" w:lineRule="auto"/>
        <w:rPr>
          <w:rFonts w:eastAsia="Times New Roman"/>
        </w:rPr>
      </w:pPr>
    </w:p>
    <w:p w:rsidR="00923C47" w:rsidP="00DF09DB" w14:paraId="177DF1D3" w14:textId="77777777">
      <w:pPr>
        <w:spacing w:after="0" w:line="240" w:lineRule="auto"/>
        <w:rPr>
          <w:rFonts w:eastAsia="Times New Roman"/>
        </w:rPr>
      </w:pPr>
    </w:p>
    <w:p w:rsidR="00EB2A32" w:rsidP="00DF09DB" w14:paraId="55B2E0A0" w14:textId="77777777">
      <w:pPr>
        <w:spacing w:after="0" w:line="240" w:lineRule="auto"/>
        <w:rPr>
          <w:rFonts w:eastAsia="Times New Roman"/>
          <w:b/>
        </w:rPr>
      </w:pPr>
      <w:r w:rsidRPr="00A8706E">
        <w:rPr>
          <w:rFonts w:eastAsia="Times New Roman"/>
          <w:b/>
        </w:rPr>
        <w:t xml:space="preserve"> </w:t>
      </w:r>
    </w:p>
    <w:p w:rsidR="00B55E0B" w:rsidP="00B55E0B" w14:paraId="56BA95E4" w14:textId="387C7945">
      <w:pPr>
        <w:pStyle w:val="NoSpacing"/>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2516574"/>
      <w:docPartObj>
        <w:docPartGallery w:val="Page Numbers (Bottom of Page)"/>
        <w:docPartUnique/>
      </w:docPartObj>
    </w:sdtPr>
    <w:sdtEndPr>
      <w:rPr>
        <w:noProof/>
      </w:rPr>
    </w:sdtEndPr>
    <w:sdtContent>
      <w:p w:rsidR="00941E35" w14:paraId="2142536E" w14:textId="57354386">
        <w:pPr>
          <w:pStyle w:val="Footer"/>
          <w:jc w:val="center"/>
        </w:pPr>
        <w:r>
          <w:fldChar w:fldCharType="begin"/>
        </w:r>
        <w:r>
          <w:instrText xml:space="preserve"> PAGE   \* MERGEFORMAT </w:instrText>
        </w:r>
        <w:r>
          <w:fldChar w:fldCharType="separate"/>
        </w:r>
        <w:r w:rsidR="003760D6">
          <w:rPr>
            <w:noProof/>
          </w:rPr>
          <w:t>9</w:t>
        </w:r>
        <w:r>
          <w:rPr>
            <w:noProof/>
          </w:rPr>
          <w:fldChar w:fldCharType="end"/>
        </w:r>
      </w:p>
    </w:sdtContent>
  </w:sdt>
  <w:p w:rsidR="00941E35" w14:paraId="088756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7677" w:rsidP="00941E35" w14:paraId="77D278D4" w14:textId="77777777">
      <w:pPr>
        <w:spacing w:after="0" w:line="240" w:lineRule="auto"/>
      </w:pPr>
      <w:r>
        <w:separator/>
      </w:r>
    </w:p>
  </w:footnote>
  <w:footnote w:type="continuationSeparator" w:id="1">
    <w:p w:rsidR="00337677" w:rsidP="00941E35" w14:paraId="1C865514" w14:textId="77777777">
      <w:pPr>
        <w:spacing w:after="0" w:line="240" w:lineRule="auto"/>
      </w:pPr>
      <w:r>
        <w:continuationSeparator/>
      </w:r>
    </w:p>
  </w:footnote>
  <w:footnote w:type="continuationNotice" w:id="2">
    <w:p w:rsidR="00337677" w14:paraId="43FDF51D" w14:textId="77777777">
      <w:pPr>
        <w:spacing w:after="0" w:line="240" w:lineRule="auto"/>
      </w:pPr>
    </w:p>
  </w:footnote>
  <w:footnote w:id="3">
    <w:p w:rsidR="00B82BC7" w14:paraId="0E855604" w14:textId="676D7433">
      <w:pPr>
        <w:pStyle w:val="FootnoteText"/>
      </w:pPr>
      <w:r>
        <w:rPr>
          <w:rStyle w:val="FootnoteReference"/>
        </w:rPr>
        <w:footnoteRef/>
      </w:r>
      <w:r>
        <w:t xml:space="preserve"> Private individual or for-profit organizations may be eligible for Training, Research, and Technical Assistance grants in accordance with EDA regulations at 13 CFR </w:t>
      </w:r>
      <w:r w:rsidRPr="00B82BC7">
        <w:t>306.1(d)(3)</w:t>
      </w:r>
      <w:r>
        <w:t>. In addition, a</w:t>
      </w:r>
      <w:r w:rsidRPr="00B82BC7">
        <w:t>n entity that is an institution of higher education, a public-private partnership, a science or research park, a Federal laboratory, or an economic development organization or similar entity</w:t>
      </w:r>
      <w:r w:rsidR="00BA26F5">
        <w:t>, as well as consortiums of these or any of the other eligible recipients of EDA awards</w:t>
      </w:r>
      <w:r w:rsidRPr="00B82BC7">
        <w:t xml:space="preserve"> </w:t>
      </w:r>
      <w:r>
        <w:t>may be eligible for</w:t>
      </w:r>
      <w:r w:rsidR="0095175E">
        <w:t xml:space="preserve"> Build to Scale (formerly</w:t>
      </w:r>
      <w:r>
        <w:t xml:space="preserve"> Regional Innovation Strategies</w:t>
      </w:r>
      <w:r w:rsidR="0095175E">
        <w:t>)</w:t>
      </w:r>
      <w:r>
        <w:t xml:space="preserve"> grants</w:t>
      </w:r>
      <w:r w:rsidR="00BA26F5">
        <w:t xml:space="preserve"> in accordance with 13 CFR </w:t>
      </w:r>
      <w:r w:rsidRPr="00BA26F5" w:rsidR="00BA26F5">
        <w:t>312.6</w:t>
      </w:r>
      <w:r>
        <w:t>.</w:t>
      </w:r>
    </w:p>
  </w:footnote>
  <w:footnote w:id="4">
    <w:p w:rsidR="00A713CB" w14:paraId="2CE4D015" w14:textId="76D42A61">
      <w:pPr>
        <w:pStyle w:val="FootnoteText"/>
      </w:pPr>
      <w:r>
        <w:rPr>
          <w:rStyle w:val="FootnoteReference"/>
        </w:rPr>
        <w:footnoteRef/>
      </w:r>
      <w:r>
        <w:t xml:space="preserve"> For instance, EDA grantees have reported distributing “impact surveys” to their clients, including small businesses. Much of the information collected by EDA grantees presently aligns with the planned data collection instruments.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428CF"/>
    <w:multiLevelType w:val="hybridMultilevel"/>
    <w:tmpl w:val="21F078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81F4B40"/>
    <w:multiLevelType w:val="hybridMultilevel"/>
    <w:tmpl w:val="418C0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E021FF5"/>
    <w:multiLevelType w:val="hybridMultilevel"/>
    <w:tmpl w:val="E14E0082"/>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F04240E"/>
    <w:multiLevelType w:val="hybridMultilevel"/>
    <w:tmpl w:val="85F0B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D34C60"/>
    <w:multiLevelType w:val="hybridMultilevel"/>
    <w:tmpl w:val="0C4C25EE"/>
    <w:lvl w:ilvl="0">
      <w:start w:val="3"/>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7456E1"/>
    <w:multiLevelType w:val="hybridMultilevel"/>
    <w:tmpl w:val="BC385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FB52415"/>
    <w:multiLevelType w:val="hybridMultilevel"/>
    <w:tmpl w:val="4AE0C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340848">
    <w:abstractNumId w:val="5"/>
  </w:num>
  <w:num w:numId="2" w16cid:durableId="1611938758">
    <w:abstractNumId w:val="4"/>
  </w:num>
  <w:num w:numId="3" w16cid:durableId="1081413525">
    <w:abstractNumId w:val="6"/>
  </w:num>
  <w:num w:numId="4" w16cid:durableId="232275711">
    <w:abstractNumId w:val="3"/>
  </w:num>
  <w:num w:numId="5" w16cid:durableId="25523056">
    <w:abstractNumId w:val="2"/>
  </w:num>
  <w:num w:numId="6" w16cid:durableId="1424380084">
    <w:abstractNumId w:val="1"/>
  </w:num>
  <w:num w:numId="7" w16cid:durableId="36610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43"/>
    <w:rsid w:val="00004E55"/>
    <w:rsid w:val="00033623"/>
    <w:rsid w:val="00046DB4"/>
    <w:rsid w:val="00061C31"/>
    <w:rsid w:val="00095144"/>
    <w:rsid w:val="00095C30"/>
    <w:rsid w:val="000E0BAA"/>
    <w:rsid w:val="000F1EBB"/>
    <w:rsid w:val="000F4671"/>
    <w:rsid w:val="00101B75"/>
    <w:rsid w:val="00111ED0"/>
    <w:rsid w:val="00113DF3"/>
    <w:rsid w:val="0013797F"/>
    <w:rsid w:val="001426A5"/>
    <w:rsid w:val="00143106"/>
    <w:rsid w:val="00183B49"/>
    <w:rsid w:val="001974EB"/>
    <w:rsid w:val="001B2C32"/>
    <w:rsid w:val="001B7868"/>
    <w:rsid w:val="001C3291"/>
    <w:rsid w:val="001C5397"/>
    <w:rsid w:val="001D50CD"/>
    <w:rsid w:val="001E1C62"/>
    <w:rsid w:val="001E49B9"/>
    <w:rsid w:val="001E648B"/>
    <w:rsid w:val="001F2C65"/>
    <w:rsid w:val="00234FDD"/>
    <w:rsid w:val="00235854"/>
    <w:rsid w:val="00241E84"/>
    <w:rsid w:val="00242AE4"/>
    <w:rsid w:val="0024391A"/>
    <w:rsid w:val="00244D32"/>
    <w:rsid w:val="00247F8F"/>
    <w:rsid w:val="00265285"/>
    <w:rsid w:val="002655C9"/>
    <w:rsid w:val="00266A1C"/>
    <w:rsid w:val="002852CC"/>
    <w:rsid w:val="00292D2D"/>
    <w:rsid w:val="00294086"/>
    <w:rsid w:val="0029780D"/>
    <w:rsid w:val="002A16F7"/>
    <w:rsid w:val="002A7E2B"/>
    <w:rsid w:val="002C146C"/>
    <w:rsid w:val="002C7CCD"/>
    <w:rsid w:val="00300F0A"/>
    <w:rsid w:val="003013B4"/>
    <w:rsid w:val="003272E7"/>
    <w:rsid w:val="00327F54"/>
    <w:rsid w:val="00337677"/>
    <w:rsid w:val="00346B46"/>
    <w:rsid w:val="003760D6"/>
    <w:rsid w:val="003814BF"/>
    <w:rsid w:val="003836FB"/>
    <w:rsid w:val="003B0A70"/>
    <w:rsid w:val="003B6C43"/>
    <w:rsid w:val="003E762F"/>
    <w:rsid w:val="003F2B89"/>
    <w:rsid w:val="0040341B"/>
    <w:rsid w:val="0041257F"/>
    <w:rsid w:val="00422E21"/>
    <w:rsid w:val="00434FAC"/>
    <w:rsid w:val="00453AD2"/>
    <w:rsid w:val="004746E0"/>
    <w:rsid w:val="0048011F"/>
    <w:rsid w:val="004923E4"/>
    <w:rsid w:val="004A18C1"/>
    <w:rsid w:val="004E498B"/>
    <w:rsid w:val="004F1767"/>
    <w:rsid w:val="004F2D7A"/>
    <w:rsid w:val="00511032"/>
    <w:rsid w:val="00517497"/>
    <w:rsid w:val="00526DAF"/>
    <w:rsid w:val="005273C2"/>
    <w:rsid w:val="0054549A"/>
    <w:rsid w:val="00545A4C"/>
    <w:rsid w:val="00570775"/>
    <w:rsid w:val="00572698"/>
    <w:rsid w:val="00577243"/>
    <w:rsid w:val="005856AF"/>
    <w:rsid w:val="005A0F7D"/>
    <w:rsid w:val="005B18BD"/>
    <w:rsid w:val="005F549B"/>
    <w:rsid w:val="005F7563"/>
    <w:rsid w:val="0060074B"/>
    <w:rsid w:val="00605D9A"/>
    <w:rsid w:val="00606779"/>
    <w:rsid w:val="00611569"/>
    <w:rsid w:val="006239F0"/>
    <w:rsid w:val="00652E65"/>
    <w:rsid w:val="006531C6"/>
    <w:rsid w:val="0067051C"/>
    <w:rsid w:val="00670887"/>
    <w:rsid w:val="0069357C"/>
    <w:rsid w:val="006A1CB4"/>
    <w:rsid w:val="006A338E"/>
    <w:rsid w:val="006E7B44"/>
    <w:rsid w:val="006F45CC"/>
    <w:rsid w:val="006F6EE6"/>
    <w:rsid w:val="007226DB"/>
    <w:rsid w:val="007316C8"/>
    <w:rsid w:val="00735BF2"/>
    <w:rsid w:val="00736337"/>
    <w:rsid w:val="00753D92"/>
    <w:rsid w:val="00756E0A"/>
    <w:rsid w:val="0077725D"/>
    <w:rsid w:val="00784A60"/>
    <w:rsid w:val="007856EA"/>
    <w:rsid w:val="0079146B"/>
    <w:rsid w:val="007B7C47"/>
    <w:rsid w:val="007D5AC7"/>
    <w:rsid w:val="007E091F"/>
    <w:rsid w:val="007E1C43"/>
    <w:rsid w:val="007E2CBD"/>
    <w:rsid w:val="007F3C24"/>
    <w:rsid w:val="008224E4"/>
    <w:rsid w:val="00827AD6"/>
    <w:rsid w:val="008368C8"/>
    <w:rsid w:val="00841AE2"/>
    <w:rsid w:val="00843300"/>
    <w:rsid w:val="00862DC2"/>
    <w:rsid w:val="00875501"/>
    <w:rsid w:val="008912EC"/>
    <w:rsid w:val="008C2C64"/>
    <w:rsid w:val="008C7F73"/>
    <w:rsid w:val="008D0635"/>
    <w:rsid w:val="008D09AD"/>
    <w:rsid w:val="008D2CB8"/>
    <w:rsid w:val="008D5E6B"/>
    <w:rsid w:val="008E435F"/>
    <w:rsid w:val="00903F00"/>
    <w:rsid w:val="009048C6"/>
    <w:rsid w:val="009054AA"/>
    <w:rsid w:val="00921B5F"/>
    <w:rsid w:val="00923C47"/>
    <w:rsid w:val="00924DAA"/>
    <w:rsid w:val="00934898"/>
    <w:rsid w:val="00941E35"/>
    <w:rsid w:val="009430F5"/>
    <w:rsid w:val="00945915"/>
    <w:rsid w:val="0095175E"/>
    <w:rsid w:val="00965BA6"/>
    <w:rsid w:val="0097108F"/>
    <w:rsid w:val="009724CA"/>
    <w:rsid w:val="00972E8D"/>
    <w:rsid w:val="00980506"/>
    <w:rsid w:val="00981B46"/>
    <w:rsid w:val="009842E1"/>
    <w:rsid w:val="0099451A"/>
    <w:rsid w:val="009D536A"/>
    <w:rsid w:val="00A0394C"/>
    <w:rsid w:val="00A07E3B"/>
    <w:rsid w:val="00A54E49"/>
    <w:rsid w:val="00A556D2"/>
    <w:rsid w:val="00A5728B"/>
    <w:rsid w:val="00A713CB"/>
    <w:rsid w:val="00A75A71"/>
    <w:rsid w:val="00A769F4"/>
    <w:rsid w:val="00A838DE"/>
    <w:rsid w:val="00A8706E"/>
    <w:rsid w:val="00A87DB8"/>
    <w:rsid w:val="00A95BC1"/>
    <w:rsid w:val="00A95D10"/>
    <w:rsid w:val="00AA75C0"/>
    <w:rsid w:val="00AB1042"/>
    <w:rsid w:val="00AB12E7"/>
    <w:rsid w:val="00AD2DDA"/>
    <w:rsid w:val="00B10913"/>
    <w:rsid w:val="00B246C0"/>
    <w:rsid w:val="00B32D00"/>
    <w:rsid w:val="00B33791"/>
    <w:rsid w:val="00B520CF"/>
    <w:rsid w:val="00B532F3"/>
    <w:rsid w:val="00B55E0B"/>
    <w:rsid w:val="00B81AF7"/>
    <w:rsid w:val="00B82BC7"/>
    <w:rsid w:val="00BA26F5"/>
    <w:rsid w:val="00BB6D66"/>
    <w:rsid w:val="00BC4051"/>
    <w:rsid w:val="00BC5B06"/>
    <w:rsid w:val="00BD4670"/>
    <w:rsid w:val="00C10AEE"/>
    <w:rsid w:val="00C21B43"/>
    <w:rsid w:val="00C27E63"/>
    <w:rsid w:val="00C3609D"/>
    <w:rsid w:val="00C50919"/>
    <w:rsid w:val="00C6235D"/>
    <w:rsid w:val="00C623B8"/>
    <w:rsid w:val="00C637F9"/>
    <w:rsid w:val="00C73126"/>
    <w:rsid w:val="00C80C11"/>
    <w:rsid w:val="00C86271"/>
    <w:rsid w:val="00C92BF7"/>
    <w:rsid w:val="00CA76DF"/>
    <w:rsid w:val="00CB414B"/>
    <w:rsid w:val="00CB4C6E"/>
    <w:rsid w:val="00CC0B04"/>
    <w:rsid w:val="00CD4196"/>
    <w:rsid w:val="00CF00D8"/>
    <w:rsid w:val="00CF027C"/>
    <w:rsid w:val="00CF2005"/>
    <w:rsid w:val="00CF42C7"/>
    <w:rsid w:val="00D06D50"/>
    <w:rsid w:val="00D214B3"/>
    <w:rsid w:val="00D42258"/>
    <w:rsid w:val="00D42410"/>
    <w:rsid w:val="00D47D4A"/>
    <w:rsid w:val="00D51978"/>
    <w:rsid w:val="00D5499E"/>
    <w:rsid w:val="00D6112E"/>
    <w:rsid w:val="00D654C0"/>
    <w:rsid w:val="00D80CD9"/>
    <w:rsid w:val="00D9153D"/>
    <w:rsid w:val="00DA3C58"/>
    <w:rsid w:val="00DB0991"/>
    <w:rsid w:val="00DB177F"/>
    <w:rsid w:val="00DB2B9D"/>
    <w:rsid w:val="00DD103F"/>
    <w:rsid w:val="00DD7EA1"/>
    <w:rsid w:val="00DE3853"/>
    <w:rsid w:val="00DE680C"/>
    <w:rsid w:val="00DF09D6"/>
    <w:rsid w:val="00DF09DB"/>
    <w:rsid w:val="00DF1ADD"/>
    <w:rsid w:val="00DF5CAC"/>
    <w:rsid w:val="00E1474E"/>
    <w:rsid w:val="00E42D67"/>
    <w:rsid w:val="00E458F3"/>
    <w:rsid w:val="00E46077"/>
    <w:rsid w:val="00E63442"/>
    <w:rsid w:val="00E63E19"/>
    <w:rsid w:val="00E725C8"/>
    <w:rsid w:val="00E72DA5"/>
    <w:rsid w:val="00E81089"/>
    <w:rsid w:val="00E86763"/>
    <w:rsid w:val="00EA3EAE"/>
    <w:rsid w:val="00EB17C9"/>
    <w:rsid w:val="00EB2A32"/>
    <w:rsid w:val="00EB2F83"/>
    <w:rsid w:val="00EB350D"/>
    <w:rsid w:val="00EB4217"/>
    <w:rsid w:val="00EB73D5"/>
    <w:rsid w:val="00EC0D54"/>
    <w:rsid w:val="00ED3A44"/>
    <w:rsid w:val="00ED3EEF"/>
    <w:rsid w:val="00EE3039"/>
    <w:rsid w:val="00EF1A67"/>
    <w:rsid w:val="00EF720A"/>
    <w:rsid w:val="00F000C8"/>
    <w:rsid w:val="00F02150"/>
    <w:rsid w:val="00F3551B"/>
    <w:rsid w:val="00F46741"/>
    <w:rsid w:val="00F46B1B"/>
    <w:rsid w:val="00F54B84"/>
    <w:rsid w:val="00F5569C"/>
    <w:rsid w:val="00F60B28"/>
    <w:rsid w:val="00F71719"/>
    <w:rsid w:val="00F72C9B"/>
    <w:rsid w:val="00FA06B8"/>
    <w:rsid w:val="00FA2839"/>
    <w:rsid w:val="00FA289D"/>
    <w:rsid w:val="00FB1B2B"/>
    <w:rsid w:val="00FD264E"/>
    <w:rsid w:val="00FD540E"/>
    <w:rsid w:val="03DCB33A"/>
    <w:rsid w:val="17BF83F5"/>
    <w:rsid w:val="193587FF"/>
    <w:rsid w:val="225AC0A6"/>
    <w:rsid w:val="29A978B8"/>
    <w:rsid w:val="42D46249"/>
    <w:rsid w:val="46655C2C"/>
    <w:rsid w:val="61097462"/>
    <w:rsid w:val="6173ADA9"/>
    <w:rsid w:val="6288F5AE"/>
    <w:rsid w:val="6C7F65B4"/>
    <w:rsid w:val="759E52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CBC313"/>
  <w15:docId w15:val="{4C8E670F-4CCB-4A2B-BC2F-A016B870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B43"/>
    <w:pPr>
      <w:spacing w:after="0" w:line="240" w:lineRule="auto"/>
    </w:pPr>
  </w:style>
  <w:style w:type="paragraph" w:styleId="ListParagraph">
    <w:name w:val="List Paragraph"/>
    <w:basedOn w:val="Normal"/>
    <w:uiPriority w:val="34"/>
    <w:qFormat/>
    <w:rsid w:val="00B55E0B"/>
    <w:pPr>
      <w:ind w:left="720"/>
      <w:contextualSpacing/>
    </w:pPr>
  </w:style>
  <w:style w:type="character" w:styleId="Hyperlink">
    <w:name w:val="Hyperlink"/>
    <w:basedOn w:val="DefaultParagraphFont"/>
    <w:uiPriority w:val="99"/>
    <w:unhideWhenUsed/>
    <w:rsid w:val="00D06D50"/>
    <w:rPr>
      <w:color w:val="0563C1" w:themeColor="hyperlink"/>
      <w:u w:val="single"/>
    </w:rPr>
  </w:style>
  <w:style w:type="paragraph" w:styleId="HTMLPreformatted">
    <w:name w:val="HTML Preformatted"/>
    <w:basedOn w:val="Normal"/>
    <w:link w:val="HTMLPreformattedChar"/>
    <w:rsid w:val="00D06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06D50"/>
    <w:rPr>
      <w:rFonts w:ascii="Courier New" w:eastAsia="Times New Roman" w:hAnsi="Courier New" w:cs="Courier New"/>
      <w:sz w:val="20"/>
      <w:szCs w:val="20"/>
    </w:rPr>
  </w:style>
  <w:style w:type="paragraph" w:styleId="Header">
    <w:name w:val="header"/>
    <w:basedOn w:val="Normal"/>
    <w:link w:val="HeaderChar"/>
    <w:uiPriority w:val="99"/>
    <w:unhideWhenUsed/>
    <w:rsid w:val="00941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E35"/>
  </w:style>
  <w:style w:type="paragraph" w:styleId="Footer">
    <w:name w:val="footer"/>
    <w:basedOn w:val="Normal"/>
    <w:link w:val="FooterChar"/>
    <w:uiPriority w:val="99"/>
    <w:unhideWhenUsed/>
    <w:rsid w:val="00941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35"/>
  </w:style>
  <w:style w:type="character" w:styleId="PlaceholderText">
    <w:name w:val="Placeholder Text"/>
    <w:basedOn w:val="DefaultParagraphFont"/>
    <w:uiPriority w:val="99"/>
    <w:semiHidden/>
    <w:rsid w:val="00CF42C7"/>
    <w:rPr>
      <w:color w:val="808080"/>
    </w:rPr>
  </w:style>
  <w:style w:type="character" w:styleId="CommentReference">
    <w:name w:val="annotation reference"/>
    <w:basedOn w:val="DefaultParagraphFont"/>
    <w:unhideWhenUsed/>
    <w:rsid w:val="00EB2A32"/>
    <w:rPr>
      <w:sz w:val="16"/>
      <w:szCs w:val="16"/>
    </w:rPr>
  </w:style>
  <w:style w:type="paragraph" w:styleId="CommentText">
    <w:name w:val="annotation text"/>
    <w:basedOn w:val="Normal"/>
    <w:link w:val="CommentTextChar"/>
    <w:unhideWhenUsed/>
    <w:rsid w:val="00EB2A32"/>
    <w:pPr>
      <w:spacing w:line="240" w:lineRule="auto"/>
    </w:pPr>
    <w:rPr>
      <w:sz w:val="20"/>
      <w:szCs w:val="20"/>
    </w:rPr>
  </w:style>
  <w:style w:type="character" w:customStyle="1" w:styleId="CommentTextChar">
    <w:name w:val="Comment Text Char"/>
    <w:basedOn w:val="DefaultParagraphFont"/>
    <w:link w:val="CommentText"/>
    <w:rsid w:val="00EB2A32"/>
    <w:rPr>
      <w:sz w:val="20"/>
      <w:szCs w:val="20"/>
    </w:rPr>
  </w:style>
  <w:style w:type="paragraph" w:styleId="CommentSubject">
    <w:name w:val="annotation subject"/>
    <w:basedOn w:val="CommentText"/>
    <w:next w:val="CommentText"/>
    <w:link w:val="CommentSubjectChar"/>
    <w:uiPriority w:val="99"/>
    <w:semiHidden/>
    <w:unhideWhenUsed/>
    <w:rsid w:val="00EB2A32"/>
    <w:rPr>
      <w:b/>
      <w:bCs/>
    </w:rPr>
  </w:style>
  <w:style w:type="character" w:customStyle="1" w:styleId="CommentSubjectChar">
    <w:name w:val="Comment Subject Char"/>
    <w:basedOn w:val="CommentTextChar"/>
    <w:link w:val="CommentSubject"/>
    <w:uiPriority w:val="99"/>
    <w:semiHidden/>
    <w:rsid w:val="00EB2A32"/>
    <w:rPr>
      <w:b/>
      <w:bCs/>
      <w:sz w:val="20"/>
      <w:szCs w:val="20"/>
    </w:rPr>
  </w:style>
  <w:style w:type="paragraph" w:styleId="BalloonText">
    <w:name w:val="Balloon Text"/>
    <w:basedOn w:val="Normal"/>
    <w:link w:val="BalloonTextChar"/>
    <w:uiPriority w:val="99"/>
    <w:semiHidden/>
    <w:unhideWhenUsed/>
    <w:rsid w:val="00EB2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A32"/>
    <w:rPr>
      <w:rFonts w:ascii="Segoe UI" w:hAnsi="Segoe UI" w:cs="Segoe UI"/>
      <w:sz w:val="18"/>
      <w:szCs w:val="18"/>
    </w:rPr>
  </w:style>
  <w:style w:type="character" w:styleId="FollowedHyperlink">
    <w:name w:val="FollowedHyperlink"/>
    <w:basedOn w:val="DefaultParagraphFont"/>
    <w:uiPriority w:val="99"/>
    <w:semiHidden/>
    <w:unhideWhenUsed/>
    <w:rsid w:val="00CA76DF"/>
    <w:rPr>
      <w:color w:val="954F72" w:themeColor="followedHyperlink"/>
      <w:u w:val="single"/>
    </w:rPr>
  </w:style>
  <w:style w:type="paragraph" w:styleId="FootnoteText">
    <w:name w:val="footnote text"/>
    <w:basedOn w:val="Normal"/>
    <w:link w:val="FootnoteTextChar"/>
    <w:uiPriority w:val="99"/>
    <w:semiHidden/>
    <w:unhideWhenUsed/>
    <w:rsid w:val="00A713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3CB"/>
    <w:rPr>
      <w:sz w:val="20"/>
      <w:szCs w:val="20"/>
    </w:rPr>
  </w:style>
  <w:style w:type="character" w:styleId="FootnoteReference">
    <w:name w:val="footnote reference"/>
    <w:basedOn w:val="DefaultParagraphFont"/>
    <w:uiPriority w:val="99"/>
    <w:semiHidden/>
    <w:unhideWhenUsed/>
    <w:rsid w:val="00A713CB"/>
    <w:rPr>
      <w:vertAlign w:val="superscript"/>
    </w:rPr>
  </w:style>
  <w:style w:type="character" w:styleId="UnresolvedMention">
    <w:name w:val="Unresolved Mention"/>
    <w:basedOn w:val="DefaultParagraphFont"/>
    <w:uiPriority w:val="99"/>
    <w:semiHidden/>
    <w:unhideWhenUsed/>
    <w:rsid w:val="00D9153D"/>
    <w:rPr>
      <w:color w:val="605E5C"/>
      <w:shd w:val="clear" w:color="auto" w:fill="E1DFDD"/>
    </w:rPr>
  </w:style>
  <w:style w:type="paragraph" w:styleId="Revision">
    <w:name w:val="Revision"/>
    <w:hidden/>
    <w:uiPriority w:val="99"/>
    <w:semiHidden/>
    <w:rsid w:val="00D42258"/>
    <w:pPr>
      <w:spacing w:after="0" w:line="240" w:lineRule="auto"/>
    </w:pPr>
  </w:style>
  <w:style w:type="table" w:styleId="TableGrid">
    <w:name w:val="Table Grid"/>
    <w:basedOn w:val="TableNormal"/>
    <w:uiPriority w:val="39"/>
    <w:rsid w:val="00827AD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da.gov/performa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A1326B6F167458AEF8FAAC882658A" ma:contentTypeVersion="14" ma:contentTypeDescription="Create a new document." ma:contentTypeScope="" ma:versionID="d0bc0c110583eb88413f1893b8316aa1">
  <xsd:schema xmlns:xsd="http://www.w3.org/2001/XMLSchema" xmlns:xs="http://www.w3.org/2001/XMLSchema" xmlns:p="http://schemas.microsoft.com/office/2006/metadata/properties" xmlns:ns1="http://schemas.microsoft.com/sharepoint/v3" xmlns:ns3="e2d3d16d-9f26-4416-9c33-9c53dc4ef9fe" xmlns:ns4="745c7e65-57ac-4a3a-b2a9-07c4eb3b7314" targetNamespace="http://schemas.microsoft.com/office/2006/metadata/properties" ma:root="true" ma:fieldsID="99cda6d2156bf6bacf0f2336fd338b67" ns1:_="" ns3:_="" ns4:_="">
    <xsd:import namespace="http://schemas.microsoft.com/sharepoint/v3"/>
    <xsd:import namespace="e2d3d16d-9f26-4416-9c33-9c53dc4ef9fe"/>
    <xsd:import namespace="745c7e65-57ac-4a3a-b2a9-07c4eb3b7314"/>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d16d-9f26-4416-9c33-9c53dc4ef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c7e65-57ac-4a3a-b2a9-07c4eb3b73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2d3d16d-9f26-4416-9c33-9c53dc4ef9fe"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08AE3C-4FE0-4553-9840-F0873E167A64}">
  <ds:schemaRefs>
    <ds:schemaRef ds:uri="http://schemas.microsoft.com/sharepoint/v3/contenttype/forms"/>
  </ds:schemaRefs>
</ds:datastoreItem>
</file>

<file path=customXml/itemProps2.xml><?xml version="1.0" encoding="utf-8"?>
<ds:datastoreItem xmlns:ds="http://schemas.openxmlformats.org/officeDocument/2006/customXml" ds:itemID="{DE01BD5B-4FC6-491A-89DF-829207F2C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d3d16d-9f26-4416-9c33-9c53dc4ef9fe"/>
    <ds:schemaRef ds:uri="745c7e65-57ac-4a3a-b2a9-07c4eb3b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C7B62-9AB3-474E-84A4-79D30DB57BA0}">
  <ds:schemaRefs>
    <ds:schemaRef ds:uri="http://schemas.openxmlformats.org/officeDocument/2006/bibliography"/>
  </ds:schemaRefs>
</ds:datastoreItem>
</file>

<file path=customXml/itemProps4.xml><?xml version="1.0" encoding="utf-8"?>
<ds:datastoreItem xmlns:ds="http://schemas.openxmlformats.org/officeDocument/2006/customXml" ds:itemID="{E602AA06-7841-4EFC-B6C1-F1A33F0147A3}">
  <ds:schemaRefs>
    <ds:schemaRef ds:uri="http://schemas.microsoft.com/office/2006/metadata/properties"/>
    <ds:schemaRef ds:uri="http://schemas.microsoft.com/office/infopath/2007/PartnerControls"/>
    <ds:schemaRef ds:uri="http://schemas.microsoft.com/sharepoint/v3"/>
    <ds:schemaRef ds:uri="e2d3d16d-9f26-4416-9c33-9c53dc4ef9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Gingrich, Nicole (Federal)</dc:creator>
  <cp:lastModifiedBy>Dumas, Sheleen (Federal)</cp:lastModifiedBy>
  <cp:revision>3</cp:revision>
  <dcterms:created xsi:type="dcterms:W3CDTF">2023-05-02T18:35:00Z</dcterms:created>
  <dcterms:modified xsi:type="dcterms:W3CDTF">2023-05-12T11:31:00Z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0x0101003A3A1326B6F167458AEF8FAAC882658A</vt:lpwstr>
  </property>
</Properties>
</file>