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BB432F" w:rsidRPr="00BB3410" w:rsidP="00BB432F" w14:paraId="7B82FD92" w14:textId="77777777">
      <w:pPr>
        <w:rPr>
          <w:rFonts w:cstheme="minorHAnsi"/>
        </w:rPr>
      </w:pPr>
      <w:r w:rsidRPr="00BB3410">
        <w:rPr>
          <w:rFonts w:cstheme="minorHAnsi"/>
          <w:b/>
          <w:bCs/>
        </w:rPr>
        <w:t>Title</w:t>
      </w:r>
      <w:r w:rsidRPr="00BB3410">
        <w:rPr>
          <w:rFonts w:cstheme="minorHAnsi"/>
        </w:rPr>
        <w:t>:</w:t>
      </w:r>
      <w:r w:rsidRPr="00BB3410">
        <w:rPr>
          <w:rFonts w:cstheme="minorHAnsi"/>
        </w:rPr>
        <w:t xml:space="preserve"> </w:t>
      </w:r>
      <w:r w:rsidRPr="00BB3410">
        <w:rPr>
          <w:rFonts w:cstheme="minorHAnsi"/>
        </w:rPr>
        <w:t>National Volatile Organic Compound Emission Standards for Automobile Refinish Coatings (40 CFR Part 59, Subpart B) (Renewal)</w:t>
      </w:r>
    </w:p>
    <w:p w:rsidR="00EE2403" w:rsidRPr="00BB3410" w:rsidP="00BB432F" w14:paraId="71D5121E" w14:textId="741C2DCF">
      <w:pPr>
        <w:spacing w:line="240" w:lineRule="auto"/>
        <w:rPr>
          <w:rFonts w:cstheme="minorHAnsi"/>
        </w:rPr>
      </w:pPr>
      <w:r w:rsidRPr="00BB3410">
        <w:rPr>
          <w:rFonts w:cstheme="minorHAnsi"/>
          <w:b/>
          <w:bCs/>
        </w:rPr>
        <w:t>OMB Control Number</w:t>
      </w:r>
      <w:r w:rsidRPr="00BB3410">
        <w:rPr>
          <w:rFonts w:cstheme="minorHAnsi"/>
        </w:rPr>
        <w:t>:</w:t>
      </w:r>
      <w:r w:rsidRPr="00BB3410" w:rsidR="00BB432F">
        <w:rPr>
          <w:rFonts w:cstheme="minorHAnsi"/>
        </w:rPr>
        <w:t xml:space="preserve"> 2060-0353</w:t>
      </w:r>
    </w:p>
    <w:p w:rsidR="00EE2403" w:rsidRPr="00BB3410" w:rsidP="00ED57A4" w14:paraId="4FB77BCA" w14:textId="59B332FC">
      <w:pPr>
        <w:spacing w:before="240" w:line="240" w:lineRule="auto"/>
        <w:rPr>
          <w:rFonts w:cstheme="minorHAnsi"/>
        </w:rPr>
      </w:pPr>
      <w:r w:rsidRPr="00BB3410">
        <w:rPr>
          <w:rFonts w:cstheme="minorHAnsi"/>
          <w:b/>
          <w:bCs/>
        </w:rPr>
        <w:t>EPA ICR Number</w:t>
      </w:r>
      <w:r w:rsidRPr="00BB3410">
        <w:rPr>
          <w:rFonts w:cstheme="minorHAnsi"/>
        </w:rPr>
        <w:t>:</w:t>
      </w:r>
      <w:r w:rsidRPr="00BB3410" w:rsidR="00BB432F">
        <w:rPr>
          <w:rFonts w:cstheme="minorHAnsi"/>
        </w:rPr>
        <w:t xml:space="preserve"> 1765.10</w:t>
      </w:r>
    </w:p>
    <w:p w:rsidR="00BB432F" w:rsidRPr="00BB3410" w:rsidP="00BB432F" w14:paraId="6687C35F" w14:textId="3AF9ABA1">
      <w:pPr>
        <w:spacing w:before="240"/>
        <w:rPr>
          <w:rFonts w:cstheme="minorHAnsi"/>
        </w:rPr>
      </w:pPr>
      <w:r w:rsidRPr="00BB3410">
        <w:rPr>
          <w:rFonts w:cstheme="minorHAnsi"/>
          <w:b/>
          <w:bCs/>
        </w:rPr>
        <w:t>Abstract</w:t>
      </w:r>
      <w:r w:rsidRPr="00BB3410">
        <w:rPr>
          <w:rFonts w:cstheme="minorHAnsi"/>
          <w:u w:val="single"/>
        </w:rPr>
        <w:t>:</w:t>
      </w:r>
      <w:r w:rsidRPr="00BB3410">
        <w:rPr>
          <w:rFonts w:cstheme="minorHAnsi"/>
        </w:rPr>
        <w:t xml:space="preserve">  </w:t>
      </w:r>
      <w:r w:rsidRPr="00BB3410">
        <w:rPr>
          <w:rFonts w:cstheme="minorHAnsi"/>
        </w:rPr>
        <w:t>All manufacturers and importers of coatings and coating components subject to 40 CFR Part 59, Subpart B (National Volatile Organic Compound Emission Standards for Automobile Refinish Coatings) must submit an initial report. The initial report must include the name and mailing address of the manufacturer or importer. The rule requires that containers of all subject automobile refinish coatings and coating components display the date of manufacture or a code indicating the date of manufacture. All manufacturers and importers of subject coatings and coating components must submit an explanation of all date codes used on automobile refinish coating and coating component containers. Date code explanations can be submitted with the initial report. Thereafter, respondents must submit explanations of any new date codes within 30 days of their first use.</w:t>
      </w:r>
    </w:p>
    <w:p w:rsidR="00BB432F" w:rsidRPr="00BB3410" w:rsidP="00BB432F" w14:paraId="35C69933" w14:textId="6966529F">
      <w:pPr>
        <w:rPr>
          <w:rFonts w:cstheme="minorHAnsi"/>
        </w:rPr>
      </w:pPr>
      <w:r w:rsidRPr="00BB3410">
        <w:rPr>
          <w:rFonts w:cstheme="minorHAnsi"/>
        </w:rPr>
        <w:t>The information collection includes initial and periodic reporting necessary for the EPA to ensure compliance with the promulgated federal rule for automobile refinish coatings. The rule will be enforced through random sampling of coatings to determine VOC content. Respondents are manufacturers and importers of automobile refinish coatings and coating components.</w:t>
      </w:r>
    </w:p>
    <w:p w:rsidR="00BB432F" w:rsidRPr="00BB3410" w:rsidP="00BB432F" w14:paraId="79101235"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BB3410">
        <w:rPr>
          <w:rFonts w:cstheme="minorHAnsi"/>
        </w:rPr>
        <w:t xml:space="preserve">The “Affected Public” includes manufacturers and importers of automobile refinish coatings and coating components. The ‘burden’ to the “Affected Public” may be found below in Table 1: Annual Respondent Burden and Cost – National Volatile Organic Compound Emission Standards for Automobile Refinish Coatings (40 CFR Part 59, Subpart B) (Renewal). The ‘burden’ to the “Federal Government” is attributed entirely to work performed by either Federal employees or government contractors and may be found below in Table 2: Average Annual EPA Burden and Cost – National Volatile Organic Compound Emission Standards for Automobile Refinish Coatings (40 CFR Part 59, Subpart B) (Renewal). </w:t>
      </w:r>
      <w:r w:rsidRPr="00BB3410">
        <w:rPr>
          <w:rFonts w:cstheme="minorHAnsi"/>
          <w:color w:val="000000"/>
        </w:rPr>
        <w:t xml:space="preserve">There are approximately </w:t>
      </w:r>
      <w:r w:rsidRPr="00BB3410">
        <w:rPr>
          <w:rFonts w:cstheme="minorHAnsi"/>
        </w:rPr>
        <w:t>31 automobile refinishing coating facilities</w:t>
      </w:r>
      <w:r w:rsidRPr="00BB3410">
        <w:rPr>
          <w:rFonts w:cstheme="minorHAnsi"/>
          <w:color w:val="000000"/>
        </w:rPr>
        <w:t xml:space="preserve">, which are owned and operated by </w:t>
      </w:r>
      <w:r w:rsidRPr="00BB3410">
        <w:rPr>
          <w:rFonts w:cstheme="minorHAnsi"/>
        </w:rPr>
        <w:t>the automobile refinishing coating industry</w:t>
      </w:r>
      <w:r w:rsidRPr="00BB3410">
        <w:rPr>
          <w:rFonts w:cstheme="minorHAnsi"/>
          <w:color w:val="000000"/>
        </w:rPr>
        <w:t xml:space="preserve">. None of the 31 facilities in the United States are owned by either state, or local, or tribal entities or by the Federal government. They are all owned and operated by privately-owned, for-profit businesses. We assume that they will all respond to EPA inquiries. </w:t>
      </w:r>
    </w:p>
    <w:p w:rsidR="00BB432F" w:rsidRPr="00BB3410" w:rsidP="00BB432F" w14:paraId="64686045" w14:textId="157C9F8A">
      <w:pPr>
        <w:pBdr>
          <w:top w:val="single" w:sz="6" w:space="0" w:color="FFFFFF"/>
          <w:left w:val="single" w:sz="6" w:space="0" w:color="FFFFFF"/>
          <w:bottom w:val="single" w:sz="6" w:space="0" w:color="FFFFFF"/>
          <w:right w:val="single" w:sz="6" w:space="0" w:color="FFFFFF"/>
        </w:pBdr>
        <w:rPr>
          <w:rFonts w:cstheme="minorHAnsi"/>
          <w:color w:val="000000"/>
        </w:rPr>
      </w:pPr>
      <w:r w:rsidRPr="00BB3410">
        <w:rPr>
          <w:rFonts w:cstheme="minorHAnsi"/>
          <w:color w:val="000000"/>
        </w:rPr>
        <w:t>Based on our consultations with industry representatives, there is an average of</w:t>
      </w:r>
      <w:r w:rsidRPr="00BB3410">
        <w:rPr>
          <w:rFonts w:cstheme="minorHAnsi"/>
          <w:color w:val="FF0000"/>
        </w:rPr>
        <w:t xml:space="preserve"> </w:t>
      </w:r>
      <w:r w:rsidRPr="00BB3410">
        <w:rPr>
          <w:rFonts w:cstheme="minorHAnsi"/>
        </w:rPr>
        <w:t xml:space="preserve">one affected facility at each plant site and each plant site has only one respondent (i.e., </w:t>
      </w:r>
      <w:r w:rsidRPr="00BB3410">
        <w:rPr>
          <w:rFonts w:cstheme="minorHAnsi"/>
          <w:color w:val="000000"/>
        </w:rPr>
        <w:t>the owner/operator of the plant site).</w:t>
      </w:r>
    </w:p>
    <w:p w:rsidR="00BB432F" w:rsidRPr="00BB3410" w:rsidP="00BB432F" w14:paraId="6A3E928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BB3410">
        <w:rPr>
          <w:rFonts w:cstheme="minorHAnsi"/>
          <w:color w:val="000000"/>
        </w:rPr>
        <w:t xml:space="preserve">Over the next three years, </w:t>
      </w:r>
      <w:r w:rsidRPr="00BB3410">
        <w:rPr>
          <w:rFonts w:cstheme="minorHAnsi"/>
        </w:rPr>
        <w:t xml:space="preserve">approximately 31 respondents </w:t>
      </w:r>
      <w:r w:rsidRPr="00BB3410">
        <w:rPr>
          <w:rFonts w:cstheme="minorHAnsi"/>
          <w:color w:val="000000"/>
        </w:rPr>
        <w:t>per year will be subject to these standards, and</w:t>
      </w:r>
      <w:r w:rsidRPr="00BB3410">
        <w:rPr>
          <w:rFonts w:cstheme="minorHAnsi"/>
        </w:rPr>
        <w:t xml:space="preserve"> one </w:t>
      </w:r>
      <w:r w:rsidRPr="00BB3410">
        <w:rPr>
          <w:rFonts w:cstheme="minorHAnsi"/>
          <w:color w:val="000000"/>
        </w:rPr>
        <w:t xml:space="preserve">additional respondent per year will become subject to these same standards, for an overall average of 32 respondents per year. </w:t>
      </w:r>
    </w:p>
    <w:p w:rsidR="00BB432F" w:rsidRPr="00BB3410" w:rsidP="00BB432F" w14:paraId="57C0BB57" w14:textId="6064CA41">
      <w:pPr>
        <w:spacing w:before="240" w:line="240" w:lineRule="auto"/>
        <w:rPr>
          <w:rFonts w:cstheme="minorHAnsi"/>
        </w:rPr>
      </w:pPr>
      <w:r w:rsidRPr="00BB3410">
        <w:rPr>
          <w:rFonts w:cstheme="minorHAnsi"/>
          <w:b/>
          <w:bCs/>
        </w:rPr>
        <w:t>Terms of Clearance:</w:t>
      </w:r>
      <w:r w:rsidRPr="00BB3410">
        <w:rPr>
          <w:rFonts w:cstheme="minorHAnsi"/>
          <w:b/>
          <w:bCs/>
        </w:rPr>
        <w:t xml:space="preserve"> </w:t>
      </w:r>
      <w:r w:rsidRPr="00BB3410">
        <w:rPr>
          <w:rFonts w:cstheme="minorHAnsi"/>
        </w:rPr>
        <w:t xml:space="preserve">The Office of Management and Budget (OMB) approved the </w:t>
      </w:r>
      <w:r w:rsidRPr="00BB3410">
        <w:rPr>
          <w:rFonts w:cstheme="minorHAnsi"/>
        </w:rPr>
        <w:t>currently-active</w:t>
      </w:r>
      <w:r w:rsidRPr="00BB3410">
        <w:rPr>
          <w:rFonts w:cstheme="minorHAnsi"/>
        </w:rPr>
        <w:t xml:space="preserve"> ICR with the following “Terms of Clearance”:</w:t>
      </w:r>
    </w:p>
    <w:p w:rsidR="00BB432F" w:rsidRPr="00BB3410" w:rsidP="00BB432F" w14:paraId="17DFD871" w14:textId="77777777">
      <w:pPr>
        <w:pBdr>
          <w:top w:val="single" w:sz="6" w:space="0" w:color="FFFFFF"/>
          <w:left w:val="single" w:sz="6" w:space="0" w:color="FFFFFF"/>
          <w:bottom w:val="single" w:sz="6" w:space="0" w:color="FFFFFF"/>
          <w:right w:val="single" w:sz="6" w:space="0" w:color="FFFFFF"/>
        </w:pBdr>
        <w:rPr>
          <w:rFonts w:cstheme="minorHAnsi"/>
        </w:rPr>
      </w:pPr>
      <w:r w:rsidRPr="00BB3410">
        <w:rPr>
          <w:rFonts w:cstheme="minorHAnsi"/>
        </w:rPr>
        <w:t>“In accordance with 5 CFR 1320, the information collection is approved for three years. Upon resubmission of this renewal, the agency must upgrade the supporting statement to align with the general 18-question supporting statement template that the Federal government uses for supporting documentation for OMB reviews.”</w:t>
      </w:r>
    </w:p>
    <w:p w:rsidR="00BB432F" w:rsidRPr="00BB3410" w:rsidP="00CB038B" w14:paraId="52C63613" w14:textId="77777777">
      <w:pPr>
        <w:rPr>
          <w:rFonts w:cstheme="minorHAnsi"/>
          <w:b/>
          <w:bCs/>
          <w:u w:val="single"/>
        </w:rPr>
      </w:pPr>
    </w:p>
    <w:p w:rsidR="00DE4E0C" w:rsidRPr="00BB3410" w:rsidP="00CB038B" w14:paraId="12DA0580" w14:textId="132D7AA1">
      <w:pPr>
        <w:rPr>
          <w:rFonts w:cstheme="minorHAnsi"/>
          <w:b/>
          <w:bCs/>
          <w:u w:val="single"/>
        </w:rPr>
      </w:pPr>
      <w:r w:rsidRPr="00BB3410">
        <w:rPr>
          <w:rFonts w:cstheme="minorHAnsi"/>
          <w:b/>
          <w:bCs/>
          <w:u w:val="single"/>
        </w:rPr>
        <w:t xml:space="preserve">Supporting </w:t>
      </w:r>
      <w:r w:rsidRPr="00BB3410">
        <w:rPr>
          <w:rFonts w:cstheme="minorHAnsi"/>
          <w:b/>
          <w:bCs/>
          <w:u w:val="single"/>
        </w:rPr>
        <w:t>Statement</w:t>
      </w:r>
      <w:r w:rsidRPr="00BB3410">
        <w:rPr>
          <w:rFonts w:cstheme="minorHAnsi"/>
          <w:b/>
          <w:bCs/>
          <w:u w:val="single"/>
        </w:rPr>
        <w:t xml:space="preserve"> A</w:t>
      </w:r>
      <w:bookmarkEnd w:id="0"/>
    </w:p>
    <w:p w:rsidR="00A27E5C" w:rsidRPr="00BB3410" w:rsidP="00BB432F" w14:paraId="0D31D853" w14:textId="6A73C701">
      <w:pPr>
        <w:pStyle w:val="ListParagraph"/>
        <w:numPr>
          <w:ilvl w:val="0"/>
          <w:numId w:val="25"/>
        </w:numPr>
        <w:pBdr>
          <w:bottom w:val="single" w:sz="4" w:space="1" w:color="auto"/>
        </w:pBdr>
        <w:spacing w:before="240"/>
        <w:rPr>
          <w:rFonts w:cstheme="minorHAnsi"/>
        </w:rPr>
      </w:pPr>
      <w:bookmarkStart w:id="1" w:name="_Toc156593368"/>
      <w:r w:rsidRPr="00BB3410">
        <w:rPr>
          <w:rFonts w:cstheme="minorHAnsi"/>
        </w:rPr>
        <w:t>NEED AND AUTHORITY FOR THE COLLECTION</w:t>
      </w:r>
      <w:bookmarkEnd w:id="1"/>
    </w:p>
    <w:p w:rsidR="00BB432F" w:rsidRPr="00BB3410" w:rsidP="00BB432F" w14:paraId="60C51D03" w14:textId="77777777">
      <w:pPr>
        <w:rPr>
          <w:rFonts w:cstheme="minorHAnsi"/>
        </w:rPr>
      </w:pPr>
      <w:r w:rsidRPr="00BB3410">
        <w:rPr>
          <w:rFonts w:cstheme="minorHAnsi"/>
        </w:rPr>
        <w:t xml:space="preserve">The EPA is required under Section 183(e) of the Clean Air Act (Act) to regulate VOC emissions from the use of consumer and commercial products. Pursuant to Section 183(e)(3), the EPA published a list of consumer and commercial products and a schedule for their regulation (60 FR 15264). </w:t>
      </w:r>
      <w:r w:rsidRPr="00BB3410">
        <w:rPr>
          <w:rFonts w:cstheme="minorHAnsi"/>
        </w:rPr>
        <w:t>Automobile</w:t>
      </w:r>
      <w:r w:rsidRPr="00BB3410">
        <w:rPr>
          <w:rFonts w:cstheme="minorHAnsi"/>
        </w:rPr>
        <w:t xml:space="preserve"> refinish coatings were included in Group 1 of the list. The standards for such coatings were promulgated on September 11, 1998 (63 FR 48806) and are codified at 40 CFR Part 59, Subpart B.</w:t>
      </w:r>
    </w:p>
    <w:p w:rsidR="00BB432F" w:rsidRPr="00BB3410" w:rsidP="00BB432F" w14:paraId="61662F16" w14:textId="15B0000D">
      <w:pPr>
        <w:keepNext/>
        <w:rPr>
          <w:rFonts w:cstheme="minorHAnsi"/>
        </w:rPr>
      </w:pPr>
      <w:r w:rsidRPr="00BB3410">
        <w:rPr>
          <w:rFonts w:cstheme="minorHAnsi"/>
        </w:rPr>
        <w:t>The reports required under the rule enable the EPA to identify all coating and coating component manufacturers and importers in the United States, and to determine which coatings and coating components are subject to the rule based on dates of manufacture.</w:t>
      </w:r>
    </w:p>
    <w:p w:rsidR="004252C1" w:rsidRPr="00BB3410" w:rsidP="00BB432F" w14:paraId="3E2FC7F8" w14:textId="117AEE38">
      <w:pPr>
        <w:pStyle w:val="ListParagraph"/>
        <w:numPr>
          <w:ilvl w:val="0"/>
          <w:numId w:val="25"/>
        </w:numPr>
        <w:pBdr>
          <w:bottom w:val="single" w:sz="4" w:space="1" w:color="auto"/>
        </w:pBdr>
        <w:spacing w:before="240"/>
        <w:rPr>
          <w:rFonts w:cstheme="minorHAnsi"/>
        </w:rPr>
      </w:pPr>
      <w:bookmarkStart w:id="2" w:name="_Toc156593369"/>
      <w:r w:rsidRPr="00BB3410">
        <w:rPr>
          <w:rFonts w:cstheme="minorHAnsi"/>
        </w:rPr>
        <w:t>PRACTICAL UTILITY/USERS OF THE DATA</w:t>
      </w:r>
      <w:bookmarkEnd w:id="2"/>
    </w:p>
    <w:p w:rsidR="00BB432F" w:rsidRPr="00BB3410" w:rsidP="00BB432F" w14:paraId="3075DD3B" w14:textId="77777777">
      <w:pPr>
        <w:pBdr>
          <w:top w:val="single" w:sz="6" w:space="0" w:color="FFFFFF"/>
          <w:left w:val="single" w:sz="6" w:space="0" w:color="FFFFFF"/>
          <w:bottom w:val="single" w:sz="6" w:space="0" w:color="FFFFFF"/>
          <w:right w:val="single" w:sz="6" w:space="0" w:color="FFFFFF"/>
        </w:pBdr>
        <w:rPr>
          <w:rFonts w:cstheme="minorHAnsi"/>
        </w:rPr>
      </w:pPr>
      <w:r w:rsidRPr="00BB3410">
        <w:rPr>
          <w:rFonts w:cstheme="minorHAnsi"/>
        </w:rPr>
        <w:t>The recordkeeping and reporting requirements in the standard ensure compliance with the applicable regulations, which were promulgated in accordance with the Clean Air Act. The collected information is also used for targeting inspections and as evidence in legal proceedings.</w:t>
      </w:r>
    </w:p>
    <w:p w:rsidR="00BB432F" w:rsidRPr="00BB3410" w:rsidP="00BB432F" w14:paraId="1E879A61" w14:textId="77777777">
      <w:pPr>
        <w:pBdr>
          <w:top w:val="single" w:sz="6" w:space="0" w:color="FFFFFF"/>
          <w:left w:val="single" w:sz="6" w:space="0" w:color="FFFFFF"/>
          <w:bottom w:val="single" w:sz="6" w:space="0" w:color="FFFFFF"/>
          <w:right w:val="single" w:sz="6" w:space="0" w:color="FFFFFF"/>
        </w:pBdr>
        <w:rPr>
          <w:rFonts w:cstheme="minorHAnsi"/>
          <w:color w:val="FF0000"/>
        </w:rPr>
      </w:pPr>
      <w:r w:rsidRPr="00BB3410">
        <w:rPr>
          <w:rFonts w:cstheme="minorHAnsi"/>
        </w:rPr>
        <w:t>Agency enforcement personnel will use the information collected to identify manufacturers and importers subject to the rule and to determine which coatings and coating components are subject to the rule by dates of manufacture.</w:t>
      </w:r>
      <w:r w:rsidRPr="00BB3410">
        <w:rPr>
          <w:rFonts w:cstheme="minorHAnsi"/>
          <w:color w:val="FF0000"/>
        </w:rPr>
        <w:t xml:space="preserve"> </w:t>
      </w:r>
    </w:p>
    <w:p w:rsidR="00074917" w:rsidRPr="00BB3410" w:rsidP="00BB432F" w14:paraId="1522D565" w14:textId="553E3A2D">
      <w:pPr>
        <w:pStyle w:val="ListParagraph"/>
        <w:numPr>
          <w:ilvl w:val="0"/>
          <w:numId w:val="25"/>
        </w:numPr>
        <w:pBdr>
          <w:bottom w:val="single" w:sz="4" w:space="1" w:color="auto"/>
        </w:pBdr>
        <w:spacing w:before="240"/>
        <w:rPr>
          <w:rFonts w:cstheme="minorHAnsi"/>
        </w:rPr>
      </w:pPr>
      <w:bookmarkStart w:id="3" w:name="_Toc156593370"/>
      <w:r w:rsidRPr="00BB3410">
        <w:rPr>
          <w:rFonts w:cstheme="minorHAnsi"/>
        </w:rPr>
        <w:t>USE OF TECHNOLOGY</w:t>
      </w:r>
      <w:bookmarkEnd w:id="3"/>
    </w:p>
    <w:p w:rsidR="00BB432F" w:rsidRPr="00BB3410" w:rsidP="00BB432F" w14:paraId="527D27D8"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BB3410">
        <w:rPr>
          <w:rFonts w:cstheme="minorHAnsi"/>
          <w:color w:val="000000"/>
        </w:rPr>
        <w:t>Information contained in the reports is reported by both state and local governments in the ICIS Air database, which is operated and maintained by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9F1E00" w:rsidRPr="00BB3410" w:rsidP="009F1E00" w14:paraId="0B259464"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BB3410">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F1E00" w:rsidRPr="00BB3410" w:rsidP="009F1E00" w14:paraId="7B30150C" w14:textId="77777777">
      <w:pPr>
        <w:pBdr>
          <w:top w:val="single" w:sz="6" w:space="0" w:color="FFFFFF"/>
          <w:left w:val="single" w:sz="6" w:space="0" w:color="FFFFFF"/>
          <w:bottom w:val="single" w:sz="6" w:space="0" w:color="FFFFFF"/>
          <w:right w:val="single" w:sz="6" w:space="0" w:color="FFFFFF"/>
        </w:pBdr>
        <w:rPr>
          <w:rFonts w:cstheme="minorHAnsi"/>
        </w:rPr>
      </w:pPr>
      <w:r w:rsidRPr="00BB3410">
        <w:rPr>
          <w:rFonts w:cstheme="minorHAnsi"/>
          <w:bdr w:val="none" w:sz="0" w:space="0" w:color="auto" w:frame="1"/>
          <w:shd w:val="clear" w:color="auto" w:fill="FFFFFF"/>
        </w:rPr>
        <w:t xml:space="preserve">Electronic copies of records may also be maintained </w:t>
      </w:r>
      <w:r w:rsidRPr="00BB3410">
        <w:rPr>
          <w:rFonts w:cstheme="minorHAnsi"/>
          <w:bdr w:val="none" w:sz="0" w:space="0" w:color="auto" w:frame="1"/>
          <w:shd w:val="clear" w:color="auto" w:fill="FFFFFF"/>
        </w:rPr>
        <w:t>in order to</w:t>
      </w:r>
      <w:r w:rsidRPr="00BB3410">
        <w:rPr>
          <w:rFonts w:cstheme="minorHAnsi"/>
          <w:bdr w:val="none" w:sz="0" w:space="0" w:color="auto" w:frame="1"/>
          <w:shd w:val="clear" w:color="auto" w:fill="FFFFFF"/>
        </w:rPr>
        <w:t xml:space="preserve"> satisfy federal recordkeeping requirements. For additional information on the Paperwork Reduction Act requirements for CEDRI and ERT for this rule, see:</w:t>
      </w:r>
      <w:r w:rsidRPr="00BB3410">
        <w:rPr>
          <w:rFonts w:cstheme="minorHAnsi"/>
        </w:rPr>
        <w:t xml:space="preserve"> </w:t>
      </w:r>
      <w:hyperlink r:id="rId9" w:history="1">
        <w:r w:rsidRPr="00BB3410">
          <w:rPr>
            <w:rStyle w:val="Hyperlink"/>
            <w:rFonts w:cstheme="minorHAnsi"/>
            <w:bdr w:val="none" w:sz="0" w:space="0" w:color="auto" w:frame="1"/>
            <w:shd w:val="clear" w:color="auto" w:fill="FFFFFF"/>
          </w:rPr>
          <w:t>https://www.epa.gov/electronic-reporting-air-emissions/paperwork-reduction-act-pra-cedri-and-ert</w:t>
        </w:r>
      </w:hyperlink>
      <w:r w:rsidRPr="00BB3410">
        <w:rPr>
          <w:rFonts w:cstheme="minorHAnsi"/>
          <w:bdr w:val="none" w:sz="0" w:space="0" w:color="auto" w:frame="1"/>
          <w:shd w:val="clear" w:color="auto" w:fill="FFFFFF"/>
        </w:rPr>
        <w:t xml:space="preserve">. </w:t>
      </w:r>
    </w:p>
    <w:p w:rsidR="009F1E00" w:rsidRPr="00BB3410" w:rsidP="00BB432F" w14:paraId="0EB9DB7A" w14:textId="77777777">
      <w:pPr>
        <w:pBdr>
          <w:top w:val="single" w:sz="6" w:space="0" w:color="FFFFFF"/>
          <w:left w:val="single" w:sz="6" w:space="0" w:color="FFFFFF"/>
          <w:bottom w:val="single" w:sz="6" w:space="0" w:color="FFFFFF"/>
          <w:right w:val="single" w:sz="6" w:space="0" w:color="FFFFFF"/>
        </w:pBdr>
        <w:rPr>
          <w:rFonts w:cstheme="minorHAnsi"/>
        </w:rPr>
      </w:pPr>
    </w:p>
    <w:p w:rsidR="005263EC" w:rsidRPr="00BB3410" w:rsidP="00BB432F" w14:paraId="2CB3B868" w14:textId="58CBB947">
      <w:pPr>
        <w:pStyle w:val="ListParagraph"/>
        <w:numPr>
          <w:ilvl w:val="0"/>
          <w:numId w:val="25"/>
        </w:numPr>
        <w:pBdr>
          <w:bottom w:val="single" w:sz="4" w:space="1" w:color="auto"/>
        </w:pBdr>
        <w:spacing w:before="240"/>
        <w:rPr>
          <w:rFonts w:cstheme="minorHAnsi"/>
        </w:rPr>
      </w:pPr>
      <w:bookmarkStart w:id="4" w:name="_Toc156593371"/>
      <w:r w:rsidRPr="00BB3410">
        <w:rPr>
          <w:rFonts w:cstheme="minorHAnsi"/>
        </w:rPr>
        <w:t>EFFORTS TO IDENTIFY DUPLICATION</w:t>
      </w:r>
      <w:bookmarkEnd w:id="4"/>
    </w:p>
    <w:p w:rsidR="00111663" w:rsidRPr="00BB3410" w:rsidP="00111663" w14:paraId="257FB24C" w14:textId="77777777">
      <w:pPr>
        <w:pBdr>
          <w:top w:val="single" w:sz="6" w:space="0" w:color="FFFFFF"/>
          <w:left w:val="single" w:sz="6" w:space="0" w:color="FFFFFF"/>
          <w:bottom w:val="single" w:sz="6" w:space="0" w:color="FFFFFF"/>
          <w:right w:val="single" w:sz="6" w:space="0" w:color="FFFFFF"/>
        </w:pBdr>
        <w:rPr>
          <w:rFonts w:cstheme="minorHAnsi"/>
          <w:shd w:val="clear" w:color="auto" w:fill="FFFFFF"/>
        </w:rPr>
      </w:pPr>
      <w:bookmarkStart w:id="5" w:name="_Hlk77922001"/>
      <w:r w:rsidRPr="00BB3410">
        <w:rPr>
          <w:rFonts w:cstheme="minorHAnsi"/>
        </w:rPr>
        <w:t>For reports required to be submitted electronically</w:t>
      </w:r>
      <w:r w:rsidRPr="00BB3410">
        <w:rPr>
          <w:rFonts w:cstheme="minorHAnsi"/>
          <w:shd w:val="clear" w:color="auto" w:fill="FFFFFF"/>
        </w:rPr>
        <w:t>, the information is sent through the EPA's CDX, using CEDRI, where the appropriate EPA regional office can review it, as well as for state and local agencies that have been delegated authority. If a state or local agency has adopted under its own authority its own standards for reporting or data collection, adherence to those non-Federal requirements does not constitute duplication. </w:t>
      </w:r>
    </w:p>
    <w:p w:rsidR="00111663" w:rsidRPr="00BB3410" w:rsidP="00111663" w14:paraId="2EE7E294" w14:textId="77777777">
      <w:pPr>
        <w:rPr>
          <w:rFonts w:cstheme="minorHAnsi"/>
          <w:shd w:val="clear" w:color="auto" w:fill="FFFFFF"/>
        </w:rPr>
      </w:pPr>
    </w:p>
    <w:p w:rsidR="00ED57A4" w:rsidRPr="00BB3410" w:rsidP="00111663" w14:paraId="0E470EF3" w14:textId="648C8ACE">
      <w:pPr>
        <w:rPr>
          <w:rFonts w:cstheme="minorHAnsi"/>
          <w:shd w:val="clear" w:color="auto" w:fill="FFFFFF"/>
        </w:rPr>
      </w:pPr>
      <w:r w:rsidRPr="00BB3410">
        <w:rPr>
          <w:rFonts w:cstheme="minorHAnsi"/>
          <w:shd w:val="clear" w:color="auto" w:fill="FFFFFF"/>
        </w:rPr>
        <w:t>For all other reports, if the subject standards have not been delegated, the information is sent directly to the appropriate EPA regional office. Otherwise, the information is sent directly to either the delegated state or local agency. If a state or local agency has adopted its own standards to implement the Federal standards, a copy of the report submitted to either the state or local agency can be sent to the Administrator in lieu of the report required by the Federal standards. Therefore, duplication does not exist. </w:t>
      </w:r>
      <w:bookmarkEnd w:id="5"/>
    </w:p>
    <w:p w:rsidR="00251151" w:rsidRPr="00BB3410" w:rsidP="00BB432F" w14:paraId="79D36B3F" w14:textId="157B3139">
      <w:pPr>
        <w:pStyle w:val="ListParagraph"/>
        <w:numPr>
          <w:ilvl w:val="0"/>
          <w:numId w:val="25"/>
        </w:numPr>
        <w:pBdr>
          <w:bottom w:val="single" w:sz="4" w:space="1" w:color="auto"/>
        </w:pBdr>
        <w:spacing w:before="240"/>
        <w:rPr>
          <w:rFonts w:cstheme="minorHAnsi"/>
        </w:rPr>
      </w:pPr>
      <w:bookmarkStart w:id="6" w:name="_Toc156593372"/>
      <w:r w:rsidRPr="00BB3410">
        <w:rPr>
          <w:rFonts w:cstheme="minorHAnsi"/>
        </w:rPr>
        <w:t>MINIMIZING BURDEN ON SMALL ENTITIES</w:t>
      </w:r>
      <w:bookmarkEnd w:id="6"/>
    </w:p>
    <w:p w:rsidR="00ED57A4" w:rsidRPr="00BB3410" w:rsidP="00111663" w14:paraId="518B46AB" w14:textId="548686FC">
      <w:pPr>
        <w:rPr>
          <w:rFonts w:cstheme="minorHAnsi"/>
        </w:rPr>
      </w:pPr>
      <w:r w:rsidRPr="00BB3410">
        <w:rPr>
          <w:rFonts w:cstheme="minorHAnsi"/>
        </w:rPr>
        <w:t>Since the reporting requirements of the rule are minimal, no alternative reporting requirements are instituted for small entities.</w:t>
      </w:r>
    </w:p>
    <w:p w:rsidR="004252C1" w:rsidRPr="00BB3410" w:rsidP="00BB432F" w14:paraId="1FF5A778" w14:textId="45A1D8A8">
      <w:pPr>
        <w:pStyle w:val="ListParagraph"/>
        <w:numPr>
          <w:ilvl w:val="0"/>
          <w:numId w:val="25"/>
        </w:numPr>
        <w:pBdr>
          <w:bottom w:val="single" w:sz="4" w:space="1" w:color="auto"/>
        </w:pBdr>
        <w:spacing w:before="240"/>
        <w:rPr>
          <w:rFonts w:cstheme="minorHAnsi"/>
        </w:rPr>
      </w:pPr>
      <w:bookmarkStart w:id="7" w:name="_Toc156593373"/>
      <w:r w:rsidRPr="00BB3410">
        <w:rPr>
          <w:rFonts w:cstheme="minorHAnsi"/>
        </w:rPr>
        <w:t>EFFECTS OF LESS FREQUENT COLLECTION</w:t>
      </w:r>
      <w:bookmarkEnd w:id="7"/>
    </w:p>
    <w:p w:rsidR="00ED57A4" w:rsidRPr="00BB3410" w:rsidP="00111663" w14:paraId="5934FB28" w14:textId="778182B5">
      <w:pPr>
        <w:pBdr>
          <w:top w:val="single" w:sz="6" w:space="0" w:color="FFFFFF"/>
          <w:left w:val="single" w:sz="6" w:space="0" w:color="FFFFFF"/>
          <w:bottom w:val="single" w:sz="6" w:space="0" w:color="FFFFFF"/>
          <w:right w:val="single" w:sz="6" w:space="0" w:color="FFFFFF"/>
        </w:pBdr>
        <w:rPr>
          <w:rFonts w:cstheme="minorHAnsi"/>
          <w:color w:val="000000"/>
        </w:rPr>
      </w:pPr>
      <w:r w:rsidRPr="00BB3410">
        <w:rPr>
          <w:rFonts w:cstheme="minorHAnsi"/>
        </w:rPr>
        <w:t>Less-frequent information collection would decrease the margin of assurance that manufacturers are continuing to meet these standards. This ICR includes one-time initial reports. After the initial report, the only reports required are those explaining any new date codes. To determine whether a coating is subject to the rule, explanations of date codes are necessary.</w:t>
      </w:r>
    </w:p>
    <w:p w:rsidR="009523F2" w:rsidRPr="00BB3410" w:rsidP="00BB432F" w14:paraId="44DD8A05" w14:textId="6AFA34A1">
      <w:pPr>
        <w:pStyle w:val="ListParagraph"/>
        <w:numPr>
          <w:ilvl w:val="0"/>
          <w:numId w:val="25"/>
        </w:numPr>
        <w:pBdr>
          <w:bottom w:val="single" w:sz="4" w:space="1" w:color="auto"/>
        </w:pBdr>
        <w:spacing w:before="240"/>
        <w:rPr>
          <w:rFonts w:cstheme="minorHAnsi"/>
        </w:rPr>
      </w:pPr>
      <w:bookmarkStart w:id="8" w:name="_Toc156593374"/>
      <w:r w:rsidRPr="00BB3410">
        <w:rPr>
          <w:rFonts w:cstheme="minorHAnsi"/>
        </w:rPr>
        <w:t>GENERAL GUIDELINES</w:t>
      </w:r>
      <w:bookmarkEnd w:id="8"/>
    </w:p>
    <w:p w:rsidR="00111663" w:rsidRPr="00BB3410" w:rsidP="00111663" w14:paraId="775EDF16"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BB3410">
        <w:rPr>
          <w:rFonts w:cstheme="minorHAnsi"/>
          <w:color w:val="000000"/>
        </w:rPr>
        <w:t>These reporting or recordkeeping requirements do not violate any of the regulations promulgated by OMB under 5 CFR Part 1320, Section 1320.5.</w:t>
      </w:r>
    </w:p>
    <w:p w:rsidR="00ED57A4" w:rsidRPr="00BB3410" w:rsidP="00ED57A4" w14:paraId="1FC67C70" w14:textId="77777777">
      <w:pPr>
        <w:pStyle w:val="ListParagraph"/>
        <w:spacing w:before="240"/>
        <w:rPr>
          <w:rFonts w:cstheme="minorHAnsi"/>
        </w:rPr>
      </w:pPr>
    </w:p>
    <w:p w:rsidR="006036CD" w:rsidRPr="00BB3410" w:rsidP="00BB432F" w14:paraId="02EE9B8D" w14:textId="77777777">
      <w:pPr>
        <w:pStyle w:val="ListParagraph"/>
        <w:numPr>
          <w:ilvl w:val="0"/>
          <w:numId w:val="25"/>
        </w:numPr>
        <w:pBdr>
          <w:bottom w:val="single" w:sz="4" w:space="1" w:color="auto"/>
        </w:pBdr>
        <w:spacing w:before="240"/>
        <w:rPr>
          <w:rFonts w:cstheme="minorHAnsi"/>
        </w:rPr>
      </w:pPr>
      <w:bookmarkStart w:id="9" w:name="_Toc156593375"/>
      <w:r w:rsidRPr="00BB3410">
        <w:rPr>
          <w:rFonts w:cstheme="minorHAnsi"/>
        </w:rPr>
        <w:t>PUBLIC COMMENT AND CONSULTATIONS</w:t>
      </w:r>
      <w:bookmarkStart w:id="10" w:name="_Toc156593376"/>
      <w:bookmarkEnd w:id="9"/>
    </w:p>
    <w:p w:rsidR="00DD2682" w:rsidRPr="00BB3410" w:rsidP="00ED57A4" w14:paraId="4922639E" w14:textId="77777777">
      <w:pPr>
        <w:pStyle w:val="ListParagraph"/>
        <w:numPr>
          <w:ilvl w:val="1"/>
          <w:numId w:val="25"/>
        </w:numPr>
        <w:spacing w:before="240"/>
        <w:rPr>
          <w:rFonts w:cstheme="minorHAnsi"/>
        </w:rPr>
      </w:pPr>
      <w:r w:rsidRPr="00BB3410">
        <w:rPr>
          <w:rFonts w:cstheme="minorHAnsi"/>
        </w:rPr>
        <w:t>Public Comment</w:t>
      </w:r>
      <w:bookmarkStart w:id="11" w:name="_Toc156593377"/>
      <w:bookmarkEnd w:id="10"/>
    </w:p>
    <w:p w:rsidR="00ED57A4" w:rsidRPr="00BB3410" w:rsidP="00111663" w14:paraId="102C4D0F" w14:textId="75233D4B">
      <w:pPr>
        <w:pBdr>
          <w:top w:val="single" w:sz="6" w:space="0" w:color="FFFFFF"/>
          <w:left w:val="single" w:sz="6" w:space="0" w:color="FFFFFF"/>
          <w:bottom w:val="single" w:sz="6" w:space="0" w:color="FFFFFF"/>
          <w:right w:val="single" w:sz="6" w:space="0" w:color="FFFFFF"/>
        </w:pBdr>
        <w:ind w:left="720"/>
        <w:rPr>
          <w:rFonts w:cstheme="minorHAnsi"/>
          <w:color w:val="000000"/>
        </w:rPr>
      </w:pPr>
      <w:r w:rsidRPr="00BB3410">
        <w:rPr>
          <w:rFonts w:cstheme="minorHAnsi"/>
          <w:color w:val="000000"/>
        </w:rPr>
        <w:t xml:space="preserve">An announcement of a public comment period for the renewal of this ICR was published </w:t>
      </w:r>
      <w:r w:rsidRPr="00BB3410">
        <w:rPr>
          <w:rFonts w:cstheme="minorHAnsi"/>
        </w:rPr>
        <w:t xml:space="preserve">in the </w:t>
      </w:r>
      <w:r w:rsidRPr="00BB3410">
        <w:rPr>
          <w:rFonts w:cstheme="minorHAnsi"/>
          <w:i/>
        </w:rPr>
        <w:t>Federal Register</w:t>
      </w:r>
      <w:r w:rsidRPr="00BB3410">
        <w:rPr>
          <w:rFonts w:cstheme="minorHAnsi"/>
        </w:rPr>
        <w:t xml:space="preserve"> (88 FR 31748) on May 18, 2023.</w:t>
      </w:r>
      <w:r w:rsidRPr="00BB3410">
        <w:rPr>
          <w:rFonts w:cstheme="minorHAnsi"/>
        </w:rPr>
        <w:t xml:space="preserve"> </w:t>
      </w:r>
      <w:r w:rsidRPr="00BB3410">
        <w:rPr>
          <w:rFonts w:cstheme="minorHAnsi"/>
        </w:rPr>
        <w:t xml:space="preserve">No comments were received on the burden published in the </w:t>
      </w:r>
      <w:r w:rsidRPr="00BB3410">
        <w:rPr>
          <w:rFonts w:cstheme="minorHAnsi"/>
          <w:i/>
        </w:rPr>
        <w:t xml:space="preserve">Federal Register </w:t>
      </w:r>
      <w:r w:rsidRPr="00BB3410">
        <w:rPr>
          <w:rFonts w:cstheme="minorHAnsi"/>
        </w:rPr>
        <w:t xml:space="preserve">for this renewal. </w:t>
      </w:r>
    </w:p>
    <w:p w:rsidR="00DB7775" w:rsidRPr="00BB3410" w:rsidP="00ED57A4" w14:paraId="71A9B3CC" w14:textId="7821F0DE">
      <w:pPr>
        <w:pStyle w:val="ListParagraph"/>
        <w:numPr>
          <w:ilvl w:val="1"/>
          <w:numId w:val="25"/>
        </w:numPr>
        <w:spacing w:before="240"/>
        <w:rPr>
          <w:rFonts w:cstheme="minorHAnsi"/>
        </w:rPr>
      </w:pPr>
      <w:r w:rsidRPr="00BB3410">
        <w:rPr>
          <w:rFonts w:cstheme="minorHAnsi"/>
        </w:rPr>
        <w:t>C</w:t>
      </w:r>
      <w:bookmarkEnd w:id="11"/>
      <w:r w:rsidRPr="00BB3410" w:rsidR="005D140B">
        <w:rPr>
          <w:rFonts w:cstheme="minorHAnsi"/>
        </w:rPr>
        <w:t>onsultations</w:t>
      </w:r>
    </w:p>
    <w:p w:rsidR="00111663" w:rsidRPr="00BB3410" w:rsidP="00111663" w14:paraId="20419254" w14:textId="77777777">
      <w:pPr>
        <w:ind w:left="720"/>
        <w:rPr>
          <w:rFonts w:cstheme="minorHAnsi"/>
          <w:strike/>
        </w:rPr>
      </w:pPr>
      <w:r w:rsidRPr="00BB3410">
        <w:rPr>
          <w:rFonts w:cstheme="minorHAnsi"/>
        </w:rPr>
        <w:t>The Agency has consulted i</w:t>
      </w:r>
      <w:r w:rsidRPr="00BB3410">
        <w:rPr>
          <w:rFonts w:cstheme="minorHAnsi"/>
          <w:bCs/>
        </w:rPr>
        <w:t>ndustry experts and internal data sources to project the number of affected facilities and industry growth over the next three years.</w:t>
      </w:r>
      <w:r w:rsidRPr="00BB3410">
        <w:rPr>
          <w:rFonts w:cstheme="minorHAnsi"/>
          <w:b/>
          <w:bCs/>
        </w:rPr>
        <w:t xml:space="preserve"> </w:t>
      </w:r>
      <w:r w:rsidRPr="00BB3410">
        <w:rPr>
          <w:rFonts w:cstheme="minorHAnsi"/>
        </w:rPr>
        <w:t>The primary source of information as reported by industry, in compliance with the recordkeeping and reporting provisions in these standards, is the Integrated Compliance Information System (ICIS). The ICIS is EPA’s database for the collection, maintenance, and retrieval of compliance data for industrial and government-owned facilities. The growth rate for the industry is based on our consultations with the Agency’s internal industry experts. Approximately 32 respondents will be subject to these same standards over the three-year period covered by this ICR.</w:t>
      </w:r>
    </w:p>
    <w:p w:rsidR="00111663" w:rsidRPr="00BB3410" w:rsidP="00111663" w14:paraId="5E198479" w14:textId="77777777">
      <w:pPr>
        <w:ind w:left="720"/>
        <w:rPr>
          <w:rFonts w:cstheme="minorHAnsi"/>
        </w:rPr>
      </w:pPr>
      <w:r w:rsidRPr="00BB3410">
        <w:rPr>
          <w:rFonts w:cstheme="minorHAnsi"/>
        </w:rPr>
        <w:t>Industry trade association(s) and other interested parties were provided an opportunity to comment on the burden associated with these same standards as they were being developed and these same standards have been reviewed previously to determine the minimum information needed for compliance purposes. In developing this ICR, we contacted both the American Coatings Association, at 202-462-6272, and the Automotive Service Association, at 817-514-2900. In this case, no comments were received.</w:t>
      </w:r>
    </w:p>
    <w:p w:rsidR="00050BB4" w:rsidRPr="00BB3410" w:rsidP="00BB432F" w14:paraId="712023E4" w14:textId="6461E46A">
      <w:pPr>
        <w:pStyle w:val="ListParagraph"/>
        <w:numPr>
          <w:ilvl w:val="0"/>
          <w:numId w:val="25"/>
        </w:numPr>
        <w:pBdr>
          <w:bottom w:val="single" w:sz="4" w:space="1" w:color="auto"/>
        </w:pBdr>
        <w:spacing w:before="240"/>
        <w:rPr>
          <w:rFonts w:cstheme="minorHAnsi"/>
        </w:rPr>
      </w:pPr>
      <w:bookmarkStart w:id="12" w:name="_Toc156593378"/>
      <w:r w:rsidRPr="00BB3410">
        <w:rPr>
          <w:rFonts w:cstheme="minorHAnsi"/>
        </w:rPr>
        <w:t>PAYMENTS OR GIFTS TO RESPONDENTS</w:t>
      </w:r>
      <w:bookmarkEnd w:id="12"/>
    </w:p>
    <w:p w:rsidR="00ED57A4" w:rsidRPr="00BB3410" w:rsidP="009F1E00" w14:paraId="0D75D3D3" w14:textId="4D24A252">
      <w:pPr>
        <w:spacing w:before="240"/>
        <w:rPr>
          <w:rFonts w:cstheme="minorHAnsi"/>
        </w:rPr>
      </w:pPr>
      <w:r w:rsidRPr="00BB3410">
        <w:rPr>
          <w:rStyle w:val="normaltextrun"/>
          <w:rFonts w:cstheme="minorHAnsi"/>
          <w:color w:val="000000"/>
          <w:bdr w:val="none" w:sz="0" w:space="0" w:color="auto" w:frame="1"/>
        </w:rPr>
        <w:t>No payments or gifts are provided to respondents</w:t>
      </w:r>
      <w:r w:rsidRPr="00BB3410">
        <w:rPr>
          <w:rStyle w:val="normaltextrun"/>
          <w:rFonts w:cstheme="minorHAnsi"/>
          <w:color w:val="000000"/>
          <w:bdr w:val="none" w:sz="0" w:space="0" w:color="auto" w:frame="1"/>
        </w:rPr>
        <w:t>.</w:t>
      </w:r>
    </w:p>
    <w:p w:rsidR="006B6448" w:rsidRPr="00BB3410" w:rsidP="00BB432F" w14:paraId="573910C7" w14:textId="6FA13FA9">
      <w:pPr>
        <w:pStyle w:val="ListParagraph"/>
        <w:numPr>
          <w:ilvl w:val="0"/>
          <w:numId w:val="25"/>
        </w:numPr>
        <w:pBdr>
          <w:bottom w:val="single" w:sz="4" w:space="1" w:color="auto"/>
        </w:pBdr>
        <w:spacing w:before="240"/>
        <w:rPr>
          <w:rFonts w:cstheme="minorHAnsi"/>
        </w:rPr>
      </w:pPr>
      <w:bookmarkStart w:id="13" w:name="_Toc156593379"/>
      <w:r w:rsidRPr="00BB3410">
        <w:rPr>
          <w:rFonts w:cstheme="minorHAnsi"/>
        </w:rPr>
        <w:t>PROVISIONS FOR PROTECTION OF INFORMATION</w:t>
      </w:r>
      <w:bookmarkEnd w:id="13"/>
    </w:p>
    <w:p w:rsidR="009F1E00" w:rsidRPr="00BB3410" w:rsidP="009F1E00" w14:paraId="3676EBC5"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BB3410">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(CBI) (see 40 CFR 2; 41 FR 36902, September 1, 1976; amended by 43 FR 40000, September 8, 1978; 43 FR 42251, September 20, 1978; 44 FR 17674, March 23, 1979).</w:t>
      </w:r>
    </w:p>
    <w:p w:rsidR="000E7DC1" w:rsidRPr="00BB3410" w:rsidP="00BB432F" w14:paraId="442FDD56" w14:textId="19A16A62">
      <w:pPr>
        <w:pStyle w:val="ListParagraph"/>
        <w:numPr>
          <w:ilvl w:val="0"/>
          <w:numId w:val="25"/>
        </w:numPr>
        <w:pBdr>
          <w:bottom w:val="single" w:sz="4" w:space="1" w:color="auto"/>
        </w:pBdr>
        <w:spacing w:before="240"/>
        <w:rPr>
          <w:rFonts w:cstheme="minorHAnsi"/>
        </w:rPr>
      </w:pPr>
      <w:bookmarkStart w:id="14" w:name="_Toc156593380"/>
      <w:r w:rsidRPr="00BB3410">
        <w:rPr>
          <w:rFonts w:cstheme="minorHAnsi"/>
        </w:rPr>
        <w:t>JUSTIFICATION FOR SENSITIVE QUESTIONS</w:t>
      </w:r>
      <w:bookmarkEnd w:id="14"/>
    </w:p>
    <w:p w:rsidR="009F1E00" w:rsidRPr="00BB3410" w:rsidP="009F1E00" w14:paraId="77467D05"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BB3410">
        <w:rPr>
          <w:rFonts w:cstheme="minorHAnsi"/>
          <w:color w:val="000000"/>
        </w:rPr>
        <w:t>The reporting or recordkeeping requirements in these standards do not include sensitive questions.</w:t>
      </w:r>
    </w:p>
    <w:p w:rsidR="001172FE" w:rsidRPr="00BB3410" w:rsidP="00BB432F" w14:paraId="637A8E82" w14:textId="77777777">
      <w:pPr>
        <w:pStyle w:val="ListParagraph"/>
        <w:numPr>
          <w:ilvl w:val="0"/>
          <w:numId w:val="25"/>
        </w:numPr>
        <w:pBdr>
          <w:bottom w:val="single" w:sz="4" w:space="1" w:color="auto"/>
        </w:pBdr>
        <w:spacing w:before="240"/>
        <w:rPr>
          <w:rFonts w:cstheme="minorHAnsi"/>
        </w:rPr>
      </w:pPr>
      <w:bookmarkStart w:id="15" w:name="_Toc156593381"/>
      <w:r w:rsidRPr="00BB3410">
        <w:rPr>
          <w:rFonts w:cstheme="minorHAnsi"/>
        </w:rPr>
        <w:t>RESPONDENT BURDEN HOURS</w:t>
      </w:r>
      <w:r w:rsidRPr="00BB3410" w:rsidR="00DB799B">
        <w:rPr>
          <w:rFonts w:cstheme="minorHAnsi"/>
        </w:rPr>
        <w:t xml:space="preserve"> &amp; LABOR COSTS</w:t>
      </w:r>
      <w:bookmarkStart w:id="16" w:name="_Toc156593382"/>
      <w:bookmarkEnd w:id="15"/>
    </w:p>
    <w:p w:rsidR="001172FE" w:rsidRPr="00BB3410" w:rsidP="00ED57A4" w14:paraId="571186E5" w14:textId="77777777">
      <w:pPr>
        <w:pStyle w:val="ListParagraph"/>
        <w:numPr>
          <w:ilvl w:val="1"/>
          <w:numId w:val="25"/>
        </w:numPr>
        <w:spacing w:before="240"/>
        <w:rPr>
          <w:rFonts w:cstheme="minorHAnsi"/>
        </w:rPr>
      </w:pPr>
      <w:r w:rsidRPr="00BB3410">
        <w:rPr>
          <w:rFonts w:cstheme="minorHAnsi"/>
        </w:rPr>
        <w:t>Respondents/NAICS Codes</w:t>
      </w:r>
      <w:bookmarkStart w:id="17" w:name="_Toc156593383"/>
      <w:bookmarkEnd w:id="16"/>
    </w:p>
    <w:p w:rsidR="009F1E00" w:rsidRPr="00BB3410" w:rsidP="009F1E00" w14:paraId="58A8A324" w14:textId="77777777">
      <w:pPr>
        <w:pBdr>
          <w:top w:val="single" w:sz="6" w:space="0" w:color="FFFFFF"/>
          <w:left w:val="single" w:sz="6" w:space="0" w:color="FFFFFF"/>
          <w:bottom w:val="single" w:sz="6" w:space="0" w:color="FFFFFF"/>
          <w:right w:val="single" w:sz="6" w:space="0" w:color="FFFFFF"/>
        </w:pBdr>
        <w:ind w:left="720"/>
        <w:rPr>
          <w:rFonts w:cstheme="minorHAnsi"/>
          <w:color w:val="000000"/>
        </w:rPr>
      </w:pPr>
      <w:r w:rsidRPr="00BB3410">
        <w:rPr>
          <w:rFonts w:cstheme="minorHAnsi"/>
          <w:color w:val="000000"/>
        </w:rPr>
        <w:t xml:space="preserve">The respondents to the recordkeeping and reporting requirements are </w:t>
      </w:r>
      <w:r w:rsidRPr="00BB3410">
        <w:rPr>
          <w:rFonts w:cstheme="minorHAnsi"/>
        </w:rPr>
        <w:t>manufacturers and importers of automobile refinish coatings and coating components.</w:t>
      </w:r>
      <w:r w:rsidRPr="00BB3410">
        <w:rPr>
          <w:rFonts w:cstheme="minorHAnsi"/>
          <w:color w:val="000000"/>
        </w:rPr>
        <w:t xml:space="preserve"> The United States Standard Industrial Classification (SIC) codes for the respondents affected by these standards, and the corresponding North American Industry Classification System (NAICS) code</w:t>
      </w:r>
      <w:r w:rsidRPr="00BB3410">
        <w:rPr>
          <w:rFonts w:cstheme="minorHAnsi"/>
        </w:rPr>
        <w:t>s for this source category are shown below</w:t>
      </w:r>
      <w:r w:rsidRPr="00BB3410">
        <w:rPr>
          <w:rFonts w:cstheme="minorHAnsi"/>
          <w:color w:val="000000"/>
        </w:rPr>
        <w:t xml:space="preserve">: </w:t>
      </w:r>
    </w:p>
    <w:tbl>
      <w:tblPr>
        <w:tblW w:w="9360" w:type="dxa"/>
        <w:tblInd w:w="832" w:type="dxa"/>
        <w:tblLayout w:type="fixed"/>
        <w:tblCellMar>
          <w:left w:w="112" w:type="dxa"/>
          <w:right w:w="112" w:type="dxa"/>
        </w:tblCellMar>
        <w:tblLook w:val="0000"/>
      </w:tblPr>
      <w:tblGrid>
        <w:gridCol w:w="4320"/>
        <w:gridCol w:w="2610"/>
        <w:gridCol w:w="2430"/>
      </w:tblGrid>
      <w:tr w14:paraId="542B7A81" w14:textId="77777777" w:rsidTr="002752FF">
        <w:tblPrEx>
          <w:tblW w:w="9360" w:type="dxa"/>
          <w:tblInd w:w="83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BB3410" w:rsidRPr="00BB3410" w:rsidP="002752FF" w14:paraId="04BD1D6E" w14:textId="77777777">
            <w:pPr>
              <w:jc w:val="center"/>
              <w:rPr>
                <w:rFonts w:cstheme="minorHAnsi"/>
                <w:color w:val="000000"/>
              </w:rPr>
            </w:pPr>
          </w:p>
          <w:p w:rsidR="00BB3410" w:rsidRPr="00BB3410" w:rsidP="002752FF" w14:paraId="661EB896" w14:textId="77777777">
            <w:pPr>
              <w:pBdr>
                <w:top w:val="single" w:sz="6" w:space="0" w:color="FFFFFF"/>
                <w:left w:val="single" w:sz="6" w:space="0" w:color="FFFFFF"/>
                <w:bottom w:val="single" w:sz="6" w:space="0" w:color="FFFFFF"/>
                <w:right w:val="single" w:sz="6" w:space="0" w:color="FFFFFF"/>
              </w:pBdr>
              <w:jc w:val="center"/>
              <w:rPr>
                <w:rFonts w:cstheme="minorHAnsi"/>
                <w:b/>
                <w:bCs/>
                <w:color w:val="000000"/>
              </w:rPr>
            </w:pPr>
            <w:r w:rsidRPr="00BB3410">
              <w:rPr>
                <w:rFonts w:cstheme="minorHAnsi"/>
                <w:b/>
                <w:bCs/>
                <w:color w:val="000000"/>
              </w:rPr>
              <w:t xml:space="preserve">Standard </w:t>
            </w:r>
            <w:r w:rsidRPr="00BB3410">
              <w:rPr>
                <w:rFonts w:cstheme="minorHAnsi"/>
                <w:b/>
                <w:bCs/>
              </w:rPr>
              <w:t>(40 CFR Part 59, Subpart B)</w:t>
            </w:r>
          </w:p>
        </w:tc>
        <w:tc>
          <w:tcPr>
            <w:tcW w:w="2610" w:type="dxa"/>
            <w:tcBorders>
              <w:top w:val="single" w:sz="7" w:space="0" w:color="000000"/>
              <w:left w:val="single" w:sz="7" w:space="0" w:color="000000"/>
              <w:bottom w:val="single" w:sz="6" w:space="0" w:color="FFFFFF"/>
              <w:right w:val="single" w:sz="6" w:space="0" w:color="FFFFFF"/>
            </w:tcBorders>
          </w:tcPr>
          <w:p w:rsidR="00BB3410" w:rsidRPr="00BB3410" w:rsidP="002752FF" w14:paraId="439C321A" w14:textId="77777777">
            <w:pPr>
              <w:jc w:val="center"/>
              <w:rPr>
                <w:rFonts w:cstheme="minorHAnsi"/>
                <w:b/>
                <w:bCs/>
                <w:color w:val="000000"/>
              </w:rPr>
            </w:pPr>
          </w:p>
          <w:p w:rsidR="00BB3410" w:rsidRPr="00BB3410" w:rsidP="002752FF" w14:paraId="5A3AE097" w14:textId="77777777">
            <w:pPr>
              <w:pBdr>
                <w:top w:val="single" w:sz="6" w:space="0" w:color="FFFFFF"/>
                <w:left w:val="single" w:sz="6" w:space="0" w:color="FFFFFF"/>
                <w:bottom w:val="single" w:sz="6" w:space="0" w:color="FFFFFF"/>
                <w:right w:val="single" w:sz="6" w:space="0" w:color="FFFFFF"/>
              </w:pBdr>
              <w:jc w:val="center"/>
              <w:rPr>
                <w:rFonts w:cstheme="minorHAnsi"/>
                <w:b/>
                <w:bCs/>
                <w:color w:val="000000"/>
              </w:rPr>
            </w:pPr>
            <w:r w:rsidRPr="00BB3410">
              <w:rPr>
                <w:rFonts w:cstheme="minorHAnsi"/>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BB3410" w:rsidRPr="00BB3410" w:rsidP="002752FF" w14:paraId="1FC6F632" w14:textId="77777777">
            <w:pPr>
              <w:jc w:val="center"/>
              <w:rPr>
                <w:rFonts w:cstheme="minorHAnsi"/>
                <w:b/>
                <w:bCs/>
                <w:color w:val="000000"/>
              </w:rPr>
            </w:pPr>
          </w:p>
          <w:p w:rsidR="00BB3410" w:rsidRPr="00BB3410" w:rsidP="002752FF" w14:paraId="2EDFA0E0" w14:textId="77777777">
            <w:pPr>
              <w:pBdr>
                <w:top w:val="single" w:sz="6" w:space="0" w:color="FFFFFF"/>
                <w:left w:val="single" w:sz="6" w:space="0" w:color="FFFFFF"/>
                <w:bottom w:val="single" w:sz="6" w:space="0" w:color="FFFFFF"/>
                <w:right w:val="single" w:sz="6" w:space="0" w:color="FFFFFF"/>
              </w:pBdr>
              <w:jc w:val="center"/>
              <w:rPr>
                <w:rFonts w:cstheme="minorHAnsi"/>
                <w:b/>
                <w:bCs/>
                <w:color w:val="000000"/>
              </w:rPr>
            </w:pPr>
            <w:r w:rsidRPr="00BB3410">
              <w:rPr>
                <w:rFonts w:cstheme="minorHAnsi"/>
                <w:b/>
                <w:bCs/>
                <w:color w:val="000000"/>
              </w:rPr>
              <w:t>NAICS Codes</w:t>
            </w:r>
          </w:p>
        </w:tc>
      </w:tr>
      <w:tr w14:paraId="41287C64" w14:textId="77777777" w:rsidTr="002752FF">
        <w:tblPrEx>
          <w:tblW w:w="9360" w:type="dxa"/>
          <w:tblInd w:w="83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BB3410" w:rsidRPr="00BB3410" w:rsidP="002752FF" w14:paraId="23078B7E" w14:textId="77777777">
            <w:pPr>
              <w:pBdr>
                <w:top w:val="single" w:sz="6" w:space="0" w:color="FFFFFF"/>
                <w:left w:val="single" w:sz="6" w:space="0" w:color="FFFFFF"/>
                <w:bottom w:val="single" w:sz="6" w:space="0" w:color="FFFFFF"/>
                <w:right w:val="single" w:sz="6" w:space="0" w:color="FFFFFF"/>
              </w:pBdr>
              <w:rPr>
                <w:rFonts w:cstheme="minorHAnsi"/>
              </w:rPr>
            </w:pPr>
            <w:r w:rsidRPr="00BB3410">
              <w:rPr>
                <w:rFonts w:cstheme="minorHAnsi"/>
              </w:rPr>
              <w:t>Paint and Coating Manufacturer</w:t>
            </w:r>
          </w:p>
        </w:tc>
        <w:tc>
          <w:tcPr>
            <w:tcW w:w="2610" w:type="dxa"/>
            <w:tcBorders>
              <w:top w:val="single" w:sz="7" w:space="0" w:color="000000"/>
              <w:left w:val="single" w:sz="7" w:space="0" w:color="000000"/>
              <w:bottom w:val="single" w:sz="6" w:space="0" w:color="FFFFFF"/>
              <w:right w:val="single" w:sz="6" w:space="0" w:color="FFFFFF"/>
            </w:tcBorders>
          </w:tcPr>
          <w:p w:rsidR="00BB3410" w:rsidRPr="00BB3410" w:rsidP="002752FF" w14:paraId="737F3870"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BB3410">
              <w:rPr>
                <w:rFonts w:cstheme="minorHAnsi"/>
                <w:color w:val="000000"/>
              </w:rPr>
              <w:t>2851</w:t>
            </w:r>
          </w:p>
        </w:tc>
        <w:tc>
          <w:tcPr>
            <w:tcW w:w="2430" w:type="dxa"/>
            <w:tcBorders>
              <w:top w:val="single" w:sz="7" w:space="0" w:color="000000"/>
              <w:left w:val="single" w:sz="7" w:space="0" w:color="000000"/>
              <w:bottom w:val="single" w:sz="6" w:space="0" w:color="FFFFFF"/>
              <w:right w:val="single" w:sz="7" w:space="0" w:color="000000"/>
            </w:tcBorders>
          </w:tcPr>
          <w:p w:rsidR="00BB3410" w:rsidRPr="00BB3410" w:rsidP="002752FF" w14:paraId="72A50E74"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BB3410">
              <w:rPr>
                <w:rFonts w:cstheme="minorHAnsi"/>
                <w:color w:val="000000"/>
              </w:rPr>
              <w:t>325510</w:t>
            </w:r>
          </w:p>
        </w:tc>
      </w:tr>
      <w:tr w14:paraId="7B03B4AB" w14:textId="77777777" w:rsidTr="002752FF">
        <w:tblPrEx>
          <w:tblW w:w="9360" w:type="dxa"/>
          <w:tblInd w:w="832" w:type="dxa"/>
          <w:tblLayout w:type="fixed"/>
          <w:tblCellMar>
            <w:left w:w="112" w:type="dxa"/>
            <w:right w:w="112" w:type="dxa"/>
          </w:tblCellMar>
          <w:tblLook w:val="0000"/>
        </w:tblPrEx>
        <w:tc>
          <w:tcPr>
            <w:tcW w:w="4320" w:type="dxa"/>
            <w:tcBorders>
              <w:top w:val="single" w:sz="7" w:space="0" w:color="000000"/>
              <w:left w:val="single" w:sz="7" w:space="0" w:color="000000"/>
              <w:bottom w:val="single" w:sz="8" w:space="0" w:color="000000"/>
              <w:right w:val="single" w:sz="6" w:space="0" w:color="FFFFFF"/>
            </w:tcBorders>
          </w:tcPr>
          <w:p w:rsidR="00BB3410" w:rsidRPr="00BB3410" w:rsidP="002752FF" w14:paraId="4938D2BB" w14:textId="77777777">
            <w:pPr>
              <w:tabs>
                <w:tab w:val="left" w:pos="3045"/>
              </w:tabs>
              <w:rPr>
                <w:rFonts w:cstheme="minorHAnsi"/>
              </w:rPr>
            </w:pPr>
            <w:r w:rsidRPr="00BB3410">
              <w:rPr>
                <w:rFonts w:cstheme="minorHAnsi"/>
              </w:rPr>
              <w:t>Paint, Varnish and Supplies Wholesalers</w:t>
            </w:r>
          </w:p>
        </w:tc>
        <w:tc>
          <w:tcPr>
            <w:tcW w:w="2610" w:type="dxa"/>
            <w:tcBorders>
              <w:top w:val="single" w:sz="7" w:space="0" w:color="000000"/>
              <w:left w:val="single" w:sz="7" w:space="0" w:color="000000"/>
              <w:bottom w:val="single" w:sz="8" w:space="0" w:color="000000"/>
              <w:right w:val="single" w:sz="6" w:space="0" w:color="FFFFFF"/>
            </w:tcBorders>
          </w:tcPr>
          <w:p w:rsidR="00BB3410" w:rsidRPr="00BB3410" w:rsidP="002752FF" w14:paraId="23F937F0"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BB3410">
              <w:rPr>
                <w:rFonts w:cstheme="minorHAnsi"/>
                <w:color w:val="000000"/>
              </w:rPr>
              <w:t>5198</w:t>
            </w:r>
          </w:p>
        </w:tc>
        <w:tc>
          <w:tcPr>
            <w:tcW w:w="2430" w:type="dxa"/>
            <w:tcBorders>
              <w:top w:val="single" w:sz="7" w:space="0" w:color="000000"/>
              <w:left w:val="single" w:sz="7" w:space="0" w:color="000000"/>
              <w:bottom w:val="single" w:sz="8" w:space="0" w:color="000000"/>
              <w:right w:val="single" w:sz="7" w:space="0" w:color="000000"/>
            </w:tcBorders>
          </w:tcPr>
          <w:p w:rsidR="00BB3410" w:rsidRPr="00BB3410" w:rsidP="002752FF" w14:paraId="2AE3AA29"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BB3410">
              <w:rPr>
                <w:rFonts w:cstheme="minorHAnsi"/>
                <w:color w:val="000000"/>
              </w:rPr>
              <w:t>422950</w:t>
            </w:r>
          </w:p>
        </w:tc>
      </w:tr>
      <w:tr w14:paraId="698F43AA" w14:textId="77777777" w:rsidTr="002752FF">
        <w:tblPrEx>
          <w:tblW w:w="9360" w:type="dxa"/>
          <w:tblInd w:w="832" w:type="dxa"/>
          <w:tblLayout w:type="fixed"/>
          <w:tblCellMar>
            <w:left w:w="112" w:type="dxa"/>
            <w:right w:w="112" w:type="dxa"/>
          </w:tblCellMar>
          <w:tblLook w:val="0000"/>
        </w:tblPrEx>
        <w:tc>
          <w:tcPr>
            <w:tcW w:w="4320" w:type="dxa"/>
            <w:tcBorders>
              <w:top w:val="single" w:sz="8" w:space="0" w:color="000000"/>
              <w:left w:val="single" w:sz="8" w:space="0" w:color="000000"/>
              <w:bottom w:val="single" w:sz="4" w:space="0" w:color="auto"/>
              <w:right w:val="single" w:sz="8" w:space="0" w:color="000000"/>
            </w:tcBorders>
          </w:tcPr>
          <w:p w:rsidR="00BB3410" w:rsidRPr="00BB3410" w:rsidP="002752FF" w14:paraId="5836F2CA"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BB3410">
              <w:rPr>
                <w:rFonts w:cstheme="minorHAnsi"/>
                <w:color w:val="000000"/>
              </w:rPr>
              <w:t>Paint and Wallpaper Stores</w:t>
            </w:r>
          </w:p>
        </w:tc>
        <w:tc>
          <w:tcPr>
            <w:tcW w:w="2610" w:type="dxa"/>
            <w:tcBorders>
              <w:top w:val="single" w:sz="8" w:space="0" w:color="000000"/>
              <w:left w:val="single" w:sz="8" w:space="0" w:color="000000"/>
              <w:bottom w:val="single" w:sz="4" w:space="0" w:color="auto"/>
              <w:right w:val="single" w:sz="8" w:space="0" w:color="000000"/>
            </w:tcBorders>
          </w:tcPr>
          <w:p w:rsidR="00BB3410" w:rsidRPr="00BB3410" w:rsidP="002752FF" w14:paraId="4F0D1429"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BB3410">
              <w:rPr>
                <w:rFonts w:cstheme="minorHAnsi"/>
                <w:color w:val="000000"/>
              </w:rPr>
              <w:t>5198</w:t>
            </w:r>
          </w:p>
        </w:tc>
        <w:tc>
          <w:tcPr>
            <w:tcW w:w="2430" w:type="dxa"/>
            <w:tcBorders>
              <w:top w:val="single" w:sz="8" w:space="0" w:color="000000"/>
              <w:left w:val="single" w:sz="8" w:space="0" w:color="000000"/>
              <w:bottom w:val="single" w:sz="4" w:space="0" w:color="auto"/>
              <w:right w:val="single" w:sz="8" w:space="0" w:color="000000"/>
            </w:tcBorders>
          </w:tcPr>
          <w:p w:rsidR="00BB3410" w:rsidRPr="00BB3410" w:rsidP="002752FF" w14:paraId="43CB4E7F"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BB3410">
              <w:rPr>
                <w:rFonts w:cstheme="minorHAnsi"/>
                <w:color w:val="000000"/>
              </w:rPr>
              <w:t>444120</w:t>
            </w:r>
          </w:p>
        </w:tc>
      </w:tr>
    </w:tbl>
    <w:p w:rsidR="00BB3410" w:rsidRPr="00BB3410" w:rsidP="00BB3410" w14:paraId="6409D55C" w14:textId="77777777">
      <w:pPr>
        <w:pBdr>
          <w:top w:val="single" w:sz="6" w:space="0" w:color="FFFFFF"/>
          <w:left w:val="single" w:sz="6" w:space="0" w:color="FFFFFF"/>
          <w:bottom w:val="single" w:sz="6" w:space="0" w:color="FFFFFF"/>
          <w:right w:val="single" w:sz="6" w:space="0" w:color="FFFFFF"/>
        </w:pBdr>
        <w:ind w:left="720"/>
        <w:rPr>
          <w:rFonts w:cstheme="minorHAnsi"/>
          <w:color w:val="000000"/>
        </w:rPr>
      </w:pPr>
    </w:p>
    <w:p w:rsidR="00BB3410" w:rsidRPr="00BB3410" w:rsidP="00BB3410" w14:paraId="1DB4C1CD" w14:textId="2743831E">
      <w:pPr>
        <w:pBdr>
          <w:top w:val="single" w:sz="6" w:space="0" w:color="FFFFFF"/>
          <w:left w:val="single" w:sz="6" w:space="0" w:color="FFFFFF"/>
          <w:bottom w:val="single" w:sz="6" w:space="0" w:color="FFFFFF"/>
          <w:right w:val="single" w:sz="6" w:space="0" w:color="FFFFFF"/>
        </w:pBdr>
        <w:ind w:left="720"/>
        <w:rPr>
          <w:rFonts w:cstheme="minorHAnsi"/>
          <w:color w:val="000000"/>
        </w:rPr>
      </w:pPr>
      <w:r w:rsidRPr="00BB3410">
        <w:rPr>
          <w:rFonts w:cstheme="minorHAnsi"/>
          <w:color w:val="000000"/>
        </w:rPr>
        <w:t>Based on our research for this ICR, on average over the next three years, approximately 31 existing respondents will be subject to these standards. It is estimated that one additional respondent per year will become subject to these same standards. The overall average number of respondents, as shown in the table below, is 32 per year.</w:t>
      </w:r>
    </w:p>
    <w:p w:rsidR="00BB3410" w:rsidRPr="00BB3410" w:rsidP="00BB3410" w14:paraId="3291C94F" w14:textId="77777777">
      <w:pPr>
        <w:pBdr>
          <w:top w:val="single" w:sz="6" w:space="0" w:color="FFFFFF"/>
          <w:left w:val="single" w:sz="6" w:space="0" w:color="FFFFFF"/>
          <w:bottom w:val="single" w:sz="6" w:space="0" w:color="FFFFFF"/>
          <w:right w:val="single" w:sz="6" w:space="0" w:color="FFFFFF"/>
        </w:pBdr>
        <w:ind w:left="720"/>
        <w:rPr>
          <w:rFonts w:cstheme="minorHAnsi"/>
          <w:color w:val="000000"/>
        </w:rPr>
      </w:pPr>
      <w:r w:rsidRPr="00BB3410">
        <w:rPr>
          <w:rFonts w:cstheme="minorHAnsi"/>
          <w:color w:val="000000"/>
        </w:rPr>
        <w:t xml:space="preserve">The number of respondents is calculated using the following table that addresses the three years covered by this ICR: </w:t>
      </w:r>
    </w:p>
    <w:tbl>
      <w:tblPr>
        <w:tblW w:w="9359" w:type="dxa"/>
        <w:tblInd w:w="720" w:type="dxa"/>
        <w:tblLayout w:type="fixed"/>
        <w:tblCellMar>
          <w:left w:w="110" w:type="dxa"/>
          <w:right w:w="110" w:type="dxa"/>
        </w:tblCellMar>
        <w:tblLook w:val="0000"/>
      </w:tblPr>
      <w:tblGrid>
        <w:gridCol w:w="900"/>
        <w:gridCol w:w="1597"/>
        <w:gridCol w:w="1282"/>
        <w:gridCol w:w="2070"/>
        <w:gridCol w:w="1800"/>
        <w:gridCol w:w="1710"/>
      </w:tblGrid>
      <w:tr w14:paraId="7D1C432B" w14:textId="77777777" w:rsidTr="00BB3410">
        <w:tblPrEx>
          <w:tblW w:w="9359" w:type="dxa"/>
          <w:tblInd w:w="72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BB3410" w:rsidRPr="00BB3410" w:rsidP="00BB3410" w14:paraId="1F80C849" w14:textId="77777777">
            <w:pPr>
              <w:widowControl w:val="0"/>
              <w:autoSpaceDE w:val="0"/>
              <w:autoSpaceDN w:val="0"/>
              <w:adjustRightInd w:val="0"/>
              <w:spacing w:after="0" w:line="120" w:lineRule="exact"/>
              <w:rPr>
                <w:rFonts w:eastAsia="Times New Roman" w:cstheme="minorHAnsi"/>
                <w:color w:val="000000"/>
              </w:rPr>
            </w:pPr>
          </w:p>
          <w:p w:rsidR="00BB3410" w:rsidRPr="00BB3410" w:rsidP="00BB3410" w14:paraId="2A904E6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eastAsia="Times New Roman" w:cstheme="minorHAnsi"/>
                <w:b/>
                <w:bCs/>
                <w:color w:val="000000"/>
              </w:rPr>
            </w:pPr>
            <w:r w:rsidRPr="00BB3410">
              <w:rPr>
                <w:rFonts w:eastAsia="Times New Roman" w:cstheme="minorHAnsi"/>
                <w:b/>
                <w:bCs/>
                <w:color w:val="000000"/>
              </w:rPr>
              <w:t>Number of Respondents</w:t>
            </w:r>
          </w:p>
        </w:tc>
      </w:tr>
      <w:tr w14:paraId="63D8508B" w14:textId="77777777" w:rsidTr="00BB3410">
        <w:tblPrEx>
          <w:tblW w:w="9359" w:type="dxa"/>
          <w:tblInd w:w="72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BB3410" w:rsidRPr="00BB3410" w:rsidP="00BB3410" w14:paraId="4049B797" w14:textId="77777777">
            <w:pPr>
              <w:widowControl w:val="0"/>
              <w:autoSpaceDE w:val="0"/>
              <w:autoSpaceDN w:val="0"/>
              <w:adjustRightInd w:val="0"/>
              <w:spacing w:after="0" w:line="120" w:lineRule="exact"/>
              <w:rPr>
                <w:rFonts w:eastAsia="Times New Roman" w:cstheme="minorHAnsi"/>
                <w:b/>
                <w:bCs/>
                <w:color w:val="000000"/>
              </w:rPr>
            </w:pPr>
          </w:p>
          <w:p w:rsidR="00BB3410" w:rsidRPr="00BB3410" w:rsidP="00BB3410" w14:paraId="6714F62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rPr>
                <w:rFonts w:eastAsia="Times New Roman" w:cstheme="minorHAnsi"/>
                <w:color w:val="000000"/>
              </w:rPr>
            </w:pPr>
          </w:p>
        </w:tc>
        <w:tc>
          <w:tcPr>
            <w:tcW w:w="2879" w:type="dxa"/>
            <w:gridSpan w:val="2"/>
            <w:tcBorders>
              <w:top w:val="single" w:sz="7" w:space="0" w:color="000000"/>
              <w:left w:val="single" w:sz="7" w:space="0" w:color="000000"/>
              <w:bottom w:val="single" w:sz="6" w:space="0" w:color="FFFFFF"/>
              <w:right w:val="single" w:sz="6" w:space="0" w:color="FFFFFF"/>
            </w:tcBorders>
          </w:tcPr>
          <w:p w:rsidR="00BB3410" w:rsidRPr="00BB3410" w:rsidP="00BB3410" w14:paraId="2A33BE90" w14:textId="77777777">
            <w:pPr>
              <w:widowControl w:val="0"/>
              <w:autoSpaceDE w:val="0"/>
              <w:autoSpaceDN w:val="0"/>
              <w:adjustRightInd w:val="0"/>
              <w:spacing w:after="0" w:line="120" w:lineRule="exact"/>
              <w:rPr>
                <w:rFonts w:eastAsia="Times New Roman" w:cstheme="minorHAnsi"/>
                <w:color w:val="000000"/>
              </w:rPr>
            </w:pPr>
          </w:p>
          <w:p w:rsidR="00BB3410" w:rsidRPr="00BB3410" w:rsidP="00BB3410" w14:paraId="1E225AF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rPr>
                <w:rFonts w:eastAsia="Times New Roman" w:cstheme="minorHAnsi"/>
                <w:color w:val="000000"/>
              </w:rPr>
            </w:pPr>
            <w:r w:rsidRPr="00BB3410">
              <w:rPr>
                <w:rFonts w:eastAsia="Times New Roman" w:cstheme="minorHAnsi"/>
                <w:color w:val="00000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BB3410" w:rsidRPr="00BB3410" w:rsidP="00BB3410" w14:paraId="2708F94C" w14:textId="77777777">
            <w:pPr>
              <w:widowControl w:val="0"/>
              <w:autoSpaceDE w:val="0"/>
              <w:autoSpaceDN w:val="0"/>
              <w:adjustRightInd w:val="0"/>
              <w:spacing w:after="0" w:line="120" w:lineRule="exact"/>
              <w:rPr>
                <w:rFonts w:eastAsia="Times New Roman" w:cstheme="minorHAnsi"/>
                <w:color w:val="000000"/>
              </w:rPr>
            </w:pPr>
          </w:p>
          <w:p w:rsidR="00BB3410" w:rsidRPr="00BB3410" w:rsidP="00BB3410" w14:paraId="1E508F3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rPr>
                <w:rFonts w:eastAsia="Times New Roman" w:cstheme="minorHAnsi"/>
                <w:color w:val="000000"/>
              </w:rPr>
            </w:pPr>
            <w:r w:rsidRPr="00BB3410">
              <w:rPr>
                <w:rFonts w:eastAsia="Times New Roman" w:cstheme="minorHAnsi"/>
                <w:color w:val="00000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BB3410" w:rsidRPr="00BB3410" w:rsidP="00BB3410" w14:paraId="1393B43C" w14:textId="77777777">
            <w:pPr>
              <w:widowControl w:val="0"/>
              <w:autoSpaceDE w:val="0"/>
              <w:autoSpaceDN w:val="0"/>
              <w:adjustRightInd w:val="0"/>
              <w:spacing w:after="0" w:line="120" w:lineRule="exact"/>
              <w:rPr>
                <w:rFonts w:eastAsia="Times New Roman" w:cstheme="minorHAnsi"/>
                <w:color w:val="000000"/>
              </w:rPr>
            </w:pPr>
          </w:p>
          <w:p w:rsidR="00BB3410" w:rsidRPr="00BB3410" w:rsidP="00BB3410" w14:paraId="2476278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rPr>
                <w:rFonts w:eastAsia="Times New Roman" w:cstheme="minorHAnsi"/>
                <w:color w:val="000000"/>
              </w:rPr>
            </w:pPr>
          </w:p>
        </w:tc>
      </w:tr>
      <w:tr w14:paraId="7B33C322" w14:textId="77777777" w:rsidTr="00BB3410">
        <w:tblPrEx>
          <w:tblW w:w="9359" w:type="dxa"/>
          <w:tblInd w:w="72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BB3410" w:rsidRPr="00BB3410" w:rsidP="00BB3410" w14:paraId="7C96DC27" w14:textId="77777777">
            <w:pPr>
              <w:widowControl w:val="0"/>
              <w:autoSpaceDE w:val="0"/>
              <w:autoSpaceDN w:val="0"/>
              <w:adjustRightInd w:val="0"/>
              <w:spacing w:after="0" w:line="120" w:lineRule="exact"/>
              <w:rPr>
                <w:rFonts w:eastAsia="Times New Roman" w:cstheme="minorHAnsi"/>
                <w:color w:val="000000"/>
              </w:rPr>
            </w:pPr>
          </w:p>
          <w:p w:rsidR="00BB3410" w:rsidRPr="00BB3410" w:rsidP="00BB3410" w14:paraId="4288C77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color w:val="000000"/>
              </w:rPr>
            </w:pPr>
          </w:p>
          <w:p w:rsidR="00BB3410" w:rsidRPr="00BB3410" w:rsidP="00BB3410" w14:paraId="14581CE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eastAsia="Times New Roman" w:cstheme="minorHAnsi"/>
                <w:color w:val="000000"/>
              </w:rPr>
            </w:pPr>
            <w:r w:rsidRPr="00BB3410">
              <w:rPr>
                <w:rFonts w:eastAsia="Times New Roman" w:cstheme="minorHAnsi"/>
                <w:color w:val="000000"/>
              </w:rPr>
              <w:t>Year</w:t>
            </w:r>
          </w:p>
        </w:tc>
        <w:tc>
          <w:tcPr>
            <w:tcW w:w="1597" w:type="dxa"/>
            <w:tcBorders>
              <w:top w:val="single" w:sz="7" w:space="0" w:color="000000"/>
              <w:left w:val="single" w:sz="7" w:space="0" w:color="000000"/>
              <w:bottom w:val="single" w:sz="8" w:space="0" w:color="000000"/>
              <w:right w:val="single" w:sz="6" w:space="0" w:color="FFFFFF"/>
            </w:tcBorders>
          </w:tcPr>
          <w:p w:rsidR="00BB3410" w:rsidRPr="00BB3410" w:rsidP="00BB3410" w14:paraId="1358D3FC" w14:textId="77777777">
            <w:pPr>
              <w:widowControl w:val="0"/>
              <w:autoSpaceDE w:val="0"/>
              <w:autoSpaceDN w:val="0"/>
              <w:adjustRightInd w:val="0"/>
              <w:spacing w:after="0" w:line="120" w:lineRule="exact"/>
              <w:rPr>
                <w:rFonts w:eastAsia="Times New Roman" w:cstheme="minorHAnsi"/>
                <w:color w:val="000000"/>
              </w:rPr>
            </w:pPr>
          </w:p>
          <w:p w:rsidR="00BB3410" w:rsidRPr="00BB3410" w:rsidP="00BB3410" w14:paraId="51C921C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(A)</w:t>
            </w:r>
          </w:p>
          <w:p w:rsidR="00BB3410" w:rsidRPr="00BB3410" w:rsidP="00BB3410" w14:paraId="2C21576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rPr>
                <w:rFonts w:eastAsia="Times New Roman" w:cstheme="minorHAnsi"/>
                <w:color w:val="000000"/>
              </w:rPr>
            </w:pPr>
            <w:r w:rsidRPr="00BB3410">
              <w:rPr>
                <w:rFonts w:eastAsia="Times New Roman" w:cstheme="minorHAnsi"/>
                <w:color w:val="000000"/>
              </w:rPr>
              <w:t xml:space="preserve">Number of New Respondents </w:t>
            </w:r>
            <w:r w:rsidRPr="00BB3410">
              <w:rPr>
                <w:rFonts w:eastAsia="Times New Roman" w:cstheme="minorHAnsi"/>
                <w:color w:val="00000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BB3410" w:rsidRPr="00BB3410" w:rsidP="00BB3410" w14:paraId="16223C1F" w14:textId="77777777">
            <w:pPr>
              <w:widowControl w:val="0"/>
              <w:autoSpaceDE w:val="0"/>
              <w:autoSpaceDN w:val="0"/>
              <w:adjustRightInd w:val="0"/>
              <w:spacing w:after="0" w:line="120" w:lineRule="exact"/>
              <w:rPr>
                <w:rFonts w:eastAsia="Times New Roman" w:cstheme="minorHAnsi"/>
                <w:color w:val="000000"/>
              </w:rPr>
            </w:pPr>
          </w:p>
          <w:p w:rsidR="00BB3410" w:rsidRPr="00BB3410" w:rsidP="00BB3410" w14:paraId="3A692BD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(B)</w:t>
            </w:r>
          </w:p>
          <w:p w:rsidR="00BB3410" w:rsidRPr="00BB3410" w:rsidP="00BB3410" w14:paraId="6FC44C0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rPr>
                <w:rFonts w:eastAsia="Times New Roman" w:cstheme="minorHAnsi"/>
                <w:color w:val="000000"/>
              </w:rPr>
            </w:pPr>
            <w:r w:rsidRPr="00BB3410">
              <w:rPr>
                <w:rFonts w:eastAsia="Times New Roman" w:cstheme="minorHAnsi"/>
                <w:color w:val="00000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BB3410" w:rsidRPr="00BB3410" w:rsidP="00BB3410" w14:paraId="58A639E1" w14:textId="77777777">
            <w:pPr>
              <w:widowControl w:val="0"/>
              <w:autoSpaceDE w:val="0"/>
              <w:autoSpaceDN w:val="0"/>
              <w:adjustRightInd w:val="0"/>
              <w:spacing w:after="0" w:line="120" w:lineRule="exact"/>
              <w:rPr>
                <w:rFonts w:eastAsia="Times New Roman" w:cstheme="minorHAnsi"/>
                <w:color w:val="000000"/>
              </w:rPr>
            </w:pPr>
          </w:p>
          <w:p w:rsidR="00BB3410" w:rsidRPr="00BB3410" w:rsidP="00BB3410" w14:paraId="7C075E8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(C)</w:t>
            </w:r>
          </w:p>
          <w:p w:rsidR="00BB3410" w:rsidRPr="00BB3410" w:rsidP="00BB3410" w14:paraId="41C3440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rPr>
                <w:rFonts w:eastAsia="Times New Roman" w:cstheme="minorHAnsi"/>
                <w:color w:val="000000"/>
              </w:rPr>
            </w:pPr>
            <w:r w:rsidRPr="00BB3410">
              <w:rPr>
                <w:rFonts w:eastAsia="Times New Roman" w:cstheme="minorHAnsi"/>
                <w:color w:val="00000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BB3410" w:rsidRPr="00BB3410" w:rsidP="00BB3410" w14:paraId="7B16983C" w14:textId="77777777">
            <w:pPr>
              <w:widowControl w:val="0"/>
              <w:autoSpaceDE w:val="0"/>
              <w:autoSpaceDN w:val="0"/>
              <w:adjustRightInd w:val="0"/>
              <w:spacing w:after="0" w:line="120" w:lineRule="exact"/>
              <w:rPr>
                <w:rFonts w:eastAsia="Times New Roman" w:cstheme="minorHAnsi"/>
                <w:color w:val="000000"/>
              </w:rPr>
            </w:pPr>
          </w:p>
          <w:p w:rsidR="00BB3410" w:rsidRPr="00BB3410" w:rsidP="00BB3410" w14:paraId="2CDB3D1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(D)</w:t>
            </w:r>
          </w:p>
          <w:p w:rsidR="00BB3410" w:rsidRPr="00BB3410" w:rsidP="00BB3410" w14:paraId="71C4838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rPr>
                <w:rFonts w:eastAsia="Times New Roman" w:cstheme="minorHAnsi"/>
                <w:color w:val="000000"/>
              </w:rPr>
            </w:pPr>
            <w:r w:rsidRPr="00BB3410">
              <w:rPr>
                <w:rFonts w:eastAsia="Times New Roman" w:cstheme="minorHAnsi"/>
                <w:color w:val="00000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BB3410" w:rsidRPr="00BB3410" w:rsidP="00BB3410" w14:paraId="1AF6FE3B" w14:textId="77777777">
            <w:pPr>
              <w:widowControl w:val="0"/>
              <w:autoSpaceDE w:val="0"/>
              <w:autoSpaceDN w:val="0"/>
              <w:adjustRightInd w:val="0"/>
              <w:spacing w:after="0" w:line="120" w:lineRule="exact"/>
              <w:rPr>
                <w:rFonts w:eastAsia="Times New Roman" w:cstheme="minorHAnsi"/>
                <w:color w:val="000000"/>
              </w:rPr>
            </w:pPr>
          </w:p>
          <w:p w:rsidR="00BB3410" w:rsidRPr="00BB3410" w:rsidP="00BB3410" w14:paraId="1083E0C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(E)</w:t>
            </w:r>
          </w:p>
          <w:p w:rsidR="00BB3410" w:rsidRPr="00BB3410" w:rsidP="00BB3410" w14:paraId="2E53B0E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color w:val="000000"/>
              </w:rPr>
            </w:pPr>
            <w:r w:rsidRPr="00BB3410">
              <w:rPr>
                <w:rFonts w:eastAsia="Times New Roman" w:cstheme="minorHAnsi"/>
                <w:color w:val="000000"/>
              </w:rPr>
              <w:t>Number of Respondents</w:t>
            </w:r>
          </w:p>
          <w:p w:rsidR="00BB3410" w:rsidRPr="00BB3410" w:rsidP="00BB3410" w14:paraId="5BB649A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rPr>
                <w:rFonts w:eastAsia="Times New Roman" w:cstheme="minorHAnsi"/>
                <w:color w:val="000000"/>
              </w:rPr>
            </w:pPr>
            <w:r w:rsidRPr="00BB3410">
              <w:rPr>
                <w:rFonts w:eastAsia="Times New Roman" w:cstheme="minorHAnsi"/>
                <w:color w:val="000000"/>
              </w:rPr>
              <w:t>(E=A+B+C-D)</w:t>
            </w:r>
          </w:p>
        </w:tc>
      </w:tr>
      <w:tr w14:paraId="1A451D9D" w14:textId="77777777" w:rsidTr="00BB3410">
        <w:tblPrEx>
          <w:tblW w:w="9359" w:type="dxa"/>
          <w:tblInd w:w="72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BB3410" w:rsidRPr="00BB3410" w:rsidP="00BB3410" w14:paraId="0BD1F62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BB3410" w:rsidRPr="00BB3410" w:rsidP="00BB3410" w14:paraId="10DCE0F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1</w:t>
            </w:r>
          </w:p>
        </w:tc>
        <w:tc>
          <w:tcPr>
            <w:tcW w:w="1282" w:type="dxa"/>
            <w:tcBorders>
              <w:top w:val="single" w:sz="8" w:space="0" w:color="000000"/>
              <w:left w:val="single" w:sz="6" w:space="0" w:color="000000"/>
              <w:bottom w:val="single" w:sz="6" w:space="0" w:color="000000"/>
              <w:right w:val="single" w:sz="6" w:space="0" w:color="000000"/>
            </w:tcBorders>
            <w:vAlign w:val="center"/>
          </w:tcPr>
          <w:p w:rsidR="00BB3410" w:rsidRPr="00BB3410" w:rsidP="00BB3410" w14:paraId="04AEBF9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30</w:t>
            </w:r>
          </w:p>
        </w:tc>
        <w:tc>
          <w:tcPr>
            <w:tcW w:w="2070" w:type="dxa"/>
            <w:tcBorders>
              <w:top w:val="single" w:sz="8" w:space="0" w:color="000000"/>
              <w:left w:val="single" w:sz="6" w:space="0" w:color="000000"/>
              <w:bottom w:val="single" w:sz="6" w:space="0" w:color="000000"/>
              <w:right w:val="single" w:sz="6" w:space="0" w:color="000000"/>
            </w:tcBorders>
            <w:vAlign w:val="center"/>
          </w:tcPr>
          <w:p w:rsidR="00BB3410" w:rsidRPr="00BB3410" w:rsidP="00BB3410" w14:paraId="3EF9D51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BB3410" w:rsidRPr="00BB3410" w:rsidP="00BB3410" w14:paraId="11715C4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BB3410" w:rsidRPr="00BB3410" w:rsidP="00BB3410" w14:paraId="44EEDA9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31</w:t>
            </w:r>
          </w:p>
        </w:tc>
      </w:tr>
      <w:tr w14:paraId="6B24391F" w14:textId="77777777" w:rsidTr="00BB3410">
        <w:tblPrEx>
          <w:tblW w:w="9359" w:type="dxa"/>
          <w:tblInd w:w="72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BB3410" w:rsidRPr="00BB3410" w:rsidP="00BB3410" w14:paraId="688DD77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BB3410" w:rsidRPr="00BB3410" w:rsidP="00BB3410" w14:paraId="248EE7D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1</w:t>
            </w:r>
          </w:p>
        </w:tc>
        <w:tc>
          <w:tcPr>
            <w:tcW w:w="1282" w:type="dxa"/>
            <w:tcBorders>
              <w:top w:val="single" w:sz="6" w:space="0" w:color="000000"/>
              <w:left w:val="single" w:sz="6" w:space="0" w:color="000000"/>
              <w:bottom w:val="single" w:sz="6" w:space="0" w:color="000000"/>
              <w:right w:val="single" w:sz="6" w:space="0" w:color="000000"/>
            </w:tcBorders>
            <w:vAlign w:val="center"/>
          </w:tcPr>
          <w:p w:rsidR="00BB3410" w:rsidRPr="00BB3410" w:rsidP="00BB3410" w14:paraId="1961CCA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31</w:t>
            </w:r>
          </w:p>
        </w:tc>
        <w:tc>
          <w:tcPr>
            <w:tcW w:w="2070" w:type="dxa"/>
            <w:tcBorders>
              <w:top w:val="single" w:sz="6" w:space="0" w:color="000000"/>
              <w:left w:val="single" w:sz="6" w:space="0" w:color="000000"/>
              <w:bottom w:val="single" w:sz="6" w:space="0" w:color="000000"/>
              <w:right w:val="single" w:sz="6" w:space="0" w:color="000000"/>
            </w:tcBorders>
            <w:vAlign w:val="center"/>
          </w:tcPr>
          <w:p w:rsidR="00BB3410" w:rsidRPr="00BB3410" w:rsidP="00BB3410" w14:paraId="57F4BB1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BB3410" w:rsidRPr="00BB3410" w:rsidP="00BB3410" w14:paraId="62BA69C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BB3410" w:rsidRPr="00BB3410" w:rsidP="00BB3410" w14:paraId="2479AE6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32</w:t>
            </w:r>
          </w:p>
        </w:tc>
      </w:tr>
      <w:tr w14:paraId="4048E217" w14:textId="77777777" w:rsidTr="00BB3410">
        <w:tblPrEx>
          <w:tblW w:w="9359" w:type="dxa"/>
          <w:tblInd w:w="72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BB3410" w:rsidRPr="00BB3410" w:rsidP="00BB3410" w14:paraId="67B051B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BB3410" w:rsidRPr="00BB3410" w:rsidP="00BB3410" w14:paraId="723B082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1</w:t>
            </w:r>
          </w:p>
        </w:tc>
        <w:tc>
          <w:tcPr>
            <w:tcW w:w="1282" w:type="dxa"/>
            <w:tcBorders>
              <w:top w:val="single" w:sz="6" w:space="0" w:color="000000"/>
              <w:left w:val="single" w:sz="6" w:space="0" w:color="000000"/>
              <w:bottom w:val="single" w:sz="6" w:space="0" w:color="000000"/>
              <w:right w:val="single" w:sz="6" w:space="0" w:color="000000"/>
            </w:tcBorders>
            <w:vAlign w:val="center"/>
          </w:tcPr>
          <w:p w:rsidR="00BB3410" w:rsidRPr="00BB3410" w:rsidP="00BB3410" w14:paraId="5DB5C9D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32</w:t>
            </w:r>
          </w:p>
        </w:tc>
        <w:tc>
          <w:tcPr>
            <w:tcW w:w="2070" w:type="dxa"/>
            <w:tcBorders>
              <w:top w:val="single" w:sz="6" w:space="0" w:color="000000"/>
              <w:left w:val="single" w:sz="6" w:space="0" w:color="000000"/>
              <w:bottom w:val="single" w:sz="6" w:space="0" w:color="000000"/>
              <w:right w:val="single" w:sz="6" w:space="0" w:color="000000"/>
            </w:tcBorders>
            <w:vAlign w:val="center"/>
          </w:tcPr>
          <w:p w:rsidR="00BB3410" w:rsidRPr="00BB3410" w:rsidP="00BB3410" w14:paraId="220D242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BB3410" w:rsidRPr="00BB3410" w:rsidP="00BB3410" w14:paraId="6D2FFCD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BB3410" w:rsidRPr="00BB3410" w:rsidP="00BB3410" w14:paraId="650307A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33</w:t>
            </w:r>
          </w:p>
        </w:tc>
      </w:tr>
      <w:tr w14:paraId="1CD6481A" w14:textId="77777777" w:rsidTr="00BB3410">
        <w:tblPrEx>
          <w:tblW w:w="9359" w:type="dxa"/>
          <w:tblInd w:w="72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BB3410" w:rsidRPr="00BB3410" w:rsidP="00BB3410" w14:paraId="4716591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BB3410" w:rsidRPr="00BB3410" w:rsidP="00BB3410" w14:paraId="3F64547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1</w:t>
            </w:r>
          </w:p>
        </w:tc>
        <w:tc>
          <w:tcPr>
            <w:tcW w:w="1282" w:type="dxa"/>
            <w:tcBorders>
              <w:top w:val="single" w:sz="6" w:space="0" w:color="000000"/>
              <w:left w:val="single" w:sz="6" w:space="0" w:color="000000"/>
              <w:bottom w:val="single" w:sz="8" w:space="0" w:color="000000"/>
              <w:right w:val="single" w:sz="6" w:space="0" w:color="000000"/>
            </w:tcBorders>
            <w:vAlign w:val="center"/>
          </w:tcPr>
          <w:p w:rsidR="00BB3410" w:rsidRPr="00BB3410" w:rsidP="00BB3410" w14:paraId="0709514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31</w:t>
            </w:r>
          </w:p>
        </w:tc>
        <w:tc>
          <w:tcPr>
            <w:tcW w:w="2070" w:type="dxa"/>
            <w:tcBorders>
              <w:top w:val="single" w:sz="6" w:space="0" w:color="000000"/>
              <w:left w:val="single" w:sz="6" w:space="0" w:color="000000"/>
              <w:bottom w:val="single" w:sz="8" w:space="0" w:color="000000"/>
              <w:right w:val="single" w:sz="6" w:space="0" w:color="000000"/>
            </w:tcBorders>
            <w:vAlign w:val="center"/>
          </w:tcPr>
          <w:p w:rsidR="00BB3410" w:rsidRPr="00BB3410" w:rsidP="00BB3410" w14:paraId="0B7F771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BB3410" w:rsidRPr="00BB3410" w:rsidP="00BB3410" w14:paraId="3408A1F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BB3410" w:rsidRPr="00BB3410" w:rsidP="00BB3410" w14:paraId="4A398CA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rPr>
              <w:t>32</w:t>
            </w:r>
          </w:p>
        </w:tc>
      </w:tr>
    </w:tbl>
    <w:p w:rsidR="00BB3410" w:rsidRPr="00BB3410" w:rsidP="00BB3410" w14:paraId="315D6840" w14:textId="426AE88A">
      <w:pPr>
        <w:pBdr>
          <w:top w:val="single" w:sz="6" w:space="0" w:color="FFFFFF"/>
          <w:left w:val="single" w:sz="6" w:space="0" w:color="FFFFFF"/>
          <w:bottom w:val="single" w:sz="6" w:space="0" w:color="FFFFFF"/>
          <w:right w:val="single" w:sz="6" w:space="0" w:color="FFFFFF"/>
        </w:pBdr>
        <w:ind w:left="720"/>
        <w:rPr>
          <w:rFonts w:cstheme="minorHAnsi"/>
          <w:color w:val="000000"/>
        </w:rPr>
      </w:pPr>
      <w:r w:rsidRPr="00BB3410">
        <w:rPr>
          <w:rFonts w:cstheme="minorHAnsi"/>
          <w:color w:val="000000"/>
          <w:vertAlign w:val="superscript"/>
        </w:rPr>
        <w:t>1</w:t>
      </w:r>
      <w:r w:rsidRPr="00BB3410">
        <w:rPr>
          <w:rFonts w:cstheme="minorHAnsi"/>
          <w:color w:val="000000"/>
        </w:rPr>
        <w:t xml:space="preserve"> New </w:t>
      </w:r>
      <w:r w:rsidRPr="00BB3410">
        <w:rPr>
          <w:rFonts w:cstheme="minorHAnsi"/>
          <w:color w:val="000000"/>
        </w:rPr>
        <w:t>respondents</w:t>
      </w:r>
      <w:r w:rsidRPr="00BB3410">
        <w:rPr>
          <w:rFonts w:cstheme="minorHAnsi"/>
          <w:color w:val="000000"/>
        </w:rPr>
        <w:t xml:space="preserve"> include sources with constructed, reconstructed and modified affected facilities.</w:t>
      </w:r>
    </w:p>
    <w:p w:rsidR="00BB3410" w:rsidRPr="00BB3410" w:rsidP="00BB3410" w14:paraId="677530EB" w14:textId="77777777">
      <w:pPr>
        <w:pBdr>
          <w:top w:val="single" w:sz="6" w:space="0" w:color="FFFFFF"/>
          <w:left w:val="single" w:sz="6" w:space="0" w:color="FFFFFF"/>
          <w:bottom w:val="single" w:sz="6" w:space="0" w:color="FFFFFF"/>
          <w:right w:val="single" w:sz="6" w:space="0" w:color="FFFFFF"/>
        </w:pBdr>
        <w:ind w:left="720"/>
        <w:rPr>
          <w:rFonts w:cstheme="minorHAnsi"/>
          <w:color w:val="000000"/>
        </w:rPr>
      </w:pPr>
      <w:r w:rsidRPr="00BB3410">
        <w:rPr>
          <w:rFonts w:cstheme="minorHAnsi"/>
          <w:color w:val="000000"/>
        </w:rPr>
        <w:t xml:space="preserve">Column D is subtracted to avoid double-counting respondents. As shown above, the average Number of Respondents over the three-year period of this ICR is 32. </w:t>
      </w:r>
    </w:p>
    <w:p w:rsidR="00BB3410" w14:paraId="327B4974" w14:textId="77777777">
      <w:pPr>
        <w:rPr>
          <w:rFonts w:cstheme="minorHAnsi"/>
          <w:color w:val="000000"/>
        </w:rPr>
      </w:pPr>
      <w:r>
        <w:rPr>
          <w:rFonts w:cstheme="minorHAnsi"/>
          <w:color w:val="000000"/>
        </w:rPr>
        <w:br w:type="page"/>
      </w:r>
    </w:p>
    <w:p w:rsidR="00BB3410" w:rsidRPr="00BB3410" w:rsidP="00BB3410" w14:paraId="333244DA" w14:textId="57033E56">
      <w:pPr>
        <w:pBdr>
          <w:top w:val="single" w:sz="6" w:space="0" w:color="FFFFFF"/>
          <w:left w:val="single" w:sz="6" w:space="0" w:color="FFFFFF"/>
          <w:bottom w:val="single" w:sz="6" w:space="0" w:color="FFFFFF"/>
          <w:right w:val="single" w:sz="6" w:space="0" w:color="FFFFFF"/>
        </w:pBdr>
        <w:ind w:left="720"/>
        <w:rPr>
          <w:rFonts w:cstheme="minorHAnsi"/>
          <w:color w:val="000000"/>
        </w:rPr>
      </w:pPr>
      <w:r w:rsidRPr="00BB3410">
        <w:rPr>
          <w:rFonts w:cstheme="minorHAnsi"/>
          <w:color w:val="000000"/>
        </w:rPr>
        <w:t>The total number of annual responses per year is calculated using the following table:</w:t>
      </w:r>
    </w:p>
    <w:tbl>
      <w:tblPr>
        <w:tblW w:w="9180" w:type="dxa"/>
        <w:tblInd w:w="7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3AC6174F" w14:textId="77777777" w:rsidTr="00BB3410">
        <w:tblPrEx>
          <w:tblW w:w="9180" w:type="dxa"/>
          <w:tblInd w:w="7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BB3410" w:rsidRPr="00BB3410" w:rsidP="00BB3410" w14:paraId="60B8A465" w14:textId="77777777">
            <w:pPr>
              <w:widowControl w:val="0"/>
              <w:autoSpaceDE w:val="0"/>
              <w:autoSpaceDN w:val="0"/>
              <w:adjustRightInd w:val="0"/>
              <w:spacing w:after="0" w:line="120" w:lineRule="exact"/>
              <w:rPr>
                <w:rFonts w:eastAsia="Times New Roman" w:cstheme="minorHAnsi"/>
                <w:color w:val="000000"/>
              </w:rPr>
            </w:pPr>
          </w:p>
          <w:p w:rsidR="00BB3410" w:rsidRPr="00BB3410" w:rsidP="00BB3410" w14:paraId="2687975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eastAsia="Times New Roman" w:cstheme="minorHAnsi"/>
                <w:b/>
                <w:bCs/>
                <w:color w:val="000000"/>
              </w:rPr>
            </w:pPr>
            <w:r w:rsidRPr="00BB3410">
              <w:rPr>
                <w:rFonts w:eastAsia="Times New Roman" w:cstheme="minorHAnsi"/>
                <w:b/>
                <w:bCs/>
                <w:color w:val="000000"/>
              </w:rPr>
              <w:t>Total Annual Responses</w:t>
            </w:r>
          </w:p>
        </w:tc>
      </w:tr>
      <w:tr w14:paraId="07C4728F" w14:textId="77777777" w:rsidTr="00BB3410">
        <w:tblPrEx>
          <w:tblW w:w="9180" w:type="dxa"/>
          <w:tblInd w:w="720" w:type="dxa"/>
          <w:tblLayout w:type="fixed"/>
          <w:tblCellMar>
            <w:left w:w="111" w:type="dxa"/>
            <w:right w:w="111" w:type="dxa"/>
          </w:tblCellMar>
          <w:tblLook w:val="0000"/>
        </w:tblPrEx>
        <w:tc>
          <w:tcPr>
            <w:tcW w:w="2700" w:type="dxa"/>
          </w:tcPr>
          <w:p w:rsidR="00BB3410" w:rsidRPr="00BB3410" w:rsidP="00BB3410" w14:paraId="5C7913B4" w14:textId="77777777">
            <w:pPr>
              <w:widowControl w:val="0"/>
              <w:autoSpaceDE w:val="0"/>
              <w:autoSpaceDN w:val="0"/>
              <w:adjustRightInd w:val="0"/>
              <w:spacing w:after="0" w:line="120" w:lineRule="exact"/>
              <w:jc w:val="center"/>
              <w:rPr>
                <w:rFonts w:eastAsia="Times New Roman" w:cstheme="minorHAnsi"/>
                <w:b/>
                <w:bCs/>
                <w:color w:val="000000"/>
              </w:rPr>
            </w:pPr>
          </w:p>
          <w:p w:rsidR="00BB3410" w:rsidRPr="00BB3410" w:rsidP="00BB3410" w14:paraId="2BF5D0B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(A)</w:t>
            </w:r>
          </w:p>
          <w:p w:rsidR="00BB3410" w:rsidRPr="00BB3410" w:rsidP="00BB3410" w14:paraId="1054945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p>
          <w:p w:rsidR="00BB3410" w:rsidRPr="00BB3410" w:rsidP="00BB3410" w14:paraId="17CA6B6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eastAsia="Times New Roman" w:cstheme="minorHAnsi"/>
                <w:color w:val="000000"/>
              </w:rPr>
            </w:pPr>
            <w:r w:rsidRPr="00BB3410">
              <w:rPr>
                <w:rFonts w:eastAsia="Times New Roman" w:cstheme="minorHAnsi"/>
                <w:color w:val="000000"/>
              </w:rPr>
              <w:t>Information Collection Activity</w:t>
            </w:r>
          </w:p>
        </w:tc>
        <w:tc>
          <w:tcPr>
            <w:tcW w:w="1260" w:type="dxa"/>
          </w:tcPr>
          <w:p w:rsidR="00BB3410" w:rsidRPr="00BB3410" w:rsidP="00BB3410" w14:paraId="4B86F395" w14:textId="77777777">
            <w:pPr>
              <w:widowControl w:val="0"/>
              <w:autoSpaceDE w:val="0"/>
              <w:autoSpaceDN w:val="0"/>
              <w:adjustRightInd w:val="0"/>
              <w:spacing w:after="0" w:line="120" w:lineRule="exact"/>
              <w:jc w:val="center"/>
              <w:rPr>
                <w:rFonts w:eastAsia="Times New Roman" w:cstheme="minorHAnsi"/>
                <w:color w:val="000000"/>
              </w:rPr>
            </w:pPr>
          </w:p>
          <w:p w:rsidR="00BB3410" w:rsidRPr="00BB3410" w:rsidP="00BB3410" w14:paraId="133B789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(B)</w:t>
            </w:r>
          </w:p>
          <w:p w:rsidR="00BB3410" w:rsidRPr="00BB3410" w:rsidP="00BB3410" w14:paraId="6B8D198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p>
          <w:p w:rsidR="00BB3410" w:rsidRPr="00BB3410" w:rsidP="00BB3410" w14:paraId="1F1A565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eastAsia="Times New Roman" w:cstheme="minorHAnsi"/>
                <w:color w:val="000000"/>
              </w:rPr>
            </w:pPr>
            <w:r w:rsidRPr="00BB3410">
              <w:rPr>
                <w:rFonts w:eastAsia="Times New Roman" w:cstheme="minorHAnsi"/>
                <w:color w:val="000000"/>
              </w:rPr>
              <w:t xml:space="preserve">Number of Respondents </w:t>
            </w:r>
            <w:r w:rsidRPr="00BB3410">
              <w:rPr>
                <w:rFonts w:eastAsia="Times New Roman" w:cstheme="minorHAnsi"/>
                <w:color w:val="000000"/>
                <w:vertAlign w:val="superscript"/>
              </w:rPr>
              <w:t>a</w:t>
            </w:r>
          </w:p>
        </w:tc>
        <w:tc>
          <w:tcPr>
            <w:tcW w:w="1260" w:type="dxa"/>
          </w:tcPr>
          <w:p w:rsidR="00BB3410" w:rsidRPr="00BB3410" w:rsidP="00BB3410" w14:paraId="506F4E40" w14:textId="77777777">
            <w:pPr>
              <w:widowControl w:val="0"/>
              <w:autoSpaceDE w:val="0"/>
              <w:autoSpaceDN w:val="0"/>
              <w:adjustRightInd w:val="0"/>
              <w:spacing w:after="0" w:line="120" w:lineRule="exact"/>
              <w:jc w:val="center"/>
              <w:rPr>
                <w:rFonts w:eastAsia="Times New Roman" w:cstheme="minorHAnsi"/>
                <w:color w:val="000000"/>
              </w:rPr>
            </w:pPr>
          </w:p>
          <w:p w:rsidR="00BB3410" w:rsidRPr="00BB3410" w:rsidP="00BB3410" w14:paraId="5919D6B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(C)</w:t>
            </w:r>
          </w:p>
          <w:p w:rsidR="00BB3410" w:rsidRPr="00BB3410" w:rsidP="00BB3410" w14:paraId="4F5053F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p>
          <w:p w:rsidR="00BB3410" w:rsidRPr="00BB3410" w:rsidP="00BB3410" w14:paraId="57B34C1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eastAsia="Times New Roman" w:cstheme="minorHAnsi"/>
                <w:color w:val="000000"/>
              </w:rPr>
            </w:pPr>
            <w:r w:rsidRPr="00BB3410">
              <w:rPr>
                <w:rFonts w:eastAsia="Times New Roman" w:cstheme="minorHAnsi"/>
                <w:color w:val="000000"/>
              </w:rPr>
              <w:t>Number of Responses</w:t>
            </w:r>
          </w:p>
        </w:tc>
        <w:tc>
          <w:tcPr>
            <w:tcW w:w="1890" w:type="dxa"/>
          </w:tcPr>
          <w:p w:rsidR="00BB3410" w:rsidRPr="00BB3410" w:rsidP="00BB3410" w14:paraId="147A916E" w14:textId="77777777">
            <w:pPr>
              <w:widowControl w:val="0"/>
              <w:autoSpaceDE w:val="0"/>
              <w:autoSpaceDN w:val="0"/>
              <w:adjustRightInd w:val="0"/>
              <w:spacing w:after="0" w:line="120" w:lineRule="exact"/>
              <w:jc w:val="center"/>
              <w:rPr>
                <w:rFonts w:eastAsia="Times New Roman" w:cstheme="minorHAnsi"/>
                <w:color w:val="000000"/>
              </w:rPr>
            </w:pPr>
          </w:p>
          <w:p w:rsidR="00BB3410" w:rsidRPr="00BB3410" w:rsidP="00BB3410" w14:paraId="3D29ED9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(D)</w:t>
            </w:r>
          </w:p>
          <w:p w:rsidR="00BB3410" w:rsidRPr="00BB3410" w:rsidP="00BB3410" w14:paraId="0C8CC8B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eastAsia="Times New Roman" w:cstheme="minorHAnsi"/>
                <w:color w:val="000000"/>
              </w:rPr>
            </w:pPr>
            <w:r w:rsidRPr="00BB3410">
              <w:rPr>
                <w:rFonts w:eastAsia="Times New Roman" w:cstheme="minorHAnsi"/>
                <w:color w:val="000000"/>
              </w:rPr>
              <w:t xml:space="preserve">Number of Existing Respondents That Keep Records </w:t>
            </w:r>
            <w:r w:rsidRPr="00BB3410">
              <w:rPr>
                <w:rFonts w:eastAsia="Times New Roman" w:cstheme="minorHAnsi"/>
                <w:color w:val="000000"/>
              </w:rPr>
              <w:t>But</w:t>
            </w:r>
            <w:r w:rsidRPr="00BB3410">
              <w:rPr>
                <w:rFonts w:eastAsia="Times New Roman" w:cstheme="minorHAnsi"/>
                <w:color w:val="000000"/>
              </w:rPr>
              <w:t xml:space="preserve"> Do Not Submit Reports</w:t>
            </w:r>
          </w:p>
        </w:tc>
        <w:tc>
          <w:tcPr>
            <w:tcW w:w="2070" w:type="dxa"/>
          </w:tcPr>
          <w:p w:rsidR="00BB3410" w:rsidRPr="00BB3410" w:rsidP="00BB3410" w14:paraId="0FFE09C7" w14:textId="77777777">
            <w:pPr>
              <w:widowControl w:val="0"/>
              <w:autoSpaceDE w:val="0"/>
              <w:autoSpaceDN w:val="0"/>
              <w:adjustRightInd w:val="0"/>
              <w:spacing w:after="0" w:line="120" w:lineRule="exact"/>
              <w:jc w:val="center"/>
              <w:rPr>
                <w:rFonts w:eastAsia="Times New Roman" w:cstheme="minorHAnsi"/>
                <w:color w:val="000000"/>
              </w:rPr>
            </w:pPr>
          </w:p>
          <w:p w:rsidR="00BB3410" w:rsidRPr="00BB3410" w:rsidP="00BB3410" w14:paraId="1FC9C83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(E)</w:t>
            </w:r>
          </w:p>
          <w:p w:rsidR="00BB3410" w:rsidRPr="00BB3410" w:rsidP="00BB3410" w14:paraId="1B12FDA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Total Annual Responses</w:t>
            </w:r>
          </w:p>
          <w:p w:rsidR="00BB3410" w:rsidRPr="00BB3410" w:rsidP="00BB3410" w14:paraId="4299224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52" w:line="240" w:lineRule="auto"/>
              <w:jc w:val="center"/>
              <w:rPr>
                <w:rFonts w:eastAsia="Times New Roman" w:cstheme="minorHAnsi"/>
                <w:color w:val="000000"/>
              </w:rPr>
            </w:pPr>
            <w:r w:rsidRPr="00BB3410">
              <w:rPr>
                <w:rFonts w:eastAsia="Times New Roman" w:cstheme="minorHAnsi"/>
                <w:color w:val="000000"/>
              </w:rPr>
              <w:t>E=(</w:t>
            </w:r>
            <w:r w:rsidRPr="00BB3410">
              <w:rPr>
                <w:rFonts w:eastAsia="Times New Roman" w:cstheme="minorHAnsi"/>
                <w:color w:val="000000"/>
              </w:rPr>
              <w:t>BxC</w:t>
            </w:r>
            <w:r w:rsidRPr="00BB3410">
              <w:rPr>
                <w:rFonts w:eastAsia="Times New Roman" w:cstheme="minorHAnsi"/>
                <w:color w:val="000000"/>
              </w:rPr>
              <w:t>)+D</w:t>
            </w:r>
          </w:p>
        </w:tc>
      </w:tr>
      <w:tr w14:paraId="681126B3" w14:textId="77777777" w:rsidTr="00BB3410">
        <w:tblPrEx>
          <w:tblW w:w="9180" w:type="dxa"/>
          <w:tblInd w:w="720" w:type="dxa"/>
          <w:tblLayout w:type="fixed"/>
          <w:tblCellMar>
            <w:left w:w="111" w:type="dxa"/>
            <w:right w:w="111" w:type="dxa"/>
          </w:tblCellMar>
          <w:tblLook w:val="0000"/>
        </w:tblPrEx>
        <w:trPr>
          <w:trHeight w:val="366"/>
        </w:trPr>
        <w:tc>
          <w:tcPr>
            <w:tcW w:w="2700" w:type="dxa"/>
            <w:vAlign w:val="center"/>
          </w:tcPr>
          <w:p w:rsidR="00BB3410" w:rsidRPr="00BB3410" w:rsidP="00BB3410" w14:paraId="166B81F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color w:val="000000"/>
              </w:rPr>
            </w:pPr>
            <w:r w:rsidRPr="00BB3410">
              <w:rPr>
                <w:rFonts w:eastAsia="Times New Roman" w:cstheme="minorHAnsi"/>
                <w:color w:val="000000"/>
              </w:rPr>
              <w:t>Initial Report</w:t>
            </w:r>
          </w:p>
        </w:tc>
        <w:tc>
          <w:tcPr>
            <w:tcW w:w="1260" w:type="dxa"/>
            <w:vAlign w:val="center"/>
          </w:tcPr>
          <w:p w:rsidR="00BB3410" w:rsidRPr="00BB3410" w:rsidP="00BB3410" w14:paraId="3566769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1</w:t>
            </w:r>
          </w:p>
        </w:tc>
        <w:tc>
          <w:tcPr>
            <w:tcW w:w="1260" w:type="dxa"/>
            <w:vAlign w:val="center"/>
          </w:tcPr>
          <w:p w:rsidR="00BB3410" w:rsidRPr="00BB3410" w:rsidP="00BB3410" w14:paraId="36DF603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1</w:t>
            </w:r>
          </w:p>
        </w:tc>
        <w:tc>
          <w:tcPr>
            <w:tcW w:w="1890" w:type="dxa"/>
            <w:vAlign w:val="center"/>
          </w:tcPr>
          <w:p w:rsidR="00BB3410" w:rsidRPr="00BB3410" w:rsidP="00BB3410" w14:paraId="327BA32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0</w:t>
            </w:r>
          </w:p>
        </w:tc>
        <w:tc>
          <w:tcPr>
            <w:tcW w:w="2070" w:type="dxa"/>
            <w:vAlign w:val="center"/>
          </w:tcPr>
          <w:p w:rsidR="00BB3410" w:rsidRPr="00BB3410" w:rsidP="00BB3410" w14:paraId="4C2FFD3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1</w:t>
            </w:r>
          </w:p>
        </w:tc>
      </w:tr>
      <w:tr w14:paraId="31031B47" w14:textId="77777777" w:rsidTr="00BB3410">
        <w:tblPrEx>
          <w:tblW w:w="9180" w:type="dxa"/>
          <w:tblInd w:w="720" w:type="dxa"/>
          <w:tblLayout w:type="fixed"/>
          <w:tblCellMar>
            <w:left w:w="111" w:type="dxa"/>
            <w:right w:w="111" w:type="dxa"/>
          </w:tblCellMar>
          <w:tblLook w:val="0000"/>
        </w:tblPrEx>
        <w:trPr>
          <w:trHeight w:val="366"/>
        </w:trPr>
        <w:tc>
          <w:tcPr>
            <w:tcW w:w="2700" w:type="dxa"/>
            <w:vAlign w:val="center"/>
          </w:tcPr>
          <w:p w:rsidR="00BB3410" w:rsidRPr="00BB3410" w:rsidP="00BB3410" w14:paraId="7506A26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color w:val="000000"/>
              </w:rPr>
            </w:pPr>
            <w:r w:rsidRPr="00BB3410">
              <w:rPr>
                <w:rFonts w:eastAsia="Times New Roman" w:cstheme="minorHAnsi"/>
                <w:color w:val="000000"/>
              </w:rPr>
              <w:t>Date Code Explanation</w:t>
            </w:r>
          </w:p>
        </w:tc>
        <w:tc>
          <w:tcPr>
            <w:tcW w:w="1260" w:type="dxa"/>
            <w:vAlign w:val="center"/>
          </w:tcPr>
          <w:p w:rsidR="00BB3410" w:rsidRPr="00BB3410" w:rsidP="00BB3410" w14:paraId="1A92240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1</w:t>
            </w:r>
          </w:p>
        </w:tc>
        <w:tc>
          <w:tcPr>
            <w:tcW w:w="1260" w:type="dxa"/>
            <w:vAlign w:val="center"/>
          </w:tcPr>
          <w:p w:rsidR="00BB3410" w:rsidRPr="00BB3410" w:rsidP="00BB3410" w14:paraId="737D519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1</w:t>
            </w:r>
          </w:p>
        </w:tc>
        <w:tc>
          <w:tcPr>
            <w:tcW w:w="1890" w:type="dxa"/>
            <w:vAlign w:val="center"/>
          </w:tcPr>
          <w:p w:rsidR="00BB3410" w:rsidRPr="00BB3410" w:rsidP="00BB3410" w14:paraId="29B03CB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0</w:t>
            </w:r>
          </w:p>
        </w:tc>
        <w:tc>
          <w:tcPr>
            <w:tcW w:w="2070" w:type="dxa"/>
            <w:vAlign w:val="center"/>
          </w:tcPr>
          <w:p w:rsidR="00BB3410" w:rsidRPr="00BB3410" w:rsidP="00BB3410" w14:paraId="6916F6B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1</w:t>
            </w:r>
          </w:p>
        </w:tc>
      </w:tr>
      <w:tr w14:paraId="4609D9C0" w14:textId="77777777" w:rsidTr="00BB3410">
        <w:tblPrEx>
          <w:tblW w:w="9180" w:type="dxa"/>
          <w:tblInd w:w="720" w:type="dxa"/>
          <w:tblLayout w:type="fixed"/>
          <w:tblCellMar>
            <w:left w:w="111" w:type="dxa"/>
            <w:right w:w="111" w:type="dxa"/>
          </w:tblCellMar>
          <w:tblLook w:val="0000"/>
        </w:tblPrEx>
        <w:trPr>
          <w:trHeight w:val="366"/>
        </w:trPr>
        <w:tc>
          <w:tcPr>
            <w:tcW w:w="2700" w:type="dxa"/>
            <w:vAlign w:val="center"/>
          </w:tcPr>
          <w:p w:rsidR="00BB3410" w:rsidRPr="00BB3410" w:rsidP="00BB3410" w14:paraId="5F3A3BF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color w:val="000000"/>
              </w:rPr>
            </w:pPr>
            <w:r w:rsidRPr="00BB3410">
              <w:rPr>
                <w:rFonts w:eastAsia="Times New Roman" w:cstheme="minorHAnsi"/>
                <w:color w:val="000000"/>
              </w:rPr>
              <w:t>Update Date Codes</w:t>
            </w:r>
          </w:p>
        </w:tc>
        <w:tc>
          <w:tcPr>
            <w:tcW w:w="1260" w:type="dxa"/>
            <w:vAlign w:val="center"/>
          </w:tcPr>
          <w:p w:rsidR="00BB3410" w:rsidRPr="00BB3410" w:rsidP="00BB3410" w14:paraId="581C913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3.1</w:t>
            </w:r>
          </w:p>
        </w:tc>
        <w:tc>
          <w:tcPr>
            <w:tcW w:w="1260" w:type="dxa"/>
            <w:vAlign w:val="center"/>
          </w:tcPr>
          <w:p w:rsidR="00BB3410" w:rsidRPr="00BB3410" w:rsidP="00BB3410" w14:paraId="5AFC7E5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1</w:t>
            </w:r>
          </w:p>
        </w:tc>
        <w:tc>
          <w:tcPr>
            <w:tcW w:w="1890" w:type="dxa"/>
            <w:vAlign w:val="center"/>
          </w:tcPr>
          <w:p w:rsidR="00BB3410" w:rsidRPr="00BB3410" w:rsidP="00BB3410" w14:paraId="2387BDC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0</w:t>
            </w:r>
          </w:p>
        </w:tc>
        <w:tc>
          <w:tcPr>
            <w:tcW w:w="2070" w:type="dxa"/>
            <w:vAlign w:val="center"/>
          </w:tcPr>
          <w:p w:rsidR="00BB3410" w:rsidRPr="00BB3410" w:rsidP="00BB3410" w14:paraId="2987490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r w:rsidRPr="00BB3410">
              <w:rPr>
                <w:rFonts w:eastAsia="Times New Roman" w:cstheme="minorHAnsi"/>
                <w:color w:val="000000"/>
              </w:rPr>
              <w:t>3.1</w:t>
            </w:r>
          </w:p>
        </w:tc>
      </w:tr>
      <w:tr w14:paraId="7CBEC4C3" w14:textId="77777777" w:rsidTr="00BB3410">
        <w:tblPrEx>
          <w:tblW w:w="9180" w:type="dxa"/>
          <w:tblInd w:w="720" w:type="dxa"/>
          <w:tblLayout w:type="fixed"/>
          <w:tblCellMar>
            <w:left w:w="111" w:type="dxa"/>
            <w:right w:w="111" w:type="dxa"/>
          </w:tblCellMar>
          <w:tblLook w:val="0000"/>
        </w:tblPrEx>
        <w:trPr>
          <w:trHeight w:val="366"/>
        </w:trPr>
        <w:tc>
          <w:tcPr>
            <w:tcW w:w="2700" w:type="dxa"/>
            <w:vAlign w:val="center"/>
          </w:tcPr>
          <w:p w:rsidR="00BB3410" w:rsidRPr="00BB3410" w:rsidP="00BB3410" w14:paraId="02F381C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color w:val="000000"/>
              </w:rPr>
            </w:pPr>
          </w:p>
        </w:tc>
        <w:tc>
          <w:tcPr>
            <w:tcW w:w="1260" w:type="dxa"/>
            <w:vAlign w:val="center"/>
          </w:tcPr>
          <w:p w:rsidR="00BB3410" w:rsidRPr="00BB3410" w:rsidP="00BB3410" w14:paraId="52C67FC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p>
        </w:tc>
        <w:tc>
          <w:tcPr>
            <w:tcW w:w="1260" w:type="dxa"/>
            <w:vAlign w:val="center"/>
          </w:tcPr>
          <w:p w:rsidR="00BB3410" w:rsidRPr="00BB3410" w:rsidP="00BB3410" w14:paraId="24205F3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color w:val="000000"/>
              </w:rPr>
            </w:pPr>
          </w:p>
        </w:tc>
        <w:tc>
          <w:tcPr>
            <w:tcW w:w="1890" w:type="dxa"/>
            <w:vAlign w:val="center"/>
          </w:tcPr>
          <w:p w:rsidR="00BB3410" w:rsidRPr="00BB3410" w:rsidP="00BB3410" w14:paraId="08F0B53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b/>
                <w:bCs/>
              </w:rPr>
            </w:pPr>
            <w:r w:rsidRPr="00BB3410">
              <w:rPr>
                <w:rFonts w:eastAsia="Times New Roman" w:cstheme="minorHAnsi"/>
                <w:b/>
                <w:bCs/>
              </w:rPr>
              <w:t>Total</w:t>
            </w:r>
          </w:p>
        </w:tc>
        <w:tc>
          <w:tcPr>
            <w:tcW w:w="2070" w:type="dxa"/>
            <w:vAlign w:val="center"/>
          </w:tcPr>
          <w:p w:rsidR="00BB3410" w:rsidRPr="00BB3410" w:rsidP="00BB3410" w14:paraId="1565C83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Times New Roman" w:cstheme="minorHAnsi"/>
                <w:b/>
                <w:bCs/>
              </w:rPr>
            </w:pPr>
            <w:r w:rsidRPr="00BB3410">
              <w:rPr>
                <w:rFonts w:eastAsia="Times New Roman" w:cstheme="minorHAnsi"/>
                <w:b/>
                <w:bCs/>
              </w:rPr>
              <w:t>5</w:t>
            </w:r>
          </w:p>
        </w:tc>
      </w:tr>
    </w:tbl>
    <w:p w:rsidR="00BB3410" w:rsidRPr="00BB3410" w:rsidP="00BB3410" w14:paraId="43591A60" w14:textId="24C7945B">
      <w:pPr>
        <w:pBdr>
          <w:top w:val="single" w:sz="6" w:space="0" w:color="FFFFFF"/>
          <w:left w:val="single" w:sz="6" w:space="0" w:color="FFFFFF"/>
          <w:bottom w:val="single" w:sz="6" w:space="0" w:color="FFFFFF"/>
          <w:right w:val="single" w:sz="6" w:space="0" w:color="FFFFFF"/>
        </w:pBdr>
        <w:ind w:left="720"/>
        <w:rPr>
          <w:rFonts w:cstheme="minorHAnsi"/>
          <w:color w:val="000000"/>
        </w:rPr>
      </w:pPr>
      <w:r w:rsidRPr="00BB3410">
        <w:rPr>
          <w:rFonts w:cstheme="minorHAnsi"/>
          <w:color w:val="000000"/>
          <w:vertAlign w:val="superscript"/>
        </w:rPr>
        <w:t>a</w:t>
      </w:r>
      <w:r w:rsidRPr="00BB3410">
        <w:rPr>
          <w:rFonts w:cstheme="minorHAnsi"/>
          <w:color w:val="000000"/>
        </w:rPr>
        <w:t xml:space="preserve"> We assume one new regulated facility per year and 10% of facilities will update their date codes.</w:t>
      </w:r>
    </w:p>
    <w:p w:rsidR="00BB3410" w:rsidRPr="00BB3410" w:rsidP="00BB3410" w14:paraId="0DA69975" w14:textId="77777777">
      <w:pPr>
        <w:pBdr>
          <w:top w:val="single" w:sz="6" w:space="0" w:color="FFFFFF"/>
          <w:left w:val="single" w:sz="6" w:space="0" w:color="FFFFFF"/>
          <w:bottom w:val="single" w:sz="6" w:space="0" w:color="FFFFFF"/>
          <w:right w:val="single" w:sz="6" w:space="0" w:color="FFFFFF"/>
        </w:pBdr>
        <w:ind w:left="720"/>
        <w:rPr>
          <w:rFonts w:cstheme="minorHAnsi"/>
          <w:color w:val="000000"/>
        </w:rPr>
      </w:pPr>
      <w:r w:rsidRPr="00BB3410">
        <w:rPr>
          <w:rFonts w:cstheme="minorHAnsi"/>
          <w:color w:val="000000"/>
        </w:rPr>
        <w:t>The number of Total Annual Responses is 5.</w:t>
      </w:r>
    </w:p>
    <w:p w:rsidR="00ED57A4" w:rsidRPr="00BB3410" w:rsidP="00ED57A4" w14:paraId="24D360E5" w14:textId="0EF8F78D">
      <w:pPr>
        <w:pStyle w:val="ListParagraph"/>
        <w:numPr>
          <w:ilvl w:val="1"/>
          <w:numId w:val="25"/>
        </w:numPr>
        <w:spacing w:before="240"/>
        <w:rPr>
          <w:rFonts w:cstheme="minorHAnsi"/>
        </w:rPr>
      </w:pPr>
      <w:r w:rsidRPr="00BB3410">
        <w:rPr>
          <w:rFonts w:cstheme="minorHAnsi"/>
        </w:rPr>
        <w:t>Information Requested</w:t>
      </w:r>
      <w:bookmarkStart w:id="18" w:name="_Toc156593384"/>
      <w:bookmarkEnd w:id="17"/>
    </w:p>
    <w:p w:rsidR="009F1E00" w:rsidRPr="00BB3410" w:rsidP="009F1E00" w14:paraId="11BCF710" w14:textId="30F15216">
      <w:pPr>
        <w:pBdr>
          <w:top w:val="single" w:sz="6" w:space="0" w:color="FFFFFF"/>
          <w:left w:val="single" w:sz="6" w:space="0" w:color="FFFFFF"/>
          <w:bottom w:val="single" w:sz="6" w:space="0" w:color="FFFFFF"/>
          <w:right w:val="single" w:sz="6" w:space="0" w:color="FFFFFF"/>
        </w:pBdr>
        <w:ind w:left="720"/>
        <w:rPr>
          <w:rFonts w:cstheme="minorHAnsi"/>
          <w:color w:val="000000"/>
        </w:rPr>
      </w:pPr>
      <w:r w:rsidRPr="00BB3410">
        <w:rPr>
          <w:rFonts w:cstheme="minorHAnsi"/>
          <w:color w:val="000000"/>
        </w:rPr>
        <w:t>In this ICR, all the data that are recorded or reported is required by the</w:t>
      </w:r>
      <w:r w:rsidRPr="00BB3410">
        <w:rPr>
          <w:rFonts w:cstheme="minorHAnsi"/>
          <w:color w:val="FF0000"/>
        </w:rPr>
        <w:t xml:space="preserve"> </w:t>
      </w:r>
      <w:r w:rsidRPr="00BB3410">
        <w:rPr>
          <w:rFonts w:cstheme="minorHAnsi"/>
        </w:rPr>
        <w:t>National Volatile Organic Compound Emission Standards for Automobile Refinish Coatings</w:t>
      </w:r>
      <w:r w:rsidRPr="00BB3410">
        <w:rPr>
          <w:rFonts w:cstheme="minorHAnsi"/>
        </w:rPr>
        <w:t xml:space="preserve"> </w:t>
      </w:r>
      <w:r w:rsidRPr="00BB3410">
        <w:rPr>
          <w:rFonts w:cstheme="minorHAnsi"/>
        </w:rPr>
        <w:t>(40 CFR Part 59, Subpart B</w:t>
      </w:r>
      <w:r w:rsidRPr="00BB3410">
        <w:rPr>
          <w:rFonts w:cstheme="minorHAnsi"/>
        </w:rPr>
        <w:t>).</w:t>
      </w:r>
      <w:r w:rsidRPr="00BB3410">
        <w:rPr>
          <w:rFonts w:cstheme="minorHAnsi"/>
          <w:color w:val="000000"/>
        </w:rPr>
        <w:t>A</w:t>
      </w:r>
      <w:r w:rsidRPr="00BB3410">
        <w:rPr>
          <w:rFonts w:cstheme="minorHAnsi"/>
          <w:color w:val="000000"/>
        </w:rPr>
        <w:t xml:space="preserve"> source must make the following reports:</w:t>
      </w:r>
    </w:p>
    <w:tbl>
      <w:tblPr>
        <w:tblW w:w="9360" w:type="dxa"/>
        <w:tblInd w:w="720" w:type="dxa"/>
        <w:tblLayout w:type="fixed"/>
        <w:tblCellMar>
          <w:left w:w="120" w:type="dxa"/>
          <w:right w:w="120" w:type="dxa"/>
        </w:tblCellMar>
        <w:tblLook w:val="0000"/>
      </w:tblPr>
      <w:tblGrid>
        <w:gridCol w:w="7290"/>
        <w:gridCol w:w="2070"/>
      </w:tblGrid>
      <w:tr w14:paraId="2C1E133C" w14:textId="77777777" w:rsidTr="002752FF">
        <w:tblPrEx>
          <w:tblW w:w="9360" w:type="dxa"/>
          <w:tblInd w:w="720" w:type="dxa"/>
          <w:tblLayout w:type="fixed"/>
          <w:tblCellMar>
            <w:left w:w="120" w:type="dxa"/>
            <w:right w:w="120" w:type="dxa"/>
          </w:tblCellMar>
          <w:tblLook w:val="0000"/>
        </w:tblPrEx>
        <w:trPr>
          <w:tblHead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F1E00" w:rsidRPr="00BB3410" w:rsidP="002752FF" w14:paraId="3923C3DF" w14:textId="77777777">
            <w:pPr>
              <w:pBdr>
                <w:top w:val="single" w:sz="6" w:space="0" w:color="FFFFFF"/>
                <w:left w:val="single" w:sz="6" w:space="0" w:color="FFFFFF"/>
                <w:bottom w:val="single" w:sz="6" w:space="0" w:color="FFFFFF"/>
                <w:right w:val="single" w:sz="6" w:space="0" w:color="FFFFFF"/>
              </w:pBdr>
              <w:spacing w:after="58"/>
              <w:jc w:val="center"/>
              <w:rPr>
                <w:rFonts w:cstheme="minorHAnsi"/>
                <w:b/>
              </w:rPr>
            </w:pPr>
            <w:r w:rsidRPr="00BB3410">
              <w:rPr>
                <w:rFonts w:cstheme="minorHAnsi"/>
                <w:b/>
              </w:rPr>
              <w:t>Reports</w:t>
            </w:r>
          </w:p>
        </w:tc>
      </w:tr>
      <w:tr w14:paraId="69EC0F8A" w14:textId="77777777" w:rsidTr="002752FF">
        <w:tblPrEx>
          <w:tblW w:w="9360" w:type="dxa"/>
          <w:tblInd w:w="720" w:type="dxa"/>
          <w:tblLayout w:type="fixed"/>
          <w:tblCellMar>
            <w:left w:w="120" w:type="dxa"/>
            <w:right w:w="120" w:type="dxa"/>
          </w:tblCellMar>
          <w:tblLook w:val="0000"/>
        </w:tblPrEx>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F1E00" w:rsidRPr="00BB3410" w:rsidP="002752FF" w14:paraId="18D4BABE"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BB3410">
              <w:rPr>
                <w:rFonts w:cstheme="minorHAnsi"/>
              </w:rPr>
              <w:t>Initial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F1E00" w:rsidRPr="00BB3410" w:rsidP="002752FF" w14:paraId="340CCB9D"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BB3410">
              <w:rPr>
                <w:rFonts w:cstheme="minorHAnsi"/>
              </w:rPr>
              <w:t>§59.105(a)</w:t>
            </w:r>
          </w:p>
        </w:tc>
      </w:tr>
      <w:tr w14:paraId="57548EC5" w14:textId="77777777" w:rsidTr="002752FF">
        <w:tblPrEx>
          <w:tblW w:w="9360" w:type="dxa"/>
          <w:tblInd w:w="720" w:type="dxa"/>
          <w:tblLayout w:type="fixed"/>
          <w:tblCellMar>
            <w:left w:w="120" w:type="dxa"/>
            <w:right w:w="120" w:type="dxa"/>
          </w:tblCellMar>
          <w:tblLook w:val="0000"/>
        </w:tblPrEx>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F1E00" w:rsidRPr="00BB3410" w:rsidP="002752FF" w14:paraId="201D023E"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BB3410">
              <w:rPr>
                <w:rFonts w:cstheme="minorHAnsi"/>
              </w:rPr>
              <w:t>Explanation and/or update of date codes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9F1E00" w:rsidRPr="00BB3410" w:rsidP="002752FF" w14:paraId="13EBC796" w14:textId="77777777">
            <w:pPr>
              <w:pBdr>
                <w:top w:val="single" w:sz="6" w:space="0" w:color="FFFFFF"/>
                <w:left w:val="single" w:sz="6" w:space="0" w:color="FFFFFF"/>
                <w:bottom w:val="single" w:sz="6" w:space="0" w:color="FFFFFF"/>
                <w:right w:val="single" w:sz="6" w:space="0" w:color="FFFFFF"/>
              </w:pBdr>
              <w:spacing w:after="58"/>
              <w:rPr>
                <w:rFonts w:cstheme="minorHAnsi"/>
              </w:rPr>
            </w:pPr>
            <w:r w:rsidRPr="00BB3410">
              <w:rPr>
                <w:rFonts w:cstheme="minorHAnsi"/>
              </w:rPr>
              <w:t>§59.105(b)</w:t>
            </w:r>
          </w:p>
        </w:tc>
      </w:tr>
    </w:tbl>
    <w:p w:rsidR="009F1E00" w:rsidRPr="00BB3410" w:rsidP="009F1E00" w14:paraId="0A033C0F" w14:textId="77777777">
      <w:pPr>
        <w:pBdr>
          <w:top w:val="single" w:sz="6" w:space="0" w:color="FFFFFF"/>
          <w:left w:val="single" w:sz="6" w:space="0" w:color="FFFFFF"/>
          <w:bottom w:val="single" w:sz="6" w:space="0" w:color="FFFFFF"/>
          <w:right w:val="single" w:sz="6" w:space="0" w:color="FFFFFF"/>
        </w:pBdr>
        <w:ind w:left="720"/>
        <w:rPr>
          <w:rFonts w:cstheme="minorHAnsi"/>
          <w:color w:val="000000"/>
        </w:rPr>
      </w:pPr>
    </w:p>
    <w:p w:rsidR="009F1E00" w:rsidRPr="00BB3410" w:rsidP="009F1E00" w14:paraId="322020A6" w14:textId="29681ADB">
      <w:pPr>
        <w:pBdr>
          <w:top w:val="single" w:sz="6" w:space="0" w:color="FFFFFF"/>
          <w:left w:val="single" w:sz="6" w:space="0" w:color="FFFFFF"/>
          <w:bottom w:val="single" w:sz="6" w:space="0" w:color="FFFFFF"/>
          <w:right w:val="single" w:sz="6" w:space="0" w:color="FFFFFF"/>
        </w:pBdr>
        <w:ind w:left="720"/>
        <w:rPr>
          <w:rFonts w:cstheme="minorHAnsi"/>
          <w:color w:val="000000"/>
        </w:rPr>
      </w:pPr>
      <w:r w:rsidRPr="009F1E00">
        <w:rPr>
          <w:rFonts w:cstheme="minorHAnsi"/>
          <w:color w:val="000000"/>
        </w:rPr>
        <w:t>The specific frequency for each information collection activity within this request is shown at the end of this document in Table 1.</w:t>
      </w:r>
      <w:r w:rsidRPr="009F1E00">
        <w:rPr>
          <w:rFonts w:cstheme="minorHAnsi"/>
          <w:color w:val="000000"/>
        </w:rPr>
        <w:t xml:space="preserve"> </w:t>
      </w:r>
    </w:p>
    <w:p w:rsidR="00BB3410" w:rsidRPr="00BB3410" w:rsidP="00BB3410" w14:paraId="42074A5E" w14:textId="77777777">
      <w:pPr>
        <w:pBdr>
          <w:top w:val="single" w:sz="6" w:space="0" w:color="FFFFFF"/>
          <w:left w:val="single" w:sz="6" w:space="0" w:color="FFFFFF"/>
          <w:bottom w:val="single" w:sz="6" w:space="0" w:color="FFFFFF"/>
          <w:right w:val="single" w:sz="6" w:space="0" w:color="FFFFFF"/>
        </w:pBdr>
        <w:ind w:left="720"/>
        <w:rPr>
          <w:rFonts w:cstheme="minorHAnsi"/>
          <w:color w:val="000000"/>
        </w:rPr>
      </w:pPr>
      <w:r w:rsidRPr="00BB3410">
        <w:rPr>
          <w:rFonts w:cstheme="minorHAnsi"/>
          <w:color w:val="000000"/>
        </w:rPr>
        <w:t>Less-frequent information collection would decrease the margin of assurance that manufacturers are continuing to meet these standards. This ICR includes one-time initial reports. After the initial report, the only reports required are those explaining any new date codes. To determine whether a coating is subject to the rule, explanations of date codes are necessary.</w:t>
      </w:r>
    </w:p>
    <w:p w:rsidR="001172FE" w:rsidRPr="00BB3410" w:rsidP="00ED57A4" w14:paraId="7B8A0ACD" w14:textId="77777777">
      <w:pPr>
        <w:pStyle w:val="ListParagraph"/>
        <w:numPr>
          <w:ilvl w:val="1"/>
          <w:numId w:val="25"/>
        </w:numPr>
        <w:spacing w:before="240"/>
        <w:rPr>
          <w:rFonts w:cstheme="minorHAnsi"/>
        </w:rPr>
      </w:pPr>
      <w:r w:rsidRPr="00BB3410">
        <w:rPr>
          <w:rFonts w:cstheme="minorHAnsi"/>
        </w:rPr>
        <w:t>Respondent Activities</w:t>
      </w:r>
      <w:bookmarkStart w:id="19" w:name="_Toc156593385"/>
      <w:bookmarkEnd w:id="18"/>
    </w:p>
    <w:p w:rsidR="009F1E00" w:rsidRPr="00BB3410" w:rsidP="009F1E00" w14:paraId="3C4B52CA" w14:textId="77777777">
      <w:pPr>
        <w:ind w:left="720"/>
        <w:rPr>
          <w:rFonts w:cstheme="minorHAnsi"/>
        </w:rPr>
      </w:pPr>
      <w:r w:rsidRPr="00BB3410">
        <w:rPr>
          <w:rFonts w:cstheme="minorHAnsi"/>
        </w:rPr>
        <w:t>The respondent activities required are listed in the first column of Table 1: Annual Respondent Burden and Cost – National Volatile Organic Compound Emission Standards for Automobile Refinish Coatings (40 CFR Part 59, Subpart B) (Renewal).</w:t>
      </w:r>
    </w:p>
    <w:p w:rsidR="00D92ED6" w:rsidRPr="00BB3410" w:rsidP="00ED57A4" w14:paraId="0B6BE1C2" w14:textId="4FEC830E">
      <w:pPr>
        <w:pStyle w:val="ListParagraph"/>
        <w:numPr>
          <w:ilvl w:val="1"/>
          <w:numId w:val="25"/>
        </w:numPr>
        <w:spacing w:before="240"/>
        <w:rPr>
          <w:rFonts w:cstheme="minorHAnsi"/>
        </w:rPr>
      </w:pPr>
      <w:r w:rsidRPr="00BB3410">
        <w:rPr>
          <w:rFonts w:cstheme="minorHAnsi"/>
        </w:rPr>
        <w:t xml:space="preserve">Respondent </w:t>
      </w:r>
      <w:r w:rsidRPr="00BB3410" w:rsidR="00BB2B15">
        <w:rPr>
          <w:rFonts w:cstheme="minorHAnsi"/>
        </w:rPr>
        <w:t xml:space="preserve">Burden </w:t>
      </w:r>
      <w:r w:rsidRPr="00BB3410" w:rsidR="00B666CD">
        <w:rPr>
          <w:rFonts w:cstheme="minorHAnsi"/>
        </w:rPr>
        <w:t>Hour</w:t>
      </w:r>
      <w:r w:rsidRPr="00BB3410" w:rsidR="00BB2B15">
        <w:rPr>
          <w:rFonts w:cstheme="minorHAnsi"/>
        </w:rPr>
        <w:t>s</w:t>
      </w:r>
      <w:r w:rsidRPr="00BB3410" w:rsidR="00B666CD">
        <w:rPr>
          <w:rFonts w:cstheme="minorHAnsi"/>
        </w:rPr>
        <w:t xml:space="preserve"> and Labor </w:t>
      </w:r>
      <w:bookmarkEnd w:id="19"/>
      <w:r w:rsidRPr="00BB3410" w:rsidR="00BB2B15">
        <w:rPr>
          <w:rFonts w:cstheme="minorHAnsi"/>
        </w:rPr>
        <w:t>Costs</w:t>
      </w:r>
    </w:p>
    <w:p w:rsidR="00BB3410" w:rsidRPr="00BB3410" w:rsidP="00BB3410" w14:paraId="3F97B966" w14:textId="7934632D">
      <w:pPr>
        <w:pBdr>
          <w:top w:val="single" w:sz="6" w:space="0" w:color="FFFFFF"/>
          <w:left w:val="single" w:sz="6" w:space="0" w:color="FFFFFF"/>
          <w:bottom w:val="single" w:sz="6" w:space="0" w:color="FFFFFF"/>
          <w:right w:val="single" w:sz="6" w:space="0" w:color="FFFFFF"/>
        </w:pBdr>
        <w:ind w:left="720"/>
        <w:rPr>
          <w:rFonts w:cstheme="minorHAnsi"/>
          <w:color w:val="000000"/>
        </w:rPr>
      </w:pPr>
      <w:r w:rsidRPr="00BB3410">
        <w:rPr>
          <w:rFonts w:cstheme="minorHAnsi"/>
          <w:color w:val="000000"/>
        </w:rPr>
        <w:t xml:space="preserve">The total annual labor hours are </w:t>
      </w:r>
      <w:r w:rsidRPr="00BB3410">
        <w:rPr>
          <w:rFonts w:cstheme="minorHAnsi"/>
        </w:rPr>
        <w:t xml:space="preserve">14. </w:t>
      </w:r>
      <w:r w:rsidRPr="00BB3410">
        <w:rPr>
          <w:rFonts w:cstheme="minorHAnsi"/>
          <w:color w:val="000000"/>
        </w:rPr>
        <w:t>Details regarding these estimates may be found below in Table 1</w:t>
      </w:r>
      <w:r w:rsidRPr="00BB3410">
        <w:rPr>
          <w:rFonts w:cstheme="minorHAnsi"/>
          <w:color w:val="000000"/>
        </w:rPr>
        <w:t>.</w:t>
      </w:r>
    </w:p>
    <w:p w:rsidR="00BB3410" w:rsidRPr="00BB3410" w:rsidP="00BB3410" w14:paraId="190F0A8A" w14:textId="77777777">
      <w:pPr>
        <w:pBdr>
          <w:top w:val="single" w:sz="6" w:space="0" w:color="FFFFFF"/>
          <w:left w:val="single" w:sz="6" w:space="0" w:color="FFFFFF"/>
          <w:bottom w:val="single" w:sz="6" w:space="0" w:color="FFFFFF"/>
          <w:right w:val="single" w:sz="6" w:space="0" w:color="FFFFFF"/>
        </w:pBdr>
        <w:ind w:left="720"/>
        <w:rPr>
          <w:rFonts w:cstheme="minorHAnsi"/>
          <w:color w:val="000000"/>
        </w:rPr>
      </w:pPr>
      <w:r w:rsidRPr="00BB3410">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3410" w:rsidRPr="00BB3410" w:rsidP="00BB3410" w14:paraId="2AD22734" w14:textId="77777777">
      <w:pPr>
        <w:pBdr>
          <w:top w:val="single" w:sz="6" w:space="0" w:color="FFFFFF"/>
          <w:left w:val="single" w:sz="6" w:space="0" w:color="FFFFFF"/>
          <w:bottom w:val="single" w:sz="6" w:space="0" w:color="FFFFFF"/>
          <w:right w:val="single" w:sz="6" w:space="0" w:color="FFFFFF"/>
        </w:pBdr>
        <w:ind w:left="720"/>
        <w:rPr>
          <w:rFonts w:cstheme="minorHAnsi"/>
          <w:color w:val="000000"/>
        </w:rPr>
      </w:pPr>
      <w:r w:rsidRPr="00BB3410">
        <w:rPr>
          <w:rFonts w:cstheme="minorHAnsi"/>
          <w:color w:val="000000"/>
        </w:rPr>
        <w:t xml:space="preserve">Furthermore, the annual public reporting and recordkeeping burden for this collection of information is estimated to average </w:t>
      </w:r>
      <w:r w:rsidRPr="00BB3410">
        <w:rPr>
          <w:rFonts w:cstheme="minorHAnsi"/>
        </w:rPr>
        <w:t xml:space="preserve">three </w:t>
      </w:r>
      <w:r w:rsidRPr="00BB3410">
        <w:rPr>
          <w:rFonts w:cstheme="minorHAnsi"/>
          <w:color w:val="000000"/>
        </w:rPr>
        <w:t>hours per response.</w:t>
      </w:r>
    </w:p>
    <w:p w:rsidR="00ED57A4" w:rsidRPr="00BB3410" w:rsidP="00BB3410" w14:paraId="68F435BE" w14:textId="081212AA">
      <w:pPr>
        <w:spacing w:before="240"/>
        <w:ind w:left="720"/>
        <w:rPr>
          <w:rFonts w:cstheme="minorHAnsi"/>
        </w:rPr>
      </w:pPr>
      <w:r w:rsidRPr="00BB3410">
        <w:rPr>
          <w:rFonts w:cstheme="minorHAnsi"/>
        </w:rPr>
        <w:t>The total annual labor costs are $1,850. Details regarding these estimates may be found at the end of this document in Table 1</w:t>
      </w:r>
    </w:p>
    <w:p w:rsidR="00BB2B15" w:rsidRPr="00BB3410" w:rsidP="00BB432F" w14:paraId="5D1B71A2" w14:textId="2ADBBFA0">
      <w:pPr>
        <w:pStyle w:val="ListParagraph"/>
        <w:numPr>
          <w:ilvl w:val="0"/>
          <w:numId w:val="25"/>
        </w:numPr>
        <w:pBdr>
          <w:bottom w:val="single" w:sz="4" w:space="1" w:color="auto"/>
        </w:pBdr>
        <w:spacing w:before="240"/>
        <w:rPr>
          <w:rFonts w:cstheme="minorHAnsi"/>
          <w:caps/>
        </w:rPr>
      </w:pPr>
      <w:bookmarkStart w:id="20" w:name="_Toc156593386"/>
      <w:r w:rsidRPr="00BB3410">
        <w:rPr>
          <w:rFonts w:cstheme="minorHAnsi"/>
          <w:caps/>
        </w:rPr>
        <w:t>Respondent</w:t>
      </w:r>
      <w:r w:rsidRPr="00BB3410" w:rsidR="009A09EC">
        <w:rPr>
          <w:rFonts w:cstheme="minorHAnsi"/>
          <w:caps/>
        </w:rPr>
        <w:t xml:space="preserve"> </w:t>
      </w:r>
      <w:r w:rsidRPr="00BB3410" w:rsidR="00D17BB9">
        <w:rPr>
          <w:rFonts w:cstheme="minorHAnsi"/>
          <w:caps/>
        </w:rPr>
        <w:t xml:space="preserve">CAPITAL AND O&amp;m </w:t>
      </w:r>
      <w:r w:rsidRPr="00BB3410" w:rsidR="004E3CB0">
        <w:rPr>
          <w:rFonts w:cstheme="minorHAnsi"/>
          <w:caps/>
        </w:rPr>
        <w:t>Cost</w:t>
      </w:r>
      <w:r w:rsidRPr="00BB3410" w:rsidR="00D17BB9">
        <w:rPr>
          <w:rFonts w:cstheme="minorHAnsi"/>
          <w:caps/>
        </w:rPr>
        <w:t>S</w:t>
      </w:r>
      <w:bookmarkEnd w:id="20"/>
      <w:r w:rsidRPr="00BB3410" w:rsidR="004E3CB0">
        <w:rPr>
          <w:rFonts w:cstheme="minorHAnsi"/>
          <w:caps/>
        </w:rPr>
        <w:t xml:space="preserve"> </w:t>
      </w:r>
    </w:p>
    <w:p w:rsidR="00BB3410" w:rsidRPr="00BB3410" w:rsidP="00BB3410" w14:paraId="678BA42F"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BB3410">
        <w:rPr>
          <w:rFonts w:cstheme="minorHAnsi"/>
          <w:color w:val="000000"/>
        </w:rPr>
        <w:t>There are no annual capital/startup and O&amp;M costs to the regulated entity.</w:t>
      </w:r>
    </w:p>
    <w:p w:rsidR="00023EFE" w:rsidRPr="00BB3410" w:rsidP="00BB432F" w14:paraId="7D2BF7DE" w14:textId="77777777">
      <w:pPr>
        <w:pStyle w:val="ListParagraph"/>
        <w:numPr>
          <w:ilvl w:val="0"/>
          <w:numId w:val="25"/>
        </w:numPr>
        <w:pBdr>
          <w:bottom w:val="single" w:sz="4" w:space="1" w:color="auto"/>
        </w:pBdr>
        <w:spacing w:before="240"/>
        <w:rPr>
          <w:rFonts w:cstheme="minorHAnsi"/>
        </w:rPr>
      </w:pPr>
      <w:bookmarkStart w:id="21" w:name="_Toc156593387"/>
      <w:r w:rsidRPr="00BB3410">
        <w:rPr>
          <w:rFonts w:cstheme="minorHAnsi"/>
        </w:rPr>
        <w:t xml:space="preserve">AGENCY </w:t>
      </w:r>
      <w:bookmarkStart w:id="22" w:name="_Toc156593388"/>
      <w:bookmarkEnd w:id="21"/>
      <w:r w:rsidRPr="00BB3410" w:rsidR="00BB2B15">
        <w:rPr>
          <w:rFonts w:cstheme="minorHAnsi"/>
        </w:rPr>
        <w:t>COSTS</w:t>
      </w:r>
    </w:p>
    <w:p w:rsidR="00023EFE" w:rsidRPr="00BB3410" w:rsidP="00ED57A4" w14:paraId="1D8BBDEC" w14:textId="77777777">
      <w:pPr>
        <w:pStyle w:val="ListParagraph"/>
        <w:numPr>
          <w:ilvl w:val="1"/>
          <w:numId w:val="25"/>
        </w:numPr>
        <w:spacing w:before="240"/>
        <w:rPr>
          <w:rFonts w:cstheme="minorHAnsi"/>
        </w:rPr>
      </w:pPr>
      <w:r w:rsidRPr="00BB3410">
        <w:rPr>
          <w:rFonts w:eastAsiaTheme="majorEastAsia" w:cstheme="minorHAnsi"/>
        </w:rPr>
        <w:t>Agency Activities</w:t>
      </w:r>
    </w:p>
    <w:p w:rsidR="009F1E00" w:rsidRPr="00BB3410" w:rsidP="009F1E00" w14:paraId="647FDC77" w14:textId="77777777">
      <w:pPr>
        <w:keepNext/>
        <w:keepLines/>
        <w:ind w:left="720"/>
        <w:rPr>
          <w:rFonts w:cstheme="minorHAnsi"/>
        </w:rPr>
      </w:pPr>
      <w:r w:rsidRPr="00BB3410">
        <w:rPr>
          <w:rFonts w:cstheme="minorHAnsi"/>
        </w:rPr>
        <w:t>A list of activities required of the EPA is provided below in Table 2: Average Annual EPA Burden and Cost – National Volatile Organic Compound Emission Standards for Automobile Refinish Coatings (40 CFR Part 59, Subpart B) (Renewal).</w:t>
      </w:r>
    </w:p>
    <w:p w:rsidR="00023EFE" w:rsidRPr="00BB3410" w:rsidP="00ED57A4" w14:paraId="30F74537" w14:textId="77777777">
      <w:pPr>
        <w:pStyle w:val="ListParagraph"/>
        <w:numPr>
          <w:ilvl w:val="1"/>
          <w:numId w:val="25"/>
        </w:numPr>
        <w:spacing w:before="240"/>
        <w:rPr>
          <w:rFonts w:cstheme="minorHAnsi"/>
        </w:rPr>
      </w:pPr>
      <w:r w:rsidRPr="00BB3410">
        <w:rPr>
          <w:rFonts w:eastAsiaTheme="majorEastAsia" w:cstheme="minorHAnsi"/>
        </w:rPr>
        <w:t>Agency Labor Cost</w:t>
      </w:r>
    </w:p>
    <w:p w:rsidR="00BB3410" w:rsidRPr="00BB3410" w:rsidP="00BB3410" w14:paraId="5BA12778" w14:textId="77777777">
      <w:pPr>
        <w:pBdr>
          <w:top w:val="single" w:sz="6" w:space="0" w:color="FFFFFF"/>
          <w:left w:val="single" w:sz="6" w:space="0" w:color="FFFFFF"/>
          <w:bottom w:val="single" w:sz="6" w:space="0" w:color="FFFFFF"/>
          <w:right w:val="single" w:sz="6" w:space="0" w:color="FFFFFF"/>
        </w:pBdr>
        <w:ind w:left="720"/>
        <w:rPr>
          <w:rFonts w:cstheme="minorHAnsi"/>
          <w:color w:val="000000"/>
        </w:rPr>
      </w:pPr>
      <w:r w:rsidRPr="00BB3410">
        <w:rPr>
          <w:rFonts w:cstheme="minorHAnsi"/>
          <w:color w:val="000000"/>
        </w:rPr>
        <w:t xml:space="preserve">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w:t>
      </w:r>
    </w:p>
    <w:p w:rsidR="00BB3410" w:rsidRPr="00BB3410" w:rsidP="00BB3410" w14:paraId="580420C6" w14:textId="4F71228B">
      <w:pPr>
        <w:pBdr>
          <w:top w:val="single" w:sz="6" w:space="0" w:color="FFFFFF"/>
          <w:left w:val="single" w:sz="6" w:space="0" w:color="FFFFFF"/>
          <w:bottom w:val="single" w:sz="6" w:space="0" w:color="FFFFFF"/>
          <w:right w:val="single" w:sz="6" w:space="0" w:color="FFFFFF"/>
        </w:pBdr>
        <w:ind w:left="720"/>
        <w:rPr>
          <w:rFonts w:cstheme="minorHAnsi"/>
          <w:color w:val="000000"/>
        </w:rPr>
      </w:pPr>
      <w:r w:rsidRPr="00BB3410">
        <w:rPr>
          <w:rFonts w:cstheme="minorHAnsi"/>
          <w:color w:val="000000"/>
        </w:rPr>
        <w:t xml:space="preserve">The average annual Agency cost during the three years of the ICR is estimated to be </w:t>
      </w:r>
      <w:r w:rsidRPr="00BB3410">
        <w:rPr>
          <w:rFonts w:cstheme="minorHAnsi"/>
        </w:rPr>
        <w:t xml:space="preserve">$186. </w:t>
      </w:r>
      <w:r w:rsidRPr="00BB3410">
        <w:rPr>
          <w:rFonts w:cstheme="minorHAnsi"/>
          <w:color w:val="000000"/>
        </w:rPr>
        <w:t>This cost is based on the average hourly labor rate as follows:</w:t>
      </w:r>
    </w:p>
    <w:p w:rsidR="00BB3410" w:rsidRPr="00BB3410" w:rsidP="00BB3410" w14:paraId="4FC4CD69" w14:textId="77777777">
      <w:pPr>
        <w:rPr>
          <w:rFonts w:cstheme="minorHAnsi"/>
        </w:rPr>
      </w:pPr>
      <w:r w:rsidRPr="00BB3410">
        <w:rPr>
          <w:rFonts w:cstheme="minorHAnsi"/>
        </w:rPr>
        <w:tab/>
      </w:r>
      <w:r w:rsidRPr="00BB3410">
        <w:rPr>
          <w:rFonts w:cstheme="minorHAnsi"/>
        </w:rPr>
        <w:tab/>
        <w:t>Managerial</w:t>
      </w:r>
      <w:r w:rsidRPr="00BB3410">
        <w:rPr>
          <w:rFonts w:cstheme="minorHAnsi"/>
        </w:rPr>
        <w:tab/>
        <w:t>$73.46 (GS-13, Step 5, $45.91 + 60%)</w:t>
      </w:r>
    </w:p>
    <w:p w:rsidR="00BB3410" w:rsidRPr="00BB3410" w:rsidP="00BB3410" w14:paraId="4C0919EC" w14:textId="77777777">
      <w:pPr>
        <w:rPr>
          <w:rFonts w:cstheme="minorHAnsi"/>
        </w:rPr>
      </w:pPr>
      <w:r w:rsidRPr="00BB3410">
        <w:rPr>
          <w:rFonts w:cstheme="minorHAnsi"/>
        </w:rPr>
        <w:tab/>
      </w:r>
      <w:r w:rsidRPr="00BB3410">
        <w:rPr>
          <w:rFonts w:cstheme="minorHAnsi"/>
        </w:rPr>
        <w:tab/>
        <w:t>Technical</w:t>
      </w:r>
      <w:r w:rsidRPr="00BB3410">
        <w:rPr>
          <w:rFonts w:cstheme="minorHAnsi"/>
        </w:rPr>
        <w:tab/>
        <w:t>$54.51 (GS-12, Step 1, $34.07 + 60%)</w:t>
      </w:r>
    </w:p>
    <w:p w:rsidR="00BB3410" w:rsidRPr="00BB3410" w:rsidP="00BB3410" w14:paraId="14345857" w14:textId="7B4F793C">
      <w:pPr>
        <w:rPr>
          <w:rFonts w:cstheme="minorHAnsi"/>
        </w:rPr>
      </w:pPr>
      <w:r w:rsidRPr="00BB3410">
        <w:rPr>
          <w:rFonts w:cstheme="minorHAnsi"/>
        </w:rPr>
        <w:tab/>
      </w:r>
      <w:r w:rsidRPr="00BB3410">
        <w:rPr>
          <w:rFonts w:cstheme="minorHAnsi"/>
        </w:rPr>
        <w:tab/>
        <w:t>Clerical</w:t>
      </w:r>
      <w:r w:rsidRPr="00BB3410">
        <w:rPr>
          <w:rFonts w:cstheme="minorHAnsi"/>
        </w:rPr>
        <w:tab/>
      </w:r>
      <w:r w:rsidRPr="00BB3410">
        <w:rPr>
          <w:rFonts w:cstheme="minorHAnsi"/>
        </w:rPr>
        <w:tab/>
      </w:r>
      <w:r w:rsidRPr="00BB3410">
        <w:rPr>
          <w:rFonts w:cstheme="minorHAnsi"/>
        </w:rPr>
        <w:t>$29.50 (GS-6, Step 3, $18.44 + 60%)</w:t>
      </w:r>
    </w:p>
    <w:p w:rsidR="009F1E00" w:rsidRPr="00BB3410" w:rsidP="00BB3410" w14:paraId="78D065D6" w14:textId="7D8D30D3">
      <w:pPr>
        <w:pBdr>
          <w:top w:val="single" w:sz="6" w:space="0" w:color="FFFFFF"/>
          <w:left w:val="single" w:sz="6" w:space="0" w:color="FFFFFF"/>
          <w:bottom w:val="single" w:sz="6" w:space="0" w:color="FFFFFF"/>
          <w:right w:val="single" w:sz="6" w:space="0" w:color="FFFFFF"/>
        </w:pBdr>
        <w:ind w:left="720"/>
        <w:rPr>
          <w:rFonts w:cstheme="minorHAnsi"/>
          <w:color w:val="FF0000"/>
        </w:rPr>
      </w:pPr>
      <w:r w:rsidRPr="00BB3410">
        <w:rPr>
          <w:rFonts w:cstheme="minorHAnsi"/>
          <w:color w:val="000000" w:themeColor="text1"/>
        </w:rPr>
        <w:t>These rates are from the Office of Personnel Management (OPM), 2023 General Schedule, which excludes locality rates of pay. The rates have been increased by 60 percent to account for the benefit packages available to Federal government employees</w:t>
      </w:r>
      <w:r w:rsidRPr="00BB3410">
        <w:rPr>
          <w:rFonts w:cstheme="minorHAnsi"/>
        </w:rPr>
        <w:t xml:space="preserve">. </w:t>
      </w:r>
      <w:r w:rsidRPr="00BB3410">
        <w:rPr>
          <w:rFonts w:cstheme="minorHAnsi"/>
          <w:color w:val="000000" w:themeColor="text1"/>
        </w:rPr>
        <w:t xml:space="preserve">Details upon which this estimate is based appear at the end of this document in Table </w:t>
      </w:r>
      <w:r w:rsidRPr="00BB3410">
        <w:rPr>
          <w:rFonts w:cstheme="minorHAnsi"/>
        </w:rPr>
        <w:t>2</w:t>
      </w:r>
      <w:r w:rsidRPr="00BB3410">
        <w:rPr>
          <w:rFonts w:cstheme="minorHAnsi"/>
        </w:rPr>
        <w:t>.</w:t>
      </w:r>
      <w:r w:rsidRPr="00BB3410">
        <w:rPr>
          <w:rFonts w:cstheme="minorHAnsi"/>
        </w:rPr>
        <w:t xml:space="preserve"> </w:t>
      </w:r>
    </w:p>
    <w:p w:rsidR="009F1E00" w:rsidRPr="00BB3410" w:rsidP="009F1E00" w14:paraId="3B2CDC56" w14:textId="77777777">
      <w:pPr>
        <w:pBdr>
          <w:top w:val="single" w:sz="6" w:space="0" w:color="FFFFFF"/>
          <w:left w:val="single" w:sz="6" w:space="0" w:color="FFFFFF"/>
          <w:bottom w:val="single" w:sz="6" w:space="0" w:color="FFFFFF"/>
          <w:right w:val="single" w:sz="6" w:space="0" w:color="FFFFFF"/>
        </w:pBdr>
        <w:ind w:left="720"/>
        <w:rPr>
          <w:rFonts w:cstheme="minorHAnsi"/>
        </w:rPr>
      </w:pPr>
      <w:r w:rsidRPr="00BB3410">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BB3410" w:rsidP="00BB3410" w14:paraId="164B7E2B" w14:textId="7ADAA4F5">
      <w:pPr>
        <w:pStyle w:val="ListParagraph"/>
        <w:numPr>
          <w:ilvl w:val="1"/>
          <w:numId w:val="25"/>
        </w:numPr>
        <w:spacing w:before="240" w:after="0"/>
        <w:rPr>
          <w:rFonts w:cstheme="minorHAnsi"/>
        </w:rPr>
      </w:pPr>
      <w:r w:rsidRPr="00BB3410">
        <w:rPr>
          <w:rFonts w:eastAsiaTheme="majorEastAsia" w:cstheme="minorHAnsi"/>
        </w:rPr>
        <w:t>Agency Non-Labor Costs</w:t>
      </w:r>
    </w:p>
    <w:p w:rsidR="00BB3410" w:rsidRPr="00BB3410" w:rsidP="00BB3410" w14:paraId="7FCA1ABF" w14:textId="685B0448">
      <w:pPr>
        <w:spacing w:before="240"/>
        <w:ind w:left="720"/>
        <w:rPr>
          <w:rFonts w:cstheme="minorHAnsi"/>
        </w:rPr>
      </w:pPr>
      <w:r w:rsidRPr="00BB3410">
        <w:rPr>
          <w:rFonts w:cstheme="minorHAnsi"/>
        </w:rPr>
        <w:t xml:space="preserve">The Agency does not expect to incur any non-labor costs associated with this collection.  </w:t>
      </w:r>
    </w:p>
    <w:p w:rsidR="00ED57A4" w:rsidRPr="00BB3410" w:rsidP="00ED57A4" w14:paraId="7056A24C" w14:textId="77777777">
      <w:pPr>
        <w:pStyle w:val="ListParagraph"/>
        <w:spacing w:before="240"/>
        <w:ind w:left="1440"/>
        <w:rPr>
          <w:rFonts w:cstheme="minorHAnsi"/>
        </w:rPr>
      </w:pPr>
    </w:p>
    <w:p w:rsidR="004620CA" w:rsidRPr="00BB3410" w:rsidP="00BB432F" w14:paraId="3144CC9D" w14:textId="032683CE">
      <w:pPr>
        <w:pStyle w:val="ListParagraph"/>
        <w:numPr>
          <w:ilvl w:val="0"/>
          <w:numId w:val="25"/>
        </w:numPr>
        <w:pBdr>
          <w:bottom w:val="single" w:sz="4" w:space="1" w:color="auto"/>
        </w:pBdr>
        <w:spacing w:before="240"/>
        <w:rPr>
          <w:rFonts w:cstheme="minorHAnsi"/>
        </w:rPr>
      </w:pPr>
      <w:r w:rsidRPr="00BB3410">
        <w:rPr>
          <w:rFonts w:cstheme="minorHAnsi"/>
        </w:rPr>
        <w:t>CHANGE IN BURDEN</w:t>
      </w:r>
      <w:bookmarkEnd w:id="22"/>
    </w:p>
    <w:p w:rsidR="00ED57A4" w:rsidRPr="00BB3410" w:rsidP="009F1E00" w14:paraId="18F76AB6" w14:textId="509D8C82">
      <w:pPr>
        <w:pBdr>
          <w:top w:val="single" w:sz="6" w:space="0" w:color="FFFFFF"/>
          <w:left w:val="single" w:sz="6" w:space="0" w:color="FFFFFF"/>
          <w:bottom w:val="single" w:sz="6" w:space="0" w:color="FFFFFF"/>
          <w:right w:val="single" w:sz="6" w:space="0" w:color="FFFFFF"/>
        </w:pBdr>
        <w:rPr>
          <w:rFonts w:cstheme="minorHAnsi"/>
          <w:color w:val="FF0000"/>
        </w:rPr>
      </w:pPr>
      <w:r w:rsidRPr="00BB3410">
        <w:rPr>
          <w:rFonts w:cstheme="minorHAnsi"/>
        </w:rPr>
        <w:t>The increase in burden from the most-recently approved ICR is due to an adjustment(s). The adjustment increase in burden from the most recently approved ICR is due to an increase in the number of respondents due to growth in the industry. There is an increase in costs from the most recently approved ICR due to the increased respondent count and the use of updated labor rates. This ICR uses labor rates from the most recent Bureau of Labor Statistics report (September 2022) to calculate respondent burden costs.</w:t>
      </w:r>
    </w:p>
    <w:p w:rsidR="005D140B" w:rsidRPr="00BB3410" w:rsidP="00BB432F" w14:paraId="3604F417" w14:textId="77777777">
      <w:pPr>
        <w:pStyle w:val="ListParagraph"/>
        <w:numPr>
          <w:ilvl w:val="0"/>
          <w:numId w:val="25"/>
        </w:numPr>
        <w:pBdr>
          <w:bottom w:val="single" w:sz="4" w:space="1" w:color="auto"/>
        </w:pBdr>
        <w:spacing w:before="240"/>
        <w:rPr>
          <w:rFonts w:cstheme="minorHAnsi"/>
        </w:rPr>
      </w:pPr>
      <w:bookmarkStart w:id="23" w:name="_Toc156593389"/>
      <w:r w:rsidRPr="00BB3410">
        <w:rPr>
          <w:rFonts w:cstheme="minorHAnsi"/>
        </w:rPr>
        <w:t>PUBLICATION OF DATA</w:t>
      </w:r>
      <w:bookmarkStart w:id="24" w:name="_Toc156593390"/>
      <w:bookmarkEnd w:id="23"/>
    </w:p>
    <w:p w:rsidR="00ED57A4" w:rsidRPr="00BB3410" w:rsidP="00ED57A4" w14:paraId="401DB3A9" w14:textId="77777777">
      <w:pPr>
        <w:pStyle w:val="ListParagraph"/>
        <w:spacing w:before="240"/>
        <w:rPr>
          <w:rFonts w:cstheme="minorHAnsi"/>
        </w:rPr>
      </w:pPr>
    </w:p>
    <w:p w:rsidR="00627768" w:rsidRPr="00BB3410" w:rsidP="00BB432F" w14:paraId="54E9D2D0" w14:textId="375E9B76">
      <w:pPr>
        <w:pStyle w:val="ListParagraph"/>
        <w:numPr>
          <w:ilvl w:val="0"/>
          <w:numId w:val="25"/>
        </w:numPr>
        <w:pBdr>
          <w:bottom w:val="single" w:sz="4" w:space="1" w:color="auto"/>
        </w:pBdr>
        <w:spacing w:before="240"/>
        <w:rPr>
          <w:rFonts w:cstheme="minorHAnsi"/>
        </w:rPr>
      </w:pPr>
      <w:r w:rsidRPr="00BB3410">
        <w:rPr>
          <w:rFonts w:cstheme="minorHAnsi"/>
        </w:rPr>
        <w:t xml:space="preserve">DISPLAY </w:t>
      </w:r>
      <w:r w:rsidRPr="00BB3410" w:rsidR="00644EBE">
        <w:rPr>
          <w:rFonts w:cstheme="minorHAnsi"/>
        </w:rPr>
        <w:t xml:space="preserve">OF </w:t>
      </w:r>
      <w:r w:rsidRPr="00BB3410" w:rsidR="000D5863">
        <w:rPr>
          <w:rFonts w:cstheme="minorHAnsi"/>
        </w:rPr>
        <w:t>OMB CONTROL NUMBER AND EXPIRATION DATE</w:t>
      </w:r>
      <w:r w:rsidRPr="00BB3410" w:rsidR="00644EBE">
        <w:rPr>
          <w:rFonts w:cstheme="minorHAnsi"/>
        </w:rPr>
        <w:t xml:space="preserve"> ON INSTRUMENTS</w:t>
      </w:r>
      <w:bookmarkEnd w:id="24"/>
      <w:r w:rsidRPr="00BB3410" w:rsidR="00644EBE">
        <w:rPr>
          <w:rFonts w:cstheme="minorHAnsi"/>
        </w:rPr>
        <w:t xml:space="preserve"> </w:t>
      </w:r>
    </w:p>
    <w:p w:rsidR="00ED57A4" w:rsidRPr="00BB3410" w:rsidP="00BB3410" w14:paraId="38543EA2" w14:textId="76C8FC72">
      <w:pPr>
        <w:pStyle w:val="ListParagraph"/>
        <w:spacing w:before="240"/>
        <w:ind w:left="0"/>
        <w:rPr>
          <w:rFonts w:cstheme="minorHAnsi"/>
        </w:rPr>
      </w:pPr>
      <w:r w:rsidRPr="00BB3410">
        <w:rPr>
          <w:rFonts w:cstheme="minorHAnsi"/>
        </w:rPr>
        <w:t>The agency plans to display the expiration date for OMB approval of the information collection on all instruments.</w:t>
      </w:r>
    </w:p>
    <w:p w:rsidR="00BB3410" w:rsidRPr="00BB3410" w:rsidP="00BB3410" w14:paraId="6FECFA23" w14:textId="77777777">
      <w:pPr>
        <w:pStyle w:val="ListParagraph"/>
        <w:spacing w:before="240"/>
        <w:ind w:left="0"/>
        <w:rPr>
          <w:rFonts w:cstheme="minorHAnsi"/>
        </w:rPr>
      </w:pPr>
    </w:p>
    <w:p w:rsidR="00691828" w:rsidRPr="00BB3410" w:rsidP="00BB432F" w14:paraId="7CCB26DD" w14:textId="4CB12282">
      <w:pPr>
        <w:pStyle w:val="ListParagraph"/>
        <w:numPr>
          <w:ilvl w:val="0"/>
          <w:numId w:val="25"/>
        </w:numPr>
        <w:pBdr>
          <w:bottom w:val="single" w:sz="4" w:space="1" w:color="auto"/>
        </w:pBdr>
        <w:spacing w:before="240"/>
        <w:rPr>
          <w:rFonts w:cstheme="minorHAnsi"/>
        </w:rPr>
      </w:pPr>
      <w:bookmarkStart w:id="25" w:name="_Toc156593391"/>
      <w:r w:rsidRPr="00BB3410">
        <w:rPr>
          <w:rFonts w:cstheme="minorHAnsi"/>
        </w:rPr>
        <w:t>CERTIFICATION STATEMENT</w:t>
      </w:r>
      <w:bookmarkEnd w:id="25"/>
    </w:p>
    <w:p w:rsidR="00ED57A4" w:rsidRPr="00BB3410" w:rsidP="00BB3410" w14:paraId="2765D073" w14:textId="5BBBB63A">
      <w:pPr>
        <w:pStyle w:val="ListParagraph"/>
        <w:spacing w:before="240"/>
        <w:ind w:left="0"/>
        <w:rPr>
          <w:rStyle w:val="normaltextrun"/>
          <w:rFonts w:cstheme="minorHAnsi"/>
          <w:color w:val="000000"/>
          <w:shd w:val="clear" w:color="auto" w:fill="FFFFFF"/>
        </w:rPr>
      </w:pPr>
      <w:r w:rsidRPr="00BB3410">
        <w:rPr>
          <w:rStyle w:val="normaltextrun"/>
          <w:rFonts w:cstheme="minorHAnsi"/>
          <w:color w:val="000000"/>
          <w:shd w:val="clear" w:color="auto" w:fill="FFFFFF"/>
        </w:rPr>
        <w:t>T</w:t>
      </w:r>
      <w:r w:rsidRPr="00BB3410">
        <w:rPr>
          <w:rStyle w:val="normaltextrun"/>
          <w:rFonts w:cstheme="minorHAnsi"/>
          <w:color w:val="000000"/>
          <w:shd w:val="clear" w:color="auto" w:fill="FFFFFF"/>
        </w:rPr>
        <w:t>his information collection complies with all provisions of the Certification for Paperwork Reduction Act Submissions</w:t>
      </w:r>
      <w:r w:rsidRPr="00BB3410">
        <w:rPr>
          <w:rStyle w:val="normaltextrun"/>
          <w:rFonts w:cstheme="minorHAnsi"/>
          <w:color w:val="000000"/>
          <w:shd w:val="clear" w:color="auto" w:fill="FFFFFF"/>
        </w:rPr>
        <w:t>.</w:t>
      </w:r>
    </w:p>
    <w:p w:rsidR="00BB3410" w:rsidRPr="00BB3410" w:rsidP="00BB3410" w14:paraId="0F10E677" w14:textId="43CACB1D">
      <w:pPr>
        <w:rPr>
          <w:rFonts w:cstheme="minorHAnsi"/>
          <w:color w:val="000000"/>
          <w:shd w:val="clear" w:color="auto" w:fill="FFFFFF"/>
        </w:rPr>
        <w:sectPr>
          <w:footerReference w:type="default" r:id="rId10"/>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BB3410" w:rsidP="00BB3410" w14:paraId="40F70296" w14:textId="77777777">
      <w:pPr>
        <w:outlineLvl w:val="0"/>
        <w:rPr>
          <w:b/>
          <w:bCs/>
          <w:color w:val="000000"/>
        </w:rPr>
      </w:pPr>
      <w:r w:rsidRPr="00C4183F">
        <w:rPr>
          <w:b/>
          <w:bCs/>
          <w:color w:val="000000"/>
        </w:rPr>
        <w:t>Table 1: Annual Respondent Burden and Cost</w:t>
      </w:r>
      <w:r>
        <w:rPr>
          <w:b/>
          <w:bCs/>
          <w:color w:val="000000"/>
        </w:rPr>
        <w:t xml:space="preserve"> – </w:t>
      </w:r>
      <w:r w:rsidRPr="00991F83">
        <w:rPr>
          <w:b/>
          <w:bCs/>
        </w:rPr>
        <w:t>National Volatile Organic Compound Emission Standards for Automobile Refinish Coatings</w:t>
      </w:r>
      <w:r w:rsidRPr="00144F35">
        <w:rPr>
          <w:b/>
          <w:bCs/>
          <w:color w:val="FF0000"/>
        </w:rPr>
        <w:t xml:space="preserve"> </w:t>
      </w:r>
      <w:r>
        <w:rPr>
          <w:b/>
          <w:bCs/>
          <w:color w:val="000000"/>
        </w:rPr>
        <w:t xml:space="preserve">(40 CFR Part </w:t>
      </w:r>
      <w:r w:rsidRPr="00991F83">
        <w:rPr>
          <w:b/>
          <w:bCs/>
        </w:rPr>
        <w:t xml:space="preserve">59, Subpart B) </w:t>
      </w:r>
      <w:r>
        <w:rPr>
          <w:b/>
          <w:bCs/>
          <w:color w:val="000000"/>
        </w:rPr>
        <w:t>(Renewal)</w:t>
      </w:r>
    </w:p>
    <w:tbl>
      <w:tblPr>
        <w:tblW w:w="5000" w:type="pct"/>
        <w:tblLook w:val="04A0"/>
      </w:tblPr>
      <w:tblGrid>
        <w:gridCol w:w="4321"/>
        <w:gridCol w:w="1584"/>
        <w:gridCol w:w="1315"/>
        <w:gridCol w:w="1248"/>
        <w:gridCol w:w="1374"/>
        <w:gridCol w:w="1295"/>
        <w:gridCol w:w="1415"/>
        <w:gridCol w:w="1123"/>
        <w:gridCol w:w="941"/>
      </w:tblGrid>
      <w:tr w14:paraId="108C4B77" w14:textId="77777777" w:rsidTr="00BB3410">
        <w:tblPrEx>
          <w:tblW w:w="5000" w:type="pct"/>
          <w:tblLook w:val="04A0"/>
        </w:tblPrEx>
        <w:trPr>
          <w:trHeight w:val="1142"/>
        </w:trPr>
        <w:tc>
          <w:tcPr>
            <w:tcW w:w="14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3410" w:rsidRPr="00BB3410" w:rsidP="002752FF" w14:paraId="11618999" w14:textId="77777777">
            <w:pPr>
              <w:jc w:val="center"/>
              <w:rPr>
                <w:color w:val="000000"/>
                <w:sz w:val="18"/>
                <w:szCs w:val="18"/>
              </w:rPr>
            </w:pPr>
            <w:r w:rsidRPr="00BB3410">
              <w:rPr>
                <w:color w:val="000000"/>
                <w:sz w:val="18"/>
                <w:szCs w:val="18"/>
              </w:rPr>
              <w:t>Burden Item</w:t>
            </w:r>
          </w:p>
        </w:tc>
        <w:tc>
          <w:tcPr>
            <w:tcW w:w="542" w:type="pct"/>
            <w:tcBorders>
              <w:top w:val="single" w:sz="4" w:space="0" w:color="auto"/>
              <w:left w:val="nil"/>
              <w:bottom w:val="single" w:sz="4" w:space="0" w:color="auto"/>
              <w:right w:val="single" w:sz="4" w:space="0" w:color="auto"/>
            </w:tcBorders>
            <w:shd w:val="clear" w:color="auto" w:fill="auto"/>
            <w:hideMark/>
          </w:tcPr>
          <w:p w:rsidR="00BB3410" w:rsidRPr="00BB3410" w:rsidP="002752FF" w14:paraId="65E86CE0" w14:textId="77777777">
            <w:pPr>
              <w:jc w:val="center"/>
              <w:rPr>
                <w:color w:val="000000"/>
                <w:sz w:val="18"/>
                <w:szCs w:val="18"/>
              </w:rPr>
            </w:pPr>
            <w:r w:rsidRPr="00BB3410">
              <w:rPr>
                <w:color w:val="000000"/>
                <w:sz w:val="18"/>
                <w:szCs w:val="18"/>
              </w:rPr>
              <w:t>(A)</w:t>
            </w:r>
            <w:r w:rsidRPr="00BB3410">
              <w:rPr>
                <w:color w:val="000000"/>
                <w:sz w:val="18"/>
                <w:szCs w:val="18"/>
              </w:rPr>
              <w:br/>
              <w:t>Person hours per occurrence</w:t>
            </w:r>
          </w:p>
        </w:tc>
        <w:tc>
          <w:tcPr>
            <w:tcW w:w="450" w:type="pct"/>
            <w:tcBorders>
              <w:top w:val="single" w:sz="4" w:space="0" w:color="auto"/>
              <w:left w:val="nil"/>
              <w:bottom w:val="single" w:sz="4" w:space="0" w:color="auto"/>
              <w:right w:val="single" w:sz="4" w:space="0" w:color="auto"/>
            </w:tcBorders>
            <w:shd w:val="clear" w:color="auto" w:fill="auto"/>
            <w:hideMark/>
          </w:tcPr>
          <w:p w:rsidR="00BB3410" w:rsidRPr="00BB3410" w:rsidP="002752FF" w14:paraId="20A5B35B" w14:textId="77777777">
            <w:pPr>
              <w:jc w:val="center"/>
              <w:rPr>
                <w:color w:val="000000"/>
                <w:sz w:val="18"/>
                <w:szCs w:val="18"/>
              </w:rPr>
            </w:pPr>
            <w:r w:rsidRPr="00BB3410">
              <w:rPr>
                <w:color w:val="000000"/>
                <w:sz w:val="18"/>
                <w:szCs w:val="18"/>
              </w:rPr>
              <w:t>(B)</w:t>
            </w:r>
            <w:r w:rsidRPr="00BB3410">
              <w:rPr>
                <w:color w:val="000000"/>
                <w:sz w:val="18"/>
                <w:szCs w:val="18"/>
              </w:rPr>
              <w:br/>
              <w:t>No. of occurrences per respondent per year</w:t>
            </w:r>
          </w:p>
        </w:tc>
        <w:tc>
          <w:tcPr>
            <w:tcW w:w="427" w:type="pct"/>
            <w:tcBorders>
              <w:top w:val="single" w:sz="4" w:space="0" w:color="auto"/>
              <w:left w:val="nil"/>
              <w:bottom w:val="single" w:sz="4" w:space="0" w:color="auto"/>
              <w:right w:val="single" w:sz="4" w:space="0" w:color="auto"/>
            </w:tcBorders>
            <w:shd w:val="clear" w:color="auto" w:fill="auto"/>
            <w:hideMark/>
          </w:tcPr>
          <w:p w:rsidR="00BB3410" w:rsidRPr="00BB3410" w:rsidP="002752FF" w14:paraId="0FDE65B4" w14:textId="77777777">
            <w:pPr>
              <w:jc w:val="center"/>
              <w:rPr>
                <w:color w:val="000000"/>
                <w:sz w:val="18"/>
                <w:szCs w:val="18"/>
              </w:rPr>
            </w:pPr>
            <w:r w:rsidRPr="00BB3410">
              <w:rPr>
                <w:color w:val="000000"/>
                <w:sz w:val="18"/>
                <w:szCs w:val="18"/>
              </w:rPr>
              <w:t xml:space="preserve">(C) </w:t>
            </w:r>
            <w:r w:rsidRPr="00BB3410">
              <w:rPr>
                <w:color w:val="000000"/>
                <w:sz w:val="18"/>
                <w:szCs w:val="18"/>
              </w:rPr>
              <w:br/>
              <w:t xml:space="preserve">Person hours per respondent per year </w:t>
            </w:r>
            <w:r w:rsidRPr="00BB3410">
              <w:rPr>
                <w:color w:val="000000"/>
                <w:sz w:val="18"/>
                <w:szCs w:val="18"/>
              </w:rPr>
              <w:br/>
              <w:t>(C=</w:t>
            </w:r>
            <w:r w:rsidRPr="00BB3410">
              <w:rPr>
                <w:color w:val="000000"/>
                <w:sz w:val="18"/>
                <w:szCs w:val="18"/>
              </w:rPr>
              <w:t>AxB</w:t>
            </w:r>
            <w:r w:rsidRPr="00BB3410">
              <w:rPr>
                <w:color w:val="000000"/>
                <w:sz w:val="18"/>
                <w:szCs w:val="18"/>
              </w:rPr>
              <w:t>)</w:t>
            </w:r>
          </w:p>
        </w:tc>
        <w:tc>
          <w:tcPr>
            <w:tcW w:w="470" w:type="pct"/>
            <w:tcBorders>
              <w:top w:val="single" w:sz="4" w:space="0" w:color="auto"/>
              <w:left w:val="nil"/>
              <w:bottom w:val="single" w:sz="4" w:space="0" w:color="auto"/>
              <w:right w:val="single" w:sz="4" w:space="0" w:color="auto"/>
            </w:tcBorders>
            <w:shd w:val="clear" w:color="auto" w:fill="auto"/>
            <w:hideMark/>
          </w:tcPr>
          <w:p w:rsidR="00BB3410" w:rsidRPr="00BB3410" w:rsidP="002752FF" w14:paraId="61F07458" w14:textId="77777777">
            <w:pPr>
              <w:jc w:val="center"/>
              <w:rPr>
                <w:color w:val="000000"/>
                <w:sz w:val="18"/>
                <w:szCs w:val="18"/>
              </w:rPr>
            </w:pPr>
            <w:r w:rsidRPr="00BB3410">
              <w:rPr>
                <w:color w:val="000000"/>
                <w:sz w:val="18"/>
                <w:szCs w:val="18"/>
              </w:rPr>
              <w:t>(D)</w:t>
            </w:r>
            <w:r w:rsidRPr="00BB3410">
              <w:rPr>
                <w:color w:val="000000"/>
                <w:sz w:val="18"/>
                <w:szCs w:val="18"/>
              </w:rPr>
              <w:br/>
              <w:t xml:space="preserve">Respondents per year </w:t>
            </w:r>
            <w:r w:rsidRPr="00BB3410">
              <w:rPr>
                <w:color w:val="000000"/>
                <w:sz w:val="18"/>
                <w:szCs w:val="18"/>
                <w:vertAlign w:val="superscript"/>
              </w:rPr>
              <w:t>a</w:t>
            </w:r>
          </w:p>
        </w:tc>
        <w:tc>
          <w:tcPr>
            <w:tcW w:w="443" w:type="pct"/>
            <w:tcBorders>
              <w:top w:val="single" w:sz="4" w:space="0" w:color="auto"/>
              <w:left w:val="nil"/>
              <w:bottom w:val="single" w:sz="4" w:space="0" w:color="auto"/>
              <w:right w:val="single" w:sz="4" w:space="0" w:color="auto"/>
            </w:tcBorders>
            <w:shd w:val="clear" w:color="auto" w:fill="auto"/>
            <w:hideMark/>
          </w:tcPr>
          <w:p w:rsidR="00BB3410" w:rsidRPr="00BB3410" w:rsidP="002752FF" w14:paraId="60AC3885" w14:textId="77777777">
            <w:pPr>
              <w:jc w:val="center"/>
              <w:rPr>
                <w:color w:val="000000"/>
                <w:sz w:val="18"/>
                <w:szCs w:val="18"/>
              </w:rPr>
            </w:pPr>
            <w:r w:rsidRPr="00BB3410">
              <w:rPr>
                <w:color w:val="000000"/>
                <w:sz w:val="18"/>
                <w:szCs w:val="18"/>
              </w:rPr>
              <w:t xml:space="preserve">(E) </w:t>
            </w:r>
            <w:r w:rsidRPr="00BB3410">
              <w:rPr>
                <w:color w:val="000000"/>
                <w:sz w:val="18"/>
                <w:szCs w:val="18"/>
              </w:rPr>
              <w:br/>
              <w:t>Technical person- hours per year (E=</w:t>
            </w:r>
            <w:r w:rsidRPr="00BB3410">
              <w:rPr>
                <w:color w:val="000000"/>
                <w:sz w:val="18"/>
                <w:szCs w:val="18"/>
              </w:rPr>
              <w:t>CxD</w:t>
            </w:r>
            <w:r w:rsidRPr="00BB3410">
              <w:rPr>
                <w:color w:val="000000"/>
                <w:sz w:val="18"/>
                <w:szCs w:val="18"/>
              </w:rPr>
              <w:t>)</w:t>
            </w:r>
          </w:p>
        </w:tc>
        <w:tc>
          <w:tcPr>
            <w:tcW w:w="484" w:type="pct"/>
            <w:tcBorders>
              <w:top w:val="single" w:sz="4" w:space="0" w:color="auto"/>
              <w:left w:val="nil"/>
              <w:bottom w:val="single" w:sz="4" w:space="0" w:color="auto"/>
              <w:right w:val="single" w:sz="4" w:space="0" w:color="auto"/>
            </w:tcBorders>
            <w:shd w:val="clear" w:color="auto" w:fill="auto"/>
            <w:hideMark/>
          </w:tcPr>
          <w:p w:rsidR="00BB3410" w:rsidRPr="00BB3410" w:rsidP="002752FF" w14:paraId="4A013D61" w14:textId="77777777">
            <w:pPr>
              <w:jc w:val="center"/>
              <w:rPr>
                <w:color w:val="000000"/>
                <w:sz w:val="18"/>
                <w:szCs w:val="18"/>
              </w:rPr>
            </w:pPr>
            <w:r w:rsidRPr="00BB3410">
              <w:rPr>
                <w:color w:val="000000"/>
                <w:sz w:val="18"/>
                <w:szCs w:val="18"/>
              </w:rPr>
              <w:t>(F)</w:t>
            </w:r>
            <w:r w:rsidRPr="00BB3410">
              <w:rPr>
                <w:color w:val="000000"/>
                <w:sz w:val="18"/>
                <w:szCs w:val="18"/>
              </w:rPr>
              <w:br/>
              <w:t>Management person hours per year (Ex0.05)</w:t>
            </w:r>
          </w:p>
        </w:tc>
        <w:tc>
          <w:tcPr>
            <w:tcW w:w="384" w:type="pct"/>
            <w:tcBorders>
              <w:top w:val="single" w:sz="4" w:space="0" w:color="auto"/>
              <w:left w:val="nil"/>
              <w:bottom w:val="single" w:sz="4" w:space="0" w:color="auto"/>
              <w:right w:val="single" w:sz="4" w:space="0" w:color="auto"/>
            </w:tcBorders>
            <w:shd w:val="clear" w:color="auto" w:fill="auto"/>
            <w:hideMark/>
          </w:tcPr>
          <w:p w:rsidR="00BB3410" w:rsidRPr="00BB3410" w:rsidP="002752FF" w14:paraId="2C9C7DC4" w14:textId="77777777">
            <w:pPr>
              <w:jc w:val="center"/>
              <w:rPr>
                <w:color w:val="000000"/>
                <w:sz w:val="18"/>
                <w:szCs w:val="18"/>
              </w:rPr>
            </w:pPr>
            <w:r w:rsidRPr="00BB3410">
              <w:rPr>
                <w:color w:val="000000"/>
                <w:sz w:val="18"/>
                <w:szCs w:val="18"/>
              </w:rPr>
              <w:t>(G)</w:t>
            </w:r>
            <w:r w:rsidRPr="00BB3410">
              <w:rPr>
                <w:color w:val="000000"/>
                <w:sz w:val="18"/>
                <w:szCs w:val="18"/>
              </w:rPr>
              <w:br/>
              <w:t>Clerical person hours per year (Ex0.1)</w:t>
            </w:r>
          </w:p>
        </w:tc>
        <w:tc>
          <w:tcPr>
            <w:tcW w:w="323" w:type="pct"/>
            <w:tcBorders>
              <w:top w:val="single" w:sz="4" w:space="0" w:color="auto"/>
              <w:left w:val="nil"/>
              <w:bottom w:val="single" w:sz="4" w:space="0" w:color="auto"/>
              <w:right w:val="single" w:sz="4" w:space="0" w:color="auto"/>
            </w:tcBorders>
            <w:shd w:val="clear" w:color="auto" w:fill="auto"/>
            <w:hideMark/>
          </w:tcPr>
          <w:p w:rsidR="00BB3410" w:rsidRPr="00BB3410" w:rsidP="002752FF" w14:paraId="0A91A5A4" w14:textId="77777777">
            <w:pPr>
              <w:jc w:val="center"/>
              <w:rPr>
                <w:color w:val="000000"/>
                <w:sz w:val="18"/>
                <w:szCs w:val="18"/>
              </w:rPr>
            </w:pPr>
            <w:r w:rsidRPr="00BB3410">
              <w:rPr>
                <w:color w:val="000000"/>
                <w:sz w:val="18"/>
                <w:szCs w:val="18"/>
              </w:rPr>
              <w:t>(H)</w:t>
            </w:r>
            <w:r w:rsidRPr="00BB3410">
              <w:rPr>
                <w:color w:val="000000"/>
                <w:sz w:val="18"/>
                <w:szCs w:val="18"/>
              </w:rPr>
              <w:br/>
              <w:t xml:space="preserve">Cost, $ </w:t>
            </w:r>
            <w:r w:rsidRPr="00BB3410">
              <w:rPr>
                <w:color w:val="000000"/>
                <w:sz w:val="18"/>
                <w:szCs w:val="18"/>
                <w:vertAlign w:val="superscript"/>
              </w:rPr>
              <w:t>b</w:t>
            </w:r>
          </w:p>
        </w:tc>
      </w:tr>
      <w:tr w14:paraId="0543BB65" w14:textId="77777777" w:rsidTr="00BB3410">
        <w:tblPrEx>
          <w:tblW w:w="5000" w:type="pct"/>
          <w:tblLook w:val="04A0"/>
        </w:tblPrEx>
        <w:trPr>
          <w:trHeight w:val="264"/>
        </w:trPr>
        <w:tc>
          <w:tcPr>
            <w:tcW w:w="1478" w:type="pct"/>
            <w:tcBorders>
              <w:top w:val="nil"/>
              <w:left w:val="single" w:sz="4" w:space="0" w:color="auto"/>
              <w:bottom w:val="single" w:sz="4" w:space="0" w:color="auto"/>
              <w:right w:val="single" w:sz="4" w:space="0" w:color="auto"/>
            </w:tcBorders>
            <w:shd w:val="clear" w:color="auto" w:fill="auto"/>
            <w:vAlign w:val="center"/>
            <w:hideMark/>
          </w:tcPr>
          <w:p w:rsidR="00BB3410" w:rsidRPr="00BB3410" w:rsidP="002752FF" w14:paraId="7137C142" w14:textId="77777777">
            <w:pPr>
              <w:rPr>
                <w:color w:val="000000"/>
                <w:sz w:val="18"/>
                <w:szCs w:val="18"/>
              </w:rPr>
            </w:pPr>
            <w:r w:rsidRPr="00BB3410">
              <w:rPr>
                <w:color w:val="000000"/>
                <w:sz w:val="18"/>
                <w:szCs w:val="18"/>
              </w:rPr>
              <w:t>1. Application</w:t>
            </w:r>
          </w:p>
        </w:tc>
        <w:tc>
          <w:tcPr>
            <w:tcW w:w="542" w:type="pct"/>
            <w:tcBorders>
              <w:top w:val="nil"/>
              <w:left w:val="nil"/>
              <w:bottom w:val="single" w:sz="4" w:space="0" w:color="auto"/>
              <w:right w:val="single" w:sz="4" w:space="0" w:color="auto"/>
            </w:tcBorders>
            <w:shd w:val="clear" w:color="auto" w:fill="auto"/>
            <w:vAlign w:val="bottom"/>
            <w:hideMark/>
          </w:tcPr>
          <w:p w:rsidR="00BB3410" w:rsidRPr="00BB3410" w:rsidP="002752FF" w14:paraId="02FE078D" w14:textId="77777777">
            <w:pPr>
              <w:jc w:val="center"/>
              <w:rPr>
                <w:color w:val="000000"/>
                <w:sz w:val="18"/>
                <w:szCs w:val="18"/>
              </w:rPr>
            </w:pPr>
            <w:r w:rsidRPr="00BB3410">
              <w:rPr>
                <w:color w:val="000000"/>
                <w:sz w:val="18"/>
                <w:szCs w:val="18"/>
              </w:rPr>
              <w:t>N/A</w:t>
            </w:r>
          </w:p>
        </w:tc>
        <w:tc>
          <w:tcPr>
            <w:tcW w:w="450" w:type="pct"/>
            <w:tcBorders>
              <w:top w:val="nil"/>
              <w:left w:val="nil"/>
              <w:bottom w:val="single" w:sz="4" w:space="0" w:color="auto"/>
              <w:right w:val="single" w:sz="4" w:space="0" w:color="auto"/>
            </w:tcBorders>
            <w:shd w:val="clear" w:color="auto" w:fill="auto"/>
            <w:vAlign w:val="bottom"/>
            <w:hideMark/>
          </w:tcPr>
          <w:p w:rsidR="00BB3410" w:rsidRPr="00BB3410" w:rsidP="002752FF" w14:paraId="66746863" w14:textId="77777777">
            <w:pPr>
              <w:jc w:val="center"/>
              <w:rPr>
                <w:color w:val="000000"/>
                <w:sz w:val="18"/>
                <w:szCs w:val="18"/>
              </w:rPr>
            </w:pPr>
            <w:r w:rsidRPr="00BB3410">
              <w:rPr>
                <w:color w:val="000000"/>
                <w:sz w:val="18"/>
                <w:szCs w:val="18"/>
              </w:rPr>
              <w:t> </w:t>
            </w:r>
          </w:p>
        </w:tc>
        <w:tc>
          <w:tcPr>
            <w:tcW w:w="427" w:type="pct"/>
            <w:tcBorders>
              <w:top w:val="nil"/>
              <w:left w:val="nil"/>
              <w:bottom w:val="single" w:sz="4" w:space="0" w:color="auto"/>
              <w:right w:val="single" w:sz="4" w:space="0" w:color="auto"/>
            </w:tcBorders>
            <w:shd w:val="clear" w:color="auto" w:fill="auto"/>
            <w:vAlign w:val="bottom"/>
            <w:hideMark/>
          </w:tcPr>
          <w:p w:rsidR="00BB3410" w:rsidRPr="00BB3410" w:rsidP="002752FF" w14:paraId="1AD598B4" w14:textId="77777777">
            <w:pPr>
              <w:jc w:val="center"/>
              <w:rPr>
                <w:color w:val="000000"/>
                <w:sz w:val="18"/>
                <w:szCs w:val="18"/>
              </w:rPr>
            </w:pPr>
            <w:r w:rsidRPr="00BB3410">
              <w:rPr>
                <w:color w:val="000000"/>
                <w:sz w:val="18"/>
                <w:szCs w:val="18"/>
              </w:rPr>
              <w:t> </w:t>
            </w:r>
          </w:p>
        </w:tc>
        <w:tc>
          <w:tcPr>
            <w:tcW w:w="470" w:type="pct"/>
            <w:tcBorders>
              <w:top w:val="nil"/>
              <w:left w:val="nil"/>
              <w:bottom w:val="single" w:sz="4" w:space="0" w:color="auto"/>
              <w:right w:val="single" w:sz="4" w:space="0" w:color="auto"/>
            </w:tcBorders>
            <w:shd w:val="clear" w:color="auto" w:fill="auto"/>
            <w:vAlign w:val="bottom"/>
            <w:hideMark/>
          </w:tcPr>
          <w:p w:rsidR="00BB3410" w:rsidRPr="00BB3410" w:rsidP="002752FF" w14:paraId="0F4FE9BD" w14:textId="77777777">
            <w:pPr>
              <w:jc w:val="center"/>
              <w:rPr>
                <w:color w:val="000000"/>
                <w:sz w:val="18"/>
                <w:szCs w:val="18"/>
              </w:rPr>
            </w:pPr>
            <w:r w:rsidRPr="00BB3410">
              <w:rPr>
                <w:color w:val="000000"/>
                <w:sz w:val="18"/>
                <w:szCs w:val="18"/>
              </w:rPr>
              <w:t> </w:t>
            </w:r>
          </w:p>
        </w:tc>
        <w:tc>
          <w:tcPr>
            <w:tcW w:w="443" w:type="pct"/>
            <w:tcBorders>
              <w:top w:val="nil"/>
              <w:left w:val="nil"/>
              <w:bottom w:val="single" w:sz="4" w:space="0" w:color="auto"/>
              <w:right w:val="single" w:sz="4" w:space="0" w:color="auto"/>
            </w:tcBorders>
            <w:shd w:val="clear" w:color="auto" w:fill="auto"/>
            <w:vAlign w:val="bottom"/>
            <w:hideMark/>
          </w:tcPr>
          <w:p w:rsidR="00BB3410" w:rsidRPr="00BB3410" w:rsidP="002752FF" w14:paraId="07C6C1EB" w14:textId="77777777">
            <w:pPr>
              <w:jc w:val="center"/>
              <w:rPr>
                <w:color w:val="000000"/>
                <w:sz w:val="18"/>
                <w:szCs w:val="18"/>
              </w:rPr>
            </w:pPr>
            <w:r w:rsidRPr="00BB3410">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bottom"/>
            <w:hideMark/>
          </w:tcPr>
          <w:p w:rsidR="00BB3410" w:rsidRPr="00BB3410" w:rsidP="002752FF" w14:paraId="6F0A0812" w14:textId="77777777">
            <w:pPr>
              <w:jc w:val="center"/>
              <w:rPr>
                <w:color w:val="000000"/>
                <w:sz w:val="18"/>
                <w:szCs w:val="18"/>
              </w:rPr>
            </w:pPr>
            <w:r w:rsidRPr="00BB3410">
              <w:rPr>
                <w:color w:val="000000"/>
                <w:sz w:val="18"/>
                <w:szCs w:val="18"/>
              </w:rPr>
              <w:t> </w:t>
            </w:r>
          </w:p>
        </w:tc>
        <w:tc>
          <w:tcPr>
            <w:tcW w:w="384" w:type="pct"/>
            <w:tcBorders>
              <w:top w:val="nil"/>
              <w:left w:val="nil"/>
              <w:bottom w:val="single" w:sz="4" w:space="0" w:color="auto"/>
              <w:right w:val="single" w:sz="4" w:space="0" w:color="auto"/>
            </w:tcBorders>
            <w:shd w:val="clear" w:color="auto" w:fill="auto"/>
            <w:vAlign w:val="bottom"/>
            <w:hideMark/>
          </w:tcPr>
          <w:p w:rsidR="00BB3410" w:rsidRPr="00BB3410" w:rsidP="002752FF" w14:paraId="6EE4811D" w14:textId="77777777">
            <w:pPr>
              <w:jc w:val="center"/>
              <w:rPr>
                <w:color w:val="000000"/>
                <w:sz w:val="18"/>
                <w:szCs w:val="18"/>
              </w:rPr>
            </w:pPr>
            <w:r w:rsidRPr="00BB3410">
              <w:rPr>
                <w:color w:val="000000"/>
                <w:sz w:val="18"/>
                <w:szCs w:val="18"/>
              </w:rPr>
              <w:t> </w:t>
            </w:r>
          </w:p>
        </w:tc>
        <w:tc>
          <w:tcPr>
            <w:tcW w:w="323" w:type="pct"/>
            <w:tcBorders>
              <w:top w:val="nil"/>
              <w:left w:val="nil"/>
              <w:bottom w:val="single" w:sz="4" w:space="0" w:color="auto"/>
              <w:right w:val="single" w:sz="4" w:space="0" w:color="auto"/>
            </w:tcBorders>
            <w:shd w:val="clear" w:color="auto" w:fill="auto"/>
            <w:vAlign w:val="bottom"/>
            <w:hideMark/>
          </w:tcPr>
          <w:p w:rsidR="00BB3410" w:rsidRPr="00BB3410" w:rsidP="002752FF" w14:paraId="4F3A2900" w14:textId="77777777">
            <w:pPr>
              <w:jc w:val="right"/>
              <w:rPr>
                <w:color w:val="000000"/>
                <w:sz w:val="18"/>
                <w:szCs w:val="18"/>
              </w:rPr>
            </w:pPr>
            <w:r w:rsidRPr="00BB3410">
              <w:rPr>
                <w:color w:val="000000"/>
                <w:sz w:val="18"/>
                <w:szCs w:val="18"/>
              </w:rPr>
              <w:t> </w:t>
            </w:r>
          </w:p>
        </w:tc>
      </w:tr>
      <w:tr w14:paraId="4900A7BD" w14:textId="77777777" w:rsidTr="00BB3410">
        <w:tblPrEx>
          <w:tblW w:w="5000" w:type="pct"/>
          <w:tblLook w:val="04A0"/>
        </w:tblPrEx>
        <w:trPr>
          <w:trHeight w:val="264"/>
        </w:trPr>
        <w:tc>
          <w:tcPr>
            <w:tcW w:w="1478" w:type="pct"/>
            <w:tcBorders>
              <w:top w:val="nil"/>
              <w:left w:val="single" w:sz="4" w:space="0" w:color="auto"/>
              <w:bottom w:val="single" w:sz="4" w:space="0" w:color="auto"/>
              <w:right w:val="single" w:sz="4" w:space="0" w:color="auto"/>
            </w:tcBorders>
            <w:shd w:val="clear" w:color="auto" w:fill="auto"/>
            <w:vAlign w:val="center"/>
            <w:hideMark/>
          </w:tcPr>
          <w:p w:rsidR="00BB3410" w:rsidRPr="00BB3410" w:rsidP="002752FF" w14:paraId="1278D5BB" w14:textId="77777777">
            <w:pPr>
              <w:rPr>
                <w:color w:val="000000"/>
                <w:sz w:val="18"/>
                <w:szCs w:val="18"/>
              </w:rPr>
            </w:pPr>
            <w:r w:rsidRPr="00BB3410">
              <w:rPr>
                <w:color w:val="000000"/>
                <w:sz w:val="18"/>
                <w:szCs w:val="18"/>
              </w:rPr>
              <w:t>2. Surveys and Studies</w:t>
            </w:r>
          </w:p>
        </w:tc>
        <w:tc>
          <w:tcPr>
            <w:tcW w:w="542" w:type="pct"/>
            <w:tcBorders>
              <w:top w:val="nil"/>
              <w:left w:val="nil"/>
              <w:bottom w:val="single" w:sz="4" w:space="0" w:color="auto"/>
              <w:right w:val="single" w:sz="4" w:space="0" w:color="auto"/>
            </w:tcBorders>
            <w:shd w:val="clear" w:color="auto" w:fill="auto"/>
            <w:vAlign w:val="center"/>
            <w:hideMark/>
          </w:tcPr>
          <w:p w:rsidR="00BB3410" w:rsidRPr="00BB3410" w:rsidP="002752FF" w14:paraId="40AC17B6" w14:textId="77777777">
            <w:pPr>
              <w:jc w:val="center"/>
              <w:rPr>
                <w:color w:val="000000"/>
                <w:sz w:val="18"/>
                <w:szCs w:val="18"/>
              </w:rPr>
            </w:pPr>
            <w:r w:rsidRPr="00BB3410">
              <w:rPr>
                <w:color w:val="000000"/>
                <w:sz w:val="18"/>
                <w:szCs w:val="18"/>
              </w:rPr>
              <w:t>N/A</w:t>
            </w:r>
          </w:p>
        </w:tc>
        <w:tc>
          <w:tcPr>
            <w:tcW w:w="450" w:type="pct"/>
            <w:tcBorders>
              <w:top w:val="nil"/>
              <w:left w:val="nil"/>
              <w:bottom w:val="single" w:sz="4" w:space="0" w:color="auto"/>
              <w:right w:val="single" w:sz="4" w:space="0" w:color="auto"/>
            </w:tcBorders>
            <w:shd w:val="clear" w:color="auto" w:fill="auto"/>
            <w:vAlign w:val="center"/>
            <w:hideMark/>
          </w:tcPr>
          <w:p w:rsidR="00BB3410" w:rsidRPr="00BB3410" w:rsidP="002752FF" w14:paraId="25168479" w14:textId="77777777">
            <w:pPr>
              <w:jc w:val="center"/>
              <w:rPr>
                <w:color w:val="000000"/>
                <w:sz w:val="18"/>
                <w:szCs w:val="18"/>
              </w:rPr>
            </w:pPr>
            <w:r w:rsidRPr="00BB3410">
              <w:rPr>
                <w:color w:val="000000"/>
                <w:sz w:val="18"/>
                <w:szCs w:val="18"/>
              </w:rPr>
              <w:t> </w:t>
            </w:r>
          </w:p>
        </w:tc>
        <w:tc>
          <w:tcPr>
            <w:tcW w:w="427" w:type="pct"/>
            <w:tcBorders>
              <w:top w:val="nil"/>
              <w:left w:val="nil"/>
              <w:bottom w:val="single" w:sz="4" w:space="0" w:color="auto"/>
              <w:right w:val="single" w:sz="4" w:space="0" w:color="auto"/>
            </w:tcBorders>
            <w:shd w:val="clear" w:color="auto" w:fill="auto"/>
            <w:vAlign w:val="center"/>
            <w:hideMark/>
          </w:tcPr>
          <w:p w:rsidR="00BB3410" w:rsidRPr="00BB3410" w:rsidP="002752FF" w14:paraId="6BE4EA40" w14:textId="77777777">
            <w:pPr>
              <w:jc w:val="center"/>
              <w:rPr>
                <w:color w:val="000000"/>
                <w:sz w:val="18"/>
                <w:szCs w:val="18"/>
              </w:rPr>
            </w:pPr>
            <w:r w:rsidRPr="00BB3410">
              <w:rPr>
                <w:color w:val="000000"/>
                <w:sz w:val="18"/>
                <w:szCs w:val="18"/>
              </w:rPr>
              <w:t> </w:t>
            </w:r>
          </w:p>
        </w:tc>
        <w:tc>
          <w:tcPr>
            <w:tcW w:w="470" w:type="pct"/>
            <w:tcBorders>
              <w:top w:val="nil"/>
              <w:left w:val="nil"/>
              <w:bottom w:val="single" w:sz="4" w:space="0" w:color="auto"/>
              <w:right w:val="single" w:sz="4" w:space="0" w:color="auto"/>
            </w:tcBorders>
            <w:shd w:val="clear" w:color="auto" w:fill="auto"/>
            <w:vAlign w:val="center"/>
            <w:hideMark/>
          </w:tcPr>
          <w:p w:rsidR="00BB3410" w:rsidRPr="00BB3410" w:rsidP="002752FF" w14:paraId="47FB805A" w14:textId="77777777">
            <w:pPr>
              <w:jc w:val="center"/>
              <w:rPr>
                <w:color w:val="000000"/>
                <w:sz w:val="18"/>
                <w:szCs w:val="18"/>
              </w:rPr>
            </w:pPr>
            <w:r w:rsidRPr="00BB3410">
              <w:rPr>
                <w:color w:val="000000"/>
                <w:sz w:val="18"/>
                <w:szCs w:val="18"/>
              </w:rPr>
              <w:t> </w:t>
            </w:r>
          </w:p>
        </w:tc>
        <w:tc>
          <w:tcPr>
            <w:tcW w:w="443" w:type="pct"/>
            <w:tcBorders>
              <w:top w:val="nil"/>
              <w:left w:val="nil"/>
              <w:bottom w:val="single" w:sz="4" w:space="0" w:color="auto"/>
              <w:right w:val="single" w:sz="4" w:space="0" w:color="auto"/>
            </w:tcBorders>
            <w:shd w:val="clear" w:color="auto" w:fill="auto"/>
            <w:vAlign w:val="center"/>
            <w:hideMark/>
          </w:tcPr>
          <w:p w:rsidR="00BB3410" w:rsidRPr="00BB3410" w:rsidP="002752FF" w14:paraId="1677D424" w14:textId="77777777">
            <w:pPr>
              <w:jc w:val="center"/>
              <w:rPr>
                <w:color w:val="000000"/>
                <w:sz w:val="18"/>
                <w:szCs w:val="18"/>
              </w:rPr>
            </w:pPr>
            <w:r w:rsidRPr="00BB3410">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rsidR="00BB3410" w:rsidRPr="00BB3410" w:rsidP="002752FF" w14:paraId="0E121B95" w14:textId="77777777">
            <w:pPr>
              <w:jc w:val="center"/>
              <w:rPr>
                <w:color w:val="000000"/>
                <w:sz w:val="18"/>
                <w:szCs w:val="18"/>
              </w:rPr>
            </w:pPr>
            <w:r w:rsidRPr="00BB3410">
              <w:rPr>
                <w:color w:val="000000"/>
                <w:sz w:val="18"/>
                <w:szCs w:val="18"/>
              </w:rPr>
              <w:t> </w:t>
            </w:r>
          </w:p>
        </w:tc>
        <w:tc>
          <w:tcPr>
            <w:tcW w:w="384" w:type="pct"/>
            <w:tcBorders>
              <w:top w:val="nil"/>
              <w:left w:val="nil"/>
              <w:bottom w:val="single" w:sz="4" w:space="0" w:color="auto"/>
              <w:right w:val="single" w:sz="4" w:space="0" w:color="auto"/>
            </w:tcBorders>
            <w:shd w:val="clear" w:color="auto" w:fill="auto"/>
            <w:vAlign w:val="center"/>
            <w:hideMark/>
          </w:tcPr>
          <w:p w:rsidR="00BB3410" w:rsidRPr="00BB3410" w:rsidP="002752FF" w14:paraId="67B8E6F0" w14:textId="77777777">
            <w:pPr>
              <w:jc w:val="center"/>
              <w:rPr>
                <w:color w:val="000000"/>
                <w:sz w:val="18"/>
                <w:szCs w:val="18"/>
              </w:rPr>
            </w:pPr>
            <w:r w:rsidRPr="00BB3410">
              <w:rPr>
                <w:color w:val="000000"/>
                <w:sz w:val="18"/>
                <w:szCs w:val="18"/>
              </w:rPr>
              <w:t> </w:t>
            </w:r>
          </w:p>
        </w:tc>
        <w:tc>
          <w:tcPr>
            <w:tcW w:w="323" w:type="pct"/>
            <w:tcBorders>
              <w:top w:val="nil"/>
              <w:left w:val="nil"/>
              <w:bottom w:val="single" w:sz="4" w:space="0" w:color="auto"/>
              <w:right w:val="single" w:sz="4" w:space="0" w:color="auto"/>
            </w:tcBorders>
            <w:shd w:val="clear" w:color="auto" w:fill="auto"/>
            <w:vAlign w:val="center"/>
            <w:hideMark/>
          </w:tcPr>
          <w:p w:rsidR="00BB3410" w:rsidRPr="00BB3410" w:rsidP="002752FF" w14:paraId="3B806DCA" w14:textId="77777777">
            <w:pPr>
              <w:jc w:val="right"/>
              <w:rPr>
                <w:color w:val="000000"/>
                <w:sz w:val="18"/>
                <w:szCs w:val="18"/>
              </w:rPr>
            </w:pPr>
            <w:r w:rsidRPr="00BB3410">
              <w:rPr>
                <w:color w:val="000000"/>
                <w:sz w:val="18"/>
                <w:szCs w:val="18"/>
              </w:rPr>
              <w:t> </w:t>
            </w:r>
          </w:p>
        </w:tc>
      </w:tr>
      <w:tr w14:paraId="6A3DCFB9" w14:textId="77777777" w:rsidTr="00BB3410">
        <w:tblPrEx>
          <w:tblW w:w="5000" w:type="pct"/>
          <w:tblLook w:val="04A0"/>
        </w:tblPrEx>
        <w:trPr>
          <w:trHeight w:val="264"/>
        </w:trPr>
        <w:tc>
          <w:tcPr>
            <w:tcW w:w="1478" w:type="pct"/>
            <w:tcBorders>
              <w:top w:val="nil"/>
              <w:left w:val="single" w:sz="4" w:space="0" w:color="auto"/>
              <w:bottom w:val="single" w:sz="4" w:space="0" w:color="auto"/>
              <w:right w:val="single" w:sz="4" w:space="0" w:color="auto"/>
            </w:tcBorders>
            <w:shd w:val="clear" w:color="auto" w:fill="auto"/>
            <w:vAlign w:val="center"/>
            <w:hideMark/>
          </w:tcPr>
          <w:p w:rsidR="00BB3410" w:rsidRPr="00BB3410" w:rsidP="002752FF" w14:paraId="392FD0D5" w14:textId="77777777">
            <w:pPr>
              <w:rPr>
                <w:color w:val="000000"/>
                <w:sz w:val="18"/>
                <w:szCs w:val="18"/>
              </w:rPr>
            </w:pPr>
            <w:r w:rsidRPr="00BB3410">
              <w:rPr>
                <w:color w:val="000000"/>
                <w:sz w:val="18"/>
                <w:szCs w:val="18"/>
              </w:rPr>
              <w:t>3. Reporting Requirements</w:t>
            </w:r>
          </w:p>
        </w:tc>
        <w:tc>
          <w:tcPr>
            <w:tcW w:w="542" w:type="pct"/>
            <w:tcBorders>
              <w:top w:val="nil"/>
              <w:left w:val="nil"/>
              <w:bottom w:val="single" w:sz="4" w:space="0" w:color="auto"/>
              <w:right w:val="single" w:sz="4" w:space="0" w:color="auto"/>
            </w:tcBorders>
            <w:shd w:val="clear" w:color="auto" w:fill="auto"/>
            <w:vAlign w:val="center"/>
            <w:hideMark/>
          </w:tcPr>
          <w:p w:rsidR="00BB3410" w:rsidRPr="00BB3410" w:rsidP="002752FF" w14:paraId="7A6B46AE" w14:textId="77777777">
            <w:pPr>
              <w:jc w:val="center"/>
              <w:rPr>
                <w:color w:val="000000"/>
                <w:sz w:val="18"/>
                <w:szCs w:val="18"/>
              </w:rPr>
            </w:pPr>
            <w:r w:rsidRPr="00BB3410">
              <w:rPr>
                <w:color w:val="000000"/>
                <w:sz w:val="18"/>
                <w:szCs w:val="18"/>
              </w:rPr>
              <w:t> </w:t>
            </w:r>
          </w:p>
        </w:tc>
        <w:tc>
          <w:tcPr>
            <w:tcW w:w="450" w:type="pct"/>
            <w:tcBorders>
              <w:top w:val="nil"/>
              <w:left w:val="nil"/>
              <w:bottom w:val="single" w:sz="4" w:space="0" w:color="auto"/>
              <w:right w:val="single" w:sz="4" w:space="0" w:color="auto"/>
            </w:tcBorders>
            <w:shd w:val="clear" w:color="auto" w:fill="auto"/>
            <w:vAlign w:val="center"/>
            <w:hideMark/>
          </w:tcPr>
          <w:p w:rsidR="00BB3410" w:rsidRPr="00BB3410" w:rsidP="002752FF" w14:paraId="0083701C" w14:textId="77777777">
            <w:pPr>
              <w:jc w:val="center"/>
              <w:rPr>
                <w:color w:val="000000"/>
                <w:sz w:val="18"/>
                <w:szCs w:val="18"/>
              </w:rPr>
            </w:pPr>
            <w:r w:rsidRPr="00BB3410">
              <w:rPr>
                <w:color w:val="000000"/>
                <w:sz w:val="18"/>
                <w:szCs w:val="18"/>
              </w:rPr>
              <w:t> </w:t>
            </w:r>
          </w:p>
        </w:tc>
        <w:tc>
          <w:tcPr>
            <w:tcW w:w="427" w:type="pct"/>
            <w:tcBorders>
              <w:top w:val="nil"/>
              <w:left w:val="nil"/>
              <w:bottom w:val="single" w:sz="4" w:space="0" w:color="auto"/>
              <w:right w:val="single" w:sz="4" w:space="0" w:color="auto"/>
            </w:tcBorders>
            <w:shd w:val="clear" w:color="auto" w:fill="auto"/>
            <w:vAlign w:val="center"/>
            <w:hideMark/>
          </w:tcPr>
          <w:p w:rsidR="00BB3410" w:rsidRPr="00BB3410" w:rsidP="002752FF" w14:paraId="4D708F0E" w14:textId="77777777">
            <w:pPr>
              <w:jc w:val="center"/>
              <w:rPr>
                <w:color w:val="000000"/>
                <w:sz w:val="18"/>
                <w:szCs w:val="18"/>
              </w:rPr>
            </w:pPr>
            <w:r w:rsidRPr="00BB3410">
              <w:rPr>
                <w:color w:val="000000"/>
                <w:sz w:val="18"/>
                <w:szCs w:val="18"/>
              </w:rPr>
              <w:t> </w:t>
            </w:r>
          </w:p>
        </w:tc>
        <w:tc>
          <w:tcPr>
            <w:tcW w:w="470" w:type="pct"/>
            <w:tcBorders>
              <w:top w:val="nil"/>
              <w:left w:val="nil"/>
              <w:bottom w:val="single" w:sz="4" w:space="0" w:color="auto"/>
              <w:right w:val="single" w:sz="4" w:space="0" w:color="auto"/>
            </w:tcBorders>
            <w:shd w:val="clear" w:color="auto" w:fill="auto"/>
            <w:vAlign w:val="center"/>
            <w:hideMark/>
          </w:tcPr>
          <w:p w:rsidR="00BB3410" w:rsidRPr="00BB3410" w:rsidP="002752FF" w14:paraId="722CDE5B" w14:textId="77777777">
            <w:pPr>
              <w:jc w:val="center"/>
              <w:rPr>
                <w:color w:val="000000"/>
                <w:sz w:val="18"/>
                <w:szCs w:val="18"/>
              </w:rPr>
            </w:pPr>
            <w:r w:rsidRPr="00BB3410">
              <w:rPr>
                <w:color w:val="000000"/>
                <w:sz w:val="18"/>
                <w:szCs w:val="18"/>
              </w:rPr>
              <w:t> </w:t>
            </w:r>
          </w:p>
        </w:tc>
        <w:tc>
          <w:tcPr>
            <w:tcW w:w="443" w:type="pct"/>
            <w:tcBorders>
              <w:top w:val="nil"/>
              <w:left w:val="nil"/>
              <w:bottom w:val="single" w:sz="4" w:space="0" w:color="auto"/>
              <w:right w:val="single" w:sz="4" w:space="0" w:color="auto"/>
            </w:tcBorders>
            <w:shd w:val="clear" w:color="auto" w:fill="auto"/>
            <w:vAlign w:val="center"/>
            <w:hideMark/>
          </w:tcPr>
          <w:p w:rsidR="00BB3410" w:rsidRPr="00BB3410" w:rsidP="002752FF" w14:paraId="3E5B3F4C" w14:textId="77777777">
            <w:pPr>
              <w:jc w:val="center"/>
              <w:rPr>
                <w:color w:val="000000"/>
                <w:sz w:val="18"/>
                <w:szCs w:val="18"/>
              </w:rPr>
            </w:pPr>
            <w:r w:rsidRPr="00BB3410">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rsidR="00BB3410" w:rsidRPr="00BB3410" w:rsidP="002752FF" w14:paraId="4D98125D" w14:textId="77777777">
            <w:pPr>
              <w:jc w:val="center"/>
              <w:rPr>
                <w:color w:val="000000"/>
                <w:sz w:val="18"/>
                <w:szCs w:val="18"/>
              </w:rPr>
            </w:pPr>
            <w:r w:rsidRPr="00BB3410">
              <w:rPr>
                <w:color w:val="000000"/>
                <w:sz w:val="18"/>
                <w:szCs w:val="18"/>
              </w:rPr>
              <w:t> </w:t>
            </w:r>
          </w:p>
        </w:tc>
        <w:tc>
          <w:tcPr>
            <w:tcW w:w="384" w:type="pct"/>
            <w:tcBorders>
              <w:top w:val="nil"/>
              <w:left w:val="nil"/>
              <w:bottom w:val="single" w:sz="4" w:space="0" w:color="auto"/>
              <w:right w:val="single" w:sz="4" w:space="0" w:color="auto"/>
            </w:tcBorders>
            <w:shd w:val="clear" w:color="auto" w:fill="auto"/>
            <w:vAlign w:val="center"/>
            <w:hideMark/>
          </w:tcPr>
          <w:p w:rsidR="00BB3410" w:rsidRPr="00BB3410" w:rsidP="002752FF" w14:paraId="5E0545C3" w14:textId="77777777">
            <w:pPr>
              <w:jc w:val="center"/>
              <w:rPr>
                <w:color w:val="000000"/>
                <w:sz w:val="18"/>
                <w:szCs w:val="18"/>
              </w:rPr>
            </w:pPr>
            <w:r w:rsidRPr="00BB3410">
              <w:rPr>
                <w:color w:val="000000"/>
                <w:sz w:val="18"/>
                <w:szCs w:val="18"/>
              </w:rPr>
              <w:t> </w:t>
            </w:r>
          </w:p>
        </w:tc>
        <w:tc>
          <w:tcPr>
            <w:tcW w:w="323" w:type="pct"/>
            <w:tcBorders>
              <w:top w:val="nil"/>
              <w:left w:val="nil"/>
              <w:bottom w:val="single" w:sz="4" w:space="0" w:color="auto"/>
              <w:right w:val="single" w:sz="4" w:space="0" w:color="auto"/>
            </w:tcBorders>
            <w:shd w:val="clear" w:color="auto" w:fill="auto"/>
            <w:vAlign w:val="center"/>
            <w:hideMark/>
          </w:tcPr>
          <w:p w:rsidR="00BB3410" w:rsidRPr="00BB3410" w:rsidP="002752FF" w14:paraId="0B522ABA" w14:textId="77777777">
            <w:pPr>
              <w:jc w:val="right"/>
              <w:rPr>
                <w:color w:val="000000"/>
                <w:sz w:val="18"/>
                <w:szCs w:val="18"/>
              </w:rPr>
            </w:pPr>
            <w:r w:rsidRPr="00BB3410">
              <w:rPr>
                <w:color w:val="000000"/>
                <w:sz w:val="18"/>
                <w:szCs w:val="18"/>
              </w:rPr>
              <w:t> </w:t>
            </w:r>
          </w:p>
        </w:tc>
      </w:tr>
      <w:tr w14:paraId="62A0A0EA" w14:textId="77777777" w:rsidTr="00BB3410">
        <w:tblPrEx>
          <w:tblW w:w="5000" w:type="pct"/>
          <w:tblLook w:val="04A0"/>
        </w:tblPrEx>
        <w:trPr>
          <w:trHeight w:val="312"/>
        </w:trPr>
        <w:tc>
          <w:tcPr>
            <w:tcW w:w="1478" w:type="pct"/>
            <w:tcBorders>
              <w:top w:val="nil"/>
              <w:left w:val="single" w:sz="4" w:space="0" w:color="auto"/>
              <w:bottom w:val="single" w:sz="4" w:space="0" w:color="auto"/>
              <w:right w:val="single" w:sz="4" w:space="0" w:color="auto"/>
            </w:tcBorders>
            <w:shd w:val="clear" w:color="auto" w:fill="auto"/>
            <w:vAlign w:val="center"/>
            <w:hideMark/>
          </w:tcPr>
          <w:p w:rsidR="00BB3410" w:rsidRPr="00BB3410" w:rsidP="002752FF" w14:paraId="6056E836" w14:textId="77777777">
            <w:pPr>
              <w:ind w:firstLine="180" w:firstLineChars="100"/>
              <w:rPr>
                <w:color w:val="000000"/>
                <w:sz w:val="18"/>
                <w:szCs w:val="18"/>
              </w:rPr>
            </w:pPr>
            <w:r w:rsidRPr="00BB3410">
              <w:rPr>
                <w:color w:val="000000"/>
                <w:sz w:val="18"/>
                <w:szCs w:val="18"/>
              </w:rPr>
              <w:t xml:space="preserve">A. Read Instructions </w:t>
            </w:r>
            <w:r w:rsidRPr="00BB3410">
              <w:rPr>
                <w:color w:val="000000"/>
                <w:sz w:val="18"/>
                <w:szCs w:val="18"/>
                <w:vertAlign w:val="superscript"/>
              </w:rPr>
              <w:t>c</w:t>
            </w:r>
          </w:p>
        </w:tc>
        <w:tc>
          <w:tcPr>
            <w:tcW w:w="542" w:type="pct"/>
            <w:tcBorders>
              <w:top w:val="nil"/>
              <w:left w:val="nil"/>
              <w:bottom w:val="single" w:sz="4" w:space="0" w:color="auto"/>
              <w:right w:val="single" w:sz="4" w:space="0" w:color="auto"/>
            </w:tcBorders>
            <w:shd w:val="clear" w:color="auto" w:fill="auto"/>
            <w:vAlign w:val="center"/>
            <w:hideMark/>
          </w:tcPr>
          <w:p w:rsidR="00BB3410" w:rsidRPr="00BB3410" w:rsidP="002752FF" w14:paraId="01175110" w14:textId="77777777">
            <w:pPr>
              <w:jc w:val="center"/>
              <w:rPr>
                <w:color w:val="000000"/>
                <w:sz w:val="18"/>
                <w:szCs w:val="18"/>
              </w:rPr>
            </w:pPr>
            <w:r w:rsidRPr="00BB3410">
              <w:rPr>
                <w:color w:val="000000"/>
                <w:sz w:val="18"/>
                <w:szCs w:val="18"/>
              </w:rPr>
              <w:t>2</w:t>
            </w:r>
          </w:p>
        </w:tc>
        <w:tc>
          <w:tcPr>
            <w:tcW w:w="450" w:type="pct"/>
            <w:tcBorders>
              <w:top w:val="nil"/>
              <w:left w:val="nil"/>
              <w:bottom w:val="single" w:sz="4" w:space="0" w:color="auto"/>
              <w:right w:val="single" w:sz="4" w:space="0" w:color="auto"/>
            </w:tcBorders>
            <w:shd w:val="clear" w:color="auto" w:fill="auto"/>
            <w:vAlign w:val="center"/>
            <w:hideMark/>
          </w:tcPr>
          <w:p w:rsidR="00BB3410" w:rsidRPr="00BB3410" w:rsidP="002752FF" w14:paraId="768D866F" w14:textId="77777777">
            <w:pPr>
              <w:jc w:val="center"/>
              <w:rPr>
                <w:color w:val="000000"/>
                <w:sz w:val="18"/>
                <w:szCs w:val="18"/>
              </w:rPr>
            </w:pPr>
            <w:r w:rsidRPr="00BB3410">
              <w:rPr>
                <w:color w:val="000000"/>
                <w:sz w:val="18"/>
                <w:szCs w:val="18"/>
              </w:rPr>
              <w:t>1</w:t>
            </w:r>
          </w:p>
        </w:tc>
        <w:tc>
          <w:tcPr>
            <w:tcW w:w="427" w:type="pct"/>
            <w:tcBorders>
              <w:top w:val="nil"/>
              <w:left w:val="nil"/>
              <w:bottom w:val="single" w:sz="4" w:space="0" w:color="auto"/>
              <w:right w:val="single" w:sz="4" w:space="0" w:color="auto"/>
            </w:tcBorders>
            <w:shd w:val="clear" w:color="auto" w:fill="auto"/>
            <w:vAlign w:val="center"/>
            <w:hideMark/>
          </w:tcPr>
          <w:p w:rsidR="00BB3410" w:rsidRPr="00BB3410" w:rsidP="002752FF" w14:paraId="2E6B564C" w14:textId="77777777">
            <w:pPr>
              <w:jc w:val="center"/>
              <w:rPr>
                <w:color w:val="000000"/>
                <w:sz w:val="18"/>
                <w:szCs w:val="18"/>
              </w:rPr>
            </w:pPr>
            <w:r w:rsidRPr="00BB3410">
              <w:rPr>
                <w:color w:val="000000"/>
                <w:sz w:val="18"/>
                <w:szCs w:val="18"/>
              </w:rPr>
              <w:t>2</w:t>
            </w:r>
          </w:p>
        </w:tc>
        <w:tc>
          <w:tcPr>
            <w:tcW w:w="470" w:type="pct"/>
            <w:tcBorders>
              <w:top w:val="nil"/>
              <w:left w:val="nil"/>
              <w:bottom w:val="single" w:sz="4" w:space="0" w:color="auto"/>
              <w:right w:val="single" w:sz="4" w:space="0" w:color="auto"/>
            </w:tcBorders>
            <w:shd w:val="clear" w:color="auto" w:fill="auto"/>
            <w:vAlign w:val="center"/>
            <w:hideMark/>
          </w:tcPr>
          <w:p w:rsidR="00BB3410" w:rsidRPr="00BB3410" w:rsidP="002752FF" w14:paraId="66DA7E4B" w14:textId="77777777">
            <w:pPr>
              <w:jc w:val="center"/>
              <w:rPr>
                <w:color w:val="000000"/>
                <w:sz w:val="18"/>
                <w:szCs w:val="18"/>
              </w:rPr>
            </w:pPr>
            <w:r w:rsidRPr="00BB3410">
              <w:rPr>
                <w:color w:val="000000"/>
                <w:sz w:val="18"/>
                <w:szCs w:val="18"/>
              </w:rPr>
              <w:t>1</w:t>
            </w:r>
          </w:p>
        </w:tc>
        <w:tc>
          <w:tcPr>
            <w:tcW w:w="443" w:type="pct"/>
            <w:tcBorders>
              <w:top w:val="nil"/>
              <w:left w:val="nil"/>
              <w:bottom w:val="single" w:sz="4" w:space="0" w:color="auto"/>
              <w:right w:val="single" w:sz="4" w:space="0" w:color="auto"/>
            </w:tcBorders>
            <w:shd w:val="clear" w:color="auto" w:fill="auto"/>
            <w:vAlign w:val="center"/>
            <w:hideMark/>
          </w:tcPr>
          <w:p w:rsidR="00BB3410" w:rsidRPr="00BB3410" w:rsidP="002752FF" w14:paraId="672BF788" w14:textId="77777777">
            <w:pPr>
              <w:jc w:val="center"/>
              <w:rPr>
                <w:color w:val="000000"/>
                <w:sz w:val="18"/>
                <w:szCs w:val="18"/>
              </w:rPr>
            </w:pPr>
            <w:r w:rsidRPr="00BB3410">
              <w:rPr>
                <w:color w:val="000000"/>
                <w:sz w:val="18"/>
                <w:szCs w:val="18"/>
              </w:rPr>
              <w:t>2</w:t>
            </w:r>
          </w:p>
        </w:tc>
        <w:tc>
          <w:tcPr>
            <w:tcW w:w="484" w:type="pct"/>
            <w:tcBorders>
              <w:top w:val="nil"/>
              <w:left w:val="nil"/>
              <w:bottom w:val="single" w:sz="4" w:space="0" w:color="auto"/>
              <w:right w:val="single" w:sz="4" w:space="0" w:color="auto"/>
            </w:tcBorders>
            <w:shd w:val="clear" w:color="auto" w:fill="auto"/>
            <w:vAlign w:val="center"/>
            <w:hideMark/>
          </w:tcPr>
          <w:p w:rsidR="00BB3410" w:rsidRPr="00BB3410" w:rsidP="002752FF" w14:paraId="1CC41904" w14:textId="77777777">
            <w:pPr>
              <w:jc w:val="center"/>
              <w:rPr>
                <w:color w:val="000000"/>
                <w:sz w:val="18"/>
                <w:szCs w:val="18"/>
              </w:rPr>
            </w:pPr>
            <w:r w:rsidRPr="00BB3410">
              <w:rPr>
                <w:color w:val="000000"/>
                <w:sz w:val="18"/>
                <w:szCs w:val="18"/>
              </w:rPr>
              <w:t>0</w:t>
            </w:r>
          </w:p>
        </w:tc>
        <w:tc>
          <w:tcPr>
            <w:tcW w:w="384" w:type="pct"/>
            <w:tcBorders>
              <w:top w:val="nil"/>
              <w:left w:val="nil"/>
              <w:bottom w:val="single" w:sz="4" w:space="0" w:color="auto"/>
              <w:right w:val="single" w:sz="4" w:space="0" w:color="auto"/>
            </w:tcBorders>
            <w:shd w:val="clear" w:color="auto" w:fill="auto"/>
            <w:vAlign w:val="center"/>
            <w:hideMark/>
          </w:tcPr>
          <w:p w:rsidR="00BB3410" w:rsidRPr="00BB3410" w:rsidP="002752FF" w14:paraId="2A00648E" w14:textId="77777777">
            <w:pPr>
              <w:jc w:val="center"/>
              <w:rPr>
                <w:color w:val="000000"/>
                <w:sz w:val="18"/>
                <w:szCs w:val="18"/>
              </w:rPr>
            </w:pPr>
            <w:r w:rsidRPr="00BB3410">
              <w:rPr>
                <w:color w:val="000000"/>
                <w:sz w:val="18"/>
                <w:szCs w:val="18"/>
              </w:rPr>
              <w:t>0</w:t>
            </w:r>
          </w:p>
        </w:tc>
        <w:tc>
          <w:tcPr>
            <w:tcW w:w="323" w:type="pct"/>
            <w:tcBorders>
              <w:top w:val="nil"/>
              <w:left w:val="nil"/>
              <w:bottom w:val="single" w:sz="4" w:space="0" w:color="auto"/>
              <w:right w:val="single" w:sz="4" w:space="0" w:color="auto"/>
            </w:tcBorders>
            <w:shd w:val="clear" w:color="auto" w:fill="auto"/>
            <w:vAlign w:val="center"/>
            <w:hideMark/>
          </w:tcPr>
          <w:p w:rsidR="00BB3410" w:rsidRPr="00BB3410" w:rsidP="002752FF" w14:paraId="6C1E549B" w14:textId="77777777">
            <w:pPr>
              <w:jc w:val="right"/>
              <w:rPr>
                <w:color w:val="000000"/>
                <w:sz w:val="18"/>
                <w:szCs w:val="18"/>
              </w:rPr>
            </w:pPr>
            <w:r w:rsidRPr="00BB3410">
              <w:rPr>
                <w:color w:val="000000"/>
                <w:sz w:val="18"/>
                <w:szCs w:val="18"/>
              </w:rPr>
              <w:t xml:space="preserve">$260.56 </w:t>
            </w:r>
          </w:p>
        </w:tc>
      </w:tr>
      <w:tr w14:paraId="76114C91" w14:textId="77777777" w:rsidTr="00BB3410">
        <w:tblPrEx>
          <w:tblW w:w="5000" w:type="pct"/>
          <w:tblLook w:val="04A0"/>
        </w:tblPrEx>
        <w:trPr>
          <w:trHeight w:val="264"/>
        </w:trPr>
        <w:tc>
          <w:tcPr>
            <w:tcW w:w="1478" w:type="pct"/>
            <w:tcBorders>
              <w:top w:val="nil"/>
              <w:left w:val="single" w:sz="4" w:space="0" w:color="auto"/>
              <w:bottom w:val="single" w:sz="4" w:space="0" w:color="auto"/>
              <w:right w:val="single" w:sz="4" w:space="0" w:color="auto"/>
            </w:tcBorders>
            <w:shd w:val="clear" w:color="auto" w:fill="auto"/>
            <w:vAlign w:val="center"/>
            <w:hideMark/>
          </w:tcPr>
          <w:p w:rsidR="00BB3410" w:rsidRPr="00BB3410" w:rsidP="002752FF" w14:paraId="474A0C58" w14:textId="77777777">
            <w:pPr>
              <w:ind w:firstLine="180" w:firstLineChars="100"/>
              <w:rPr>
                <w:color w:val="000000"/>
                <w:sz w:val="18"/>
                <w:szCs w:val="18"/>
              </w:rPr>
            </w:pPr>
            <w:r w:rsidRPr="00BB3410">
              <w:rPr>
                <w:color w:val="000000"/>
                <w:sz w:val="18"/>
                <w:szCs w:val="18"/>
              </w:rPr>
              <w:t>B. Gather Existing Information</w:t>
            </w:r>
          </w:p>
        </w:tc>
        <w:tc>
          <w:tcPr>
            <w:tcW w:w="542" w:type="pct"/>
            <w:tcBorders>
              <w:top w:val="nil"/>
              <w:left w:val="nil"/>
              <w:bottom w:val="single" w:sz="4" w:space="0" w:color="auto"/>
              <w:right w:val="single" w:sz="4" w:space="0" w:color="auto"/>
            </w:tcBorders>
            <w:shd w:val="clear" w:color="auto" w:fill="auto"/>
            <w:noWrap/>
            <w:vAlign w:val="center"/>
            <w:hideMark/>
          </w:tcPr>
          <w:p w:rsidR="00BB3410" w:rsidRPr="00BB3410" w:rsidP="002752FF" w14:paraId="7EC875EA" w14:textId="77777777">
            <w:pPr>
              <w:rPr>
                <w:color w:val="000000"/>
                <w:sz w:val="18"/>
                <w:szCs w:val="18"/>
              </w:rPr>
            </w:pPr>
            <w:r w:rsidRPr="00BB3410">
              <w:rPr>
                <w:color w:val="000000"/>
                <w:sz w:val="18"/>
                <w:szCs w:val="18"/>
              </w:rPr>
              <w:t xml:space="preserve">Included in </w:t>
            </w:r>
            <w:r w:rsidRPr="00BB3410">
              <w:rPr>
                <w:color w:val="000000"/>
                <w:sz w:val="18"/>
                <w:szCs w:val="18"/>
              </w:rPr>
              <w:t>3.C.</w:t>
            </w:r>
          </w:p>
        </w:tc>
        <w:tc>
          <w:tcPr>
            <w:tcW w:w="450" w:type="pct"/>
            <w:tcBorders>
              <w:top w:val="nil"/>
              <w:left w:val="nil"/>
              <w:bottom w:val="single" w:sz="4" w:space="0" w:color="auto"/>
              <w:right w:val="single" w:sz="4" w:space="0" w:color="auto"/>
            </w:tcBorders>
            <w:shd w:val="clear" w:color="auto" w:fill="auto"/>
            <w:vAlign w:val="center"/>
            <w:hideMark/>
          </w:tcPr>
          <w:p w:rsidR="00BB3410" w:rsidRPr="00BB3410" w:rsidP="002752FF" w14:paraId="6B608C10" w14:textId="77777777">
            <w:pPr>
              <w:jc w:val="center"/>
              <w:rPr>
                <w:color w:val="000000"/>
                <w:sz w:val="18"/>
                <w:szCs w:val="18"/>
              </w:rPr>
            </w:pPr>
            <w:r w:rsidRPr="00BB3410">
              <w:rPr>
                <w:color w:val="000000"/>
                <w:sz w:val="18"/>
                <w:szCs w:val="18"/>
              </w:rPr>
              <w:t> </w:t>
            </w:r>
          </w:p>
        </w:tc>
        <w:tc>
          <w:tcPr>
            <w:tcW w:w="427" w:type="pct"/>
            <w:tcBorders>
              <w:top w:val="nil"/>
              <w:left w:val="nil"/>
              <w:bottom w:val="single" w:sz="4" w:space="0" w:color="auto"/>
              <w:right w:val="single" w:sz="4" w:space="0" w:color="auto"/>
            </w:tcBorders>
            <w:shd w:val="clear" w:color="auto" w:fill="auto"/>
            <w:vAlign w:val="center"/>
            <w:hideMark/>
          </w:tcPr>
          <w:p w:rsidR="00BB3410" w:rsidRPr="00BB3410" w:rsidP="002752FF" w14:paraId="71EA3DF7" w14:textId="77777777">
            <w:pPr>
              <w:jc w:val="center"/>
              <w:rPr>
                <w:color w:val="000000"/>
                <w:sz w:val="18"/>
                <w:szCs w:val="18"/>
              </w:rPr>
            </w:pPr>
            <w:r w:rsidRPr="00BB3410">
              <w:rPr>
                <w:color w:val="000000"/>
                <w:sz w:val="18"/>
                <w:szCs w:val="18"/>
              </w:rPr>
              <w:t> </w:t>
            </w:r>
          </w:p>
        </w:tc>
        <w:tc>
          <w:tcPr>
            <w:tcW w:w="470" w:type="pct"/>
            <w:tcBorders>
              <w:top w:val="nil"/>
              <w:left w:val="nil"/>
              <w:bottom w:val="single" w:sz="4" w:space="0" w:color="auto"/>
              <w:right w:val="single" w:sz="4" w:space="0" w:color="auto"/>
            </w:tcBorders>
            <w:shd w:val="clear" w:color="auto" w:fill="auto"/>
            <w:vAlign w:val="center"/>
            <w:hideMark/>
          </w:tcPr>
          <w:p w:rsidR="00BB3410" w:rsidRPr="00BB3410" w:rsidP="002752FF" w14:paraId="42582C2F" w14:textId="77777777">
            <w:pPr>
              <w:jc w:val="center"/>
              <w:rPr>
                <w:color w:val="000000"/>
                <w:sz w:val="18"/>
                <w:szCs w:val="18"/>
              </w:rPr>
            </w:pPr>
            <w:r w:rsidRPr="00BB3410">
              <w:rPr>
                <w:color w:val="000000"/>
                <w:sz w:val="18"/>
                <w:szCs w:val="18"/>
              </w:rPr>
              <w:t> </w:t>
            </w:r>
          </w:p>
        </w:tc>
        <w:tc>
          <w:tcPr>
            <w:tcW w:w="443" w:type="pct"/>
            <w:tcBorders>
              <w:top w:val="nil"/>
              <w:left w:val="nil"/>
              <w:bottom w:val="single" w:sz="4" w:space="0" w:color="auto"/>
              <w:right w:val="single" w:sz="4" w:space="0" w:color="auto"/>
            </w:tcBorders>
            <w:shd w:val="clear" w:color="auto" w:fill="auto"/>
            <w:vAlign w:val="center"/>
            <w:hideMark/>
          </w:tcPr>
          <w:p w:rsidR="00BB3410" w:rsidRPr="00BB3410" w:rsidP="002752FF" w14:paraId="4BA3DFDD" w14:textId="77777777">
            <w:pPr>
              <w:jc w:val="center"/>
              <w:rPr>
                <w:color w:val="000000"/>
                <w:sz w:val="18"/>
                <w:szCs w:val="18"/>
              </w:rPr>
            </w:pPr>
            <w:r w:rsidRPr="00BB3410">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rsidR="00BB3410" w:rsidRPr="00BB3410" w:rsidP="002752FF" w14:paraId="68D0047D" w14:textId="77777777">
            <w:pPr>
              <w:jc w:val="center"/>
              <w:rPr>
                <w:color w:val="000000"/>
                <w:sz w:val="18"/>
                <w:szCs w:val="18"/>
              </w:rPr>
            </w:pPr>
            <w:r w:rsidRPr="00BB3410">
              <w:rPr>
                <w:color w:val="000000"/>
                <w:sz w:val="18"/>
                <w:szCs w:val="18"/>
              </w:rPr>
              <w:t> </w:t>
            </w:r>
          </w:p>
        </w:tc>
        <w:tc>
          <w:tcPr>
            <w:tcW w:w="384" w:type="pct"/>
            <w:tcBorders>
              <w:top w:val="nil"/>
              <w:left w:val="nil"/>
              <w:bottom w:val="single" w:sz="4" w:space="0" w:color="auto"/>
              <w:right w:val="single" w:sz="4" w:space="0" w:color="auto"/>
            </w:tcBorders>
            <w:shd w:val="clear" w:color="auto" w:fill="auto"/>
            <w:vAlign w:val="center"/>
            <w:hideMark/>
          </w:tcPr>
          <w:p w:rsidR="00BB3410" w:rsidRPr="00BB3410" w:rsidP="002752FF" w14:paraId="0F491C22" w14:textId="77777777">
            <w:pPr>
              <w:jc w:val="center"/>
              <w:rPr>
                <w:color w:val="000000"/>
                <w:sz w:val="18"/>
                <w:szCs w:val="18"/>
              </w:rPr>
            </w:pPr>
            <w:r w:rsidRPr="00BB3410">
              <w:rPr>
                <w:color w:val="000000"/>
                <w:sz w:val="18"/>
                <w:szCs w:val="18"/>
              </w:rPr>
              <w:t> </w:t>
            </w:r>
          </w:p>
        </w:tc>
        <w:tc>
          <w:tcPr>
            <w:tcW w:w="323" w:type="pct"/>
            <w:tcBorders>
              <w:top w:val="nil"/>
              <w:left w:val="nil"/>
              <w:bottom w:val="single" w:sz="4" w:space="0" w:color="auto"/>
              <w:right w:val="single" w:sz="4" w:space="0" w:color="auto"/>
            </w:tcBorders>
            <w:shd w:val="clear" w:color="auto" w:fill="auto"/>
            <w:vAlign w:val="center"/>
            <w:hideMark/>
          </w:tcPr>
          <w:p w:rsidR="00BB3410" w:rsidRPr="00BB3410" w:rsidP="002752FF" w14:paraId="02C90D56" w14:textId="77777777">
            <w:pPr>
              <w:jc w:val="right"/>
              <w:rPr>
                <w:color w:val="000000"/>
                <w:sz w:val="18"/>
                <w:szCs w:val="18"/>
              </w:rPr>
            </w:pPr>
            <w:r w:rsidRPr="00BB3410">
              <w:rPr>
                <w:color w:val="000000"/>
                <w:sz w:val="18"/>
                <w:szCs w:val="18"/>
              </w:rPr>
              <w:t> </w:t>
            </w:r>
          </w:p>
        </w:tc>
      </w:tr>
      <w:tr w14:paraId="3F6C876D" w14:textId="77777777" w:rsidTr="00BB3410">
        <w:tblPrEx>
          <w:tblW w:w="5000" w:type="pct"/>
          <w:tblLook w:val="04A0"/>
        </w:tblPrEx>
        <w:trPr>
          <w:trHeight w:val="264"/>
        </w:trPr>
        <w:tc>
          <w:tcPr>
            <w:tcW w:w="1478" w:type="pct"/>
            <w:tcBorders>
              <w:top w:val="nil"/>
              <w:left w:val="single" w:sz="4" w:space="0" w:color="auto"/>
              <w:bottom w:val="single" w:sz="4" w:space="0" w:color="auto"/>
              <w:right w:val="single" w:sz="4" w:space="0" w:color="auto"/>
            </w:tcBorders>
            <w:shd w:val="clear" w:color="auto" w:fill="auto"/>
            <w:vAlign w:val="center"/>
            <w:hideMark/>
          </w:tcPr>
          <w:p w:rsidR="00BB3410" w:rsidRPr="00BB3410" w:rsidP="002752FF" w14:paraId="10B35CF4" w14:textId="77777777">
            <w:pPr>
              <w:ind w:firstLine="180" w:firstLineChars="100"/>
              <w:rPr>
                <w:color w:val="000000"/>
                <w:sz w:val="18"/>
                <w:szCs w:val="18"/>
              </w:rPr>
            </w:pPr>
            <w:r w:rsidRPr="00BB3410">
              <w:rPr>
                <w:color w:val="000000"/>
                <w:sz w:val="18"/>
                <w:szCs w:val="18"/>
              </w:rPr>
              <w:t>C. Write Report</w:t>
            </w:r>
          </w:p>
        </w:tc>
        <w:tc>
          <w:tcPr>
            <w:tcW w:w="542" w:type="pct"/>
            <w:tcBorders>
              <w:top w:val="nil"/>
              <w:left w:val="nil"/>
              <w:bottom w:val="single" w:sz="4" w:space="0" w:color="auto"/>
              <w:right w:val="single" w:sz="4" w:space="0" w:color="auto"/>
            </w:tcBorders>
            <w:shd w:val="clear" w:color="auto" w:fill="auto"/>
            <w:vAlign w:val="center"/>
            <w:hideMark/>
          </w:tcPr>
          <w:p w:rsidR="00BB3410" w:rsidRPr="00BB3410" w:rsidP="002752FF" w14:paraId="4C01B403" w14:textId="77777777">
            <w:pPr>
              <w:jc w:val="center"/>
              <w:rPr>
                <w:color w:val="000000"/>
                <w:sz w:val="18"/>
                <w:szCs w:val="18"/>
              </w:rPr>
            </w:pPr>
            <w:r w:rsidRPr="00BB3410">
              <w:rPr>
                <w:color w:val="000000"/>
                <w:sz w:val="18"/>
                <w:szCs w:val="18"/>
              </w:rPr>
              <w:t> </w:t>
            </w:r>
          </w:p>
        </w:tc>
        <w:tc>
          <w:tcPr>
            <w:tcW w:w="450" w:type="pct"/>
            <w:tcBorders>
              <w:top w:val="nil"/>
              <w:left w:val="nil"/>
              <w:bottom w:val="single" w:sz="4" w:space="0" w:color="auto"/>
              <w:right w:val="single" w:sz="4" w:space="0" w:color="auto"/>
            </w:tcBorders>
            <w:shd w:val="clear" w:color="auto" w:fill="auto"/>
            <w:vAlign w:val="center"/>
            <w:hideMark/>
          </w:tcPr>
          <w:p w:rsidR="00BB3410" w:rsidRPr="00BB3410" w:rsidP="002752FF" w14:paraId="7863B9D8" w14:textId="77777777">
            <w:pPr>
              <w:jc w:val="center"/>
              <w:rPr>
                <w:color w:val="000000"/>
                <w:sz w:val="18"/>
                <w:szCs w:val="18"/>
              </w:rPr>
            </w:pPr>
            <w:r w:rsidRPr="00BB3410">
              <w:rPr>
                <w:color w:val="000000"/>
                <w:sz w:val="18"/>
                <w:szCs w:val="18"/>
              </w:rPr>
              <w:t> </w:t>
            </w:r>
          </w:p>
        </w:tc>
        <w:tc>
          <w:tcPr>
            <w:tcW w:w="427" w:type="pct"/>
            <w:tcBorders>
              <w:top w:val="nil"/>
              <w:left w:val="nil"/>
              <w:bottom w:val="single" w:sz="4" w:space="0" w:color="auto"/>
              <w:right w:val="single" w:sz="4" w:space="0" w:color="auto"/>
            </w:tcBorders>
            <w:shd w:val="clear" w:color="auto" w:fill="auto"/>
            <w:vAlign w:val="center"/>
            <w:hideMark/>
          </w:tcPr>
          <w:p w:rsidR="00BB3410" w:rsidRPr="00BB3410" w:rsidP="002752FF" w14:paraId="24DD7CBF" w14:textId="77777777">
            <w:pPr>
              <w:jc w:val="center"/>
              <w:rPr>
                <w:color w:val="000000"/>
                <w:sz w:val="18"/>
                <w:szCs w:val="18"/>
              </w:rPr>
            </w:pPr>
            <w:r w:rsidRPr="00BB3410">
              <w:rPr>
                <w:color w:val="000000"/>
                <w:sz w:val="18"/>
                <w:szCs w:val="18"/>
              </w:rPr>
              <w:t> </w:t>
            </w:r>
          </w:p>
        </w:tc>
        <w:tc>
          <w:tcPr>
            <w:tcW w:w="470" w:type="pct"/>
            <w:tcBorders>
              <w:top w:val="nil"/>
              <w:left w:val="nil"/>
              <w:bottom w:val="single" w:sz="4" w:space="0" w:color="auto"/>
              <w:right w:val="single" w:sz="4" w:space="0" w:color="auto"/>
            </w:tcBorders>
            <w:shd w:val="clear" w:color="auto" w:fill="auto"/>
            <w:vAlign w:val="center"/>
            <w:hideMark/>
          </w:tcPr>
          <w:p w:rsidR="00BB3410" w:rsidRPr="00BB3410" w:rsidP="002752FF" w14:paraId="600766CE" w14:textId="77777777">
            <w:pPr>
              <w:jc w:val="center"/>
              <w:rPr>
                <w:color w:val="000000"/>
                <w:sz w:val="18"/>
                <w:szCs w:val="18"/>
              </w:rPr>
            </w:pPr>
            <w:r w:rsidRPr="00BB3410">
              <w:rPr>
                <w:color w:val="000000"/>
                <w:sz w:val="18"/>
                <w:szCs w:val="18"/>
              </w:rPr>
              <w:t> </w:t>
            </w:r>
          </w:p>
        </w:tc>
        <w:tc>
          <w:tcPr>
            <w:tcW w:w="443" w:type="pct"/>
            <w:tcBorders>
              <w:top w:val="nil"/>
              <w:left w:val="nil"/>
              <w:bottom w:val="single" w:sz="4" w:space="0" w:color="auto"/>
              <w:right w:val="single" w:sz="4" w:space="0" w:color="auto"/>
            </w:tcBorders>
            <w:shd w:val="clear" w:color="auto" w:fill="auto"/>
            <w:vAlign w:val="center"/>
            <w:hideMark/>
          </w:tcPr>
          <w:p w:rsidR="00BB3410" w:rsidRPr="00BB3410" w:rsidP="002752FF" w14:paraId="16FFC840" w14:textId="77777777">
            <w:pPr>
              <w:jc w:val="center"/>
              <w:rPr>
                <w:color w:val="000000"/>
                <w:sz w:val="18"/>
                <w:szCs w:val="18"/>
              </w:rPr>
            </w:pPr>
            <w:r w:rsidRPr="00BB3410">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center"/>
            <w:hideMark/>
          </w:tcPr>
          <w:p w:rsidR="00BB3410" w:rsidRPr="00BB3410" w:rsidP="002752FF" w14:paraId="6DB209CD" w14:textId="77777777">
            <w:pPr>
              <w:jc w:val="center"/>
              <w:rPr>
                <w:color w:val="000000"/>
                <w:sz w:val="18"/>
                <w:szCs w:val="18"/>
              </w:rPr>
            </w:pPr>
            <w:r w:rsidRPr="00BB3410">
              <w:rPr>
                <w:color w:val="000000"/>
                <w:sz w:val="18"/>
                <w:szCs w:val="18"/>
              </w:rPr>
              <w:t> </w:t>
            </w:r>
          </w:p>
        </w:tc>
        <w:tc>
          <w:tcPr>
            <w:tcW w:w="384" w:type="pct"/>
            <w:tcBorders>
              <w:top w:val="nil"/>
              <w:left w:val="nil"/>
              <w:bottom w:val="single" w:sz="4" w:space="0" w:color="auto"/>
              <w:right w:val="single" w:sz="4" w:space="0" w:color="auto"/>
            </w:tcBorders>
            <w:shd w:val="clear" w:color="auto" w:fill="auto"/>
            <w:vAlign w:val="center"/>
            <w:hideMark/>
          </w:tcPr>
          <w:p w:rsidR="00BB3410" w:rsidRPr="00BB3410" w:rsidP="002752FF" w14:paraId="622EF368" w14:textId="77777777">
            <w:pPr>
              <w:jc w:val="center"/>
              <w:rPr>
                <w:color w:val="000000"/>
                <w:sz w:val="18"/>
                <w:szCs w:val="18"/>
              </w:rPr>
            </w:pPr>
            <w:r w:rsidRPr="00BB3410">
              <w:rPr>
                <w:color w:val="000000"/>
                <w:sz w:val="18"/>
                <w:szCs w:val="18"/>
              </w:rPr>
              <w:t> </w:t>
            </w:r>
          </w:p>
        </w:tc>
        <w:tc>
          <w:tcPr>
            <w:tcW w:w="323" w:type="pct"/>
            <w:tcBorders>
              <w:top w:val="nil"/>
              <w:left w:val="nil"/>
              <w:bottom w:val="single" w:sz="4" w:space="0" w:color="auto"/>
              <w:right w:val="single" w:sz="4" w:space="0" w:color="auto"/>
            </w:tcBorders>
            <w:shd w:val="clear" w:color="auto" w:fill="auto"/>
            <w:vAlign w:val="center"/>
            <w:hideMark/>
          </w:tcPr>
          <w:p w:rsidR="00BB3410" w:rsidRPr="00BB3410" w:rsidP="002752FF" w14:paraId="3E3CD963" w14:textId="77777777">
            <w:pPr>
              <w:jc w:val="right"/>
              <w:rPr>
                <w:color w:val="000000"/>
                <w:sz w:val="18"/>
                <w:szCs w:val="18"/>
              </w:rPr>
            </w:pPr>
            <w:r w:rsidRPr="00BB3410">
              <w:rPr>
                <w:color w:val="000000"/>
                <w:sz w:val="18"/>
                <w:szCs w:val="18"/>
              </w:rPr>
              <w:t> </w:t>
            </w:r>
          </w:p>
        </w:tc>
      </w:tr>
      <w:tr w14:paraId="0C4BE580" w14:textId="77777777" w:rsidTr="00BB3410">
        <w:tblPrEx>
          <w:tblW w:w="5000" w:type="pct"/>
          <w:tblLook w:val="04A0"/>
        </w:tblPrEx>
        <w:trPr>
          <w:trHeight w:val="312"/>
        </w:trPr>
        <w:tc>
          <w:tcPr>
            <w:tcW w:w="1478" w:type="pct"/>
            <w:tcBorders>
              <w:top w:val="nil"/>
              <w:left w:val="single" w:sz="4" w:space="0" w:color="auto"/>
              <w:bottom w:val="single" w:sz="4" w:space="0" w:color="auto"/>
              <w:right w:val="single" w:sz="4" w:space="0" w:color="auto"/>
            </w:tcBorders>
            <w:shd w:val="clear" w:color="auto" w:fill="auto"/>
            <w:vAlign w:val="center"/>
            <w:hideMark/>
          </w:tcPr>
          <w:p w:rsidR="00BB3410" w:rsidRPr="00BB3410" w:rsidP="002752FF" w14:paraId="41943FFB" w14:textId="77777777">
            <w:pPr>
              <w:ind w:firstLine="360" w:firstLineChars="200"/>
              <w:rPr>
                <w:color w:val="000000"/>
                <w:sz w:val="18"/>
                <w:szCs w:val="18"/>
              </w:rPr>
            </w:pPr>
            <w:r w:rsidRPr="00BB3410">
              <w:rPr>
                <w:color w:val="000000"/>
                <w:sz w:val="18"/>
                <w:szCs w:val="18"/>
              </w:rPr>
              <w:t>i</w:t>
            </w:r>
            <w:r w:rsidRPr="00BB3410">
              <w:rPr>
                <w:color w:val="000000"/>
                <w:sz w:val="18"/>
                <w:szCs w:val="18"/>
              </w:rPr>
              <w:t xml:space="preserve">. Initial Report </w:t>
            </w:r>
            <w:r w:rsidRPr="00BB3410">
              <w:rPr>
                <w:color w:val="000000"/>
                <w:sz w:val="18"/>
                <w:szCs w:val="18"/>
                <w:vertAlign w:val="superscript"/>
              </w:rPr>
              <w:t>c</w:t>
            </w:r>
          </w:p>
        </w:tc>
        <w:tc>
          <w:tcPr>
            <w:tcW w:w="542" w:type="pct"/>
            <w:tcBorders>
              <w:top w:val="nil"/>
              <w:left w:val="nil"/>
              <w:bottom w:val="single" w:sz="4" w:space="0" w:color="auto"/>
              <w:right w:val="single" w:sz="4" w:space="0" w:color="auto"/>
            </w:tcBorders>
            <w:shd w:val="clear" w:color="auto" w:fill="auto"/>
            <w:vAlign w:val="center"/>
            <w:hideMark/>
          </w:tcPr>
          <w:p w:rsidR="00BB3410" w:rsidRPr="00BB3410" w:rsidP="002752FF" w14:paraId="6F6762C9" w14:textId="77777777">
            <w:pPr>
              <w:jc w:val="center"/>
              <w:rPr>
                <w:color w:val="000000"/>
                <w:sz w:val="18"/>
                <w:szCs w:val="18"/>
              </w:rPr>
            </w:pPr>
            <w:r w:rsidRPr="00BB3410">
              <w:rPr>
                <w:color w:val="000000"/>
                <w:sz w:val="18"/>
                <w:szCs w:val="18"/>
              </w:rPr>
              <w:t>2</w:t>
            </w:r>
          </w:p>
        </w:tc>
        <w:tc>
          <w:tcPr>
            <w:tcW w:w="450" w:type="pct"/>
            <w:tcBorders>
              <w:top w:val="nil"/>
              <w:left w:val="nil"/>
              <w:bottom w:val="single" w:sz="4" w:space="0" w:color="auto"/>
              <w:right w:val="single" w:sz="4" w:space="0" w:color="auto"/>
            </w:tcBorders>
            <w:shd w:val="clear" w:color="auto" w:fill="auto"/>
            <w:vAlign w:val="center"/>
            <w:hideMark/>
          </w:tcPr>
          <w:p w:rsidR="00BB3410" w:rsidRPr="00BB3410" w:rsidP="002752FF" w14:paraId="6C45BAB8" w14:textId="77777777">
            <w:pPr>
              <w:jc w:val="center"/>
              <w:rPr>
                <w:color w:val="000000"/>
                <w:sz w:val="18"/>
                <w:szCs w:val="18"/>
              </w:rPr>
            </w:pPr>
            <w:r w:rsidRPr="00BB3410">
              <w:rPr>
                <w:color w:val="000000"/>
                <w:sz w:val="18"/>
                <w:szCs w:val="18"/>
              </w:rPr>
              <w:t>1</w:t>
            </w:r>
          </w:p>
        </w:tc>
        <w:tc>
          <w:tcPr>
            <w:tcW w:w="427" w:type="pct"/>
            <w:tcBorders>
              <w:top w:val="nil"/>
              <w:left w:val="nil"/>
              <w:bottom w:val="single" w:sz="4" w:space="0" w:color="auto"/>
              <w:right w:val="single" w:sz="4" w:space="0" w:color="auto"/>
            </w:tcBorders>
            <w:shd w:val="clear" w:color="auto" w:fill="auto"/>
            <w:vAlign w:val="center"/>
            <w:hideMark/>
          </w:tcPr>
          <w:p w:rsidR="00BB3410" w:rsidRPr="00BB3410" w:rsidP="002752FF" w14:paraId="4A190EDE" w14:textId="77777777">
            <w:pPr>
              <w:jc w:val="center"/>
              <w:rPr>
                <w:color w:val="000000"/>
                <w:sz w:val="18"/>
                <w:szCs w:val="18"/>
              </w:rPr>
            </w:pPr>
            <w:r w:rsidRPr="00BB3410">
              <w:rPr>
                <w:color w:val="000000"/>
                <w:sz w:val="18"/>
                <w:szCs w:val="18"/>
              </w:rPr>
              <w:t>2</w:t>
            </w:r>
          </w:p>
        </w:tc>
        <w:tc>
          <w:tcPr>
            <w:tcW w:w="470" w:type="pct"/>
            <w:tcBorders>
              <w:top w:val="nil"/>
              <w:left w:val="nil"/>
              <w:bottom w:val="single" w:sz="4" w:space="0" w:color="auto"/>
              <w:right w:val="single" w:sz="4" w:space="0" w:color="auto"/>
            </w:tcBorders>
            <w:shd w:val="clear" w:color="auto" w:fill="auto"/>
            <w:vAlign w:val="center"/>
            <w:hideMark/>
          </w:tcPr>
          <w:p w:rsidR="00BB3410" w:rsidRPr="00BB3410" w:rsidP="002752FF" w14:paraId="3E5C3563" w14:textId="77777777">
            <w:pPr>
              <w:jc w:val="center"/>
              <w:rPr>
                <w:color w:val="000000"/>
                <w:sz w:val="18"/>
                <w:szCs w:val="18"/>
              </w:rPr>
            </w:pPr>
            <w:r w:rsidRPr="00BB3410">
              <w:rPr>
                <w:color w:val="000000"/>
                <w:sz w:val="18"/>
                <w:szCs w:val="18"/>
              </w:rPr>
              <w:t>1</w:t>
            </w:r>
          </w:p>
        </w:tc>
        <w:tc>
          <w:tcPr>
            <w:tcW w:w="443" w:type="pct"/>
            <w:tcBorders>
              <w:top w:val="nil"/>
              <w:left w:val="nil"/>
              <w:bottom w:val="single" w:sz="4" w:space="0" w:color="auto"/>
              <w:right w:val="single" w:sz="4" w:space="0" w:color="auto"/>
            </w:tcBorders>
            <w:shd w:val="clear" w:color="auto" w:fill="auto"/>
            <w:vAlign w:val="center"/>
            <w:hideMark/>
          </w:tcPr>
          <w:p w:rsidR="00BB3410" w:rsidRPr="00BB3410" w:rsidP="002752FF" w14:paraId="7278EF87" w14:textId="77777777">
            <w:pPr>
              <w:jc w:val="center"/>
              <w:rPr>
                <w:color w:val="000000"/>
                <w:sz w:val="18"/>
                <w:szCs w:val="18"/>
              </w:rPr>
            </w:pPr>
            <w:r w:rsidRPr="00BB3410">
              <w:rPr>
                <w:color w:val="000000"/>
                <w:sz w:val="18"/>
                <w:szCs w:val="18"/>
              </w:rPr>
              <w:t>2</w:t>
            </w:r>
          </w:p>
        </w:tc>
        <w:tc>
          <w:tcPr>
            <w:tcW w:w="484" w:type="pct"/>
            <w:tcBorders>
              <w:top w:val="nil"/>
              <w:left w:val="nil"/>
              <w:bottom w:val="single" w:sz="4" w:space="0" w:color="auto"/>
              <w:right w:val="single" w:sz="4" w:space="0" w:color="auto"/>
            </w:tcBorders>
            <w:shd w:val="clear" w:color="auto" w:fill="auto"/>
            <w:vAlign w:val="center"/>
            <w:hideMark/>
          </w:tcPr>
          <w:p w:rsidR="00BB3410" w:rsidRPr="00BB3410" w:rsidP="002752FF" w14:paraId="248A02B5" w14:textId="77777777">
            <w:pPr>
              <w:jc w:val="center"/>
              <w:rPr>
                <w:color w:val="000000"/>
                <w:sz w:val="18"/>
                <w:szCs w:val="18"/>
              </w:rPr>
            </w:pPr>
            <w:r w:rsidRPr="00BB3410">
              <w:rPr>
                <w:color w:val="000000"/>
                <w:sz w:val="18"/>
                <w:szCs w:val="18"/>
              </w:rPr>
              <w:t>0</w:t>
            </w:r>
          </w:p>
        </w:tc>
        <w:tc>
          <w:tcPr>
            <w:tcW w:w="384" w:type="pct"/>
            <w:tcBorders>
              <w:top w:val="nil"/>
              <w:left w:val="nil"/>
              <w:bottom w:val="single" w:sz="4" w:space="0" w:color="auto"/>
              <w:right w:val="single" w:sz="4" w:space="0" w:color="auto"/>
            </w:tcBorders>
            <w:shd w:val="clear" w:color="auto" w:fill="auto"/>
            <w:vAlign w:val="center"/>
            <w:hideMark/>
          </w:tcPr>
          <w:p w:rsidR="00BB3410" w:rsidRPr="00BB3410" w:rsidP="002752FF" w14:paraId="5D96AC8C" w14:textId="77777777">
            <w:pPr>
              <w:jc w:val="center"/>
              <w:rPr>
                <w:color w:val="000000"/>
                <w:sz w:val="18"/>
                <w:szCs w:val="18"/>
              </w:rPr>
            </w:pPr>
            <w:r w:rsidRPr="00BB3410">
              <w:rPr>
                <w:color w:val="000000"/>
                <w:sz w:val="18"/>
                <w:szCs w:val="18"/>
              </w:rPr>
              <w:t>0</w:t>
            </w:r>
          </w:p>
        </w:tc>
        <w:tc>
          <w:tcPr>
            <w:tcW w:w="323" w:type="pct"/>
            <w:tcBorders>
              <w:top w:val="nil"/>
              <w:left w:val="nil"/>
              <w:bottom w:val="single" w:sz="4" w:space="0" w:color="auto"/>
              <w:right w:val="single" w:sz="4" w:space="0" w:color="auto"/>
            </w:tcBorders>
            <w:shd w:val="clear" w:color="auto" w:fill="auto"/>
            <w:vAlign w:val="center"/>
            <w:hideMark/>
          </w:tcPr>
          <w:p w:rsidR="00BB3410" w:rsidRPr="00BB3410" w:rsidP="002752FF" w14:paraId="78666C0B" w14:textId="77777777">
            <w:pPr>
              <w:jc w:val="right"/>
              <w:rPr>
                <w:color w:val="000000"/>
                <w:sz w:val="18"/>
                <w:szCs w:val="18"/>
              </w:rPr>
            </w:pPr>
            <w:r w:rsidRPr="00BB3410">
              <w:rPr>
                <w:color w:val="000000"/>
                <w:sz w:val="18"/>
                <w:szCs w:val="18"/>
              </w:rPr>
              <w:t xml:space="preserve">$260.56 </w:t>
            </w:r>
          </w:p>
        </w:tc>
      </w:tr>
      <w:tr w14:paraId="4DB41AA2" w14:textId="77777777" w:rsidTr="00BB3410">
        <w:tblPrEx>
          <w:tblW w:w="5000" w:type="pct"/>
          <w:tblLook w:val="04A0"/>
        </w:tblPrEx>
        <w:trPr>
          <w:trHeight w:val="312"/>
        </w:trPr>
        <w:tc>
          <w:tcPr>
            <w:tcW w:w="1478" w:type="pct"/>
            <w:tcBorders>
              <w:top w:val="nil"/>
              <w:left w:val="single" w:sz="4" w:space="0" w:color="auto"/>
              <w:bottom w:val="single" w:sz="4" w:space="0" w:color="auto"/>
              <w:right w:val="single" w:sz="4" w:space="0" w:color="auto"/>
            </w:tcBorders>
            <w:shd w:val="clear" w:color="auto" w:fill="auto"/>
            <w:vAlign w:val="center"/>
            <w:hideMark/>
          </w:tcPr>
          <w:p w:rsidR="00BB3410" w:rsidRPr="00BB3410" w:rsidP="002752FF" w14:paraId="56B00A95" w14:textId="77777777">
            <w:pPr>
              <w:ind w:firstLine="360" w:firstLineChars="200"/>
              <w:rPr>
                <w:color w:val="000000"/>
                <w:sz w:val="18"/>
                <w:szCs w:val="18"/>
              </w:rPr>
            </w:pPr>
            <w:r w:rsidRPr="00BB3410">
              <w:rPr>
                <w:color w:val="000000"/>
                <w:sz w:val="18"/>
                <w:szCs w:val="18"/>
              </w:rPr>
              <w:t xml:space="preserve">ii. Date Code Explanation </w:t>
            </w:r>
            <w:r w:rsidRPr="00BB3410">
              <w:rPr>
                <w:color w:val="000000"/>
                <w:sz w:val="18"/>
                <w:szCs w:val="18"/>
                <w:vertAlign w:val="superscript"/>
              </w:rPr>
              <w:t>c</w:t>
            </w:r>
          </w:p>
        </w:tc>
        <w:tc>
          <w:tcPr>
            <w:tcW w:w="542" w:type="pct"/>
            <w:tcBorders>
              <w:top w:val="nil"/>
              <w:left w:val="nil"/>
              <w:bottom w:val="single" w:sz="4" w:space="0" w:color="auto"/>
              <w:right w:val="single" w:sz="4" w:space="0" w:color="auto"/>
            </w:tcBorders>
            <w:shd w:val="clear" w:color="auto" w:fill="auto"/>
            <w:vAlign w:val="center"/>
            <w:hideMark/>
          </w:tcPr>
          <w:p w:rsidR="00BB3410" w:rsidRPr="00BB3410" w:rsidP="002752FF" w14:paraId="3A92E0FA" w14:textId="77777777">
            <w:pPr>
              <w:jc w:val="center"/>
              <w:rPr>
                <w:color w:val="000000"/>
                <w:sz w:val="18"/>
                <w:szCs w:val="18"/>
              </w:rPr>
            </w:pPr>
            <w:r w:rsidRPr="00BB3410">
              <w:rPr>
                <w:color w:val="000000"/>
                <w:sz w:val="18"/>
                <w:szCs w:val="18"/>
              </w:rPr>
              <w:t>4</w:t>
            </w:r>
          </w:p>
        </w:tc>
        <w:tc>
          <w:tcPr>
            <w:tcW w:w="450" w:type="pct"/>
            <w:tcBorders>
              <w:top w:val="nil"/>
              <w:left w:val="nil"/>
              <w:bottom w:val="single" w:sz="4" w:space="0" w:color="auto"/>
              <w:right w:val="single" w:sz="4" w:space="0" w:color="auto"/>
            </w:tcBorders>
            <w:shd w:val="clear" w:color="auto" w:fill="auto"/>
            <w:vAlign w:val="center"/>
            <w:hideMark/>
          </w:tcPr>
          <w:p w:rsidR="00BB3410" w:rsidRPr="00BB3410" w:rsidP="002752FF" w14:paraId="2FCDB169" w14:textId="77777777">
            <w:pPr>
              <w:jc w:val="center"/>
              <w:rPr>
                <w:color w:val="000000"/>
                <w:sz w:val="18"/>
                <w:szCs w:val="18"/>
              </w:rPr>
            </w:pPr>
            <w:r w:rsidRPr="00BB3410">
              <w:rPr>
                <w:color w:val="000000"/>
                <w:sz w:val="18"/>
                <w:szCs w:val="18"/>
              </w:rPr>
              <w:t>1</w:t>
            </w:r>
          </w:p>
        </w:tc>
        <w:tc>
          <w:tcPr>
            <w:tcW w:w="427" w:type="pct"/>
            <w:tcBorders>
              <w:top w:val="nil"/>
              <w:left w:val="nil"/>
              <w:bottom w:val="single" w:sz="4" w:space="0" w:color="auto"/>
              <w:right w:val="single" w:sz="4" w:space="0" w:color="auto"/>
            </w:tcBorders>
            <w:shd w:val="clear" w:color="auto" w:fill="auto"/>
            <w:vAlign w:val="center"/>
            <w:hideMark/>
          </w:tcPr>
          <w:p w:rsidR="00BB3410" w:rsidRPr="00BB3410" w:rsidP="002752FF" w14:paraId="011BD3C7" w14:textId="77777777">
            <w:pPr>
              <w:jc w:val="center"/>
              <w:rPr>
                <w:color w:val="000000"/>
                <w:sz w:val="18"/>
                <w:szCs w:val="18"/>
              </w:rPr>
            </w:pPr>
            <w:r w:rsidRPr="00BB3410">
              <w:rPr>
                <w:color w:val="000000"/>
                <w:sz w:val="18"/>
                <w:szCs w:val="18"/>
              </w:rPr>
              <w:t>4</w:t>
            </w:r>
          </w:p>
        </w:tc>
        <w:tc>
          <w:tcPr>
            <w:tcW w:w="470" w:type="pct"/>
            <w:tcBorders>
              <w:top w:val="nil"/>
              <w:left w:val="nil"/>
              <w:bottom w:val="single" w:sz="4" w:space="0" w:color="auto"/>
              <w:right w:val="single" w:sz="4" w:space="0" w:color="auto"/>
            </w:tcBorders>
            <w:shd w:val="clear" w:color="auto" w:fill="auto"/>
            <w:vAlign w:val="center"/>
            <w:hideMark/>
          </w:tcPr>
          <w:p w:rsidR="00BB3410" w:rsidRPr="00BB3410" w:rsidP="002752FF" w14:paraId="23982979" w14:textId="77777777">
            <w:pPr>
              <w:jc w:val="center"/>
              <w:rPr>
                <w:color w:val="000000"/>
                <w:sz w:val="18"/>
                <w:szCs w:val="18"/>
              </w:rPr>
            </w:pPr>
            <w:r w:rsidRPr="00BB3410">
              <w:rPr>
                <w:color w:val="000000"/>
                <w:sz w:val="18"/>
                <w:szCs w:val="18"/>
              </w:rPr>
              <w:t>1</w:t>
            </w:r>
          </w:p>
        </w:tc>
        <w:tc>
          <w:tcPr>
            <w:tcW w:w="443" w:type="pct"/>
            <w:tcBorders>
              <w:top w:val="nil"/>
              <w:left w:val="nil"/>
              <w:bottom w:val="single" w:sz="4" w:space="0" w:color="auto"/>
              <w:right w:val="single" w:sz="4" w:space="0" w:color="auto"/>
            </w:tcBorders>
            <w:shd w:val="clear" w:color="auto" w:fill="auto"/>
            <w:vAlign w:val="center"/>
            <w:hideMark/>
          </w:tcPr>
          <w:p w:rsidR="00BB3410" w:rsidRPr="00BB3410" w:rsidP="002752FF" w14:paraId="1F7BD8EF" w14:textId="77777777">
            <w:pPr>
              <w:jc w:val="center"/>
              <w:rPr>
                <w:color w:val="000000"/>
                <w:sz w:val="18"/>
                <w:szCs w:val="18"/>
              </w:rPr>
            </w:pPr>
            <w:r w:rsidRPr="00BB3410">
              <w:rPr>
                <w:color w:val="000000"/>
                <w:sz w:val="18"/>
                <w:szCs w:val="18"/>
              </w:rPr>
              <w:t>4</w:t>
            </w:r>
          </w:p>
        </w:tc>
        <w:tc>
          <w:tcPr>
            <w:tcW w:w="484" w:type="pct"/>
            <w:tcBorders>
              <w:top w:val="nil"/>
              <w:left w:val="nil"/>
              <w:bottom w:val="single" w:sz="4" w:space="0" w:color="auto"/>
              <w:right w:val="single" w:sz="4" w:space="0" w:color="auto"/>
            </w:tcBorders>
            <w:shd w:val="clear" w:color="auto" w:fill="auto"/>
            <w:vAlign w:val="center"/>
            <w:hideMark/>
          </w:tcPr>
          <w:p w:rsidR="00BB3410" w:rsidRPr="00BB3410" w:rsidP="002752FF" w14:paraId="6D3DFCDC" w14:textId="77777777">
            <w:pPr>
              <w:jc w:val="center"/>
              <w:rPr>
                <w:color w:val="000000"/>
                <w:sz w:val="18"/>
                <w:szCs w:val="18"/>
              </w:rPr>
            </w:pPr>
            <w:r w:rsidRPr="00BB3410">
              <w:rPr>
                <w:color w:val="000000"/>
                <w:sz w:val="18"/>
                <w:szCs w:val="18"/>
              </w:rPr>
              <w:t>0</w:t>
            </w:r>
          </w:p>
        </w:tc>
        <w:tc>
          <w:tcPr>
            <w:tcW w:w="384" w:type="pct"/>
            <w:tcBorders>
              <w:top w:val="nil"/>
              <w:left w:val="nil"/>
              <w:bottom w:val="single" w:sz="4" w:space="0" w:color="auto"/>
              <w:right w:val="single" w:sz="4" w:space="0" w:color="auto"/>
            </w:tcBorders>
            <w:shd w:val="clear" w:color="auto" w:fill="auto"/>
            <w:vAlign w:val="center"/>
            <w:hideMark/>
          </w:tcPr>
          <w:p w:rsidR="00BB3410" w:rsidRPr="00BB3410" w:rsidP="002752FF" w14:paraId="7E1A76AC" w14:textId="77777777">
            <w:pPr>
              <w:jc w:val="center"/>
              <w:rPr>
                <w:color w:val="000000"/>
                <w:sz w:val="18"/>
                <w:szCs w:val="18"/>
              </w:rPr>
            </w:pPr>
            <w:r w:rsidRPr="00BB3410">
              <w:rPr>
                <w:color w:val="000000"/>
                <w:sz w:val="18"/>
                <w:szCs w:val="18"/>
              </w:rPr>
              <w:t>0</w:t>
            </w:r>
          </w:p>
        </w:tc>
        <w:tc>
          <w:tcPr>
            <w:tcW w:w="323" w:type="pct"/>
            <w:tcBorders>
              <w:top w:val="nil"/>
              <w:left w:val="nil"/>
              <w:bottom w:val="single" w:sz="4" w:space="0" w:color="auto"/>
              <w:right w:val="single" w:sz="4" w:space="0" w:color="auto"/>
            </w:tcBorders>
            <w:shd w:val="clear" w:color="auto" w:fill="auto"/>
            <w:vAlign w:val="center"/>
            <w:hideMark/>
          </w:tcPr>
          <w:p w:rsidR="00BB3410" w:rsidRPr="00BB3410" w:rsidP="002752FF" w14:paraId="5847988C" w14:textId="77777777">
            <w:pPr>
              <w:jc w:val="right"/>
              <w:rPr>
                <w:color w:val="000000"/>
                <w:sz w:val="18"/>
                <w:szCs w:val="18"/>
              </w:rPr>
            </w:pPr>
            <w:r w:rsidRPr="00BB3410">
              <w:rPr>
                <w:color w:val="000000"/>
                <w:sz w:val="18"/>
                <w:szCs w:val="18"/>
              </w:rPr>
              <w:t xml:space="preserve">$521.12 </w:t>
            </w:r>
          </w:p>
        </w:tc>
      </w:tr>
      <w:tr w14:paraId="1E211467" w14:textId="77777777" w:rsidTr="00BB3410">
        <w:tblPrEx>
          <w:tblW w:w="5000" w:type="pct"/>
          <w:tblLook w:val="04A0"/>
        </w:tblPrEx>
        <w:trPr>
          <w:trHeight w:val="312"/>
        </w:trPr>
        <w:tc>
          <w:tcPr>
            <w:tcW w:w="1478" w:type="pct"/>
            <w:tcBorders>
              <w:top w:val="nil"/>
              <w:left w:val="single" w:sz="4" w:space="0" w:color="auto"/>
              <w:bottom w:val="single" w:sz="4" w:space="0" w:color="auto"/>
              <w:right w:val="single" w:sz="4" w:space="0" w:color="auto"/>
            </w:tcBorders>
            <w:shd w:val="clear" w:color="auto" w:fill="auto"/>
            <w:vAlign w:val="center"/>
            <w:hideMark/>
          </w:tcPr>
          <w:p w:rsidR="00BB3410" w:rsidRPr="00BB3410" w:rsidP="002752FF" w14:paraId="116EA8A6" w14:textId="77777777">
            <w:pPr>
              <w:ind w:firstLine="360" w:firstLineChars="200"/>
              <w:rPr>
                <w:color w:val="000000"/>
                <w:sz w:val="18"/>
                <w:szCs w:val="18"/>
              </w:rPr>
            </w:pPr>
            <w:r w:rsidRPr="00BB3410">
              <w:rPr>
                <w:color w:val="000000"/>
                <w:sz w:val="18"/>
                <w:szCs w:val="18"/>
              </w:rPr>
              <w:t xml:space="preserve">iii. Update Date Code </w:t>
            </w:r>
            <w:r w:rsidRPr="00BB3410">
              <w:rPr>
                <w:color w:val="000000"/>
                <w:sz w:val="18"/>
                <w:szCs w:val="18"/>
                <w:vertAlign w:val="superscript"/>
              </w:rPr>
              <w:t>d</w:t>
            </w:r>
          </w:p>
        </w:tc>
        <w:tc>
          <w:tcPr>
            <w:tcW w:w="542" w:type="pct"/>
            <w:tcBorders>
              <w:top w:val="nil"/>
              <w:left w:val="nil"/>
              <w:bottom w:val="single" w:sz="4" w:space="0" w:color="auto"/>
              <w:right w:val="single" w:sz="4" w:space="0" w:color="auto"/>
            </w:tcBorders>
            <w:shd w:val="clear" w:color="auto" w:fill="auto"/>
            <w:vAlign w:val="center"/>
            <w:hideMark/>
          </w:tcPr>
          <w:p w:rsidR="00BB3410" w:rsidRPr="00BB3410" w:rsidP="002752FF" w14:paraId="5D489C14" w14:textId="77777777">
            <w:pPr>
              <w:jc w:val="center"/>
              <w:rPr>
                <w:color w:val="000000"/>
                <w:sz w:val="18"/>
                <w:szCs w:val="18"/>
              </w:rPr>
            </w:pPr>
            <w:r w:rsidRPr="00BB3410">
              <w:rPr>
                <w:color w:val="000000"/>
                <w:sz w:val="18"/>
                <w:szCs w:val="18"/>
              </w:rPr>
              <w:t>2</w:t>
            </w:r>
          </w:p>
        </w:tc>
        <w:tc>
          <w:tcPr>
            <w:tcW w:w="450" w:type="pct"/>
            <w:tcBorders>
              <w:top w:val="nil"/>
              <w:left w:val="nil"/>
              <w:bottom w:val="single" w:sz="4" w:space="0" w:color="auto"/>
              <w:right w:val="single" w:sz="4" w:space="0" w:color="auto"/>
            </w:tcBorders>
            <w:shd w:val="clear" w:color="auto" w:fill="auto"/>
            <w:vAlign w:val="center"/>
            <w:hideMark/>
          </w:tcPr>
          <w:p w:rsidR="00BB3410" w:rsidRPr="00BB3410" w:rsidP="002752FF" w14:paraId="459898D0" w14:textId="77777777">
            <w:pPr>
              <w:jc w:val="center"/>
              <w:rPr>
                <w:color w:val="000000"/>
                <w:sz w:val="18"/>
                <w:szCs w:val="18"/>
              </w:rPr>
            </w:pPr>
            <w:r w:rsidRPr="00BB3410">
              <w:rPr>
                <w:color w:val="000000"/>
                <w:sz w:val="18"/>
                <w:szCs w:val="18"/>
              </w:rPr>
              <w:t>1</w:t>
            </w:r>
          </w:p>
        </w:tc>
        <w:tc>
          <w:tcPr>
            <w:tcW w:w="427" w:type="pct"/>
            <w:tcBorders>
              <w:top w:val="nil"/>
              <w:left w:val="nil"/>
              <w:bottom w:val="single" w:sz="4" w:space="0" w:color="auto"/>
              <w:right w:val="single" w:sz="4" w:space="0" w:color="auto"/>
            </w:tcBorders>
            <w:shd w:val="clear" w:color="auto" w:fill="auto"/>
            <w:vAlign w:val="center"/>
            <w:hideMark/>
          </w:tcPr>
          <w:p w:rsidR="00BB3410" w:rsidRPr="00BB3410" w:rsidP="002752FF" w14:paraId="0A2B2C79" w14:textId="77777777">
            <w:pPr>
              <w:jc w:val="center"/>
              <w:rPr>
                <w:color w:val="000000"/>
                <w:sz w:val="18"/>
                <w:szCs w:val="18"/>
              </w:rPr>
            </w:pPr>
            <w:r w:rsidRPr="00BB3410">
              <w:rPr>
                <w:color w:val="000000"/>
                <w:sz w:val="18"/>
                <w:szCs w:val="18"/>
              </w:rPr>
              <w:t>2</w:t>
            </w:r>
          </w:p>
        </w:tc>
        <w:tc>
          <w:tcPr>
            <w:tcW w:w="470" w:type="pct"/>
            <w:tcBorders>
              <w:top w:val="nil"/>
              <w:left w:val="nil"/>
              <w:bottom w:val="single" w:sz="4" w:space="0" w:color="auto"/>
              <w:right w:val="single" w:sz="4" w:space="0" w:color="auto"/>
            </w:tcBorders>
            <w:shd w:val="clear" w:color="auto" w:fill="auto"/>
            <w:vAlign w:val="center"/>
            <w:hideMark/>
          </w:tcPr>
          <w:p w:rsidR="00BB3410" w:rsidRPr="00BB3410" w:rsidP="002752FF" w14:paraId="3555C752" w14:textId="77777777">
            <w:pPr>
              <w:jc w:val="center"/>
              <w:rPr>
                <w:color w:val="000000"/>
                <w:sz w:val="18"/>
                <w:szCs w:val="18"/>
              </w:rPr>
            </w:pPr>
            <w:r w:rsidRPr="00BB3410">
              <w:rPr>
                <w:color w:val="000000"/>
                <w:sz w:val="18"/>
                <w:szCs w:val="18"/>
              </w:rPr>
              <w:t>3.1</w:t>
            </w:r>
          </w:p>
        </w:tc>
        <w:tc>
          <w:tcPr>
            <w:tcW w:w="443" w:type="pct"/>
            <w:tcBorders>
              <w:top w:val="nil"/>
              <w:left w:val="nil"/>
              <w:bottom w:val="single" w:sz="4" w:space="0" w:color="auto"/>
              <w:right w:val="single" w:sz="4" w:space="0" w:color="auto"/>
            </w:tcBorders>
            <w:shd w:val="clear" w:color="auto" w:fill="auto"/>
            <w:vAlign w:val="center"/>
            <w:hideMark/>
          </w:tcPr>
          <w:p w:rsidR="00BB3410" w:rsidRPr="00BB3410" w:rsidP="002752FF" w14:paraId="36CC5275" w14:textId="77777777">
            <w:pPr>
              <w:jc w:val="center"/>
              <w:rPr>
                <w:color w:val="000000"/>
                <w:sz w:val="18"/>
                <w:szCs w:val="18"/>
              </w:rPr>
            </w:pPr>
            <w:r w:rsidRPr="00BB3410">
              <w:rPr>
                <w:color w:val="000000"/>
                <w:sz w:val="18"/>
                <w:szCs w:val="18"/>
              </w:rPr>
              <w:t>6.2</w:t>
            </w:r>
          </w:p>
        </w:tc>
        <w:tc>
          <w:tcPr>
            <w:tcW w:w="484" w:type="pct"/>
            <w:tcBorders>
              <w:top w:val="nil"/>
              <w:left w:val="nil"/>
              <w:bottom w:val="single" w:sz="4" w:space="0" w:color="auto"/>
              <w:right w:val="single" w:sz="4" w:space="0" w:color="auto"/>
            </w:tcBorders>
            <w:shd w:val="clear" w:color="auto" w:fill="auto"/>
            <w:vAlign w:val="center"/>
            <w:hideMark/>
          </w:tcPr>
          <w:p w:rsidR="00BB3410" w:rsidRPr="00BB3410" w:rsidP="002752FF" w14:paraId="578418C9" w14:textId="77777777">
            <w:pPr>
              <w:jc w:val="center"/>
              <w:rPr>
                <w:color w:val="000000"/>
                <w:sz w:val="18"/>
                <w:szCs w:val="18"/>
              </w:rPr>
            </w:pPr>
            <w:r w:rsidRPr="00BB3410">
              <w:rPr>
                <w:color w:val="000000"/>
                <w:sz w:val="18"/>
                <w:szCs w:val="18"/>
              </w:rPr>
              <w:t>0</w:t>
            </w:r>
          </w:p>
        </w:tc>
        <w:tc>
          <w:tcPr>
            <w:tcW w:w="384" w:type="pct"/>
            <w:tcBorders>
              <w:top w:val="nil"/>
              <w:left w:val="nil"/>
              <w:bottom w:val="single" w:sz="4" w:space="0" w:color="auto"/>
              <w:right w:val="single" w:sz="4" w:space="0" w:color="auto"/>
            </w:tcBorders>
            <w:shd w:val="clear" w:color="auto" w:fill="auto"/>
            <w:vAlign w:val="center"/>
            <w:hideMark/>
          </w:tcPr>
          <w:p w:rsidR="00BB3410" w:rsidRPr="00BB3410" w:rsidP="002752FF" w14:paraId="01B7BF66" w14:textId="77777777">
            <w:pPr>
              <w:jc w:val="center"/>
              <w:rPr>
                <w:color w:val="000000"/>
                <w:sz w:val="18"/>
                <w:szCs w:val="18"/>
              </w:rPr>
            </w:pPr>
            <w:r w:rsidRPr="00BB3410">
              <w:rPr>
                <w:color w:val="000000"/>
                <w:sz w:val="18"/>
                <w:szCs w:val="18"/>
              </w:rPr>
              <w:t>0</w:t>
            </w:r>
          </w:p>
        </w:tc>
        <w:tc>
          <w:tcPr>
            <w:tcW w:w="323" w:type="pct"/>
            <w:tcBorders>
              <w:top w:val="nil"/>
              <w:left w:val="nil"/>
              <w:bottom w:val="single" w:sz="4" w:space="0" w:color="auto"/>
              <w:right w:val="single" w:sz="4" w:space="0" w:color="auto"/>
            </w:tcBorders>
            <w:shd w:val="clear" w:color="auto" w:fill="auto"/>
            <w:vAlign w:val="center"/>
            <w:hideMark/>
          </w:tcPr>
          <w:p w:rsidR="00BB3410" w:rsidRPr="00BB3410" w:rsidP="002752FF" w14:paraId="01366082" w14:textId="77777777">
            <w:pPr>
              <w:jc w:val="right"/>
              <w:rPr>
                <w:color w:val="000000"/>
                <w:sz w:val="18"/>
                <w:szCs w:val="18"/>
              </w:rPr>
            </w:pPr>
            <w:r w:rsidRPr="00BB3410">
              <w:rPr>
                <w:color w:val="000000"/>
                <w:sz w:val="18"/>
                <w:szCs w:val="18"/>
              </w:rPr>
              <w:t xml:space="preserve">$807.74 </w:t>
            </w:r>
          </w:p>
        </w:tc>
      </w:tr>
      <w:tr w14:paraId="66E9B2AA" w14:textId="77777777" w:rsidTr="00BB3410">
        <w:tblPrEx>
          <w:tblW w:w="5000" w:type="pct"/>
          <w:tblLook w:val="04A0"/>
        </w:tblPrEx>
        <w:trPr>
          <w:trHeight w:val="276"/>
        </w:trPr>
        <w:tc>
          <w:tcPr>
            <w:tcW w:w="3366" w:type="pct"/>
            <w:gridSpan w:val="5"/>
            <w:tcBorders>
              <w:top w:val="single" w:sz="4" w:space="0" w:color="auto"/>
              <w:left w:val="single" w:sz="4" w:space="0" w:color="auto"/>
              <w:bottom w:val="single" w:sz="4" w:space="0" w:color="auto"/>
              <w:right w:val="single" w:sz="4" w:space="0" w:color="000000"/>
            </w:tcBorders>
            <w:shd w:val="clear" w:color="auto" w:fill="auto"/>
            <w:hideMark/>
          </w:tcPr>
          <w:p w:rsidR="00BB3410" w:rsidRPr="00BB3410" w:rsidP="002752FF" w14:paraId="76186E3A" w14:textId="77777777">
            <w:pPr>
              <w:rPr>
                <w:b/>
                <w:bCs/>
                <w:i/>
                <w:iCs/>
                <w:color w:val="000000"/>
                <w:sz w:val="18"/>
                <w:szCs w:val="18"/>
              </w:rPr>
            </w:pPr>
            <w:r w:rsidRPr="00BB3410">
              <w:rPr>
                <w:b/>
                <w:bCs/>
                <w:i/>
                <w:iCs/>
                <w:color w:val="000000"/>
                <w:sz w:val="18"/>
                <w:szCs w:val="18"/>
              </w:rPr>
              <w:t>Subtotal for Reporting Requirements</w:t>
            </w:r>
          </w:p>
        </w:tc>
        <w:tc>
          <w:tcPr>
            <w:tcW w:w="1311" w:type="pct"/>
            <w:gridSpan w:val="3"/>
            <w:tcBorders>
              <w:top w:val="single" w:sz="4" w:space="0" w:color="auto"/>
              <w:left w:val="nil"/>
              <w:bottom w:val="single" w:sz="4" w:space="0" w:color="auto"/>
              <w:right w:val="single" w:sz="4" w:space="0" w:color="000000"/>
            </w:tcBorders>
            <w:shd w:val="clear" w:color="auto" w:fill="auto"/>
            <w:vAlign w:val="bottom"/>
            <w:hideMark/>
          </w:tcPr>
          <w:p w:rsidR="00BB3410" w:rsidRPr="00BB3410" w:rsidP="002752FF" w14:paraId="2249AAAF" w14:textId="77777777">
            <w:pPr>
              <w:jc w:val="center"/>
              <w:rPr>
                <w:b/>
                <w:bCs/>
                <w:i/>
                <w:iCs/>
                <w:color w:val="000000"/>
                <w:sz w:val="18"/>
                <w:szCs w:val="18"/>
              </w:rPr>
            </w:pPr>
            <w:r w:rsidRPr="00BB3410">
              <w:rPr>
                <w:b/>
                <w:bCs/>
                <w:i/>
                <w:iCs/>
                <w:color w:val="000000"/>
                <w:sz w:val="18"/>
                <w:szCs w:val="18"/>
              </w:rPr>
              <w:t>14</w:t>
            </w:r>
          </w:p>
        </w:tc>
        <w:tc>
          <w:tcPr>
            <w:tcW w:w="323" w:type="pct"/>
            <w:tcBorders>
              <w:top w:val="nil"/>
              <w:left w:val="nil"/>
              <w:bottom w:val="single" w:sz="4" w:space="0" w:color="auto"/>
              <w:right w:val="single" w:sz="4" w:space="0" w:color="auto"/>
            </w:tcBorders>
            <w:shd w:val="clear" w:color="auto" w:fill="auto"/>
            <w:vAlign w:val="bottom"/>
            <w:hideMark/>
          </w:tcPr>
          <w:p w:rsidR="00BB3410" w:rsidRPr="00BB3410" w:rsidP="002752FF" w14:paraId="7F25C453" w14:textId="77777777">
            <w:pPr>
              <w:jc w:val="right"/>
              <w:rPr>
                <w:b/>
                <w:bCs/>
                <w:i/>
                <w:iCs/>
                <w:color w:val="000000"/>
                <w:sz w:val="18"/>
                <w:szCs w:val="18"/>
              </w:rPr>
            </w:pPr>
            <w:r w:rsidRPr="00BB3410">
              <w:rPr>
                <w:b/>
                <w:bCs/>
                <w:i/>
                <w:iCs/>
                <w:color w:val="000000"/>
                <w:sz w:val="18"/>
                <w:szCs w:val="18"/>
              </w:rPr>
              <w:t>$1,850</w:t>
            </w:r>
          </w:p>
        </w:tc>
      </w:tr>
      <w:tr w14:paraId="0389164A" w14:textId="77777777" w:rsidTr="00BB3410">
        <w:tblPrEx>
          <w:tblW w:w="5000" w:type="pct"/>
          <w:tblLook w:val="04A0"/>
        </w:tblPrEx>
        <w:trPr>
          <w:trHeight w:val="264"/>
        </w:trPr>
        <w:tc>
          <w:tcPr>
            <w:tcW w:w="1478" w:type="pct"/>
            <w:tcBorders>
              <w:top w:val="nil"/>
              <w:left w:val="single" w:sz="4" w:space="0" w:color="auto"/>
              <w:bottom w:val="single" w:sz="4" w:space="0" w:color="auto"/>
              <w:right w:val="single" w:sz="4" w:space="0" w:color="auto"/>
            </w:tcBorders>
            <w:shd w:val="clear" w:color="auto" w:fill="auto"/>
            <w:hideMark/>
          </w:tcPr>
          <w:p w:rsidR="00BB3410" w:rsidRPr="00BB3410" w:rsidP="002752FF" w14:paraId="2E78102E" w14:textId="77777777">
            <w:pPr>
              <w:rPr>
                <w:color w:val="000000"/>
                <w:sz w:val="18"/>
                <w:szCs w:val="18"/>
              </w:rPr>
            </w:pPr>
            <w:r w:rsidRPr="00BB3410">
              <w:rPr>
                <w:color w:val="000000"/>
                <w:sz w:val="18"/>
                <w:szCs w:val="18"/>
              </w:rPr>
              <w:t>4. Recordkeeping requirements</w:t>
            </w:r>
          </w:p>
        </w:tc>
        <w:tc>
          <w:tcPr>
            <w:tcW w:w="542" w:type="pct"/>
            <w:tcBorders>
              <w:top w:val="nil"/>
              <w:left w:val="nil"/>
              <w:bottom w:val="single" w:sz="4" w:space="0" w:color="auto"/>
              <w:right w:val="single" w:sz="4" w:space="0" w:color="auto"/>
            </w:tcBorders>
            <w:shd w:val="clear" w:color="auto" w:fill="auto"/>
            <w:vAlign w:val="bottom"/>
            <w:hideMark/>
          </w:tcPr>
          <w:p w:rsidR="00BB3410" w:rsidRPr="00BB3410" w:rsidP="002752FF" w14:paraId="4F11882E" w14:textId="77777777">
            <w:pPr>
              <w:jc w:val="center"/>
              <w:rPr>
                <w:color w:val="000000"/>
                <w:sz w:val="18"/>
                <w:szCs w:val="18"/>
              </w:rPr>
            </w:pPr>
            <w:r w:rsidRPr="00BB3410">
              <w:rPr>
                <w:color w:val="000000"/>
                <w:sz w:val="18"/>
                <w:szCs w:val="18"/>
              </w:rPr>
              <w:t>N/A</w:t>
            </w:r>
          </w:p>
        </w:tc>
        <w:tc>
          <w:tcPr>
            <w:tcW w:w="450" w:type="pct"/>
            <w:tcBorders>
              <w:top w:val="nil"/>
              <w:left w:val="nil"/>
              <w:bottom w:val="single" w:sz="4" w:space="0" w:color="auto"/>
              <w:right w:val="single" w:sz="4" w:space="0" w:color="auto"/>
            </w:tcBorders>
            <w:shd w:val="clear" w:color="auto" w:fill="auto"/>
            <w:vAlign w:val="bottom"/>
            <w:hideMark/>
          </w:tcPr>
          <w:p w:rsidR="00BB3410" w:rsidRPr="00BB3410" w:rsidP="002752FF" w14:paraId="6EA233E2" w14:textId="77777777">
            <w:pPr>
              <w:jc w:val="center"/>
              <w:rPr>
                <w:color w:val="000000"/>
                <w:sz w:val="18"/>
                <w:szCs w:val="18"/>
              </w:rPr>
            </w:pPr>
            <w:r w:rsidRPr="00BB3410">
              <w:rPr>
                <w:color w:val="000000"/>
                <w:sz w:val="18"/>
                <w:szCs w:val="18"/>
              </w:rPr>
              <w:t> </w:t>
            </w:r>
          </w:p>
        </w:tc>
        <w:tc>
          <w:tcPr>
            <w:tcW w:w="427" w:type="pct"/>
            <w:tcBorders>
              <w:top w:val="nil"/>
              <w:left w:val="nil"/>
              <w:bottom w:val="single" w:sz="4" w:space="0" w:color="auto"/>
              <w:right w:val="single" w:sz="4" w:space="0" w:color="auto"/>
            </w:tcBorders>
            <w:shd w:val="clear" w:color="auto" w:fill="auto"/>
            <w:vAlign w:val="bottom"/>
            <w:hideMark/>
          </w:tcPr>
          <w:p w:rsidR="00BB3410" w:rsidRPr="00BB3410" w:rsidP="002752FF" w14:paraId="5FAD69DF" w14:textId="77777777">
            <w:pPr>
              <w:jc w:val="center"/>
              <w:rPr>
                <w:color w:val="000000"/>
                <w:sz w:val="18"/>
                <w:szCs w:val="18"/>
              </w:rPr>
            </w:pPr>
            <w:r w:rsidRPr="00BB3410">
              <w:rPr>
                <w:color w:val="000000"/>
                <w:sz w:val="18"/>
                <w:szCs w:val="18"/>
              </w:rPr>
              <w:t> </w:t>
            </w:r>
          </w:p>
        </w:tc>
        <w:tc>
          <w:tcPr>
            <w:tcW w:w="470" w:type="pct"/>
            <w:tcBorders>
              <w:top w:val="nil"/>
              <w:left w:val="nil"/>
              <w:bottom w:val="single" w:sz="4" w:space="0" w:color="auto"/>
              <w:right w:val="single" w:sz="4" w:space="0" w:color="auto"/>
            </w:tcBorders>
            <w:shd w:val="clear" w:color="auto" w:fill="auto"/>
            <w:vAlign w:val="bottom"/>
            <w:hideMark/>
          </w:tcPr>
          <w:p w:rsidR="00BB3410" w:rsidRPr="00BB3410" w:rsidP="002752FF" w14:paraId="1AC38B1F" w14:textId="77777777">
            <w:pPr>
              <w:jc w:val="center"/>
              <w:rPr>
                <w:color w:val="000000"/>
                <w:sz w:val="18"/>
                <w:szCs w:val="18"/>
              </w:rPr>
            </w:pPr>
            <w:r w:rsidRPr="00BB3410">
              <w:rPr>
                <w:color w:val="000000"/>
                <w:sz w:val="18"/>
                <w:szCs w:val="18"/>
              </w:rPr>
              <w:t> </w:t>
            </w:r>
          </w:p>
        </w:tc>
        <w:tc>
          <w:tcPr>
            <w:tcW w:w="443" w:type="pct"/>
            <w:tcBorders>
              <w:top w:val="nil"/>
              <w:left w:val="nil"/>
              <w:bottom w:val="single" w:sz="4" w:space="0" w:color="auto"/>
              <w:right w:val="single" w:sz="4" w:space="0" w:color="auto"/>
            </w:tcBorders>
            <w:shd w:val="clear" w:color="auto" w:fill="auto"/>
            <w:vAlign w:val="bottom"/>
            <w:hideMark/>
          </w:tcPr>
          <w:p w:rsidR="00BB3410" w:rsidRPr="00BB3410" w:rsidP="002752FF" w14:paraId="5ABCE872" w14:textId="77777777">
            <w:pPr>
              <w:jc w:val="center"/>
              <w:rPr>
                <w:color w:val="000000"/>
                <w:sz w:val="18"/>
                <w:szCs w:val="18"/>
              </w:rPr>
            </w:pPr>
            <w:r w:rsidRPr="00BB3410">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bottom"/>
            <w:hideMark/>
          </w:tcPr>
          <w:p w:rsidR="00BB3410" w:rsidRPr="00BB3410" w:rsidP="002752FF" w14:paraId="1C2E427F" w14:textId="77777777">
            <w:pPr>
              <w:jc w:val="center"/>
              <w:rPr>
                <w:color w:val="000000"/>
                <w:sz w:val="18"/>
                <w:szCs w:val="18"/>
              </w:rPr>
            </w:pPr>
            <w:r w:rsidRPr="00BB3410">
              <w:rPr>
                <w:color w:val="000000"/>
                <w:sz w:val="18"/>
                <w:szCs w:val="18"/>
              </w:rPr>
              <w:t> </w:t>
            </w:r>
          </w:p>
        </w:tc>
        <w:tc>
          <w:tcPr>
            <w:tcW w:w="384" w:type="pct"/>
            <w:tcBorders>
              <w:top w:val="nil"/>
              <w:left w:val="nil"/>
              <w:bottom w:val="single" w:sz="4" w:space="0" w:color="auto"/>
              <w:right w:val="single" w:sz="4" w:space="0" w:color="auto"/>
            </w:tcBorders>
            <w:shd w:val="clear" w:color="auto" w:fill="auto"/>
            <w:vAlign w:val="bottom"/>
            <w:hideMark/>
          </w:tcPr>
          <w:p w:rsidR="00BB3410" w:rsidRPr="00BB3410" w:rsidP="002752FF" w14:paraId="35B9B6E3" w14:textId="77777777">
            <w:pPr>
              <w:jc w:val="center"/>
              <w:rPr>
                <w:color w:val="000000"/>
                <w:sz w:val="18"/>
                <w:szCs w:val="18"/>
              </w:rPr>
            </w:pPr>
            <w:r w:rsidRPr="00BB3410">
              <w:rPr>
                <w:color w:val="000000"/>
                <w:sz w:val="18"/>
                <w:szCs w:val="18"/>
              </w:rPr>
              <w:t> </w:t>
            </w:r>
          </w:p>
        </w:tc>
        <w:tc>
          <w:tcPr>
            <w:tcW w:w="323" w:type="pct"/>
            <w:tcBorders>
              <w:top w:val="nil"/>
              <w:left w:val="nil"/>
              <w:bottom w:val="single" w:sz="4" w:space="0" w:color="auto"/>
              <w:right w:val="single" w:sz="4" w:space="0" w:color="auto"/>
            </w:tcBorders>
            <w:shd w:val="clear" w:color="auto" w:fill="auto"/>
            <w:vAlign w:val="bottom"/>
            <w:hideMark/>
          </w:tcPr>
          <w:p w:rsidR="00BB3410" w:rsidRPr="00BB3410" w:rsidP="002752FF" w14:paraId="30A9F782" w14:textId="77777777">
            <w:pPr>
              <w:jc w:val="right"/>
              <w:rPr>
                <w:color w:val="000000"/>
                <w:sz w:val="18"/>
                <w:szCs w:val="18"/>
              </w:rPr>
            </w:pPr>
            <w:r w:rsidRPr="00BB3410">
              <w:rPr>
                <w:color w:val="000000"/>
                <w:sz w:val="18"/>
                <w:szCs w:val="18"/>
              </w:rPr>
              <w:t> </w:t>
            </w:r>
          </w:p>
        </w:tc>
      </w:tr>
      <w:tr w14:paraId="76B235DD" w14:textId="77777777" w:rsidTr="00BB3410">
        <w:tblPrEx>
          <w:tblW w:w="5000" w:type="pct"/>
          <w:tblLook w:val="04A0"/>
        </w:tblPrEx>
        <w:trPr>
          <w:trHeight w:val="312"/>
        </w:trPr>
        <w:tc>
          <w:tcPr>
            <w:tcW w:w="1478" w:type="pct"/>
            <w:tcBorders>
              <w:top w:val="nil"/>
              <w:left w:val="single" w:sz="4" w:space="0" w:color="auto"/>
              <w:bottom w:val="single" w:sz="4" w:space="0" w:color="auto"/>
              <w:right w:val="single" w:sz="4" w:space="0" w:color="auto"/>
            </w:tcBorders>
            <w:shd w:val="clear" w:color="auto" w:fill="auto"/>
            <w:hideMark/>
          </w:tcPr>
          <w:p w:rsidR="00BB3410" w:rsidRPr="00BB3410" w:rsidP="002752FF" w14:paraId="3D28C31D" w14:textId="77777777">
            <w:pPr>
              <w:rPr>
                <w:color w:val="000000"/>
                <w:sz w:val="18"/>
                <w:szCs w:val="18"/>
              </w:rPr>
            </w:pPr>
            <w:r w:rsidRPr="00BB3410">
              <w:rPr>
                <w:color w:val="000000"/>
                <w:sz w:val="18"/>
                <w:szCs w:val="18"/>
              </w:rPr>
              <w:t xml:space="preserve">5. Labeling </w:t>
            </w:r>
            <w:r w:rsidRPr="00BB3410">
              <w:rPr>
                <w:color w:val="000000"/>
                <w:sz w:val="18"/>
                <w:szCs w:val="18"/>
                <w:vertAlign w:val="superscript"/>
              </w:rPr>
              <w:t>e</w:t>
            </w:r>
          </w:p>
        </w:tc>
        <w:tc>
          <w:tcPr>
            <w:tcW w:w="542" w:type="pct"/>
            <w:tcBorders>
              <w:top w:val="nil"/>
              <w:left w:val="nil"/>
              <w:bottom w:val="single" w:sz="4" w:space="0" w:color="auto"/>
              <w:right w:val="single" w:sz="4" w:space="0" w:color="auto"/>
            </w:tcBorders>
            <w:shd w:val="clear" w:color="auto" w:fill="auto"/>
            <w:vAlign w:val="bottom"/>
            <w:hideMark/>
          </w:tcPr>
          <w:p w:rsidR="00BB3410" w:rsidRPr="00BB3410" w:rsidP="002752FF" w14:paraId="5FD20C25" w14:textId="77777777">
            <w:pPr>
              <w:jc w:val="center"/>
              <w:rPr>
                <w:color w:val="000000"/>
                <w:sz w:val="18"/>
                <w:szCs w:val="18"/>
              </w:rPr>
            </w:pPr>
            <w:r w:rsidRPr="00BB3410">
              <w:rPr>
                <w:color w:val="000000"/>
                <w:sz w:val="18"/>
                <w:szCs w:val="18"/>
              </w:rPr>
              <w:t>N/A</w:t>
            </w:r>
          </w:p>
        </w:tc>
        <w:tc>
          <w:tcPr>
            <w:tcW w:w="450" w:type="pct"/>
            <w:tcBorders>
              <w:top w:val="nil"/>
              <w:left w:val="nil"/>
              <w:bottom w:val="single" w:sz="4" w:space="0" w:color="auto"/>
              <w:right w:val="single" w:sz="4" w:space="0" w:color="auto"/>
            </w:tcBorders>
            <w:shd w:val="clear" w:color="auto" w:fill="auto"/>
            <w:vAlign w:val="bottom"/>
            <w:hideMark/>
          </w:tcPr>
          <w:p w:rsidR="00BB3410" w:rsidRPr="00BB3410" w:rsidP="002752FF" w14:paraId="1828D4C4" w14:textId="77777777">
            <w:pPr>
              <w:jc w:val="center"/>
              <w:rPr>
                <w:color w:val="000000"/>
                <w:sz w:val="18"/>
                <w:szCs w:val="18"/>
              </w:rPr>
            </w:pPr>
            <w:r w:rsidRPr="00BB3410">
              <w:rPr>
                <w:color w:val="000000"/>
                <w:sz w:val="18"/>
                <w:szCs w:val="18"/>
              </w:rPr>
              <w:t> </w:t>
            </w:r>
          </w:p>
        </w:tc>
        <w:tc>
          <w:tcPr>
            <w:tcW w:w="427" w:type="pct"/>
            <w:tcBorders>
              <w:top w:val="nil"/>
              <w:left w:val="nil"/>
              <w:bottom w:val="single" w:sz="4" w:space="0" w:color="auto"/>
              <w:right w:val="single" w:sz="4" w:space="0" w:color="auto"/>
            </w:tcBorders>
            <w:shd w:val="clear" w:color="auto" w:fill="auto"/>
            <w:vAlign w:val="bottom"/>
            <w:hideMark/>
          </w:tcPr>
          <w:p w:rsidR="00BB3410" w:rsidRPr="00BB3410" w:rsidP="002752FF" w14:paraId="71771733" w14:textId="77777777">
            <w:pPr>
              <w:jc w:val="center"/>
              <w:rPr>
                <w:color w:val="000000"/>
                <w:sz w:val="18"/>
                <w:szCs w:val="18"/>
              </w:rPr>
            </w:pPr>
            <w:r w:rsidRPr="00BB3410">
              <w:rPr>
                <w:color w:val="000000"/>
                <w:sz w:val="18"/>
                <w:szCs w:val="18"/>
              </w:rPr>
              <w:t> </w:t>
            </w:r>
          </w:p>
        </w:tc>
        <w:tc>
          <w:tcPr>
            <w:tcW w:w="470" w:type="pct"/>
            <w:tcBorders>
              <w:top w:val="nil"/>
              <w:left w:val="nil"/>
              <w:bottom w:val="single" w:sz="4" w:space="0" w:color="auto"/>
              <w:right w:val="single" w:sz="4" w:space="0" w:color="auto"/>
            </w:tcBorders>
            <w:shd w:val="clear" w:color="auto" w:fill="auto"/>
            <w:vAlign w:val="bottom"/>
            <w:hideMark/>
          </w:tcPr>
          <w:p w:rsidR="00BB3410" w:rsidRPr="00BB3410" w:rsidP="002752FF" w14:paraId="00C201FB" w14:textId="77777777">
            <w:pPr>
              <w:jc w:val="center"/>
              <w:rPr>
                <w:color w:val="000000"/>
                <w:sz w:val="18"/>
                <w:szCs w:val="18"/>
              </w:rPr>
            </w:pPr>
            <w:r w:rsidRPr="00BB3410">
              <w:rPr>
                <w:color w:val="000000"/>
                <w:sz w:val="18"/>
                <w:szCs w:val="18"/>
              </w:rPr>
              <w:t> </w:t>
            </w:r>
          </w:p>
        </w:tc>
        <w:tc>
          <w:tcPr>
            <w:tcW w:w="443" w:type="pct"/>
            <w:tcBorders>
              <w:top w:val="nil"/>
              <w:left w:val="nil"/>
              <w:bottom w:val="single" w:sz="4" w:space="0" w:color="auto"/>
              <w:right w:val="single" w:sz="4" w:space="0" w:color="auto"/>
            </w:tcBorders>
            <w:shd w:val="clear" w:color="auto" w:fill="auto"/>
            <w:vAlign w:val="bottom"/>
            <w:hideMark/>
          </w:tcPr>
          <w:p w:rsidR="00BB3410" w:rsidRPr="00BB3410" w:rsidP="002752FF" w14:paraId="2DD2B6CD" w14:textId="77777777">
            <w:pPr>
              <w:jc w:val="center"/>
              <w:rPr>
                <w:color w:val="000000"/>
                <w:sz w:val="18"/>
                <w:szCs w:val="18"/>
              </w:rPr>
            </w:pPr>
            <w:r w:rsidRPr="00BB3410">
              <w:rPr>
                <w:color w:val="000000"/>
                <w:sz w:val="18"/>
                <w:szCs w:val="18"/>
              </w:rPr>
              <w:t> </w:t>
            </w:r>
          </w:p>
        </w:tc>
        <w:tc>
          <w:tcPr>
            <w:tcW w:w="484" w:type="pct"/>
            <w:tcBorders>
              <w:top w:val="nil"/>
              <w:left w:val="nil"/>
              <w:bottom w:val="single" w:sz="4" w:space="0" w:color="auto"/>
              <w:right w:val="single" w:sz="4" w:space="0" w:color="auto"/>
            </w:tcBorders>
            <w:shd w:val="clear" w:color="auto" w:fill="auto"/>
            <w:vAlign w:val="bottom"/>
            <w:hideMark/>
          </w:tcPr>
          <w:p w:rsidR="00BB3410" w:rsidRPr="00BB3410" w:rsidP="002752FF" w14:paraId="07BBAE4B" w14:textId="77777777">
            <w:pPr>
              <w:jc w:val="center"/>
              <w:rPr>
                <w:color w:val="000000"/>
                <w:sz w:val="18"/>
                <w:szCs w:val="18"/>
              </w:rPr>
            </w:pPr>
            <w:r w:rsidRPr="00BB3410">
              <w:rPr>
                <w:color w:val="000000"/>
                <w:sz w:val="18"/>
                <w:szCs w:val="18"/>
              </w:rPr>
              <w:t> </w:t>
            </w:r>
          </w:p>
        </w:tc>
        <w:tc>
          <w:tcPr>
            <w:tcW w:w="384" w:type="pct"/>
            <w:tcBorders>
              <w:top w:val="nil"/>
              <w:left w:val="nil"/>
              <w:bottom w:val="single" w:sz="4" w:space="0" w:color="auto"/>
              <w:right w:val="single" w:sz="4" w:space="0" w:color="auto"/>
            </w:tcBorders>
            <w:shd w:val="clear" w:color="auto" w:fill="auto"/>
            <w:vAlign w:val="bottom"/>
            <w:hideMark/>
          </w:tcPr>
          <w:p w:rsidR="00BB3410" w:rsidRPr="00BB3410" w:rsidP="002752FF" w14:paraId="461A2DBA" w14:textId="77777777">
            <w:pPr>
              <w:jc w:val="center"/>
              <w:rPr>
                <w:color w:val="000000"/>
                <w:sz w:val="18"/>
                <w:szCs w:val="18"/>
              </w:rPr>
            </w:pPr>
            <w:r w:rsidRPr="00BB3410">
              <w:rPr>
                <w:color w:val="000000"/>
                <w:sz w:val="18"/>
                <w:szCs w:val="18"/>
              </w:rPr>
              <w:t> </w:t>
            </w:r>
          </w:p>
        </w:tc>
        <w:tc>
          <w:tcPr>
            <w:tcW w:w="323" w:type="pct"/>
            <w:tcBorders>
              <w:top w:val="single" w:sz="4" w:space="0" w:color="auto"/>
              <w:left w:val="nil"/>
              <w:bottom w:val="single" w:sz="4" w:space="0" w:color="auto"/>
              <w:right w:val="single" w:sz="4" w:space="0" w:color="auto"/>
            </w:tcBorders>
            <w:shd w:val="clear" w:color="auto" w:fill="auto"/>
            <w:vAlign w:val="bottom"/>
            <w:hideMark/>
          </w:tcPr>
          <w:p w:rsidR="00BB3410" w:rsidRPr="00BB3410" w:rsidP="002752FF" w14:paraId="75591CC9" w14:textId="77777777">
            <w:pPr>
              <w:jc w:val="right"/>
              <w:rPr>
                <w:color w:val="000000"/>
                <w:sz w:val="18"/>
                <w:szCs w:val="18"/>
              </w:rPr>
            </w:pPr>
            <w:r w:rsidRPr="00BB3410">
              <w:rPr>
                <w:color w:val="000000"/>
                <w:sz w:val="18"/>
                <w:szCs w:val="18"/>
              </w:rPr>
              <w:t> </w:t>
            </w:r>
          </w:p>
        </w:tc>
      </w:tr>
      <w:tr w14:paraId="401CF761" w14:textId="77777777" w:rsidTr="00BB3410">
        <w:tblPrEx>
          <w:tblW w:w="5000" w:type="pct"/>
          <w:tblLook w:val="04A0"/>
        </w:tblPrEx>
        <w:trPr>
          <w:trHeight w:val="276"/>
        </w:trPr>
        <w:tc>
          <w:tcPr>
            <w:tcW w:w="1478" w:type="pct"/>
            <w:tcBorders>
              <w:top w:val="nil"/>
              <w:left w:val="single" w:sz="4" w:space="0" w:color="auto"/>
              <w:bottom w:val="single" w:sz="4" w:space="0" w:color="auto"/>
              <w:right w:val="single" w:sz="4" w:space="0" w:color="auto"/>
            </w:tcBorders>
            <w:shd w:val="clear" w:color="auto" w:fill="auto"/>
            <w:hideMark/>
          </w:tcPr>
          <w:p w:rsidR="00BB3410" w:rsidRPr="00BB3410" w:rsidP="002752FF" w14:paraId="2DC96063" w14:textId="77777777">
            <w:pPr>
              <w:rPr>
                <w:b/>
                <w:bCs/>
                <w:i/>
                <w:iCs/>
                <w:sz w:val="18"/>
                <w:szCs w:val="18"/>
              </w:rPr>
            </w:pPr>
            <w:r w:rsidRPr="00BB3410">
              <w:rPr>
                <w:b/>
                <w:bCs/>
                <w:i/>
                <w:iCs/>
                <w:sz w:val="18"/>
                <w:szCs w:val="18"/>
              </w:rPr>
              <w:t xml:space="preserve">Subtotal for Recordkeeping Requirements </w:t>
            </w:r>
          </w:p>
        </w:tc>
        <w:tc>
          <w:tcPr>
            <w:tcW w:w="1889" w:type="pct"/>
            <w:gridSpan w:val="4"/>
            <w:tcBorders>
              <w:top w:val="single" w:sz="4" w:space="0" w:color="auto"/>
              <w:left w:val="nil"/>
              <w:bottom w:val="single" w:sz="4" w:space="0" w:color="auto"/>
              <w:right w:val="single" w:sz="4" w:space="0" w:color="000000"/>
            </w:tcBorders>
            <w:shd w:val="clear" w:color="auto" w:fill="auto"/>
            <w:hideMark/>
          </w:tcPr>
          <w:p w:rsidR="00BB3410" w:rsidRPr="00BB3410" w:rsidP="002752FF" w14:paraId="21838E9B" w14:textId="77777777">
            <w:pPr>
              <w:jc w:val="center"/>
              <w:rPr>
                <w:b/>
                <w:bCs/>
                <w:i/>
                <w:iCs/>
                <w:sz w:val="18"/>
                <w:szCs w:val="18"/>
              </w:rPr>
            </w:pPr>
            <w:r w:rsidRPr="00BB3410">
              <w:rPr>
                <w:b/>
                <w:bCs/>
                <w:i/>
                <w:iCs/>
                <w:sz w:val="18"/>
                <w:szCs w:val="18"/>
              </w:rPr>
              <w:t> </w:t>
            </w:r>
          </w:p>
        </w:tc>
        <w:tc>
          <w:tcPr>
            <w:tcW w:w="1311" w:type="pct"/>
            <w:gridSpan w:val="3"/>
            <w:tcBorders>
              <w:top w:val="single" w:sz="4" w:space="0" w:color="auto"/>
              <w:left w:val="nil"/>
              <w:bottom w:val="single" w:sz="4" w:space="0" w:color="auto"/>
              <w:right w:val="single" w:sz="4" w:space="0" w:color="000000"/>
            </w:tcBorders>
            <w:shd w:val="clear" w:color="auto" w:fill="auto"/>
            <w:vAlign w:val="bottom"/>
            <w:hideMark/>
          </w:tcPr>
          <w:p w:rsidR="00BB3410" w:rsidRPr="00BB3410" w:rsidP="002752FF" w14:paraId="4F02A594" w14:textId="77777777">
            <w:pPr>
              <w:jc w:val="center"/>
              <w:rPr>
                <w:b/>
                <w:bCs/>
                <w:i/>
                <w:iCs/>
                <w:sz w:val="18"/>
                <w:szCs w:val="18"/>
              </w:rPr>
            </w:pPr>
            <w:r w:rsidRPr="00BB3410">
              <w:rPr>
                <w:b/>
                <w:bCs/>
                <w:i/>
                <w:iCs/>
                <w:sz w:val="18"/>
                <w:szCs w:val="18"/>
              </w:rPr>
              <w:t>0</w:t>
            </w:r>
          </w:p>
        </w:tc>
        <w:tc>
          <w:tcPr>
            <w:tcW w:w="323" w:type="pct"/>
            <w:tcBorders>
              <w:top w:val="single" w:sz="4" w:space="0" w:color="auto"/>
              <w:left w:val="nil"/>
              <w:bottom w:val="single" w:sz="4" w:space="0" w:color="auto"/>
              <w:right w:val="single" w:sz="4" w:space="0" w:color="auto"/>
            </w:tcBorders>
            <w:shd w:val="clear" w:color="auto" w:fill="auto"/>
            <w:vAlign w:val="bottom"/>
            <w:hideMark/>
          </w:tcPr>
          <w:p w:rsidR="00BB3410" w:rsidRPr="00BB3410" w:rsidP="002752FF" w14:paraId="3396ED5E" w14:textId="77777777">
            <w:pPr>
              <w:jc w:val="right"/>
              <w:rPr>
                <w:b/>
                <w:bCs/>
                <w:i/>
                <w:iCs/>
                <w:sz w:val="18"/>
                <w:szCs w:val="18"/>
              </w:rPr>
            </w:pPr>
            <w:r w:rsidRPr="00BB3410">
              <w:rPr>
                <w:b/>
                <w:bCs/>
                <w:i/>
                <w:iCs/>
                <w:sz w:val="18"/>
                <w:szCs w:val="18"/>
              </w:rPr>
              <w:t xml:space="preserve">$0 </w:t>
            </w:r>
          </w:p>
        </w:tc>
      </w:tr>
      <w:tr w14:paraId="6DEDA837" w14:textId="77777777" w:rsidTr="00BB3410">
        <w:tblPrEx>
          <w:tblW w:w="5000" w:type="pct"/>
          <w:tblLook w:val="04A0"/>
        </w:tblPrEx>
        <w:trPr>
          <w:trHeight w:val="312"/>
        </w:trPr>
        <w:tc>
          <w:tcPr>
            <w:tcW w:w="1478" w:type="pct"/>
            <w:tcBorders>
              <w:top w:val="nil"/>
              <w:left w:val="single" w:sz="4" w:space="0" w:color="auto"/>
              <w:bottom w:val="single" w:sz="4" w:space="0" w:color="auto"/>
              <w:right w:val="single" w:sz="4" w:space="0" w:color="auto"/>
            </w:tcBorders>
            <w:shd w:val="clear" w:color="auto" w:fill="auto"/>
            <w:vAlign w:val="bottom"/>
            <w:hideMark/>
          </w:tcPr>
          <w:p w:rsidR="00BB3410" w:rsidRPr="00BB3410" w:rsidP="002752FF" w14:paraId="324B21FA" w14:textId="77777777">
            <w:pPr>
              <w:rPr>
                <w:b/>
                <w:bCs/>
                <w:sz w:val="18"/>
                <w:szCs w:val="18"/>
              </w:rPr>
            </w:pPr>
            <w:r w:rsidRPr="00BB3410">
              <w:rPr>
                <w:b/>
                <w:bCs/>
                <w:sz w:val="18"/>
                <w:szCs w:val="18"/>
              </w:rPr>
              <w:t xml:space="preserve">Total Labor Burden and Costs (rounded) </w:t>
            </w:r>
            <w:r w:rsidRPr="00BB3410">
              <w:rPr>
                <w:b/>
                <w:bCs/>
                <w:sz w:val="18"/>
                <w:szCs w:val="18"/>
                <w:vertAlign w:val="superscript"/>
              </w:rPr>
              <w:t>f</w:t>
            </w:r>
          </w:p>
        </w:tc>
        <w:tc>
          <w:tcPr>
            <w:tcW w:w="1889" w:type="pct"/>
            <w:gridSpan w:val="4"/>
            <w:tcBorders>
              <w:top w:val="single" w:sz="4" w:space="0" w:color="auto"/>
              <w:left w:val="nil"/>
              <w:bottom w:val="single" w:sz="4" w:space="0" w:color="auto"/>
              <w:right w:val="single" w:sz="4" w:space="0" w:color="000000"/>
            </w:tcBorders>
            <w:shd w:val="clear" w:color="auto" w:fill="auto"/>
            <w:vAlign w:val="bottom"/>
            <w:hideMark/>
          </w:tcPr>
          <w:p w:rsidR="00BB3410" w:rsidRPr="00BB3410" w:rsidP="002752FF" w14:paraId="07633037" w14:textId="77777777">
            <w:pPr>
              <w:jc w:val="center"/>
              <w:rPr>
                <w:b/>
                <w:bCs/>
                <w:sz w:val="18"/>
                <w:szCs w:val="18"/>
              </w:rPr>
            </w:pPr>
            <w:r w:rsidRPr="00BB3410">
              <w:rPr>
                <w:b/>
                <w:bCs/>
                <w:sz w:val="18"/>
                <w:szCs w:val="18"/>
              </w:rPr>
              <w:t> </w:t>
            </w:r>
          </w:p>
        </w:tc>
        <w:tc>
          <w:tcPr>
            <w:tcW w:w="1311" w:type="pct"/>
            <w:gridSpan w:val="3"/>
            <w:tcBorders>
              <w:top w:val="single" w:sz="4" w:space="0" w:color="auto"/>
              <w:left w:val="nil"/>
              <w:bottom w:val="single" w:sz="4" w:space="0" w:color="auto"/>
              <w:right w:val="single" w:sz="4" w:space="0" w:color="000000"/>
            </w:tcBorders>
            <w:shd w:val="clear" w:color="auto" w:fill="auto"/>
            <w:vAlign w:val="bottom"/>
            <w:hideMark/>
          </w:tcPr>
          <w:p w:rsidR="00BB3410" w:rsidRPr="00BB3410" w:rsidP="002752FF" w14:paraId="033D70E5" w14:textId="77777777">
            <w:pPr>
              <w:jc w:val="center"/>
              <w:rPr>
                <w:b/>
                <w:bCs/>
                <w:i/>
                <w:iCs/>
                <w:sz w:val="18"/>
                <w:szCs w:val="18"/>
              </w:rPr>
            </w:pPr>
            <w:r w:rsidRPr="00BB3410">
              <w:rPr>
                <w:b/>
                <w:bCs/>
                <w:i/>
                <w:iCs/>
                <w:sz w:val="18"/>
                <w:szCs w:val="18"/>
              </w:rPr>
              <w:t>14</w:t>
            </w:r>
          </w:p>
        </w:tc>
        <w:tc>
          <w:tcPr>
            <w:tcW w:w="323" w:type="pct"/>
            <w:tcBorders>
              <w:top w:val="single" w:sz="4" w:space="0" w:color="auto"/>
              <w:left w:val="nil"/>
              <w:bottom w:val="single" w:sz="4" w:space="0" w:color="auto"/>
              <w:right w:val="single" w:sz="4" w:space="0" w:color="auto"/>
            </w:tcBorders>
            <w:shd w:val="clear" w:color="auto" w:fill="auto"/>
            <w:vAlign w:val="bottom"/>
            <w:hideMark/>
          </w:tcPr>
          <w:p w:rsidR="00BB3410" w:rsidRPr="00BB3410" w:rsidP="002752FF" w14:paraId="6720BC88" w14:textId="77777777">
            <w:pPr>
              <w:jc w:val="right"/>
              <w:rPr>
                <w:b/>
                <w:bCs/>
                <w:i/>
                <w:iCs/>
                <w:sz w:val="18"/>
                <w:szCs w:val="18"/>
              </w:rPr>
            </w:pPr>
            <w:r w:rsidRPr="00BB3410">
              <w:rPr>
                <w:b/>
                <w:bCs/>
                <w:i/>
                <w:iCs/>
                <w:sz w:val="18"/>
                <w:szCs w:val="18"/>
              </w:rPr>
              <w:t xml:space="preserve">$1,850 </w:t>
            </w:r>
          </w:p>
        </w:tc>
      </w:tr>
      <w:tr w14:paraId="2746D4A2" w14:textId="77777777" w:rsidTr="00BB3410">
        <w:tblPrEx>
          <w:tblW w:w="5000" w:type="pct"/>
          <w:tblLook w:val="04A0"/>
        </w:tblPrEx>
        <w:trPr>
          <w:trHeight w:val="336"/>
        </w:trPr>
        <w:tc>
          <w:tcPr>
            <w:tcW w:w="1478" w:type="pct"/>
            <w:tcBorders>
              <w:top w:val="nil"/>
              <w:left w:val="single" w:sz="4" w:space="0" w:color="auto"/>
              <w:bottom w:val="single" w:sz="4" w:space="0" w:color="auto"/>
              <w:right w:val="single" w:sz="4" w:space="0" w:color="auto"/>
            </w:tcBorders>
            <w:shd w:val="clear" w:color="auto" w:fill="auto"/>
            <w:vAlign w:val="bottom"/>
            <w:hideMark/>
          </w:tcPr>
          <w:p w:rsidR="00BB3410" w:rsidRPr="00BB3410" w:rsidP="002752FF" w14:paraId="515B2BA8" w14:textId="77777777">
            <w:pPr>
              <w:rPr>
                <w:b/>
                <w:bCs/>
                <w:sz w:val="18"/>
                <w:szCs w:val="18"/>
              </w:rPr>
            </w:pPr>
            <w:r w:rsidRPr="00BB3410">
              <w:rPr>
                <w:b/>
                <w:bCs/>
                <w:sz w:val="18"/>
                <w:szCs w:val="18"/>
              </w:rPr>
              <w:t>Total Capital and O&amp;M Cost (rounded)</w:t>
            </w:r>
            <w:r w:rsidRPr="00BB3410">
              <w:rPr>
                <w:b/>
                <w:bCs/>
                <w:sz w:val="18"/>
                <w:szCs w:val="18"/>
                <w:vertAlign w:val="superscript"/>
              </w:rPr>
              <w:t xml:space="preserve"> f</w:t>
            </w:r>
          </w:p>
        </w:tc>
        <w:tc>
          <w:tcPr>
            <w:tcW w:w="3199" w:type="pct"/>
            <w:gridSpan w:val="7"/>
            <w:tcBorders>
              <w:top w:val="single" w:sz="4" w:space="0" w:color="auto"/>
              <w:left w:val="nil"/>
              <w:bottom w:val="single" w:sz="4" w:space="0" w:color="auto"/>
              <w:right w:val="single" w:sz="4" w:space="0" w:color="000000"/>
            </w:tcBorders>
            <w:shd w:val="clear" w:color="auto" w:fill="auto"/>
            <w:vAlign w:val="bottom"/>
            <w:hideMark/>
          </w:tcPr>
          <w:p w:rsidR="00BB3410" w:rsidRPr="00BB3410" w:rsidP="002752FF" w14:paraId="31A6B89B" w14:textId="77777777">
            <w:pPr>
              <w:jc w:val="center"/>
              <w:rPr>
                <w:b/>
                <w:bCs/>
                <w:sz w:val="18"/>
                <w:szCs w:val="18"/>
              </w:rPr>
            </w:pPr>
            <w:r w:rsidRPr="00BB3410">
              <w:rPr>
                <w:b/>
                <w:bCs/>
                <w:sz w:val="18"/>
                <w:szCs w:val="18"/>
              </w:rPr>
              <w:t> </w:t>
            </w:r>
          </w:p>
        </w:tc>
        <w:tc>
          <w:tcPr>
            <w:tcW w:w="323" w:type="pct"/>
            <w:tcBorders>
              <w:top w:val="nil"/>
              <w:left w:val="nil"/>
              <w:bottom w:val="single" w:sz="4" w:space="0" w:color="auto"/>
              <w:right w:val="single" w:sz="4" w:space="0" w:color="auto"/>
            </w:tcBorders>
            <w:shd w:val="clear" w:color="auto" w:fill="auto"/>
            <w:vAlign w:val="bottom"/>
            <w:hideMark/>
          </w:tcPr>
          <w:p w:rsidR="00BB3410" w:rsidRPr="00BB3410" w:rsidP="002752FF" w14:paraId="6404CD5A" w14:textId="77777777">
            <w:pPr>
              <w:jc w:val="right"/>
              <w:rPr>
                <w:b/>
                <w:bCs/>
                <w:i/>
                <w:iCs/>
                <w:sz w:val="18"/>
                <w:szCs w:val="18"/>
              </w:rPr>
            </w:pPr>
            <w:r w:rsidRPr="00BB3410">
              <w:rPr>
                <w:b/>
                <w:bCs/>
                <w:i/>
                <w:iCs/>
                <w:sz w:val="18"/>
                <w:szCs w:val="18"/>
              </w:rPr>
              <w:t xml:space="preserve">$0 </w:t>
            </w:r>
          </w:p>
        </w:tc>
      </w:tr>
      <w:tr w14:paraId="7EFD11A2" w14:textId="77777777" w:rsidTr="00BB3410">
        <w:tblPrEx>
          <w:tblW w:w="5000" w:type="pct"/>
          <w:tblLook w:val="04A0"/>
        </w:tblPrEx>
        <w:trPr>
          <w:trHeight w:val="336"/>
        </w:trPr>
        <w:tc>
          <w:tcPr>
            <w:tcW w:w="1478" w:type="pct"/>
            <w:tcBorders>
              <w:top w:val="nil"/>
              <w:left w:val="single" w:sz="4" w:space="0" w:color="auto"/>
              <w:bottom w:val="single" w:sz="4" w:space="0" w:color="auto"/>
              <w:right w:val="single" w:sz="4" w:space="0" w:color="auto"/>
            </w:tcBorders>
            <w:shd w:val="clear" w:color="auto" w:fill="auto"/>
            <w:vAlign w:val="bottom"/>
            <w:hideMark/>
          </w:tcPr>
          <w:p w:rsidR="00BB3410" w:rsidRPr="00BB3410" w:rsidP="002752FF" w14:paraId="635803A5" w14:textId="77777777">
            <w:pPr>
              <w:rPr>
                <w:b/>
                <w:bCs/>
                <w:sz w:val="18"/>
                <w:szCs w:val="18"/>
              </w:rPr>
            </w:pPr>
            <w:r w:rsidRPr="00BB3410">
              <w:rPr>
                <w:b/>
                <w:bCs/>
                <w:sz w:val="18"/>
                <w:szCs w:val="18"/>
              </w:rPr>
              <w:t xml:space="preserve">GRAND TOTAL (rounded) </w:t>
            </w:r>
            <w:r w:rsidRPr="00BB3410">
              <w:rPr>
                <w:b/>
                <w:bCs/>
                <w:sz w:val="18"/>
                <w:szCs w:val="18"/>
                <w:vertAlign w:val="superscript"/>
              </w:rPr>
              <w:t>f</w:t>
            </w:r>
          </w:p>
        </w:tc>
        <w:tc>
          <w:tcPr>
            <w:tcW w:w="3199" w:type="pct"/>
            <w:gridSpan w:val="7"/>
            <w:tcBorders>
              <w:top w:val="single" w:sz="4" w:space="0" w:color="auto"/>
              <w:left w:val="nil"/>
              <w:bottom w:val="single" w:sz="4" w:space="0" w:color="auto"/>
              <w:right w:val="single" w:sz="4" w:space="0" w:color="000000"/>
            </w:tcBorders>
            <w:shd w:val="clear" w:color="auto" w:fill="auto"/>
            <w:vAlign w:val="bottom"/>
            <w:hideMark/>
          </w:tcPr>
          <w:p w:rsidR="00BB3410" w:rsidRPr="00BB3410" w:rsidP="002752FF" w14:paraId="4290C501" w14:textId="77777777">
            <w:pPr>
              <w:jc w:val="center"/>
              <w:rPr>
                <w:b/>
                <w:bCs/>
                <w:sz w:val="18"/>
                <w:szCs w:val="18"/>
              </w:rPr>
            </w:pPr>
            <w:r w:rsidRPr="00BB3410">
              <w:rPr>
                <w:b/>
                <w:bCs/>
                <w:sz w:val="18"/>
                <w:szCs w:val="18"/>
              </w:rPr>
              <w:t> </w:t>
            </w:r>
          </w:p>
        </w:tc>
        <w:tc>
          <w:tcPr>
            <w:tcW w:w="323" w:type="pct"/>
            <w:tcBorders>
              <w:top w:val="nil"/>
              <w:left w:val="nil"/>
              <w:bottom w:val="single" w:sz="4" w:space="0" w:color="auto"/>
              <w:right w:val="single" w:sz="4" w:space="0" w:color="auto"/>
            </w:tcBorders>
            <w:shd w:val="clear" w:color="auto" w:fill="auto"/>
            <w:vAlign w:val="bottom"/>
            <w:hideMark/>
          </w:tcPr>
          <w:p w:rsidR="00BB3410" w:rsidRPr="00BB3410" w:rsidP="002752FF" w14:paraId="46E29F10" w14:textId="77777777">
            <w:pPr>
              <w:jc w:val="right"/>
              <w:rPr>
                <w:b/>
                <w:bCs/>
                <w:i/>
                <w:iCs/>
                <w:sz w:val="18"/>
                <w:szCs w:val="18"/>
              </w:rPr>
            </w:pPr>
            <w:r w:rsidRPr="00BB3410">
              <w:rPr>
                <w:b/>
                <w:bCs/>
                <w:i/>
                <w:iCs/>
                <w:sz w:val="18"/>
                <w:szCs w:val="18"/>
              </w:rPr>
              <w:t xml:space="preserve">$1,850 </w:t>
            </w:r>
          </w:p>
        </w:tc>
      </w:tr>
      <w:tr w14:paraId="60ED3B28" w14:textId="77777777" w:rsidTr="00BB3410">
        <w:tblPrEx>
          <w:tblW w:w="5000" w:type="pct"/>
          <w:tblLook w:val="04A0"/>
        </w:tblPrEx>
        <w:trPr>
          <w:trHeight w:val="276"/>
        </w:trPr>
        <w:tc>
          <w:tcPr>
            <w:tcW w:w="1478" w:type="pct"/>
            <w:tcBorders>
              <w:top w:val="nil"/>
              <w:left w:val="nil"/>
              <w:bottom w:val="nil"/>
              <w:right w:val="nil"/>
            </w:tcBorders>
            <w:shd w:val="clear" w:color="auto" w:fill="auto"/>
            <w:noWrap/>
            <w:vAlign w:val="bottom"/>
            <w:hideMark/>
          </w:tcPr>
          <w:p w:rsidR="00BB3410" w:rsidRPr="00BB3410" w:rsidP="002752FF" w14:paraId="4D9A7879" w14:textId="77777777">
            <w:pPr>
              <w:jc w:val="right"/>
              <w:rPr>
                <w:b/>
                <w:bCs/>
                <w:i/>
                <w:iCs/>
                <w:sz w:val="16"/>
                <w:szCs w:val="16"/>
              </w:rPr>
            </w:pPr>
          </w:p>
        </w:tc>
        <w:tc>
          <w:tcPr>
            <w:tcW w:w="542" w:type="pct"/>
            <w:tcBorders>
              <w:top w:val="nil"/>
              <w:left w:val="nil"/>
              <w:bottom w:val="nil"/>
              <w:right w:val="nil"/>
            </w:tcBorders>
            <w:shd w:val="clear" w:color="auto" w:fill="auto"/>
            <w:noWrap/>
            <w:vAlign w:val="bottom"/>
            <w:hideMark/>
          </w:tcPr>
          <w:p w:rsidR="00BB3410" w:rsidRPr="00BB3410" w:rsidP="002752FF" w14:paraId="3A0CA747" w14:textId="77777777">
            <w:pPr>
              <w:rPr>
                <w:sz w:val="16"/>
                <w:szCs w:val="16"/>
              </w:rPr>
            </w:pPr>
          </w:p>
        </w:tc>
        <w:tc>
          <w:tcPr>
            <w:tcW w:w="450" w:type="pct"/>
            <w:tcBorders>
              <w:top w:val="nil"/>
              <w:left w:val="nil"/>
              <w:bottom w:val="nil"/>
              <w:right w:val="nil"/>
            </w:tcBorders>
            <w:shd w:val="clear" w:color="auto" w:fill="auto"/>
            <w:noWrap/>
            <w:vAlign w:val="bottom"/>
            <w:hideMark/>
          </w:tcPr>
          <w:p w:rsidR="00BB3410" w:rsidRPr="00BB3410" w:rsidP="002752FF" w14:paraId="127A2929" w14:textId="77777777">
            <w:pPr>
              <w:rPr>
                <w:sz w:val="16"/>
                <w:szCs w:val="16"/>
              </w:rPr>
            </w:pPr>
          </w:p>
        </w:tc>
        <w:tc>
          <w:tcPr>
            <w:tcW w:w="427" w:type="pct"/>
            <w:tcBorders>
              <w:top w:val="nil"/>
              <w:left w:val="nil"/>
              <w:bottom w:val="nil"/>
              <w:right w:val="nil"/>
            </w:tcBorders>
            <w:shd w:val="clear" w:color="auto" w:fill="auto"/>
            <w:noWrap/>
            <w:vAlign w:val="bottom"/>
            <w:hideMark/>
          </w:tcPr>
          <w:p w:rsidR="00BB3410" w:rsidRPr="00BB3410" w:rsidP="002752FF" w14:paraId="7389BF9E" w14:textId="77777777">
            <w:pPr>
              <w:rPr>
                <w:sz w:val="16"/>
                <w:szCs w:val="16"/>
              </w:rPr>
            </w:pPr>
          </w:p>
        </w:tc>
        <w:tc>
          <w:tcPr>
            <w:tcW w:w="470" w:type="pct"/>
            <w:tcBorders>
              <w:top w:val="nil"/>
              <w:left w:val="nil"/>
              <w:bottom w:val="nil"/>
              <w:right w:val="nil"/>
            </w:tcBorders>
            <w:shd w:val="clear" w:color="auto" w:fill="auto"/>
            <w:noWrap/>
            <w:vAlign w:val="bottom"/>
            <w:hideMark/>
          </w:tcPr>
          <w:p w:rsidR="00BB3410" w:rsidRPr="00BB3410" w:rsidP="002752FF" w14:paraId="0688F34F" w14:textId="77777777">
            <w:pPr>
              <w:rPr>
                <w:sz w:val="16"/>
                <w:szCs w:val="16"/>
              </w:rPr>
            </w:pPr>
          </w:p>
        </w:tc>
        <w:tc>
          <w:tcPr>
            <w:tcW w:w="443" w:type="pct"/>
            <w:tcBorders>
              <w:top w:val="nil"/>
              <w:left w:val="nil"/>
              <w:bottom w:val="nil"/>
              <w:right w:val="nil"/>
            </w:tcBorders>
            <w:shd w:val="clear" w:color="auto" w:fill="auto"/>
            <w:noWrap/>
            <w:vAlign w:val="bottom"/>
            <w:hideMark/>
          </w:tcPr>
          <w:p w:rsidR="00BB3410" w:rsidRPr="00BB3410" w:rsidP="002752FF" w14:paraId="4EEAC82F" w14:textId="77777777">
            <w:pPr>
              <w:rPr>
                <w:sz w:val="16"/>
                <w:szCs w:val="16"/>
              </w:rPr>
            </w:pPr>
          </w:p>
        </w:tc>
        <w:tc>
          <w:tcPr>
            <w:tcW w:w="484" w:type="pct"/>
            <w:tcBorders>
              <w:top w:val="nil"/>
              <w:left w:val="nil"/>
              <w:bottom w:val="nil"/>
              <w:right w:val="nil"/>
            </w:tcBorders>
            <w:shd w:val="clear" w:color="auto" w:fill="auto"/>
            <w:noWrap/>
            <w:vAlign w:val="bottom"/>
            <w:hideMark/>
          </w:tcPr>
          <w:p w:rsidR="00BB3410" w:rsidRPr="00BB3410" w:rsidP="002752FF" w14:paraId="200E8C8A" w14:textId="77777777">
            <w:pPr>
              <w:rPr>
                <w:sz w:val="16"/>
                <w:szCs w:val="16"/>
              </w:rPr>
            </w:pPr>
          </w:p>
        </w:tc>
        <w:tc>
          <w:tcPr>
            <w:tcW w:w="384" w:type="pct"/>
            <w:tcBorders>
              <w:top w:val="nil"/>
              <w:left w:val="nil"/>
              <w:bottom w:val="nil"/>
              <w:right w:val="nil"/>
            </w:tcBorders>
            <w:shd w:val="clear" w:color="auto" w:fill="auto"/>
            <w:noWrap/>
            <w:vAlign w:val="bottom"/>
            <w:hideMark/>
          </w:tcPr>
          <w:p w:rsidR="00BB3410" w:rsidRPr="00BB3410" w:rsidP="002752FF" w14:paraId="69325F53" w14:textId="77777777">
            <w:pPr>
              <w:rPr>
                <w:sz w:val="16"/>
                <w:szCs w:val="16"/>
              </w:rPr>
            </w:pPr>
          </w:p>
        </w:tc>
        <w:tc>
          <w:tcPr>
            <w:tcW w:w="323" w:type="pct"/>
            <w:tcBorders>
              <w:top w:val="nil"/>
              <w:left w:val="nil"/>
              <w:bottom w:val="nil"/>
              <w:right w:val="nil"/>
            </w:tcBorders>
            <w:shd w:val="clear" w:color="auto" w:fill="auto"/>
            <w:noWrap/>
            <w:vAlign w:val="bottom"/>
            <w:hideMark/>
          </w:tcPr>
          <w:p w:rsidR="00BB3410" w:rsidRPr="00BB3410" w:rsidP="002752FF" w14:paraId="4C7FE126" w14:textId="77777777">
            <w:pPr>
              <w:rPr>
                <w:sz w:val="16"/>
                <w:szCs w:val="16"/>
              </w:rPr>
            </w:pPr>
          </w:p>
        </w:tc>
      </w:tr>
      <w:tr w14:paraId="2A86F476" w14:textId="77777777" w:rsidTr="00BB3410">
        <w:tblPrEx>
          <w:tblW w:w="5000" w:type="pct"/>
          <w:tblLook w:val="04A0"/>
        </w:tblPrEx>
        <w:trPr>
          <w:trHeight w:val="276"/>
        </w:trPr>
        <w:tc>
          <w:tcPr>
            <w:tcW w:w="1478" w:type="pct"/>
            <w:tcBorders>
              <w:top w:val="nil"/>
              <w:left w:val="nil"/>
              <w:bottom w:val="nil"/>
              <w:right w:val="nil"/>
            </w:tcBorders>
            <w:shd w:val="clear" w:color="auto" w:fill="auto"/>
            <w:noWrap/>
            <w:vAlign w:val="bottom"/>
            <w:hideMark/>
          </w:tcPr>
          <w:p w:rsidR="00BB3410" w:rsidRPr="00BB3410" w:rsidP="002752FF" w14:paraId="08034AE5" w14:textId="77777777">
            <w:pPr>
              <w:rPr>
                <w:b/>
                <w:bCs/>
                <w:color w:val="000000"/>
              </w:rPr>
            </w:pPr>
            <w:r w:rsidRPr="00BB3410">
              <w:rPr>
                <w:b/>
                <w:bCs/>
                <w:color w:val="000000"/>
              </w:rPr>
              <w:t>Assumptions:</w:t>
            </w:r>
          </w:p>
        </w:tc>
        <w:tc>
          <w:tcPr>
            <w:tcW w:w="542" w:type="pct"/>
            <w:tcBorders>
              <w:top w:val="nil"/>
              <w:left w:val="nil"/>
              <w:bottom w:val="nil"/>
              <w:right w:val="nil"/>
            </w:tcBorders>
            <w:shd w:val="clear" w:color="auto" w:fill="auto"/>
            <w:noWrap/>
            <w:vAlign w:val="bottom"/>
            <w:hideMark/>
          </w:tcPr>
          <w:p w:rsidR="00BB3410" w:rsidRPr="00BB3410" w:rsidP="002752FF" w14:paraId="015CF31C" w14:textId="77777777">
            <w:pPr>
              <w:rPr>
                <w:b/>
                <w:bCs/>
                <w:color w:val="000000"/>
                <w:sz w:val="16"/>
                <w:szCs w:val="16"/>
              </w:rPr>
            </w:pPr>
          </w:p>
        </w:tc>
        <w:tc>
          <w:tcPr>
            <w:tcW w:w="450" w:type="pct"/>
            <w:tcBorders>
              <w:top w:val="nil"/>
              <w:left w:val="nil"/>
              <w:bottom w:val="nil"/>
              <w:right w:val="nil"/>
            </w:tcBorders>
            <w:shd w:val="clear" w:color="auto" w:fill="auto"/>
            <w:noWrap/>
            <w:vAlign w:val="bottom"/>
            <w:hideMark/>
          </w:tcPr>
          <w:p w:rsidR="00BB3410" w:rsidRPr="00BB3410" w:rsidP="002752FF" w14:paraId="65E72A53" w14:textId="77777777">
            <w:pPr>
              <w:rPr>
                <w:sz w:val="16"/>
                <w:szCs w:val="16"/>
              </w:rPr>
            </w:pPr>
          </w:p>
        </w:tc>
        <w:tc>
          <w:tcPr>
            <w:tcW w:w="427" w:type="pct"/>
            <w:tcBorders>
              <w:top w:val="nil"/>
              <w:left w:val="nil"/>
              <w:bottom w:val="nil"/>
              <w:right w:val="nil"/>
            </w:tcBorders>
            <w:shd w:val="clear" w:color="auto" w:fill="auto"/>
            <w:noWrap/>
            <w:vAlign w:val="bottom"/>
            <w:hideMark/>
          </w:tcPr>
          <w:p w:rsidR="00BB3410" w:rsidRPr="00BB3410" w:rsidP="002752FF" w14:paraId="704F91FC" w14:textId="77777777">
            <w:pPr>
              <w:rPr>
                <w:sz w:val="16"/>
                <w:szCs w:val="16"/>
              </w:rPr>
            </w:pPr>
          </w:p>
        </w:tc>
        <w:tc>
          <w:tcPr>
            <w:tcW w:w="470" w:type="pct"/>
            <w:tcBorders>
              <w:top w:val="nil"/>
              <w:left w:val="nil"/>
              <w:bottom w:val="nil"/>
              <w:right w:val="nil"/>
            </w:tcBorders>
            <w:shd w:val="clear" w:color="auto" w:fill="auto"/>
            <w:noWrap/>
            <w:vAlign w:val="bottom"/>
            <w:hideMark/>
          </w:tcPr>
          <w:p w:rsidR="00BB3410" w:rsidRPr="00BB3410" w:rsidP="002752FF" w14:paraId="37A06210" w14:textId="77777777">
            <w:pPr>
              <w:rPr>
                <w:sz w:val="16"/>
                <w:szCs w:val="16"/>
              </w:rPr>
            </w:pPr>
          </w:p>
        </w:tc>
        <w:tc>
          <w:tcPr>
            <w:tcW w:w="443" w:type="pct"/>
            <w:tcBorders>
              <w:top w:val="nil"/>
              <w:left w:val="nil"/>
              <w:bottom w:val="nil"/>
              <w:right w:val="nil"/>
            </w:tcBorders>
            <w:shd w:val="clear" w:color="auto" w:fill="auto"/>
            <w:noWrap/>
            <w:vAlign w:val="bottom"/>
            <w:hideMark/>
          </w:tcPr>
          <w:p w:rsidR="00BB3410" w:rsidRPr="00BB3410" w:rsidP="002752FF" w14:paraId="1EDEE0D9" w14:textId="77777777">
            <w:pPr>
              <w:rPr>
                <w:sz w:val="16"/>
                <w:szCs w:val="16"/>
              </w:rPr>
            </w:pPr>
          </w:p>
        </w:tc>
        <w:tc>
          <w:tcPr>
            <w:tcW w:w="484" w:type="pct"/>
            <w:tcBorders>
              <w:top w:val="nil"/>
              <w:left w:val="nil"/>
              <w:bottom w:val="nil"/>
              <w:right w:val="nil"/>
            </w:tcBorders>
            <w:shd w:val="clear" w:color="auto" w:fill="auto"/>
            <w:noWrap/>
            <w:vAlign w:val="bottom"/>
            <w:hideMark/>
          </w:tcPr>
          <w:p w:rsidR="00BB3410" w:rsidRPr="00BB3410" w:rsidP="002752FF" w14:paraId="6764A0EC" w14:textId="77777777">
            <w:pPr>
              <w:rPr>
                <w:sz w:val="16"/>
                <w:szCs w:val="16"/>
              </w:rPr>
            </w:pPr>
          </w:p>
        </w:tc>
        <w:tc>
          <w:tcPr>
            <w:tcW w:w="384" w:type="pct"/>
            <w:tcBorders>
              <w:top w:val="nil"/>
              <w:left w:val="nil"/>
              <w:bottom w:val="nil"/>
              <w:right w:val="nil"/>
            </w:tcBorders>
            <w:shd w:val="clear" w:color="auto" w:fill="auto"/>
            <w:noWrap/>
            <w:vAlign w:val="bottom"/>
            <w:hideMark/>
          </w:tcPr>
          <w:p w:rsidR="00BB3410" w:rsidRPr="00BB3410" w:rsidP="002752FF" w14:paraId="1A7E7180" w14:textId="77777777">
            <w:pPr>
              <w:rPr>
                <w:sz w:val="16"/>
                <w:szCs w:val="16"/>
              </w:rPr>
            </w:pPr>
          </w:p>
        </w:tc>
        <w:tc>
          <w:tcPr>
            <w:tcW w:w="323" w:type="pct"/>
            <w:tcBorders>
              <w:top w:val="nil"/>
              <w:left w:val="nil"/>
              <w:bottom w:val="nil"/>
              <w:right w:val="nil"/>
            </w:tcBorders>
            <w:shd w:val="clear" w:color="auto" w:fill="auto"/>
            <w:noWrap/>
            <w:vAlign w:val="bottom"/>
            <w:hideMark/>
          </w:tcPr>
          <w:p w:rsidR="00BB3410" w:rsidRPr="00BB3410" w:rsidP="002752FF" w14:paraId="7FD50753" w14:textId="77777777">
            <w:pPr>
              <w:rPr>
                <w:sz w:val="16"/>
                <w:szCs w:val="16"/>
              </w:rPr>
            </w:pPr>
          </w:p>
        </w:tc>
      </w:tr>
      <w:tr w14:paraId="0FFBE842" w14:textId="77777777" w:rsidTr="00BB3410">
        <w:tblPrEx>
          <w:tblW w:w="5000" w:type="pct"/>
          <w:tblLook w:val="04A0"/>
        </w:tblPrEx>
        <w:trPr>
          <w:trHeight w:val="468"/>
        </w:trPr>
        <w:tc>
          <w:tcPr>
            <w:tcW w:w="5000" w:type="pct"/>
            <w:gridSpan w:val="9"/>
            <w:tcBorders>
              <w:top w:val="nil"/>
              <w:left w:val="nil"/>
              <w:bottom w:val="nil"/>
              <w:right w:val="nil"/>
            </w:tcBorders>
            <w:shd w:val="clear" w:color="auto" w:fill="auto"/>
            <w:hideMark/>
          </w:tcPr>
          <w:p w:rsidR="00BB3410" w:rsidRPr="00BB3410" w:rsidP="002752FF" w14:paraId="165D2FB5" w14:textId="77777777">
            <w:r w:rsidRPr="00BB3410">
              <w:rPr>
                <w:vertAlign w:val="superscript"/>
              </w:rPr>
              <w:t>a</w:t>
            </w:r>
            <w:r w:rsidRPr="00BB3410">
              <w:t xml:space="preserve"> We assume that an average of 31 respondents will be subject to this rule. We assume that one new source each year will become subject to the rule over the three-year period of the ICR.</w:t>
            </w:r>
            <w:r w:rsidRPr="00BB3410">
              <w:rPr>
                <w:vertAlign w:val="superscript"/>
              </w:rPr>
              <w:t xml:space="preserve"> </w:t>
            </w:r>
          </w:p>
        </w:tc>
      </w:tr>
      <w:tr w14:paraId="6A080B3E" w14:textId="77777777" w:rsidTr="00BB3410">
        <w:tblPrEx>
          <w:tblW w:w="5000" w:type="pct"/>
          <w:tblLook w:val="04A0"/>
        </w:tblPrEx>
        <w:trPr>
          <w:trHeight w:val="918"/>
        </w:trPr>
        <w:tc>
          <w:tcPr>
            <w:tcW w:w="5000" w:type="pct"/>
            <w:gridSpan w:val="9"/>
            <w:tcBorders>
              <w:top w:val="nil"/>
              <w:left w:val="nil"/>
              <w:bottom w:val="nil"/>
              <w:right w:val="nil"/>
            </w:tcBorders>
            <w:shd w:val="clear" w:color="auto" w:fill="auto"/>
            <w:hideMark/>
          </w:tcPr>
          <w:p w:rsidR="00BB3410" w:rsidRPr="00BB3410" w:rsidP="002752FF" w14:paraId="4E09D39D" w14:textId="77777777">
            <w:r w:rsidRPr="00BB3410">
              <w:rPr>
                <w:vertAlign w:val="superscript"/>
              </w:rPr>
              <w:t>b</w:t>
            </w:r>
            <w:r w:rsidRPr="00BB3410">
              <w:t xml:space="preserve"> This ICR uses the following labor rates: $163.17 ($77.70 + 110%) per hour for Executive, Administrative, and Managerial labor; $130.28 ($62.04 + 110%) per hour for </w:t>
            </w:r>
            <w:r w:rsidRPr="00BB3410">
              <w:t>Technical</w:t>
            </w:r>
            <w:r w:rsidRPr="00BB3410">
              <w:t xml:space="preserve"> labor, and $65.71 ($31.29 + 110%) per hour for Clerical labor.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 All tasks are assumed to be performed by a technical person ($130.28/</w:t>
            </w:r>
            <w:r w:rsidRPr="00BB3410">
              <w:t>hr</w:t>
            </w:r>
            <w:r w:rsidRPr="00BB3410">
              <w:t>) unless otherwise noted.</w:t>
            </w:r>
          </w:p>
        </w:tc>
      </w:tr>
      <w:tr w14:paraId="2673B8D5" w14:textId="77777777" w:rsidTr="00BB3410">
        <w:tblPrEx>
          <w:tblW w:w="5000" w:type="pct"/>
          <w:tblLook w:val="04A0"/>
        </w:tblPrEx>
        <w:trPr>
          <w:trHeight w:val="180"/>
        </w:trPr>
        <w:tc>
          <w:tcPr>
            <w:tcW w:w="5000" w:type="pct"/>
            <w:gridSpan w:val="9"/>
            <w:tcBorders>
              <w:top w:val="nil"/>
              <w:left w:val="nil"/>
              <w:bottom w:val="nil"/>
              <w:right w:val="nil"/>
            </w:tcBorders>
            <w:shd w:val="clear" w:color="auto" w:fill="auto"/>
            <w:vAlign w:val="bottom"/>
            <w:hideMark/>
          </w:tcPr>
          <w:p w:rsidR="00BB3410" w:rsidRPr="00BB3410" w:rsidP="002752FF" w14:paraId="51A4483A" w14:textId="77777777">
            <w:r w:rsidRPr="00BB3410">
              <w:rPr>
                <w:vertAlign w:val="superscript"/>
              </w:rPr>
              <w:t>c</w:t>
            </w:r>
            <w:r w:rsidRPr="00BB3410">
              <w:t xml:space="preserve"> We assume there will be one new regulated entity every year.</w:t>
            </w:r>
          </w:p>
        </w:tc>
      </w:tr>
      <w:tr w14:paraId="0253B82F" w14:textId="77777777" w:rsidTr="00BB3410">
        <w:tblPrEx>
          <w:tblW w:w="5000" w:type="pct"/>
          <w:tblLook w:val="04A0"/>
        </w:tblPrEx>
        <w:trPr>
          <w:trHeight w:val="300"/>
        </w:trPr>
        <w:tc>
          <w:tcPr>
            <w:tcW w:w="5000" w:type="pct"/>
            <w:gridSpan w:val="9"/>
            <w:tcBorders>
              <w:top w:val="nil"/>
              <w:left w:val="nil"/>
              <w:bottom w:val="nil"/>
              <w:right w:val="nil"/>
            </w:tcBorders>
            <w:shd w:val="clear" w:color="auto" w:fill="auto"/>
            <w:vAlign w:val="bottom"/>
            <w:hideMark/>
          </w:tcPr>
          <w:p w:rsidR="00BB3410" w:rsidRPr="00BB3410" w:rsidP="002752FF" w14:paraId="40867C1A" w14:textId="77777777">
            <w:r w:rsidRPr="00BB3410">
              <w:rPr>
                <w:vertAlign w:val="superscript"/>
              </w:rPr>
              <w:t xml:space="preserve">d </w:t>
            </w:r>
            <w:r w:rsidRPr="00BB3410">
              <w:t>We assume that 10% of manufacturers will update their codes each year.</w:t>
            </w:r>
          </w:p>
        </w:tc>
      </w:tr>
      <w:tr w14:paraId="47079413" w14:textId="77777777" w:rsidTr="00BB3410">
        <w:tblPrEx>
          <w:tblW w:w="5000" w:type="pct"/>
          <w:tblLook w:val="04A0"/>
        </w:tblPrEx>
        <w:trPr>
          <w:trHeight w:val="270"/>
        </w:trPr>
        <w:tc>
          <w:tcPr>
            <w:tcW w:w="5000" w:type="pct"/>
            <w:gridSpan w:val="9"/>
            <w:tcBorders>
              <w:top w:val="nil"/>
              <w:left w:val="nil"/>
              <w:bottom w:val="nil"/>
              <w:right w:val="nil"/>
            </w:tcBorders>
            <w:shd w:val="clear" w:color="auto" w:fill="auto"/>
            <w:vAlign w:val="bottom"/>
            <w:hideMark/>
          </w:tcPr>
          <w:p w:rsidR="00BB3410" w:rsidRPr="00BB3410" w:rsidP="002752FF" w14:paraId="60CD822B" w14:textId="77777777">
            <w:r w:rsidRPr="00BB3410">
              <w:rPr>
                <w:vertAlign w:val="superscript"/>
              </w:rPr>
              <w:t>e</w:t>
            </w:r>
            <w:r w:rsidRPr="00BB3410">
              <w:t xml:space="preserve"> Although the rule requires the date (or code) to appear on the label, such labeling is already performed. </w:t>
            </w:r>
          </w:p>
        </w:tc>
      </w:tr>
      <w:tr w14:paraId="0C639581" w14:textId="77777777" w:rsidTr="00BB3410">
        <w:tblPrEx>
          <w:tblW w:w="5000" w:type="pct"/>
          <w:tblLook w:val="04A0"/>
        </w:tblPrEx>
        <w:trPr>
          <w:trHeight w:val="324"/>
        </w:trPr>
        <w:tc>
          <w:tcPr>
            <w:tcW w:w="5000" w:type="pct"/>
            <w:gridSpan w:val="9"/>
            <w:tcBorders>
              <w:top w:val="nil"/>
              <w:left w:val="nil"/>
              <w:bottom w:val="nil"/>
              <w:right w:val="nil"/>
            </w:tcBorders>
            <w:shd w:val="clear" w:color="auto" w:fill="auto"/>
            <w:vAlign w:val="bottom"/>
            <w:hideMark/>
          </w:tcPr>
          <w:p w:rsidR="00BB3410" w:rsidRPr="00BB3410" w:rsidP="002752FF" w14:paraId="08C86F54" w14:textId="77777777">
            <w:r w:rsidRPr="00BB3410">
              <w:rPr>
                <w:vertAlign w:val="superscript"/>
              </w:rPr>
              <w:t>f</w:t>
            </w:r>
            <w:r w:rsidRPr="00BB3410">
              <w:t xml:space="preserve"> Totals have been rounded to 3 significant figures. Figures may not add exactly due to rounding.</w:t>
            </w:r>
          </w:p>
        </w:tc>
      </w:tr>
    </w:tbl>
    <w:p w:rsidR="00BB3410" w:rsidP="00BB3410" w14:paraId="636B1AE0" w14:textId="77777777">
      <w:pPr>
        <w:outlineLvl w:val="0"/>
        <w:rPr>
          <w:b/>
          <w:bCs/>
          <w:color w:val="000000"/>
        </w:rPr>
        <w:sectPr w:rsidSect="00BB3410">
          <w:pgSz w:w="15840" w:h="12240" w:orient="landscape"/>
          <w:pgMar w:top="720" w:right="720" w:bottom="720" w:left="720" w:header="864" w:footer="1440" w:gutter="0"/>
          <w:cols w:space="720"/>
          <w:noEndnote/>
          <w:docGrid w:linePitch="326"/>
        </w:sectPr>
      </w:pPr>
    </w:p>
    <w:p w:rsidR="00BB3410" w:rsidP="00BB3410" w14:paraId="1EF2F93D" w14:textId="77777777">
      <w:pPr>
        <w:outlineLvl w:val="0"/>
        <w:rPr>
          <w:b/>
          <w:bCs/>
          <w:color w:val="000000"/>
        </w:rPr>
      </w:pPr>
      <w:r w:rsidRPr="00C4183F">
        <w:rPr>
          <w:b/>
          <w:bCs/>
          <w:color w:val="000000"/>
        </w:rPr>
        <w:t>Table 2:</w:t>
      </w:r>
      <w:r>
        <w:rPr>
          <w:b/>
          <w:bCs/>
          <w:color w:val="000000"/>
        </w:rPr>
        <w:t xml:space="preserve"> Average Annual EPA Burden and Cost – </w:t>
      </w:r>
      <w:r w:rsidRPr="00991F83">
        <w:rPr>
          <w:b/>
          <w:bCs/>
        </w:rPr>
        <w:t>National Volatile Organic Compound Emission Standards for Automobile Refinish Coatings</w:t>
      </w:r>
      <w:r w:rsidRPr="00991F83">
        <w:rPr>
          <w:b/>
          <w:bCs/>
        </w:rPr>
        <w:t xml:space="preserve"> </w:t>
      </w:r>
      <w:r>
        <w:rPr>
          <w:b/>
          <w:bCs/>
          <w:color w:val="000000"/>
        </w:rPr>
        <w:t xml:space="preserve">(40 CFR Part </w:t>
      </w:r>
      <w:r w:rsidRPr="00991F83">
        <w:rPr>
          <w:b/>
          <w:bCs/>
        </w:rPr>
        <w:t xml:space="preserve">59, Subpart B) </w:t>
      </w:r>
      <w:r>
        <w:rPr>
          <w:b/>
          <w:bCs/>
          <w:color w:val="000000"/>
        </w:rPr>
        <w:t>(Renewal)</w:t>
      </w:r>
    </w:p>
    <w:p w:rsidR="00BB3410" w:rsidP="00BB3410" w14:paraId="6A506848" w14:textId="77777777">
      <w:pPr>
        <w:rPr>
          <w:b/>
          <w:bCs/>
          <w:color w:val="000000"/>
        </w:rPr>
      </w:pPr>
    </w:p>
    <w:tbl>
      <w:tblPr>
        <w:tblW w:w="4244" w:type="pct"/>
        <w:tblCellMar>
          <w:left w:w="0" w:type="dxa"/>
          <w:right w:w="0" w:type="dxa"/>
        </w:tblCellMar>
        <w:tblLook w:val="04A0"/>
      </w:tblPr>
      <w:tblGrid>
        <w:gridCol w:w="2143"/>
        <w:gridCol w:w="1165"/>
        <w:gridCol w:w="1074"/>
        <w:gridCol w:w="1074"/>
        <w:gridCol w:w="1165"/>
        <w:gridCol w:w="984"/>
        <w:gridCol w:w="1165"/>
        <w:gridCol w:w="1165"/>
        <w:gridCol w:w="1074"/>
      </w:tblGrid>
      <w:tr w14:paraId="3DC07546" w14:textId="77777777" w:rsidTr="002752FF">
        <w:tblPrEx>
          <w:tblW w:w="4244" w:type="pct"/>
          <w:tblCellMar>
            <w:left w:w="0" w:type="dxa"/>
            <w:right w:w="0" w:type="dxa"/>
          </w:tblCellMar>
          <w:tblLook w:val="04A0"/>
        </w:tblPrEx>
        <w:trPr>
          <w:trHeight w:val="1584"/>
        </w:trPr>
        <w:tc>
          <w:tcPr>
            <w:tcW w:w="9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3410" w:rsidP="002752FF" w14:paraId="29BD8B2B" w14:textId="77777777">
            <w:pPr>
              <w:jc w:val="center"/>
              <w:rPr>
                <w:sz w:val="20"/>
                <w:szCs w:val="20"/>
              </w:rPr>
            </w:pPr>
            <w:r>
              <w:rPr>
                <w:sz w:val="20"/>
                <w:szCs w:val="20"/>
              </w:rPr>
              <w:t>Burden item</w:t>
            </w:r>
          </w:p>
        </w:tc>
        <w:tc>
          <w:tcPr>
            <w:tcW w:w="529" w:type="pct"/>
            <w:tcBorders>
              <w:top w:val="single" w:sz="4" w:space="0" w:color="auto"/>
              <w:left w:val="nil"/>
              <w:bottom w:val="single" w:sz="4" w:space="0" w:color="auto"/>
              <w:right w:val="single" w:sz="4" w:space="0" w:color="auto"/>
            </w:tcBorders>
            <w:shd w:val="clear" w:color="auto" w:fill="auto"/>
            <w:hideMark/>
          </w:tcPr>
          <w:p w:rsidR="00BB3410" w:rsidP="002752FF" w14:paraId="6790B182" w14:textId="77777777">
            <w:pPr>
              <w:jc w:val="center"/>
              <w:rPr>
                <w:sz w:val="20"/>
                <w:szCs w:val="20"/>
              </w:rPr>
            </w:pPr>
            <w:r>
              <w:rPr>
                <w:sz w:val="20"/>
                <w:szCs w:val="20"/>
              </w:rPr>
              <w:t>(A)</w:t>
            </w:r>
            <w:r>
              <w:rPr>
                <w:sz w:val="20"/>
                <w:szCs w:val="20"/>
              </w:rPr>
              <w:br/>
              <w:t xml:space="preserve"> Person hours per occurrence</w:t>
            </w:r>
          </w:p>
        </w:tc>
        <w:tc>
          <w:tcPr>
            <w:tcW w:w="488" w:type="pct"/>
            <w:tcBorders>
              <w:top w:val="single" w:sz="4" w:space="0" w:color="auto"/>
              <w:left w:val="nil"/>
              <w:bottom w:val="single" w:sz="4" w:space="0" w:color="auto"/>
              <w:right w:val="single" w:sz="4" w:space="0" w:color="auto"/>
            </w:tcBorders>
            <w:shd w:val="clear" w:color="auto" w:fill="auto"/>
            <w:hideMark/>
          </w:tcPr>
          <w:p w:rsidR="00BB3410" w:rsidP="002752FF" w14:paraId="34F6AD9B" w14:textId="77777777">
            <w:pPr>
              <w:jc w:val="center"/>
              <w:rPr>
                <w:sz w:val="20"/>
                <w:szCs w:val="20"/>
              </w:rPr>
            </w:pPr>
            <w:r>
              <w:rPr>
                <w:sz w:val="20"/>
                <w:szCs w:val="20"/>
              </w:rPr>
              <w:t xml:space="preserve">(B) </w:t>
            </w:r>
            <w:r>
              <w:rPr>
                <w:sz w:val="20"/>
                <w:szCs w:val="20"/>
              </w:rPr>
              <w:br/>
              <w:t>No. of occurrences per respondent per year</w:t>
            </w:r>
          </w:p>
        </w:tc>
        <w:tc>
          <w:tcPr>
            <w:tcW w:w="488" w:type="pct"/>
            <w:tcBorders>
              <w:top w:val="single" w:sz="4" w:space="0" w:color="auto"/>
              <w:left w:val="nil"/>
              <w:bottom w:val="single" w:sz="4" w:space="0" w:color="auto"/>
              <w:right w:val="single" w:sz="4" w:space="0" w:color="auto"/>
            </w:tcBorders>
            <w:shd w:val="clear" w:color="auto" w:fill="auto"/>
            <w:hideMark/>
          </w:tcPr>
          <w:p w:rsidR="00BB3410" w:rsidP="002752FF" w14:paraId="766EE3EE" w14:textId="77777777">
            <w:pPr>
              <w:jc w:val="center"/>
              <w:rPr>
                <w:sz w:val="20"/>
                <w:szCs w:val="20"/>
              </w:rPr>
            </w:pPr>
            <w:r>
              <w:rPr>
                <w:sz w:val="20"/>
                <w:szCs w:val="20"/>
              </w:rPr>
              <w:t xml:space="preserve">(C) </w:t>
            </w:r>
            <w:r>
              <w:rPr>
                <w:sz w:val="20"/>
                <w:szCs w:val="20"/>
              </w:rPr>
              <w:br/>
              <w:t>Person hours per respondent per year (C=</w:t>
            </w:r>
            <w:r>
              <w:rPr>
                <w:sz w:val="20"/>
                <w:szCs w:val="20"/>
              </w:rPr>
              <w:t>AxB</w:t>
            </w:r>
            <w:r>
              <w:rPr>
                <w:sz w:val="20"/>
                <w:szCs w:val="20"/>
              </w:rPr>
              <w:t>)</w:t>
            </w:r>
          </w:p>
        </w:tc>
        <w:tc>
          <w:tcPr>
            <w:tcW w:w="529" w:type="pct"/>
            <w:tcBorders>
              <w:top w:val="single" w:sz="4" w:space="0" w:color="auto"/>
              <w:left w:val="nil"/>
              <w:bottom w:val="single" w:sz="4" w:space="0" w:color="auto"/>
              <w:right w:val="single" w:sz="4" w:space="0" w:color="auto"/>
            </w:tcBorders>
            <w:shd w:val="clear" w:color="auto" w:fill="auto"/>
            <w:hideMark/>
          </w:tcPr>
          <w:p w:rsidR="00BB3410" w:rsidP="002752FF" w14:paraId="172B0C63" w14:textId="77777777">
            <w:pPr>
              <w:jc w:val="center"/>
              <w:rPr>
                <w:sz w:val="20"/>
                <w:szCs w:val="20"/>
              </w:rPr>
            </w:pPr>
            <w:r>
              <w:rPr>
                <w:sz w:val="20"/>
                <w:szCs w:val="20"/>
              </w:rPr>
              <w:t xml:space="preserve">(D) </w:t>
            </w:r>
            <w:r>
              <w:rPr>
                <w:sz w:val="20"/>
                <w:szCs w:val="20"/>
              </w:rPr>
              <w:br/>
              <w:t xml:space="preserve">Respondents per year </w:t>
            </w:r>
            <w:r>
              <w:rPr>
                <w:sz w:val="20"/>
                <w:szCs w:val="20"/>
                <w:vertAlign w:val="superscript"/>
              </w:rPr>
              <w:t>a</w:t>
            </w:r>
          </w:p>
        </w:tc>
        <w:tc>
          <w:tcPr>
            <w:tcW w:w="447" w:type="pct"/>
            <w:tcBorders>
              <w:top w:val="single" w:sz="4" w:space="0" w:color="auto"/>
              <w:left w:val="nil"/>
              <w:bottom w:val="single" w:sz="4" w:space="0" w:color="auto"/>
              <w:right w:val="single" w:sz="4" w:space="0" w:color="auto"/>
            </w:tcBorders>
            <w:shd w:val="clear" w:color="auto" w:fill="auto"/>
            <w:hideMark/>
          </w:tcPr>
          <w:p w:rsidR="00BB3410" w:rsidP="002752FF" w14:paraId="6986ED3B" w14:textId="77777777">
            <w:pPr>
              <w:jc w:val="center"/>
              <w:rPr>
                <w:sz w:val="20"/>
                <w:szCs w:val="20"/>
              </w:rPr>
            </w:pPr>
            <w:r>
              <w:rPr>
                <w:sz w:val="20"/>
                <w:szCs w:val="20"/>
              </w:rPr>
              <w:t xml:space="preserve">(E) </w:t>
            </w:r>
            <w:r>
              <w:rPr>
                <w:sz w:val="20"/>
                <w:szCs w:val="20"/>
              </w:rPr>
              <w:br/>
              <w:t>Technical person-hours per year (E=</w:t>
            </w:r>
            <w:r>
              <w:rPr>
                <w:sz w:val="20"/>
                <w:szCs w:val="20"/>
              </w:rPr>
              <w:t>CxD</w:t>
            </w:r>
            <w:r>
              <w:rPr>
                <w:sz w:val="20"/>
                <w:szCs w:val="20"/>
              </w:rPr>
              <w:t>)</w:t>
            </w:r>
          </w:p>
        </w:tc>
        <w:tc>
          <w:tcPr>
            <w:tcW w:w="529" w:type="pct"/>
            <w:tcBorders>
              <w:top w:val="single" w:sz="4" w:space="0" w:color="auto"/>
              <w:left w:val="nil"/>
              <w:bottom w:val="single" w:sz="4" w:space="0" w:color="auto"/>
              <w:right w:val="single" w:sz="4" w:space="0" w:color="auto"/>
            </w:tcBorders>
            <w:shd w:val="clear" w:color="auto" w:fill="auto"/>
            <w:hideMark/>
          </w:tcPr>
          <w:p w:rsidR="00BB3410" w:rsidP="002752FF" w14:paraId="7847E445" w14:textId="77777777">
            <w:pPr>
              <w:jc w:val="center"/>
              <w:rPr>
                <w:sz w:val="20"/>
                <w:szCs w:val="20"/>
              </w:rPr>
            </w:pPr>
            <w:r>
              <w:rPr>
                <w:sz w:val="20"/>
                <w:szCs w:val="20"/>
              </w:rPr>
              <w:t xml:space="preserve">(F) </w:t>
            </w:r>
            <w:r>
              <w:rPr>
                <w:sz w:val="20"/>
                <w:szCs w:val="20"/>
              </w:rPr>
              <w:br/>
              <w:t>Management person hours per year (Ex0.05)</w:t>
            </w:r>
          </w:p>
        </w:tc>
        <w:tc>
          <w:tcPr>
            <w:tcW w:w="529" w:type="pct"/>
            <w:tcBorders>
              <w:top w:val="single" w:sz="4" w:space="0" w:color="auto"/>
              <w:left w:val="nil"/>
              <w:bottom w:val="single" w:sz="4" w:space="0" w:color="auto"/>
              <w:right w:val="single" w:sz="4" w:space="0" w:color="auto"/>
            </w:tcBorders>
            <w:shd w:val="clear" w:color="auto" w:fill="auto"/>
            <w:hideMark/>
          </w:tcPr>
          <w:p w:rsidR="00BB3410" w:rsidP="002752FF" w14:paraId="790D2439" w14:textId="77777777">
            <w:pPr>
              <w:jc w:val="center"/>
              <w:rPr>
                <w:sz w:val="20"/>
                <w:szCs w:val="20"/>
              </w:rPr>
            </w:pPr>
            <w:r>
              <w:rPr>
                <w:sz w:val="20"/>
                <w:szCs w:val="20"/>
              </w:rPr>
              <w:t xml:space="preserve">(G) </w:t>
            </w:r>
            <w:r>
              <w:rPr>
                <w:sz w:val="20"/>
                <w:szCs w:val="20"/>
              </w:rPr>
              <w:br/>
              <w:t>Clerical person hours per year (Ex0.1)</w:t>
            </w:r>
          </w:p>
        </w:tc>
        <w:tc>
          <w:tcPr>
            <w:tcW w:w="487" w:type="pct"/>
            <w:tcBorders>
              <w:top w:val="single" w:sz="4" w:space="0" w:color="auto"/>
              <w:left w:val="nil"/>
              <w:bottom w:val="single" w:sz="4" w:space="0" w:color="auto"/>
              <w:right w:val="single" w:sz="4" w:space="0" w:color="auto"/>
            </w:tcBorders>
            <w:shd w:val="clear" w:color="auto" w:fill="auto"/>
            <w:hideMark/>
          </w:tcPr>
          <w:p w:rsidR="00BB3410" w:rsidP="002752FF" w14:paraId="083393F9" w14:textId="77777777">
            <w:pPr>
              <w:jc w:val="center"/>
              <w:rPr>
                <w:sz w:val="20"/>
                <w:szCs w:val="20"/>
              </w:rPr>
            </w:pPr>
            <w:r>
              <w:rPr>
                <w:sz w:val="20"/>
                <w:szCs w:val="20"/>
              </w:rPr>
              <w:t xml:space="preserve">(H) </w:t>
            </w:r>
            <w:r>
              <w:rPr>
                <w:sz w:val="20"/>
                <w:szCs w:val="20"/>
              </w:rPr>
              <w:br/>
              <w:t xml:space="preserve">Cost, $ </w:t>
            </w:r>
            <w:r>
              <w:rPr>
                <w:sz w:val="20"/>
                <w:szCs w:val="20"/>
                <w:vertAlign w:val="superscript"/>
              </w:rPr>
              <w:t>b</w:t>
            </w:r>
          </w:p>
        </w:tc>
      </w:tr>
      <w:tr w14:paraId="1712015D" w14:textId="77777777" w:rsidTr="002752FF">
        <w:tblPrEx>
          <w:tblW w:w="4244" w:type="pct"/>
          <w:tblCellMar>
            <w:left w:w="0" w:type="dxa"/>
            <w:right w:w="0" w:type="dxa"/>
          </w:tblCellMar>
          <w:tblLook w:val="04A0"/>
        </w:tblPrEx>
        <w:trPr>
          <w:trHeight w:val="288"/>
        </w:trPr>
        <w:tc>
          <w:tcPr>
            <w:tcW w:w="973" w:type="pct"/>
            <w:tcBorders>
              <w:top w:val="nil"/>
              <w:left w:val="single" w:sz="4" w:space="0" w:color="auto"/>
              <w:bottom w:val="single" w:sz="4" w:space="0" w:color="auto"/>
              <w:right w:val="single" w:sz="4" w:space="0" w:color="auto"/>
            </w:tcBorders>
            <w:shd w:val="clear" w:color="auto" w:fill="auto"/>
            <w:hideMark/>
          </w:tcPr>
          <w:p w:rsidR="00BB3410" w:rsidP="002752FF" w14:paraId="1B5FD2A7" w14:textId="77777777">
            <w:pPr>
              <w:rPr>
                <w:sz w:val="20"/>
                <w:szCs w:val="20"/>
              </w:rPr>
            </w:pPr>
            <w:r>
              <w:rPr>
                <w:sz w:val="20"/>
                <w:szCs w:val="20"/>
              </w:rPr>
              <w:t>A. Initial Report</w:t>
            </w:r>
          </w:p>
        </w:tc>
        <w:tc>
          <w:tcPr>
            <w:tcW w:w="529" w:type="pct"/>
            <w:tcBorders>
              <w:top w:val="nil"/>
              <w:left w:val="nil"/>
              <w:bottom w:val="single" w:sz="4" w:space="0" w:color="auto"/>
              <w:right w:val="single" w:sz="4" w:space="0" w:color="auto"/>
            </w:tcBorders>
            <w:shd w:val="clear" w:color="auto" w:fill="auto"/>
            <w:vAlign w:val="bottom"/>
            <w:hideMark/>
          </w:tcPr>
          <w:p w:rsidR="00BB3410" w:rsidP="002752FF" w14:paraId="46210A70" w14:textId="77777777">
            <w:pPr>
              <w:jc w:val="center"/>
              <w:rPr>
                <w:sz w:val="20"/>
                <w:szCs w:val="20"/>
              </w:rPr>
            </w:pPr>
            <w:r>
              <w:rPr>
                <w:sz w:val="20"/>
                <w:szCs w:val="20"/>
              </w:rPr>
              <w:t>1</w:t>
            </w:r>
          </w:p>
        </w:tc>
        <w:tc>
          <w:tcPr>
            <w:tcW w:w="488" w:type="pct"/>
            <w:tcBorders>
              <w:top w:val="nil"/>
              <w:left w:val="nil"/>
              <w:bottom w:val="single" w:sz="4" w:space="0" w:color="auto"/>
              <w:right w:val="single" w:sz="4" w:space="0" w:color="auto"/>
            </w:tcBorders>
            <w:shd w:val="clear" w:color="auto" w:fill="auto"/>
            <w:vAlign w:val="bottom"/>
            <w:hideMark/>
          </w:tcPr>
          <w:p w:rsidR="00BB3410" w:rsidP="002752FF" w14:paraId="7C9A463F" w14:textId="77777777">
            <w:pPr>
              <w:jc w:val="center"/>
              <w:rPr>
                <w:sz w:val="20"/>
                <w:szCs w:val="20"/>
              </w:rPr>
            </w:pPr>
            <w:r>
              <w:rPr>
                <w:sz w:val="20"/>
                <w:szCs w:val="20"/>
              </w:rPr>
              <w:t>1</w:t>
            </w:r>
          </w:p>
        </w:tc>
        <w:tc>
          <w:tcPr>
            <w:tcW w:w="488" w:type="pct"/>
            <w:tcBorders>
              <w:top w:val="nil"/>
              <w:left w:val="nil"/>
              <w:bottom w:val="single" w:sz="4" w:space="0" w:color="auto"/>
              <w:right w:val="single" w:sz="4" w:space="0" w:color="auto"/>
            </w:tcBorders>
            <w:shd w:val="clear" w:color="auto" w:fill="auto"/>
            <w:vAlign w:val="bottom"/>
            <w:hideMark/>
          </w:tcPr>
          <w:p w:rsidR="00BB3410" w:rsidP="002752FF" w14:paraId="4585DDBE" w14:textId="77777777">
            <w:pPr>
              <w:jc w:val="center"/>
              <w:rPr>
                <w:sz w:val="20"/>
                <w:szCs w:val="20"/>
              </w:rPr>
            </w:pPr>
            <w:r>
              <w:rPr>
                <w:sz w:val="20"/>
                <w:szCs w:val="20"/>
              </w:rPr>
              <w:t>1</w:t>
            </w:r>
          </w:p>
        </w:tc>
        <w:tc>
          <w:tcPr>
            <w:tcW w:w="529" w:type="pct"/>
            <w:tcBorders>
              <w:top w:val="nil"/>
              <w:left w:val="nil"/>
              <w:bottom w:val="single" w:sz="4" w:space="0" w:color="auto"/>
              <w:right w:val="single" w:sz="4" w:space="0" w:color="auto"/>
            </w:tcBorders>
            <w:shd w:val="clear" w:color="auto" w:fill="auto"/>
            <w:vAlign w:val="bottom"/>
            <w:hideMark/>
          </w:tcPr>
          <w:p w:rsidR="00BB3410" w:rsidP="002752FF" w14:paraId="3B98896E" w14:textId="77777777">
            <w:pPr>
              <w:jc w:val="center"/>
              <w:rPr>
                <w:sz w:val="20"/>
                <w:szCs w:val="20"/>
              </w:rPr>
            </w:pPr>
            <w:r>
              <w:rPr>
                <w:sz w:val="20"/>
                <w:szCs w:val="20"/>
              </w:rPr>
              <w:t>1</w:t>
            </w:r>
          </w:p>
        </w:tc>
        <w:tc>
          <w:tcPr>
            <w:tcW w:w="447" w:type="pct"/>
            <w:tcBorders>
              <w:top w:val="nil"/>
              <w:left w:val="nil"/>
              <w:bottom w:val="single" w:sz="4" w:space="0" w:color="auto"/>
              <w:right w:val="single" w:sz="4" w:space="0" w:color="auto"/>
            </w:tcBorders>
            <w:shd w:val="clear" w:color="auto" w:fill="auto"/>
            <w:vAlign w:val="bottom"/>
            <w:hideMark/>
          </w:tcPr>
          <w:p w:rsidR="00BB3410" w:rsidP="002752FF" w14:paraId="65DD1EC5" w14:textId="77777777">
            <w:pPr>
              <w:jc w:val="center"/>
              <w:rPr>
                <w:sz w:val="20"/>
                <w:szCs w:val="20"/>
              </w:rPr>
            </w:pPr>
            <w:r>
              <w:rPr>
                <w:sz w:val="20"/>
                <w:szCs w:val="20"/>
              </w:rPr>
              <w:t>1</w:t>
            </w:r>
          </w:p>
        </w:tc>
        <w:tc>
          <w:tcPr>
            <w:tcW w:w="529" w:type="pct"/>
            <w:tcBorders>
              <w:top w:val="nil"/>
              <w:left w:val="nil"/>
              <w:bottom w:val="single" w:sz="4" w:space="0" w:color="auto"/>
              <w:right w:val="single" w:sz="4" w:space="0" w:color="auto"/>
            </w:tcBorders>
            <w:shd w:val="clear" w:color="auto" w:fill="auto"/>
            <w:vAlign w:val="bottom"/>
            <w:hideMark/>
          </w:tcPr>
          <w:p w:rsidR="00BB3410" w:rsidP="002752FF" w14:paraId="6EF2554A" w14:textId="77777777">
            <w:pPr>
              <w:jc w:val="center"/>
              <w:rPr>
                <w:sz w:val="20"/>
                <w:szCs w:val="20"/>
              </w:rPr>
            </w:pPr>
            <w:r>
              <w:rPr>
                <w:sz w:val="20"/>
                <w:szCs w:val="20"/>
              </w:rPr>
              <w:t>0.05</w:t>
            </w:r>
          </w:p>
        </w:tc>
        <w:tc>
          <w:tcPr>
            <w:tcW w:w="529" w:type="pct"/>
            <w:tcBorders>
              <w:top w:val="nil"/>
              <w:left w:val="nil"/>
              <w:bottom w:val="single" w:sz="4" w:space="0" w:color="auto"/>
              <w:right w:val="single" w:sz="4" w:space="0" w:color="auto"/>
            </w:tcBorders>
            <w:shd w:val="clear" w:color="auto" w:fill="auto"/>
            <w:vAlign w:val="bottom"/>
            <w:hideMark/>
          </w:tcPr>
          <w:p w:rsidR="00BB3410" w:rsidP="002752FF" w14:paraId="61BEDD09" w14:textId="77777777">
            <w:pPr>
              <w:jc w:val="center"/>
              <w:rPr>
                <w:sz w:val="20"/>
                <w:szCs w:val="20"/>
              </w:rPr>
            </w:pPr>
            <w:r>
              <w:rPr>
                <w:sz w:val="20"/>
                <w:szCs w:val="20"/>
              </w:rPr>
              <w:t>0.1</w:t>
            </w:r>
          </w:p>
        </w:tc>
        <w:tc>
          <w:tcPr>
            <w:tcW w:w="487" w:type="pct"/>
            <w:tcBorders>
              <w:top w:val="nil"/>
              <w:left w:val="nil"/>
              <w:bottom w:val="single" w:sz="4" w:space="0" w:color="auto"/>
              <w:right w:val="single" w:sz="4" w:space="0" w:color="auto"/>
            </w:tcBorders>
            <w:shd w:val="clear" w:color="auto" w:fill="auto"/>
            <w:vAlign w:val="bottom"/>
            <w:hideMark/>
          </w:tcPr>
          <w:p w:rsidR="00BB3410" w:rsidP="002752FF" w14:paraId="7232847F" w14:textId="77777777">
            <w:pPr>
              <w:jc w:val="right"/>
              <w:rPr>
                <w:sz w:val="20"/>
                <w:szCs w:val="20"/>
              </w:rPr>
            </w:pPr>
            <w:r>
              <w:rPr>
                <w:sz w:val="20"/>
                <w:szCs w:val="20"/>
              </w:rPr>
              <w:t xml:space="preserve">$61.13 </w:t>
            </w:r>
          </w:p>
        </w:tc>
      </w:tr>
      <w:tr w14:paraId="745A4F58" w14:textId="77777777" w:rsidTr="002752FF">
        <w:tblPrEx>
          <w:tblW w:w="4244" w:type="pct"/>
          <w:tblCellMar>
            <w:left w:w="0" w:type="dxa"/>
            <w:right w:w="0" w:type="dxa"/>
          </w:tblCellMar>
          <w:tblLook w:val="04A0"/>
        </w:tblPrEx>
        <w:trPr>
          <w:trHeight w:val="288"/>
        </w:trPr>
        <w:tc>
          <w:tcPr>
            <w:tcW w:w="973" w:type="pct"/>
            <w:tcBorders>
              <w:top w:val="nil"/>
              <w:left w:val="single" w:sz="4" w:space="0" w:color="auto"/>
              <w:bottom w:val="single" w:sz="4" w:space="0" w:color="auto"/>
              <w:right w:val="single" w:sz="4" w:space="0" w:color="auto"/>
            </w:tcBorders>
            <w:shd w:val="clear" w:color="auto" w:fill="auto"/>
            <w:vAlign w:val="center"/>
            <w:hideMark/>
          </w:tcPr>
          <w:p w:rsidR="00BB3410" w:rsidP="002752FF" w14:paraId="28CAFEC4" w14:textId="77777777">
            <w:pPr>
              <w:rPr>
                <w:color w:val="000000"/>
                <w:sz w:val="20"/>
                <w:szCs w:val="20"/>
              </w:rPr>
            </w:pPr>
            <w:r>
              <w:rPr>
                <w:color w:val="000000"/>
                <w:sz w:val="20"/>
                <w:szCs w:val="20"/>
              </w:rPr>
              <w:t>B. Date Code Report</w:t>
            </w:r>
          </w:p>
        </w:tc>
        <w:tc>
          <w:tcPr>
            <w:tcW w:w="529" w:type="pct"/>
            <w:tcBorders>
              <w:top w:val="nil"/>
              <w:left w:val="nil"/>
              <w:bottom w:val="single" w:sz="4" w:space="0" w:color="auto"/>
              <w:right w:val="single" w:sz="4" w:space="0" w:color="auto"/>
            </w:tcBorders>
            <w:shd w:val="clear" w:color="auto" w:fill="auto"/>
            <w:vAlign w:val="bottom"/>
            <w:hideMark/>
          </w:tcPr>
          <w:p w:rsidR="00BB3410" w:rsidP="002752FF" w14:paraId="0E9C5E9A" w14:textId="77777777">
            <w:pPr>
              <w:jc w:val="center"/>
              <w:rPr>
                <w:sz w:val="20"/>
                <w:szCs w:val="20"/>
              </w:rPr>
            </w:pPr>
            <w:r>
              <w:rPr>
                <w:sz w:val="20"/>
                <w:szCs w:val="20"/>
              </w:rPr>
              <w:t>0.5</w:t>
            </w:r>
          </w:p>
        </w:tc>
        <w:tc>
          <w:tcPr>
            <w:tcW w:w="488" w:type="pct"/>
            <w:tcBorders>
              <w:top w:val="nil"/>
              <w:left w:val="nil"/>
              <w:bottom w:val="single" w:sz="4" w:space="0" w:color="auto"/>
              <w:right w:val="single" w:sz="4" w:space="0" w:color="auto"/>
            </w:tcBorders>
            <w:shd w:val="clear" w:color="auto" w:fill="auto"/>
            <w:vAlign w:val="bottom"/>
            <w:hideMark/>
          </w:tcPr>
          <w:p w:rsidR="00BB3410" w:rsidP="002752FF" w14:paraId="1FE5F2AB" w14:textId="77777777">
            <w:pPr>
              <w:jc w:val="center"/>
              <w:rPr>
                <w:sz w:val="20"/>
                <w:szCs w:val="20"/>
              </w:rPr>
            </w:pPr>
            <w:r>
              <w:rPr>
                <w:sz w:val="20"/>
                <w:szCs w:val="20"/>
              </w:rPr>
              <w:t>1</w:t>
            </w:r>
          </w:p>
        </w:tc>
        <w:tc>
          <w:tcPr>
            <w:tcW w:w="488" w:type="pct"/>
            <w:tcBorders>
              <w:top w:val="nil"/>
              <w:left w:val="nil"/>
              <w:bottom w:val="single" w:sz="4" w:space="0" w:color="auto"/>
              <w:right w:val="single" w:sz="4" w:space="0" w:color="auto"/>
            </w:tcBorders>
            <w:shd w:val="clear" w:color="auto" w:fill="auto"/>
            <w:vAlign w:val="bottom"/>
            <w:hideMark/>
          </w:tcPr>
          <w:p w:rsidR="00BB3410" w:rsidP="002752FF" w14:paraId="539B50DA" w14:textId="77777777">
            <w:pPr>
              <w:jc w:val="center"/>
              <w:rPr>
                <w:sz w:val="20"/>
                <w:szCs w:val="20"/>
              </w:rPr>
            </w:pPr>
            <w:r>
              <w:rPr>
                <w:sz w:val="20"/>
                <w:szCs w:val="20"/>
              </w:rPr>
              <w:t>0.5</w:t>
            </w:r>
          </w:p>
        </w:tc>
        <w:tc>
          <w:tcPr>
            <w:tcW w:w="529" w:type="pct"/>
            <w:tcBorders>
              <w:top w:val="nil"/>
              <w:left w:val="nil"/>
              <w:bottom w:val="single" w:sz="4" w:space="0" w:color="auto"/>
              <w:right w:val="single" w:sz="4" w:space="0" w:color="auto"/>
            </w:tcBorders>
            <w:shd w:val="clear" w:color="auto" w:fill="auto"/>
            <w:vAlign w:val="bottom"/>
            <w:hideMark/>
          </w:tcPr>
          <w:p w:rsidR="00BB3410" w:rsidP="002752FF" w14:paraId="0879A705" w14:textId="77777777">
            <w:pPr>
              <w:jc w:val="center"/>
              <w:rPr>
                <w:sz w:val="20"/>
                <w:szCs w:val="20"/>
              </w:rPr>
            </w:pPr>
            <w:r>
              <w:rPr>
                <w:sz w:val="20"/>
                <w:szCs w:val="20"/>
              </w:rPr>
              <w:t>1</w:t>
            </w:r>
          </w:p>
        </w:tc>
        <w:tc>
          <w:tcPr>
            <w:tcW w:w="447" w:type="pct"/>
            <w:tcBorders>
              <w:top w:val="nil"/>
              <w:left w:val="nil"/>
              <w:bottom w:val="single" w:sz="4" w:space="0" w:color="auto"/>
              <w:right w:val="single" w:sz="4" w:space="0" w:color="auto"/>
            </w:tcBorders>
            <w:shd w:val="clear" w:color="auto" w:fill="auto"/>
            <w:vAlign w:val="bottom"/>
            <w:hideMark/>
          </w:tcPr>
          <w:p w:rsidR="00BB3410" w:rsidP="002752FF" w14:paraId="3E092CE7" w14:textId="77777777">
            <w:pPr>
              <w:jc w:val="center"/>
              <w:rPr>
                <w:sz w:val="20"/>
                <w:szCs w:val="20"/>
              </w:rPr>
            </w:pPr>
            <w:r>
              <w:rPr>
                <w:sz w:val="20"/>
                <w:szCs w:val="20"/>
              </w:rPr>
              <w:t>0.5</w:t>
            </w:r>
          </w:p>
        </w:tc>
        <w:tc>
          <w:tcPr>
            <w:tcW w:w="529" w:type="pct"/>
            <w:tcBorders>
              <w:top w:val="nil"/>
              <w:left w:val="nil"/>
              <w:bottom w:val="single" w:sz="4" w:space="0" w:color="auto"/>
              <w:right w:val="single" w:sz="4" w:space="0" w:color="auto"/>
            </w:tcBorders>
            <w:shd w:val="clear" w:color="auto" w:fill="auto"/>
            <w:vAlign w:val="bottom"/>
            <w:hideMark/>
          </w:tcPr>
          <w:p w:rsidR="00BB3410" w:rsidP="002752FF" w14:paraId="010C7BB4" w14:textId="77777777">
            <w:pPr>
              <w:jc w:val="center"/>
              <w:rPr>
                <w:sz w:val="20"/>
                <w:szCs w:val="20"/>
              </w:rPr>
            </w:pPr>
            <w:r>
              <w:rPr>
                <w:sz w:val="20"/>
                <w:szCs w:val="20"/>
              </w:rPr>
              <w:t>0.025</w:t>
            </w:r>
          </w:p>
        </w:tc>
        <w:tc>
          <w:tcPr>
            <w:tcW w:w="529" w:type="pct"/>
            <w:tcBorders>
              <w:top w:val="nil"/>
              <w:left w:val="nil"/>
              <w:bottom w:val="single" w:sz="4" w:space="0" w:color="auto"/>
              <w:right w:val="single" w:sz="4" w:space="0" w:color="auto"/>
            </w:tcBorders>
            <w:shd w:val="clear" w:color="auto" w:fill="auto"/>
            <w:vAlign w:val="bottom"/>
            <w:hideMark/>
          </w:tcPr>
          <w:p w:rsidR="00BB3410" w:rsidP="002752FF" w14:paraId="56F25D70" w14:textId="77777777">
            <w:pPr>
              <w:jc w:val="center"/>
              <w:rPr>
                <w:sz w:val="20"/>
                <w:szCs w:val="20"/>
              </w:rPr>
            </w:pPr>
            <w:r>
              <w:rPr>
                <w:sz w:val="20"/>
                <w:szCs w:val="20"/>
              </w:rPr>
              <w:t>0.05</w:t>
            </w:r>
          </w:p>
        </w:tc>
        <w:tc>
          <w:tcPr>
            <w:tcW w:w="487" w:type="pct"/>
            <w:tcBorders>
              <w:top w:val="nil"/>
              <w:left w:val="nil"/>
              <w:bottom w:val="single" w:sz="4" w:space="0" w:color="auto"/>
              <w:right w:val="single" w:sz="4" w:space="0" w:color="auto"/>
            </w:tcBorders>
            <w:shd w:val="clear" w:color="auto" w:fill="auto"/>
            <w:vAlign w:val="bottom"/>
            <w:hideMark/>
          </w:tcPr>
          <w:p w:rsidR="00BB3410" w:rsidP="002752FF" w14:paraId="2AF7829B" w14:textId="77777777">
            <w:pPr>
              <w:jc w:val="right"/>
              <w:rPr>
                <w:sz w:val="20"/>
                <w:szCs w:val="20"/>
              </w:rPr>
            </w:pPr>
            <w:r>
              <w:rPr>
                <w:sz w:val="20"/>
                <w:szCs w:val="20"/>
              </w:rPr>
              <w:t xml:space="preserve">$30.57 </w:t>
            </w:r>
          </w:p>
        </w:tc>
      </w:tr>
      <w:tr w14:paraId="025AC61F" w14:textId="77777777" w:rsidTr="002752FF">
        <w:tblPrEx>
          <w:tblW w:w="4244" w:type="pct"/>
          <w:tblCellMar>
            <w:left w:w="0" w:type="dxa"/>
            <w:right w:w="0" w:type="dxa"/>
          </w:tblCellMar>
          <w:tblLook w:val="04A0"/>
        </w:tblPrEx>
        <w:trPr>
          <w:trHeight w:val="288"/>
        </w:trPr>
        <w:tc>
          <w:tcPr>
            <w:tcW w:w="973" w:type="pct"/>
            <w:tcBorders>
              <w:top w:val="nil"/>
              <w:left w:val="single" w:sz="4" w:space="0" w:color="auto"/>
              <w:bottom w:val="single" w:sz="4" w:space="0" w:color="auto"/>
              <w:right w:val="single" w:sz="4" w:space="0" w:color="auto"/>
            </w:tcBorders>
            <w:shd w:val="clear" w:color="auto" w:fill="auto"/>
            <w:vAlign w:val="center"/>
            <w:hideMark/>
          </w:tcPr>
          <w:p w:rsidR="00BB3410" w:rsidP="002752FF" w14:paraId="47A2D768" w14:textId="77777777">
            <w:pPr>
              <w:rPr>
                <w:color w:val="000000"/>
                <w:sz w:val="20"/>
                <w:szCs w:val="20"/>
              </w:rPr>
            </w:pPr>
            <w:r>
              <w:rPr>
                <w:color w:val="000000"/>
                <w:sz w:val="20"/>
                <w:szCs w:val="20"/>
              </w:rPr>
              <w:t>C. Date Code Updates</w:t>
            </w:r>
          </w:p>
        </w:tc>
        <w:tc>
          <w:tcPr>
            <w:tcW w:w="529" w:type="pct"/>
            <w:tcBorders>
              <w:top w:val="nil"/>
              <w:left w:val="nil"/>
              <w:bottom w:val="single" w:sz="4" w:space="0" w:color="auto"/>
              <w:right w:val="single" w:sz="4" w:space="0" w:color="auto"/>
            </w:tcBorders>
            <w:shd w:val="clear" w:color="auto" w:fill="auto"/>
            <w:vAlign w:val="bottom"/>
            <w:hideMark/>
          </w:tcPr>
          <w:p w:rsidR="00BB3410" w:rsidP="002752FF" w14:paraId="4D2E951C" w14:textId="77777777">
            <w:pPr>
              <w:jc w:val="center"/>
              <w:rPr>
                <w:sz w:val="20"/>
                <w:szCs w:val="20"/>
              </w:rPr>
            </w:pPr>
            <w:r>
              <w:rPr>
                <w:sz w:val="20"/>
                <w:szCs w:val="20"/>
              </w:rPr>
              <w:t>0.5</w:t>
            </w:r>
          </w:p>
        </w:tc>
        <w:tc>
          <w:tcPr>
            <w:tcW w:w="488" w:type="pct"/>
            <w:tcBorders>
              <w:top w:val="nil"/>
              <w:left w:val="nil"/>
              <w:bottom w:val="single" w:sz="4" w:space="0" w:color="auto"/>
              <w:right w:val="single" w:sz="4" w:space="0" w:color="auto"/>
            </w:tcBorders>
            <w:shd w:val="clear" w:color="auto" w:fill="auto"/>
            <w:vAlign w:val="bottom"/>
            <w:hideMark/>
          </w:tcPr>
          <w:p w:rsidR="00BB3410" w:rsidP="002752FF" w14:paraId="0F1B3555" w14:textId="77777777">
            <w:pPr>
              <w:jc w:val="center"/>
              <w:rPr>
                <w:sz w:val="20"/>
                <w:szCs w:val="20"/>
              </w:rPr>
            </w:pPr>
            <w:r>
              <w:rPr>
                <w:sz w:val="20"/>
                <w:szCs w:val="20"/>
              </w:rPr>
              <w:t>1</w:t>
            </w:r>
          </w:p>
        </w:tc>
        <w:tc>
          <w:tcPr>
            <w:tcW w:w="488" w:type="pct"/>
            <w:tcBorders>
              <w:top w:val="nil"/>
              <w:left w:val="nil"/>
              <w:bottom w:val="single" w:sz="4" w:space="0" w:color="auto"/>
              <w:right w:val="single" w:sz="4" w:space="0" w:color="auto"/>
            </w:tcBorders>
            <w:shd w:val="clear" w:color="auto" w:fill="auto"/>
            <w:vAlign w:val="bottom"/>
            <w:hideMark/>
          </w:tcPr>
          <w:p w:rsidR="00BB3410" w:rsidP="002752FF" w14:paraId="21D9AF69" w14:textId="77777777">
            <w:pPr>
              <w:jc w:val="center"/>
              <w:rPr>
                <w:sz w:val="20"/>
                <w:szCs w:val="20"/>
              </w:rPr>
            </w:pPr>
            <w:r>
              <w:rPr>
                <w:sz w:val="20"/>
                <w:szCs w:val="20"/>
              </w:rPr>
              <w:t>0.5</w:t>
            </w:r>
          </w:p>
        </w:tc>
        <w:tc>
          <w:tcPr>
            <w:tcW w:w="529" w:type="pct"/>
            <w:tcBorders>
              <w:top w:val="nil"/>
              <w:left w:val="nil"/>
              <w:bottom w:val="single" w:sz="4" w:space="0" w:color="auto"/>
              <w:right w:val="single" w:sz="4" w:space="0" w:color="auto"/>
            </w:tcBorders>
            <w:shd w:val="clear" w:color="auto" w:fill="auto"/>
            <w:vAlign w:val="bottom"/>
            <w:hideMark/>
          </w:tcPr>
          <w:p w:rsidR="00BB3410" w:rsidP="002752FF" w14:paraId="372B0518" w14:textId="77777777">
            <w:pPr>
              <w:jc w:val="center"/>
              <w:rPr>
                <w:sz w:val="20"/>
                <w:szCs w:val="20"/>
              </w:rPr>
            </w:pPr>
            <w:r>
              <w:rPr>
                <w:sz w:val="20"/>
                <w:szCs w:val="20"/>
              </w:rPr>
              <w:t>3.1</w:t>
            </w:r>
          </w:p>
        </w:tc>
        <w:tc>
          <w:tcPr>
            <w:tcW w:w="447" w:type="pct"/>
            <w:tcBorders>
              <w:top w:val="nil"/>
              <w:left w:val="nil"/>
              <w:bottom w:val="single" w:sz="4" w:space="0" w:color="auto"/>
              <w:right w:val="single" w:sz="4" w:space="0" w:color="auto"/>
            </w:tcBorders>
            <w:shd w:val="clear" w:color="auto" w:fill="auto"/>
            <w:vAlign w:val="bottom"/>
            <w:hideMark/>
          </w:tcPr>
          <w:p w:rsidR="00BB3410" w:rsidP="002752FF" w14:paraId="086F3B2B" w14:textId="77777777">
            <w:pPr>
              <w:jc w:val="center"/>
              <w:rPr>
                <w:sz w:val="20"/>
                <w:szCs w:val="20"/>
              </w:rPr>
            </w:pPr>
            <w:r>
              <w:rPr>
                <w:sz w:val="20"/>
                <w:szCs w:val="20"/>
              </w:rPr>
              <w:t>1.55</w:t>
            </w:r>
          </w:p>
        </w:tc>
        <w:tc>
          <w:tcPr>
            <w:tcW w:w="529" w:type="pct"/>
            <w:tcBorders>
              <w:top w:val="nil"/>
              <w:left w:val="nil"/>
              <w:bottom w:val="single" w:sz="4" w:space="0" w:color="auto"/>
              <w:right w:val="single" w:sz="4" w:space="0" w:color="auto"/>
            </w:tcBorders>
            <w:shd w:val="clear" w:color="auto" w:fill="auto"/>
            <w:vAlign w:val="bottom"/>
            <w:hideMark/>
          </w:tcPr>
          <w:p w:rsidR="00BB3410" w:rsidP="002752FF" w14:paraId="2E3DA51B" w14:textId="77777777">
            <w:pPr>
              <w:jc w:val="center"/>
              <w:rPr>
                <w:sz w:val="20"/>
                <w:szCs w:val="20"/>
              </w:rPr>
            </w:pPr>
            <w:r>
              <w:rPr>
                <w:sz w:val="20"/>
                <w:szCs w:val="20"/>
              </w:rPr>
              <w:t>0.0775</w:t>
            </w:r>
          </w:p>
        </w:tc>
        <w:tc>
          <w:tcPr>
            <w:tcW w:w="529" w:type="pct"/>
            <w:tcBorders>
              <w:top w:val="nil"/>
              <w:left w:val="nil"/>
              <w:bottom w:val="single" w:sz="4" w:space="0" w:color="auto"/>
              <w:right w:val="single" w:sz="4" w:space="0" w:color="auto"/>
            </w:tcBorders>
            <w:shd w:val="clear" w:color="auto" w:fill="auto"/>
            <w:vAlign w:val="bottom"/>
            <w:hideMark/>
          </w:tcPr>
          <w:p w:rsidR="00BB3410" w:rsidP="002752FF" w14:paraId="0DF3D766" w14:textId="77777777">
            <w:pPr>
              <w:jc w:val="center"/>
              <w:rPr>
                <w:sz w:val="20"/>
                <w:szCs w:val="20"/>
              </w:rPr>
            </w:pPr>
            <w:r>
              <w:rPr>
                <w:sz w:val="20"/>
                <w:szCs w:val="20"/>
              </w:rPr>
              <w:t>0.155</w:t>
            </w:r>
          </w:p>
        </w:tc>
        <w:tc>
          <w:tcPr>
            <w:tcW w:w="487" w:type="pct"/>
            <w:tcBorders>
              <w:top w:val="nil"/>
              <w:left w:val="nil"/>
              <w:bottom w:val="single" w:sz="4" w:space="0" w:color="auto"/>
              <w:right w:val="single" w:sz="4" w:space="0" w:color="auto"/>
            </w:tcBorders>
            <w:shd w:val="clear" w:color="auto" w:fill="auto"/>
            <w:vAlign w:val="bottom"/>
            <w:hideMark/>
          </w:tcPr>
          <w:p w:rsidR="00BB3410" w:rsidP="002752FF" w14:paraId="5E9B2EAF" w14:textId="77777777">
            <w:pPr>
              <w:jc w:val="right"/>
              <w:rPr>
                <w:sz w:val="20"/>
                <w:szCs w:val="20"/>
              </w:rPr>
            </w:pPr>
            <w:r>
              <w:rPr>
                <w:sz w:val="20"/>
                <w:szCs w:val="20"/>
              </w:rPr>
              <w:t xml:space="preserve">$95 </w:t>
            </w:r>
          </w:p>
        </w:tc>
      </w:tr>
      <w:tr w14:paraId="543BC0B0" w14:textId="77777777" w:rsidTr="002752FF">
        <w:tblPrEx>
          <w:tblW w:w="4244" w:type="pct"/>
          <w:tblCellMar>
            <w:left w:w="0" w:type="dxa"/>
            <w:right w:w="0" w:type="dxa"/>
          </w:tblCellMar>
          <w:tblLook w:val="04A0"/>
        </w:tblPrEx>
        <w:trPr>
          <w:trHeight w:val="324"/>
        </w:trPr>
        <w:tc>
          <w:tcPr>
            <w:tcW w:w="973" w:type="pct"/>
            <w:tcBorders>
              <w:top w:val="nil"/>
              <w:left w:val="single" w:sz="4" w:space="0" w:color="auto"/>
              <w:bottom w:val="nil"/>
              <w:right w:val="single" w:sz="4" w:space="0" w:color="auto"/>
            </w:tcBorders>
            <w:shd w:val="clear" w:color="auto" w:fill="auto"/>
            <w:vAlign w:val="bottom"/>
            <w:hideMark/>
          </w:tcPr>
          <w:p w:rsidR="00BB3410" w:rsidP="002752FF" w14:paraId="6F6F3EDE" w14:textId="77777777">
            <w:pPr>
              <w:rPr>
                <w:b/>
                <w:bCs/>
                <w:sz w:val="20"/>
                <w:szCs w:val="20"/>
              </w:rPr>
            </w:pPr>
            <w:r>
              <w:rPr>
                <w:b/>
                <w:bCs/>
                <w:sz w:val="20"/>
                <w:szCs w:val="20"/>
              </w:rPr>
              <w:t xml:space="preserve">TOTAL (rounded) </w:t>
            </w:r>
            <w:r>
              <w:rPr>
                <w:b/>
                <w:bCs/>
                <w:sz w:val="20"/>
                <w:szCs w:val="20"/>
                <w:vertAlign w:val="superscript"/>
              </w:rPr>
              <w:t>c</w:t>
            </w:r>
          </w:p>
        </w:tc>
        <w:tc>
          <w:tcPr>
            <w:tcW w:w="2034" w:type="pct"/>
            <w:gridSpan w:val="4"/>
            <w:tcBorders>
              <w:top w:val="single" w:sz="4" w:space="0" w:color="auto"/>
              <w:left w:val="nil"/>
              <w:bottom w:val="nil"/>
              <w:right w:val="single" w:sz="4" w:space="0" w:color="auto"/>
            </w:tcBorders>
            <w:shd w:val="clear" w:color="auto" w:fill="auto"/>
            <w:vAlign w:val="bottom"/>
            <w:hideMark/>
          </w:tcPr>
          <w:p w:rsidR="00BB3410" w:rsidP="002752FF" w14:paraId="19CBBFEB" w14:textId="77777777">
            <w:pPr>
              <w:jc w:val="center"/>
              <w:rPr>
                <w:b/>
                <w:bCs/>
                <w:sz w:val="20"/>
                <w:szCs w:val="20"/>
              </w:rPr>
            </w:pPr>
            <w:r>
              <w:rPr>
                <w:b/>
                <w:bCs/>
                <w:sz w:val="20"/>
                <w:szCs w:val="20"/>
              </w:rPr>
              <w:t> </w:t>
            </w:r>
          </w:p>
        </w:tc>
        <w:tc>
          <w:tcPr>
            <w:tcW w:w="1505" w:type="pct"/>
            <w:gridSpan w:val="3"/>
            <w:tcBorders>
              <w:top w:val="single" w:sz="4" w:space="0" w:color="auto"/>
              <w:left w:val="nil"/>
              <w:bottom w:val="nil"/>
              <w:right w:val="single" w:sz="4" w:space="0" w:color="auto"/>
            </w:tcBorders>
            <w:shd w:val="clear" w:color="auto" w:fill="auto"/>
            <w:vAlign w:val="bottom"/>
            <w:hideMark/>
          </w:tcPr>
          <w:p w:rsidR="00BB3410" w:rsidP="002752FF" w14:paraId="388E48C1" w14:textId="77777777">
            <w:pPr>
              <w:jc w:val="center"/>
              <w:rPr>
                <w:b/>
                <w:bCs/>
                <w:sz w:val="20"/>
                <w:szCs w:val="20"/>
              </w:rPr>
            </w:pPr>
            <w:r>
              <w:rPr>
                <w:b/>
                <w:bCs/>
                <w:sz w:val="20"/>
                <w:szCs w:val="20"/>
              </w:rPr>
              <w:t>4</w:t>
            </w:r>
          </w:p>
        </w:tc>
        <w:tc>
          <w:tcPr>
            <w:tcW w:w="487" w:type="pct"/>
            <w:tcBorders>
              <w:top w:val="nil"/>
              <w:left w:val="nil"/>
              <w:bottom w:val="nil"/>
              <w:right w:val="single" w:sz="4" w:space="0" w:color="auto"/>
            </w:tcBorders>
            <w:shd w:val="clear" w:color="auto" w:fill="auto"/>
            <w:vAlign w:val="bottom"/>
            <w:hideMark/>
          </w:tcPr>
          <w:p w:rsidR="00BB3410" w:rsidP="002752FF" w14:paraId="4589D84C" w14:textId="77777777">
            <w:pPr>
              <w:jc w:val="right"/>
              <w:rPr>
                <w:b/>
                <w:bCs/>
                <w:sz w:val="20"/>
                <w:szCs w:val="20"/>
              </w:rPr>
            </w:pPr>
            <w:r>
              <w:rPr>
                <w:b/>
                <w:bCs/>
                <w:sz w:val="20"/>
                <w:szCs w:val="20"/>
              </w:rPr>
              <w:t xml:space="preserve">$186 </w:t>
            </w:r>
          </w:p>
        </w:tc>
      </w:tr>
      <w:tr w14:paraId="4ABAF6C4" w14:textId="77777777" w:rsidTr="002752FF">
        <w:tblPrEx>
          <w:tblW w:w="4244" w:type="pct"/>
          <w:tblCellMar>
            <w:left w:w="0" w:type="dxa"/>
            <w:right w:w="0" w:type="dxa"/>
          </w:tblCellMar>
          <w:tblLook w:val="04A0"/>
        </w:tblPrEx>
        <w:trPr>
          <w:trHeight w:val="195"/>
        </w:trPr>
        <w:tc>
          <w:tcPr>
            <w:tcW w:w="5000" w:type="pct"/>
            <w:gridSpan w:val="9"/>
            <w:tcBorders>
              <w:top w:val="single" w:sz="4" w:space="0" w:color="auto"/>
              <w:left w:val="nil"/>
              <w:bottom w:val="nil"/>
              <w:right w:val="nil"/>
            </w:tcBorders>
            <w:shd w:val="clear" w:color="auto" w:fill="auto"/>
            <w:noWrap/>
            <w:hideMark/>
          </w:tcPr>
          <w:p w:rsidR="00BB3410" w:rsidP="002752FF" w14:paraId="135BFB0E" w14:textId="77777777">
            <w:pPr>
              <w:rPr>
                <w:sz w:val="20"/>
                <w:szCs w:val="20"/>
              </w:rPr>
            </w:pPr>
            <w:r>
              <w:rPr>
                <w:sz w:val="20"/>
                <w:szCs w:val="20"/>
              </w:rPr>
              <w:t> </w:t>
            </w:r>
          </w:p>
        </w:tc>
      </w:tr>
      <w:tr w14:paraId="7D32E7EE" w14:textId="77777777" w:rsidTr="002752FF">
        <w:tblPrEx>
          <w:tblW w:w="4244" w:type="pct"/>
          <w:tblCellMar>
            <w:left w:w="0" w:type="dxa"/>
            <w:right w:w="0" w:type="dxa"/>
          </w:tblCellMar>
          <w:tblLook w:val="04A0"/>
        </w:tblPrEx>
        <w:trPr>
          <w:trHeight w:val="180"/>
        </w:trPr>
        <w:tc>
          <w:tcPr>
            <w:tcW w:w="5000" w:type="pct"/>
            <w:gridSpan w:val="9"/>
            <w:tcBorders>
              <w:top w:val="nil"/>
              <w:left w:val="nil"/>
              <w:bottom w:val="nil"/>
              <w:right w:val="nil"/>
            </w:tcBorders>
            <w:shd w:val="clear" w:color="auto" w:fill="auto"/>
            <w:noWrap/>
            <w:vAlign w:val="bottom"/>
            <w:hideMark/>
          </w:tcPr>
          <w:p w:rsidR="00BB3410" w:rsidP="002752FF" w14:paraId="01999D44" w14:textId="77777777">
            <w:pPr>
              <w:rPr>
                <w:b/>
                <w:bCs/>
                <w:sz w:val="20"/>
                <w:szCs w:val="20"/>
              </w:rPr>
            </w:pPr>
            <w:r>
              <w:rPr>
                <w:b/>
                <w:bCs/>
                <w:sz w:val="20"/>
                <w:szCs w:val="20"/>
              </w:rPr>
              <w:t>Assumptions:</w:t>
            </w:r>
          </w:p>
        </w:tc>
      </w:tr>
      <w:tr w14:paraId="6FFCD32E" w14:textId="77777777" w:rsidTr="002752FF">
        <w:tblPrEx>
          <w:tblW w:w="4244" w:type="pct"/>
          <w:tblCellMar>
            <w:left w:w="0" w:type="dxa"/>
            <w:right w:w="0" w:type="dxa"/>
          </w:tblCellMar>
          <w:tblLook w:val="04A0"/>
        </w:tblPrEx>
        <w:trPr>
          <w:trHeight w:val="405"/>
        </w:trPr>
        <w:tc>
          <w:tcPr>
            <w:tcW w:w="5000" w:type="pct"/>
            <w:gridSpan w:val="9"/>
            <w:tcBorders>
              <w:top w:val="nil"/>
              <w:left w:val="nil"/>
              <w:bottom w:val="nil"/>
              <w:right w:val="nil"/>
            </w:tcBorders>
            <w:shd w:val="clear" w:color="auto" w:fill="auto"/>
            <w:vAlign w:val="bottom"/>
            <w:hideMark/>
          </w:tcPr>
          <w:p w:rsidR="00BB3410" w:rsidP="002752FF" w14:paraId="24F89870" w14:textId="77777777">
            <w:pPr>
              <w:rPr>
                <w:sz w:val="20"/>
                <w:szCs w:val="20"/>
              </w:rPr>
            </w:pPr>
            <w:r>
              <w:rPr>
                <w:sz w:val="20"/>
                <w:szCs w:val="20"/>
                <w:vertAlign w:val="superscript"/>
              </w:rPr>
              <w:t>a</w:t>
            </w:r>
            <w:r>
              <w:rPr>
                <w:sz w:val="20"/>
                <w:szCs w:val="20"/>
              </w:rPr>
              <w:t xml:space="preserve"> We assume that an average of 31 respondents will be subject to this rule, and that one new source will become subject to the rule each year over the three-year period of the ICR.</w:t>
            </w:r>
          </w:p>
        </w:tc>
      </w:tr>
      <w:tr w14:paraId="67764295" w14:textId="77777777" w:rsidTr="002752FF">
        <w:tblPrEx>
          <w:tblW w:w="4244" w:type="pct"/>
          <w:tblCellMar>
            <w:left w:w="0" w:type="dxa"/>
            <w:right w:w="0" w:type="dxa"/>
          </w:tblCellMar>
          <w:tblLook w:val="04A0"/>
        </w:tblPrEx>
        <w:trPr>
          <w:trHeight w:val="1215"/>
        </w:trPr>
        <w:tc>
          <w:tcPr>
            <w:tcW w:w="5000" w:type="pct"/>
            <w:gridSpan w:val="9"/>
            <w:tcBorders>
              <w:top w:val="nil"/>
              <w:left w:val="nil"/>
              <w:bottom w:val="nil"/>
              <w:right w:val="nil"/>
            </w:tcBorders>
            <w:shd w:val="clear" w:color="auto" w:fill="auto"/>
            <w:vAlign w:val="bottom"/>
            <w:hideMark/>
          </w:tcPr>
          <w:p w:rsidR="00BB3410" w:rsidP="002752FF" w14:paraId="513E8B63" w14:textId="77777777">
            <w:pPr>
              <w:rPr>
                <w:sz w:val="20"/>
                <w:szCs w:val="20"/>
              </w:rPr>
            </w:pPr>
            <w:r>
              <w:rPr>
                <w:sz w:val="20"/>
                <w:szCs w:val="20"/>
                <w:vertAlign w:val="superscript"/>
              </w:rPr>
              <w:t>b</w:t>
            </w:r>
            <w:r>
              <w:rPr>
                <w:sz w:val="20"/>
                <w:szCs w:val="20"/>
              </w:rPr>
              <w:t xml:space="preserve"> </w:t>
            </w:r>
            <w:r w:rsidRPr="00FC45FC">
              <w:rPr>
                <w:sz w:val="20"/>
                <w:szCs w:val="20"/>
              </w:rPr>
              <w:t xml:space="preserve">This cost is based on the average hourly labor rate as follows: Managerial $73.46 (GS-13, Step 5, $45.91 + 60%); Technical $54.51 (GS-12, Step 1, $34.07 + 60%); and Clerical $29.50 (GS-6, Step 3, $18.44 + 60%). This ICR assumes that Managerial hours are 5 percent of </w:t>
            </w:r>
            <w:r w:rsidRPr="00FC45FC">
              <w:rPr>
                <w:sz w:val="20"/>
                <w:szCs w:val="20"/>
              </w:rPr>
              <w:t>Technical</w:t>
            </w:r>
            <w:r w:rsidRPr="00FC45FC">
              <w:rPr>
                <w:sz w:val="20"/>
                <w:szCs w:val="20"/>
              </w:rPr>
              <w:t xml:space="preserve">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7C7C95BF" w14:textId="77777777" w:rsidTr="002752FF">
        <w:tblPrEx>
          <w:tblW w:w="4244" w:type="pct"/>
          <w:tblCellMar>
            <w:left w:w="0" w:type="dxa"/>
            <w:right w:w="0" w:type="dxa"/>
          </w:tblCellMar>
          <w:tblLook w:val="04A0"/>
        </w:tblPrEx>
        <w:trPr>
          <w:trHeight w:val="288"/>
        </w:trPr>
        <w:tc>
          <w:tcPr>
            <w:tcW w:w="5000" w:type="pct"/>
            <w:gridSpan w:val="9"/>
            <w:tcBorders>
              <w:top w:val="nil"/>
              <w:left w:val="nil"/>
              <w:bottom w:val="nil"/>
              <w:right w:val="nil"/>
            </w:tcBorders>
            <w:shd w:val="clear" w:color="auto" w:fill="auto"/>
            <w:vAlign w:val="center"/>
            <w:hideMark/>
          </w:tcPr>
          <w:p w:rsidR="00BB3410" w:rsidP="002752FF" w14:paraId="3EE5445E" w14:textId="77777777">
            <w:pPr>
              <w:rPr>
                <w:sz w:val="20"/>
                <w:szCs w:val="20"/>
              </w:rPr>
            </w:pPr>
            <w:r>
              <w:rPr>
                <w:sz w:val="20"/>
                <w:szCs w:val="20"/>
                <w:vertAlign w:val="superscript"/>
              </w:rPr>
              <w:t>c</w:t>
            </w:r>
            <w:r>
              <w:rPr>
                <w:sz w:val="20"/>
                <w:szCs w:val="20"/>
              </w:rPr>
              <w:t xml:space="preserve"> Totals have been rounded to 3 significant figures. Figures may not add exactly due to rounding.</w:t>
            </w:r>
          </w:p>
        </w:tc>
      </w:tr>
    </w:tbl>
    <w:p w:rsidR="00BB3410" w:rsidRPr="00BB3410" w:rsidP="00BB3410" w14:paraId="02BFB1B4" w14:textId="77777777">
      <w:pPr>
        <w:pStyle w:val="ListParagraph"/>
        <w:spacing w:before="240"/>
        <w:ind w:left="0"/>
        <w:rPr>
          <w:rFonts w:cstheme="minorHAnsi"/>
          <w:sz w:val="24"/>
          <w:szCs w:val="24"/>
        </w:rPr>
      </w:pPr>
    </w:p>
    <w:sectPr w:rsidSect="00BB3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78303668"/>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4"/>
  </w:num>
  <w:num w:numId="5" w16cid:durableId="2055687918">
    <w:abstractNumId w:val="16"/>
  </w:num>
  <w:num w:numId="6" w16cid:durableId="1603025219">
    <w:abstractNumId w:val="22"/>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5"/>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1"/>
  </w:num>
  <w:num w:numId="20" w16cid:durableId="2126730031">
    <w:abstractNumId w:val="10"/>
  </w:num>
  <w:num w:numId="21" w16cid:durableId="106124704">
    <w:abstractNumId w:val="1"/>
  </w:num>
  <w:num w:numId="22" w16cid:durableId="1552418013">
    <w:abstractNumId w:val="13"/>
  </w:num>
  <w:num w:numId="23" w16cid:durableId="1598828334">
    <w:abstractNumId w:val="23"/>
  </w:num>
  <w:num w:numId="24" w16cid:durableId="2051031068">
    <w:abstractNumId w:val="0"/>
  </w:num>
  <w:num w:numId="25" w16cid:durableId="258569098">
    <w:abstractNumId w:val="15"/>
  </w:num>
  <w:num w:numId="26" w16cid:durableId="33118158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4F35"/>
    <w:rsid w:val="00145DAE"/>
    <w:rsid w:val="00147B68"/>
    <w:rsid w:val="0015084F"/>
    <w:rsid w:val="00152A80"/>
    <w:rsid w:val="00160461"/>
    <w:rsid w:val="00161846"/>
    <w:rsid w:val="001636DA"/>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534A"/>
    <w:rsid w:val="001E548A"/>
    <w:rsid w:val="001E601A"/>
    <w:rsid w:val="001E6E50"/>
    <w:rsid w:val="001E7480"/>
    <w:rsid w:val="001E74E1"/>
    <w:rsid w:val="001F0D3B"/>
    <w:rsid w:val="001F1A52"/>
    <w:rsid w:val="001F1F14"/>
    <w:rsid w:val="001F370A"/>
    <w:rsid w:val="001F5541"/>
    <w:rsid w:val="001F75D9"/>
    <w:rsid w:val="001F7B1A"/>
    <w:rsid w:val="001F7DF2"/>
    <w:rsid w:val="0020142E"/>
    <w:rsid w:val="00201886"/>
    <w:rsid w:val="002064A4"/>
    <w:rsid w:val="00211627"/>
    <w:rsid w:val="0021345A"/>
    <w:rsid w:val="00213AE6"/>
    <w:rsid w:val="00216C6A"/>
    <w:rsid w:val="00220258"/>
    <w:rsid w:val="00222530"/>
    <w:rsid w:val="0022259D"/>
    <w:rsid w:val="0022416D"/>
    <w:rsid w:val="00224BB3"/>
    <w:rsid w:val="00224D61"/>
    <w:rsid w:val="00224F14"/>
    <w:rsid w:val="00226D49"/>
    <w:rsid w:val="0022710C"/>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52FF"/>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6CDB"/>
    <w:rsid w:val="00860243"/>
    <w:rsid w:val="00862ACA"/>
    <w:rsid w:val="00863B5C"/>
    <w:rsid w:val="00863E35"/>
    <w:rsid w:val="0086480C"/>
    <w:rsid w:val="0086680C"/>
    <w:rsid w:val="00866A4F"/>
    <w:rsid w:val="00866F44"/>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1F83"/>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183F"/>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3AE4"/>
    <w:rsid w:val="00EA4A33"/>
    <w:rsid w:val="00EA58E6"/>
    <w:rsid w:val="00EA5D83"/>
    <w:rsid w:val="00EA6184"/>
    <w:rsid w:val="00EA6BDC"/>
    <w:rsid w:val="00EB0C83"/>
    <w:rsid w:val="00EB1912"/>
    <w:rsid w:val="00EB1C08"/>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5FC"/>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7A4"/>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E5033098-BF7F-4D78-8529-0AFBF5D8899C}">
  <ds:schemaRefs>
    <ds:schemaRef ds:uri="http://schemas.microsoft.com/office/infopath/2007/PartnerControls"/>
    <ds:schemaRef ds:uri="http://schemas.microsoft.com/sharepoint/v3"/>
    <ds:schemaRef ds:uri="http://schemas.openxmlformats.org/package/2006/metadata/core-properties"/>
    <ds:schemaRef ds:uri="4ffa91fb-a0ff-4ac5-b2db-65c790d184a4"/>
    <ds:schemaRef ds:uri="02fe02c4-dc41-46ff-9d52-90c0a1b1f611"/>
    <ds:schemaRef ds:uri="http://purl.org/dc/dcmitype/"/>
    <ds:schemaRef ds:uri="96fc5250-dc30-4f01-945b-7e46a880eeb3"/>
    <ds:schemaRef ds:uri="http://purl.org/dc/elements/1.1/"/>
    <ds:schemaRef ds:uri="http://purl.org/dc/terms/"/>
    <ds:schemaRef ds:uri="http://schemas.microsoft.com/office/2006/documentManagement/types"/>
    <ds:schemaRef ds:uri="http://schemas.microsoft.com/sharepoint.v3"/>
    <ds:schemaRef ds:uri="http://schemas.microsoft.com/sharepoint/v3/field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493D8C8B-B810-46D9-85D4-43C505A3034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3311</Words>
  <Characters>17747</Characters>
  <Application>Microsoft Office Word</Application>
  <DocSecurity>0</DocSecurity>
  <Lines>657</Lines>
  <Paragraphs>350</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3</cp:revision>
  <dcterms:created xsi:type="dcterms:W3CDTF">2024-02-29T22:31:00Z</dcterms:created>
  <dcterms:modified xsi:type="dcterms:W3CDTF">2024-03-01T00:06:00Z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