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351A" w:rsidRPr="00481723" w:rsidP="0075527B" w14:paraId="3E6F55AE" w14:textId="78CF4AAC">
      <w:pPr>
        <w:widowControl/>
        <w:spacing w:line="480" w:lineRule="auto"/>
        <w:jc w:val="center"/>
        <w:rPr>
          <w:b/>
          <w:bCs/>
          <w:sz w:val="24"/>
          <w:szCs w:val="24"/>
        </w:rPr>
      </w:pPr>
      <w:r w:rsidRPr="00481723">
        <w:rPr>
          <w:sz w:val="24"/>
          <w:szCs w:val="24"/>
          <w:lang w:val="en-CA"/>
        </w:rPr>
        <w:fldChar w:fldCharType="begin"/>
      </w:r>
      <w:r w:rsidRPr="00481723">
        <w:rPr>
          <w:sz w:val="24"/>
          <w:szCs w:val="24"/>
          <w:lang w:val="en-CA"/>
        </w:rPr>
        <w:instrText xml:space="preserve"> SEQ CHAPTER \h \r 1</w:instrText>
      </w:r>
      <w:r w:rsidRPr="00481723">
        <w:rPr>
          <w:sz w:val="24"/>
          <w:szCs w:val="24"/>
          <w:lang w:val="en-CA"/>
        </w:rPr>
        <w:fldChar w:fldCharType="separate"/>
      </w:r>
      <w:r w:rsidRPr="00481723">
        <w:rPr>
          <w:sz w:val="24"/>
          <w:szCs w:val="24"/>
          <w:lang w:val="en-CA"/>
        </w:rPr>
        <w:fldChar w:fldCharType="end"/>
      </w:r>
      <w:r w:rsidRPr="00481723">
        <w:rPr>
          <w:b/>
          <w:bCs/>
          <w:sz w:val="24"/>
          <w:szCs w:val="24"/>
        </w:rPr>
        <w:t>SUPPORTING STATEMENT</w:t>
      </w:r>
    </w:p>
    <w:p w:rsidR="004061A8" w:rsidP="0075527B" w14:paraId="268E1FE2" w14:textId="2693F0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BD1052">
        <w:rPr>
          <w:b/>
          <w:sz w:val="24"/>
          <w:szCs w:val="24"/>
        </w:rPr>
        <w:t xml:space="preserve">Standards of Performance for Crude Oil and Natural Gas Facilities for which Construction, Modification or Reconstruction Commenced After </w:t>
      </w:r>
      <w:r w:rsidR="004732A4">
        <w:rPr>
          <w:b/>
          <w:sz w:val="24"/>
          <w:szCs w:val="24"/>
        </w:rPr>
        <w:t>November 15</w:t>
      </w:r>
      <w:r w:rsidR="00B970C2">
        <w:rPr>
          <w:b/>
          <w:sz w:val="24"/>
          <w:szCs w:val="24"/>
        </w:rPr>
        <w:t>, 2021</w:t>
      </w:r>
      <w:r w:rsidRPr="0026408E" w:rsidR="00CD2C6A">
        <w:rPr>
          <w:b/>
          <w:sz w:val="24"/>
          <w:szCs w:val="24"/>
        </w:rPr>
        <w:t>.</w:t>
      </w:r>
      <w:r w:rsidRPr="008869B3">
        <w:rPr>
          <w:b/>
          <w:bCs/>
          <w:sz w:val="24"/>
          <w:szCs w:val="24"/>
        </w:rPr>
        <w:t xml:space="preserve"> </w:t>
      </w:r>
    </w:p>
    <w:p w:rsidR="00B1351A" w:rsidRPr="002C6D07" w:rsidP="5A950119" w14:paraId="5FB14FBB" w14:textId="0D58B7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5A950119">
        <w:rPr>
          <w:b/>
          <w:bCs/>
          <w:sz w:val="24"/>
          <w:szCs w:val="24"/>
        </w:rPr>
        <w:t xml:space="preserve">(40 CFR part 60, subpart </w:t>
      </w:r>
      <w:r w:rsidRPr="5A950119">
        <w:rPr>
          <w:b/>
          <w:bCs/>
          <w:sz w:val="24"/>
          <w:szCs w:val="24"/>
        </w:rPr>
        <w:t>OOOO</w:t>
      </w:r>
      <w:r w:rsidR="00B970C2">
        <w:rPr>
          <w:b/>
          <w:bCs/>
          <w:sz w:val="24"/>
          <w:szCs w:val="24"/>
        </w:rPr>
        <w:t>b</w:t>
      </w:r>
      <w:r w:rsidRPr="5A950119">
        <w:rPr>
          <w:b/>
          <w:bCs/>
          <w:sz w:val="24"/>
          <w:szCs w:val="24"/>
        </w:rPr>
        <w:t>)</w:t>
      </w:r>
    </w:p>
    <w:p w:rsidR="00B1351A" w:rsidRPr="002C6D07" w:rsidP="0075527B" w14:paraId="304CAE1F" w14:textId="77777777">
      <w:pPr>
        <w:widowControl/>
        <w:rPr>
          <w:b/>
          <w:sz w:val="24"/>
          <w:szCs w:val="24"/>
        </w:rPr>
      </w:pPr>
    </w:p>
    <w:p w:rsidR="00B1351A" w:rsidRPr="00481723" w:rsidP="0075527B" w14:paraId="08C0B867" w14:textId="77777777">
      <w:pPr>
        <w:widowControl/>
        <w:spacing w:line="480" w:lineRule="auto"/>
        <w:rPr>
          <w:sz w:val="24"/>
          <w:szCs w:val="24"/>
        </w:rPr>
      </w:pPr>
      <w:r w:rsidRPr="00481723">
        <w:rPr>
          <w:b/>
          <w:bCs/>
          <w:sz w:val="24"/>
          <w:szCs w:val="24"/>
        </w:rPr>
        <w:t>PART A</w:t>
      </w:r>
    </w:p>
    <w:p w:rsidR="00B1351A" w:rsidRPr="00481723" w:rsidP="0075527B" w14:paraId="646EF26D" w14:textId="260B121F">
      <w:pPr>
        <w:widowControl/>
        <w:spacing w:line="480" w:lineRule="auto"/>
        <w:rPr>
          <w:sz w:val="24"/>
          <w:szCs w:val="24"/>
        </w:rPr>
      </w:pPr>
      <w:r w:rsidRPr="00481723">
        <w:rPr>
          <w:b/>
          <w:bCs/>
          <w:sz w:val="24"/>
          <w:szCs w:val="24"/>
        </w:rPr>
        <w:t>1.0</w:t>
      </w:r>
      <w:r w:rsidR="00D24FBD">
        <w:rPr>
          <w:b/>
          <w:bCs/>
          <w:sz w:val="24"/>
          <w:szCs w:val="24"/>
        </w:rPr>
        <w:tab/>
      </w:r>
      <w:r w:rsidRPr="00481723">
        <w:rPr>
          <w:b/>
          <w:bCs/>
          <w:sz w:val="24"/>
          <w:szCs w:val="24"/>
        </w:rPr>
        <w:t>Identification of the Information Collection</w:t>
      </w:r>
    </w:p>
    <w:p w:rsidR="00B1351A" w:rsidRPr="00481723" w:rsidP="00B565F9" w14:paraId="0F57237B" w14:textId="3A985316">
      <w:pPr>
        <w:widowControl/>
        <w:spacing w:after="240" w:line="360" w:lineRule="auto"/>
        <w:rPr>
          <w:i/>
          <w:iCs/>
          <w:sz w:val="24"/>
          <w:szCs w:val="24"/>
        </w:rPr>
      </w:pPr>
      <w:r>
        <w:rPr>
          <w:i/>
          <w:iCs/>
          <w:sz w:val="24"/>
          <w:szCs w:val="24"/>
        </w:rPr>
        <w:t>(a)</w:t>
      </w:r>
      <w:r w:rsidR="00DC4234">
        <w:rPr>
          <w:i/>
          <w:iCs/>
          <w:sz w:val="24"/>
          <w:szCs w:val="24"/>
        </w:rPr>
        <w:tab/>
      </w:r>
      <w:r w:rsidRPr="00481723">
        <w:rPr>
          <w:i/>
          <w:iCs/>
          <w:sz w:val="24"/>
          <w:szCs w:val="24"/>
        </w:rPr>
        <w:t>Title and Number of the Information Collection.</w:t>
      </w:r>
    </w:p>
    <w:p w:rsidR="004822CC" w:rsidP="00B140C6" w14:paraId="1CF8DE08" w14:textId="0470848B">
      <w:pPr>
        <w:spacing w:after="240" w:line="360" w:lineRule="auto"/>
        <w:rPr>
          <w:sz w:val="24"/>
          <w:szCs w:val="24"/>
        </w:rPr>
      </w:pPr>
      <w:r w:rsidRPr="00481723">
        <w:rPr>
          <w:i/>
          <w:iCs/>
          <w:sz w:val="24"/>
          <w:szCs w:val="24"/>
        </w:rPr>
        <w:tab/>
      </w:r>
      <w:r w:rsidRPr="617053D7" w:rsidR="00B871A4">
        <w:rPr>
          <w:sz w:val="24"/>
          <w:szCs w:val="24"/>
        </w:rPr>
        <w:t xml:space="preserve">The title of the Information Collection Request (ICR) is </w:t>
      </w:r>
      <w:r w:rsidRPr="617053D7" w:rsidR="00B55FB1">
        <w:rPr>
          <w:sz w:val="24"/>
          <w:szCs w:val="24"/>
        </w:rPr>
        <w:t xml:space="preserve">Standards of Performance for Crude Oil and Natural Gas Facilities for Construction, Modification, or Reconstruction Commenced </w:t>
      </w:r>
      <w:r w:rsidRPr="617053D7" w:rsidR="00C32300">
        <w:rPr>
          <w:sz w:val="24"/>
          <w:szCs w:val="24"/>
        </w:rPr>
        <w:t xml:space="preserve">After </w:t>
      </w:r>
      <w:r w:rsidR="00B970C2">
        <w:rPr>
          <w:sz w:val="24"/>
          <w:szCs w:val="24"/>
        </w:rPr>
        <w:t>November 15, 2021</w:t>
      </w:r>
      <w:r w:rsidR="002413A2">
        <w:rPr>
          <w:sz w:val="24"/>
          <w:szCs w:val="24"/>
        </w:rPr>
        <w:t xml:space="preserve"> (</w:t>
      </w:r>
      <w:r w:rsidR="002413A2">
        <w:rPr>
          <w:sz w:val="24"/>
          <w:szCs w:val="24"/>
        </w:rPr>
        <w:t>with the exception of</w:t>
      </w:r>
      <w:r w:rsidR="002413A2">
        <w:rPr>
          <w:sz w:val="24"/>
          <w:szCs w:val="24"/>
        </w:rPr>
        <w:t xml:space="preserve"> </w:t>
      </w:r>
      <w:r w:rsidR="00433A13">
        <w:rPr>
          <w:sz w:val="24"/>
          <w:szCs w:val="24"/>
        </w:rPr>
        <w:t xml:space="preserve">centrifugal compressor </w:t>
      </w:r>
      <w:r w:rsidR="00064746">
        <w:rPr>
          <w:sz w:val="24"/>
          <w:szCs w:val="24"/>
        </w:rPr>
        <w:t xml:space="preserve">affected </w:t>
      </w:r>
      <w:r w:rsidR="003E48BA">
        <w:rPr>
          <w:sz w:val="24"/>
          <w:szCs w:val="24"/>
        </w:rPr>
        <w:t xml:space="preserve">facilities </w:t>
      </w:r>
      <w:r w:rsidR="00433A13">
        <w:rPr>
          <w:sz w:val="24"/>
          <w:szCs w:val="24"/>
        </w:rPr>
        <w:t>equipped with dry seals)</w:t>
      </w:r>
      <w:r w:rsidR="00345589">
        <w:rPr>
          <w:sz w:val="24"/>
          <w:szCs w:val="24"/>
        </w:rPr>
        <w:t xml:space="preserve"> </w:t>
      </w:r>
      <w:r w:rsidRPr="617053D7" w:rsidR="00E35518">
        <w:rPr>
          <w:sz w:val="24"/>
          <w:szCs w:val="24"/>
        </w:rPr>
        <w:t>(</w:t>
      </w:r>
      <w:r w:rsidRPr="617053D7" w:rsidR="00634A23">
        <w:rPr>
          <w:sz w:val="24"/>
          <w:szCs w:val="24"/>
        </w:rPr>
        <w:t xml:space="preserve">40 CFR part 60, subpart </w:t>
      </w:r>
      <w:r w:rsidRPr="617053D7" w:rsidR="00634A23">
        <w:rPr>
          <w:sz w:val="24"/>
          <w:szCs w:val="24"/>
        </w:rPr>
        <w:t>OOOO</w:t>
      </w:r>
      <w:r w:rsidR="00B970C2">
        <w:rPr>
          <w:sz w:val="24"/>
          <w:szCs w:val="24"/>
        </w:rPr>
        <w:t>b</w:t>
      </w:r>
      <w:r w:rsidRPr="617053D7" w:rsidR="00634A23">
        <w:rPr>
          <w:sz w:val="24"/>
          <w:szCs w:val="24"/>
        </w:rPr>
        <w:t>)</w:t>
      </w:r>
      <w:r w:rsidRPr="617053D7" w:rsidR="00646A58">
        <w:rPr>
          <w:sz w:val="24"/>
          <w:szCs w:val="24"/>
        </w:rPr>
        <w:t>, U.S. Environmental Protection Agency (EPA)</w:t>
      </w:r>
      <w:r w:rsidRPr="00481723" w:rsidR="008E12CB">
        <w:rPr>
          <w:sz w:val="24"/>
          <w:szCs w:val="24"/>
        </w:rPr>
        <w:t xml:space="preserve"> tracking </w:t>
      </w:r>
      <w:r w:rsidRPr="00C51B0D" w:rsidR="008E12CB">
        <w:rPr>
          <w:sz w:val="24"/>
          <w:szCs w:val="24"/>
        </w:rPr>
        <w:t xml:space="preserve">number </w:t>
      </w:r>
      <w:r w:rsidRPr="00C51B0D" w:rsidR="00AA757D">
        <w:rPr>
          <w:sz w:val="24"/>
          <w:szCs w:val="24"/>
        </w:rPr>
        <w:t>i</w:t>
      </w:r>
      <w:r w:rsidRPr="00C51B0D" w:rsidR="008E12CB">
        <w:rPr>
          <w:sz w:val="24"/>
          <w:szCs w:val="24"/>
        </w:rPr>
        <w:t>s</w:t>
      </w:r>
      <w:r w:rsidRPr="00C51B0D" w:rsidR="00C51B0D">
        <w:rPr>
          <w:sz w:val="24"/>
          <w:szCs w:val="24"/>
        </w:rPr>
        <w:t xml:space="preserve"> </w:t>
      </w:r>
      <w:r w:rsidRPr="00C51B0D" w:rsidR="00C51B0D">
        <w:rPr>
          <w:color w:val="242424"/>
          <w:sz w:val="24"/>
          <w:szCs w:val="24"/>
          <w:shd w:val="clear" w:color="auto" w:fill="FFFFFF"/>
        </w:rPr>
        <w:t>2523.05</w:t>
      </w:r>
      <w:r w:rsidRPr="00C51B0D" w:rsidR="00B65BDD">
        <w:rPr>
          <w:sz w:val="24"/>
          <w:szCs w:val="24"/>
        </w:rPr>
        <w:t>, Office</w:t>
      </w:r>
      <w:r w:rsidR="00B65BDD">
        <w:rPr>
          <w:sz w:val="24"/>
          <w:szCs w:val="24"/>
        </w:rPr>
        <w:t xml:space="preserve"> of Management and Budget (OMB) Control </w:t>
      </w:r>
      <w:r w:rsidRPr="0026408E" w:rsidR="00B65BDD">
        <w:rPr>
          <w:sz w:val="24"/>
          <w:szCs w:val="24"/>
        </w:rPr>
        <w:t>Nu</w:t>
      </w:r>
      <w:r w:rsidRPr="0026408E" w:rsidR="005C49AD">
        <w:rPr>
          <w:sz w:val="24"/>
          <w:szCs w:val="24"/>
        </w:rPr>
        <w:t xml:space="preserve">mber </w:t>
      </w:r>
      <w:r w:rsidRPr="00582698" w:rsidR="00582698">
        <w:rPr>
          <w:rFonts w:eastAsia="Calibri"/>
          <w:sz w:val="24"/>
          <w:szCs w:val="24"/>
        </w:rPr>
        <w:t>2060-</w:t>
      </w:r>
      <w:r w:rsidR="009718C7">
        <w:rPr>
          <w:rFonts w:eastAsia="Calibri"/>
          <w:sz w:val="24"/>
          <w:szCs w:val="24"/>
        </w:rPr>
        <w:t>0721</w:t>
      </w:r>
      <w:r w:rsidR="00C3433C">
        <w:rPr>
          <w:rFonts w:eastAsia="Calibri"/>
          <w:sz w:val="24"/>
          <w:szCs w:val="24"/>
        </w:rPr>
        <w:t>.</w:t>
      </w:r>
      <w:r w:rsidR="00287B7B">
        <w:rPr>
          <w:rFonts w:eastAsia="Calibri"/>
          <w:sz w:val="24"/>
          <w:szCs w:val="24"/>
        </w:rPr>
        <w:t xml:space="preserve"> </w:t>
      </w:r>
      <w:r w:rsidRPr="00287B7B" w:rsidR="00287B7B">
        <w:rPr>
          <w:rFonts w:eastAsia="Calibri"/>
          <w:sz w:val="24"/>
          <w:szCs w:val="24"/>
        </w:rPr>
        <w:t xml:space="preserve">Centrifugal compressor </w:t>
      </w:r>
      <w:r w:rsidR="00287B7B">
        <w:rPr>
          <w:rFonts w:eastAsia="Calibri"/>
          <w:sz w:val="24"/>
          <w:szCs w:val="24"/>
        </w:rPr>
        <w:t>affected</w:t>
      </w:r>
      <w:r w:rsidRPr="00287B7B" w:rsidR="00287B7B">
        <w:rPr>
          <w:rFonts w:eastAsia="Calibri"/>
          <w:sz w:val="24"/>
          <w:szCs w:val="24"/>
        </w:rPr>
        <w:t xml:space="preserve"> facilities that use dry seals are subject to the applicable provisions of this subpart if construction, modification, or reconstruction is commenced </w:t>
      </w:r>
      <w:r w:rsidR="00C6512D">
        <w:rPr>
          <w:rFonts w:eastAsia="Calibri"/>
          <w:sz w:val="24"/>
          <w:szCs w:val="24"/>
        </w:rPr>
        <w:t>after</w:t>
      </w:r>
      <w:r w:rsidRPr="00287B7B" w:rsidR="00287B7B">
        <w:rPr>
          <w:rFonts w:eastAsia="Calibri"/>
          <w:sz w:val="24"/>
          <w:szCs w:val="24"/>
        </w:rPr>
        <w:t xml:space="preserve"> the date of publication of the supplemental proposal in the </w:t>
      </w:r>
      <w:r w:rsidRPr="0053748E" w:rsidR="00287B7B">
        <w:rPr>
          <w:rFonts w:eastAsia="Calibri"/>
          <w:i/>
          <w:iCs/>
          <w:sz w:val="24"/>
          <w:szCs w:val="24"/>
        </w:rPr>
        <w:t>Federal Register</w:t>
      </w:r>
      <w:r w:rsidRPr="00287B7B" w:rsidR="00287B7B">
        <w:rPr>
          <w:rFonts w:eastAsia="Calibri"/>
          <w:sz w:val="24"/>
          <w:szCs w:val="24"/>
        </w:rPr>
        <w:t>.</w:t>
      </w:r>
    </w:p>
    <w:p w:rsidR="00B1351A" w:rsidP="00B140C6" w14:paraId="126AA32A" w14:textId="6D75B531">
      <w:pPr>
        <w:widowControl/>
        <w:spacing w:after="240" w:line="360" w:lineRule="auto"/>
        <w:rPr>
          <w:i/>
          <w:iCs/>
          <w:sz w:val="24"/>
          <w:szCs w:val="24"/>
        </w:rPr>
      </w:pPr>
      <w:r>
        <w:rPr>
          <w:i/>
          <w:iCs/>
          <w:sz w:val="24"/>
          <w:szCs w:val="24"/>
        </w:rPr>
        <w:t>(b)</w:t>
      </w:r>
      <w:r w:rsidR="00DC4234">
        <w:rPr>
          <w:i/>
          <w:iCs/>
          <w:sz w:val="24"/>
          <w:szCs w:val="24"/>
        </w:rPr>
        <w:tab/>
      </w:r>
      <w:r w:rsidRPr="00481723">
        <w:rPr>
          <w:i/>
          <w:iCs/>
          <w:sz w:val="24"/>
          <w:szCs w:val="24"/>
        </w:rPr>
        <w:t>Short Characterization.</w:t>
      </w:r>
    </w:p>
    <w:p w:rsidR="00633F1A" w:rsidRPr="009173D9" w:rsidP="009173D9" w14:paraId="5679BE45" w14:textId="45ED9F2A">
      <w:pPr>
        <w:widowControl/>
        <w:spacing w:line="360" w:lineRule="auto"/>
        <w:ind w:firstLine="720"/>
        <w:rPr>
          <w:sz w:val="24"/>
          <w:szCs w:val="24"/>
        </w:rPr>
      </w:pPr>
      <w:r w:rsidRPr="009173D9">
        <w:rPr>
          <w:sz w:val="24"/>
          <w:szCs w:val="24"/>
        </w:rPr>
        <w:t>Th</w:t>
      </w:r>
      <w:r w:rsidRPr="009173D9" w:rsidR="009173D9">
        <w:rPr>
          <w:sz w:val="24"/>
          <w:szCs w:val="24"/>
        </w:rPr>
        <w:t xml:space="preserve">is supplemental proposal is issued </w:t>
      </w:r>
      <w:r w:rsidRPr="009173D9">
        <w:rPr>
          <w:sz w:val="24"/>
          <w:szCs w:val="24"/>
        </w:rPr>
        <w:t xml:space="preserve">for the Standards of Performance for New, Reconstructed, and Modified Sources and Emissions Guidelines for Existing Sources: Oil and Natural Gas Sector Climate Review to update, strengthen, and expand the standards proposed on November 15, 2021 (November 2021 proposal), for methane and volatile organic compound (VOC) emissions. First, the EPA proposes to reduce emissions from the source category more comprehensively by adding proposed standards for certain sources that were not addressed in the November 2021 proposal, revising the proposed requirements for fugitive emissions monitoring and repair, and establishing a super-emitter response program. Second, the EPA proposes revisions to the alternative standards for fugitive emissions monitoring and repair that would encourage the deployment of innovative technologies and techniques for detecting and reducing methane emissions by providing additional options for the use of advanced monitoring. Third, the EPA proposes to modify and refine certain elements of the proposed standards in response to concerns and information submitted in public comments on the November 2021 proposal. Finally, </w:t>
      </w:r>
      <w:r w:rsidRPr="009173D9">
        <w:rPr>
          <w:sz w:val="24"/>
          <w:szCs w:val="24"/>
        </w:rPr>
        <w:t>the EPA provides additional information not included in the November 2021 proposal for public comment, such as the proposed regulatory text for the new subpart.</w:t>
      </w:r>
      <w:r w:rsidRPr="009173D9" w:rsidR="00390705">
        <w:rPr>
          <w:sz w:val="24"/>
          <w:szCs w:val="24"/>
        </w:rPr>
        <w:tab/>
      </w:r>
    </w:p>
    <w:p w:rsidR="00680D3C" w:rsidP="00F10A7B" w14:paraId="6860E613" w14:textId="43F10AB2">
      <w:pPr>
        <w:widowControl/>
        <w:spacing w:line="360" w:lineRule="auto"/>
        <w:ind w:firstLine="720"/>
        <w:rPr>
          <w:iCs/>
          <w:sz w:val="24"/>
          <w:szCs w:val="24"/>
        </w:rPr>
      </w:pPr>
      <w:r>
        <w:rPr>
          <w:iCs/>
          <w:sz w:val="24"/>
          <w:szCs w:val="24"/>
        </w:rPr>
        <w:t xml:space="preserve">This ICR reflects the EPA’s proposed </w:t>
      </w:r>
      <w:r w:rsidRPr="00465CE4">
        <w:rPr>
          <w:iCs/>
          <w:sz w:val="24"/>
          <w:szCs w:val="24"/>
        </w:rPr>
        <w:t xml:space="preserve">new source performance standards (NSPS) for a wide range of emissions sources in the Crude Oil and Natural Gas source category (to be codified in 40 CFR part 60 subpart </w:t>
      </w:r>
      <w:r w:rsidRPr="00465CE4">
        <w:rPr>
          <w:iCs/>
          <w:sz w:val="24"/>
          <w:szCs w:val="24"/>
        </w:rPr>
        <w:t>OOOOb</w:t>
      </w:r>
      <w:r w:rsidRPr="00465CE4">
        <w:rPr>
          <w:iCs/>
          <w:sz w:val="24"/>
          <w:szCs w:val="24"/>
        </w:rPr>
        <w:t>)</w:t>
      </w:r>
      <w:r w:rsidR="009D12CB">
        <w:rPr>
          <w:iCs/>
          <w:sz w:val="24"/>
          <w:szCs w:val="24"/>
        </w:rPr>
        <w:t xml:space="preserve">. </w:t>
      </w:r>
      <w:r w:rsidRPr="00AB7175" w:rsidR="009D12CB">
        <w:rPr>
          <w:iCs/>
          <w:sz w:val="24"/>
          <w:szCs w:val="24"/>
        </w:rPr>
        <w:t xml:space="preserve">The information collected will be used by </w:t>
      </w:r>
      <w:r w:rsidR="009D12CB">
        <w:rPr>
          <w:iCs/>
          <w:sz w:val="24"/>
          <w:szCs w:val="24"/>
        </w:rPr>
        <w:t>the EPA</w:t>
      </w:r>
      <w:r w:rsidRPr="00AB7175" w:rsidR="009D12CB">
        <w:rPr>
          <w:iCs/>
          <w:sz w:val="24"/>
          <w:szCs w:val="24"/>
        </w:rPr>
        <w:t xml:space="preserve"> and delegated state and local agencies to determine the compliance status of </w:t>
      </w:r>
      <w:r w:rsidR="009D12CB">
        <w:rPr>
          <w:iCs/>
          <w:sz w:val="24"/>
          <w:szCs w:val="24"/>
        </w:rPr>
        <w:t>affected facilities</w:t>
      </w:r>
      <w:r w:rsidRPr="00AB7175" w:rsidR="009D12CB">
        <w:rPr>
          <w:iCs/>
          <w:sz w:val="24"/>
          <w:szCs w:val="24"/>
        </w:rPr>
        <w:t xml:space="preserve"> subject to the rule.</w:t>
      </w:r>
      <w:r w:rsidR="009D12CB">
        <w:rPr>
          <w:iCs/>
          <w:sz w:val="24"/>
          <w:szCs w:val="24"/>
        </w:rPr>
        <w:t xml:space="preserve"> </w:t>
      </w:r>
      <w:r w:rsidRPr="00465CE4">
        <w:rPr>
          <w:iCs/>
          <w:sz w:val="24"/>
          <w:szCs w:val="24"/>
        </w:rPr>
        <w:t>Some of the proposed standards resulted from the EPA’s review of the current NSPS codified at 40 CFR part 60 subpart OOOOa (NSPS OOOOa), while others were proposed standards for additional emissions sources that are currently unregulated.</w:t>
      </w:r>
    </w:p>
    <w:p w:rsidR="009718C7" w:rsidRPr="009718C7" w:rsidP="0075527B" w14:paraId="28AC3737" w14:textId="6B99785F">
      <w:pPr>
        <w:widowControl/>
        <w:spacing w:line="360" w:lineRule="auto"/>
        <w:ind w:firstLine="720"/>
        <w:rPr>
          <w:rFonts w:cs="Courier New"/>
          <w:sz w:val="24"/>
          <w:szCs w:val="24"/>
        </w:rPr>
      </w:pPr>
      <w:r w:rsidRPr="009B5D34">
        <w:rPr>
          <w:rFonts w:cs="Courier New"/>
          <w:iCs/>
          <w:sz w:val="24"/>
          <w:szCs w:val="24"/>
        </w:rPr>
        <w:t xml:space="preserve">The respondents </w:t>
      </w:r>
      <w:r>
        <w:rPr>
          <w:rFonts w:cs="Courier New"/>
          <w:iCs/>
          <w:sz w:val="24"/>
          <w:szCs w:val="24"/>
        </w:rPr>
        <w:t xml:space="preserve">include </w:t>
      </w:r>
      <w:r w:rsidRPr="009B5D34">
        <w:rPr>
          <w:rFonts w:cs="Courier New"/>
          <w:iCs/>
          <w:sz w:val="24"/>
          <w:szCs w:val="24"/>
        </w:rPr>
        <w:t xml:space="preserve">owners or operators of </w:t>
      </w:r>
      <w:r w:rsidR="00715F4C">
        <w:rPr>
          <w:rFonts w:cs="Courier New"/>
          <w:iCs/>
          <w:sz w:val="24"/>
          <w:szCs w:val="24"/>
        </w:rPr>
        <w:t xml:space="preserve">onshore </w:t>
      </w:r>
      <w:r w:rsidRPr="009B5D34">
        <w:rPr>
          <w:rFonts w:cs="Courier New"/>
          <w:iCs/>
          <w:sz w:val="24"/>
          <w:szCs w:val="24"/>
        </w:rPr>
        <w:t xml:space="preserve">oil and </w:t>
      </w:r>
      <w:r w:rsidR="00B752F8">
        <w:rPr>
          <w:rFonts w:cs="Courier New"/>
          <w:iCs/>
          <w:sz w:val="24"/>
          <w:szCs w:val="24"/>
        </w:rPr>
        <w:t xml:space="preserve">natural </w:t>
      </w:r>
      <w:r w:rsidRPr="009B5D34">
        <w:rPr>
          <w:rFonts w:cs="Courier New"/>
          <w:iCs/>
          <w:sz w:val="24"/>
          <w:szCs w:val="24"/>
        </w:rPr>
        <w:t xml:space="preserve">gas affected facilities </w:t>
      </w:r>
      <w:r w:rsidR="00660D9F">
        <w:rPr>
          <w:rFonts w:cs="Courier New"/>
          <w:iCs/>
          <w:sz w:val="24"/>
          <w:szCs w:val="24"/>
        </w:rPr>
        <w:t>(40 CFR 60.</w:t>
      </w:r>
      <w:r w:rsidR="00580EA8">
        <w:rPr>
          <w:rFonts w:cs="Courier New"/>
          <w:iCs/>
          <w:sz w:val="24"/>
          <w:szCs w:val="24"/>
        </w:rPr>
        <w:t>5365</w:t>
      </w:r>
      <w:r w:rsidR="0033325C">
        <w:rPr>
          <w:rFonts w:cs="Courier New"/>
          <w:iCs/>
          <w:sz w:val="24"/>
          <w:szCs w:val="24"/>
        </w:rPr>
        <w:t>b</w:t>
      </w:r>
      <w:r w:rsidR="00580EA8">
        <w:rPr>
          <w:rFonts w:cs="Courier New"/>
          <w:iCs/>
          <w:sz w:val="24"/>
          <w:szCs w:val="24"/>
        </w:rPr>
        <w:t>)</w:t>
      </w:r>
      <w:r>
        <w:rPr>
          <w:rFonts w:cs="Courier New"/>
          <w:iCs/>
          <w:sz w:val="24"/>
          <w:szCs w:val="24"/>
        </w:rPr>
        <w:t xml:space="preserve"> and third-party entities that voluntarily apply to become certified to provide documented identified of a super-emitter emissions event</w:t>
      </w:r>
      <w:r w:rsidR="00634A23">
        <w:rPr>
          <w:rFonts w:cs="Courier New"/>
          <w:iCs/>
          <w:sz w:val="24"/>
          <w:szCs w:val="24"/>
        </w:rPr>
        <w:t xml:space="preserve">. </w:t>
      </w:r>
      <w:r w:rsidR="00BE32BD">
        <w:rPr>
          <w:rFonts w:cs="Courier New"/>
          <w:iCs/>
          <w:sz w:val="24"/>
          <w:szCs w:val="24"/>
        </w:rPr>
        <w:t>For the purposes of this ICR</w:t>
      </w:r>
      <w:r w:rsidR="00345BA2">
        <w:rPr>
          <w:rFonts w:cs="Courier New"/>
          <w:iCs/>
          <w:sz w:val="24"/>
          <w:szCs w:val="24"/>
        </w:rPr>
        <w:t>, it is assumed that</w:t>
      </w:r>
      <w:r w:rsidR="006A787B">
        <w:rPr>
          <w:rFonts w:cs="Courier New"/>
          <w:iCs/>
          <w:sz w:val="24"/>
          <w:szCs w:val="24"/>
        </w:rPr>
        <w:t xml:space="preserve"> </w:t>
      </w:r>
      <w:r w:rsidRPr="00E66678" w:rsidR="00E66678">
        <w:rPr>
          <w:rFonts w:cs="Courier New"/>
          <w:iCs/>
          <w:sz w:val="24"/>
          <w:szCs w:val="24"/>
        </w:rPr>
        <w:t xml:space="preserve">oil and natural gas </w:t>
      </w:r>
      <w:r w:rsidR="002603B4">
        <w:rPr>
          <w:rFonts w:cs="Courier New"/>
          <w:iCs/>
          <w:sz w:val="24"/>
          <w:szCs w:val="24"/>
        </w:rPr>
        <w:t xml:space="preserve">affected </w:t>
      </w:r>
      <w:r w:rsidRPr="00E66678" w:rsidR="00E66678">
        <w:rPr>
          <w:rFonts w:cs="Courier New"/>
          <w:iCs/>
          <w:sz w:val="24"/>
          <w:szCs w:val="24"/>
        </w:rPr>
        <w:t>facilities located in the United States are owned and operated by the oil and natural gas ind</w:t>
      </w:r>
      <w:r w:rsidR="00270646">
        <w:rPr>
          <w:rFonts w:cs="Courier New"/>
          <w:iCs/>
          <w:sz w:val="24"/>
          <w:szCs w:val="24"/>
        </w:rPr>
        <w:t>ustry (the “Affected Public”)</w:t>
      </w:r>
      <w:r w:rsidR="00FF5660">
        <w:rPr>
          <w:rFonts w:cs="Courier New"/>
          <w:iCs/>
          <w:sz w:val="24"/>
          <w:szCs w:val="24"/>
        </w:rPr>
        <w:t>, and that n</w:t>
      </w:r>
      <w:r w:rsidRPr="00E66678" w:rsidR="00E66678">
        <w:rPr>
          <w:rFonts w:cs="Courier New"/>
          <w:iCs/>
          <w:sz w:val="24"/>
          <w:szCs w:val="24"/>
        </w:rPr>
        <w:t xml:space="preserve">one of the </w:t>
      </w:r>
      <w:r w:rsidR="0007199D">
        <w:rPr>
          <w:rFonts w:cs="Courier New"/>
          <w:iCs/>
          <w:sz w:val="24"/>
          <w:szCs w:val="24"/>
        </w:rPr>
        <w:t xml:space="preserve">affected </w:t>
      </w:r>
      <w:r w:rsidRPr="00E66678" w:rsidR="00E66678">
        <w:rPr>
          <w:rFonts w:cs="Courier New"/>
          <w:iCs/>
          <w:sz w:val="24"/>
          <w:szCs w:val="24"/>
        </w:rPr>
        <w:t>facilities in the United States are owned or operated by state, local, tri</w:t>
      </w:r>
      <w:r w:rsidR="00634A23">
        <w:rPr>
          <w:rFonts w:cs="Courier New"/>
          <w:iCs/>
          <w:sz w:val="24"/>
          <w:szCs w:val="24"/>
        </w:rPr>
        <w:t xml:space="preserve">bal or the Federal government. </w:t>
      </w:r>
      <w:r w:rsidRPr="00E66678" w:rsidR="00E66678">
        <w:rPr>
          <w:rFonts w:cs="Courier New"/>
          <w:iCs/>
          <w:sz w:val="24"/>
          <w:szCs w:val="24"/>
        </w:rPr>
        <w:t xml:space="preserve">All </w:t>
      </w:r>
      <w:r w:rsidR="00350FA0">
        <w:rPr>
          <w:rFonts w:cs="Courier New"/>
          <w:iCs/>
          <w:sz w:val="24"/>
          <w:szCs w:val="24"/>
        </w:rPr>
        <w:t>affected</w:t>
      </w:r>
      <w:r w:rsidRPr="00E66678" w:rsidR="00E66678">
        <w:rPr>
          <w:rFonts w:cs="Courier New"/>
          <w:iCs/>
          <w:sz w:val="24"/>
          <w:szCs w:val="24"/>
        </w:rPr>
        <w:t xml:space="preserve"> facilities are </w:t>
      </w:r>
      <w:r w:rsidR="00400F74">
        <w:rPr>
          <w:rFonts w:cs="Courier New"/>
          <w:iCs/>
          <w:sz w:val="24"/>
          <w:szCs w:val="24"/>
        </w:rPr>
        <w:t xml:space="preserve">assumed to be </w:t>
      </w:r>
      <w:r w:rsidRPr="00E66678" w:rsidR="00E66678">
        <w:rPr>
          <w:rFonts w:cs="Courier New"/>
          <w:iCs/>
          <w:sz w:val="24"/>
          <w:szCs w:val="24"/>
        </w:rPr>
        <w:t>privately owned for-profit business</w:t>
      </w:r>
      <w:r w:rsidR="00BF78AD">
        <w:rPr>
          <w:rFonts w:cs="Courier New"/>
          <w:iCs/>
          <w:sz w:val="24"/>
          <w:szCs w:val="24"/>
        </w:rPr>
        <w:t>es</w:t>
      </w:r>
      <w:r w:rsidR="00275D51">
        <w:rPr>
          <w:rFonts w:cs="Courier New"/>
          <w:iCs/>
          <w:sz w:val="24"/>
          <w:szCs w:val="24"/>
        </w:rPr>
        <w:t xml:space="preserve">. </w:t>
      </w:r>
    </w:p>
    <w:p w:rsidR="00D2139D" w:rsidRPr="008037F2" w:rsidP="0053748E" w14:paraId="234EA5A5" w14:textId="07E180F2">
      <w:pPr>
        <w:widowControl/>
        <w:spacing w:after="240" w:line="360" w:lineRule="auto"/>
        <w:ind w:firstLine="720"/>
        <w:rPr>
          <w:rFonts w:eastAsia="Courier New"/>
          <w:i/>
          <w:iCs/>
          <w:sz w:val="24"/>
          <w:szCs w:val="24"/>
        </w:rPr>
      </w:pPr>
      <w:r w:rsidRPr="008037F2">
        <w:rPr>
          <w:sz w:val="24"/>
          <w:szCs w:val="24"/>
        </w:rPr>
        <w:t xml:space="preserve">The </w:t>
      </w:r>
      <w:r w:rsidRPr="008037F2" w:rsidR="617053D7">
        <w:rPr>
          <w:sz w:val="24"/>
          <w:szCs w:val="24"/>
        </w:rPr>
        <w:t>EPA estimates</w:t>
      </w:r>
      <w:r w:rsidRPr="008037F2" w:rsidR="617053D7">
        <w:rPr>
          <w:rFonts w:eastAsia="Courier New"/>
          <w:sz w:val="24"/>
          <w:szCs w:val="24"/>
        </w:rPr>
        <w:t xml:space="preserve"> </w:t>
      </w:r>
      <w:r w:rsidRPr="008037F2" w:rsidR="617053D7">
        <w:rPr>
          <w:sz w:val="24"/>
          <w:szCs w:val="24"/>
        </w:rPr>
        <w:t xml:space="preserve">an average of </w:t>
      </w:r>
      <w:r w:rsidRPr="008037F2" w:rsidR="00AA157F">
        <w:rPr>
          <w:sz w:val="24"/>
          <w:szCs w:val="24"/>
        </w:rPr>
        <w:t>1,</w:t>
      </w:r>
      <w:r w:rsidRPr="008037F2" w:rsidR="004F423B">
        <w:rPr>
          <w:sz w:val="24"/>
          <w:szCs w:val="24"/>
        </w:rPr>
        <w:t>84</w:t>
      </w:r>
      <w:r w:rsidR="004F423B">
        <w:rPr>
          <w:sz w:val="24"/>
          <w:szCs w:val="24"/>
        </w:rPr>
        <w:t>9</w:t>
      </w:r>
      <w:r w:rsidRPr="008037F2" w:rsidR="004F423B">
        <w:rPr>
          <w:rFonts w:eastAsia="Courier New"/>
          <w:sz w:val="24"/>
          <w:szCs w:val="24"/>
        </w:rPr>
        <w:t xml:space="preserve"> </w:t>
      </w:r>
      <w:r w:rsidRPr="008037F2" w:rsidR="617053D7">
        <w:rPr>
          <w:sz w:val="24"/>
          <w:szCs w:val="24"/>
        </w:rPr>
        <w:t>respondents</w:t>
      </w:r>
      <w:r w:rsidRPr="008037F2" w:rsidR="617053D7">
        <w:rPr>
          <w:rFonts w:eastAsia="Courier New"/>
          <w:sz w:val="24"/>
          <w:szCs w:val="24"/>
        </w:rPr>
        <w:t xml:space="preserve"> </w:t>
      </w:r>
      <w:r w:rsidRPr="008037F2" w:rsidR="617053D7">
        <w:rPr>
          <w:sz w:val="24"/>
          <w:szCs w:val="24"/>
        </w:rPr>
        <w:t xml:space="preserve">will be affected by </w:t>
      </w:r>
      <w:r w:rsidRPr="008037F2" w:rsidR="000B2803">
        <w:rPr>
          <w:sz w:val="24"/>
          <w:szCs w:val="24"/>
        </w:rPr>
        <w:t xml:space="preserve">NSPS </w:t>
      </w:r>
      <w:r w:rsidRPr="008037F2" w:rsidR="617053D7">
        <w:rPr>
          <w:sz w:val="24"/>
          <w:szCs w:val="24"/>
        </w:rPr>
        <w:t>OOOO</w:t>
      </w:r>
      <w:r w:rsidRPr="008037F2" w:rsidR="00695F61">
        <w:rPr>
          <w:sz w:val="24"/>
          <w:szCs w:val="24"/>
        </w:rPr>
        <w:t>b</w:t>
      </w:r>
      <w:r w:rsidRPr="008037F2" w:rsidR="617053D7">
        <w:rPr>
          <w:sz w:val="24"/>
          <w:szCs w:val="24"/>
        </w:rPr>
        <w:t xml:space="preserve"> over the three</w:t>
      </w:r>
      <w:r w:rsidRPr="008037F2" w:rsidR="617053D7">
        <w:rPr>
          <w:rFonts w:eastAsia="Courier New"/>
          <w:sz w:val="24"/>
          <w:szCs w:val="24"/>
        </w:rPr>
        <w:t>-</w:t>
      </w:r>
      <w:r w:rsidRPr="008037F2" w:rsidR="617053D7">
        <w:rPr>
          <w:sz w:val="24"/>
          <w:szCs w:val="24"/>
        </w:rPr>
        <w:t>year period (</w:t>
      </w:r>
      <w:r w:rsidRPr="008037F2" w:rsidR="00C628E9">
        <w:rPr>
          <w:sz w:val="24"/>
          <w:szCs w:val="24"/>
        </w:rPr>
        <w:t>2023-2025</w:t>
      </w:r>
      <w:r w:rsidRPr="008037F2" w:rsidR="617053D7">
        <w:rPr>
          <w:sz w:val="24"/>
          <w:szCs w:val="24"/>
        </w:rPr>
        <w:t>). The average annual burden for the recordkeeping and reporting requirements for these owner</w:t>
      </w:r>
      <w:r w:rsidRPr="008037F2" w:rsidR="005D4AA8">
        <w:rPr>
          <w:sz w:val="24"/>
          <w:szCs w:val="24"/>
        </w:rPr>
        <w:t>s</w:t>
      </w:r>
      <w:r w:rsidRPr="008037F2" w:rsidR="617053D7">
        <w:rPr>
          <w:sz w:val="24"/>
          <w:szCs w:val="24"/>
        </w:rPr>
        <w:t xml:space="preserve"> and operators is </w:t>
      </w:r>
      <w:r w:rsidR="00E53F68">
        <w:rPr>
          <w:sz w:val="24"/>
          <w:szCs w:val="24"/>
        </w:rPr>
        <w:t>883,625</w:t>
      </w:r>
      <w:r w:rsidRPr="008037F2" w:rsidR="004F423B">
        <w:rPr>
          <w:sz w:val="24"/>
          <w:szCs w:val="24"/>
        </w:rPr>
        <w:t xml:space="preserve"> </w:t>
      </w:r>
      <w:r w:rsidRPr="008037F2" w:rsidR="617053D7">
        <w:rPr>
          <w:sz w:val="24"/>
          <w:szCs w:val="24"/>
        </w:rPr>
        <w:t>person-hours, with an average annual cost of $</w:t>
      </w:r>
      <w:r w:rsidRPr="008037F2" w:rsidR="007B1411">
        <w:rPr>
          <w:sz w:val="24"/>
          <w:szCs w:val="24"/>
        </w:rPr>
        <w:t>5</w:t>
      </w:r>
      <w:r w:rsidRPr="008037F2" w:rsidR="00811B48">
        <w:rPr>
          <w:sz w:val="24"/>
          <w:szCs w:val="24"/>
        </w:rPr>
        <w:t>8</w:t>
      </w:r>
      <w:r w:rsidRPr="008037F2" w:rsidR="007B1411">
        <w:rPr>
          <w:sz w:val="24"/>
          <w:szCs w:val="24"/>
        </w:rPr>
        <w:t>,</w:t>
      </w:r>
      <w:r w:rsidR="007E218C">
        <w:rPr>
          <w:sz w:val="24"/>
          <w:szCs w:val="24"/>
        </w:rPr>
        <w:t>474,899</w:t>
      </w:r>
      <w:r w:rsidRPr="008037F2" w:rsidR="617053D7">
        <w:rPr>
          <w:sz w:val="24"/>
          <w:szCs w:val="24"/>
        </w:rPr>
        <w:t>over the three</w:t>
      </w:r>
      <w:r w:rsidRPr="008037F2" w:rsidR="617053D7">
        <w:rPr>
          <w:rFonts w:eastAsia="Courier New"/>
          <w:sz w:val="24"/>
          <w:szCs w:val="24"/>
        </w:rPr>
        <w:t>-</w:t>
      </w:r>
      <w:r w:rsidRPr="008037F2" w:rsidR="617053D7">
        <w:rPr>
          <w:sz w:val="24"/>
          <w:szCs w:val="24"/>
        </w:rPr>
        <w:t>year period (</w:t>
      </w:r>
      <w:r w:rsidRPr="008037F2" w:rsidR="00C628E9">
        <w:rPr>
          <w:sz w:val="24"/>
          <w:szCs w:val="24"/>
        </w:rPr>
        <w:t>2023-2025</w:t>
      </w:r>
      <w:r w:rsidRPr="008037F2" w:rsidR="617053D7">
        <w:rPr>
          <w:sz w:val="24"/>
          <w:szCs w:val="24"/>
        </w:rPr>
        <w:t>)</w:t>
      </w:r>
      <w:r w:rsidRPr="008037F2" w:rsidR="617053D7">
        <w:rPr>
          <w:rFonts w:eastAsia="Courier New"/>
          <w:sz w:val="24"/>
          <w:szCs w:val="24"/>
        </w:rPr>
        <w:t xml:space="preserve">. </w:t>
      </w:r>
    </w:p>
    <w:p w:rsidR="00B1351A" w:rsidRPr="00481723" w:rsidP="0053748E" w14:paraId="060DE71B" w14:textId="393D8802">
      <w:pPr>
        <w:keepNext/>
        <w:keepLines/>
        <w:widowControl/>
        <w:spacing w:after="240" w:line="360" w:lineRule="auto"/>
        <w:rPr>
          <w:sz w:val="24"/>
          <w:szCs w:val="24"/>
        </w:rPr>
      </w:pPr>
      <w:r>
        <w:rPr>
          <w:b/>
          <w:bCs/>
          <w:sz w:val="24"/>
          <w:szCs w:val="24"/>
        </w:rPr>
        <w:t>2.</w:t>
      </w:r>
      <w:r w:rsidR="00E351AB">
        <w:rPr>
          <w:b/>
          <w:bCs/>
          <w:sz w:val="24"/>
          <w:szCs w:val="24"/>
        </w:rPr>
        <w:tab/>
      </w:r>
      <w:r w:rsidRPr="00481723">
        <w:rPr>
          <w:b/>
          <w:bCs/>
          <w:sz w:val="24"/>
          <w:szCs w:val="24"/>
        </w:rPr>
        <w:t>Need For and Use of the Collection</w:t>
      </w:r>
    </w:p>
    <w:p w:rsidR="00B1351A" w:rsidRPr="00481723" w:rsidP="0053748E" w14:paraId="5E67AB55" w14:textId="77777777">
      <w:pPr>
        <w:keepNext/>
        <w:keepLines/>
        <w:widowControl/>
        <w:tabs>
          <w:tab w:val="left" w:pos="720"/>
        </w:tabs>
        <w:spacing w:after="240" w:line="360" w:lineRule="auto"/>
        <w:ind w:left="720" w:hanging="720"/>
        <w:rPr>
          <w:sz w:val="24"/>
          <w:szCs w:val="24"/>
        </w:rPr>
      </w:pPr>
      <w:r w:rsidRPr="00481723">
        <w:rPr>
          <w:i/>
          <w:iCs/>
          <w:sz w:val="24"/>
          <w:szCs w:val="24"/>
        </w:rPr>
        <w:t>(a)</w:t>
      </w:r>
      <w:r w:rsidRPr="00481723">
        <w:rPr>
          <w:i/>
          <w:iCs/>
          <w:sz w:val="24"/>
          <w:szCs w:val="24"/>
        </w:rPr>
        <w:tab/>
        <w:t>Need/Authority for the Collection</w:t>
      </w:r>
      <w:r w:rsidRPr="00481723">
        <w:rPr>
          <w:sz w:val="24"/>
          <w:szCs w:val="24"/>
        </w:rPr>
        <w:t>.</w:t>
      </w:r>
    </w:p>
    <w:p w:rsidR="008869B3" w:rsidRPr="008869B3" w:rsidP="0060153E" w14:paraId="7F41EFA8" w14:textId="0C547DD0">
      <w:pPr>
        <w:widowControl/>
        <w:spacing w:line="360" w:lineRule="auto"/>
        <w:ind w:firstLine="720"/>
        <w:rPr>
          <w:sz w:val="24"/>
          <w:szCs w:val="24"/>
        </w:rPr>
      </w:pPr>
      <w:r>
        <w:rPr>
          <w:sz w:val="24"/>
          <w:szCs w:val="24"/>
        </w:rPr>
        <w:t xml:space="preserve">The </w:t>
      </w:r>
      <w:r w:rsidR="007F789C">
        <w:rPr>
          <w:sz w:val="24"/>
          <w:szCs w:val="24"/>
        </w:rPr>
        <w:t>EPA</w:t>
      </w:r>
      <w:r w:rsidR="00201893">
        <w:rPr>
          <w:sz w:val="24"/>
          <w:szCs w:val="24"/>
        </w:rPr>
        <w:t xml:space="preserve"> is charged under s</w:t>
      </w:r>
      <w:r w:rsidRPr="008869B3">
        <w:rPr>
          <w:sz w:val="24"/>
          <w:szCs w:val="24"/>
        </w:rPr>
        <w:t xml:space="preserve">ection 111 of the Clean Air Act (CAA), as amended, to establish standards of performance for new stationary sources that reflect: </w:t>
      </w:r>
    </w:p>
    <w:p w:rsidR="008869B3" w:rsidRPr="008869B3" w:rsidP="0075527B" w14:paraId="1F93F9DE" w14:textId="0B752049">
      <w:pPr>
        <w:widowControl/>
        <w:pBdr>
          <w:top w:val="single" w:sz="6" w:space="0" w:color="FFFFFF"/>
          <w:left w:val="single" w:sz="6" w:space="0" w:color="FFFFFF"/>
          <w:bottom w:val="single" w:sz="6" w:space="0" w:color="FFFFFF"/>
          <w:right w:val="single" w:sz="6" w:space="0" w:color="FFFFFF"/>
        </w:pBdr>
        <w:ind w:left="1440" w:right="1440"/>
        <w:rPr>
          <w:sz w:val="24"/>
          <w:szCs w:val="24"/>
        </w:rPr>
      </w:pPr>
      <w:r w:rsidRPr="008869B3">
        <w:rPr>
          <w:b/>
          <w:bCs/>
          <w:sz w:val="24"/>
          <w:szCs w:val="24"/>
        </w:rPr>
        <w:t>. . .</w:t>
      </w:r>
      <w:r w:rsidRPr="008869B3">
        <w:rPr>
          <w:sz w:val="24"/>
          <w:szCs w:val="24"/>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275D51">
        <w:rPr>
          <w:sz w:val="24"/>
          <w:szCs w:val="24"/>
        </w:rPr>
        <w:t xml:space="preserve">. </w:t>
      </w:r>
      <w:r w:rsidRPr="008869B3">
        <w:rPr>
          <w:sz w:val="24"/>
          <w:szCs w:val="24"/>
        </w:rPr>
        <w:t>Section 111(a)(l).</w:t>
      </w:r>
    </w:p>
    <w:p w:rsidR="008869B3" w:rsidRPr="008869B3" w:rsidP="0075527B" w14:paraId="0AE57A9D" w14:textId="77777777">
      <w:pPr>
        <w:widowControl/>
        <w:pBdr>
          <w:top w:val="single" w:sz="6" w:space="0" w:color="FFFFFF"/>
          <w:left w:val="single" w:sz="6" w:space="0" w:color="FFFFFF"/>
          <w:bottom w:val="single" w:sz="6" w:space="0" w:color="FFFFFF"/>
          <w:right w:val="single" w:sz="6" w:space="0" w:color="FFFFFF"/>
        </w:pBdr>
        <w:rPr>
          <w:sz w:val="24"/>
          <w:szCs w:val="24"/>
        </w:rPr>
      </w:pPr>
    </w:p>
    <w:p w:rsidR="008869B3" w:rsidRPr="008869B3" w:rsidP="002B490C" w14:paraId="59EA4F51" w14:textId="548AD88C">
      <w:pPr>
        <w:widowControl/>
        <w:spacing w:line="360" w:lineRule="auto"/>
        <w:ind w:firstLine="720"/>
        <w:contextualSpacing/>
        <w:rPr>
          <w:sz w:val="24"/>
          <w:szCs w:val="24"/>
        </w:rPr>
      </w:pPr>
      <w:r w:rsidRPr="008869B3">
        <w:rPr>
          <w:sz w:val="24"/>
          <w:szCs w:val="24"/>
        </w:rPr>
        <w:t xml:space="preserve">The Agency refers to this charge as selecting the best </w:t>
      </w:r>
      <w:r w:rsidR="00366FC6">
        <w:rPr>
          <w:sz w:val="24"/>
          <w:szCs w:val="24"/>
        </w:rPr>
        <w:t>system of emissions reduction</w:t>
      </w:r>
      <w:r w:rsidR="00201893">
        <w:rPr>
          <w:sz w:val="24"/>
          <w:szCs w:val="24"/>
        </w:rPr>
        <w:t xml:space="preserve"> (</w:t>
      </w:r>
      <w:r w:rsidR="00366FC6">
        <w:rPr>
          <w:sz w:val="24"/>
          <w:szCs w:val="24"/>
        </w:rPr>
        <w:t>BSER</w:t>
      </w:r>
      <w:r w:rsidR="00201893">
        <w:rPr>
          <w:sz w:val="24"/>
          <w:szCs w:val="24"/>
        </w:rPr>
        <w:t>)</w:t>
      </w:r>
      <w:r w:rsidR="00275D51">
        <w:rPr>
          <w:sz w:val="24"/>
          <w:szCs w:val="24"/>
        </w:rPr>
        <w:t xml:space="preserve">. </w:t>
      </w:r>
      <w:r w:rsidR="00201893">
        <w:rPr>
          <w:sz w:val="24"/>
          <w:szCs w:val="24"/>
        </w:rPr>
        <w:t>Section </w:t>
      </w:r>
      <w:r w:rsidRPr="008869B3">
        <w:rPr>
          <w:sz w:val="24"/>
          <w:szCs w:val="24"/>
        </w:rPr>
        <w:t xml:space="preserve">111 </w:t>
      </w:r>
      <w:r w:rsidR="000D0282">
        <w:rPr>
          <w:sz w:val="24"/>
          <w:szCs w:val="24"/>
        </w:rPr>
        <w:t xml:space="preserve">of the CAA </w:t>
      </w:r>
      <w:r w:rsidRPr="008869B3">
        <w:rPr>
          <w:sz w:val="24"/>
          <w:szCs w:val="24"/>
        </w:rPr>
        <w:t xml:space="preserve">also requires that the Administrator review and, if appropriate, revise such standards every </w:t>
      </w:r>
      <w:r w:rsidR="00BC08FE">
        <w:rPr>
          <w:sz w:val="24"/>
          <w:szCs w:val="24"/>
        </w:rPr>
        <w:t>8</w:t>
      </w:r>
      <w:r w:rsidR="00201893">
        <w:rPr>
          <w:sz w:val="24"/>
          <w:szCs w:val="24"/>
        </w:rPr>
        <w:t> </w:t>
      </w:r>
      <w:r w:rsidRPr="008869B3">
        <w:rPr>
          <w:sz w:val="24"/>
          <w:szCs w:val="24"/>
        </w:rPr>
        <w:t xml:space="preserve">years. </w:t>
      </w:r>
    </w:p>
    <w:p w:rsidR="008869B3" w:rsidRPr="008869B3" w:rsidP="002B490C" w14:paraId="31A1B43E" w14:textId="12B15CDB">
      <w:pPr>
        <w:widowControl/>
        <w:spacing w:line="360" w:lineRule="auto"/>
        <w:ind w:firstLine="720"/>
        <w:contextualSpacing/>
        <w:rPr>
          <w:sz w:val="24"/>
          <w:szCs w:val="24"/>
        </w:rPr>
      </w:pPr>
      <w:r w:rsidRPr="008869B3">
        <w:rPr>
          <w:sz w:val="24"/>
          <w:szCs w:val="24"/>
        </w:rPr>
        <w:t xml:space="preserve">In addition, section 114(a) </w:t>
      </w:r>
      <w:r w:rsidR="007E4565">
        <w:rPr>
          <w:sz w:val="24"/>
          <w:szCs w:val="24"/>
        </w:rPr>
        <w:t xml:space="preserve">of the CAA </w:t>
      </w:r>
      <w:r w:rsidRPr="008869B3">
        <w:rPr>
          <w:sz w:val="24"/>
          <w:szCs w:val="24"/>
        </w:rPr>
        <w:t>states that the Administrator may require any owner or operator subject to any requirement of this Act to:</w:t>
      </w:r>
    </w:p>
    <w:p w:rsidR="00201893" w:rsidP="002B490C" w14:paraId="238C86CB" w14:textId="77777777">
      <w:pPr>
        <w:widowControl/>
        <w:numPr>
          <w:ilvl w:val="0"/>
          <w:numId w:val="9"/>
        </w:numPr>
        <w:spacing w:line="360" w:lineRule="auto"/>
        <w:ind w:left="1080" w:right="1440"/>
        <w:contextualSpacing/>
        <w:rPr>
          <w:sz w:val="24"/>
          <w:szCs w:val="24"/>
        </w:rPr>
      </w:pPr>
      <w:r>
        <w:rPr>
          <w:sz w:val="24"/>
          <w:szCs w:val="24"/>
        </w:rPr>
        <w:t>e</w:t>
      </w:r>
      <w:r w:rsidRPr="008869B3" w:rsidR="008869B3">
        <w:rPr>
          <w:sz w:val="24"/>
          <w:szCs w:val="24"/>
        </w:rPr>
        <w:t xml:space="preserve">stablish and maintain such </w:t>
      </w:r>
      <w:r w:rsidRPr="008869B3" w:rsidR="008869B3">
        <w:rPr>
          <w:sz w:val="24"/>
          <w:szCs w:val="24"/>
        </w:rPr>
        <w:t>records;</w:t>
      </w:r>
      <w:r w:rsidRPr="008869B3" w:rsidR="008869B3">
        <w:rPr>
          <w:sz w:val="24"/>
          <w:szCs w:val="24"/>
        </w:rPr>
        <w:t xml:space="preserve"> </w:t>
      </w:r>
    </w:p>
    <w:p w:rsidR="00366FC6" w:rsidP="002B490C" w14:paraId="611BCC2C" w14:textId="77777777">
      <w:pPr>
        <w:widowControl/>
        <w:numPr>
          <w:ilvl w:val="0"/>
          <w:numId w:val="9"/>
        </w:numPr>
        <w:spacing w:line="360" w:lineRule="auto"/>
        <w:ind w:left="1080" w:right="1440"/>
        <w:contextualSpacing/>
        <w:rPr>
          <w:sz w:val="24"/>
          <w:szCs w:val="24"/>
        </w:rPr>
      </w:pPr>
      <w:r w:rsidRPr="008869B3">
        <w:rPr>
          <w:sz w:val="24"/>
          <w:szCs w:val="24"/>
        </w:rPr>
        <w:t xml:space="preserve">make such </w:t>
      </w:r>
      <w:r w:rsidRPr="008869B3">
        <w:rPr>
          <w:sz w:val="24"/>
          <w:szCs w:val="24"/>
        </w:rPr>
        <w:t>reports;</w:t>
      </w:r>
      <w:r w:rsidRPr="008869B3">
        <w:rPr>
          <w:sz w:val="24"/>
          <w:szCs w:val="24"/>
        </w:rPr>
        <w:t xml:space="preserve"> </w:t>
      </w:r>
    </w:p>
    <w:p w:rsidR="00201893" w:rsidP="002B490C" w14:paraId="02749732" w14:textId="77777777">
      <w:pPr>
        <w:widowControl/>
        <w:numPr>
          <w:ilvl w:val="0"/>
          <w:numId w:val="9"/>
        </w:numPr>
        <w:spacing w:line="360" w:lineRule="auto"/>
        <w:ind w:left="1080" w:right="1440"/>
        <w:contextualSpacing/>
        <w:rPr>
          <w:sz w:val="24"/>
          <w:szCs w:val="24"/>
        </w:rPr>
      </w:pPr>
      <w:r w:rsidRPr="008869B3">
        <w:rPr>
          <w:sz w:val="24"/>
          <w:szCs w:val="24"/>
        </w:rPr>
        <w:t xml:space="preserve">install, use, and maintain such monitoring </w:t>
      </w:r>
      <w:r w:rsidRPr="008869B3">
        <w:rPr>
          <w:sz w:val="24"/>
          <w:szCs w:val="24"/>
        </w:rPr>
        <w:t>equipment</w:t>
      </w:r>
      <w:r w:rsidR="00366FC6">
        <w:rPr>
          <w:sz w:val="24"/>
          <w:szCs w:val="24"/>
        </w:rPr>
        <w:t>;</w:t>
      </w:r>
    </w:p>
    <w:p w:rsidR="00201893" w:rsidP="002B490C" w14:paraId="4DD8F928" w14:textId="77777777">
      <w:pPr>
        <w:widowControl/>
        <w:numPr>
          <w:ilvl w:val="0"/>
          <w:numId w:val="9"/>
        </w:numPr>
        <w:spacing w:line="360" w:lineRule="auto"/>
        <w:ind w:left="1080" w:right="1440"/>
        <w:contextualSpacing/>
        <w:rPr>
          <w:sz w:val="24"/>
          <w:szCs w:val="24"/>
        </w:rPr>
      </w:pPr>
      <w:r w:rsidRPr="008869B3">
        <w:rPr>
          <w:sz w:val="24"/>
          <w:szCs w:val="24"/>
        </w:rPr>
        <w:t>use such</w:t>
      </w:r>
      <w:r>
        <w:rPr>
          <w:sz w:val="24"/>
          <w:szCs w:val="24"/>
        </w:rPr>
        <w:t xml:space="preserve"> audit procedures, or </w:t>
      </w:r>
      <w:r>
        <w:rPr>
          <w:sz w:val="24"/>
          <w:szCs w:val="24"/>
        </w:rPr>
        <w:t>methods;</w:t>
      </w:r>
      <w:r>
        <w:rPr>
          <w:sz w:val="24"/>
          <w:szCs w:val="24"/>
        </w:rPr>
        <w:t xml:space="preserve"> </w:t>
      </w:r>
    </w:p>
    <w:p w:rsidR="00201893" w:rsidP="002B490C" w14:paraId="17DB62E1" w14:textId="77777777">
      <w:pPr>
        <w:widowControl/>
        <w:numPr>
          <w:ilvl w:val="0"/>
          <w:numId w:val="9"/>
        </w:numPr>
        <w:spacing w:line="360" w:lineRule="auto"/>
        <w:ind w:left="1080" w:right="1440"/>
        <w:contextualSpacing/>
        <w:rPr>
          <w:sz w:val="24"/>
          <w:szCs w:val="24"/>
        </w:rPr>
      </w:pPr>
      <w:r w:rsidRPr="008869B3">
        <w:rPr>
          <w:sz w:val="24"/>
          <w:szCs w:val="24"/>
        </w:rPr>
        <w:t>sample such emissions (in accordance with such procedures or methods, at such locations, at such intervals, during such periods, and in such manner as the Administrator shall prescribe</w:t>
      </w:r>
      <w:r w:rsidRPr="008869B3">
        <w:rPr>
          <w:sz w:val="24"/>
          <w:szCs w:val="24"/>
        </w:rPr>
        <w:t>);</w:t>
      </w:r>
      <w:r w:rsidRPr="008869B3">
        <w:rPr>
          <w:sz w:val="24"/>
          <w:szCs w:val="24"/>
        </w:rPr>
        <w:t xml:space="preserve"> </w:t>
      </w:r>
    </w:p>
    <w:p w:rsidR="00201893" w:rsidP="002B490C" w14:paraId="566D1912" w14:textId="77777777">
      <w:pPr>
        <w:widowControl/>
        <w:numPr>
          <w:ilvl w:val="0"/>
          <w:numId w:val="9"/>
        </w:numPr>
        <w:spacing w:line="360" w:lineRule="auto"/>
        <w:ind w:left="1080" w:right="1440"/>
        <w:contextualSpacing/>
        <w:rPr>
          <w:sz w:val="24"/>
          <w:szCs w:val="24"/>
        </w:rPr>
      </w:pPr>
      <w:r w:rsidRPr="008869B3">
        <w:rPr>
          <w:sz w:val="24"/>
          <w:szCs w:val="24"/>
        </w:rPr>
        <w:t xml:space="preserve">keep records on control equipment parameters, production variables or other indirect data when direct monitoring of emissions is </w:t>
      </w:r>
      <w:r w:rsidRPr="008869B3">
        <w:rPr>
          <w:sz w:val="24"/>
          <w:szCs w:val="24"/>
        </w:rPr>
        <w:t>impractical;</w:t>
      </w:r>
      <w:r w:rsidRPr="008869B3">
        <w:rPr>
          <w:sz w:val="24"/>
          <w:szCs w:val="24"/>
        </w:rPr>
        <w:t xml:space="preserve"> </w:t>
      </w:r>
    </w:p>
    <w:p w:rsidR="00201893" w:rsidP="002B490C" w14:paraId="32679E62" w14:textId="5CCB45CE">
      <w:pPr>
        <w:widowControl/>
        <w:numPr>
          <w:ilvl w:val="0"/>
          <w:numId w:val="9"/>
        </w:numPr>
        <w:spacing w:line="360" w:lineRule="auto"/>
        <w:ind w:left="1080" w:right="1440"/>
        <w:contextualSpacing/>
        <w:rPr>
          <w:sz w:val="24"/>
          <w:szCs w:val="24"/>
        </w:rPr>
      </w:pPr>
      <w:r w:rsidRPr="008869B3">
        <w:rPr>
          <w:sz w:val="24"/>
          <w:szCs w:val="24"/>
        </w:rPr>
        <w:t xml:space="preserve">submit compliance certifications in accordance with </w:t>
      </w:r>
      <w:r w:rsidR="007E4565">
        <w:rPr>
          <w:sz w:val="24"/>
          <w:szCs w:val="24"/>
        </w:rPr>
        <w:t>s</w:t>
      </w:r>
      <w:r w:rsidRPr="008869B3">
        <w:rPr>
          <w:sz w:val="24"/>
          <w:szCs w:val="24"/>
        </w:rPr>
        <w:t>ection 114(a)(3)</w:t>
      </w:r>
      <w:r w:rsidR="00D96DBB">
        <w:rPr>
          <w:sz w:val="24"/>
          <w:szCs w:val="24"/>
        </w:rPr>
        <w:t xml:space="preserve"> of the CAA</w:t>
      </w:r>
      <w:r w:rsidRPr="008869B3">
        <w:rPr>
          <w:sz w:val="24"/>
          <w:szCs w:val="24"/>
        </w:rPr>
        <w:t>; and</w:t>
      </w:r>
    </w:p>
    <w:p w:rsidR="001868F5" w:rsidP="002B490C" w14:paraId="4C33DD15" w14:textId="7E26CF8F">
      <w:pPr>
        <w:widowControl/>
        <w:numPr>
          <w:ilvl w:val="0"/>
          <w:numId w:val="9"/>
        </w:numPr>
        <w:spacing w:line="360" w:lineRule="auto"/>
        <w:ind w:left="1080" w:right="1440"/>
        <w:contextualSpacing/>
        <w:rPr>
          <w:sz w:val="24"/>
          <w:szCs w:val="24"/>
        </w:rPr>
      </w:pPr>
      <w:r w:rsidRPr="008869B3">
        <w:rPr>
          <w:sz w:val="24"/>
          <w:szCs w:val="24"/>
        </w:rPr>
        <w:t>provide such other information as the Administrator may reasonably require.</w:t>
      </w:r>
    </w:p>
    <w:p w:rsidR="00123B90" w:rsidRPr="00123B90" w:rsidP="0053748E" w14:paraId="7CB55367" w14:textId="737A32FC">
      <w:pPr>
        <w:widowControl/>
        <w:spacing w:after="240" w:line="360" w:lineRule="auto"/>
        <w:rPr>
          <w:sz w:val="24"/>
          <w:szCs w:val="24"/>
        </w:rPr>
      </w:pPr>
      <w:r>
        <w:rPr>
          <w:sz w:val="24"/>
          <w:szCs w:val="24"/>
        </w:rPr>
        <w:t xml:space="preserve">The </w:t>
      </w:r>
      <w:r w:rsidR="00CF3165">
        <w:rPr>
          <w:sz w:val="24"/>
          <w:szCs w:val="24"/>
        </w:rPr>
        <w:t>information collection activities</w:t>
      </w:r>
      <w:r>
        <w:rPr>
          <w:sz w:val="24"/>
          <w:szCs w:val="24"/>
        </w:rPr>
        <w:t xml:space="preserve"> </w:t>
      </w:r>
      <w:r w:rsidR="00386BA6">
        <w:rPr>
          <w:sz w:val="24"/>
          <w:szCs w:val="24"/>
        </w:rPr>
        <w:t>under the</w:t>
      </w:r>
      <w:r>
        <w:rPr>
          <w:sz w:val="24"/>
          <w:szCs w:val="24"/>
        </w:rPr>
        <w:t xml:space="preserve"> </w:t>
      </w:r>
      <w:r w:rsidR="00E612DD">
        <w:rPr>
          <w:sz w:val="24"/>
          <w:szCs w:val="24"/>
        </w:rPr>
        <w:t xml:space="preserve">proposed </w:t>
      </w:r>
      <w:r w:rsidR="00E14F01">
        <w:rPr>
          <w:sz w:val="24"/>
          <w:szCs w:val="24"/>
        </w:rPr>
        <w:t xml:space="preserve">NSPS </w:t>
      </w:r>
      <w:r w:rsidR="00E14F01">
        <w:rPr>
          <w:sz w:val="24"/>
          <w:szCs w:val="24"/>
        </w:rPr>
        <w:t>OOOO</w:t>
      </w:r>
      <w:r w:rsidR="00695F61">
        <w:rPr>
          <w:sz w:val="24"/>
          <w:szCs w:val="24"/>
        </w:rPr>
        <w:t>b</w:t>
      </w:r>
      <w:r w:rsidR="00862556">
        <w:rPr>
          <w:sz w:val="24"/>
          <w:szCs w:val="24"/>
        </w:rPr>
        <w:t xml:space="preserve"> </w:t>
      </w:r>
      <w:r w:rsidR="00A6000D">
        <w:rPr>
          <w:sz w:val="24"/>
          <w:szCs w:val="24"/>
        </w:rPr>
        <w:t>are necessary</w:t>
      </w:r>
      <w:r>
        <w:rPr>
          <w:sz w:val="24"/>
          <w:szCs w:val="24"/>
        </w:rPr>
        <w:t xml:space="preserve"> for the Administrator to confirm the compliance status of </w:t>
      </w:r>
      <w:r w:rsidR="00A44792">
        <w:rPr>
          <w:sz w:val="24"/>
          <w:szCs w:val="24"/>
        </w:rPr>
        <w:t xml:space="preserve">new </w:t>
      </w:r>
      <w:r w:rsidR="00876A74">
        <w:rPr>
          <w:sz w:val="24"/>
          <w:szCs w:val="24"/>
        </w:rPr>
        <w:t xml:space="preserve">and modified </w:t>
      </w:r>
      <w:r>
        <w:rPr>
          <w:sz w:val="24"/>
          <w:szCs w:val="24"/>
        </w:rPr>
        <w:t xml:space="preserve">oil and natural gas </w:t>
      </w:r>
      <w:r w:rsidR="00A44792">
        <w:rPr>
          <w:sz w:val="24"/>
          <w:szCs w:val="24"/>
        </w:rPr>
        <w:t>affected facilities</w:t>
      </w:r>
      <w:r w:rsidR="00876A74">
        <w:rPr>
          <w:sz w:val="24"/>
          <w:szCs w:val="24"/>
        </w:rPr>
        <w:t>.</w:t>
      </w:r>
      <w:r>
        <w:rPr>
          <w:sz w:val="24"/>
          <w:szCs w:val="24"/>
        </w:rPr>
        <w:t xml:space="preserve"> </w:t>
      </w:r>
      <w:r w:rsidR="00876A74">
        <w:rPr>
          <w:sz w:val="24"/>
          <w:szCs w:val="24"/>
        </w:rPr>
        <w:t>These recordkeeping and reporting requirements</w:t>
      </w:r>
      <w:r>
        <w:rPr>
          <w:sz w:val="24"/>
          <w:szCs w:val="24"/>
        </w:rPr>
        <w:t xml:space="preserve"> are authorized by CAA section 114.</w:t>
      </w:r>
    </w:p>
    <w:p w:rsidR="00B1351A" w:rsidRPr="00481723" w:rsidP="0053748E" w14:paraId="534DA262" w14:textId="25281E1C">
      <w:pPr>
        <w:widowControl/>
        <w:spacing w:after="240" w:line="360" w:lineRule="auto"/>
        <w:rPr>
          <w:sz w:val="24"/>
          <w:szCs w:val="24"/>
        </w:rPr>
      </w:pPr>
      <w:r w:rsidRPr="00481723">
        <w:rPr>
          <w:i/>
          <w:iCs/>
          <w:sz w:val="24"/>
          <w:szCs w:val="24"/>
        </w:rPr>
        <w:t>(b)</w:t>
      </w:r>
      <w:r w:rsidRPr="00481723">
        <w:rPr>
          <w:i/>
          <w:iCs/>
          <w:sz w:val="24"/>
          <w:szCs w:val="24"/>
        </w:rPr>
        <w:tab/>
      </w:r>
      <w:r w:rsidR="007E4565">
        <w:rPr>
          <w:i/>
          <w:iCs/>
          <w:sz w:val="24"/>
          <w:szCs w:val="24"/>
        </w:rPr>
        <w:t>Practical Utility</w:t>
      </w:r>
      <w:r w:rsidRPr="00481723">
        <w:rPr>
          <w:i/>
          <w:iCs/>
          <w:sz w:val="24"/>
          <w:szCs w:val="24"/>
        </w:rPr>
        <w:t>/Users of the Data.</w:t>
      </w:r>
    </w:p>
    <w:p w:rsidR="00FA23B5" w:rsidP="0075527B" w14:paraId="6A8D0EEA" w14:textId="325F936A">
      <w:pPr>
        <w:widowControl/>
        <w:spacing w:line="360" w:lineRule="auto"/>
        <w:rPr>
          <w:sz w:val="24"/>
          <w:szCs w:val="24"/>
        </w:rPr>
      </w:pPr>
      <w:r w:rsidRPr="00481723">
        <w:rPr>
          <w:sz w:val="24"/>
          <w:szCs w:val="24"/>
        </w:rPr>
        <w:tab/>
        <w:t xml:space="preserve">The information will be used by </w:t>
      </w:r>
      <w:r w:rsidRPr="00481723" w:rsidR="00D85131">
        <w:rPr>
          <w:sz w:val="24"/>
          <w:szCs w:val="24"/>
        </w:rPr>
        <w:t>the delegated authority (</w:t>
      </w:r>
      <w:r w:rsidR="00666982">
        <w:rPr>
          <w:sz w:val="24"/>
          <w:szCs w:val="24"/>
        </w:rPr>
        <w:t>s</w:t>
      </w:r>
      <w:r w:rsidRPr="00481723" w:rsidR="00D85131">
        <w:rPr>
          <w:sz w:val="24"/>
          <w:szCs w:val="24"/>
        </w:rPr>
        <w:t>tate agency</w:t>
      </w:r>
      <w:r w:rsidR="00D52263">
        <w:rPr>
          <w:sz w:val="24"/>
          <w:szCs w:val="24"/>
        </w:rPr>
        <w:t>,</w:t>
      </w:r>
      <w:r w:rsidRPr="00481723" w:rsidR="00D85131">
        <w:rPr>
          <w:sz w:val="24"/>
          <w:szCs w:val="24"/>
        </w:rPr>
        <w:t xml:space="preserve"> or Regional Administrator if there is no delegated </w:t>
      </w:r>
      <w:r w:rsidR="00666982">
        <w:rPr>
          <w:sz w:val="24"/>
          <w:szCs w:val="24"/>
        </w:rPr>
        <w:t>s</w:t>
      </w:r>
      <w:r w:rsidRPr="00481723" w:rsidR="00D85131">
        <w:rPr>
          <w:sz w:val="24"/>
          <w:szCs w:val="24"/>
        </w:rPr>
        <w:t xml:space="preserve">tate agency) </w:t>
      </w:r>
      <w:r w:rsidRPr="00481723">
        <w:rPr>
          <w:sz w:val="24"/>
          <w:szCs w:val="24"/>
        </w:rPr>
        <w:t xml:space="preserve">to ensure that the </w:t>
      </w:r>
      <w:r w:rsidR="008556DF">
        <w:rPr>
          <w:sz w:val="24"/>
          <w:szCs w:val="24"/>
        </w:rPr>
        <w:t>standards</w:t>
      </w:r>
      <w:r w:rsidRPr="00481723">
        <w:rPr>
          <w:sz w:val="24"/>
          <w:szCs w:val="24"/>
        </w:rPr>
        <w:t xml:space="preserve"> </w:t>
      </w:r>
      <w:r w:rsidRPr="00481723" w:rsidR="00E07085">
        <w:rPr>
          <w:sz w:val="24"/>
          <w:szCs w:val="24"/>
        </w:rPr>
        <w:t xml:space="preserve">and other requirements </w:t>
      </w:r>
      <w:r w:rsidR="007E4565">
        <w:rPr>
          <w:sz w:val="24"/>
          <w:szCs w:val="24"/>
        </w:rPr>
        <w:t xml:space="preserve">of </w:t>
      </w:r>
      <w:r w:rsidR="00E14F01">
        <w:rPr>
          <w:iCs/>
          <w:sz w:val="24"/>
          <w:szCs w:val="24"/>
        </w:rPr>
        <w:t xml:space="preserve">NSPS </w:t>
      </w:r>
      <w:r w:rsidRPr="007E4565" w:rsidR="007E4565">
        <w:rPr>
          <w:iCs/>
          <w:sz w:val="24"/>
          <w:szCs w:val="24"/>
        </w:rPr>
        <w:t>OOOO</w:t>
      </w:r>
      <w:r w:rsidR="00695F61">
        <w:rPr>
          <w:iCs/>
          <w:sz w:val="24"/>
          <w:szCs w:val="24"/>
        </w:rPr>
        <w:t>b</w:t>
      </w:r>
      <w:r w:rsidR="007E4565">
        <w:rPr>
          <w:sz w:val="24"/>
          <w:szCs w:val="24"/>
        </w:rPr>
        <w:t xml:space="preserve"> </w:t>
      </w:r>
      <w:r w:rsidR="00634A23">
        <w:rPr>
          <w:sz w:val="24"/>
          <w:szCs w:val="24"/>
        </w:rPr>
        <w:t xml:space="preserve">are being achieved. </w:t>
      </w:r>
      <w:r w:rsidRPr="00481723">
        <w:rPr>
          <w:sz w:val="24"/>
          <w:szCs w:val="24"/>
        </w:rPr>
        <w:t xml:space="preserve">Based on review of the recorded information at the site and the reported information, </w:t>
      </w:r>
      <w:r w:rsidRPr="00481723" w:rsidR="00D85131">
        <w:rPr>
          <w:sz w:val="24"/>
          <w:szCs w:val="24"/>
        </w:rPr>
        <w:t xml:space="preserve">the delegated permitting authority </w:t>
      </w:r>
      <w:r w:rsidRPr="00481723">
        <w:rPr>
          <w:sz w:val="24"/>
          <w:szCs w:val="24"/>
        </w:rPr>
        <w:t xml:space="preserve">can identify </w:t>
      </w:r>
      <w:r w:rsidR="0041038D">
        <w:rPr>
          <w:sz w:val="24"/>
          <w:szCs w:val="24"/>
        </w:rPr>
        <w:t xml:space="preserve">affected </w:t>
      </w:r>
      <w:r w:rsidRPr="00481723">
        <w:rPr>
          <w:sz w:val="24"/>
          <w:szCs w:val="24"/>
        </w:rPr>
        <w:t xml:space="preserve">facilities that may not </w:t>
      </w:r>
      <w:r w:rsidRPr="00481723">
        <w:rPr>
          <w:sz w:val="24"/>
          <w:szCs w:val="24"/>
        </w:rPr>
        <w:t>be in compliance</w:t>
      </w:r>
      <w:r w:rsidRPr="00481723">
        <w:rPr>
          <w:sz w:val="24"/>
          <w:szCs w:val="24"/>
        </w:rPr>
        <w:t xml:space="preserve"> and decide which </w:t>
      </w:r>
      <w:r w:rsidR="003978F4">
        <w:rPr>
          <w:sz w:val="24"/>
          <w:szCs w:val="24"/>
        </w:rPr>
        <w:t xml:space="preserve">affected </w:t>
      </w:r>
      <w:r w:rsidR="00522875">
        <w:rPr>
          <w:sz w:val="24"/>
          <w:szCs w:val="24"/>
        </w:rPr>
        <w:t>facilitie</w:t>
      </w:r>
      <w:r w:rsidRPr="00481723">
        <w:rPr>
          <w:sz w:val="24"/>
          <w:szCs w:val="24"/>
        </w:rPr>
        <w:t xml:space="preserve">s, records, or processes </w:t>
      </w:r>
      <w:r w:rsidRPr="00481723" w:rsidR="00D85131">
        <w:rPr>
          <w:sz w:val="24"/>
          <w:szCs w:val="24"/>
        </w:rPr>
        <w:t>may need inspection</w:t>
      </w:r>
      <w:r w:rsidRPr="00481723">
        <w:rPr>
          <w:sz w:val="24"/>
          <w:szCs w:val="24"/>
        </w:rPr>
        <w:t>.</w:t>
      </w:r>
      <w:r w:rsidRPr="00481723" w:rsidR="00D85131">
        <w:rPr>
          <w:sz w:val="24"/>
          <w:szCs w:val="24"/>
        </w:rPr>
        <w:t xml:space="preserve"> </w:t>
      </w:r>
    </w:p>
    <w:p w:rsidR="00123B90" w:rsidP="0053748E" w14:paraId="22C3238D" w14:textId="77777777">
      <w:pPr>
        <w:widowControl/>
        <w:spacing w:after="240" w:line="360" w:lineRule="auto"/>
        <w:rPr>
          <w:b/>
          <w:bCs/>
          <w:sz w:val="24"/>
          <w:szCs w:val="24"/>
        </w:rPr>
      </w:pPr>
      <w:r w:rsidRPr="00481723">
        <w:rPr>
          <w:b/>
          <w:bCs/>
          <w:sz w:val="24"/>
          <w:szCs w:val="24"/>
        </w:rPr>
        <w:t>3.</w:t>
      </w:r>
      <w:r w:rsidRPr="00481723">
        <w:rPr>
          <w:sz w:val="24"/>
          <w:szCs w:val="24"/>
        </w:rPr>
        <w:tab/>
      </w:r>
      <w:r w:rsidRPr="00481723">
        <w:rPr>
          <w:b/>
          <w:bCs/>
          <w:sz w:val="24"/>
          <w:szCs w:val="24"/>
        </w:rPr>
        <w:t>Nonduplication, Consultations, and Other Collection Criteria</w:t>
      </w:r>
    </w:p>
    <w:p w:rsidR="00123B90" w:rsidP="0053748E" w14:paraId="3337948B" w14:textId="77777777">
      <w:pPr>
        <w:widowControl/>
        <w:spacing w:after="240" w:line="360" w:lineRule="auto"/>
        <w:rPr>
          <w:i/>
          <w:iCs/>
          <w:sz w:val="24"/>
          <w:szCs w:val="24"/>
        </w:rPr>
      </w:pPr>
      <w:r w:rsidRPr="00481723">
        <w:rPr>
          <w:i/>
          <w:iCs/>
          <w:sz w:val="24"/>
          <w:szCs w:val="24"/>
        </w:rPr>
        <w:t>(a)</w:t>
      </w:r>
      <w:r w:rsidRPr="00481723">
        <w:rPr>
          <w:i/>
          <w:iCs/>
          <w:sz w:val="24"/>
          <w:szCs w:val="24"/>
        </w:rPr>
        <w:tab/>
        <w:t>Nonduplication.</w:t>
      </w:r>
    </w:p>
    <w:p w:rsidR="008E4B15" w:rsidRPr="00574D9E" w:rsidP="0053748E" w14:paraId="309F8A0A" w14:textId="708C31A7">
      <w:pPr>
        <w:widowControl/>
        <w:spacing w:before="120" w:after="240" w:line="360" w:lineRule="auto"/>
        <w:ind w:firstLine="720"/>
        <w:rPr>
          <w:sz w:val="24"/>
          <w:szCs w:val="24"/>
        </w:rPr>
      </w:pPr>
      <w:r>
        <w:rPr>
          <w:sz w:val="24"/>
          <w:szCs w:val="24"/>
        </w:rPr>
        <w:t xml:space="preserve">No other regulation currently requires the same information under this ICR from owners/operators subject to the requirements of this subpart. </w:t>
      </w:r>
      <w:r>
        <w:rPr>
          <w:sz w:val="24"/>
          <w:szCs w:val="24"/>
        </w:rPr>
        <w:t>In the event that</w:t>
      </w:r>
      <w:r>
        <w:rPr>
          <w:sz w:val="24"/>
          <w:szCs w:val="24"/>
        </w:rPr>
        <w:t xml:space="preserve"> certain reports required by state or local agency may duplicate information required by this subpart, a copy of the report submitted to the state or local agency can be sent to the Administrator in lieu of the report required by the Federal standards.</w:t>
      </w:r>
      <w:r>
        <w:rPr>
          <w:rStyle w:val="FootnoteReference"/>
          <w:sz w:val="24"/>
          <w:szCs w:val="24"/>
        </w:rPr>
        <w:footnoteReference w:id="3"/>
      </w:r>
      <w:r w:rsidR="00E60E98">
        <w:rPr>
          <w:sz w:val="24"/>
          <w:szCs w:val="24"/>
        </w:rPr>
        <w:t xml:space="preserve"> </w:t>
      </w:r>
      <w:r>
        <w:rPr>
          <w:sz w:val="24"/>
          <w:szCs w:val="24"/>
        </w:rPr>
        <w:t xml:space="preserve">Therefore, no duplication exists. </w:t>
      </w:r>
    </w:p>
    <w:p w:rsidR="00B1351A" w:rsidRPr="00481723" w:rsidP="0053748E" w14:paraId="1C963284" w14:textId="011322D9">
      <w:pPr>
        <w:keepNext/>
        <w:keepLines/>
        <w:widowControl/>
        <w:spacing w:after="240" w:line="360" w:lineRule="auto"/>
        <w:rPr>
          <w:i/>
          <w:iCs/>
          <w:sz w:val="24"/>
          <w:szCs w:val="24"/>
        </w:rPr>
      </w:pPr>
      <w:r>
        <w:rPr>
          <w:i/>
          <w:iCs/>
          <w:sz w:val="24"/>
          <w:szCs w:val="24"/>
        </w:rPr>
        <w:t>(b)</w:t>
      </w:r>
      <w:r w:rsidR="00DC4234">
        <w:rPr>
          <w:i/>
          <w:iCs/>
          <w:sz w:val="24"/>
          <w:szCs w:val="24"/>
        </w:rPr>
        <w:tab/>
      </w:r>
      <w:r w:rsidRPr="00481723">
        <w:rPr>
          <w:i/>
          <w:iCs/>
          <w:sz w:val="24"/>
          <w:szCs w:val="24"/>
        </w:rPr>
        <w:t>Public Notice Required Prior to ICR Submission to OMB.</w:t>
      </w:r>
    </w:p>
    <w:p w:rsidR="00D46160" w:rsidRPr="00481723" w:rsidP="0053748E" w14:paraId="55CA5C10" w14:textId="2B243728">
      <w:pPr>
        <w:widowControl/>
        <w:spacing w:after="240" w:line="360" w:lineRule="auto"/>
        <w:rPr>
          <w:sz w:val="24"/>
          <w:szCs w:val="24"/>
        </w:rPr>
      </w:pPr>
      <w:r w:rsidRPr="00481723">
        <w:rPr>
          <w:i/>
          <w:iCs/>
          <w:sz w:val="24"/>
          <w:szCs w:val="24"/>
        </w:rPr>
        <w:tab/>
      </w:r>
      <w:r w:rsidRPr="00D46160">
        <w:rPr>
          <w:sz w:val="24"/>
          <w:szCs w:val="24"/>
        </w:rPr>
        <w:t xml:space="preserve">The preamble for the </w:t>
      </w:r>
      <w:r w:rsidR="000947E7">
        <w:rPr>
          <w:sz w:val="24"/>
          <w:szCs w:val="24"/>
        </w:rPr>
        <w:t>proposed</w:t>
      </w:r>
      <w:r w:rsidRPr="00D46160">
        <w:rPr>
          <w:sz w:val="24"/>
          <w:szCs w:val="24"/>
        </w:rPr>
        <w:t xml:space="preserve"> </w:t>
      </w:r>
      <w:r w:rsidR="000947E7">
        <w:rPr>
          <w:sz w:val="24"/>
          <w:szCs w:val="24"/>
        </w:rPr>
        <w:t xml:space="preserve">NSPS </w:t>
      </w:r>
      <w:r w:rsidR="000947E7">
        <w:rPr>
          <w:sz w:val="24"/>
          <w:szCs w:val="24"/>
        </w:rPr>
        <w:t>OOOO</w:t>
      </w:r>
      <w:r w:rsidR="005B5BE9">
        <w:rPr>
          <w:sz w:val="24"/>
          <w:szCs w:val="24"/>
        </w:rPr>
        <w:t>b</w:t>
      </w:r>
      <w:r w:rsidR="000947E7">
        <w:rPr>
          <w:sz w:val="24"/>
          <w:szCs w:val="24"/>
        </w:rPr>
        <w:t xml:space="preserve"> </w:t>
      </w:r>
      <w:r w:rsidRPr="00D46160">
        <w:rPr>
          <w:sz w:val="24"/>
          <w:szCs w:val="24"/>
        </w:rPr>
        <w:t xml:space="preserve">provides public notice of this </w:t>
      </w:r>
      <w:r w:rsidR="000947E7">
        <w:rPr>
          <w:sz w:val="24"/>
          <w:szCs w:val="24"/>
        </w:rPr>
        <w:t>proposed</w:t>
      </w:r>
      <w:r w:rsidRPr="00D46160">
        <w:rPr>
          <w:sz w:val="24"/>
          <w:szCs w:val="24"/>
        </w:rPr>
        <w:t xml:space="preserve"> ICR. </w:t>
      </w:r>
      <w:r w:rsidR="000947E7">
        <w:rPr>
          <w:sz w:val="24"/>
          <w:szCs w:val="24"/>
        </w:rPr>
        <w:t xml:space="preserve">The </w:t>
      </w:r>
      <w:r w:rsidRPr="00D46160">
        <w:rPr>
          <w:sz w:val="24"/>
          <w:szCs w:val="24"/>
        </w:rPr>
        <w:t xml:space="preserve">EPA will consider comments when preparing the </w:t>
      </w:r>
      <w:r w:rsidR="000947E7">
        <w:rPr>
          <w:sz w:val="24"/>
          <w:szCs w:val="24"/>
        </w:rPr>
        <w:t>final</w:t>
      </w:r>
      <w:r w:rsidRPr="00D46160">
        <w:rPr>
          <w:sz w:val="24"/>
          <w:szCs w:val="24"/>
        </w:rPr>
        <w:t xml:space="preserve"> ICR. The preamble to the final rule will provide public notice on the revised ICR.</w:t>
      </w:r>
    </w:p>
    <w:p w:rsidR="00B1351A" w:rsidP="0053748E" w14:paraId="6FE8863E" w14:textId="77777777">
      <w:pPr>
        <w:widowControl/>
        <w:spacing w:after="240" w:line="360" w:lineRule="auto"/>
        <w:rPr>
          <w:i/>
          <w:iCs/>
          <w:sz w:val="24"/>
          <w:szCs w:val="24"/>
        </w:rPr>
      </w:pPr>
      <w:r w:rsidRPr="00481723">
        <w:rPr>
          <w:i/>
          <w:iCs/>
          <w:sz w:val="24"/>
          <w:szCs w:val="24"/>
        </w:rPr>
        <w:t>(c)</w:t>
      </w:r>
      <w:r w:rsidRPr="00481723">
        <w:rPr>
          <w:i/>
          <w:iCs/>
          <w:sz w:val="24"/>
          <w:szCs w:val="24"/>
        </w:rPr>
        <w:tab/>
        <w:t>Consultations.</w:t>
      </w:r>
    </w:p>
    <w:p w:rsidR="00516597" w:rsidP="0053748E" w14:paraId="4672FE92" w14:textId="2927B083">
      <w:pPr>
        <w:widowControl/>
        <w:spacing w:after="240" w:line="360" w:lineRule="auto"/>
        <w:ind w:firstLine="720"/>
        <w:rPr>
          <w:sz w:val="24"/>
          <w:szCs w:val="24"/>
        </w:rPr>
      </w:pPr>
      <w:r w:rsidRPr="00911C8F">
        <w:rPr>
          <w:sz w:val="24"/>
          <w:szCs w:val="24"/>
        </w:rPr>
        <w:t xml:space="preserve">In developing </w:t>
      </w:r>
      <w:r w:rsidR="00C81471">
        <w:rPr>
          <w:sz w:val="24"/>
          <w:szCs w:val="24"/>
        </w:rPr>
        <w:t xml:space="preserve">the </w:t>
      </w:r>
      <w:r w:rsidR="00D6615A">
        <w:rPr>
          <w:sz w:val="24"/>
          <w:szCs w:val="24"/>
        </w:rPr>
        <w:t>propos</w:t>
      </w:r>
      <w:r w:rsidR="00D3643C">
        <w:rPr>
          <w:sz w:val="24"/>
          <w:szCs w:val="24"/>
        </w:rPr>
        <w:t xml:space="preserve">ed </w:t>
      </w:r>
      <w:r w:rsidR="00C81471">
        <w:rPr>
          <w:sz w:val="24"/>
          <w:szCs w:val="24"/>
        </w:rPr>
        <w:t xml:space="preserve">NSPS </w:t>
      </w:r>
      <w:r w:rsidR="00C81471">
        <w:rPr>
          <w:sz w:val="24"/>
          <w:szCs w:val="24"/>
        </w:rPr>
        <w:t>OOOO</w:t>
      </w:r>
      <w:r w:rsidR="00D3643C">
        <w:rPr>
          <w:sz w:val="24"/>
          <w:szCs w:val="24"/>
        </w:rPr>
        <w:t>b</w:t>
      </w:r>
      <w:r w:rsidR="00C81471">
        <w:rPr>
          <w:sz w:val="24"/>
          <w:szCs w:val="24"/>
        </w:rPr>
        <w:t>, the</w:t>
      </w:r>
      <w:r w:rsidRPr="00911C8F">
        <w:rPr>
          <w:sz w:val="24"/>
          <w:szCs w:val="24"/>
        </w:rPr>
        <w:t xml:space="preserve"> </w:t>
      </w:r>
      <w:r w:rsidR="007F789C">
        <w:rPr>
          <w:sz w:val="24"/>
          <w:szCs w:val="24"/>
        </w:rPr>
        <w:t>EPA</w:t>
      </w:r>
      <w:r w:rsidRPr="00911C8F">
        <w:rPr>
          <w:sz w:val="24"/>
          <w:szCs w:val="24"/>
        </w:rPr>
        <w:t xml:space="preserve"> performed a comprehensive review of existing</w:t>
      </w:r>
      <w:r>
        <w:rPr>
          <w:sz w:val="24"/>
          <w:szCs w:val="24"/>
        </w:rPr>
        <w:t xml:space="preserve"> state rules and industry standards</w:t>
      </w:r>
      <w:r w:rsidRPr="00911C8F">
        <w:rPr>
          <w:sz w:val="24"/>
          <w:szCs w:val="24"/>
        </w:rPr>
        <w:t xml:space="preserve">, </w:t>
      </w:r>
      <w:r w:rsidR="003D39B0">
        <w:rPr>
          <w:sz w:val="24"/>
          <w:szCs w:val="24"/>
        </w:rPr>
        <w:t>consulted with</w:t>
      </w:r>
      <w:r w:rsidRPr="003D39B0" w:rsidR="003D39B0">
        <w:rPr>
          <w:sz w:val="24"/>
          <w:szCs w:val="24"/>
        </w:rPr>
        <w:t xml:space="preserve"> individual companies</w:t>
      </w:r>
      <w:r w:rsidR="001049BD">
        <w:rPr>
          <w:sz w:val="24"/>
          <w:szCs w:val="24"/>
        </w:rPr>
        <w:t xml:space="preserve"> and trade organizations</w:t>
      </w:r>
      <w:r w:rsidRPr="003D39B0" w:rsidR="003D39B0">
        <w:rPr>
          <w:sz w:val="24"/>
          <w:szCs w:val="24"/>
        </w:rPr>
        <w:t>, state agencies, and environmental groups</w:t>
      </w:r>
      <w:r w:rsidR="001049BD">
        <w:rPr>
          <w:sz w:val="24"/>
          <w:szCs w:val="24"/>
        </w:rPr>
        <w:t xml:space="preserve">, and consider public comments from </w:t>
      </w:r>
      <w:r w:rsidR="00962F8D">
        <w:rPr>
          <w:sz w:val="24"/>
          <w:szCs w:val="24"/>
        </w:rPr>
        <w:t>a variety of interests</w:t>
      </w:r>
      <w:r w:rsidR="00A37D95">
        <w:rPr>
          <w:sz w:val="24"/>
          <w:szCs w:val="24"/>
        </w:rPr>
        <w:t>.</w:t>
      </w:r>
      <w:r w:rsidR="003D39B0">
        <w:rPr>
          <w:sz w:val="24"/>
          <w:szCs w:val="24"/>
        </w:rPr>
        <w:t xml:space="preserve"> The main organizations </w:t>
      </w:r>
      <w:r w:rsidR="00053C9C">
        <w:rPr>
          <w:sz w:val="24"/>
          <w:szCs w:val="24"/>
        </w:rPr>
        <w:t>that</w:t>
      </w:r>
      <w:r w:rsidR="003D39B0">
        <w:rPr>
          <w:sz w:val="24"/>
          <w:szCs w:val="24"/>
        </w:rPr>
        <w:t xml:space="preserve"> provided expert advice during the development of this rule include </w:t>
      </w:r>
      <w:r w:rsidR="00FE2FF0">
        <w:rPr>
          <w:sz w:val="24"/>
          <w:szCs w:val="24"/>
        </w:rPr>
        <w:t>the Agency’s industry experts.</w:t>
      </w:r>
      <w:r w:rsidRPr="0073014D" w:rsidR="0073014D">
        <w:rPr>
          <w:sz w:val="24"/>
          <w:szCs w:val="24"/>
        </w:rPr>
        <w:t xml:space="preserve"> </w:t>
      </w:r>
    </w:p>
    <w:p w:rsidR="00907CBA" w:rsidP="0053748E" w14:paraId="449CFF3B" w14:textId="77777777">
      <w:pPr>
        <w:keepNext/>
        <w:widowControl/>
        <w:spacing w:after="240" w:line="360" w:lineRule="auto"/>
        <w:rPr>
          <w:i/>
          <w:iCs/>
          <w:sz w:val="24"/>
          <w:szCs w:val="24"/>
        </w:rPr>
      </w:pPr>
      <w:r>
        <w:rPr>
          <w:i/>
          <w:iCs/>
          <w:sz w:val="24"/>
          <w:szCs w:val="24"/>
        </w:rPr>
        <w:t>(d)</w:t>
      </w:r>
      <w:r>
        <w:rPr>
          <w:i/>
          <w:iCs/>
          <w:sz w:val="24"/>
          <w:szCs w:val="24"/>
        </w:rPr>
        <w:tab/>
        <w:t>Effects of Less Frequent Collection.</w:t>
      </w:r>
    </w:p>
    <w:p w:rsidR="00E87308" w:rsidP="0053748E" w14:paraId="55F84C41" w14:textId="3507FDBE">
      <w:pPr>
        <w:keepNext/>
        <w:widowControl/>
        <w:spacing w:after="240" w:line="360" w:lineRule="auto"/>
        <w:ind w:firstLine="720"/>
        <w:rPr>
          <w:sz w:val="24"/>
          <w:szCs w:val="24"/>
        </w:rPr>
      </w:pPr>
      <w:r>
        <w:rPr>
          <w:sz w:val="24"/>
          <w:szCs w:val="24"/>
        </w:rPr>
        <w:t xml:space="preserve">Respondents must monitor all specified criteria at each affected facility and maintain these records for </w:t>
      </w:r>
      <w:r w:rsidR="00736988">
        <w:rPr>
          <w:sz w:val="24"/>
          <w:szCs w:val="24"/>
        </w:rPr>
        <w:t>2</w:t>
      </w:r>
      <w:r w:rsidRPr="000865F3" w:rsidR="006313AA">
        <w:rPr>
          <w:sz w:val="24"/>
          <w:szCs w:val="24"/>
        </w:rPr>
        <w:t xml:space="preserve"> </w:t>
      </w:r>
      <w:r w:rsidRPr="000865F3" w:rsidR="00FE2FF0">
        <w:rPr>
          <w:sz w:val="24"/>
          <w:szCs w:val="24"/>
        </w:rPr>
        <w:t>years</w:t>
      </w:r>
      <w:r w:rsidR="002F5537">
        <w:rPr>
          <w:sz w:val="24"/>
          <w:szCs w:val="24"/>
        </w:rPr>
        <w:t>, as specified under 40 CFR 60.7</w:t>
      </w:r>
      <w:r w:rsidR="00FE2FF0">
        <w:rPr>
          <w:sz w:val="24"/>
          <w:szCs w:val="24"/>
        </w:rPr>
        <w:t>.</w:t>
      </w:r>
      <w:r>
        <w:rPr>
          <w:sz w:val="24"/>
          <w:szCs w:val="24"/>
        </w:rPr>
        <w:t xml:space="preserve"> </w:t>
      </w:r>
      <w:r w:rsidRPr="00E87308">
        <w:rPr>
          <w:sz w:val="24"/>
          <w:szCs w:val="24"/>
        </w:rPr>
        <w:t xml:space="preserve">The reporting frequency to </w:t>
      </w:r>
      <w:r w:rsidR="00F91139">
        <w:rPr>
          <w:sz w:val="24"/>
          <w:szCs w:val="24"/>
        </w:rPr>
        <w:t xml:space="preserve">the </w:t>
      </w:r>
      <w:r w:rsidR="007F789C">
        <w:rPr>
          <w:sz w:val="24"/>
          <w:szCs w:val="24"/>
        </w:rPr>
        <w:t>EPA</w:t>
      </w:r>
      <w:r w:rsidRPr="00E87308">
        <w:rPr>
          <w:sz w:val="24"/>
          <w:szCs w:val="24"/>
        </w:rPr>
        <w:t xml:space="preserve"> has been </w:t>
      </w:r>
      <w:r w:rsidR="005B5A7E">
        <w:rPr>
          <w:sz w:val="24"/>
          <w:szCs w:val="24"/>
        </w:rPr>
        <w:t>established/amended</w:t>
      </w:r>
      <w:r w:rsidR="00530E4D">
        <w:rPr>
          <w:sz w:val="24"/>
          <w:szCs w:val="24"/>
        </w:rPr>
        <w:t xml:space="preserve"> </w:t>
      </w:r>
      <w:r w:rsidRPr="00E87308">
        <w:rPr>
          <w:sz w:val="24"/>
          <w:szCs w:val="24"/>
        </w:rPr>
        <w:t>to minimize the burden on owners and ope</w:t>
      </w:r>
      <w:r w:rsidR="00516597">
        <w:rPr>
          <w:sz w:val="24"/>
          <w:szCs w:val="24"/>
        </w:rPr>
        <w:t>rators of affected facilities</w:t>
      </w:r>
      <w:r w:rsidR="005B5A7E">
        <w:rPr>
          <w:sz w:val="24"/>
          <w:szCs w:val="24"/>
        </w:rPr>
        <w:t xml:space="preserve">. If the </w:t>
      </w:r>
      <w:r w:rsidR="005B5A7E">
        <w:rPr>
          <w:sz w:val="24"/>
          <w:szCs w:val="24"/>
        </w:rPr>
        <w:t xml:space="preserve">information required by </w:t>
      </w:r>
      <w:r w:rsidR="00E14F01">
        <w:rPr>
          <w:sz w:val="24"/>
          <w:szCs w:val="24"/>
        </w:rPr>
        <w:t xml:space="preserve">NSPS </w:t>
      </w:r>
      <w:r w:rsidR="00E14F01">
        <w:rPr>
          <w:sz w:val="24"/>
          <w:szCs w:val="24"/>
        </w:rPr>
        <w:t>OOOO</w:t>
      </w:r>
      <w:r w:rsidR="00D25DE4">
        <w:rPr>
          <w:sz w:val="24"/>
          <w:szCs w:val="24"/>
        </w:rPr>
        <w:t>b</w:t>
      </w:r>
      <w:r w:rsidR="005B5A7E">
        <w:rPr>
          <w:sz w:val="24"/>
          <w:szCs w:val="24"/>
        </w:rPr>
        <w:t xml:space="preserve"> were collected less frequently, the likelihood of detecting violations would be reduced.</w:t>
      </w:r>
    </w:p>
    <w:p w:rsidR="00E87308" w:rsidRPr="00E87308" w:rsidP="0053748E" w14:paraId="319240F1" w14:textId="77777777">
      <w:pPr>
        <w:keepNext/>
        <w:keepLines/>
        <w:widowControl/>
        <w:spacing w:after="240" w:line="360" w:lineRule="auto"/>
        <w:rPr>
          <w:sz w:val="24"/>
          <w:szCs w:val="24"/>
        </w:rPr>
      </w:pPr>
      <w:r>
        <w:rPr>
          <w:i/>
          <w:iCs/>
          <w:sz w:val="24"/>
          <w:szCs w:val="24"/>
        </w:rPr>
        <w:t>(e)</w:t>
      </w:r>
      <w:r>
        <w:rPr>
          <w:i/>
          <w:iCs/>
          <w:sz w:val="24"/>
          <w:szCs w:val="24"/>
        </w:rPr>
        <w:tab/>
        <w:t>General Guidelines</w:t>
      </w:r>
      <w:r w:rsidRPr="00176615">
        <w:rPr>
          <w:i/>
          <w:sz w:val="24"/>
          <w:szCs w:val="24"/>
        </w:rPr>
        <w:t>.</w:t>
      </w:r>
      <w:r>
        <w:rPr>
          <w:sz w:val="24"/>
          <w:szCs w:val="24"/>
        </w:rPr>
        <w:t xml:space="preserve"> </w:t>
      </w:r>
    </w:p>
    <w:p w:rsidR="00F06160" w:rsidRPr="00F06160" w:rsidP="0053748E" w14:paraId="52D22388" w14:textId="5F58A30D">
      <w:pPr>
        <w:keepNext/>
        <w:keepLines/>
        <w:widowControl/>
        <w:spacing w:after="240" w:line="360" w:lineRule="auto"/>
        <w:ind w:firstLine="720"/>
        <w:rPr>
          <w:sz w:val="24"/>
          <w:szCs w:val="24"/>
        </w:rPr>
      </w:pPr>
      <w:r w:rsidRPr="00E87308">
        <w:rPr>
          <w:sz w:val="24"/>
          <w:szCs w:val="24"/>
        </w:rPr>
        <w:t xml:space="preserve">This collection of information is consistent with all OMB guidelines </w:t>
      </w:r>
      <w:r w:rsidRPr="00F06160">
        <w:rPr>
          <w:sz w:val="24"/>
          <w:szCs w:val="24"/>
        </w:rPr>
        <w:t>established by OMB at 5 CFR part 1320, section 1320.5.</w:t>
      </w:r>
    </w:p>
    <w:p w:rsidR="00B1351A" w:rsidP="0075527B" w14:paraId="62AA0B45" w14:textId="74192895">
      <w:pPr>
        <w:widowControl/>
        <w:spacing w:line="360" w:lineRule="auto"/>
        <w:rPr>
          <w:sz w:val="24"/>
          <w:szCs w:val="24"/>
        </w:rPr>
      </w:pPr>
      <w:r>
        <w:rPr>
          <w:i/>
          <w:iCs/>
          <w:sz w:val="24"/>
          <w:szCs w:val="24"/>
        </w:rPr>
        <w:t>(f)</w:t>
      </w:r>
      <w:r>
        <w:rPr>
          <w:i/>
          <w:iCs/>
          <w:sz w:val="24"/>
          <w:szCs w:val="24"/>
        </w:rPr>
        <w:tab/>
        <w:t>Confidentiality.</w:t>
      </w:r>
    </w:p>
    <w:p w:rsidR="00B1351A" w:rsidP="0053748E" w14:paraId="307F415D" w14:textId="1D26F859">
      <w:pPr>
        <w:widowControl/>
        <w:spacing w:after="240" w:line="360" w:lineRule="auto"/>
        <w:rPr>
          <w:i/>
          <w:iCs/>
          <w:sz w:val="24"/>
          <w:szCs w:val="24"/>
        </w:rPr>
      </w:pPr>
      <w:r>
        <w:rPr>
          <w:sz w:val="24"/>
          <w:szCs w:val="24"/>
        </w:rPr>
        <w:tab/>
        <w:t xml:space="preserve">All information submitted to the Agency for which a claim of confidentiality is made will be safeguarded according to </w:t>
      </w:r>
      <w:r w:rsidR="008F1FCA">
        <w:rPr>
          <w:sz w:val="24"/>
          <w:szCs w:val="24"/>
        </w:rPr>
        <w:t xml:space="preserve">the </w:t>
      </w:r>
      <w:r w:rsidR="007F789C">
        <w:rPr>
          <w:sz w:val="24"/>
          <w:szCs w:val="24"/>
        </w:rPr>
        <w:t>EPA</w:t>
      </w:r>
      <w:r w:rsidR="00FA5EAA">
        <w:rPr>
          <w:sz w:val="24"/>
          <w:szCs w:val="24"/>
        </w:rPr>
        <w:t xml:space="preserve"> regulations set forth in 40 CFR 2.201 et seq., Chapter 1, Part 2, Subpart B-Confidentiality of Business Information.</w:t>
      </w:r>
      <w:r>
        <w:rPr>
          <w:sz w:val="24"/>
          <w:szCs w:val="24"/>
        </w:rPr>
        <w:t xml:space="preserve"> </w:t>
      </w:r>
    </w:p>
    <w:p w:rsidR="00B1351A" w:rsidP="0053748E" w14:paraId="1CFB6AD3" w14:textId="31650BA3">
      <w:pPr>
        <w:keepNext/>
        <w:widowControl/>
        <w:spacing w:after="240" w:line="360" w:lineRule="auto"/>
        <w:rPr>
          <w:sz w:val="24"/>
          <w:szCs w:val="24"/>
        </w:rPr>
      </w:pPr>
      <w:r>
        <w:rPr>
          <w:i/>
          <w:iCs/>
          <w:sz w:val="24"/>
          <w:szCs w:val="24"/>
        </w:rPr>
        <w:t>(g)</w:t>
      </w:r>
      <w:r w:rsidR="00DC4234">
        <w:rPr>
          <w:i/>
          <w:iCs/>
          <w:sz w:val="24"/>
          <w:szCs w:val="24"/>
        </w:rPr>
        <w:tab/>
      </w:r>
      <w:r>
        <w:rPr>
          <w:i/>
          <w:iCs/>
          <w:sz w:val="24"/>
          <w:szCs w:val="24"/>
        </w:rPr>
        <w:t>Sensitive Questions</w:t>
      </w:r>
      <w:r w:rsidR="00275D51">
        <w:rPr>
          <w:i/>
          <w:iCs/>
          <w:sz w:val="24"/>
          <w:szCs w:val="24"/>
        </w:rPr>
        <w:t xml:space="preserve">. </w:t>
      </w:r>
    </w:p>
    <w:p w:rsidR="004107C1" w:rsidRPr="00626A54" w:rsidP="0075527B" w14:paraId="743DD28D" w14:textId="77777777">
      <w:pPr>
        <w:keepNext/>
        <w:widowControl/>
        <w:spacing w:line="360" w:lineRule="auto"/>
        <w:rPr>
          <w:sz w:val="24"/>
          <w:szCs w:val="24"/>
        </w:rPr>
      </w:pPr>
      <w:r>
        <w:rPr>
          <w:sz w:val="24"/>
          <w:szCs w:val="24"/>
        </w:rPr>
        <w:tab/>
        <w:t>This section is not applicable because this ICR does not involve matters of a sensitive nature.</w:t>
      </w:r>
    </w:p>
    <w:p w:rsidR="00B1351A" w:rsidP="0053748E" w14:paraId="02C36A61" w14:textId="77777777">
      <w:pPr>
        <w:keepNext/>
        <w:widowControl/>
        <w:tabs>
          <w:tab w:val="left" w:pos="720"/>
        </w:tabs>
        <w:spacing w:after="240" w:line="360" w:lineRule="auto"/>
        <w:rPr>
          <w:sz w:val="24"/>
          <w:szCs w:val="24"/>
        </w:rPr>
      </w:pPr>
      <w:r>
        <w:rPr>
          <w:b/>
          <w:bCs/>
          <w:sz w:val="24"/>
          <w:szCs w:val="24"/>
        </w:rPr>
        <w:t>4.</w:t>
      </w:r>
      <w:r>
        <w:rPr>
          <w:b/>
          <w:bCs/>
          <w:sz w:val="24"/>
          <w:szCs w:val="24"/>
        </w:rPr>
        <w:tab/>
        <w:t>The Respondents and the Information Requested</w:t>
      </w:r>
    </w:p>
    <w:p w:rsidR="00B1351A" w:rsidP="0053748E" w14:paraId="1DD4C828" w14:textId="77777777">
      <w:pPr>
        <w:keepNext/>
        <w:widowControl/>
        <w:tabs>
          <w:tab w:val="left" w:pos="720"/>
        </w:tabs>
        <w:spacing w:after="240" w:line="360" w:lineRule="auto"/>
        <w:ind w:left="720" w:hanging="720"/>
        <w:rPr>
          <w:i/>
          <w:sz w:val="24"/>
          <w:szCs w:val="24"/>
        </w:rPr>
      </w:pPr>
      <w:r>
        <w:rPr>
          <w:i/>
          <w:iCs/>
          <w:sz w:val="24"/>
          <w:szCs w:val="24"/>
        </w:rPr>
        <w:t>(a)</w:t>
      </w:r>
      <w:r>
        <w:rPr>
          <w:i/>
          <w:iCs/>
          <w:sz w:val="24"/>
          <w:szCs w:val="24"/>
        </w:rPr>
        <w:tab/>
        <w:t>Respondents/NAIC</w:t>
      </w:r>
      <w:r w:rsidR="007D11A4">
        <w:rPr>
          <w:i/>
          <w:iCs/>
          <w:sz w:val="24"/>
          <w:szCs w:val="24"/>
        </w:rPr>
        <w:t>S</w:t>
      </w:r>
      <w:r>
        <w:rPr>
          <w:i/>
          <w:iCs/>
          <w:sz w:val="24"/>
          <w:szCs w:val="24"/>
        </w:rPr>
        <w:t xml:space="preserve"> Codes</w:t>
      </w:r>
      <w:r w:rsidRPr="00CF2BC1">
        <w:rPr>
          <w:i/>
          <w:sz w:val="24"/>
          <w:szCs w:val="24"/>
        </w:rPr>
        <w:t>.</w:t>
      </w:r>
    </w:p>
    <w:p w:rsidR="00F42ECB" w:rsidP="007C5378" w14:paraId="205FF36D" w14:textId="0F32F72E">
      <w:pPr>
        <w:spacing w:line="360" w:lineRule="auto"/>
        <w:ind w:firstLine="720"/>
        <w:rPr>
          <w:sz w:val="24"/>
          <w:szCs w:val="24"/>
        </w:rPr>
      </w:pPr>
      <w:r w:rsidRPr="00E52FAC">
        <w:rPr>
          <w:sz w:val="24"/>
          <w:szCs w:val="24"/>
        </w:rPr>
        <w:t xml:space="preserve">Potential respondents under NSPS </w:t>
      </w:r>
      <w:r w:rsidRPr="00E52FAC">
        <w:rPr>
          <w:sz w:val="24"/>
          <w:szCs w:val="24"/>
        </w:rPr>
        <w:t>OOOO</w:t>
      </w:r>
      <w:r w:rsidR="00D25DE4">
        <w:rPr>
          <w:sz w:val="24"/>
          <w:szCs w:val="24"/>
        </w:rPr>
        <w:t>b</w:t>
      </w:r>
      <w:r w:rsidRPr="00E52FAC">
        <w:rPr>
          <w:sz w:val="24"/>
          <w:szCs w:val="24"/>
        </w:rPr>
        <w:t xml:space="preserve"> are owners or operators of new, </w:t>
      </w:r>
      <w:r w:rsidRPr="00E52FAC">
        <w:rPr>
          <w:sz w:val="24"/>
          <w:szCs w:val="24"/>
        </w:rPr>
        <w:t>modified</w:t>
      </w:r>
      <w:r w:rsidRPr="00E52FAC">
        <w:rPr>
          <w:sz w:val="24"/>
          <w:szCs w:val="24"/>
        </w:rPr>
        <w:t xml:space="preserve"> or reconstructed oil and natural gas affected facilities as defined under the rule</w:t>
      </w:r>
      <w:r w:rsidR="004F423B">
        <w:rPr>
          <w:sz w:val="24"/>
          <w:szCs w:val="24"/>
        </w:rPr>
        <w:t xml:space="preserve"> and third-</w:t>
      </w:r>
      <w:r w:rsidR="00CF7F7D">
        <w:rPr>
          <w:sz w:val="24"/>
          <w:szCs w:val="24"/>
        </w:rPr>
        <w:t xml:space="preserve">party </w:t>
      </w:r>
      <w:r w:rsidR="004F423B">
        <w:rPr>
          <w:sz w:val="24"/>
          <w:szCs w:val="24"/>
        </w:rPr>
        <w:t>entities that are interested in applying for certification as a notifier of super-emitter emissions events</w:t>
      </w:r>
      <w:r w:rsidRPr="00E52FAC">
        <w:rPr>
          <w:sz w:val="24"/>
          <w:szCs w:val="24"/>
        </w:rPr>
        <w:t>. The North American Industry Classification System (NAICS) codes for the oil and gas industry include: 211120 (Crude</w:t>
      </w:r>
      <w:r w:rsidR="007C5378">
        <w:rPr>
          <w:sz w:val="24"/>
          <w:szCs w:val="24"/>
        </w:rPr>
        <w:t xml:space="preserve"> </w:t>
      </w:r>
      <w:r w:rsidRPr="00E52FAC">
        <w:rPr>
          <w:sz w:val="24"/>
          <w:szCs w:val="24"/>
        </w:rPr>
        <w:t xml:space="preserve">Petroleum Extraction); 211130 (Natural Gas Extraction); 221210 (Natural Gas Distribution); 486110 (Pipeline Distribution of Crude Oil); </w:t>
      </w:r>
      <w:r w:rsidR="007C5378">
        <w:rPr>
          <w:sz w:val="24"/>
          <w:szCs w:val="24"/>
        </w:rPr>
        <w:t xml:space="preserve">and </w:t>
      </w:r>
      <w:r w:rsidRPr="00E52FAC">
        <w:rPr>
          <w:sz w:val="24"/>
          <w:szCs w:val="24"/>
        </w:rPr>
        <w:t xml:space="preserve">486210 (Pipeline Transportation of Natural Gas).  </w:t>
      </w:r>
    </w:p>
    <w:p w:rsidR="00B1351A" w:rsidP="00162DA8" w14:paraId="76DC9AC8" w14:textId="48297925">
      <w:pPr>
        <w:keepNext/>
        <w:widowControl/>
        <w:spacing w:line="360" w:lineRule="auto"/>
        <w:rPr>
          <w:sz w:val="24"/>
          <w:szCs w:val="24"/>
        </w:rPr>
      </w:pPr>
      <w:r>
        <w:rPr>
          <w:i/>
          <w:iCs/>
          <w:sz w:val="24"/>
          <w:szCs w:val="24"/>
        </w:rPr>
        <w:t>(b)</w:t>
      </w:r>
      <w:r>
        <w:rPr>
          <w:i/>
          <w:iCs/>
          <w:sz w:val="24"/>
          <w:szCs w:val="24"/>
        </w:rPr>
        <w:tab/>
      </w:r>
      <w:r>
        <w:rPr>
          <w:i/>
          <w:iCs/>
          <w:sz w:val="24"/>
          <w:szCs w:val="24"/>
        </w:rPr>
        <w:t>Information Requested.</w:t>
      </w:r>
    </w:p>
    <w:p w:rsidR="00B1351A" w:rsidP="00162DA8" w14:paraId="082ADF06" w14:textId="44F38060">
      <w:pPr>
        <w:keepNext/>
        <w:widowControl/>
        <w:spacing w:line="360" w:lineRule="auto"/>
        <w:rPr>
          <w:i/>
          <w:iCs/>
          <w:sz w:val="24"/>
          <w:szCs w:val="24"/>
        </w:rPr>
      </w:pPr>
      <w:r w:rsidRPr="006761F0">
        <w:rPr>
          <w:i/>
          <w:iCs/>
          <w:sz w:val="24"/>
          <w:szCs w:val="24"/>
        </w:rPr>
        <w:t>(</w:t>
      </w:r>
      <w:r w:rsidRPr="006761F0">
        <w:rPr>
          <w:i/>
          <w:iCs/>
          <w:sz w:val="24"/>
          <w:szCs w:val="24"/>
        </w:rPr>
        <w:t>i</w:t>
      </w:r>
      <w:r w:rsidRPr="006761F0">
        <w:rPr>
          <w:i/>
          <w:iCs/>
          <w:sz w:val="24"/>
          <w:szCs w:val="24"/>
        </w:rPr>
        <w:t>)</w:t>
      </w:r>
      <w:r w:rsidR="00270646">
        <w:rPr>
          <w:i/>
          <w:iCs/>
          <w:sz w:val="24"/>
          <w:szCs w:val="24"/>
        </w:rPr>
        <w:tab/>
      </w:r>
      <w:r w:rsidRPr="006761F0">
        <w:rPr>
          <w:i/>
          <w:iCs/>
          <w:sz w:val="24"/>
          <w:szCs w:val="24"/>
        </w:rPr>
        <w:t>Data Items, Including Recordkeeping Requirements</w:t>
      </w:r>
      <w:r>
        <w:rPr>
          <w:rStyle w:val="FootnoteReference"/>
          <w:b/>
          <w:bCs/>
          <w:sz w:val="16"/>
          <w:szCs w:val="16"/>
        </w:rPr>
        <w:footnoteReference w:id="4"/>
      </w:r>
    </w:p>
    <w:tbl>
      <w:tblPr>
        <w:tblW w:w="5688" w:type="pct"/>
        <w:tblInd w:w="-635" w:type="dxa"/>
        <w:tblLook w:val="04A0"/>
      </w:tblPr>
      <w:tblGrid>
        <w:gridCol w:w="7403"/>
        <w:gridCol w:w="3397"/>
      </w:tblGrid>
      <w:tr w14:paraId="78E5A05A" w14:textId="77777777" w:rsidTr="00272020">
        <w:tblPrEx>
          <w:tblW w:w="5688" w:type="pct"/>
          <w:tblInd w:w="-635" w:type="dxa"/>
          <w:tblLook w:val="04A0"/>
        </w:tblPrEx>
        <w:trPr>
          <w:cantSplit/>
          <w:trHeight w:val="315"/>
          <w:tblHeader/>
        </w:trPr>
        <w:tc>
          <w:tcPr>
            <w:tcW w:w="10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77AE" w:rsidRPr="00272020" w:rsidP="006377AE" w14:paraId="63F99568" w14:textId="5C64D089">
            <w:pPr>
              <w:keepNext/>
              <w:widowControl/>
              <w:autoSpaceDE/>
              <w:autoSpaceDN/>
              <w:adjustRightInd/>
              <w:jc w:val="center"/>
              <w:rPr>
                <w:b/>
                <w:bCs/>
                <w:sz w:val="16"/>
                <w:szCs w:val="16"/>
              </w:rPr>
            </w:pPr>
            <w:r w:rsidRPr="00272020">
              <w:rPr>
                <w:b/>
                <w:bCs/>
                <w:sz w:val="16"/>
                <w:szCs w:val="16"/>
              </w:rPr>
              <w:t>Recordkeeping</w:t>
            </w:r>
          </w:p>
        </w:tc>
      </w:tr>
      <w:tr w14:paraId="2DC44E3B" w14:textId="77777777" w:rsidTr="00E4510C">
        <w:tblPrEx>
          <w:tblW w:w="5688" w:type="pct"/>
          <w:tblInd w:w="-635" w:type="dxa"/>
          <w:tblLook w:val="04A0"/>
        </w:tblPrEx>
        <w:trPr>
          <w:trHeight w:val="630"/>
        </w:trPr>
        <w:tc>
          <w:tcPr>
            <w:tcW w:w="7403" w:type="dxa"/>
            <w:tcBorders>
              <w:top w:val="nil"/>
              <w:left w:val="single" w:sz="4" w:space="0" w:color="auto"/>
              <w:bottom w:val="single" w:sz="4" w:space="0" w:color="auto"/>
              <w:right w:val="single" w:sz="4" w:space="0" w:color="auto"/>
            </w:tcBorders>
            <w:shd w:val="clear" w:color="auto" w:fill="auto"/>
            <w:vAlign w:val="center"/>
          </w:tcPr>
          <w:p w:rsidR="004F423B" w:rsidRPr="00272020" w:rsidP="00BF34EF" w14:paraId="08A5C8B0" w14:textId="1177F243">
            <w:pPr>
              <w:keepNext/>
              <w:widowControl/>
              <w:autoSpaceDE/>
              <w:autoSpaceDN/>
              <w:adjustRightInd/>
              <w:rPr>
                <w:sz w:val="16"/>
                <w:szCs w:val="16"/>
              </w:rPr>
            </w:pPr>
            <w:r>
              <w:rPr>
                <w:sz w:val="16"/>
                <w:szCs w:val="16"/>
              </w:rPr>
              <w:t xml:space="preserve">For super-emitter emissions events, notification of event, </w:t>
            </w:r>
            <w:r>
              <w:rPr>
                <w:sz w:val="16"/>
                <w:szCs w:val="16"/>
              </w:rPr>
              <w:t>date</w:t>
            </w:r>
            <w:r>
              <w:rPr>
                <w:sz w:val="16"/>
                <w:szCs w:val="16"/>
              </w:rPr>
              <w:t xml:space="preserve"> and results of inspections to identify the source of emissions, and description of corrective actions.</w:t>
            </w:r>
          </w:p>
        </w:tc>
        <w:tc>
          <w:tcPr>
            <w:tcW w:w="3397" w:type="dxa"/>
            <w:tcBorders>
              <w:top w:val="nil"/>
              <w:left w:val="single" w:sz="4" w:space="0" w:color="auto"/>
              <w:bottom w:val="single" w:sz="4" w:space="0" w:color="auto"/>
              <w:right w:val="single" w:sz="4" w:space="0" w:color="auto"/>
            </w:tcBorders>
            <w:shd w:val="clear" w:color="auto" w:fill="auto"/>
            <w:vAlign w:val="center"/>
          </w:tcPr>
          <w:p w:rsidR="004F423B" w:rsidRPr="00272020" w:rsidP="00BF34EF" w14:paraId="5B10C78D" w14:textId="32985E40">
            <w:pPr>
              <w:keepNext/>
              <w:widowControl/>
              <w:autoSpaceDE/>
              <w:autoSpaceDN/>
              <w:adjustRightInd/>
              <w:rPr>
                <w:sz w:val="16"/>
                <w:szCs w:val="16"/>
              </w:rPr>
            </w:pPr>
            <w:r w:rsidRPr="00272020">
              <w:rPr>
                <w:sz w:val="16"/>
                <w:szCs w:val="16"/>
              </w:rPr>
              <w:t>§60.537</w:t>
            </w:r>
            <w:r>
              <w:rPr>
                <w:sz w:val="16"/>
                <w:szCs w:val="16"/>
              </w:rPr>
              <w:t>1</w:t>
            </w:r>
            <w:r w:rsidRPr="00272020">
              <w:rPr>
                <w:sz w:val="16"/>
                <w:szCs w:val="16"/>
              </w:rPr>
              <w:t>b(</w:t>
            </w:r>
            <w:r>
              <w:rPr>
                <w:sz w:val="16"/>
                <w:szCs w:val="16"/>
              </w:rPr>
              <w:t>c</w:t>
            </w:r>
            <w:r w:rsidRPr="00272020">
              <w:rPr>
                <w:sz w:val="16"/>
                <w:szCs w:val="16"/>
              </w:rPr>
              <w:t>)</w:t>
            </w:r>
            <w:r>
              <w:rPr>
                <w:sz w:val="16"/>
                <w:szCs w:val="16"/>
              </w:rPr>
              <w:t>, (d), (e)</w:t>
            </w:r>
          </w:p>
        </w:tc>
      </w:tr>
      <w:tr w14:paraId="674C1149" w14:textId="77777777" w:rsidTr="00E4510C">
        <w:tblPrEx>
          <w:tblW w:w="5688" w:type="pct"/>
          <w:tblInd w:w="-635" w:type="dxa"/>
          <w:tblLook w:val="04A0"/>
        </w:tblPrEx>
        <w:trPr>
          <w:trHeight w:val="630"/>
        </w:trPr>
        <w:tc>
          <w:tcPr>
            <w:tcW w:w="7403" w:type="dxa"/>
            <w:tcBorders>
              <w:top w:val="nil"/>
              <w:left w:val="single" w:sz="4" w:space="0" w:color="auto"/>
              <w:bottom w:val="single" w:sz="4" w:space="0" w:color="auto"/>
              <w:right w:val="single" w:sz="4" w:space="0" w:color="auto"/>
            </w:tcBorders>
            <w:shd w:val="clear" w:color="auto" w:fill="auto"/>
            <w:vAlign w:val="center"/>
            <w:hideMark/>
          </w:tcPr>
          <w:p w:rsidR="008461F2" w:rsidRPr="00272020" w:rsidP="00BF34EF" w14:paraId="1C459A47" w14:textId="77777777">
            <w:pPr>
              <w:keepNext/>
              <w:widowControl/>
              <w:autoSpaceDE/>
              <w:autoSpaceDN/>
              <w:adjustRightInd/>
              <w:rPr>
                <w:sz w:val="16"/>
                <w:szCs w:val="16"/>
              </w:rPr>
            </w:pPr>
            <w:r w:rsidRPr="00272020">
              <w:rPr>
                <w:sz w:val="16"/>
                <w:szCs w:val="16"/>
              </w:rPr>
              <w:t>For well affected facilities, record location and well identification information. Maintain completion log records for each completion operation. For wells exempt from one or more requirements, maintain records to support exemption.</w:t>
            </w:r>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353C59C1" w14:textId="15F948EA">
            <w:pPr>
              <w:keepNext/>
              <w:widowControl/>
              <w:autoSpaceDE/>
              <w:autoSpaceDN/>
              <w:adjustRightInd/>
              <w:rPr>
                <w:sz w:val="16"/>
                <w:szCs w:val="16"/>
              </w:rPr>
            </w:pPr>
            <w:r w:rsidRPr="00272020">
              <w:rPr>
                <w:sz w:val="16"/>
                <w:szCs w:val="16"/>
              </w:rPr>
              <w:t>§</w:t>
            </w:r>
            <w:r w:rsidRPr="00272020">
              <w:rPr>
                <w:sz w:val="16"/>
                <w:szCs w:val="16"/>
              </w:rPr>
              <w:t>60.5375</w:t>
            </w:r>
            <w:r w:rsidRPr="00272020" w:rsidR="00A172E6">
              <w:rPr>
                <w:sz w:val="16"/>
                <w:szCs w:val="16"/>
              </w:rPr>
              <w:t>b</w:t>
            </w:r>
            <w:r w:rsidRPr="00272020">
              <w:rPr>
                <w:sz w:val="16"/>
                <w:szCs w:val="16"/>
              </w:rPr>
              <w:t xml:space="preserve">(b); </w:t>
            </w:r>
            <w:r w:rsidRPr="00272020">
              <w:rPr>
                <w:sz w:val="16"/>
                <w:szCs w:val="16"/>
              </w:rPr>
              <w:t>§</w:t>
            </w:r>
            <w:r w:rsidRPr="00272020">
              <w:rPr>
                <w:sz w:val="16"/>
                <w:szCs w:val="16"/>
              </w:rPr>
              <w:t>60.5410</w:t>
            </w:r>
            <w:r w:rsidRPr="00272020" w:rsidR="005C7492">
              <w:rPr>
                <w:sz w:val="16"/>
                <w:szCs w:val="16"/>
              </w:rPr>
              <w:t>b</w:t>
            </w:r>
            <w:r w:rsidRPr="00272020">
              <w:rPr>
                <w:sz w:val="16"/>
                <w:szCs w:val="16"/>
              </w:rPr>
              <w:t xml:space="preserve">(a); </w:t>
            </w:r>
            <w:r w:rsidRPr="00272020">
              <w:rPr>
                <w:sz w:val="16"/>
                <w:szCs w:val="16"/>
              </w:rPr>
              <w:t>§</w:t>
            </w:r>
            <w:r w:rsidRPr="00272020">
              <w:rPr>
                <w:sz w:val="16"/>
                <w:szCs w:val="16"/>
              </w:rPr>
              <w:t>60.5415</w:t>
            </w:r>
            <w:r w:rsidRPr="00272020" w:rsidR="00AA0F6F">
              <w:rPr>
                <w:sz w:val="16"/>
                <w:szCs w:val="16"/>
              </w:rPr>
              <w:t>b</w:t>
            </w:r>
            <w:r w:rsidRPr="00272020" w:rsidR="00354D74">
              <w:rPr>
                <w:sz w:val="16"/>
                <w:szCs w:val="16"/>
              </w:rPr>
              <w:t>(</w:t>
            </w:r>
            <w:r w:rsidRPr="00272020">
              <w:rPr>
                <w:sz w:val="16"/>
                <w:szCs w:val="16"/>
              </w:rPr>
              <w:t xml:space="preserve">a); </w:t>
            </w:r>
            <w:r w:rsidRPr="00272020">
              <w:rPr>
                <w:sz w:val="16"/>
                <w:szCs w:val="16"/>
              </w:rPr>
              <w:t>§</w:t>
            </w:r>
            <w:r w:rsidRPr="00272020">
              <w:rPr>
                <w:sz w:val="16"/>
                <w:szCs w:val="16"/>
              </w:rPr>
              <w:t>60.5420</w:t>
            </w:r>
            <w:r w:rsidRPr="00272020" w:rsidR="00354D74">
              <w:rPr>
                <w:sz w:val="16"/>
                <w:szCs w:val="16"/>
              </w:rPr>
              <w:t>b(</w:t>
            </w:r>
            <w:r w:rsidRPr="00272020">
              <w:rPr>
                <w:sz w:val="16"/>
                <w:szCs w:val="16"/>
              </w:rPr>
              <w:t>c)(1)</w:t>
            </w:r>
          </w:p>
        </w:tc>
      </w:tr>
      <w:tr w14:paraId="4D5FF835" w14:textId="77777777" w:rsidTr="00F70213">
        <w:tblPrEx>
          <w:tblW w:w="5688" w:type="pct"/>
          <w:tblInd w:w="-635" w:type="dxa"/>
          <w:tblLook w:val="04A0"/>
        </w:tblPrEx>
        <w:trPr>
          <w:trHeight w:val="314"/>
        </w:trPr>
        <w:tc>
          <w:tcPr>
            <w:tcW w:w="7403"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6C4004FE" w14:textId="2368296C">
            <w:pPr>
              <w:keepNext/>
              <w:widowControl/>
              <w:autoSpaceDE/>
              <w:autoSpaceDN/>
              <w:adjustRightInd/>
              <w:rPr>
                <w:sz w:val="16"/>
                <w:szCs w:val="16"/>
              </w:rPr>
            </w:pPr>
            <w:r w:rsidRPr="00272020">
              <w:rPr>
                <w:sz w:val="16"/>
                <w:szCs w:val="16"/>
              </w:rPr>
              <w:t xml:space="preserve">For well affected facilities with </w:t>
            </w:r>
            <w:r w:rsidRPr="00272020" w:rsidR="001F0017">
              <w:rPr>
                <w:sz w:val="16"/>
                <w:szCs w:val="16"/>
              </w:rPr>
              <w:t>≤</w:t>
            </w:r>
            <w:r w:rsidRPr="00272020">
              <w:rPr>
                <w:sz w:val="16"/>
                <w:szCs w:val="16"/>
              </w:rPr>
              <w:t xml:space="preserve">300 </w:t>
            </w:r>
            <w:r w:rsidRPr="00272020">
              <w:rPr>
                <w:sz w:val="16"/>
                <w:szCs w:val="16"/>
              </w:rPr>
              <w:t>scf</w:t>
            </w:r>
            <w:r w:rsidRPr="00272020">
              <w:rPr>
                <w:sz w:val="16"/>
                <w:szCs w:val="16"/>
              </w:rPr>
              <w:t xml:space="preserve"> of gas per stock tank barrel of oil produced, keep records to demonstrate exemption.</w:t>
            </w:r>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6F0C7E8E" w14:textId="63D26430">
            <w:pPr>
              <w:keepNext/>
              <w:widowControl/>
              <w:autoSpaceDE/>
              <w:autoSpaceDN/>
              <w:adjustRightInd/>
              <w:rPr>
                <w:sz w:val="16"/>
                <w:szCs w:val="16"/>
              </w:rPr>
            </w:pPr>
            <w:r w:rsidRPr="00272020">
              <w:rPr>
                <w:sz w:val="16"/>
                <w:szCs w:val="16"/>
              </w:rPr>
              <w:t>§</w:t>
            </w:r>
            <w:r w:rsidRPr="00272020">
              <w:rPr>
                <w:sz w:val="16"/>
                <w:szCs w:val="16"/>
              </w:rPr>
              <w:t>60.5375</w:t>
            </w:r>
            <w:r w:rsidRPr="00272020" w:rsidR="00354D74">
              <w:rPr>
                <w:sz w:val="16"/>
                <w:szCs w:val="16"/>
              </w:rPr>
              <w:t>b(</w:t>
            </w:r>
            <w:r w:rsidRPr="00272020">
              <w:rPr>
                <w:sz w:val="16"/>
                <w:szCs w:val="16"/>
              </w:rPr>
              <w:t>g)(</w:t>
            </w:r>
            <w:r w:rsidRPr="00272020" w:rsidR="00B6439F">
              <w:rPr>
                <w:sz w:val="16"/>
                <w:szCs w:val="16"/>
              </w:rPr>
              <w:t>1</w:t>
            </w:r>
            <w:r w:rsidRPr="00272020">
              <w:rPr>
                <w:sz w:val="16"/>
                <w:szCs w:val="16"/>
              </w:rPr>
              <w:t xml:space="preserve">); </w:t>
            </w:r>
            <w:r w:rsidRPr="00272020">
              <w:rPr>
                <w:sz w:val="16"/>
                <w:szCs w:val="16"/>
              </w:rPr>
              <w:t>§</w:t>
            </w:r>
            <w:r w:rsidRPr="00272020">
              <w:rPr>
                <w:sz w:val="16"/>
                <w:szCs w:val="16"/>
              </w:rPr>
              <w:t>60.5420</w:t>
            </w:r>
            <w:r w:rsidRPr="00272020" w:rsidR="00354D74">
              <w:rPr>
                <w:sz w:val="16"/>
                <w:szCs w:val="16"/>
              </w:rPr>
              <w:t>b(</w:t>
            </w:r>
            <w:r w:rsidRPr="00272020">
              <w:rPr>
                <w:sz w:val="16"/>
                <w:szCs w:val="16"/>
              </w:rPr>
              <w:t>c)(1)(vi).</w:t>
            </w:r>
          </w:p>
        </w:tc>
      </w:tr>
      <w:tr w14:paraId="6228FD6C" w14:textId="77777777" w:rsidTr="00E4510C">
        <w:tblPrEx>
          <w:tblW w:w="5688" w:type="pct"/>
          <w:tblInd w:w="-635" w:type="dxa"/>
          <w:tblLook w:val="04A0"/>
        </w:tblPrEx>
        <w:trPr>
          <w:trHeight w:val="630"/>
        </w:trPr>
        <w:tc>
          <w:tcPr>
            <w:tcW w:w="7403" w:type="dxa"/>
            <w:tcBorders>
              <w:top w:val="nil"/>
              <w:left w:val="single" w:sz="4" w:space="0" w:color="auto"/>
              <w:bottom w:val="single" w:sz="4" w:space="0" w:color="auto"/>
              <w:right w:val="single" w:sz="4" w:space="0" w:color="auto"/>
            </w:tcBorders>
            <w:shd w:val="clear" w:color="auto" w:fill="auto"/>
            <w:vAlign w:val="center"/>
          </w:tcPr>
          <w:p w:rsidR="00CA7CC2" w:rsidRPr="00272020" w:rsidP="00272020" w14:paraId="751AB9C1" w14:textId="271FC29F">
            <w:pPr>
              <w:rPr>
                <w:sz w:val="16"/>
                <w:szCs w:val="16"/>
              </w:rPr>
            </w:pPr>
            <w:r w:rsidRPr="00272020">
              <w:rPr>
                <w:sz w:val="16"/>
                <w:szCs w:val="16"/>
              </w:rPr>
              <w:t>For gas well liquids unloading</w:t>
            </w:r>
            <w:r w:rsidRPr="00272020" w:rsidR="005B2391">
              <w:rPr>
                <w:sz w:val="16"/>
                <w:szCs w:val="16"/>
              </w:rPr>
              <w:t xml:space="preserve">, </w:t>
            </w:r>
            <w:r w:rsidRPr="00272020" w:rsidR="00652898">
              <w:rPr>
                <w:sz w:val="16"/>
                <w:szCs w:val="16"/>
              </w:rPr>
              <w:t xml:space="preserve">maintain </w:t>
            </w:r>
            <w:r w:rsidRPr="00272020" w:rsidR="005B2391">
              <w:rPr>
                <w:sz w:val="16"/>
                <w:szCs w:val="16"/>
              </w:rPr>
              <w:t xml:space="preserve">records </w:t>
            </w:r>
            <w:r w:rsidRPr="00272020" w:rsidR="00652898">
              <w:rPr>
                <w:sz w:val="16"/>
                <w:szCs w:val="16"/>
              </w:rPr>
              <w:t xml:space="preserve">of </w:t>
            </w:r>
            <w:r w:rsidRPr="00272020">
              <w:rPr>
                <w:sz w:val="16"/>
                <w:szCs w:val="16"/>
              </w:rPr>
              <w:t xml:space="preserve">each </w:t>
            </w:r>
            <w:r w:rsidRPr="00272020">
              <w:rPr>
                <w:sz w:val="16"/>
                <w:szCs w:val="16"/>
              </w:rPr>
              <w:t xml:space="preserve">gas </w:t>
            </w:r>
            <w:r w:rsidRPr="00272020">
              <w:rPr>
                <w:sz w:val="16"/>
                <w:szCs w:val="16"/>
              </w:rPr>
              <w:t xml:space="preserve">well liquids unloading </w:t>
            </w:r>
            <w:r w:rsidRPr="00272020">
              <w:rPr>
                <w:sz w:val="16"/>
                <w:szCs w:val="16"/>
              </w:rPr>
              <w:t>operation</w:t>
            </w:r>
            <w:r w:rsidRPr="00272020">
              <w:rPr>
                <w:sz w:val="16"/>
                <w:szCs w:val="16"/>
              </w:rPr>
              <w:t xml:space="preserve"> conducted</w:t>
            </w:r>
            <w:r w:rsidRPr="00272020">
              <w:rPr>
                <w:sz w:val="16"/>
                <w:szCs w:val="16"/>
              </w:rPr>
              <w:t>.</w:t>
            </w:r>
            <w:r w:rsidRPr="00272020" w:rsidR="0074502E">
              <w:rPr>
                <w:sz w:val="16"/>
                <w:szCs w:val="16"/>
              </w:rPr>
              <w:t xml:space="preserve"> As applicable, records of </w:t>
            </w:r>
            <w:r w:rsidRPr="00272020" w:rsidR="00533004">
              <w:rPr>
                <w:sz w:val="16"/>
                <w:szCs w:val="16"/>
              </w:rPr>
              <w:t xml:space="preserve">any changes to </w:t>
            </w:r>
            <w:r w:rsidRPr="00272020" w:rsidR="0074502E">
              <w:rPr>
                <w:sz w:val="16"/>
                <w:szCs w:val="16"/>
              </w:rPr>
              <w:t xml:space="preserve">liquids </w:t>
            </w:r>
            <w:r w:rsidRPr="00272020">
              <w:rPr>
                <w:sz w:val="16"/>
                <w:szCs w:val="16"/>
              </w:rPr>
              <w:t>unloading method</w:t>
            </w:r>
            <w:r w:rsidRPr="00272020" w:rsidR="0072414F">
              <w:rPr>
                <w:sz w:val="16"/>
                <w:szCs w:val="16"/>
              </w:rPr>
              <w:t xml:space="preserve">. </w:t>
            </w:r>
            <w:r w:rsidRPr="00272020" w:rsidR="001A4F7A">
              <w:rPr>
                <w:sz w:val="16"/>
                <w:szCs w:val="16"/>
              </w:rPr>
              <w:t xml:space="preserve">Records of </w:t>
            </w:r>
            <w:r w:rsidRPr="00272020">
              <w:rPr>
                <w:sz w:val="16"/>
                <w:szCs w:val="16"/>
              </w:rPr>
              <w:t>each well that conducts a gas well liquids unloading operation</w:t>
            </w:r>
            <w:r w:rsidRPr="00272020" w:rsidR="001A4F7A">
              <w:rPr>
                <w:sz w:val="16"/>
                <w:szCs w:val="16"/>
              </w:rPr>
              <w:t>, d</w:t>
            </w:r>
            <w:r w:rsidRPr="00272020">
              <w:rPr>
                <w:sz w:val="16"/>
                <w:szCs w:val="16"/>
              </w:rPr>
              <w:t>escription of the zero methane and VOC gas well liquids unloading method</w:t>
            </w:r>
            <w:r w:rsidRPr="00272020" w:rsidR="001A4F7A">
              <w:rPr>
                <w:sz w:val="16"/>
                <w:szCs w:val="16"/>
              </w:rPr>
              <w:t xml:space="preserve">, records of </w:t>
            </w:r>
            <w:r w:rsidRPr="00272020" w:rsidR="00C93D20">
              <w:rPr>
                <w:sz w:val="16"/>
                <w:szCs w:val="16"/>
              </w:rPr>
              <w:t xml:space="preserve">deviation. As applicable, records why </w:t>
            </w:r>
            <w:r w:rsidRPr="00272020">
              <w:rPr>
                <w:color w:val="201F1E"/>
                <w:sz w:val="16"/>
                <w:szCs w:val="16"/>
              </w:rPr>
              <w:t xml:space="preserve">it is </w:t>
            </w:r>
            <w:r w:rsidRPr="00272020">
              <w:rPr>
                <w:color w:val="201F1E"/>
                <w:sz w:val="16"/>
                <w:szCs w:val="16"/>
              </w:rPr>
              <w:t xml:space="preserve">infeasible </w:t>
            </w:r>
            <w:r w:rsidRPr="00272020">
              <w:rPr>
                <w:color w:val="201F1E"/>
                <w:sz w:val="16"/>
                <w:szCs w:val="16"/>
              </w:rPr>
              <w:t xml:space="preserve">to </w:t>
            </w:r>
            <w:r w:rsidRPr="00272020">
              <w:rPr>
                <w:color w:val="201F1E"/>
                <w:sz w:val="16"/>
                <w:szCs w:val="16"/>
              </w:rPr>
              <w:t xml:space="preserve">utilize a </w:t>
            </w:r>
            <w:r w:rsidRPr="00272020">
              <w:rPr>
                <w:color w:val="201F1E"/>
                <w:sz w:val="16"/>
                <w:szCs w:val="16"/>
              </w:rPr>
              <w:t>zero emitting</w:t>
            </w:r>
            <w:r w:rsidRPr="00272020">
              <w:rPr>
                <w:color w:val="201F1E"/>
                <w:sz w:val="16"/>
                <w:szCs w:val="16"/>
              </w:rPr>
              <w:t xml:space="preserve"> method </w:t>
            </w:r>
            <w:r w:rsidRPr="00272020">
              <w:rPr>
                <w:color w:val="201F1E"/>
                <w:sz w:val="16"/>
                <w:szCs w:val="16"/>
              </w:rPr>
              <w:t>to unload liquids at the well affected facility due to technical or safety reasons</w:t>
            </w:r>
            <w:r w:rsidRPr="00272020">
              <w:rPr>
                <w:sz w:val="16"/>
                <w:szCs w:val="16"/>
              </w:rPr>
              <w:t>.</w:t>
            </w:r>
            <w:r w:rsidRPr="00272020" w:rsidR="00C93D20">
              <w:rPr>
                <w:sz w:val="16"/>
                <w:szCs w:val="16"/>
              </w:rPr>
              <w:t xml:space="preserve"> </w:t>
            </w:r>
            <w:r w:rsidRPr="00272020">
              <w:rPr>
                <w:sz w:val="16"/>
                <w:szCs w:val="16"/>
              </w:rPr>
              <w:t>Documentation of your best management practice plan</w:t>
            </w:r>
            <w:r w:rsidRPr="00272020" w:rsidR="00C93D20">
              <w:rPr>
                <w:sz w:val="16"/>
                <w:szCs w:val="16"/>
              </w:rPr>
              <w:t>.</w:t>
            </w:r>
          </w:p>
        </w:tc>
        <w:tc>
          <w:tcPr>
            <w:tcW w:w="3397" w:type="dxa"/>
            <w:tcBorders>
              <w:top w:val="nil"/>
              <w:left w:val="single" w:sz="4" w:space="0" w:color="auto"/>
              <w:bottom w:val="single" w:sz="4" w:space="0" w:color="auto"/>
              <w:right w:val="single" w:sz="4" w:space="0" w:color="auto"/>
            </w:tcBorders>
            <w:shd w:val="clear" w:color="auto" w:fill="auto"/>
            <w:vAlign w:val="center"/>
          </w:tcPr>
          <w:p w:rsidR="00CA7CC2" w:rsidRPr="00272020" w:rsidP="00BF34EF" w14:paraId="1D550838" w14:textId="435B23D5">
            <w:pPr>
              <w:keepNext/>
              <w:widowControl/>
              <w:autoSpaceDE/>
              <w:autoSpaceDN/>
              <w:adjustRightInd/>
              <w:rPr>
                <w:sz w:val="16"/>
                <w:szCs w:val="16"/>
              </w:rPr>
            </w:pPr>
            <w:r w:rsidRPr="00272020">
              <w:rPr>
                <w:sz w:val="16"/>
                <w:szCs w:val="16"/>
              </w:rPr>
              <w:t>§60.5376b, §60.5420b(c)(2)</w:t>
            </w:r>
          </w:p>
        </w:tc>
      </w:tr>
      <w:tr w14:paraId="4E3803EC" w14:textId="77777777" w:rsidTr="00E4510C">
        <w:tblPrEx>
          <w:tblW w:w="5688" w:type="pct"/>
          <w:tblInd w:w="-635" w:type="dxa"/>
          <w:tblLook w:val="04A0"/>
        </w:tblPrEx>
        <w:trPr>
          <w:trHeight w:val="630"/>
        </w:trPr>
        <w:tc>
          <w:tcPr>
            <w:tcW w:w="7403" w:type="dxa"/>
            <w:tcBorders>
              <w:top w:val="nil"/>
              <w:left w:val="single" w:sz="4" w:space="0" w:color="auto"/>
              <w:bottom w:val="single" w:sz="4" w:space="0" w:color="auto"/>
              <w:right w:val="single" w:sz="4" w:space="0" w:color="auto"/>
            </w:tcBorders>
            <w:shd w:val="clear" w:color="auto" w:fill="auto"/>
            <w:vAlign w:val="center"/>
          </w:tcPr>
          <w:p w:rsidR="00FE05B2" w:rsidRPr="00272020" w:rsidP="00977E08" w14:paraId="1CB31789" w14:textId="66193B1D">
            <w:pPr>
              <w:rPr>
                <w:sz w:val="16"/>
                <w:szCs w:val="16"/>
              </w:rPr>
            </w:pPr>
            <w:r w:rsidRPr="00272020">
              <w:rPr>
                <w:sz w:val="16"/>
                <w:szCs w:val="16"/>
              </w:rPr>
              <w:t xml:space="preserve">For oil well with associated gas affected facility, maintain </w:t>
            </w:r>
            <w:r w:rsidRPr="00272020" w:rsidR="00133478">
              <w:rPr>
                <w:sz w:val="16"/>
                <w:szCs w:val="16"/>
              </w:rPr>
              <w:t xml:space="preserve">records of specific methods used, </w:t>
            </w:r>
            <w:r w:rsidRPr="00272020">
              <w:rPr>
                <w:sz w:val="16"/>
                <w:szCs w:val="16"/>
              </w:rPr>
              <w:t>instance</w:t>
            </w:r>
            <w:r w:rsidRPr="00272020" w:rsidR="00CA39F0">
              <w:rPr>
                <w:sz w:val="16"/>
                <w:szCs w:val="16"/>
              </w:rPr>
              <w:t>s</w:t>
            </w:r>
            <w:r w:rsidRPr="00272020">
              <w:rPr>
                <w:sz w:val="16"/>
                <w:szCs w:val="16"/>
              </w:rPr>
              <w:t xml:space="preserve"> when associated gas was vented and not routed into a gas gathering flow line or collection system to a sales line, used as an onsite fuel source, used for another useful purpose that a purchased fuel or raw material would serve, or injected into another well for enhanced oil recovery.</w:t>
            </w:r>
            <w:r w:rsidRPr="00272020" w:rsidR="00CA39F0">
              <w:rPr>
                <w:sz w:val="16"/>
                <w:szCs w:val="16"/>
              </w:rPr>
              <w:t xml:space="preserve"> As applicable, records</w:t>
            </w:r>
            <w:bookmarkStart w:id="0" w:name="_Hlk106344774"/>
            <w:r w:rsidRPr="00272020" w:rsidR="00CA39F0">
              <w:rPr>
                <w:sz w:val="16"/>
                <w:szCs w:val="16"/>
              </w:rPr>
              <w:t xml:space="preserve"> of </w:t>
            </w:r>
            <w:r w:rsidRPr="00272020">
              <w:rPr>
                <w:sz w:val="16"/>
                <w:szCs w:val="16"/>
              </w:rPr>
              <w:t>demonstration and certification</w:t>
            </w:r>
            <w:r w:rsidRPr="00272020">
              <w:rPr>
                <w:sz w:val="16"/>
                <w:szCs w:val="16"/>
              </w:rPr>
              <w:t xml:space="preserve"> </w:t>
            </w:r>
            <w:bookmarkStart w:id="1" w:name="_Hlk95819787"/>
            <w:r w:rsidRPr="00272020">
              <w:rPr>
                <w:sz w:val="16"/>
                <w:szCs w:val="16"/>
              </w:rPr>
              <w:t>of the technical or safety reason that it is not feasible to comply</w:t>
            </w:r>
            <w:bookmarkEnd w:id="0"/>
            <w:bookmarkEnd w:id="1"/>
            <w:r w:rsidRPr="00272020" w:rsidR="00977E08">
              <w:rPr>
                <w:sz w:val="16"/>
                <w:szCs w:val="16"/>
              </w:rPr>
              <w:t>.</w:t>
            </w:r>
          </w:p>
        </w:tc>
        <w:tc>
          <w:tcPr>
            <w:tcW w:w="3397" w:type="dxa"/>
            <w:tcBorders>
              <w:top w:val="nil"/>
              <w:left w:val="single" w:sz="4" w:space="0" w:color="auto"/>
              <w:bottom w:val="single" w:sz="4" w:space="0" w:color="auto"/>
              <w:right w:val="single" w:sz="4" w:space="0" w:color="auto"/>
            </w:tcBorders>
            <w:shd w:val="clear" w:color="auto" w:fill="auto"/>
            <w:vAlign w:val="center"/>
          </w:tcPr>
          <w:p w:rsidR="00FE05B2" w:rsidRPr="00272020" w:rsidP="00BF34EF" w14:paraId="1D9A944D" w14:textId="695EF258">
            <w:pPr>
              <w:keepNext/>
              <w:widowControl/>
              <w:autoSpaceDE/>
              <w:autoSpaceDN/>
              <w:adjustRightInd/>
              <w:rPr>
                <w:sz w:val="16"/>
                <w:szCs w:val="16"/>
              </w:rPr>
            </w:pPr>
            <w:r w:rsidRPr="00272020">
              <w:rPr>
                <w:sz w:val="16"/>
                <w:szCs w:val="16"/>
              </w:rPr>
              <w:t>§60.5377b, §60.5420b(c)(3)</w:t>
            </w:r>
          </w:p>
        </w:tc>
      </w:tr>
      <w:tr w14:paraId="71BD8030" w14:textId="77777777" w:rsidTr="00E4510C">
        <w:tblPrEx>
          <w:tblW w:w="5688" w:type="pct"/>
          <w:tblInd w:w="-635" w:type="dxa"/>
          <w:tblLook w:val="04A0"/>
        </w:tblPrEx>
        <w:trPr>
          <w:trHeight w:val="630"/>
        </w:trPr>
        <w:tc>
          <w:tcPr>
            <w:tcW w:w="7403" w:type="dxa"/>
            <w:tcBorders>
              <w:top w:val="nil"/>
              <w:left w:val="single" w:sz="4" w:space="0" w:color="auto"/>
              <w:bottom w:val="single" w:sz="4" w:space="0" w:color="auto"/>
              <w:right w:val="single" w:sz="4" w:space="0" w:color="auto"/>
            </w:tcBorders>
            <w:shd w:val="clear" w:color="auto" w:fill="auto"/>
            <w:vAlign w:val="center"/>
          </w:tcPr>
          <w:p w:rsidR="000838CE" w:rsidRPr="00272020" w:rsidP="001E060E" w14:paraId="75C1F55F" w14:textId="5E90F1FF">
            <w:pPr>
              <w:rPr>
                <w:sz w:val="16"/>
                <w:szCs w:val="16"/>
              </w:rPr>
            </w:pPr>
            <w:r w:rsidRPr="00272020">
              <w:rPr>
                <w:sz w:val="16"/>
                <w:szCs w:val="16"/>
              </w:rPr>
              <w:t>For centrifugal compressor affected facility, maintain records of deviations</w:t>
            </w:r>
            <w:bookmarkStart w:id="2" w:name="_Hlk106291110"/>
            <w:r w:rsidRPr="00272020" w:rsidR="00F14842">
              <w:rPr>
                <w:sz w:val="16"/>
                <w:szCs w:val="16"/>
              </w:rPr>
              <w:t xml:space="preserve">. As applicable, maintain records </w:t>
            </w:r>
            <w:r w:rsidRPr="00272020">
              <w:rPr>
                <w:sz w:val="16"/>
                <w:szCs w:val="16"/>
              </w:rPr>
              <w:t xml:space="preserve">of </w:t>
            </w:r>
            <w:r w:rsidRPr="00272020" w:rsidR="00AC4D5E">
              <w:rPr>
                <w:sz w:val="16"/>
                <w:szCs w:val="16"/>
              </w:rPr>
              <w:t>c</w:t>
            </w:r>
            <w:r w:rsidRPr="00272020">
              <w:rPr>
                <w:sz w:val="16"/>
                <w:szCs w:val="16"/>
              </w:rPr>
              <w:t>losed vent system inspection</w:t>
            </w:r>
            <w:r w:rsidRPr="00272020" w:rsidR="00AC4D5E">
              <w:rPr>
                <w:sz w:val="16"/>
                <w:szCs w:val="16"/>
              </w:rPr>
              <w:t xml:space="preserve">s, </w:t>
            </w:r>
            <w:r w:rsidRPr="00272020">
              <w:rPr>
                <w:sz w:val="16"/>
                <w:szCs w:val="16"/>
              </w:rPr>
              <w:t>cover inspections</w:t>
            </w:r>
            <w:r w:rsidRPr="00272020" w:rsidR="00FF7A54">
              <w:rPr>
                <w:sz w:val="16"/>
                <w:szCs w:val="16"/>
              </w:rPr>
              <w:t xml:space="preserve">, </w:t>
            </w:r>
            <w:r w:rsidRPr="00272020" w:rsidR="00E06D12">
              <w:rPr>
                <w:sz w:val="16"/>
                <w:szCs w:val="16"/>
              </w:rPr>
              <w:t xml:space="preserve">and </w:t>
            </w:r>
            <w:r w:rsidRPr="00272020">
              <w:rPr>
                <w:sz w:val="16"/>
                <w:szCs w:val="16"/>
              </w:rPr>
              <w:t>bypass monitorin</w:t>
            </w:r>
            <w:r w:rsidRPr="00272020" w:rsidR="00FF7A54">
              <w:rPr>
                <w:sz w:val="16"/>
                <w:szCs w:val="16"/>
              </w:rPr>
              <w:t>g</w:t>
            </w:r>
            <w:bookmarkEnd w:id="2"/>
            <w:r w:rsidRPr="00272020" w:rsidR="00E06D12">
              <w:rPr>
                <w:sz w:val="16"/>
                <w:szCs w:val="16"/>
              </w:rPr>
              <w:t>. As applicable, r</w:t>
            </w:r>
            <w:r w:rsidRPr="00272020">
              <w:rPr>
                <w:sz w:val="16"/>
                <w:szCs w:val="16"/>
              </w:rPr>
              <w:t>ecords of the cumulative number of hours of operation</w:t>
            </w:r>
            <w:r w:rsidRPr="00272020" w:rsidR="00E06D12">
              <w:rPr>
                <w:sz w:val="16"/>
                <w:szCs w:val="16"/>
              </w:rPr>
              <w:t xml:space="preserve">, </w:t>
            </w:r>
            <w:r w:rsidRPr="00272020" w:rsidR="00CB1764">
              <w:rPr>
                <w:sz w:val="16"/>
                <w:szCs w:val="16"/>
              </w:rPr>
              <w:t>records of</w:t>
            </w:r>
            <w:r w:rsidRPr="00272020">
              <w:rPr>
                <w:sz w:val="16"/>
                <w:szCs w:val="16"/>
              </w:rPr>
              <w:t xml:space="preserve"> volumetric flow rate measurement or emissions screening,</w:t>
            </w:r>
            <w:r w:rsidRPr="00272020" w:rsidR="00E06D12">
              <w:rPr>
                <w:sz w:val="16"/>
                <w:szCs w:val="16"/>
              </w:rPr>
              <w:t xml:space="preserve"> </w:t>
            </w:r>
            <w:r w:rsidRPr="00272020">
              <w:rPr>
                <w:sz w:val="16"/>
                <w:szCs w:val="16"/>
              </w:rPr>
              <w:t xml:space="preserve">flow meters, </w:t>
            </w:r>
            <w:r w:rsidR="00D0221C">
              <w:rPr>
                <w:sz w:val="16"/>
                <w:szCs w:val="16"/>
              </w:rPr>
              <w:t>an</w:t>
            </w:r>
            <w:r w:rsidR="00F86AA9">
              <w:rPr>
                <w:sz w:val="16"/>
                <w:szCs w:val="16"/>
              </w:rPr>
              <w:t xml:space="preserve">d </w:t>
            </w:r>
            <w:r w:rsidRPr="00272020">
              <w:rPr>
                <w:sz w:val="16"/>
                <w:szCs w:val="16"/>
              </w:rPr>
              <w:t xml:space="preserve">composition analyzers and pressure gauges used to measure volumetric flow </w:t>
            </w:r>
            <w:r w:rsidRPr="00272020">
              <w:rPr>
                <w:sz w:val="16"/>
                <w:szCs w:val="16"/>
              </w:rPr>
              <w:t>rates</w:t>
            </w:r>
            <w:r w:rsidR="00DE28BA">
              <w:rPr>
                <w:sz w:val="16"/>
                <w:szCs w:val="16"/>
              </w:rPr>
              <w:t>.</w:t>
            </w:r>
            <w:r w:rsidRPr="00272020" w:rsidR="00DD6681">
              <w:rPr>
                <w:sz w:val="16"/>
                <w:szCs w:val="16"/>
              </w:rPr>
              <w:t>.</w:t>
            </w:r>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2CEF41D6" w14:textId="2B86A8A1">
            <w:pPr>
              <w:keepNext/>
              <w:widowControl/>
              <w:autoSpaceDE/>
              <w:autoSpaceDN/>
              <w:adjustRightInd/>
              <w:rPr>
                <w:sz w:val="16"/>
                <w:szCs w:val="16"/>
              </w:rPr>
            </w:pPr>
            <w:r w:rsidRPr="00272020">
              <w:rPr>
                <w:sz w:val="16"/>
                <w:szCs w:val="16"/>
              </w:rPr>
              <w:t>§</w:t>
            </w:r>
            <w:r w:rsidRPr="00272020" w:rsidR="003A665C">
              <w:rPr>
                <w:sz w:val="16"/>
                <w:szCs w:val="16"/>
              </w:rPr>
              <w:t xml:space="preserve">60.5380b(d); </w:t>
            </w:r>
            <w:r w:rsidRPr="00272020">
              <w:rPr>
                <w:sz w:val="16"/>
                <w:szCs w:val="16"/>
              </w:rPr>
              <w:t>§</w:t>
            </w:r>
            <w:r w:rsidRPr="00272020" w:rsidR="003A665C">
              <w:rPr>
                <w:sz w:val="16"/>
                <w:szCs w:val="16"/>
              </w:rPr>
              <w:t>60.5420b(c)(4), (8-(13)</w:t>
            </w:r>
          </w:p>
        </w:tc>
      </w:tr>
      <w:tr w14:paraId="3F06F78B" w14:textId="77777777" w:rsidTr="00F70213">
        <w:tblPrEx>
          <w:tblW w:w="5688" w:type="pct"/>
          <w:tblInd w:w="-635" w:type="dxa"/>
          <w:tblLook w:val="04A0"/>
        </w:tblPrEx>
        <w:trPr>
          <w:trHeight w:val="539"/>
        </w:trPr>
        <w:tc>
          <w:tcPr>
            <w:tcW w:w="7403" w:type="dxa"/>
            <w:tcBorders>
              <w:top w:val="nil"/>
              <w:left w:val="single" w:sz="4" w:space="0" w:color="auto"/>
              <w:bottom w:val="single" w:sz="4" w:space="0" w:color="auto"/>
              <w:right w:val="single" w:sz="4" w:space="0" w:color="auto"/>
            </w:tcBorders>
            <w:shd w:val="clear" w:color="auto" w:fill="auto"/>
            <w:vAlign w:val="center"/>
          </w:tcPr>
          <w:p w:rsidR="00C546AD" w:rsidRPr="00272020" w:rsidP="009023A0" w14:paraId="0DEB9C4A" w14:textId="2237613F">
            <w:pPr>
              <w:rPr>
                <w:sz w:val="16"/>
                <w:szCs w:val="16"/>
              </w:rPr>
            </w:pPr>
            <w:bookmarkStart w:id="3" w:name="_Hlk104277520"/>
            <w:r w:rsidRPr="00272020">
              <w:rPr>
                <w:sz w:val="16"/>
                <w:szCs w:val="16"/>
              </w:rPr>
              <w:t>For reciprocating compressor affected facility, maintain records of deviations</w:t>
            </w:r>
            <w:r w:rsidRPr="00272020" w:rsidR="00793EE9">
              <w:rPr>
                <w:sz w:val="16"/>
                <w:szCs w:val="16"/>
              </w:rPr>
              <w:t>,</w:t>
            </w:r>
            <w:r w:rsidRPr="00272020">
              <w:rPr>
                <w:sz w:val="16"/>
                <w:szCs w:val="16"/>
              </w:rPr>
              <w:t xml:space="preserve"> date of installation of a rod packing emissions collection system and closed vent syste</w:t>
            </w:r>
            <w:r w:rsidRPr="00272020" w:rsidR="00BE431E">
              <w:rPr>
                <w:sz w:val="16"/>
                <w:szCs w:val="16"/>
              </w:rPr>
              <w:t>m, r</w:t>
            </w:r>
            <w:r w:rsidRPr="00272020">
              <w:rPr>
                <w:sz w:val="16"/>
                <w:szCs w:val="16"/>
              </w:rPr>
              <w:t xml:space="preserve">ecords of the cumulative number of hours of operation. </w:t>
            </w:r>
            <w:r w:rsidRPr="00272020" w:rsidR="009023A0">
              <w:rPr>
                <w:sz w:val="16"/>
                <w:szCs w:val="16"/>
              </w:rPr>
              <w:t xml:space="preserve">As applicable, records of emissions being </w:t>
            </w:r>
            <w:r w:rsidRPr="00272020">
              <w:rPr>
                <w:sz w:val="16"/>
                <w:szCs w:val="16"/>
              </w:rPr>
              <w:t>routed to a process through a closed vent system.</w:t>
            </w:r>
            <w:r w:rsidRPr="00272020" w:rsidR="009023A0">
              <w:rPr>
                <w:sz w:val="16"/>
                <w:szCs w:val="16"/>
              </w:rPr>
              <w:t xml:space="preserve"> Records of </w:t>
            </w:r>
            <w:r w:rsidRPr="00272020">
              <w:rPr>
                <w:sz w:val="16"/>
                <w:szCs w:val="16"/>
              </w:rPr>
              <w:t>volumetric flow rate measurement or emissions screening, as applicable.</w:t>
            </w:r>
            <w:r w:rsidRPr="00272020" w:rsidR="009023A0">
              <w:rPr>
                <w:sz w:val="16"/>
                <w:szCs w:val="16"/>
              </w:rPr>
              <w:t xml:space="preserve"> </w:t>
            </w:r>
            <w:r w:rsidRPr="00272020">
              <w:rPr>
                <w:sz w:val="16"/>
                <w:szCs w:val="16"/>
              </w:rPr>
              <w:t>Records for all flow meters, composition analyzers and pressure gauges</w:t>
            </w:r>
            <w:r w:rsidRPr="00272020" w:rsidR="009023A0">
              <w:rPr>
                <w:sz w:val="16"/>
                <w:szCs w:val="16"/>
              </w:rPr>
              <w:t xml:space="preserve">. </w:t>
            </w:r>
            <w:bookmarkEnd w:id="3"/>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22D77743" w14:textId="072DB18D">
            <w:pPr>
              <w:keepNext/>
              <w:widowControl/>
              <w:autoSpaceDE/>
              <w:autoSpaceDN/>
              <w:adjustRightInd/>
              <w:rPr>
                <w:sz w:val="16"/>
                <w:szCs w:val="16"/>
              </w:rPr>
            </w:pPr>
            <w:r w:rsidRPr="00272020">
              <w:rPr>
                <w:sz w:val="16"/>
                <w:szCs w:val="16"/>
              </w:rPr>
              <w:t>§</w:t>
            </w:r>
            <w:r w:rsidRPr="00272020">
              <w:rPr>
                <w:sz w:val="16"/>
                <w:szCs w:val="16"/>
              </w:rPr>
              <w:t>60.5385</w:t>
            </w:r>
            <w:r w:rsidRPr="00272020" w:rsidR="00354D74">
              <w:rPr>
                <w:sz w:val="16"/>
                <w:szCs w:val="16"/>
              </w:rPr>
              <w:t>b(</w:t>
            </w:r>
            <w:r w:rsidRPr="00272020">
              <w:rPr>
                <w:sz w:val="16"/>
                <w:szCs w:val="16"/>
              </w:rPr>
              <w:t xml:space="preserve">d); </w:t>
            </w:r>
            <w:r w:rsidRPr="00272020">
              <w:rPr>
                <w:sz w:val="16"/>
                <w:szCs w:val="16"/>
              </w:rPr>
              <w:t>§</w:t>
            </w:r>
            <w:r w:rsidRPr="00272020">
              <w:rPr>
                <w:sz w:val="16"/>
                <w:szCs w:val="16"/>
              </w:rPr>
              <w:t>60.5410</w:t>
            </w:r>
            <w:r w:rsidRPr="00272020" w:rsidR="00354D74">
              <w:rPr>
                <w:sz w:val="16"/>
                <w:szCs w:val="16"/>
              </w:rPr>
              <w:t>b(</w:t>
            </w:r>
            <w:r w:rsidRPr="00272020">
              <w:rPr>
                <w:sz w:val="16"/>
                <w:szCs w:val="16"/>
              </w:rPr>
              <w:t xml:space="preserve">c)(4); </w:t>
            </w:r>
            <w:r w:rsidRPr="00272020">
              <w:rPr>
                <w:sz w:val="16"/>
                <w:szCs w:val="16"/>
              </w:rPr>
              <w:t>§</w:t>
            </w:r>
            <w:r w:rsidRPr="00272020">
              <w:rPr>
                <w:sz w:val="16"/>
                <w:szCs w:val="16"/>
              </w:rPr>
              <w:t>60.5415</w:t>
            </w:r>
            <w:r w:rsidRPr="00272020" w:rsidR="00354D74">
              <w:rPr>
                <w:sz w:val="16"/>
                <w:szCs w:val="16"/>
              </w:rPr>
              <w:t>b(</w:t>
            </w:r>
            <w:r w:rsidRPr="00272020">
              <w:rPr>
                <w:sz w:val="16"/>
                <w:szCs w:val="16"/>
              </w:rPr>
              <w:t xml:space="preserve">c); </w:t>
            </w:r>
            <w:r w:rsidRPr="00272020">
              <w:rPr>
                <w:sz w:val="16"/>
                <w:szCs w:val="16"/>
              </w:rPr>
              <w:t>§</w:t>
            </w:r>
            <w:r w:rsidRPr="00272020">
              <w:rPr>
                <w:sz w:val="16"/>
                <w:szCs w:val="16"/>
              </w:rPr>
              <w:t>60.5420</w:t>
            </w:r>
            <w:r w:rsidRPr="00272020" w:rsidR="00354D74">
              <w:rPr>
                <w:sz w:val="16"/>
                <w:szCs w:val="16"/>
              </w:rPr>
              <w:t>b(</w:t>
            </w:r>
            <w:r w:rsidRPr="00272020">
              <w:rPr>
                <w:sz w:val="16"/>
                <w:szCs w:val="16"/>
              </w:rPr>
              <w:t>c)(3)</w:t>
            </w:r>
          </w:p>
        </w:tc>
      </w:tr>
      <w:tr w14:paraId="21DF6208" w14:textId="77777777" w:rsidTr="00E34592">
        <w:tblPrEx>
          <w:tblW w:w="5688" w:type="pct"/>
          <w:tblInd w:w="-635" w:type="dxa"/>
          <w:tblLook w:val="04A0"/>
        </w:tblPrEx>
        <w:trPr>
          <w:trHeight w:val="296"/>
        </w:trPr>
        <w:tc>
          <w:tcPr>
            <w:tcW w:w="7403" w:type="dxa"/>
            <w:tcBorders>
              <w:top w:val="nil"/>
              <w:left w:val="single" w:sz="4" w:space="0" w:color="auto"/>
              <w:bottom w:val="single" w:sz="4" w:space="0" w:color="auto"/>
              <w:right w:val="single" w:sz="4" w:space="0" w:color="auto"/>
            </w:tcBorders>
            <w:shd w:val="clear" w:color="auto" w:fill="auto"/>
            <w:vAlign w:val="center"/>
          </w:tcPr>
          <w:p w:rsidR="00E52361" w:rsidRPr="00272020" w:rsidP="00272020" w14:paraId="0D133B0F" w14:textId="5CB0980E">
            <w:pPr>
              <w:rPr>
                <w:sz w:val="16"/>
                <w:szCs w:val="16"/>
              </w:rPr>
            </w:pPr>
            <w:r w:rsidRPr="00272020">
              <w:rPr>
                <w:sz w:val="16"/>
                <w:szCs w:val="16"/>
              </w:rPr>
              <w:t xml:space="preserve">For pneumatic controller affected facility, maintain the records identifying each pneumatic controller that is not part of an affected facility and the basis for that claim. </w:t>
            </w:r>
            <w:r w:rsidRPr="00272020" w:rsidR="009323F2">
              <w:rPr>
                <w:sz w:val="16"/>
                <w:szCs w:val="16"/>
              </w:rPr>
              <w:t>M</w:t>
            </w:r>
            <w:r w:rsidRPr="00272020">
              <w:rPr>
                <w:sz w:val="16"/>
                <w:szCs w:val="16"/>
              </w:rPr>
              <w:t xml:space="preserve">aintain records </w:t>
            </w:r>
            <w:r w:rsidRPr="00272020" w:rsidR="009323F2">
              <w:rPr>
                <w:sz w:val="16"/>
                <w:szCs w:val="16"/>
              </w:rPr>
              <w:t xml:space="preserve">as applicable for </w:t>
            </w:r>
            <w:r w:rsidRPr="00272020">
              <w:rPr>
                <w:sz w:val="16"/>
                <w:szCs w:val="16"/>
              </w:rPr>
              <w:t>pneumatic controller affected facility complying with the routing the emissions to a proces</w:t>
            </w:r>
            <w:r w:rsidRPr="00272020" w:rsidR="009323F2">
              <w:rPr>
                <w:sz w:val="16"/>
                <w:szCs w:val="16"/>
              </w:rPr>
              <w:t>s. Maintain records as applicable f</w:t>
            </w:r>
            <w:r w:rsidRPr="00272020">
              <w:rPr>
                <w:sz w:val="16"/>
                <w:szCs w:val="16"/>
              </w:rPr>
              <w:t xml:space="preserve">or pneumatic controller affected facility complying with the standards by using a self-contained natural gas-driven pneumatic controller, </w:t>
            </w:r>
            <w:r w:rsidRPr="00272020" w:rsidR="009323F2">
              <w:rPr>
                <w:sz w:val="16"/>
                <w:szCs w:val="16"/>
              </w:rPr>
              <w:t xml:space="preserve">including dates </w:t>
            </w:r>
            <w:r w:rsidRPr="00272020">
              <w:rPr>
                <w:sz w:val="16"/>
                <w:szCs w:val="16"/>
              </w:rPr>
              <w:t>each inspectio</w:t>
            </w:r>
            <w:r w:rsidRPr="00272020" w:rsidR="009323F2">
              <w:rPr>
                <w:sz w:val="16"/>
                <w:szCs w:val="16"/>
              </w:rPr>
              <w:t>n, e</w:t>
            </w:r>
            <w:r w:rsidRPr="00272020">
              <w:rPr>
                <w:sz w:val="16"/>
                <w:szCs w:val="16"/>
              </w:rPr>
              <w:t>ach defect or leak identified during each natural gas-driven-self-contained pneumatic controller system inspection, and date of repair or date of anticipated repair if repair is delayed.</w:t>
            </w:r>
            <w:r w:rsidR="00272020">
              <w:rPr>
                <w:sz w:val="16"/>
                <w:szCs w:val="16"/>
              </w:rPr>
              <w:t xml:space="preserve"> </w:t>
            </w:r>
            <w:r w:rsidRPr="00272020" w:rsidR="005E3590">
              <w:rPr>
                <w:sz w:val="16"/>
                <w:szCs w:val="16"/>
              </w:rPr>
              <w:t xml:space="preserve">Maintain records as applicable for </w:t>
            </w:r>
            <w:r w:rsidRPr="00272020">
              <w:rPr>
                <w:sz w:val="16"/>
                <w:szCs w:val="16"/>
              </w:rPr>
              <w:t xml:space="preserve">pneumatic controller affected facility complying with §60.5390b(b)(1) pneumatic controller bleed rate requirements, </w:t>
            </w:r>
            <w:r w:rsidRPr="00272020" w:rsidR="005E3590">
              <w:rPr>
                <w:sz w:val="16"/>
                <w:szCs w:val="16"/>
              </w:rPr>
              <w:t xml:space="preserve">Documentation of bleed rate and justification for use of device ≤6 </w:t>
            </w:r>
            <w:r w:rsidRPr="00272020" w:rsidR="005E3590">
              <w:rPr>
                <w:sz w:val="16"/>
                <w:szCs w:val="16"/>
              </w:rPr>
              <w:t>scfh.or</w:t>
            </w:r>
            <w:r w:rsidRPr="00272020" w:rsidR="005E3590">
              <w:rPr>
                <w:sz w:val="16"/>
                <w:szCs w:val="16"/>
              </w:rPr>
              <w:t xml:space="preserve"> functional need to be &gt;6 </w:t>
            </w:r>
            <w:r w:rsidRPr="00272020" w:rsidR="005E3590">
              <w:rPr>
                <w:sz w:val="16"/>
                <w:szCs w:val="16"/>
              </w:rPr>
              <w:t>scfh</w:t>
            </w:r>
            <w:r w:rsidRPr="00272020" w:rsidR="005E3590">
              <w:rPr>
                <w:sz w:val="16"/>
                <w:szCs w:val="16"/>
              </w:rPr>
              <w:t xml:space="preserve">. As applicable, for </w:t>
            </w:r>
            <w:r w:rsidRPr="00272020">
              <w:rPr>
                <w:sz w:val="16"/>
                <w:szCs w:val="16"/>
              </w:rPr>
              <w:t xml:space="preserve">intermittent vent pneumatic controller affected </w:t>
            </w:r>
            <w:r w:rsidRPr="00272020" w:rsidR="005E3590">
              <w:rPr>
                <w:sz w:val="16"/>
                <w:szCs w:val="16"/>
              </w:rPr>
              <w:t xml:space="preserve">documentation of each controller, dates/results of idling, </w:t>
            </w:r>
            <w:r w:rsidRPr="00272020" w:rsidR="00555286">
              <w:rPr>
                <w:sz w:val="16"/>
                <w:szCs w:val="16"/>
              </w:rPr>
              <w:t>leaks, deviation, etc.</w:t>
            </w:r>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35CD5916" w14:textId="5AB87C43">
            <w:pPr>
              <w:keepNext/>
              <w:widowControl/>
              <w:autoSpaceDE/>
              <w:autoSpaceDN/>
              <w:adjustRightInd/>
              <w:rPr>
                <w:sz w:val="16"/>
                <w:szCs w:val="16"/>
              </w:rPr>
            </w:pPr>
            <w:r w:rsidRPr="00272020">
              <w:rPr>
                <w:sz w:val="16"/>
                <w:szCs w:val="16"/>
              </w:rPr>
              <w:t xml:space="preserve">§60.5390b(e); </w:t>
            </w:r>
            <w:r w:rsidRPr="00272020" w:rsidR="001A22D1">
              <w:rPr>
                <w:sz w:val="16"/>
                <w:szCs w:val="16"/>
              </w:rPr>
              <w:t>§</w:t>
            </w:r>
            <w:r w:rsidRPr="00272020">
              <w:rPr>
                <w:sz w:val="16"/>
                <w:szCs w:val="16"/>
              </w:rPr>
              <w:t>60.5420b(c)(6</w:t>
            </w:r>
            <w:r w:rsidR="001A22D1">
              <w:rPr>
                <w:sz w:val="16"/>
                <w:szCs w:val="16"/>
              </w:rPr>
              <w:t>)</w:t>
            </w:r>
            <w:r w:rsidRPr="00272020">
              <w:rPr>
                <w:sz w:val="16"/>
                <w:szCs w:val="16"/>
              </w:rPr>
              <w:t>, (c)(8), (c)(10)-(13)</w:t>
            </w:r>
          </w:p>
        </w:tc>
      </w:tr>
      <w:tr w14:paraId="0D6456A6" w14:textId="77777777" w:rsidTr="00E4510C">
        <w:tblPrEx>
          <w:tblW w:w="5688" w:type="pct"/>
          <w:tblInd w:w="-635" w:type="dxa"/>
          <w:tblLook w:val="04A0"/>
        </w:tblPrEx>
        <w:trPr>
          <w:trHeight w:val="630"/>
        </w:trPr>
        <w:tc>
          <w:tcPr>
            <w:tcW w:w="7403" w:type="dxa"/>
            <w:tcBorders>
              <w:top w:val="nil"/>
              <w:left w:val="single" w:sz="4" w:space="0" w:color="auto"/>
              <w:bottom w:val="single" w:sz="4" w:space="0" w:color="auto"/>
              <w:right w:val="single" w:sz="4" w:space="0" w:color="auto"/>
            </w:tcBorders>
            <w:shd w:val="clear" w:color="auto" w:fill="auto"/>
            <w:vAlign w:val="center"/>
          </w:tcPr>
          <w:p w:rsidR="008461F2" w:rsidRPr="00272020" w:rsidP="00C05B92" w14:paraId="11C099DC" w14:textId="4E48719E">
            <w:pPr>
              <w:rPr>
                <w:sz w:val="16"/>
                <w:szCs w:val="16"/>
              </w:rPr>
            </w:pPr>
            <w:r w:rsidRPr="00272020">
              <w:rPr>
                <w:sz w:val="16"/>
                <w:szCs w:val="16"/>
              </w:rPr>
              <w:t xml:space="preserve">For pneumatic pump affected facility, </w:t>
            </w:r>
            <w:r w:rsidRPr="00272020" w:rsidR="00CF25C7">
              <w:rPr>
                <w:sz w:val="16"/>
                <w:szCs w:val="16"/>
              </w:rPr>
              <w:t xml:space="preserve">as applicable, </w:t>
            </w:r>
            <w:r w:rsidRPr="00272020">
              <w:rPr>
                <w:sz w:val="16"/>
                <w:szCs w:val="16"/>
              </w:rPr>
              <w:t>maintain records of each pneumatic pump that is not driven by natural gas or single natural gas-driven diaphragm pump that is in operation less than 90 days per calendar year and is not a pneumatic pump affected facility as specified in §60.5365b(h)</w:t>
            </w:r>
            <w:r w:rsidRPr="00272020" w:rsidR="0075122B">
              <w:rPr>
                <w:sz w:val="16"/>
                <w:szCs w:val="16"/>
              </w:rPr>
              <w:t xml:space="preserve">. Records of pumps </w:t>
            </w:r>
            <w:bookmarkStart w:id="4" w:name="_Hlk105846270"/>
            <w:r w:rsidRPr="00272020" w:rsidR="0075122B">
              <w:rPr>
                <w:sz w:val="16"/>
                <w:szCs w:val="16"/>
              </w:rPr>
              <w:t>without access</w:t>
            </w:r>
            <w:r w:rsidRPr="00272020">
              <w:rPr>
                <w:sz w:val="16"/>
                <w:szCs w:val="16"/>
              </w:rPr>
              <w:t xml:space="preserve"> to electrical power</w:t>
            </w:r>
            <w:r w:rsidRPr="00272020" w:rsidR="0075122B">
              <w:rPr>
                <w:sz w:val="16"/>
                <w:szCs w:val="16"/>
              </w:rPr>
              <w:t xml:space="preserve">. Records of </w:t>
            </w:r>
            <w:r w:rsidRPr="00272020">
              <w:rPr>
                <w:sz w:val="16"/>
                <w:szCs w:val="16"/>
              </w:rPr>
              <w:t>technically infeasible</w:t>
            </w:r>
            <w:r w:rsidRPr="00272020" w:rsidR="009F0558">
              <w:rPr>
                <w:sz w:val="16"/>
                <w:szCs w:val="16"/>
              </w:rPr>
              <w:t xml:space="preserve"> </w:t>
            </w:r>
            <w:r w:rsidRPr="00272020">
              <w:rPr>
                <w:sz w:val="16"/>
                <w:szCs w:val="16"/>
              </w:rPr>
              <w:t>demonstration and certification</w:t>
            </w:r>
            <w:bookmarkEnd w:id="4"/>
            <w:r w:rsidRPr="00272020" w:rsidR="009F0558">
              <w:rPr>
                <w:sz w:val="16"/>
                <w:szCs w:val="16"/>
              </w:rPr>
              <w:t>. Records of changes, as applicable.</w:t>
            </w:r>
            <w:r w:rsidRPr="00272020" w:rsidR="008D2CCD">
              <w:rPr>
                <w:sz w:val="16"/>
                <w:szCs w:val="16"/>
              </w:rPr>
              <w:t xml:space="preserve"> </w:t>
            </w:r>
            <w:r w:rsidRPr="00272020" w:rsidR="00AC1295">
              <w:rPr>
                <w:sz w:val="16"/>
                <w:szCs w:val="16"/>
              </w:rPr>
              <w:t>Maintain records f</w:t>
            </w:r>
            <w:r w:rsidRPr="00272020" w:rsidR="008D2CCD">
              <w:rPr>
                <w:sz w:val="16"/>
                <w:szCs w:val="16"/>
              </w:rPr>
              <w:t xml:space="preserve">or </w:t>
            </w:r>
            <w:r w:rsidRPr="00272020">
              <w:rPr>
                <w:sz w:val="16"/>
                <w:szCs w:val="16"/>
              </w:rPr>
              <w:t>95.0</w:t>
            </w:r>
            <w:r w:rsidRPr="00272020" w:rsidR="00AC1295">
              <w:rPr>
                <w:sz w:val="16"/>
                <w:szCs w:val="16"/>
              </w:rPr>
              <w:t>% control via control device/CVS</w:t>
            </w:r>
            <w:r w:rsidR="00865B1B">
              <w:rPr>
                <w:sz w:val="16"/>
                <w:szCs w:val="16"/>
              </w:rPr>
              <w:t xml:space="preserve"> or c</w:t>
            </w:r>
            <w:r w:rsidRPr="00272020" w:rsidR="00AC1295">
              <w:rPr>
                <w:sz w:val="16"/>
                <w:szCs w:val="16"/>
              </w:rPr>
              <w:t xml:space="preserve">ertification of no </w:t>
            </w:r>
            <w:r w:rsidRPr="00272020" w:rsidR="00C05B92">
              <w:rPr>
                <w:sz w:val="16"/>
                <w:szCs w:val="16"/>
              </w:rPr>
              <w:t>available control or 95% control not achievable, if applicable. Records of deviations.</w:t>
            </w:r>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24DB554E" w14:textId="4BF7FBE9">
            <w:pPr>
              <w:keepNext/>
              <w:widowControl/>
              <w:autoSpaceDE/>
              <w:autoSpaceDN/>
              <w:adjustRightInd/>
              <w:rPr>
                <w:sz w:val="16"/>
                <w:szCs w:val="16"/>
              </w:rPr>
            </w:pPr>
            <w:r w:rsidRPr="00272020">
              <w:rPr>
                <w:sz w:val="16"/>
                <w:szCs w:val="16"/>
              </w:rPr>
              <w:t xml:space="preserve">§60.5393b(j); </w:t>
            </w:r>
            <w:r w:rsidRPr="00272020" w:rsidR="00D01386">
              <w:rPr>
                <w:sz w:val="16"/>
                <w:szCs w:val="16"/>
              </w:rPr>
              <w:t>§</w:t>
            </w:r>
            <w:r w:rsidRPr="00272020">
              <w:rPr>
                <w:sz w:val="16"/>
                <w:szCs w:val="16"/>
              </w:rPr>
              <w:t>60.5420b(c)(8), (10)-(13), (15)</w:t>
            </w:r>
          </w:p>
        </w:tc>
      </w:tr>
      <w:tr w14:paraId="5FE44530" w14:textId="77777777" w:rsidTr="00E4510C">
        <w:tblPrEx>
          <w:tblW w:w="5688" w:type="pct"/>
          <w:tblInd w:w="-635" w:type="dxa"/>
          <w:tblLook w:val="04A0"/>
        </w:tblPrEx>
        <w:trPr>
          <w:trHeight w:val="630"/>
        </w:trPr>
        <w:tc>
          <w:tcPr>
            <w:tcW w:w="7403" w:type="dxa"/>
            <w:tcBorders>
              <w:top w:val="nil"/>
              <w:left w:val="single" w:sz="4" w:space="0" w:color="auto"/>
              <w:bottom w:val="single" w:sz="4" w:space="0" w:color="auto"/>
              <w:right w:val="single" w:sz="4" w:space="0" w:color="auto"/>
            </w:tcBorders>
            <w:shd w:val="clear" w:color="auto" w:fill="auto"/>
            <w:vAlign w:val="center"/>
          </w:tcPr>
          <w:p w:rsidR="00096E42" w:rsidRPr="00272020" w:rsidP="0025147E" w14:paraId="12686656" w14:textId="52B2031E">
            <w:pPr>
              <w:rPr>
                <w:sz w:val="16"/>
                <w:szCs w:val="16"/>
              </w:rPr>
            </w:pPr>
            <w:bookmarkStart w:id="5" w:name="_Hlk106290864"/>
            <w:r w:rsidRPr="00272020">
              <w:rPr>
                <w:sz w:val="16"/>
                <w:szCs w:val="16"/>
              </w:rPr>
              <w:t>For storage vessel affected facility, maintain records of identification and location of each storage vessel affected facility. Records of each methane and VOC emissions determination</w:t>
            </w:r>
            <w:r w:rsidRPr="00272020" w:rsidR="0025147E">
              <w:rPr>
                <w:sz w:val="16"/>
                <w:szCs w:val="16"/>
              </w:rPr>
              <w:t xml:space="preserve">. Records of deviations. </w:t>
            </w:r>
            <w:r w:rsidRPr="00272020">
              <w:rPr>
                <w:sz w:val="16"/>
                <w:szCs w:val="16"/>
              </w:rPr>
              <w:t xml:space="preserve">Records </w:t>
            </w:r>
            <w:r w:rsidR="00D536BF">
              <w:rPr>
                <w:sz w:val="16"/>
                <w:szCs w:val="16"/>
              </w:rPr>
              <w:t xml:space="preserve">of </w:t>
            </w:r>
            <w:r w:rsidRPr="00272020">
              <w:rPr>
                <w:sz w:val="16"/>
                <w:szCs w:val="16"/>
              </w:rPr>
              <w:t>closed vent system inspection</w:t>
            </w:r>
            <w:r w:rsidRPr="00272020" w:rsidR="0025147E">
              <w:rPr>
                <w:sz w:val="16"/>
                <w:szCs w:val="16"/>
              </w:rPr>
              <w:t xml:space="preserve">s, as applicable. </w:t>
            </w:r>
            <w:r w:rsidRPr="00272020">
              <w:rPr>
                <w:sz w:val="16"/>
                <w:szCs w:val="16"/>
              </w:rPr>
              <w:t>Records of cover inspections</w:t>
            </w:r>
            <w:r w:rsidRPr="00272020" w:rsidR="0025147E">
              <w:rPr>
                <w:sz w:val="16"/>
                <w:szCs w:val="16"/>
              </w:rPr>
              <w:t xml:space="preserve">, </w:t>
            </w:r>
            <w:r w:rsidRPr="00272020">
              <w:rPr>
                <w:sz w:val="16"/>
                <w:szCs w:val="16"/>
              </w:rPr>
              <w:t>bypass monitoring</w:t>
            </w:r>
            <w:r w:rsidRPr="00272020" w:rsidR="0025147E">
              <w:rPr>
                <w:sz w:val="16"/>
                <w:szCs w:val="16"/>
              </w:rPr>
              <w:t xml:space="preserve">, </w:t>
            </w:r>
            <w:r w:rsidRPr="00272020">
              <w:rPr>
                <w:sz w:val="16"/>
                <w:szCs w:val="16"/>
              </w:rPr>
              <w:t>closed vent system assessment</w:t>
            </w:r>
            <w:bookmarkEnd w:id="5"/>
            <w:r w:rsidRPr="00272020" w:rsidR="00377E56">
              <w:rPr>
                <w:sz w:val="16"/>
                <w:szCs w:val="16"/>
              </w:rPr>
              <w:t xml:space="preserve">, and corrective actions. </w:t>
            </w:r>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4A2A9D60" w14:textId="358E0489">
            <w:pPr>
              <w:keepNext/>
              <w:widowControl/>
              <w:autoSpaceDE/>
              <w:autoSpaceDN/>
              <w:adjustRightInd/>
              <w:rPr>
                <w:sz w:val="16"/>
                <w:szCs w:val="16"/>
              </w:rPr>
            </w:pPr>
            <w:r w:rsidRPr="00272020">
              <w:rPr>
                <w:sz w:val="16"/>
                <w:szCs w:val="16"/>
              </w:rPr>
              <w:t xml:space="preserve">§60.5395b(d)(3); </w:t>
            </w:r>
            <w:r w:rsidRPr="00272020" w:rsidR="00D01386">
              <w:rPr>
                <w:sz w:val="16"/>
                <w:szCs w:val="16"/>
              </w:rPr>
              <w:t>§</w:t>
            </w:r>
            <w:r w:rsidRPr="00272020">
              <w:rPr>
                <w:sz w:val="16"/>
                <w:szCs w:val="16"/>
              </w:rPr>
              <w:t>60.5420b(c)(7), (8)-(13)</w:t>
            </w:r>
          </w:p>
        </w:tc>
      </w:tr>
      <w:tr w14:paraId="5F56F722" w14:textId="77777777" w:rsidTr="00F70213">
        <w:tblPrEx>
          <w:tblW w:w="5688" w:type="pct"/>
          <w:tblInd w:w="-635" w:type="dxa"/>
          <w:tblLook w:val="04A0"/>
        </w:tblPrEx>
        <w:trPr>
          <w:trHeight w:val="359"/>
        </w:trPr>
        <w:tc>
          <w:tcPr>
            <w:tcW w:w="7403" w:type="dxa"/>
            <w:tcBorders>
              <w:top w:val="nil"/>
              <w:left w:val="single" w:sz="4" w:space="0" w:color="auto"/>
              <w:bottom w:val="single" w:sz="4" w:space="0" w:color="auto"/>
              <w:right w:val="single" w:sz="4" w:space="0" w:color="auto"/>
            </w:tcBorders>
            <w:shd w:val="clear" w:color="auto" w:fill="auto"/>
            <w:vAlign w:val="center"/>
          </w:tcPr>
          <w:p w:rsidR="001B6516" w:rsidRPr="00272020" w:rsidP="00CF3E73" w14:paraId="654C6CF4" w14:textId="376CFBF2">
            <w:pPr>
              <w:keepNext/>
              <w:widowControl/>
              <w:autoSpaceDE/>
              <w:autoSpaceDN/>
              <w:adjustRightInd/>
              <w:rPr>
                <w:sz w:val="16"/>
                <w:szCs w:val="16"/>
              </w:rPr>
            </w:pPr>
            <w:r w:rsidRPr="00272020">
              <w:rPr>
                <w:sz w:val="16"/>
                <w:szCs w:val="16"/>
              </w:rPr>
              <w:t xml:space="preserve">For fugitive emissions components </w:t>
            </w:r>
            <w:r w:rsidRPr="00272020" w:rsidR="00AE52FF">
              <w:rPr>
                <w:sz w:val="16"/>
                <w:szCs w:val="16"/>
              </w:rPr>
              <w:t>affected facili</w:t>
            </w:r>
            <w:r w:rsidRPr="00272020" w:rsidR="00063D76">
              <w:rPr>
                <w:sz w:val="16"/>
                <w:szCs w:val="16"/>
              </w:rPr>
              <w:t xml:space="preserve">ties </w:t>
            </w:r>
            <w:r w:rsidRPr="00272020">
              <w:rPr>
                <w:sz w:val="16"/>
                <w:szCs w:val="16"/>
              </w:rPr>
              <w:t>at a well site</w:t>
            </w:r>
            <w:r w:rsidRPr="00272020" w:rsidR="00063D76">
              <w:rPr>
                <w:sz w:val="16"/>
                <w:szCs w:val="16"/>
              </w:rPr>
              <w:t xml:space="preserve">, centralized production facility, and </w:t>
            </w:r>
            <w:r w:rsidRPr="00272020">
              <w:rPr>
                <w:sz w:val="16"/>
                <w:szCs w:val="16"/>
              </w:rPr>
              <w:t xml:space="preserve">compressor station, maintain records </w:t>
            </w:r>
            <w:r w:rsidRPr="00272020" w:rsidR="001D6F64">
              <w:rPr>
                <w:sz w:val="16"/>
                <w:szCs w:val="16"/>
              </w:rPr>
              <w:t>of the date of startup of production</w:t>
            </w:r>
            <w:r w:rsidRPr="00272020" w:rsidR="00FC1297">
              <w:rPr>
                <w:sz w:val="16"/>
                <w:szCs w:val="16"/>
              </w:rPr>
              <w:t xml:space="preserve">/modification, </w:t>
            </w:r>
            <w:r w:rsidRPr="00272020" w:rsidR="00C67606">
              <w:rPr>
                <w:sz w:val="16"/>
                <w:szCs w:val="16"/>
              </w:rPr>
              <w:t>records of well site type</w:t>
            </w:r>
            <w:r w:rsidRPr="00272020" w:rsidR="00CF3E73">
              <w:rPr>
                <w:sz w:val="16"/>
                <w:szCs w:val="16"/>
              </w:rPr>
              <w:t xml:space="preserve"> </w:t>
            </w:r>
            <w:r w:rsidRPr="00272020" w:rsidR="00AF21A4">
              <w:rPr>
                <w:sz w:val="16"/>
                <w:szCs w:val="16"/>
              </w:rPr>
              <w:t>(</w:t>
            </w:r>
            <w:r w:rsidRPr="00272020" w:rsidR="00AF21A4">
              <w:rPr>
                <w:i/>
                <w:iCs/>
                <w:sz w:val="16"/>
                <w:szCs w:val="16"/>
              </w:rPr>
              <w:t>i.e.,</w:t>
            </w:r>
            <w:r w:rsidRPr="00272020" w:rsidR="00AF21A4">
              <w:rPr>
                <w:sz w:val="16"/>
                <w:szCs w:val="16"/>
              </w:rPr>
              <w:t xml:space="preserve"> single wellhead only well site, small wellsite, multi-wellhead only well site, or a well site with major production and processing equipment</w:t>
            </w:r>
            <w:r w:rsidRPr="00272020" w:rsidR="00CF3E73">
              <w:rPr>
                <w:sz w:val="16"/>
                <w:szCs w:val="16"/>
              </w:rPr>
              <w:t xml:space="preserve">), </w:t>
            </w:r>
            <w:r w:rsidRPr="00272020" w:rsidR="00575418">
              <w:rPr>
                <w:sz w:val="16"/>
                <w:szCs w:val="16"/>
              </w:rPr>
              <w:t>records of removal of major production and processing equipment at a well site, fugitive emissions monitoring plan, monitoring survey, and records of alternative fugitive emissions standards</w:t>
            </w:r>
            <w:r w:rsidRPr="00272020" w:rsidR="00E5242C">
              <w:rPr>
                <w:sz w:val="16"/>
                <w:szCs w:val="16"/>
              </w:rPr>
              <w:t xml:space="preserve"> (if applicable).</w:t>
            </w:r>
          </w:p>
        </w:tc>
        <w:tc>
          <w:tcPr>
            <w:tcW w:w="3397" w:type="dxa"/>
            <w:tcBorders>
              <w:top w:val="nil"/>
              <w:left w:val="single" w:sz="4" w:space="0" w:color="auto"/>
              <w:bottom w:val="single" w:sz="4" w:space="0" w:color="auto"/>
              <w:right w:val="single" w:sz="4" w:space="0" w:color="auto"/>
            </w:tcBorders>
            <w:shd w:val="clear" w:color="auto" w:fill="auto"/>
            <w:vAlign w:val="center"/>
          </w:tcPr>
          <w:p w:rsidR="001B6516" w:rsidRPr="00272020" w:rsidP="00BF34EF" w14:paraId="3FFCC679" w14:textId="7A882A07">
            <w:pPr>
              <w:keepNext/>
              <w:widowControl/>
              <w:autoSpaceDE/>
              <w:autoSpaceDN/>
              <w:adjustRightInd/>
              <w:rPr>
                <w:color w:val="000000" w:themeColor="text1"/>
                <w:sz w:val="16"/>
                <w:szCs w:val="16"/>
              </w:rPr>
            </w:pPr>
            <w:r w:rsidRPr="00272020">
              <w:rPr>
                <w:sz w:val="16"/>
                <w:szCs w:val="16"/>
              </w:rPr>
              <w:t>§</w:t>
            </w:r>
            <w:r w:rsidRPr="00272020" w:rsidR="0098018A">
              <w:rPr>
                <w:color w:val="000000" w:themeColor="text1"/>
                <w:sz w:val="16"/>
                <w:szCs w:val="16"/>
              </w:rPr>
              <w:t>60.5420</w:t>
            </w:r>
            <w:r w:rsidRPr="00272020" w:rsidR="00354D74">
              <w:rPr>
                <w:color w:val="000000" w:themeColor="text1"/>
                <w:sz w:val="16"/>
                <w:szCs w:val="16"/>
              </w:rPr>
              <w:t>b(</w:t>
            </w:r>
            <w:r w:rsidRPr="00272020" w:rsidR="0098018A">
              <w:rPr>
                <w:color w:val="000000" w:themeColor="text1"/>
                <w:sz w:val="16"/>
                <w:szCs w:val="16"/>
              </w:rPr>
              <w:t>c)</w:t>
            </w:r>
            <w:r w:rsidRPr="00272020" w:rsidR="007146CC">
              <w:rPr>
                <w:color w:val="000000" w:themeColor="text1"/>
                <w:sz w:val="16"/>
                <w:szCs w:val="16"/>
              </w:rPr>
              <w:t>(15)(</w:t>
            </w:r>
            <w:r w:rsidRPr="00272020" w:rsidR="007146CC">
              <w:rPr>
                <w:color w:val="000000" w:themeColor="text1"/>
                <w:sz w:val="16"/>
                <w:szCs w:val="16"/>
              </w:rPr>
              <w:t>i</w:t>
            </w:r>
            <w:r w:rsidRPr="00272020" w:rsidR="007146CC">
              <w:rPr>
                <w:color w:val="000000" w:themeColor="text1"/>
                <w:sz w:val="16"/>
                <w:szCs w:val="16"/>
              </w:rPr>
              <w:t>)</w:t>
            </w:r>
            <w:r w:rsidRPr="00272020" w:rsidR="007133FE">
              <w:rPr>
                <w:color w:val="000000" w:themeColor="text1"/>
                <w:sz w:val="16"/>
                <w:szCs w:val="16"/>
              </w:rPr>
              <w:t>-</w:t>
            </w:r>
            <w:r w:rsidRPr="00272020" w:rsidR="007146CC">
              <w:rPr>
                <w:color w:val="000000" w:themeColor="text1"/>
                <w:sz w:val="16"/>
                <w:szCs w:val="16"/>
              </w:rPr>
              <w:t>(vii)</w:t>
            </w:r>
            <w:r w:rsidRPr="00272020" w:rsidR="002C6295">
              <w:rPr>
                <w:color w:val="000000" w:themeColor="text1"/>
                <w:sz w:val="16"/>
                <w:szCs w:val="16"/>
              </w:rPr>
              <w:t>.</w:t>
            </w:r>
          </w:p>
        </w:tc>
      </w:tr>
      <w:tr w14:paraId="7ED85EC0" w14:textId="77777777" w:rsidTr="00F70213">
        <w:tblPrEx>
          <w:tblW w:w="5688" w:type="pct"/>
          <w:tblInd w:w="-635" w:type="dxa"/>
          <w:tblLook w:val="04A0"/>
        </w:tblPrEx>
        <w:trPr>
          <w:trHeight w:val="359"/>
        </w:trPr>
        <w:tc>
          <w:tcPr>
            <w:tcW w:w="7403"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533F300F" w14:textId="77777777">
            <w:pPr>
              <w:keepNext/>
              <w:widowControl/>
              <w:autoSpaceDE/>
              <w:autoSpaceDN/>
              <w:adjustRightInd/>
              <w:rPr>
                <w:sz w:val="16"/>
                <w:szCs w:val="16"/>
              </w:rPr>
            </w:pPr>
            <w:r w:rsidRPr="00272020">
              <w:rPr>
                <w:sz w:val="16"/>
                <w:szCs w:val="16"/>
              </w:rPr>
              <w:t xml:space="preserve">For affected facilities at onshore gas processing plants, records of subject equipment, records of leak detection and repair program. </w:t>
            </w:r>
          </w:p>
        </w:tc>
        <w:tc>
          <w:tcPr>
            <w:tcW w:w="3397" w:type="dxa"/>
            <w:tcBorders>
              <w:top w:val="nil"/>
              <w:left w:val="single" w:sz="4" w:space="0" w:color="auto"/>
              <w:bottom w:val="single" w:sz="4" w:space="0" w:color="auto"/>
              <w:right w:val="single" w:sz="4" w:space="0" w:color="auto"/>
            </w:tcBorders>
            <w:shd w:val="clear" w:color="auto" w:fill="auto"/>
            <w:vAlign w:val="center"/>
          </w:tcPr>
          <w:p w:rsidR="003E0E10" w:rsidRPr="00272020" w:rsidP="00BF34EF" w14:paraId="3A237F53" w14:textId="7A3B58D5">
            <w:pPr>
              <w:keepNext/>
              <w:widowControl/>
              <w:autoSpaceDE/>
              <w:autoSpaceDN/>
              <w:adjustRightInd/>
              <w:rPr>
                <w:color w:val="FF0000"/>
                <w:sz w:val="16"/>
                <w:szCs w:val="16"/>
              </w:rPr>
            </w:pPr>
            <w:r w:rsidRPr="00272020">
              <w:rPr>
                <w:sz w:val="16"/>
                <w:szCs w:val="16"/>
              </w:rPr>
              <w:t>§60.5400b(l), §60.5421b</w:t>
            </w:r>
          </w:p>
        </w:tc>
      </w:tr>
      <w:tr w14:paraId="30444609" w14:textId="77777777" w:rsidTr="00F70213">
        <w:tblPrEx>
          <w:tblW w:w="5688" w:type="pct"/>
          <w:tblInd w:w="-635" w:type="dxa"/>
          <w:tblLook w:val="04A0"/>
        </w:tblPrEx>
        <w:trPr>
          <w:trHeight w:val="440"/>
        </w:trPr>
        <w:tc>
          <w:tcPr>
            <w:tcW w:w="7403"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4DB7F684" w14:textId="77777777">
            <w:pPr>
              <w:keepNext/>
              <w:widowControl/>
              <w:autoSpaceDE/>
              <w:autoSpaceDN/>
              <w:adjustRightInd/>
              <w:rPr>
                <w:sz w:val="16"/>
                <w:szCs w:val="16"/>
              </w:rPr>
            </w:pPr>
            <w:r w:rsidRPr="00272020">
              <w:rPr>
                <w:sz w:val="16"/>
                <w:szCs w:val="16"/>
              </w:rPr>
              <w:t>For sweetening unit affected facilities at onshore natural gas processing plants, records of sulfur levels, acid gas, calculations, measurements, and compliance records.</w:t>
            </w:r>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25790F14" w14:textId="7C57A0A8">
            <w:pPr>
              <w:keepNext/>
              <w:widowControl/>
              <w:autoSpaceDE/>
              <w:autoSpaceDN/>
              <w:adjustRightInd/>
              <w:rPr>
                <w:sz w:val="16"/>
                <w:szCs w:val="16"/>
              </w:rPr>
            </w:pPr>
            <w:r w:rsidRPr="00272020">
              <w:rPr>
                <w:sz w:val="16"/>
                <w:szCs w:val="16"/>
              </w:rPr>
              <w:t>§60.5410b(</w:t>
            </w:r>
            <w:r w:rsidRPr="00272020">
              <w:rPr>
                <w:sz w:val="16"/>
                <w:szCs w:val="16"/>
              </w:rPr>
              <w:t>i</w:t>
            </w:r>
            <w:r w:rsidRPr="00272020">
              <w:rPr>
                <w:sz w:val="16"/>
                <w:szCs w:val="16"/>
              </w:rPr>
              <w:t>)(13), §60.5423b(a)</w:t>
            </w:r>
          </w:p>
        </w:tc>
      </w:tr>
      <w:tr w14:paraId="16136FB5" w14:textId="77777777" w:rsidTr="00391501">
        <w:tblPrEx>
          <w:tblW w:w="5688" w:type="pct"/>
          <w:tblInd w:w="-635" w:type="dxa"/>
          <w:tblLook w:val="04A0"/>
        </w:tblPrEx>
        <w:trPr>
          <w:trHeight w:val="315"/>
        </w:trPr>
        <w:tc>
          <w:tcPr>
            <w:tcW w:w="10800" w:type="dxa"/>
            <w:gridSpan w:val="2"/>
            <w:tcBorders>
              <w:top w:val="nil"/>
              <w:left w:val="single" w:sz="4" w:space="0" w:color="auto"/>
              <w:bottom w:val="single" w:sz="4" w:space="0" w:color="auto"/>
              <w:right w:val="single" w:sz="4" w:space="0" w:color="auto"/>
            </w:tcBorders>
            <w:shd w:val="clear" w:color="auto" w:fill="auto"/>
            <w:vAlign w:val="center"/>
            <w:hideMark/>
          </w:tcPr>
          <w:p w:rsidR="006377AE" w:rsidRPr="00272020" w:rsidP="006377AE" w14:paraId="1281BBEF" w14:textId="7B7AF23C">
            <w:pPr>
              <w:keepNext/>
              <w:widowControl/>
              <w:autoSpaceDE/>
              <w:autoSpaceDN/>
              <w:adjustRightInd/>
              <w:jc w:val="center"/>
              <w:rPr>
                <w:b/>
                <w:bCs/>
                <w:sz w:val="16"/>
                <w:szCs w:val="16"/>
              </w:rPr>
            </w:pPr>
            <w:r w:rsidRPr="00272020">
              <w:rPr>
                <w:b/>
                <w:bCs/>
                <w:sz w:val="16"/>
                <w:szCs w:val="16"/>
              </w:rPr>
              <w:t>Notifications and Reporting</w:t>
            </w:r>
          </w:p>
        </w:tc>
      </w:tr>
      <w:tr w14:paraId="7CCA9A5F" w14:textId="77777777" w:rsidTr="00E4510C">
        <w:tblPrEx>
          <w:tblW w:w="5688" w:type="pct"/>
          <w:tblInd w:w="-635" w:type="dxa"/>
          <w:tblLook w:val="04A0"/>
        </w:tblPrEx>
        <w:trPr>
          <w:trHeight w:val="315"/>
        </w:trPr>
        <w:tc>
          <w:tcPr>
            <w:tcW w:w="7403"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02B128DB" w14:textId="77777777">
            <w:pPr>
              <w:keepNext/>
              <w:widowControl/>
              <w:autoSpaceDE/>
              <w:autoSpaceDN/>
              <w:adjustRightInd/>
              <w:rPr>
                <w:sz w:val="16"/>
                <w:szCs w:val="16"/>
              </w:rPr>
            </w:pPr>
            <w:r w:rsidRPr="00272020">
              <w:rPr>
                <w:sz w:val="16"/>
                <w:szCs w:val="16"/>
              </w:rPr>
              <w:t>Notify the Administrator at least two days prior to a well completion operation.</w:t>
            </w:r>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61791294" w14:textId="2D716D79">
            <w:pPr>
              <w:keepNext/>
              <w:widowControl/>
              <w:autoSpaceDE/>
              <w:autoSpaceDN/>
              <w:adjustRightInd/>
              <w:rPr>
                <w:sz w:val="16"/>
                <w:szCs w:val="16"/>
              </w:rPr>
            </w:pPr>
            <w:r w:rsidRPr="00272020">
              <w:rPr>
                <w:sz w:val="16"/>
                <w:szCs w:val="16"/>
              </w:rPr>
              <w:t>§</w:t>
            </w:r>
            <w:r w:rsidRPr="00272020">
              <w:rPr>
                <w:sz w:val="16"/>
                <w:szCs w:val="16"/>
              </w:rPr>
              <w:t>60.5420</w:t>
            </w:r>
            <w:r w:rsidRPr="00272020" w:rsidR="00354D74">
              <w:rPr>
                <w:sz w:val="16"/>
                <w:szCs w:val="16"/>
              </w:rPr>
              <w:t>b(</w:t>
            </w:r>
            <w:r w:rsidRPr="00272020">
              <w:rPr>
                <w:sz w:val="16"/>
                <w:szCs w:val="16"/>
              </w:rPr>
              <w:t>a)(2)</w:t>
            </w:r>
          </w:p>
        </w:tc>
      </w:tr>
      <w:tr w14:paraId="0EFB8F88" w14:textId="77777777" w:rsidTr="00E4510C">
        <w:tblPrEx>
          <w:tblW w:w="5688" w:type="pct"/>
          <w:tblInd w:w="-635" w:type="dxa"/>
          <w:tblLook w:val="04A0"/>
        </w:tblPrEx>
        <w:trPr>
          <w:trHeight w:val="315"/>
        </w:trPr>
        <w:tc>
          <w:tcPr>
            <w:tcW w:w="7403" w:type="dxa"/>
            <w:tcBorders>
              <w:top w:val="nil"/>
              <w:left w:val="single" w:sz="4" w:space="0" w:color="auto"/>
              <w:bottom w:val="single" w:sz="4" w:space="0" w:color="auto"/>
              <w:right w:val="single" w:sz="4" w:space="0" w:color="auto"/>
            </w:tcBorders>
            <w:shd w:val="clear" w:color="auto" w:fill="auto"/>
            <w:vAlign w:val="center"/>
            <w:hideMark/>
          </w:tcPr>
          <w:p w:rsidR="008461F2" w:rsidRPr="00272020" w:rsidP="00BF34EF" w14:paraId="039120DB" w14:textId="77777777">
            <w:pPr>
              <w:keepNext/>
              <w:widowControl/>
              <w:autoSpaceDE/>
              <w:autoSpaceDN/>
              <w:adjustRightInd/>
              <w:rPr>
                <w:sz w:val="16"/>
                <w:szCs w:val="16"/>
              </w:rPr>
            </w:pPr>
            <w:r w:rsidRPr="00272020">
              <w:rPr>
                <w:sz w:val="16"/>
                <w:szCs w:val="16"/>
              </w:rPr>
              <w:t>Submit an annual report, per operating entity, for all wellhead, pneumatic controller, pneumatic pump, storage vessel, centrifugal and reciprocating compressor affected facilities.</w:t>
            </w:r>
          </w:p>
        </w:tc>
        <w:tc>
          <w:tcPr>
            <w:tcW w:w="3397" w:type="dxa"/>
            <w:tcBorders>
              <w:top w:val="nil"/>
              <w:left w:val="single" w:sz="4" w:space="0" w:color="auto"/>
              <w:bottom w:val="single" w:sz="4" w:space="0" w:color="auto"/>
              <w:right w:val="single" w:sz="4" w:space="0" w:color="auto"/>
            </w:tcBorders>
            <w:shd w:val="clear" w:color="auto" w:fill="auto"/>
            <w:vAlign w:val="center"/>
          </w:tcPr>
          <w:p w:rsidR="008461F2" w:rsidRPr="00272020" w:rsidP="00BF34EF" w14:paraId="71A62C3A" w14:textId="5B5CA7FF">
            <w:pPr>
              <w:keepNext/>
              <w:widowControl/>
              <w:autoSpaceDE/>
              <w:autoSpaceDN/>
              <w:adjustRightInd/>
              <w:rPr>
                <w:sz w:val="16"/>
                <w:szCs w:val="16"/>
              </w:rPr>
            </w:pPr>
            <w:r w:rsidRPr="00272020">
              <w:rPr>
                <w:sz w:val="16"/>
                <w:szCs w:val="16"/>
              </w:rPr>
              <w:t>§</w:t>
            </w:r>
            <w:r w:rsidRPr="00272020">
              <w:rPr>
                <w:sz w:val="16"/>
                <w:szCs w:val="16"/>
              </w:rPr>
              <w:t>60.5420</w:t>
            </w:r>
            <w:r w:rsidRPr="00272020" w:rsidR="00354D74">
              <w:rPr>
                <w:sz w:val="16"/>
                <w:szCs w:val="16"/>
              </w:rPr>
              <w:t>b(</w:t>
            </w:r>
            <w:r w:rsidRPr="00272020">
              <w:rPr>
                <w:sz w:val="16"/>
                <w:szCs w:val="16"/>
              </w:rPr>
              <w:t>b)</w:t>
            </w:r>
          </w:p>
        </w:tc>
      </w:tr>
      <w:tr w14:paraId="40536177" w14:textId="77777777" w:rsidTr="00E4510C">
        <w:tblPrEx>
          <w:tblW w:w="5688" w:type="pct"/>
          <w:tblInd w:w="-635" w:type="dxa"/>
          <w:tblLook w:val="04A0"/>
        </w:tblPrEx>
        <w:trPr>
          <w:trHeight w:val="315"/>
        </w:trPr>
        <w:tc>
          <w:tcPr>
            <w:tcW w:w="7403" w:type="dxa"/>
            <w:tcBorders>
              <w:top w:val="nil"/>
              <w:left w:val="single" w:sz="4" w:space="0" w:color="auto"/>
              <w:bottom w:val="single" w:sz="4" w:space="0" w:color="auto"/>
              <w:right w:val="single" w:sz="4" w:space="0" w:color="auto"/>
            </w:tcBorders>
            <w:shd w:val="clear" w:color="auto" w:fill="auto"/>
            <w:vAlign w:val="center"/>
          </w:tcPr>
          <w:p w:rsidR="00C55840" w:rsidRPr="00272020" w:rsidP="00C55840" w14:paraId="2DFC9B4B" w14:textId="4E890B9B">
            <w:pPr>
              <w:keepNext/>
              <w:widowControl/>
              <w:autoSpaceDE/>
              <w:autoSpaceDN/>
              <w:adjustRightInd/>
              <w:rPr>
                <w:sz w:val="16"/>
                <w:szCs w:val="16"/>
              </w:rPr>
            </w:pPr>
            <w:r w:rsidRPr="00272020">
              <w:rPr>
                <w:sz w:val="16"/>
                <w:szCs w:val="16"/>
              </w:rPr>
              <w:t xml:space="preserve">Submit an annual report </w:t>
            </w:r>
            <w:r w:rsidRPr="00272020" w:rsidR="009857E3">
              <w:rPr>
                <w:sz w:val="16"/>
                <w:szCs w:val="16"/>
              </w:rPr>
              <w:t>f</w:t>
            </w:r>
            <w:r w:rsidRPr="00272020">
              <w:rPr>
                <w:sz w:val="16"/>
                <w:szCs w:val="16"/>
              </w:rPr>
              <w:t>or fugitive emissions components</w:t>
            </w:r>
            <w:r w:rsidRPr="00272020" w:rsidR="007A56E4">
              <w:rPr>
                <w:sz w:val="16"/>
                <w:szCs w:val="16"/>
              </w:rPr>
              <w:t xml:space="preserve"> affected facility</w:t>
            </w:r>
            <w:r w:rsidRPr="00272020">
              <w:rPr>
                <w:sz w:val="16"/>
                <w:szCs w:val="16"/>
              </w:rPr>
              <w:t xml:space="preserve"> at each well site</w:t>
            </w:r>
            <w:r w:rsidRPr="00272020" w:rsidR="007A56E4">
              <w:rPr>
                <w:sz w:val="16"/>
                <w:szCs w:val="16"/>
              </w:rPr>
              <w:t xml:space="preserve">, centralized production facility and </w:t>
            </w:r>
            <w:r w:rsidRPr="00272020">
              <w:rPr>
                <w:sz w:val="16"/>
                <w:szCs w:val="16"/>
              </w:rPr>
              <w:t>compressor station</w:t>
            </w:r>
            <w:r w:rsidRPr="00272020" w:rsidR="009857E3">
              <w:rPr>
                <w:sz w:val="16"/>
                <w:szCs w:val="16"/>
              </w:rPr>
              <w:t>.</w:t>
            </w:r>
          </w:p>
        </w:tc>
        <w:tc>
          <w:tcPr>
            <w:tcW w:w="3397" w:type="dxa"/>
            <w:tcBorders>
              <w:top w:val="nil"/>
              <w:left w:val="single" w:sz="4" w:space="0" w:color="auto"/>
              <w:bottom w:val="single" w:sz="4" w:space="0" w:color="auto"/>
              <w:right w:val="single" w:sz="4" w:space="0" w:color="auto"/>
            </w:tcBorders>
            <w:shd w:val="clear" w:color="auto" w:fill="auto"/>
            <w:vAlign w:val="center"/>
          </w:tcPr>
          <w:p w:rsidR="00C55840" w:rsidRPr="00272020" w:rsidP="00C55840" w14:paraId="4EDE46EA" w14:textId="55B37881">
            <w:pPr>
              <w:keepNext/>
              <w:widowControl/>
              <w:autoSpaceDE/>
              <w:autoSpaceDN/>
              <w:adjustRightInd/>
              <w:rPr>
                <w:sz w:val="16"/>
                <w:szCs w:val="16"/>
              </w:rPr>
            </w:pPr>
            <w:r w:rsidRPr="00272020">
              <w:rPr>
                <w:sz w:val="16"/>
                <w:szCs w:val="16"/>
              </w:rPr>
              <w:t>§</w:t>
            </w:r>
            <w:r w:rsidRPr="00272020">
              <w:rPr>
                <w:color w:val="000000" w:themeColor="text1"/>
                <w:sz w:val="16"/>
                <w:szCs w:val="16"/>
              </w:rPr>
              <w:t>60.5420</w:t>
            </w:r>
            <w:r w:rsidRPr="00272020" w:rsidR="00354D74">
              <w:rPr>
                <w:color w:val="000000" w:themeColor="text1"/>
                <w:sz w:val="16"/>
                <w:szCs w:val="16"/>
              </w:rPr>
              <w:t>b(</w:t>
            </w:r>
            <w:r w:rsidRPr="00272020">
              <w:rPr>
                <w:color w:val="000000" w:themeColor="text1"/>
                <w:sz w:val="16"/>
                <w:szCs w:val="16"/>
              </w:rPr>
              <w:t>b)(1); (7)</w:t>
            </w:r>
          </w:p>
        </w:tc>
      </w:tr>
      <w:tr w14:paraId="185CC141" w14:textId="77777777" w:rsidTr="00E4510C">
        <w:tblPrEx>
          <w:tblW w:w="5688" w:type="pct"/>
          <w:tblInd w:w="-635" w:type="dxa"/>
          <w:tblLook w:val="04A0"/>
        </w:tblPrEx>
        <w:trPr>
          <w:trHeight w:val="315"/>
        </w:trPr>
        <w:tc>
          <w:tcPr>
            <w:tcW w:w="7403" w:type="dxa"/>
            <w:tcBorders>
              <w:top w:val="nil"/>
              <w:left w:val="single" w:sz="4" w:space="0" w:color="auto"/>
              <w:bottom w:val="single" w:sz="4" w:space="0" w:color="auto"/>
              <w:right w:val="single" w:sz="4" w:space="0" w:color="auto"/>
            </w:tcBorders>
            <w:shd w:val="clear" w:color="auto" w:fill="auto"/>
            <w:vAlign w:val="center"/>
          </w:tcPr>
          <w:p w:rsidR="00C55840" w:rsidRPr="00272020" w:rsidP="00C55840" w14:paraId="63BDFB98" w14:textId="77777777">
            <w:pPr>
              <w:keepNext/>
              <w:widowControl/>
              <w:autoSpaceDE/>
              <w:autoSpaceDN/>
              <w:adjustRightInd/>
              <w:rPr>
                <w:sz w:val="16"/>
                <w:szCs w:val="16"/>
              </w:rPr>
            </w:pPr>
            <w:r w:rsidRPr="00272020">
              <w:rPr>
                <w:sz w:val="16"/>
                <w:szCs w:val="16"/>
              </w:rPr>
              <w:t>Notification of construction or reconstruction.</w:t>
            </w:r>
          </w:p>
        </w:tc>
        <w:tc>
          <w:tcPr>
            <w:tcW w:w="3397" w:type="dxa"/>
            <w:tcBorders>
              <w:top w:val="nil"/>
              <w:left w:val="single" w:sz="4" w:space="0" w:color="auto"/>
              <w:bottom w:val="single" w:sz="4" w:space="0" w:color="auto"/>
              <w:right w:val="single" w:sz="4" w:space="0" w:color="auto"/>
            </w:tcBorders>
            <w:shd w:val="clear" w:color="auto" w:fill="auto"/>
            <w:vAlign w:val="center"/>
          </w:tcPr>
          <w:p w:rsidR="00C55840" w:rsidRPr="00272020" w:rsidP="00C55840" w14:paraId="0A69CFFD" w14:textId="10117284">
            <w:pPr>
              <w:keepNext/>
              <w:widowControl/>
              <w:autoSpaceDE/>
              <w:autoSpaceDN/>
              <w:adjustRightInd/>
              <w:rPr>
                <w:sz w:val="16"/>
                <w:szCs w:val="16"/>
              </w:rPr>
            </w:pPr>
            <w:r w:rsidRPr="00272020">
              <w:rPr>
                <w:sz w:val="16"/>
                <w:szCs w:val="16"/>
              </w:rPr>
              <w:t>§</w:t>
            </w:r>
            <w:r w:rsidRPr="00272020">
              <w:rPr>
                <w:sz w:val="16"/>
                <w:szCs w:val="16"/>
              </w:rPr>
              <w:t>60.7(a)(1)</w:t>
            </w:r>
          </w:p>
        </w:tc>
      </w:tr>
      <w:tr w14:paraId="1E2C5C94" w14:textId="77777777" w:rsidTr="00E4510C">
        <w:tblPrEx>
          <w:tblW w:w="5688" w:type="pct"/>
          <w:tblInd w:w="-635" w:type="dxa"/>
          <w:tblLook w:val="04A0"/>
        </w:tblPrEx>
        <w:trPr>
          <w:cantSplit/>
          <w:trHeight w:val="315"/>
        </w:trPr>
        <w:tc>
          <w:tcPr>
            <w:tcW w:w="7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840" w:rsidRPr="00272020" w:rsidP="00C55840" w14:paraId="396E91C3" w14:textId="77777777">
            <w:pPr>
              <w:keepNext/>
              <w:widowControl/>
              <w:autoSpaceDE/>
              <w:autoSpaceDN/>
              <w:adjustRightInd/>
              <w:rPr>
                <w:sz w:val="16"/>
                <w:szCs w:val="16"/>
              </w:rPr>
            </w:pPr>
            <w:r w:rsidRPr="00272020">
              <w:rPr>
                <w:sz w:val="16"/>
                <w:szCs w:val="16"/>
              </w:rPr>
              <w:t>Notification of performance test.</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55840" w:rsidRPr="00272020" w:rsidP="00C55840" w14:paraId="61DAB3B0" w14:textId="08304B8D">
            <w:pPr>
              <w:keepNext/>
              <w:widowControl/>
              <w:autoSpaceDE/>
              <w:autoSpaceDN/>
              <w:adjustRightInd/>
              <w:rPr>
                <w:sz w:val="16"/>
                <w:szCs w:val="16"/>
              </w:rPr>
            </w:pPr>
            <w:r w:rsidRPr="00272020">
              <w:rPr>
                <w:sz w:val="16"/>
                <w:szCs w:val="16"/>
              </w:rPr>
              <w:t>§</w:t>
            </w:r>
            <w:r w:rsidRPr="00272020">
              <w:rPr>
                <w:sz w:val="16"/>
                <w:szCs w:val="16"/>
              </w:rPr>
              <w:t>60.8(d)</w:t>
            </w:r>
          </w:p>
        </w:tc>
      </w:tr>
      <w:tr w14:paraId="7F4332B6" w14:textId="77777777" w:rsidTr="00E4510C">
        <w:tblPrEx>
          <w:tblW w:w="5688" w:type="pct"/>
          <w:tblInd w:w="-635" w:type="dxa"/>
          <w:tblLook w:val="04A0"/>
        </w:tblPrEx>
        <w:trPr>
          <w:cantSplit/>
          <w:trHeight w:val="315"/>
        </w:trPr>
        <w:tc>
          <w:tcPr>
            <w:tcW w:w="7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5840" w:rsidRPr="00272020" w:rsidP="00C55840" w14:paraId="26E853FD" w14:textId="33DF7127">
            <w:pPr>
              <w:keepNext/>
              <w:widowControl/>
              <w:autoSpaceDE/>
              <w:autoSpaceDN/>
              <w:adjustRightInd/>
              <w:rPr>
                <w:sz w:val="16"/>
                <w:szCs w:val="16"/>
              </w:rPr>
            </w:pPr>
            <w:r w:rsidRPr="00272020">
              <w:rPr>
                <w:sz w:val="16"/>
                <w:szCs w:val="16"/>
              </w:rPr>
              <w:t>Annual reports including excess emissions</w:t>
            </w:r>
            <w:r w:rsidR="00433AAE">
              <w:rPr>
                <w:sz w:val="16"/>
                <w:szCs w:val="16"/>
              </w:rPr>
              <w:t xml:space="preserve"> reports</w:t>
            </w:r>
            <w:r w:rsidRPr="00272020">
              <w:rPr>
                <w:sz w:val="16"/>
                <w:szCs w:val="16"/>
              </w:rPr>
              <w:t>.</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55840" w:rsidRPr="00272020" w:rsidP="00C55840" w14:paraId="39EAC98F" w14:textId="002E2000">
            <w:pPr>
              <w:keepNext/>
              <w:widowControl/>
              <w:autoSpaceDE/>
              <w:autoSpaceDN/>
              <w:adjustRightInd/>
              <w:rPr>
                <w:sz w:val="16"/>
                <w:szCs w:val="16"/>
              </w:rPr>
            </w:pPr>
            <w:r w:rsidRPr="00272020">
              <w:rPr>
                <w:sz w:val="16"/>
                <w:szCs w:val="16"/>
              </w:rPr>
              <w:t>§</w:t>
            </w:r>
            <w:r w:rsidRPr="00272020">
              <w:rPr>
                <w:sz w:val="16"/>
                <w:szCs w:val="16"/>
              </w:rPr>
              <w:t>60.5417</w:t>
            </w:r>
            <w:r w:rsidRPr="00272020" w:rsidR="00354D74">
              <w:rPr>
                <w:sz w:val="16"/>
                <w:szCs w:val="16"/>
              </w:rPr>
              <w:t>b(</w:t>
            </w:r>
            <w:r w:rsidRPr="00272020">
              <w:rPr>
                <w:sz w:val="16"/>
                <w:szCs w:val="16"/>
              </w:rPr>
              <w:t xml:space="preserve">c); </w:t>
            </w:r>
            <w:r w:rsidRPr="00272020">
              <w:rPr>
                <w:sz w:val="16"/>
                <w:szCs w:val="16"/>
              </w:rPr>
              <w:t>§</w:t>
            </w:r>
            <w:r w:rsidRPr="00272020">
              <w:rPr>
                <w:sz w:val="16"/>
                <w:szCs w:val="16"/>
              </w:rPr>
              <w:t>60.487</w:t>
            </w:r>
            <w:r w:rsidRPr="00272020" w:rsidR="00354D74">
              <w:rPr>
                <w:sz w:val="16"/>
                <w:szCs w:val="16"/>
              </w:rPr>
              <w:t>b(</w:t>
            </w:r>
            <w:r w:rsidRPr="00272020">
              <w:rPr>
                <w:sz w:val="16"/>
                <w:szCs w:val="16"/>
              </w:rPr>
              <w:t>c)(2)(</w:t>
            </w:r>
            <w:r w:rsidRPr="00272020">
              <w:rPr>
                <w:sz w:val="16"/>
                <w:szCs w:val="16"/>
              </w:rPr>
              <w:t>i</w:t>
            </w:r>
            <w:r w:rsidRPr="00272020">
              <w:rPr>
                <w:sz w:val="16"/>
                <w:szCs w:val="16"/>
              </w:rPr>
              <w:t>)-(vi)</w:t>
            </w:r>
          </w:p>
        </w:tc>
      </w:tr>
      <w:tr w14:paraId="5BB5A2C1" w14:textId="77777777" w:rsidTr="002726E7">
        <w:tblPrEx>
          <w:tblW w:w="5688" w:type="pct"/>
          <w:tblInd w:w="-635" w:type="dxa"/>
          <w:tblLook w:val="04A0"/>
        </w:tblPrEx>
        <w:trPr>
          <w:cantSplit/>
          <w:trHeight w:val="269"/>
        </w:trPr>
        <w:tc>
          <w:tcPr>
            <w:tcW w:w="7403" w:type="dxa"/>
            <w:tcBorders>
              <w:top w:val="nil"/>
              <w:left w:val="single" w:sz="4" w:space="0" w:color="auto"/>
              <w:bottom w:val="single" w:sz="4" w:space="0" w:color="auto"/>
              <w:right w:val="single" w:sz="4" w:space="0" w:color="auto"/>
            </w:tcBorders>
            <w:shd w:val="clear" w:color="auto" w:fill="auto"/>
            <w:noWrap/>
            <w:vAlign w:val="center"/>
          </w:tcPr>
          <w:p w:rsidR="00E708F7" w:rsidRPr="00272020" w:rsidP="00E708F7" w14:paraId="14CB4CC5" w14:textId="740F0BD8">
            <w:pPr>
              <w:keepNext/>
              <w:widowControl/>
              <w:autoSpaceDE/>
              <w:autoSpaceDN/>
              <w:adjustRightInd/>
              <w:rPr>
                <w:sz w:val="16"/>
                <w:szCs w:val="16"/>
              </w:rPr>
            </w:pPr>
            <w:r w:rsidRPr="00272020">
              <w:rPr>
                <w:sz w:val="16"/>
                <w:szCs w:val="16"/>
              </w:rPr>
              <w:t xml:space="preserve">Performance test results. </w:t>
            </w:r>
          </w:p>
        </w:tc>
        <w:tc>
          <w:tcPr>
            <w:tcW w:w="3397" w:type="dxa"/>
            <w:tcBorders>
              <w:top w:val="nil"/>
              <w:left w:val="single" w:sz="4" w:space="0" w:color="auto"/>
              <w:bottom w:val="single" w:sz="4" w:space="0" w:color="auto"/>
              <w:right w:val="single" w:sz="4" w:space="0" w:color="auto"/>
            </w:tcBorders>
            <w:shd w:val="clear" w:color="auto" w:fill="auto"/>
            <w:vAlign w:val="center"/>
          </w:tcPr>
          <w:p w:rsidR="00E708F7" w:rsidRPr="00272020" w:rsidP="00E708F7" w14:paraId="564CCF32" w14:textId="38326A1F">
            <w:pPr>
              <w:keepNext/>
              <w:widowControl/>
              <w:autoSpaceDE/>
              <w:autoSpaceDN/>
              <w:adjustRightInd/>
              <w:rPr>
                <w:sz w:val="16"/>
                <w:szCs w:val="16"/>
              </w:rPr>
            </w:pPr>
            <w:r w:rsidRPr="00272020">
              <w:rPr>
                <w:sz w:val="16"/>
                <w:szCs w:val="16"/>
              </w:rPr>
              <w:t>§</w:t>
            </w:r>
            <w:r w:rsidRPr="00272020">
              <w:rPr>
                <w:sz w:val="16"/>
                <w:szCs w:val="16"/>
              </w:rPr>
              <w:t>60.487</w:t>
            </w:r>
            <w:r w:rsidRPr="00272020" w:rsidR="00354D74">
              <w:rPr>
                <w:sz w:val="16"/>
                <w:szCs w:val="16"/>
              </w:rPr>
              <w:t>b(</w:t>
            </w:r>
            <w:r w:rsidRPr="00272020">
              <w:rPr>
                <w:sz w:val="16"/>
                <w:szCs w:val="16"/>
              </w:rPr>
              <w:t>e)</w:t>
            </w:r>
          </w:p>
        </w:tc>
      </w:tr>
      <w:tr w14:paraId="2D4244BA" w14:textId="77777777" w:rsidTr="004F423B">
        <w:tblPrEx>
          <w:tblW w:w="5688" w:type="pct"/>
          <w:tblInd w:w="-635" w:type="dxa"/>
          <w:tblLook w:val="04A0"/>
        </w:tblPrEx>
        <w:trPr>
          <w:cantSplit/>
          <w:trHeight w:val="269"/>
        </w:trPr>
        <w:tc>
          <w:tcPr>
            <w:tcW w:w="7403" w:type="dxa"/>
            <w:tcBorders>
              <w:top w:val="nil"/>
              <w:left w:val="single" w:sz="4" w:space="0" w:color="auto"/>
              <w:bottom w:val="single" w:sz="4" w:space="0" w:color="auto"/>
              <w:right w:val="single" w:sz="4" w:space="0" w:color="auto"/>
            </w:tcBorders>
            <w:shd w:val="clear" w:color="auto" w:fill="auto"/>
            <w:noWrap/>
            <w:vAlign w:val="center"/>
          </w:tcPr>
          <w:p w:rsidR="00E708F7" w:rsidRPr="00272020" w:rsidP="00E708F7" w14:paraId="4FFD600F" w14:textId="2259F123">
            <w:pPr>
              <w:keepNext/>
              <w:widowControl/>
              <w:autoSpaceDE/>
              <w:autoSpaceDN/>
              <w:adjustRightInd/>
              <w:rPr>
                <w:sz w:val="16"/>
                <w:szCs w:val="16"/>
              </w:rPr>
            </w:pPr>
            <w:r w:rsidRPr="00272020">
              <w:rPr>
                <w:sz w:val="16"/>
                <w:szCs w:val="16"/>
              </w:rPr>
              <w:t>Semiannual report on excess emissions from and performance of continuous monitoring system, and/or summary report forms at processing plants. Annual report on excess emissions from and performance of continuous monitoring system for sweetening units.</w:t>
            </w:r>
          </w:p>
        </w:tc>
        <w:tc>
          <w:tcPr>
            <w:tcW w:w="3397" w:type="dxa"/>
            <w:tcBorders>
              <w:top w:val="nil"/>
              <w:left w:val="single" w:sz="4" w:space="0" w:color="auto"/>
              <w:bottom w:val="single" w:sz="4" w:space="0" w:color="auto"/>
              <w:right w:val="single" w:sz="4" w:space="0" w:color="auto"/>
            </w:tcBorders>
            <w:shd w:val="clear" w:color="auto" w:fill="auto"/>
            <w:vAlign w:val="center"/>
          </w:tcPr>
          <w:p w:rsidR="00E708F7" w:rsidRPr="00272020" w:rsidP="00E708F7" w14:paraId="465B07AD" w14:textId="76CA8B68">
            <w:pPr>
              <w:keepNext/>
              <w:widowControl/>
              <w:autoSpaceDE/>
              <w:autoSpaceDN/>
              <w:adjustRightInd/>
              <w:rPr>
                <w:sz w:val="16"/>
                <w:szCs w:val="16"/>
              </w:rPr>
            </w:pPr>
            <w:r w:rsidRPr="00272020">
              <w:rPr>
                <w:sz w:val="16"/>
                <w:szCs w:val="16"/>
              </w:rPr>
              <w:t>§</w:t>
            </w:r>
            <w:r w:rsidRPr="00272020">
              <w:rPr>
                <w:sz w:val="16"/>
                <w:szCs w:val="16"/>
              </w:rPr>
              <w:t>60.5422</w:t>
            </w:r>
            <w:r w:rsidRPr="00272020" w:rsidR="00354D74">
              <w:rPr>
                <w:sz w:val="16"/>
                <w:szCs w:val="16"/>
              </w:rPr>
              <w:t>b(</w:t>
            </w:r>
            <w:r w:rsidRPr="00272020">
              <w:rPr>
                <w:sz w:val="16"/>
                <w:szCs w:val="16"/>
              </w:rPr>
              <w:t xml:space="preserve">b), </w:t>
            </w:r>
            <w:r w:rsidRPr="00272020">
              <w:rPr>
                <w:sz w:val="16"/>
                <w:szCs w:val="16"/>
              </w:rPr>
              <w:t>§</w:t>
            </w:r>
            <w:r w:rsidRPr="00272020">
              <w:rPr>
                <w:sz w:val="16"/>
                <w:szCs w:val="16"/>
              </w:rPr>
              <w:t>60.5410</w:t>
            </w:r>
            <w:r w:rsidRPr="00272020" w:rsidR="00354D74">
              <w:rPr>
                <w:sz w:val="16"/>
                <w:szCs w:val="16"/>
              </w:rPr>
              <w:t>b(</w:t>
            </w:r>
            <w:r w:rsidRPr="00272020">
              <w:rPr>
                <w:sz w:val="16"/>
                <w:szCs w:val="16"/>
              </w:rPr>
              <w:t xml:space="preserve">g)(3); </w:t>
            </w:r>
            <w:r w:rsidRPr="00272020">
              <w:rPr>
                <w:sz w:val="16"/>
                <w:szCs w:val="16"/>
              </w:rPr>
              <w:t>§</w:t>
            </w:r>
            <w:r w:rsidRPr="00272020">
              <w:rPr>
                <w:sz w:val="16"/>
                <w:szCs w:val="16"/>
              </w:rPr>
              <w:t>60.5423</w:t>
            </w:r>
            <w:r w:rsidRPr="00272020" w:rsidR="00354D74">
              <w:rPr>
                <w:sz w:val="16"/>
                <w:szCs w:val="16"/>
              </w:rPr>
              <w:t>b(</w:t>
            </w:r>
            <w:r w:rsidRPr="00272020">
              <w:rPr>
                <w:sz w:val="16"/>
                <w:szCs w:val="16"/>
              </w:rPr>
              <w:t>b)</w:t>
            </w:r>
          </w:p>
        </w:tc>
      </w:tr>
      <w:tr w14:paraId="61C820F5" w14:textId="77777777" w:rsidTr="004F423B">
        <w:tblPrEx>
          <w:tblW w:w="5688" w:type="pct"/>
          <w:tblInd w:w="-635" w:type="dxa"/>
          <w:tblLook w:val="04A0"/>
        </w:tblPrEx>
        <w:trPr>
          <w:cantSplit/>
          <w:trHeight w:val="315"/>
        </w:trPr>
        <w:tc>
          <w:tcPr>
            <w:tcW w:w="7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0D0E" w:rsidRPr="00272020" w:rsidP="00C60D0E" w14:paraId="625354FB" w14:textId="7A8F0B47">
            <w:pPr>
              <w:keepNext/>
              <w:widowControl/>
              <w:autoSpaceDE/>
              <w:autoSpaceDN/>
              <w:adjustRightInd/>
              <w:rPr>
                <w:sz w:val="16"/>
                <w:szCs w:val="16"/>
              </w:rPr>
            </w:pPr>
            <w:r w:rsidRPr="00272020">
              <w:rPr>
                <w:sz w:val="16"/>
                <w:szCs w:val="16"/>
              </w:rPr>
              <w:t>Instructions for submitting reports to the EPA via</w:t>
            </w:r>
            <w:r w:rsidR="00DE06A1">
              <w:t xml:space="preserve"> </w:t>
            </w:r>
            <w:r w:rsidRPr="00DE06A1" w:rsidR="00DE06A1">
              <w:rPr>
                <w:sz w:val="16"/>
                <w:szCs w:val="16"/>
              </w:rPr>
              <w:t>Compliance and Emissions Data Reporting Interface</w:t>
            </w:r>
            <w:r w:rsidR="00DE06A1">
              <w:rPr>
                <w:sz w:val="16"/>
                <w:szCs w:val="16"/>
              </w:rPr>
              <w:t xml:space="preserve"> (</w:t>
            </w:r>
            <w:r w:rsidRPr="00272020">
              <w:rPr>
                <w:sz w:val="16"/>
                <w:szCs w:val="16"/>
              </w:rPr>
              <w:t>CEDRI</w:t>
            </w:r>
            <w:r w:rsidR="00DE06A1">
              <w:rPr>
                <w:sz w:val="16"/>
                <w:szCs w:val="16"/>
              </w:rPr>
              <w:t>)</w:t>
            </w:r>
            <w:r w:rsidRPr="00272020">
              <w:rPr>
                <w:sz w:val="16"/>
                <w:szCs w:val="16"/>
              </w:rPr>
              <w:t>.</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C60D0E" w:rsidRPr="00272020" w:rsidP="00C60D0E" w14:paraId="31F010FA" w14:textId="5E4392A5">
            <w:pPr>
              <w:keepNext/>
              <w:widowControl/>
              <w:autoSpaceDE/>
              <w:autoSpaceDN/>
              <w:adjustRightInd/>
              <w:rPr>
                <w:sz w:val="16"/>
                <w:szCs w:val="16"/>
              </w:rPr>
            </w:pPr>
            <w:r w:rsidRPr="00272020">
              <w:rPr>
                <w:sz w:val="16"/>
                <w:szCs w:val="16"/>
              </w:rPr>
              <w:t>§</w:t>
            </w:r>
            <w:r w:rsidRPr="00272020">
              <w:rPr>
                <w:sz w:val="16"/>
                <w:szCs w:val="16"/>
              </w:rPr>
              <w:t>60.5420</w:t>
            </w:r>
            <w:r w:rsidRPr="00272020" w:rsidR="00354D74">
              <w:rPr>
                <w:sz w:val="16"/>
                <w:szCs w:val="16"/>
              </w:rPr>
              <w:t>b(</w:t>
            </w:r>
            <w:r w:rsidRPr="00272020">
              <w:rPr>
                <w:sz w:val="16"/>
                <w:szCs w:val="16"/>
              </w:rPr>
              <w:t>c)(11)</w:t>
            </w:r>
          </w:p>
        </w:tc>
      </w:tr>
      <w:tr w14:paraId="20221831" w14:textId="77777777" w:rsidTr="004F423B">
        <w:tblPrEx>
          <w:tblW w:w="5688" w:type="pct"/>
          <w:tblInd w:w="-635" w:type="dxa"/>
          <w:tblLook w:val="04A0"/>
        </w:tblPrEx>
        <w:trPr>
          <w:cantSplit/>
          <w:trHeight w:val="315"/>
        </w:trPr>
        <w:tc>
          <w:tcPr>
            <w:tcW w:w="7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3B" w:rsidRPr="00272020" w:rsidP="00C60D0E" w14:paraId="768A6FD0" w14:textId="4A6674C0">
            <w:pPr>
              <w:keepNext/>
              <w:widowControl/>
              <w:autoSpaceDE/>
              <w:autoSpaceDN/>
              <w:adjustRightInd/>
              <w:rPr>
                <w:sz w:val="16"/>
                <w:szCs w:val="16"/>
              </w:rPr>
            </w:pPr>
            <w:r>
              <w:rPr>
                <w:sz w:val="16"/>
                <w:szCs w:val="16"/>
              </w:rPr>
              <w:t>Application for certification as third-party notifier of super-emitter emissions events</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4F423B" w:rsidRPr="00272020" w:rsidP="00C60D0E" w14:paraId="37F07E17" w14:textId="553F9D3F">
            <w:pPr>
              <w:keepNext/>
              <w:widowControl/>
              <w:autoSpaceDE/>
              <w:autoSpaceDN/>
              <w:adjustRightInd/>
              <w:rPr>
                <w:sz w:val="16"/>
                <w:szCs w:val="16"/>
              </w:rPr>
            </w:pPr>
            <w:r w:rsidRPr="00272020">
              <w:rPr>
                <w:sz w:val="16"/>
                <w:szCs w:val="16"/>
              </w:rPr>
              <w:t>§60.537</w:t>
            </w:r>
            <w:r>
              <w:rPr>
                <w:sz w:val="16"/>
                <w:szCs w:val="16"/>
              </w:rPr>
              <w:t>1</w:t>
            </w:r>
            <w:r w:rsidRPr="00272020">
              <w:rPr>
                <w:sz w:val="16"/>
                <w:szCs w:val="16"/>
              </w:rPr>
              <w:t>b(</w:t>
            </w:r>
            <w:r>
              <w:rPr>
                <w:sz w:val="16"/>
                <w:szCs w:val="16"/>
              </w:rPr>
              <w:t>a)</w:t>
            </w:r>
          </w:p>
        </w:tc>
      </w:tr>
      <w:tr w14:paraId="5A14EA58" w14:textId="77777777" w:rsidTr="004F423B">
        <w:tblPrEx>
          <w:tblW w:w="5688" w:type="pct"/>
          <w:tblInd w:w="-635" w:type="dxa"/>
          <w:tblLook w:val="04A0"/>
        </w:tblPrEx>
        <w:trPr>
          <w:cantSplit/>
          <w:trHeight w:val="315"/>
        </w:trPr>
        <w:tc>
          <w:tcPr>
            <w:tcW w:w="74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23B" w:rsidRPr="00272020" w:rsidP="004F423B" w14:paraId="2E0CC262" w14:textId="5D527173">
            <w:pPr>
              <w:keepNext/>
              <w:widowControl/>
              <w:autoSpaceDE/>
              <w:autoSpaceDN/>
              <w:adjustRightInd/>
              <w:rPr>
                <w:sz w:val="16"/>
                <w:szCs w:val="16"/>
              </w:rPr>
            </w:pPr>
            <w:r>
              <w:rPr>
                <w:sz w:val="16"/>
                <w:szCs w:val="16"/>
              </w:rPr>
              <w:t>Notification of super-emitter emissions events</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4F423B" w:rsidRPr="00272020" w:rsidP="004F423B" w14:paraId="3A89F8A7" w14:textId="61DB9097">
            <w:pPr>
              <w:keepNext/>
              <w:widowControl/>
              <w:autoSpaceDE/>
              <w:autoSpaceDN/>
              <w:adjustRightInd/>
              <w:rPr>
                <w:sz w:val="16"/>
                <w:szCs w:val="16"/>
              </w:rPr>
            </w:pPr>
            <w:r w:rsidRPr="00272020">
              <w:rPr>
                <w:sz w:val="16"/>
                <w:szCs w:val="16"/>
              </w:rPr>
              <w:t>§60.537</w:t>
            </w:r>
            <w:r>
              <w:rPr>
                <w:sz w:val="16"/>
                <w:szCs w:val="16"/>
              </w:rPr>
              <w:t>1</w:t>
            </w:r>
            <w:r w:rsidRPr="00272020">
              <w:rPr>
                <w:sz w:val="16"/>
                <w:szCs w:val="16"/>
              </w:rPr>
              <w:t>b(</w:t>
            </w:r>
            <w:r>
              <w:rPr>
                <w:sz w:val="16"/>
                <w:szCs w:val="16"/>
              </w:rPr>
              <w:t>b)</w:t>
            </w:r>
          </w:p>
        </w:tc>
      </w:tr>
      <w:tr w14:paraId="3F5D02EE" w14:textId="77777777" w:rsidTr="004F423B">
        <w:tblPrEx>
          <w:tblW w:w="5688" w:type="pct"/>
          <w:tblInd w:w="-635" w:type="dxa"/>
          <w:tblLook w:val="04A0"/>
        </w:tblPrEx>
        <w:trPr>
          <w:cantSplit/>
          <w:trHeight w:val="315"/>
        </w:trPr>
        <w:tc>
          <w:tcPr>
            <w:tcW w:w="7403" w:type="dxa"/>
            <w:tcBorders>
              <w:top w:val="single" w:sz="4" w:space="0" w:color="auto"/>
              <w:left w:val="single" w:sz="4" w:space="0" w:color="auto"/>
              <w:bottom w:val="nil"/>
              <w:right w:val="single" w:sz="4" w:space="0" w:color="auto"/>
            </w:tcBorders>
            <w:shd w:val="clear" w:color="auto" w:fill="auto"/>
            <w:noWrap/>
            <w:vAlign w:val="center"/>
          </w:tcPr>
          <w:p w:rsidR="004F423B" w:rsidRPr="00272020" w:rsidP="004F423B" w14:paraId="5D243464" w14:textId="69F89028">
            <w:pPr>
              <w:keepNext/>
              <w:widowControl/>
              <w:autoSpaceDE/>
              <w:autoSpaceDN/>
              <w:adjustRightInd/>
              <w:rPr>
                <w:sz w:val="16"/>
                <w:szCs w:val="16"/>
              </w:rPr>
            </w:pPr>
            <w:r>
              <w:rPr>
                <w:sz w:val="16"/>
                <w:szCs w:val="16"/>
              </w:rPr>
              <w:t xml:space="preserve">For super-emitter emissions events, notification of event, </w:t>
            </w:r>
            <w:r>
              <w:rPr>
                <w:sz w:val="16"/>
                <w:szCs w:val="16"/>
              </w:rPr>
              <w:t>date</w:t>
            </w:r>
            <w:r>
              <w:rPr>
                <w:sz w:val="16"/>
                <w:szCs w:val="16"/>
              </w:rPr>
              <w:t xml:space="preserve"> and results of inspections to identify the source of emissions, and description of corrective actions.</w:t>
            </w:r>
          </w:p>
        </w:tc>
        <w:tc>
          <w:tcPr>
            <w:tcW w:w="3397" w:type="dxa"/>
            <w:tcBorders>
              <w:top w:val="single" w:sz="4" w:space="0" w:color="auto"/>
              <w:left w:val="single" w:sz="4" w:space="0" w:color="auto"/>
              <w:bottom w:val="nil"/>
              <w:right w:val="single" w:sz="4" w:space="0" w:color="auto"/>
            </w:tcBorders>
            <w:shd w:val="clear" w:color="auto" w:fill="auto"/>
            <w:vAlign w:val="center"/>
          </w:tcPr>
          <w:p w:rsidR="004F423B" w:rsidRPr="00272020" w:rsidP="004F423B" w14:paraId="50FAC4CE" w14:textId="7FBF436A">
            <w:pPr>
              <w:keepNext/>
              <w:widowControl/>
              <w:autoSpaceDE/>
              <w:autoSpaceDN/>
              <w:adjustRightInd/>
              <w:rPr>
                <w:sz w:val="16"/>
                <w:szCs w:val="16"/>
              </w:rPr>
            </w:pPr>
            <w:r w:rsidRPr="00272020">
              <w:rPr>
                <w:sz w:val="16"/>
                <w:szCs w:val="16"/>
              </w:rPr>
              <w:t>§60.537</w:t>
            </w:r>
            <w:r>
              <w:rPr>
                <w:sz w:val="16"/>
                <w:szCs w:val="16"/>
              </w:rPr>
              <w:t>1</w:t>
            </w:r>
            <w:r w:rsidRPr="00272020">
              <w:rPr>
                <w:sz w:val="16"/>
                <w:szCs w:val="16"/>
              </w:rPr>
              <w:t>b(</w:t>
            </w:r>
            <w:r>
              <w:rPr>
                <w:sz w:val="16"/>
                <w:szCs w:val="16"/>
              </w:rPr>
              <w:t>c</w:t>
            </w:r>
            <w:r w:rsidRPr="00272020">
              <w:rPr>
                <w:sz w:val="16"/>
                <w:szCs w:val="16"/>
              </w:rPr>
              <w:t>)</w:t>
            </w:r>
            <w:r>
              <w:rPr>
                <w:sz w:val="16"/>
                <w:szCs w:val="16"/>
              </w:rPr>
              <w:t>, (d), (e)</w:t>
            </w:r>
          </w:p>
        </w:tc>
      </w:tr>
      <w:tr w14:paraId="7D1627B5" w14:textId="77777777" w:rsidTr="002726E7">
        <w:tblPrEx>
          <w:tblW w:w="5688" w:type="pct"/>
          <w:tblInd w:w="-635" w:type="dxa"/>
          <w:tblLook w:val="04A0"/>
        </w:tblPrEx>
        <w:trPr>
          <w:cantSplit/>
          <w:trHeight w:val="68"/>
        </w:trPr>
        <w:tc>
          <w:tcPr>
            <w:tcW w:w="7403" w:type="dxa"/>
            <w:tcBorders>
              <w:top w:val="nil"/>
              <w:left w:val="single" w:sz="4" w:space="0" w:color="auto"/>
              <w:bottom w:val="single" w:sz="4" w:space="0" w:color="auto"/>
              <w:right w:val="single" w:sz="4" w:space="0" w:color="auto"/>
            </w:tcBorders>
            <w:shd w:val="clear" w:color="auto" w:fill="auto"/>
            <w:noWrap/>
            <w:vAlign w:val="center"/>
          </w:tcPr>
          <w:p w:rsidR="004F423B" w:rsidRPr="00272020" w:rsidP="004F423B" w14:paraId="55A5448C" w14:textId="6723B976">
            <w:pPr>
              <w:keepNext/>
              <w:widowControl/>
              <w:autoSpaceDE/>
              <w:autoSpaceDN/>
              <w:adjustRightInd/>
              <w:rPr>
                <w:sz w:val="16"/>
                <w:szCs w:val="16"/>
              </w:rPr>
            </w:pPr>
          </w:p>
        </w:tc>
        <w:tc>
          <w:tcPr>
            <w:tcW w:w="3397" w:type="dxa"/>
            <w:tcBorders>
              <w:top w:val="nil"/>
              <w:left w:val="single" w:sz="4" w:space="0" w:color="auto"/>
              <w:bottom w:val="single" w:sz="4" w:space="0" w:color="auto"/>
              <w:right w:val="single" w:sz="4" w:space="0" w:color="auto"/>
            </w:tcBorders>
            <w:shd w:val="clear" w:color="auto" w:fill="auto"/>
            <w:vAlign w:val="center"/>
          </w:tcPr>
          <w:p w:rsidR="004F423B" w:rsidRPr="00272020" w:rsidP="004F423B" w14:paraId="40439E21" w14:textId="77777777">
            <w:pPr>
              <w:keepNext/>
              <w:widowControl/>
              <w:autoSpaceDE/>
              <w:autoSpaceDN/>
              <w:adjustRightInd/>
              <w:rPr>
                <w:sz w:val="16"/>
                <w:szCs w:val="16"/>
              </w:rPr>
            </w:pPr>
          </w:p>
        </w:tc>
      </w:tr>
    </w:tbl>
    <w:p w:rsidR="00272020" w:rsidP="00F70213" w14:paraId="0EBC4294" w14:textId="77777777">
      <w:pPr>
        <w:keepNext/>
        <w:widowControl/>
        <w:spacing w:line="276" w:lineRule="auto"/>
        <w:rPr>
          <w:i/>
          <w:sz w:val="24"/>
          <w:szCs w:val="24"/>
        </w:rPr>
      </w:pPr>
    </w:p>
    <w:p w:rsidR="009A71A0" w:rsidP="00F70213" w14:paraId="69DB8537" w14:textId="46DFB1FE">
      <w:pPr>
        <w:keepNext/>
        <w:widowControl/>
        <w:spacing w:line="276" w:lineRule="auto"/>
        <w:rPr>
          <w:i/>
          <w:sz w:val="24"/>
          <w:szCs w:val="24"/>
        </w:rPr>
      </w:pPr>
      <w:r w:rsidRPr="00270646">
        <w:rPr>
          <w:i/>
          <w:sz w:val="24"/>
          <w:szCs w:val="24"/>
        </w:rPr>
        <w:t>(ii)</w:t>
      </w:r>
      <w:r w:rsidRPr="00270646">
        <w:rPr>
          <w:i/>
          <w:sz w:val="24"/>
          <w:szCs w:val="24"/>
        </w:rPr>
        <w:tab/>
        <w:t>Respondent Activities</w:t>
      </w:r>
      <w:r>
        <w:rPr>
          <w:i/>
          <w:sz w:val="24"/>
          <w:szCs w:val="24"/>
        </w:rPr>
        <w:t>.</w:t>
      </w:r>
    </w:p>
    <w:p w:rsidR="008A2727" w:rsidRPr="00BC08FE" w:rsidP="00F70213" w14:paraId="4C529BCC" w14:textId="77777777">
      <w:pPr>
        <w:keepNext/>
        <w:widowControl/>
        <w:spacing w:line="276" w:lineRule="auto"/>
        <w:rPr>
          <w:b/>
          <w:sz w:val="24"/>
          <w:szCs w:val="24"/>
        </w:rPr>
      </w:pPr>
    </w:p>
    <w:tbl>
      <w:tblPr>
        <w:tblW w:w="4984" w:type="pct"/>
        <w:jc w:val="center"/>
        <w:tblCellMar>
          <w:left w:w="120" w:type="dxa"/>
          <w:right w:w="120" w:type="dxa"/>
        </w:tblCellMar>
        <w:tblLook w:val="0000"/>
      </w:tblPr>
      <w:tblGrid>
        <w:gridCol w:w="9464"/>
      </w:tblGrid>
      <w:tr w14:paraId="7FD42F0A" w14:textId="77777777" w:rsidTr="007C5378">
        <w:tblPrEx>
          <w:tblW w:w="4984" w:type="pct"/>
          <w:jc w:val="center"/>
          <w:tblCellMar>
            <w:left w:w="120" w:type="dxa"/>
            <w:right w:w="120" w:type="dxa"/>
          </w:tblCellMar>
          <w:tblLook w:val="0000"/>
        </w:tblPrEx>
        <w:trPr>
          <w:cantSplit/>
          <w:tblHeader/>
          <w:jc w:val="center"/>
        </w:trPr>
        <w:tc>
          <w:tcPr>
            <w:tcW w:w="5000" w:type="pct"/>
            <w:tcBorders>
              <w:top w:val="single" w:sz="4" w:space="0" w:color="auto"/>
              <w:left w:val="single" w:sz="4" w:space="0" w:color="auto"/>
              <w:bottom w:val="single" w:sz="4" w:space="0" w:color="auto"/>
              <w:right w:val="single" w:sz="4" w:space="0" w:color="auto"/>
            </w:tcBorders>
            <w:vAlign w:val="center"/>
          </w:tcPr>
          <w:p w:rsidR="00E339AD" w:rsidRPr="008A2727" w:rsidP="00F70213" w14:paraId="25927D0D" w14:textId="77777777">
            <w:pPr>
              <w:keepNext/>
              <w:widowControl/>
              <w:spacing w:line="276" w:lineRule="auto"/>
              <w:jc w:val="center"/>
              <w:rPr>
                <w:b/>
                <w:bCs/>
              </w:rPr>
            </w:pPr>
            <w:r w:rsidRPr="008A2727">
              <w:rPr>
                <w:b/>
                <w:bCs/>
              </w:rPr>
              <w:t>Respondent Activities</w:t>
            </w:r>
          </w:p>
        </w:tc>
      </w:tr>
      <w:tr w14:paraId="2B7FEE86" w14:textId="77777777" w:rsidTr="007C5378">
        <w:tblPrEx>
          <w:tblW w:w="4984" w:type="pct"/>
          <w:jc w:val="center"/>
          <w:tblCellMar>
            <w:left w:w="120" w:type="dxa"/>
            <w:right w:w="120" w:type="dxa"/>
          </w:tblCellMar>
          <w:tblLook w:val="0000"/>
        </w:tblPrEx>
        <w:trPr>
          <w:cantSplit/>
          <w:jc w:val="center"/>
        </w:trPr>
        <w:tc>
          <w:tcPr>
            <w:tcW w:w="5000" w:type="pct"/>
            <w:tcBorders>
              <w:top w:val="single" w:sz="4" w:space="0" w:color="auto"/>
              <w:left w:val="single" w:sz="4" w:space="0" w:color="auto"/>
              <w:bottom w:val="single" w:sz="4" w:space="0" w:color="auto"/>
              <w:right w:val="single" w:sz="4" w:space="0" w:color="auto"/>
            </w:tcBorders>
          </w:tcPr>
          <w:p w:rsidR="00E339AD" w:rsidRPr="008A2727" w:rsidP="00F70213" w14:paraId="0A1D923D" w14:textId="447B816B">
            <w:pPr>
              <w:keepNext/>
              <w:widowControl/>
              <w:spacing w:line="276" w:lineRule="auto"/>
            </w:pPr>
            <w:r w:rsidRPr="008A2727">
              <w:t>Read instructions</w:t>
            </w:r>
            <w:r w:rsidRPr="008A2727" w:rsidR="004E0BF2">
              <w:t>/rule</w:t>
            </w:r>
            <w:r w:rsidRPr="008A2727">
              <w:t>.</w:t>
            </w:r>
          </w:p>
        </w:tc>
      </w:tr>
      <w:tr w14:paraId="05BE320D" w14:textId="77777777" w:rsidTr="007C5378">
        <w:tblPrEx>
          <w:tblW w:w="4984" w:type="pct"/>
          <w:jc w:val="center"/>
          <w:tblCellMar>
            <w:left w:w="120" w:type="dxa"/>
            <w:right w:w="120" w:type="dxa"/>
          </w:tblCellMar>
          <w:tblLook w:val="0000"/>
        </w:tblPrEx>
        <w:trPr>
          <w:cantSplit/>
          <w:jc w:val="center"/>
        </w:trPr>
        <w:tc>
          <w:tcPr>
            <w:tcW w:w="5000" w:type="pct"/>
            <w:tcBorders>
              <w:top w:val="single" w:sz="4" w:space="0" w:color="auto"/>
              <w:left w:val="single" w:sz="7" w:space="0" w:color="000000"/>
              <w:bottom w:val="single" w:sz="7" w:space="0" w:color="000000"/>
              <w:right w:val="single" w:sz="7" w:space="0" w:color="000000"/>
            </w:tcBorders>
          </w:tcPr>
          <w:p w:rsidR="00E339AD" w:rsidRPr="008A2727" w:rsidP="00F70213" w14:paraId="65EE65A4" w14:textId="77777777">
            <w:pPr>
              <w:keepNext/>
              <w:widowControl/>
              <w:spacing w:line="276" w:lineRule="auto"/>
              <w:rPr>
                <w:color w:val="000000" w:themeColor="text1"/>
              </w:rPr>
            </w:pPr>
            <w:r w:rsidRPr="008A2727">
              <w:rPr>
                <w:color w:val="000000" w:themeColor="text1"/>
              </w:rPr>
              <w:t>Gather relevant information.</w:t>
            </w:r>
          </w:p>
        </w:tc>
      </w:tr>
      <w:tr w14:paraId="5974CD3D" w14:textId="77777777" w:rsidTr="00E339AD">
        <w:tblPrEx>
          <w:tblW w:w="4984"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7" w:space="0" w:color="000000"/>
              <w:right w:val="single" w:sz="7" w:space="0" w:color="000000"/>
            </w:tcBorders>
          </w:tcPr>
          <w:p w:rsidR="00E339AD" w:rsidRPr="008A2727" w:rsidP="00F70213" w14:paraId="6C92DEA8" w14:textId="77777777">
            <w:pPr>
              <w:keepNext/>
              <w:widowControl/>
              <w:spacing w:line="276" w:lineRule="auto"/>
              <w:rPr>
                <w:color w:val="000000" w:themeColor="text1"/>
              </w:rPr>
            </w:pPr>
            <w:r w:rsidRPr="008A2727">
              <w:rPr>
                <w:color w:val="000000" w:themeColor="text1"/>
              </w:rPr>
              <w:t>Perform initial performance test and repeat performance tests if necessary.</w:t>
            </w:r>
          </w:p>
        </w:tc>
      </w:tr>
      <w:tr w14:paraId="22477B9A" w14:textId="77777777" w:rsidTr="00E339AD">
        <w:tblPrEx>
          <w:tblW w:w="4984"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auto"/>
              <w:right w:val="single" w:sz="7" w:space="0" w:color="000000"/>
            </w:tcBorders>
          </w:tcPr>
          <w:p w:rsidR="00E339AD" w:rsidRPr="008A2727" w:rsidP="00F70213" w14:paraId="70F280E3" w14:textId="77777777">
            <w:pPr>
              <w:keepNext/>
              <w:widowControl/>
              <w:spacing w:line="276" w:lineRule="auto"/>
            </w:pPr>
            <w:r w:rsidRPr="008A2727">
              <w:t xml:space="preserve">Write the notifications and reports listed above. </w:t>
            </w:r>
          </w:p>
        </w:tc>
      </w:tr>
      <w:tr w14:paraId="4040A91B" w14:textId="77777777" w:rsidTr="00E339AD">
        <w:tblPrEx>
          <w:tblW w:w="4984" w:type="pct"/>
          <w:jc w:val="center"/>
          <w:tblCellMar>
            <w:left w:w="120" w:type="dxa"/>
            <w:right w:w="120" w:type="dxa"/>
          </w:tblCellMar>
          <w:tblLook w:val="0000"/>
        </w:tblPrEx>
        <w:trPr>
          <w:cantSplit/>
          <w:jc w:val="center"/>
        </w:trPr>
        <w:tc>
          <w:tcPr>
            <w:tcW w:w="5000" w:type="pct"/>
            <w:tcBorders>
              <w:top w:val="single" w:sz="4" w:space="0" w:color="auto"/>
              <w:left w:val="single" w:sz="4" w:space="0" w:color="auto"/>
              <w:bottom w:val="single" w:sz="4" w:space="0" w:color="auto"/>
              <w:right w:val="single" w:sz="4" w:space="0" w:color="auto"/>
            </w:tcBorders>
          </w:tcPr>
          <w:p w:rsidR="00E339AD" w:rsidRPr="008A2727" w:rsidP="00F70213" w14:paraId="2B5D9598" w14:textId="77777777">
            <w:pPr>
              <w:keepNext/>
              <w:widowControl/>
              <w:spacing w:line="276" w:lineRule="auto"/>
            </w:pPr>
            <w:r w:rsidRPr="008A2727">
              <w:t>Enter information required to be recorded above.</w:t>
            </w:r>
          </w:p>
        </w:tc>
      </w:tr>
      <w:tr w14:paraId="3A8B4010" w14:textId="77777777" w:rsidTr="00E339AD">
        <w:tblPrEx>
          <w:tblW w:w="4984"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8A2727" w:rsidP="00F70213" w14:paraId="0BA45631" w14:textId="77777777">
            <w:pPr>
              <w:keepNext/>
              <w:widowControl/>
              <w:spacing w:line="276" w:lineRule="auto"/>
            </w:pPr>
            <w:r w:rsidRPr="008A2727">
              <w:t>Submit the required reports developing, acquiring, installing, and utilizing technology and systems for the purpose of collecting, validating, and verifying information.</w:t>
            </w:r>
          </w:p>
        </w:tc>
      </w:tr>
      <w:tr w14:paraId="356EA012" w14:textId="77777777" w:rsidTr="00E339AD">
        <w:tblPrEx>
          <w:tblW w:w="4984"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8A2727" w:rsidP="00F70213" w14:paraId="0B256A60" w14:textId="77777777">
            <w:pPr>
              <w:keepNext/>
              <w:widowControl/>
              <w:spacing w:line="276" w:lineRule="auto"/>
            </w:pPr>
            <w:r w:rsidRPr="008A2727">
              <w:t>Develop, acquire, install, and utilize technology and systems for the purpose of processing and maintaining information.</w:t>
            </w:r>
          </w:p>
        </w:tc>
      </w:tr>
      <w:tr w14:paraId="3B9F3847" w14:textId="77777777" w:rsidTr="00E339AD">
        <w:tblPrEx>
          <w:tblW w:w="4984"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8A2727" w:rsidP="00F70213" w14:paraId="6FFF990B" w14:textId="77777777">
            <w:pPr>
              <w:keepNext/>
              <w:widowControl/>
              <w:spacing w:line="276" w:lineRule="auto"/>
            </w:pPr>
            <w:r w:rsidRPr="008A2727">
              <w:t>Develop, acquire, install, and utilize technology and systems for the purpose of disclosing and providing information.</w:t>
            </w:r>
          </w:p>
        </w:tc>
      </w:tr>
      <w:tr w14:paraId="11E18D2F" w14:textId="77777777" w:rsidTr="00E339AD">
        <w:tblPrEx>
          <w:tblW w:w="4984"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8A2727" w:rsidP="00F70213" w14:paraId="663ECA3E" w14:textId="77777777">
            <w:pPr>
              <w:keepNext/>
              <w:widowControl/>
              <w:spacing w:line="276" w:lineRule="auto"/>
            </w:pPr>
            <w:r w:rsidRPr="008A2727">
              <w:t>Adjust the existing ways to comply with any previously applicable instructions and requirements.</w:t>
            </w:r>
          </w:p>
        </w:tc>
      </w:tr>
      <w:tr w14:paraId="238458F2" w14:textId="77777777" w:rsidTr="00E339AD">
        <w:tblPrEx>
          <w:tblW w:w="4984"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tcPr>
          <w:p w:rsidR="00E339AD" w:rsidRPr="008A2727" w:rsidP="00F70213" w14:paraId="14F203B1" w14:textId="77777777">
            <w:pPr>
              <w:keepNext/>
              <w:widowControl/>
              <w:spacing w:line="276" w:lineRule="auto"/>
            </w:pPr>
            <w:r w:rsidRPr="008A2727">
              <w:t>Train personnel to be able to respond to a collection of information.</w:t>
            </w:r>
          </w:p>
        </w:tc>
      </w:tr>
      <w:tr w14:paraId="03CEFA35" w14:textId="77777777" w:rsidTr="00E339AD">
        <w:tblPrEx>
          <w:tblW w:w="4984" w:type="pct"/>
          <w:jc w:val="center"/>
          <w:tblCellMar>
            <w:left w:w="120" w:type="dxa"/>
            <w:right w:w="120" w:type="dxa"/>
          </w:tblCellMar>
          <w:tblLook w:val="0000"/>
        </w:tblPrEx>
        <w:trPr>
          <w:cantSplit/>
          <w:jc w:val="center"/>
        </w:trPr>
        <w:tc>
          <w:tcPr>
            <w:tcW w:w="5000" w:type="pct"/>
            <w:tcBorders>
              <w:top w:val="single" w:sz="7" w:space="0" w:color="000000"/>
              <w:left w:val="single" w:sz="7" w:space="0" w:color="000000"/>
              <w:bottom w:val="single" w:sz="4" w:space="0" w:color="000000"/>
              <w:right w:val="single" w:sz="7" w:space="0" w:color="000000"/>
            </w:tcBorders>
            <w:vAlign w:val="center"/>
          </w:tcPr>
          <w:p w:rsidR="00E339AD" w:rsidRPr="008A2727" w:rsidP="00F70213" w14:paraId="275505DF" w14:textId="77777777">
            <w:pPr>
              <w:keepNext/>
              <w:widowControl/>
              <w:spacing w:line="276" w:lineRule="auto"/>
            </w:pPr>
            <w:r w:rsidRPr="008A2727">
              <w:t>Transmit, or otherwise disclose the information.</w:t>
            </w:r>
          </w:p>
        </w:tc>
      </w:tr>
    </w:tbl>
    <w:p w:rsidR="007D42EF" w:rsidP="00F70213" w14:paraId="36616D97" w14:textId="77777777">
      <w:pPr>
        <w:keepNext/>
        <w:widowControl/>
        <w:tabs>
          <w:tab w:val="left" w:pos="720"/>
        </w:tabs>
        <w:spacing w:line="360" w:lineRule="auto"/>
        <w:rPr>
          <w:sz w:val="24"/>
          <w:szCs w:val="24"/>
        </w:rPr>
      </w:pPr>
    </w:p>
    <w:p w:rsidR="00635801" w14:paraId="4751ED7E" w14:textId="77777777">
      <w:pPr>
        <w:widowControl/>
        <w:autoSpaceDE/>
        <w:autoSpaceDN/>
        <w:adjustRightInd/>
        <w:rPr>
          <w:b/>
          <w:bCs/>
          <w:sz w:val="24"/>
          <w:szCs w:val="24"/>
        </w:rPr>
      </w:pPr>
      <w:r>
        <w:rPr>
          <w:b/>
          <w:bCs/>
          <w:sz w:val="24"/>
          <w:szCs w:val="24"/>
        </w:rPr>
        <w:br w:type="page"/>
      </w:r>
    </w:p>
    <w:p w:rsidR="00B1351A" w:rsidRPr="00530E4D" w:rsidP="00B01129" w14:paraId="52B60562" w14:textId="0440DC59">
      <w:pPr>
        <w:keepNext/>
        <w:widowControl/>
        <w:tabs>
          <w:tab w:val="left" w:pos="720"/>
        </w:tabs>
        <w:spacing w:after="240" w:line="360" w:lineRule="auto"/>
        <w:ind w:left="720" w:hanging="720"/>
        <w:rPr>
          <w:b/>
          <w:sz w:val="24"/>
          <w:szCs w:val="24"/>
        </w:rPr>
      </w:pPr>
      <w:r w:rsidRPr="00FA2680">
        <w:rPr>
          <w:b/>
          <w:bCs/>
          <w:sz w:val="24"/>
          <w:szCs w:val="24"/>
        </w:rPr>
        <w:t>5.</w:t>
      </w:r>
      <w:r w:rsidRPr="00FA2680">
        <w:rPr>
          <w:b/>
          <w:bCs/>
          <w:sz w:val="24"/>
          <w:szCs w:val="24"/>
        </w:rPr>
        <w:tab/>
      </w:r>
      <w:r w:rsidRPr="00530E4D">
        <w:rPr>
          <w:b/>
          <w:bCs/>
          <w:sz w:val="24"/>
          <w:szCs w:val="24"/>
        </w:rPr>
        <w:t>The Information Collected–Agency Activities, Collection Methodology, and Information Management</w:t>
      </w:r>
    </w:p>
    <w:p w:rsidR="00B1351A" w:rsidP="00B01129" w14:paraId="2BF95E0A" w14:textId="77777777">
      <w:pPr>
        <w:keepNext/>
        <w:widowControl/>
        <w:spacing w:after="240" w:line="360" w:lineRule="auto"/>
        <w:rPr>
          <w:sz w:val="24"/>
          <w:szCs w:val="24"/>
        </w:rPr>
      </w:pPr>
      <w:r>
        <w:rPr>
          <w:i/>
          <w:iCs/>
          <w:sz w:val="24"/>
          <w:szCs w:val="24"/>
        </w:rPr>
        <w:t>(a)</w:t>
      </w:r>
      <w:r>
        <w:rPr>
          <w:i/>
          <w:iCs/>
          <w:sz w:val="24"/>
          <w:szCs w:val="24"/>
        </w:rPr>
        <w:tab/>
        <w:t>Agency Activities.</w:t>
      </w:r>
    </w:p>
    <w:p w:rsidR="00B1351A" w:rsidP="00B01129" w14:paraId="18996C85" w14:textId="072BE0E3">
      <w:pPr>
        <w:keepNext/>
        <w:widowControl/>
        <w:spacing w:after="240" w:line="360" w:lineRule="auto"/>
        <w:rPr>
          <w:sz w:val="24"/>
          <w:szCs w:val="24"/>
        </w:rPr>
      </w:pPr>
      <w:r>
        <w:rPr>
          <w:sz w:val="24"/>
          <w:szCs w:val="24"/>
        </w:rPr>
        <w:tab/>
      </w:r>
      <w:r w:rsidRPr="00483C3F" w:rsidR="009D0C20">
        <w:rPr>
          <w:sz w:val="24"/>
          <w:szCs w:val="24"/>
        </w:rPr>
        <w:t>The</w:t>
      </w:r>
      <w:r w:rsidRPr="00483C3F">
        <w:rPr>
          <w:sz w:val="24"/>
          <w:szCs w:val="24"/>
        </w:rPr>
        <w:t xml:space="preserve"> </w:t>
      </w:r>
      <w:r w:rsidR="00AD7D59">
        <w:rPr>
          <w:sz w:val="24"/>
          <w:szCs w:val="24"/>
        </w:rPr>
        <w:t xml:space="preserve">federal </w:t>
      </w:r>
      <w:r w:rsidR="004714A4">
        <w:rPr>
          <w:sz w:val="24"/>
          <w:szCs w:val="24"/>
        </w:rPr>
        <w:t>government (EPA)</w:t>
      </w:r>
      <w:r w:rsidRPr="00483C3F">
        <w:rPr>
          <w:sz w:val="24"/>
          <w:szCs w:val="24"/>
        </w:rPr>
        <w:t xml:space="preserve"> activities </w:t>
      </w:r>
      <w:r w:rsidRPr="00483C3F" w:rsidR="004206E1">
        <w:rPr>
          <w:sz w:val="24"/>
          <w:szCs w:val="24"/>
        </w:rPr>
        <w:t xml:space="preserve">associated with </w:t>
      </w:r>
      <w:r w:rsidR="008B7523">
        <w:rPr>
          <w:sz w:val="24"/>
          <w:szCs w:val="24"/>
        </w:rPr>
        <w:t xml:space="preserve">the </w:t>
      </w:r>
      <w:r w:rsidR="008E328D">
        <w:rPr>
          <w:sz w:val="24"/>
          <w:szCs w:val="24"/>
        </w:rPr>
        <w:t xml:space="preserve">proposed </w:t>
      </w:r>
      <w:r w:rsidR="008B7523">
        <w:rPr>
          <w:sz w:val="24"/>
          <w:szCs w:val="24"/>
        </w:rPr>
        <w:t>amend</w:t>
      </w:r>
      <w:r w:rsidR="008E328D">
        <w:rPr>
          <w:sz w:val="24"/>
          <w:szCs w:val="24"/>
        </w:rPr>
        <w:t>ments to</w:t>
      </w:r>
      <w:r w:rsidR="008B7523">
        <w:rPr>
          <w:sz w:val="24"/>
          <w:szCs w:val="24"/>
        </w:rPr>
        <w:t xml:space="preserve"> </w:t>
      </w:r>
      <w:r w:rsidR="00E14F01">
        <w:rPr>
          <w:sz w:val="24"/>
          <w:szCs w:val="24"/>
        </w:rPr>
        <w:t xml:space="preserve">NSPS </w:t>
      </w:r>
      <w:r w:rsidR="00E14F01">
        <w:rPr>
          <w:sz w:val="24"/>
          <w:szCs w:val="24"/>
        </w:rPr>
        <w:t>OOOO</w:t>
      </w:r>
      <w:r w:rsidR="006A6B7A">
        <w:rPr>
          <w:sz w:val="24"/>
          <w:szCs w:val="24"/>
        </w:rPr>
        <w:t>b</w:t>
      </w:r>
      <w:r w:rsidRPr="00483C3F" w:rsidR="003B2EFA">
        <w:rPr>
          <w:sz w:val="24"/>
          <w:szCs w:val="24"/>
        </w:rPr>
        <w:t xml:space="preserve"> </w:t>
      </w:r>
      <w:r w:rsidRPr="00483C3F" w:rsidR="009D0C20">
        <w:rPr>
          <w:sz w:val="24"/>
          <w:szCs w:val="24"/>
        </w:rPr>
        <w:t>are</w:t>
      </w:r>
      <w:r w:rsidRPr="00483C3F">
        <w:rPr>
          <w:sz w:val="24"/>
          <w:szCs w:val="24"/>
        </w:rPr>
        <w:t xml:space="preserve"> provided in </w:t>
      </w:r>
      <w:r w:rsidRPr="00483C3F" w:rsidR="00664E61">
        <w:rPr>
          <w:sz w:val="24"/>
          <w:szCs w:val="24"/>
        </w:rPr>
        <w:t>Table</w:t>
      </w:r>
      <w:r w:rsidR="00664E61">
        <w:rPr>
          <w:sz w:val="24"/>
          <w:szCs w:val="24"/>
        </w:rPr>
        <w:t>s</w:t>
      </w:r>
      <w:r w:rsidRPr="00483C3F" w:rsidR="00664E61">
        <w:rPr>
          <w:sz w:val="24"/>
          <w:szCs w:val="24"/>
        </w:rPr>
        <w:t xml:space="preserve"> 2</w:t>
      </w:r>
      <w:r w:rsidR="00664E61">
        <w:rPr>
          <w:sz w:val="24"/>
          <w:szCs w:val="24"/>
        </w:rPr>
        <w:t>a-2d</w:t>
      </w:r>
      <w:r w:rsidRPr="00483C3F">
        <w:rPr>
          <w:sz w:val="24"/>
          <w:szCs w:val="24"/>
        </w:rPr>
        <w:t xml:space="preserve"> </w:t>
      </w:r>
      <w:r w:rsidRPr="00483C3F" w:rsidR="00E51270">
        <w:rPr>
          <w:sz w:val="24"/>
          <w:szCs w:val="24"/>
        </w:rPr>
        <w:t xml:space="preserve">(located at the end of this supporting statement) </w:t>
      </w:r>
      <w:r w:rsidRPr="00483C3F">
        <w:rPr>
          <w:sz w:val="24"/>
          <w:szCs w:val="24"/>
        </w:rPr>
        <w:t>and</w:t>
      </w:r>
      <w:r w:rsidRPr="00483C3F" w:rsidR="009D0C20">
        <w:rPr>
          <w:sz w:val="24"/>
          <w:szCs w:val="24"/>
        </w:rPr>
        <w:t xml:space="preserve"> are</w:t>
      </w:r>
      <w:r w:rsidRPr="00483C3F">
        <w:rPr>
          <w:sz w:val="24"/>
          <w:szCs w:val="24"/>
        </w:rPr>
        <w:t xml:space="preserve"> introduced in section 6(c).</w:t>
      </w:r>
    </w:p>
    <w:p w:rsidR="00B1351A" w:rsidP="00B01129" w14:paraId="50E4D759" w14:textId="77777777">
      <w:pPr>
        <w:widowControl/>
        <w:spacing w:after="240" w:line="360" w:lineRule="auto"/>
        <w:rPr>
          <w:sz w:val="24"/>
          <w:szCs w:val="24"/>
        </w:rPr>
      </w:pPr>
      <w:r>
        <w:rPr>
          <w:i/>
          <w:iCs/>
          <w:sz w:val="24"/>
          <w:szCs w:val="24"/>
        </w:rPr>
        <w:t>(b)</w:t>
      </w:r>
      <w:r>
        <w:rPr>
          <w:i/>
          <w:iCs/>
          <w:sz w:val="24"/>
          <w:szCs w:val="24"/>
        </w:rPr>
        <w:tab/>
        <w:t>Collection Methodology and Management</w:t>
      </w:r>
      <w:r>
        <w:rPr>
          <w:sz w:val="24"/>
          <w:szCs w:val="24"/>
        </w:rPr>
        <w:t>.</w:t>
      </w:r>
    </w:p>
    <w:p w:rsidR="008F7DE3" w:rsidP="00B01129" w14:paraId="11163533" w14:textId="6AA6722F">
      <w:pPr>
        <w:widowControl/>
        <w:spacing w:after="240" w:line="360" w:lineRule="auto"/>
        <w:rPr>
          <w:sz w:val="24"/>
          <w:szCs w:val="24"/>
        </w:rPr>
      </w:pPr>
      <w:r>
        <w:rPr>
          <w:sz w:val="24"/>
          <w:szCs w:val="24"/>
        </w:rPr>
        <w:tab/>
      </w:r>
      <w:r w:rsidRPr="00483C3F">
        <w:rPr>
          <w:sz w:val="24"/>
          <w:szCs w:val="24"/>
        </w:rPr>
        <w:t xml:space="preserve">Data and records maintained by the respondents </w:t>
      </w:r>
      <w:r w:rsidR="004F423B">
        <w:rPr>
          <w:sz w:val="24"/>
          <w:szCs w:val="24"/>
        </w:rPr>
        <w:t xml:space="preserve">for semiannual and annual reports </w:t>
      </w:r>
      <w:r w:rsidRPr="00483C3F">
        <w:rPr>
          <w:sz w:val="24"/>
          <w:szCs w:val="24"/>
        </w:rPr>
        <w:t>are tabulated and published for use in compliance and enforcement programs</w:t>
      </w:r>
      <w:r w:rsidRPr="00483C3F" w:rsidR="008922DE">
        <w:rPr>
          <w:sz w:val="24"/>
          <w:szCs w:val="24"/>
        </w:rPr>
        <w:t xml:space="preserve"> of the delegated permitting authority</w:t>
      </w:r>
      <w:r w:rsidRPr="00483C3F">
        <w:rPr>
          <w:sz w:val="24"/>
          <w:szCs w:val="24"/>
        </w:rPr>
        <w:t xml:space="preserve">. </w:t>
      </w:r>
      <w:r w:rsidRPr="00967632" w:rsidR="00967632">
        <w:rPr>
          <w:sz w:val="24"/>
          <w:szCs w:val="24"/>
        </w:rPr>
        <w:t xml:space="preserve">Information contained in the reports will be required to </w:t>
      </w:r>
      <w:r w:rsidR="000557B3">
        <w:rPr>
          <w:sz w:val="24"/>
          <w:szCs w:val="24"/>
        </w:rPr>
        <w:t xml:space="preserve">be </w:t>
      </w:r>
      <w:r w:rsidRPr="00967632" w:rsidR="00967632">
        <w:rPr>
          <w:sz w:val="24"/>
          <w:szCs w:val="24"/>
        </w:rPr>
        <w:t>submit</w:t>
      </w:r>
      <w:r w:rsidR="000557B3">
        <w:rPr>
          <w:sz w:val="24"/>
          <w:szCs w:val="24"/>
        </w:rPr>
        <w:t>ted</w:t>
      </w:r>
      <w:r w:rsidRPr="00967632" w:rsidR="00967632">
        <w:rPr>
          <w:sz w:val="24"/>
          <w:szCs w:val="24"/>
        </w:rPr>
        <w:t xml:space="preserve"> electronically to </w:t>
      </w:r>
      <w:r w:rsidR="007F789C">
        <w:rPr>
          <w:sz w:val="24"/>
          <w:szCs w:val="24"/>
        </w:rPr>
        <w:t>EPA</w:t>
      </w:r>
      <w:r w:rsidRPr="00967632" w:rsidR="00967632">
        <w:rPr>
          <w:sz w:val="24"/>
          <w:szCs w:val="24"/>
        </w:rPr>
        <w:t xml:space="preserve">’s Central DATA Exchange (CDX) using the </w:t>
      </w:r>
      <w:r w:rsidRPr="00A51D01" w:rsidR="00A51D01">
        <w:rPr>
          <w:sz w:val="24"/>
          <w:szCs w:val="24"/>
        </w:rPr>
        <w:t>CEDRI</w:t>
      </w:r>
      <w:r w:rsidR="00275D51">
        <w:rPr>
          <w:sz w:val="24"/>
          <w:szCs w:val="24"/>
        </w:rPr>
        <w:t xml:space="preserve">. </w:t>
      </w:r>
      <w:r w:rsidR="00020FF9">
        <w:rPr>
          <w:sz w:val="24"/>
          <w:szCs w:val="24"/>
        </w:rPr>
        <w:t>CDX</w:t>
      </w:r>
      <w:r w:rsidRPr="00967632" w:rsidR="00967632">
        <w:rPr>
          <w:sz w:val="24"/>
          <w:szCs w:val="24"/>
        </w:rPr>
        <w:t xml:space="preserve"> enables fast, </w:t>
      </w:r>
      <w:r w:rsidRPr="00967632" w:rsidR="00967632">
        <w:rPr>
          <w:sz w:val="24"/>
          <w:szCs w:val="24"/>
        </w:rPr>
        <w:t>efficient</w:t>
      </w:r>
      <w:r w:rsidRPr="00967632" w:rsidR="00967632">
        <w:rPr>
          <w:sz w:val="24"/>
          <w:szCs w:val="24"/>
        </w:rPr>
        <w:t xml:space="preserve"> and more accurate environmental data submissions from state and local governments, industry and tribes to </w:t>
      </w:r>
      <w:r w:rsidR="007F789C">
        <w:rPr>
          <w:sz w:val="24"/>
          <w:szCs w:val="24"/>
        </w:rPr>
        <w:t>EPA</w:t>
      </w:r>
      <w:r w:rsidR="00020FF9">
        <w:rPr>
          <w:sz w:val="24"/>
          <w:szCs w:val="24"/>
        </w:rPr>
        <w:t xml:space="preserve"> </w:t>
      </w:r>
      <w:r w:rsidRPr="00967632" w:rsidR="00967632">
        <w:rPr>
          <w:sz w:val="24"/>
          <w:szCs w:val="24"/>
        </w:rPr>
        <w:t>and participating program offices</w:t>
      </w:r>
      <w:r w:rsidR="00275D51">
        <w:rPr>
          <w:sz w:val="24"/>
          <w:szCs w:val="24"/>
        </w:rPr>
        <w:t xml:space="preserve">. </w:t>
      </w:r>
      <w:r w:rsidR="007F789C">
        <w:rPr>
          <w:sz w:val="24"/>
          <w:szCs w:val="24"/>
        </w:rPr>
        <w:t>EPA</w:t>
      </w:r>
      <w:r w:rsidR="00F854E0">
        <w:rPr>
          <w:sz w:val="24"/>
          <w:szCs w:val="24"/>
        </w:rPr>
        <w:t>’</w:t>
      </w:r>
      <w:r w:rsidRPr="00967632" w:rsidR="00967632">
        <w:rPr>
          <w:sz w:val="24"/>
          <w:szCs w:val="24"/>
        </w:rPr>
        <w:t>s CDX is the point of entry on the Environmental Information Exchange Network (Exchange Network) for environmental data submissions to the Agency</w:t>
      </w:r>
      <w:r w:rsidR="00275D51">
        <w:rPr>
          <w:sz w:val="24"/>
          <w:szCs w:val="24"/>
        </w:rPr>
        <w:t xml:space="preserve">. </w:t>
      </w:r>
      <w:r w:rsidRPr="00967632" w:rsidR="00967632">
        <w:rPr>
          <w:sz w:val="24"/>
          <w:szCs w:val="24"/>
        </w:rPr>
        <w:t xml:space="preserve">CDX works with both EPA program offices looking for a way to better manage incoming data, and stakeholders looking for a way to reduce burden from reporting requirements. </w:t>
      </w:r>
      <w:r>
        <w:rPr>
          <w:sz w:val="24"/>
          <w:szCs w:val="24"/>
        </w:rPr>
        <w:t xml:space="preserve">Appendix </w:t>
      </w:r>
      <w:r w:rsidR="00A626A6">
        <w:rPr>
          <w:sz w:val="24"/>
          <w:szCs w:val="24"/>
        </w:rPr>
        <w:t>B</w:t>
      </w:r>
      <w:r>
        <w:rPr>
          <w:sz w:val="24"/>
          <w:szCs w:val="24"/>
        </w:rPr>
        <w:t xml:space="preserve"> includes the </w:t>
      </w:r>
      <w:r w:rsidRPr="00BA3A16">
        <w:rPr>
          <w:sz w:val="24"/>
          <w:szCs w:val="24"/>
        </w:rPr>
        <w:t xml:space="preserve">CEDRI </w:t>
      </w:r>
      <w:r>
        <w:rPr>
          <w:sz w:val="24"/>
          <w:szCs w:val="24"/>
        </w:rPr>
        <w:t xml:space="preserve">electronic portal for submitting reports under </w:t>
      </w:r>
      <w:r w:rsidRPr="00BA3A16">
        <w:rPr>
          <w:sz w:val="24"/>
          <w:szCs w:val="24"/>
        </w:rPr>
        <w:t xml:space="preserve">40 CFR part 60, subpart </w:t>
      </w:r>
      <w:r w:rsidRPr="00BA3A16">
        <w:rPr>
          <w:sz w:val="24"/>
          <w:szCs w:val="24"/>
        </w:rPr>
        <w:t>OOOO</w:t>
      </w:r>
      <w:r w:rsidR="006A6B7A">
        <w:rPr>
          <w:sz w:val="24"/>
          <w:szCs w:val="24"/>
        </w:rPr>
        <w:t>b</w:t>
      </w:r>
      <w:r>
        <w:rPr>
          <w:sz w:val="24"/>
          <w:szCs w:val="24"/>
        </w:rPr>
        <w:t xml:space="preserve">. The electronic portal to submit reports online </w:t>
      </w:r>
      <w:r w:rsidRPr="00BA3A16">
        <w:rPr>
          <w:sz w:val="24"/>
          <w:szCs w:val="24"/>
        </w:rPr>
        <w:t>is accessed through the EPA</w:t>
      </w:r>
      <w:r>
        <w:rPr>
          <w:sz w:val="24"/>
          <w:szCs w:val="24"/>
        </w:rPr>
        <w:t>’</w:t>
      </w:r>
      <w:r w:rsidRPr="00BA3A16">
        <w:rPr>
          <w:sz w:val="24"/>
          <w:szCs w:val="24"/>
        </w:rPr>
        <w:t xml:space="preserve">s </w:t>
      </w:r>
      <w:r>
        <w:rPr>
          <w:sz w:val="24"/>
          <w:szCs w:val="24"/>
        </w:rPr>
        <w:t xml:space="preserve">CDX at </w:t>
      </w:r>
      <w:r w:rsidRPr="0057364A" w:rsidR="004F423B">
        <w:rPr>
          <w:i/>
          <w:iCs/>
          <w:sz w:val="24"/>
          <w:szCs w:val="24"/>
        </w:rPr>
        <w:t>https://cdx.epa.gov</w:t>
      </w:r>
      <w:r>
        <w:rPr>
          <w:sz w:val="24"/>
          <w:szCs w:val="24"/>
        </w:rPr>
        <w:t xml:space="preserve">. The spreadsheet templates created </w:t>
      </w:r>
      <w:r w:rsidRPr="00BA3A16">
        <w:rPr>
          <w:sz w:val="24"/>
          <w:szCs w:val="24"/>
        </w:rPr>
        <w:t xml:space="preserve">by the EPA to facilitate annual reporting for Oil and Gas Facilities under 40 CFR part 60, subpart </w:t>
      </w:r>
      <w:r w:rsidRPr="00BA3A16">
        <w:rPr>
          <w:sz w:val="24"/>
          <w:szCs w:val="24"/>
        </w:rPr>
        <w:t>OOOO</w:t>
      </w:r>
      <w:r w:rsidR="006A6B7A">
        <w:rPr>
          <w:sz w:val="24"/>
          <w:szCs w:val="24"/>
        </w:rPr>
        <w:t>b</w:t>
      </w:r>
      <w:r>
        <w:rPr>
          <w:sz w:val="24"/>
          <w:szCs w:val="24"/>
        </w:rPr>
        <w:t xml:space="preserve"> can be obtained at</w:t>
      </w:r>
      <w:r w:rsidRPr="004627FF">
        <w:rPr>
          <w:sz w:val="24"/>
          <w:szCs w:val="24"/>
        </w:rPr>
        <w:t xml:space="preserve"> https://www.epa.gov/electronic-reporting-air-emissions/cedri#list as well as </w:t>
      </w:r>
      <w:r w:rsidRPr="0057364A" w:rsidR="004F423B">
        <w:rPr>
          <w:i/>
          <w:iCs/>
          <w:sz w:val="24"/>
          <w:szCs w:val="24"/>
        </w:rPr>
        <w:t>https://www.epa.gov/controlling-air-pollution-oil-and-natural-gas-industry/implementation-oil-and-natural-gas-air#report</w:t>
      </w:r>
      <w:r>
        <w:rPr>
          <w:sz w:val="24"/>
          <w:szCs w:val="24"/>
        </w:rPr>
        <w:t>.</w:t>
      </w:r>
    </w:p>
    <w:p w:rsidR="004F423B" w:rsidRPr="00123B90" w:rsidP="00B01129" w14:paraId="6597B4D9" w14:textId="10645741">
      <w:pPr>
        <w:widowControl/>
        <w:spacing w:after="240" w:line="360" w:lineRule="auto"/>
        <w:rPr>
          <w:sz w:val="24"/>
          <w:szCs w:val="24"/>
        </w:rPr>
      </w:pPr>
      <w:r>
        <w:rPr>
          <w:sz w:val="24"/>
          <w:szCs w:val="24"/>
        </w:rPr>
        <w:tab/>
        <w:t>For super-emitter emissions events, the EPA will establish a separate website where it will make notifications of super-emitter emissions events and reports</w:t>
      </w:r>
      <w:r w:rsidR="00564718">
        <w:rPr>
          <w:sz w:val="24"/>
          <w:szCs w:val="24"/>
        </w:rPr>
        <w:t>,</w:t>
      </w:r>
      <w:r>
        <w:rPr>
          <w:sz w:val="24"/>
          <w:szCs w:val="24"/>
        </w:rPr>
        <w:t xml:space="preserve"> in response to those notifications</w:t>
      </w:r>
      <w:r w:rsidR="00564718">
        <w:rPr>
          <w:sz w:val="24"/>
          <w:szCs w:val="24"/>
        </w:rPr>
        <w:t>,</w:t>
      </w:r>
      <w:r>
        <w:rPr>
          <w:sz w:val="24"/>
          <w:szCs w:val="24"/>
        </w:rPr>
        <w:t xml:space="preserve"> publicly available. That website has not yet been established but will be provided </w:t>
      </w:r>
      <w:r w:rsidR="00AB2580">
        <w:rPr>
          <w:sz w:val="24"/>
          <w:szCs w:val="24"/>
        </w:rPr>
        <w:t>at a later date</w:t>
      </w:r>
      <w:r w:rsidR="00AB2580">
        <w:rPr>
          <w:sz w:val="24"/>
          <w:szCs w:val="24"/>
        </w:rPr>
        <w:t>.</w:t>
      </w:r>
    </w:p>
    <w:p w:rsidR="00822E3E" w:rsidP="00AB2580" w14:paraId="3712FDAA" w14:textId="2F147A8D">
      <w:pPr>
        <w:keepNext/>
        <w:widowControl/>
        <w:spacing w:after="240" w:line="360" w:lineRule="auto"/>
        <w:rPr>
          <w:i/>
          <w:iCs/>
          <w:sz w:val="24"/>
          <w:szCs w:val="24"/>
        </w:rPr>
      </w:pPr>
      <w:r>
        <w:rPr>
          <w:i/>
          <w:iCs/>
          <w:sz w:val="24"/>
          <w:szCs w:val="24"/>
        </w:rPr>
        <w:t>(c)</w:t>
      </w:r>
      <w:r w:rsidR="00DC4234">
        <w:rPr>
          <w:i/>
          <w:iCs/>
          <w:sz w:val="24"/>
          <w:szCs w:val="24"/>
        </w:rPr>
        <w:tab/>
      </w:r>
      <w:r>
        <w:rPr>
          <w:i/>
          <w:iCs/>
          <w:sz w:val="24"/>
          <w:szCs w:val="24"/>
        </w:rPr>
        <w:t>Small Entity Flexibility.</w:t>
      </w:r>
    </w:p>
    <w:p w:rsidR="00F56D1F" w:rsidP="00B01129" w14:paraId="6E9A3733" w14:textId="72EDAB9E">
      <w:pPr>
        <w:widowControl/>
        <w:spacing w:after="240" w:line="360" w:lineRule="auto"/>
        <w:ind w:firstLine="720"/>
        <w:rPr>
          <w:sz w:val="24"/>
          <w:szCs w:val="24"/>
        </w:rPr>
      </w:pPr>
      <w:r>
        <w:rPr>
          <w:sz w:val="24"/>
          <w:szCs w:val="24"/>
        </w:rPr>
        <w:t xml:space="preserve">The </w:t>
      </w:r>
      <w:r w:rsidR="007F789C">
        <w:rPr>
          <w:sz w:val="24"/>
          <w:szCs w:val="24"/>
        </w:rPr>
        <w:t>EPA</w:t>
      </w:r>
      <w:r w:rsidRPr="00FD5569" w:rsidR="00FD5569">
        <w:rPr>
          <w:sz w:val="24"/>
          <w:szCs w:val="24"/>
        </w:rPr>
        <w:t xml:space="preserve"> performed a screening analysis for impacts on a sample of expected affected small entities by comparing compliance costs to entity revenues</w:t>
      </w:r>
      <w:r w:rsidR="00731F1D">
        <w:rPr>
          <w:sz w:val="24"/>
          <w:szCs w:val="24"/>
        </w:rPr>
        <w:t>.</w:t>
      </w:r>
      <w:r w:rsidR="00275D51">
        <w:rPr>
          <w:sz w:val="24"/>
          <w:szCs w:val="24"/>
        </w:rPr>
        <w:t xml:space="preserve"> </w:t>
      </w:r>
      <w:r w:rsidR="00D371DE">
        <w:rPr>
          <w:sz w:val="24"/>
          <w:szCs w:val="24"/>
        </w:rPr>
        <w:t>T</w:t>
      </w:r>
      <w:r w:rsidRPr="00F56D1F">
        <w:rPr>
          <w:sz w:val="24"/>
          <w:szCs w:val="24"/>
        </w:rPr>
        <w:t>he impact on small entities (</w:t>
      </w:r>
      <w:r w:rsidRPr="00FC4A6C">
        <w:rPr>
          <w:i/>
          <w:iCs/>
          <w:sz w:val="24"/>
          <w:szCs w:val="24"/>
        </w:rPr>
        <w:t>i.e.,</w:t>
      </w:r>
      <w:r w:rsidRPr="00F56D1F">
        <w:rPr>
          <w:sz w:val="24"/>
          <w:szCs w:val="24"/>
        </w:rPr>
        <w:t xml:space="preserve"> small businesses) was taken into consideration during the development of </w:t>
      </w:r>
      <w:r w:rsidR="00FA5EAA">
        <w:rPr>
          <w:sz w:val="24"/>
          <w:szCs w:val="24"/>
        </w:rPr>
        <w:t xml:space="preserve">the </w:t>
      </w:r>
      <w:r w:rsidR="003C7886">
        <w:rPr>
          <w:sz w:val="24"/>
          <w:szCs w:val="24"/>
        </w:rPr>
        <w:t>regulation.</w:t>
      </w:r>
      <w:r w:rsidR="00275D51">
        <w:rPr>
          <w:sz w:val="24"/>
          <w:szCs w:val="24"/>
        </w:rPr>
        <w:t xml:space="preserve"> </w:t>
      </w:r>
      <w:r w:rsidR="00235A3C">
        <w:rPr>
          <w:sz w:val="24"/>
          <w:szCs w:val="24"/>
        </w:rPr>
        <w:t xml:space="preserve">The </w:t>
      </w:r>
      <w:r w:rsidR="007F789C">
        <w:rPr>
          <w:sz w:val="24"/>
          <w:szCs w:val="24"/>
        </w:rPr>
        <w:t>EPA</w:t>
      </w:r>
      <w:r w:rsidRPr="00FD5569" w:rsidR="00FD5569">
        <w:rPr>
          <w:sz w:val="24"/>
          <w:szCs w:val="24"/>
        </w:rPr>
        <w:t xml:space="preserve"> has tried to reduce the impact of this </w:t>
      </w:r>
      <w:r w:rsidR="003C7886">
        <w:rPr>
          <w:sz w:val="24"/>
          <w:szCs w:val="24"/>
        </w:rPr>
        <w:t xml:space="preserve">proposed </w:t>
      </w:r>
      <w:r w:rsidRPr="00FD5569" w:rsidR="00FD5569">
        <w:rPr>
          <w:sz w:val="24"/>
          <w:szCs w:val="24"/>
        </w:rPr>
        <w:t>rule on small entities by specifying monitoring</w:t>
      </w:r>
      <w:r w:rsidR="00B93B02">
        <w:rPr>
          <w:sz w:val="24"/>
          <w:szCs w:val="24"/>
        </w:rPr>
        <w:t>, recordkeeping and reporting</w:t>
      </w:r>
      <w:r w:rsidR="00530E4D">
        <w:rPr>
          <w:sz w:val="24"/>
          <w:szCs w:val="24"/>
        </w:rPr>
        <w:t xml:space="preserve"> </w:t>
      </w:r>
      <w:r w:rsidRPr="00FD5569" w:rsidR="00FD5569">
        <w:rPr>
          <w:sz w:val="24"/>
          <w:szCs w:val="24"/>
        </w:rPr>
        <w:t xml:space="preserve">requirements that are the minimum </w:t>
      </w:r>
      <w:r w:rsidR="003E7DC9">
        <w:rPr>
          <w:sz w:val="24"/>
          <w:szCs w:val="24"/>
        </w:rPr>
        <w:t xml:space="preserve">necessary </w:t>
      </w:r>
      <w:r w:rsidRPr="00FD5569" w:rsidR="00FD5569">
        <w:rPr>
          <w:sz w:val="24"/>
          <w:szCs w:val="24"/>
        </w:rPr>
        <w:t xml:space="preserve">to </w:t>
      </w:r>
      <w:r w:rsidRPr="00FD5569" w:rsidR="004764E4">
        <w:rPr>
          <w:sz w:val="24"/>
          <w:szCs w:val="24"/>
        </w:rPr>
        <w:t>ensure</w:t>
      </w:r>
      <w:r w:rsidRPr="00FD5569" w:rsidR="00FD5569">
        <w:rPr>
          <w:sz w:val="24"/>
          <w:szCs w:val="24"/>
        </w:rPr>
        <w:t xml:space="preserve"> compliance.</w:t>
      </w:r>
    </w:p>
    <w:p w:rsidR="00B1351A" w:rsidP="00B01129" w14:paraId="2D449491" w14:textId="2EC41866">
      <w:pPr>
        <w:widowControl/>
        <w:spacing w:after="240" w:line="360" w:lineRule="auto"/>
        <w:rPr>
          <w:sz w:val="24"/>
          <w:szCs w:val="24"/>
        </w:rPr>
      </w:pPr>
      <w:r>
        <w:rPr>
          <w:i/>
          <w:iCs/>
          <w:sz w:val="24"/>
          <w:szCs w:val="24"/>
        </w:rPr>
        <w:t>(d)</w:t>
      </w:r>
      <w:r w:rsidR="00DC4234">
        <w:rPr>
          <w:i/>
          <w:iCs/>
          <w:sz w:val="24"/>
          <w:szCs w:val="24"/>
        </w:rPr>
        <w:tab/>
      </w:r>
      <w:r>
        <w:rPr>
          <w:i/>
          <w:iCs/>
          <w:sz w:val="24"/>
          <w:szCs w:val="24"/>
        </w:rPr>
        <w:t>Collection Schedule</w:t>
      </w:r>
      <w:r>
        <w:rPr>
          <w:sz w:val="24"/>
          <w:szCs w:val="24"/>
        </w:rPr>
        <w:t>.</w:t>
      </w:r>
    </w:p>
    <w:p w:rsidR="00822E3E" w:rsidP="00B01129" w14:paraId="3B044E07" w14:textId="77777777">
      <w:pPr>
        <w:widowControl/>
        <w:spacing w:after="240" w:line="360" w:lineRule="auto"/>
        <w:rPr>
          <w:sz w:val="24"/>
          <w:szCs w:val="24"/>
        </w:rPr>
      </w:pPr>
      <w:r>
        <w:rPr>
          <w:sz w:val="24"/>
          <w:szCs w:val="24"/>
        </w:rPr>
        <w:tab/>
        <w:t xml:space="preserve">The specific frequency for each information collection activity within this request is shown in </w:t>
      </w:r>
      <w:r w:rsidR="00E54B89">
        <w:rPr>
          <w:sz w:val="24"/>
          <w:szCs w:val="24"/>
        </w:rPr>
        <w:t>Tables 1a-</w:t>
      </w:r>
      <w:r w:rsidR="006642EA">
        <w:rPr>
          <w:sz w:val="24"/>
          <w:szCs w:val="24"/>
        </w:rPr>
        <w:t>1</w:t>
      </w:r>
      <w:r w:rsidR="00E54B89">
        <w:rPr>
          <w:sz w:val="24"/>
          <w:szCs w:val="24"/>
        </w:rPr>
        <w:t>d</w:t>
      </w:r>
      <w:r w:rsidR="00483C3F">
        <w:rPr>
          <w:sz w:val="24"/>
          <w:szCs w:val="24"/>
        </w:rPr>
        <w:t xml:space="preserve">. </w:t>
      </w:r>
    </w:p>
    <w:p w:rsidR="00FE00CB" w:rsidP="00B01129" w14:paraId="2F3223BB" w14:textId="03BB5C0E">
      <w:pPr>
        <w:keepNext/>
        <w:keepLines/>
        <w:widowControl/>
        <w:spacing w:after="240" w:line="360" w:lineRule="auto"/>
        <w:rPr>
          <w:sz w:val="24"/>
          <w:szCs w:val="24"/>
        </w:rPr>
      </w:pPr>
      <w:r>
        <w:rPr>
          <w:b/>
          <w:bCs/>
          <w:sz w:val="24"/>
          <w:szCs w:val="24"/>
        </w:rPr>
        <w:t>6.</w:t>
      </w:r>
      <w:r>
        <w:rPr>
          <w:b/>
          <w:bCs/>
          <w:sz w:val="24"/>
          <w:szCs w:val="24"/>
        </w:rPr>
        <w:tab/>
        <w:t>Estimating the Burden and Cost of the Collection</w:t>
      </w:r>
    </w:p>
    <w:p w:rsidR="009D7094" w:rsidRPr="00BE6230" w:rsidP="00B01129" w14:paraId="3BB4195E" w14:textId="21070E35">
      <w:pPr>
        <w:keepNext/>
        <w:widowControl/>
        <w:tabs>
          <w:tab w:val="left" w:pos="720"/>
        </w:tabs>
        <w:spacing w:after="240" w:line="360" w:lineRule="auto"/>
        <w:ind w:left="720" w:hanging="720"/>
        <w:rPr>
          <w:i/>
          <w:iCs/>
          <w:sz w:val="24"/>
          <w:szCs w:val="24"/>
        </w:rPr>
      </w:pPr>
      <w:r>
        <w:rPr>
          <w:i/>
          <w:iCs/>
          <w:sz w:val="24"/>
          <w:szCs w:val="24"/>
        </w:rPr>
        <w:t>(a)</w:t>
      </w:r>
      <w:r w:rsidR="00FE00CB">
        <w:rPr>
          <w:i/>
          <w:iCs/>
          <w:sz w:val="24"/>
          <w:szCs w:val="24"/>
        </w:rPr>
        <w:tab/>
        <w:t>Estimating Respondent Burden.</w:t>
      </w:r>
      <w:r w:rsidR="00ED64AC">
        <w:rPr>
          <w:iCs/>
          <w:sz w:val="24"/>
          <w:szCs w:val="24"/>
        </w:rPr>
        <w:t xml:space="preserve"> </w:t>
      </w:r>
    </w:p>
    <w:p w:rsidR="00275D51" w:rsidP="00B01129" w14:paraId="7860632C" w14:textId="72BAA932">
      <w:pPr>
        <w:widowControl/>
        <w:spacing w:after="240" w:line="360" w:lineRule="auto"/>
        <w:rPr>
          <w:i/>
          <w:iCs/>
          <w:sz w:val="24"/>
          <w:szCs w:val="24"/>
        </w:rPr>
      </w:pPr>
      <w:r>
        <w:rPr>
          <w:sz w:val="24"/>
          <w:szCs w:val="24"/>
        </w:rPr>
        <w:tab/>
        <w:t xml:space="preserve">The annual burden estimates for the </w:t>
      </w:r>
      <w:r w:rsidR="00C87537">
        <w:rPr>
          <w:sz w:val="24"/>
          <w:szCs w:val="24"/>
        </w:rPr>
        <w:t xml:space="preserve">proposed </w:t>
      </w:r>
      <w:r w:rsidR="00E14F01">
        <w:rPr>
          <w:sz w:val="24"/>
          <w:szCs w:val="24"/>
        </w:rPr>
        <w:t xml:space="preserve">NSPS </w:t>
      </w:r>
      <w:r w:rsidR="00E14F01">
        <w:rPr>
          <w:sz w:val="24"/>
          <w:szCs w:val="24"/>
        </w:rPr>
        <w:t>OOOO</w:t>
      </w:r>
      <w:r w:rsidR="00C87537">
        <w:rPr>
          <w:sz w:val="24"/>
          <w:szCs w:val="24"/>
        </w:rPr>
        <w:t>b</w:t>
      </w:r>
      <w:r w:rsidR="00123B90">
        <w:rPr>
          <w:sz w:val="24"/>
          <w:szCs w:val="24"/>
        </w:rPr>
        <w:t xml:space="preserve"> </w:t>
      </w:r>
      <w:r>
        <w:rPr>
          <w:sz w:val="24"/>
          <w:szCs w:val="24"/>
        </w:rPr>
        <w:t xml:space="preserve">are shown in </w:t>
      </w:r>
      <w:r w:rsidR="00050F47">
        <w:rPr>
          <w:sz w:val="24"/>
          <w:szCs w:val="24"/>
        </w:rPr>
        <w:t>Tables 1a-</w:t>
      </w:r>
      <w:r w:rsidR="006642EA">
        <w:rPr>
          <w:sz w:val="24"/>
          <w:szCs w:val="24"/>
        </w:rPr>
        <w:t>1</w:t>
      </w:r>
      <w:r w:rsidR="00050F47">
        <w:rPr>
          <w:sz w:val="24"/>
          <w:szCs w:val="24"/>
        </w:rPr>
        <w:t>d</w:t>
      </w:r>
      <w:r>
        <w:rPr>
          <w:sz w:val="24"/>
          <w:szCs w:val="24"/>
        </w:rPr>
        <w:t xml:space="preserve">. </w:t>
      </w:r>
      <w:r>
        <w:rPr>
          <w:sz w:val="24"/>
          <w:szCs w:val="24"/>
        </w:rPr>
        <w:t xml:space="preserve">These numbers </w:t>
      </w:r>
      <w:r w:rsidR="00B93B02">
        <w:rPr>
          <w:sz w:val="24"/>
          <w:szCs w:val="24"/>
        </w:rPr>
        <w:t>are based on the</w:t>
      </w:r>
      <w:r>
        <w:rPr>
          <w:sz w:val="24"/>
          <w:szCs w:val="24"/>
        </w:rPr>
        <w:t xml:space="preserve"> estimate</w:t>
      </w:r>
      <w:r w:rsidR="00B93B02">
        <w:rPr>
          <w:sz w:val="24"/>
          <w:szCs w:val="24"/>
        </w:rPr>
        <w:t xml:space="preserve">d number </w:t>
      </w:r>
      <w:r>
        <w:rPr>
          <w:sz w:val="24"/>
          <w:szCs w:val="24"/>
        </w:rPr>
        <w:t xml:space="preserve">of </w:t>
      </w:r>
      <w:r w:rsidR="00FA7689">
        <w:rPr>
          <w:sz w:val="24"/>
          <w:szCs w:val="24"/>
        </w:rPr>
        <w:t>affected facilities</w:t>
      </w:r>
      <w:r>
        <w:rPr>
          <w:sz w:val="24"/>
          <w:szCs w:val="24"/>
        </w:rPr>
        <w:t xml:space="preserve"> that would be </w:t>
      </w:r>
      <w:r w:rsidR="00B93B02">
        <w:rPr>
          <w:sz w:val="24"/>
          <w:szCs w:val="24"/>
        </w:rPr>
        <w:t>subject to the requirements of the NSPS from years 20</w:t>
      </w:r>
      <w:r w:rsidR="00FC4A6C">
        <w:rPr>
          <w:sz w:val="24"/>
          <w:szCs w:val="24"/>
        </w:rPr>
        <w:t>2</w:t>
      </w:r>
      <w:r w:rsidR="00624EA7">
        <w:rPr>
          <w:sz w:val="24"/>
          <w:szCs w:val="24"/>
        </w:rPr>
        <w:t>3</w:t>
      </w:r>
      <w:r w:rsidR="00B93B02">
        <w:rPr>
          <w:sz w:val="24"/>
          <w:szCs w:val="24"/>
        </w:rPr>
        <w:t xml:space="preserve"> to 202</w:t>
      </w:r>
      <w:r w:rsidR="00624EA7">
        <w:rPr>
          <w:sz w:val="24"/>
          <w:szCs w:val="24"/>
        </w:rPr>
        <w:t>5</w:t>
      </w:r>
      <w:r w:rsidR="00CE4FDE">
        <w:rPr>
          <w:sz w:val="24"/>
          <w:szCs w:val="24"/>
        </w:rPr>
        <w:t>.</w:t>
      </w:r>
    </w:p>
    <w:p w:rsidR="00FE00CB" w:rsidP="00B01129" w14:paraId="472E404E" w14:textId="62616B23">
      <w:pPr>
        <w:widowControl/>
        <w:tabs>
          <w:tab w:val="left" w:pos="720"/>
        </w:tabs>
        <w:spacing w:after="240" w:line="360" w:lineRule="auto"/>
        <w:ind w:left="720" w:hanging="720"/>
        <w:rPr>
          <w:i/>
          <w:iCs/>
          <w:sz w:val="24"/>
          <w:szCs w:val="24"/>
        </w:rPr>
      </w:pPr>
      <w:r>
        <w:rPr>
          <w:i/>
          <w:iCs/>
          <w:sz w:val="24"/>
          <w:szCs w:val="24"/>
        </w:rPr>
        <w:t>(b)</w:t>
      </w:r>
      <w:r>
        <w:rPr>
          <w:i/>
          <w:iCs/>
          <w:sz w:val="24"/>
          <w:szCs w:val="24"/>
        </w:rPr>
        <w:tab/>
        <w:t>Estimating Respondent Costs.</w:t>
      </w:r>
    </w:p>
    <w:p w:rsidR="00FE00CB" w:rsidP="00B01129" w14:paraId="62099AFF" w14:textId="4544CC35">
      <w:pPr>
        <w:widowControl/>
        <w:spacing w:after="240" w:line="360" w:lineRule="auto"/>
        <w:ind w:firstLine="720"/>
        <w:rPr>
          <w:sz w:val="24"/>
          <w:szCs w:val="24"/>
        </w:rPr>
      </w:pPr>
      <w:r>
        <w:rPr>
          <w:sz w:val="24"/>
          <w:szCs w:val="24"/>
        </w:rPr>
        <w:t xml:space="preserve"> </w:t>
      </w:r>
      <w:r w:rsidR="00270646">
        <w:rPr>
          <w:sz w:val="24"/>
          <w:szCs w:val="24"/>
        </w:rPr>
        <w:t>(</w:t>
      </w:r>
      <w:r w:rsidR="00270646">
        <w:rPr>
          <w:sz w:val="24"/>
          <w:szCs w:val="24"/>
        </w:rPr>
        <w:t>i</w:t>
      </w:r>
      <w:r w:rsidR="00270646">
        <w:rPr>
          <w:sz w:val="24"/>
          <w:szCs w:val="24"/>
        </w:rPr>
        <w:t>)</w:t>
      </w:r>
      <w:r w:rsidR="00270646">
        <w:rPr>
          <w:sz w:val="24"/>
          <w:szCs w:val="24"/>
        </w:rPr>
        <w:tab/>
      </w:r>
      <w:r>
        <w:rPr>
          <w:i/>
          <w:iCs/>
          <w:sz w:val="24"/>
          <w:szCs w:val="24"/>
        </w:rPr>
        <w:t>Estimating Labor Costs</w:t>
      </w:r>
      <w:r w:rsidR="00275D51">
        <w:rPr>
          <w:sz w:val="24"/>
          <w:szCs w:val="24"/>
        </w:rPr>
        <w:t xml:space="preserve">. </w:t>
      </w:r>
    </w:p>
    <w:p w:rsidR="00771E52" w:rsidP="00530E4D" w14:paraId="4FE36750" w14:textId="33732ECB">
      <w:pPr>
        <w:keepNext/>
        <w:widowControl/>
        <w:spacing w:line="360" w:lineRule="auto"/>
        <w:ind w:firstLine="720"/>
        <w:rPr>
          <w:sz w:val="24"/>
          <w:szCs w:val="24"/>
        </w:rPr>
      </w:pPr>
      <w:r w:rsidRPr="00F025B0">
        <w:rPr>
          <w:color w:val="000000"/>
          <w:sz w:val="24"/>
          <w:szCs w:val="24"/>
        </w:rPr>
        <w:t>This ICR uses the following labor rates: $</w:t>
      </w:r>
      <w:r w:rsidR="00F917F4">
        <w:rPr>
          <w:color w:val="000000"/>
          <w:sz w:val="24"/>
          <w:szCs w:val="24"/>
        </w:rPr>
        <w:t xml:space="preserve">49.56 </w:t>
      </w:r>
      <w:r w:rsidRPr="00F025B0">
        <w:rPr>
          <w:color w:val="000000"/>
          <w:sz w:val="24"/>
          <w:szCs w:val="24"/>
        </w:rPr>
        <w:t>per hour for technical labor, $</w:t>
      </w:r>
      <w:r>
        <w:rPr>
          <w:color w:val="000000"/>
          <w:sz w:val="24"/>
          <w:szCs w:val="24"/>
        </w:rPr>
        <w:t>12</w:t>
      </w:r>
      <w:r w:rsidR="00F917F4">
        <w:rPr>
          <w:color w:val="000000"/>
          <w:sz w:val="24"/>
          <w:szCs w:val="24"/>
        </w:rPr>
        <w:t>0</w:t>
      </w:r>
      <w:r w:rsidR="001E6DE0">
        <w:rPr>
          <w:color w:val="000000"/>
          <w:sz w:val="24"/>
          <w:szCs w:val="24"/>
        </w:rPr>
        <w:t>.</w:t>
      </w:r>
      <w:r w:rsidR="00F917F4">
        <w:rPr>
          <w:color w:val="000000"/>
          <w:sz w:val="24"/>
          <w:szCs w:val="24"/>
        </w:rPr>
        <w:t>52</w:t>
      </w:r>
      <w:r w:rsidRPr="00F025B0">
        <w:rPr>
          <w:color w:val="000000"/>
          <w:sz w:val="24"/>
          <w:szCs w:val="24"/>
        </w:rPr>
        <w:t xml:space="preserve"> per hour for management labor, and $</w:t>
      </w:r>
      <w:r>
        <w:rPr>
          <w:color w:val="000000"/>
          <w:sz w:val="24"/>
          <w:szCs w:val="24"/>
        </w:rPr>
        <w:t>4</w:t>
      </w:r>
      <w:r w:rsidR="00B5711E">
        <w:rPr>
          <w:color w:val="000000"/>
          <w:sz w:val="24"/>
          <w:szCs w:val="24"/>
        </w:rPr>
        <w:t>7.40</w:t>
      </w:r>
      <w:r w:rsidRPr="00F025B0">
        <w:rPr>
          <w:color w:val="000000"/>
          <w:sz w:val="24"/>
          <w:szCs w:val="24"/>
        </w:rPr>
        <w:t xml:space="preserve"> for clerical labor. The</w:t>
      </w:r>
      <w:r>
        <w:rPr>
          <w:color w:val="000000"/>
          <w:sz w:val="24"/>
          <w:szCs w:val="24"/>
        </w:rPr>
        <w:t>se</w:t>
      </w:r>
      <w:r w:rsidRPr="00F025B0">
        <w:rPr>
          <w:color w:val="000000"/>
          <w:sz w:val="24"/>
          <w:szCs w:val="24"/>
        </w:rPr>
        <w:t xml:space="preserve"> rates </w:t>
      </w:r>
      <w:r>
        <w:rPr>
          <w:color w:val="000000"/>
          <w:sz w:val="24"/>
          <w:szCs w:val="24"/>
        </w:rPr>
        <w:t xml:space="preserve">include an increase of </w:t>
      </w:r>
      <w:r w:rsidRPr="00F025B0">
        <w:rPr>
          <w:color w:val="000000"/>
          <w:sz w:val="24"/>
          <w:szCs w:val="24"/>
        </w:rPr>
        <w:t>110 percent to account for the benefit packages available to those employed by private industry. These rates are from the</w:t>
      </w:r>
      <w:r w:rsidRPr="00F025B0">
        <w:rPr>
          <w:i/>
          <w:iCs/>
          <w:color w:val="000000"/>
          <w:sz w:val="24"/>
          <w:szCs w:val="24"/>
        </w:rPr>
        <w:t xml:space="preserve"> </w:t>
      </w:r>
      <w:r w:rsidRPr="00F76788">
        <w:rPr>
          <w:i/>
          <w:iCs/>
          <w:color w:val="000000"/>
          <w:sz w:val="24"/>
          <w:szCs w:val="24"/>
        </w:rPr>
        <w:t>May 20</w:t>
      </w:r>
      <w:r w:rsidR="001E6DE0">
        <w:rPr>
          <w:i/>
          <w:iCs/>
          <w:color w:val="000000"/>
          <w:sz w:val="24"/>
          <w:szCs w:val="24"/>
        </w:rPr>
        <w:t>2</w:t>
      </w:r>
      <w:r w:rsidR="0033147D">
        <w:rPr>
          <w:i/>
          <w:iCs/>
          <w:color w:val="000000"/>
          <w:sz w:val="24"/>
          <w:szCs w:val="24"/>
        </w:rPr>
        <w:t>1</w:t>
      </w:r>
      <w:r w:rsidRPr="00F76788">
        <w:rPr>
          <w:i/>
          <w:iCs/>
          <w:color w:val="000000"/>
          <w:sz w:val="24"/>
          <w:szCs w:val="24"/>
        </w:rPr>
        <w:t xml:space="preserve"> National Occupational Employment and Wage Estimates United States</w:t>
      </w:r>
      <w:r>
        <w:rPr>
          <w:i/>
          <w:iCs/>
          <w:color w:val="000000"/>
          <w:sz w:val="24"/>
          <w:szCs w:val="24"/>
        </w:rPr>
        <w:t xml:space="preserve"> </w:t>
      </w:r>
      <w:r w:rsidRPr="00F025B0">
        <w:rPr>
          <w:color w:val="000000"/>
          <w:sz w:val="24"/>
          <w:szCs w:val="24"/>
        </w:rPr>
        <w:t xml:space="preserve">published by the Bureau of Labor and Statistics </w:t>
      </w:r>
      <w:r>
        <w:rPr>
          <w:color w:val="000000"/>
          <w:sz w:val="24"/>
          <w:szCs w:val="24"/>
        </w:rPr>
        <w:t>(</w:t>
      </w:r>
      <w:r w:rsidRPr="00751C65">
        <w:rPr>
          <w:i/>
          <w:iCs/>
          <w:color w:val="000000"/>
          <w:sz w:val="24"/>
          <w:szCs w:val="24"/>
        </w:rPr>
        <w:t>https://www.bls.gov/oes/current/oes_nat.htm</w:t>
      </w:r>
      <w:r w:rsidRPr="00F025B0">
        <w:rPr>
          <w:color w:val="000000"/>
          <w:sz w:val="24"/>
          <w:szCs w:val="24"/>
        </w:rPr>
        <w:t xml:space="preserve">). </w:t>
      </w:r>
      <w:r w:rsidRPr="00F025B0">
        <w:rPr>
          <w:sz w:val="24"/>
          <w:szCs w:val="24"/>
        </w:rPr>
        <w:t>Costs have been estimated in 201</w:t>
      </w:r>
      <w:r w:rsidR="004B459B">
        <w:rPr>
          <w:sz w:val="24"/>
          <w:szCs w:val="24"/>
        </w:rPr>
        <w:t>9</w:t>
      </w:r>
      <w:r w:rsidRPr="00F025B0">
        <w:rPr>
          <w:sz w:val="24"/>
          <w:szCs w:val="24"/>
        </w:rPr>
        <w:t xml:space="preserve"> dollars for this </w:t>
      </w:r>
      <w:r w:rsidRPr="00F025B0">
        <w:rPr>
          <w:sz w:val="24"/>
          <w:szCs w:val="24"/>
        </w:rPr>
        <w:t>ICR</w:t>
      </w:r>
      <w:r>
        <w:rPr>
          <w:sz w:val="24"/>
          <w:szCs w:val="24"/>
        </w:rPr>
        <w:t>, which is</w:t>
      </w:r>
      <w:r w:rsidRPr="00F025B0">
        <w:rPr>
          <w:sz w:val="24"/>
          <w:szCs w:val="24"/>
        </w:rPr>
        <w:t xml:space="preserve"> consistent with </w:t>
      </w:r>
      <w:r>
        <w:rPr>
          <w:sz w:val="24"/>
          <w:szCs w:val="24"/>
        </w:rPr>
        <w:t>the</w:t>
      </w:r>
      <w:r w:rsidRPr="00F025B0">
        <w:rPr>
          <w:sz w:val="24"/>
          <w:szCs w:val="24"/>
        </w:rPr>
        <w:t xml:space="preserve"> costs (</w:t>
      </w:r>
      <w:r w:rsidRPr="004B459B">
        <w:rPr>
          <w:i/>
          <w:iCs/>
          <w:sz w:val="24"/>
          <w:szCs w:val="24"/>
        </w:rPr>
        <w:t>i.e.</w:t>
      </w:r>
      <w:r w:rsidRPr="004B459B" w:rsidR="004B459B">
        <w:rPr>
          <w:i/>
          <w:iCs/>
          <w:sz w:val="24"/>
          <w:szCs w:val="24"/>
        </w:rPr>
        <w:t>,</w:t>
      </w:r>
      <w:r w:rsidRPr="00F025B0">
        <w:rPr>
          <w:sz w:val="24"/>
          <w:szCs w:val="24"/>
        </w:rPr>
        <w:t xml:space="preserve"> cost of control) estimated in the </w:t>
      </w:r>
      <w:r>
        <w:rPr>
          <w:sz w:val="24"/>
          <w:szCs w:val="24"/>
        </w:rPr>
        <w:t xml:space="preserve">supporting documents </w:t>
      </w:r>
      <w:r w:rsidRPr="00F025B0">
        <w:rPr>
          <w:sz w:val="24"/>
          <w:szCs w:val="24"/>
        </w:rPr>
        <w:t>develo</w:t>
      </w:r>
      <w:r>
        <w:rPr>
          <w:sz w:val="24"/>
          <w:szCs w:val="24"/>
        </w:rPr>
        <w:t xml:space="preserve">ped for the </w:t>
      </w:r>
      <w:r w:rsidR="004B459B">
        <w:rPr>
          <w:sz w:val="24"/>
          <w:szCs w:val="24"/>
        </w:rPr>
        <w:t>proposed</w:t>
      </w:r>
      <w:r>
        <w:rPr>
          <w:sz w:val="24"/>
          <w:szCs w:val="24"/>
        </w:rPr>
        <w:t xml:space="preserve"> </w:t>
      </w:r>
      <w:r w:rsidR="00E14F01">
        <w:rPr>
          <w:sz w:val="24"/>
          <w:szCs w:val="24"/>
        </w:rPr>
        <w:t xml:space="preserve">NSPS </w:t>
      </w:r>
      <w:r w:rsidR="00E14F01">
        <w:rPr>
          <w:sz w:val="24"/>
          <w:szCs w:val="24"/>
        </w:rPr>
        <w:t>OOOO</w:t>
      </w:r>
      <w:r w:rsidR="00167746">
        <w:rPr>
          <w:sz w:val="24"/>
          <w:szCs w:val="24"/>
        </w:rPr>
        <w:t>b</w:t>
      </w:r>
      <w:r w:rsidRPr="00F025B0">
        <w:rPr>
          <w:sz w:val="24"/>
          <w:szCs w:val="24"/>
        </w:rPr>
        <w:t>.</w:t>
      </w:r>
    </w:p>
    <w:p w:rsidR="00771E52" w:rsidP="00B01129" w14:paraId="7752DB36" w14:textId="2678BB6D">
      <w:pPr>
        <w:widowControl/>
        <w:spacing w:after="240" w:line="360" w:lineRule="auto"/>
        <w:rPr>
          <w:sz w:val="24"/>
          <w:szCs w:val="24"/>
        </w:rPr>
      </w:pPr>
      <w:r>
        <w:rPr>
          <w:sz w:val="24"/>
          <w:szCs w:val="24"/>
        </w:rPr>
        <w:tab/>
        <w:t xml:space="preserve">The information collection activities for </w:t>
      </w:r>
      <w:r w:rsidR="00E14F01">
        <w:rPr>
          <w:sz w:val="24"/>
          <w:szCs w:val="24"/>
        </w:rPr>
        <w:t xml:space="preserve">NSPS </w:t>
      </w:r>
      <w:r w:rsidR="00E14F01">
        <w:rPr>
          <w:sz w:val="24"/>
          <w:szCs w:val="24"/>
        </w:rPr>
        <w:t>OOOO</w:t>
      </w:r>
      <w:r w:rsidR="00167746">
        <w:rPr>
          <w:sz w:val="24"/>
          <w:szCs w:val="24"/>
        </w:rPr>
        <w:t>b</w:t>
      </w:r>
      <w:r>
        <w:rPr>
          <w:sz w:val="24"/>
          <w:szCs w:val="24"/>
        </w:rPr>
        <w:t xml:space="preserve"> are presented in Tables 1a-1d. </w:t>
      </w:r>
      <w:r w:rsidRPr="00971966">
        <w:rPr>
          <w:sz w:val="24"/>
          <w:szCs w:val="24"/>
        </w:rPr>
        <w:t xml:space="preserve">Because the data are already collected by respondents as </w:t>
      </w:r>
      <w:r>
        <w:rPr>
          <w:sz w:val="24"/>
          <w:szCs w:val="24"/>
        </w:rPr>
        <w:t>part of normal operations</w:t>
      </w:r>
      <w:r w:rsidRPr="00971966">
        <w:rPr>
          <w:sz w:val="24"/>
          <w:szCs w:val="24"/>
        </w:rPr>
        <w:t>, no respondent costs are associated with information collection activities.</w:t>
      </w:r>
    </w:p>
    <w:p w:rsidR="00953210" w:rsidP="00B01129" w14:paraId="743CCEBA" w14:textId="77777777">
      <w:pPr>
        <w:keepNext/>
        <w:widowControl/>
        <w:spacing w:after="240" w:line="360" w:lineRule="auto"/>
        <w:rPr>
          <w:sz w:val="24"/>
          <w:szCs w:val="24"/>
        </w:rPr>
      </w:pPr>
      <w:r>
        <w:rPr>
          <w:sz w:val="24"/>
          <w:szCs w:val="24"/>
        </w:rPr>
        <w:tab/>
      </w:r>
      <w:r>
        <w:rPr>
          <w:i/>
          <w:iCs/>
          <w:sz w:val="24"/>
          <w:szCs w:val="24"/>
        </w:rPr>
        <w:t>(</w:t>
      </w:r>
      <w:r w:rsidR="00270646">
        <w:rPr>
          <w:i/>
          <w:iCs/>
          <w:sz w:val="24"/>
          <w:szCs w:val="24"/>
        </w:rPr>
        <w:t>ii)</w:t>
      </w:r>
      <w:r w:rsidR="00270646">
        <w:rPr>
          <w:i/>
          <w:iCs/>
          <w:sz w:val="24"/>
          <w:szCs w:val="24"/>
        </w:rPr>
        <w:tab/>
      </w:r>
      <w:r w:rsidRPr="00FE0616">
        <w:rPr>
          <w:i/>
          <w:iCs/>
          <w:sz w:val="24"/>
          <w:szCs w:val="24"/>
        </w:rPr>
        <w:t>Estimating Capital and Operations and Maintenance (O&amp;M) Costs</w:t>
      </w:r>
      <w:r w:rsidRPr="00FE0616">
        <w:rPr>
          <w:sz w:val="24"/>
          <w:szCs w:val="24"/>
        </w:rPr>
        <w:t>.</w:t>
      </w:r>
      <w:r>
        <w:rPr>
          <w:sz w:val="24"/>
          <w:szCs w:val="24"/>
        </w:rPr>
        <w:t xml:space="preserve"> </w:t>
      </w:r>
    </w:p>
    <w:p w:rsidR="00FE0616" w:rsidP="00B01129" w14:paraId="258C23BF" w14:textId="6C3DBE48">
      <w:pPr>
        <w:keepNext/>
        <w:spacing w:after="240" w:line="360" w:lineRule="auto"/>
        <w:ind w:firstLine="720"/>
        <w:rPr>
          <w:sz w:val="24"/>
          <w:szCs w:val="24"/>
        </w:rPr>
      </w:pPr>
      <w:r>
        <w:rPr>
          <w:sz w:val="24"/>
          <w:szCs w:val="24"/>
        </w:rPr>
        <w:t>A</w:t>
      </w:r>
      <w:r w:rsidR="004C189B">
        <w:rPr>
          <w:sz w:val="24"/>
          <w:szCs w:val="24"/>
        </w:rPr>
        <w:t xml:space="preserve"> </w:t>
      </w:r>
      <w:r w:rsidR="0098444C">
        <w:rPr>
          <w:sz w:val="24"/>
          <w:szCs w:val="24"/>
        </w:rPr>
        <w:t>significant capital cost component</w:t>
      </w:r>
      <w:r w:rsidR="004C189B">
        <w:rPr>
          <w:sz w:val="24"/>
          <w:szCs w:val="24"/>
        </w:rPr>
        <w:t xml:space="preserve"> to the fugitives monitoring program, is the </w:t>
      </w:r>
      <w:r w:rsidR="005503E8">
        <w:rPr>
          <w:sz w:val="24"/>
          <w:szCs w:val="24"/>
        </w:rPr>
        <w:t>cost and set-up of a recordkeeping system database</w:t>
      </w:r>
      <w:r w:rsidR="006B2FC5">
        <w:rPr>
          <w:sz w:val="24"/>
          <w:szCs w:val="24"/>
        </w:rPr>
        <w:t>. The recordkeeping system database</w:t>
      </w:r>
      <w:r w:rsidR="00152E49">
        <w:rPr>
          <w:sz w:val="24"/>
          <w:szCs w:val="24"/>
        </w:rPr>
        <w:t xml:space="preserve"> is a key part of the fugitives monitoring program</w:t>
      </w:r>
      <w:r w:rsidR="00AD163B">
        <w:rPr>
          <w:sz w:val="24"/>
          <w:szCs w:val="24"/>
        </w:rPr>
        <w:t xml:space="preserve"> where </w:t>
      </w:r>
      <w:r w:rsidR="00605F7D">
        <w:rPr>
          <w:sz w:val="24"/>
          <w:szCs w:val="24"/>
        </w:rPr>
        <w:t xml:space="preserve">regular </w:t>
      </w:r>
      <w:r w:rsidRPr="00B375E5" w:rsidR="00B375E5">
        <w:rPr>
          <w:sz w:val="24"/>
          <w:szCs w:val="24"/>
        </w:rPr>
        <w:t xml:space="preserve">Audio, Visual and Olfactory </w:t>
      </w:r>
      <w:r w:rsidR="00B375E5">
        <w:rPr>
          <w:sz w:val="24"/>
          <w:szCs w:val="24"/>
        </w:rPr>
        <w:t>(</w:t>
      </w:r>
      <w:r w:rsidR="00605F7D">
        <w:rPr>
          <w:sz w:val="24"/>
          <w:szCs w:val="24"/>
        </w:rPr>
        <w:t>AVO</w:t>
      </w:r>
      <w:r w:rsidR="00B375E5">
        <w:rPr>
          <w:sz w:val="24"/>
          <w:szCs w:val="24"/>
        </w:rPr>
        <w:t>)</w:t>
      </w:r>
      <w:r w:rsidR="00605F7D">
        <w:rPr>
          <w:sz w:val="24"/>
          <w:szCs w:val="24"/>
        </w:rPr>
        <w:t xml:space="preserve"> and </w:t>
      </w:r>
      <w:r w:rsidR="00701817">
        <w:rPr>
          <w:sz w:val="24"/>
          <w:szCs w:val="24"/>
        </w:rPr>
        <w:t>optical gas imaging (</w:t>
      </w:r>
      <w:r w:rsidR="00605F7D">
        <w:rPr>
          <w:sz w:val="24"/>
          <w:szCs w:val="24"/>
        </w:rPr>
        <w:t>OGI</w:t>
      </w:r>
      <w:r w:rsidR="00701817">
        <w:rPr>
          <w:sz w:val="24"/>
          <w:szCs w:val="24"/>
        </w:rPr>
        <w:t>)</w:t>
      </w:r>
      <w:r w:rsidR="00605F7D">
        <w:rPr>
          <w:sz w:val="24"/>
          <w:szCs w:val="24"/>
        </w:rPr>
        <w:t xml:space="preserve"> monitoring is required</w:t>
      </w:r>
      <w:r w:rsidR="006B2FC5">
        <w:rPr>
          <w:sz w:val="24"/>
          <w:szCs w:val="24"/>
        </w:rPr>
        <w:t xml:space="preserve">. </w:t>
      </w:r>
      <w:r w:rsidR="00A65C4B">
        <w:rPr>
          <w:sz w:val="24"/>
          <w:szCs w:val="24"/>
        </w:rPr>
        <w:t>Because e</w:t>
      </w:r>
      <w:r w:rsidR="00E87C63">
        <w:rPr>
          <w:sz w:val="24"/>
          <w:szCs w:val="24"/>
        </w:rPr>
        <w:t>xtensive records</w:t>
      </w:r>
      <w:r w:rsidR="00A65C4B">
        <w:rPr>
          <w:sz w:val="24"/>
          <w:szCs w:val="24"/>
        </w:rPr>
        <w:t xml:space="preserve"> are</w:t>
      </w:r>
      <w:r w:rsidR="00E87C63">
        <w:rPr>
          <w:sz w:val="24"/>
          <w:szCs w:val="24"/>
        </w:rPr>
        <w:t xml:space="preserve"> required for each</w:t>
      </w:r>
      <w:r w:rsidR="00A65C4B">
        <w:rPr>
          <w:sz w:val="24"/>
          <w:szCs w:val="24"/>
        </w:rPr>
        <w:t xml:space="preserve"> fugitive emissions </w:t>
      </w:r>
      <w:r w:rsidR="00E87C63">
        <w:rPr>
          <w:sz w:val="24"/>
          <w:szCs w:val="24"/>
        </w:rPr>
        <w:t xml:space="preserve">survey that is </w:t>
      </w:r>
      <w:r w:rsidR="00331805">
        <w:rPr>
          <w:sz w:val="24"/>
          <w:szCs w:val="24"/>
        </w:rPr>
        <w:t xml:space="preserve">conducted it is critical that an </w:t>
      </w:r>
      <w:r w:rsidR="00E87C63">
        <w:rPr>
          <w:sz w:val="24"/>
          <w:szCs w:val="24"/>
        </w:rPr>
        <w:t xml:space="preserve">appropriate data management </w:t>
      </w:r>
      <w:r w:rsidR="00331805">
        <w:rPr>
          <w:sz w:val="24"/>
          <w:szCs w:val="24"/>
        </w:rPr>
        <w:t xml:space="preserve">system is used </w:t>
      </w:r>
      <w:r w:rsidR="00331805">
        <w:rPr>
          <w:sz w:val="24"/>
          <w:szCs w:val="24"/>
        </w:rPr>
        <w:t>in order to</w:t>
      </w:r>
      <w:r w:rsidR="00331805">
        <w:rPr>
          <w:sz w:val="24"/>
          <w:szCs w:val="24"/>
        </w:rPr>
        <w:t xml:space="preserve"> manage </w:t>
      </w:r>
      <w:r w:rsidR="00762DD1">
        <w:rPr>
          <w:sz w:val="24"/>
          <w:szCs w:val="24"/>
        </w:rPr>
        <w:t xml:space="preserve">the compliance </w:t>
      </w:r>
      <w:r w:rsidR="0033069E">
        <w:rPr>
          <w:sz w:val="24"/>
          <w:szCs w:val="24"/>
        </w:rPr>
        <w:t>data</w:t>
      </w:r>
      <w:r w:rsidR="00762DD1">
        <w:rPr>
          <w:sz w:val="24"/>
          <w:szCs w:val="24"/>
        </w:rPr>
        <w:t xml:space="preserve"> collect</w:t>
      </w:r>
      <w:r w:rsidR="009B5B86">
        <w:rPr>
          <w:sz w:val="24"/>
          <w:szCs w:val="24"/>
        </w:rPr>
        <w:t>ed</w:t>
      </w:r>
      <w:r w:rsidR="00E87C63">
        <w:rPr>
          <w:sz w:val="24"/>
          <w:szCs w:val="24"/>
        </w:rPr>
        <w:t xml:space="preserve">. </w:t>
      </w:r>
      <w:r w:rsidR="0000382F">
        <w:rPr>
          <w:sz w:val="24"/>
          <w:szCs w:val="24"/>
        </w:rPr>
        <w:t xml:space="preserve">The </w:t>
      </w:r>
      <w:r w:rsidR="00845EB0">
        <w:rPr>
          <w:sz w:val="24"/>
          <w:szCs w:val="24"/>
        </w:rPr>
        <w:t xml:space="preserve">capital cost associated with the </w:t>
      </w:r>
      <w:r w:rsidR="00271791">
        <w:rPr>
          <w:sz w:val="24"/>
          <w:szCs w:val="24"/>
        </w:rPr>
        <w:t xml:space="preserve">initial </w:t>
      </w:r>
      <w:r w:rsidR="00845EB0">
        <w:rPr>
          <w:sz w:val="24"/>
          <w:szCs w:val="24"/>
        </w:rPr>
        <w:t xml:space="preserve">set-up of the </w:t>
      </w:r>
      <w:r w:rsidR="00271791">
        <w:rPr>
          <w:sz w:val="24"/>
          <w:szCs w:val="24"/>
        </w:rPr>
        <w:t xml:space="preserve">database </w:t>
      </w:r>
      <w:r w:rsidR="00845EB0">
        <w:rPr>
          <w:sz w:val="24"/>
          <w:szCs w:val="24"/>
        </w:rPr>
        <w:t>recordkeeping system was</w:t>
      </w:r>
      <w:r w:rsidR="00271791">
        <w:rPr>
          <w:sz w:val="24"/>
          <w:szCs w:val="24"/>
        </w:rPr>
        <w:t xml:space="preserve"> estimated </w:t>
      </w:r>
      <w:r w:rsidR="00845EB0">
        <w:rPr>
          <w:sz w:val="24"/>
          <w:szCs w:val="24"/>
        </w:rPr>
        <w:t>at</w:t>
      </w:r>
      <w:r w:rsidR="00271791">
        <w:rPr>
          <w:sz w:val="24"/>
          <w:szCs w:val="24"/>
        </w:rPr>
        <w:t xml:space="preserve"> $1</w:t>
      </w:r>
      <w:r w:rsidR="00DF70BD">
        <w:rPr>
          <w:sz w:val="24"/>
          <w:szCs w:val="24"/>
        </w:rPr>
        <w:t>9,728</w:t>
      </w:r>
      <w:r w:rsidR="00101720">
        <w:rPr>
          <w:sz w:val="24"/>
          <w:szCs w:val="24"/>
        </w:rPr>
        <w:t>.</w:t>
      </w:r>
      <w:r w:rsidR="00271791">
        <w:rPr>
          <w:sz w:val="24"/>
          <w:szCs w:val="24"/>
        </w:rPr>
        <w:t xml:space="preserve"> </w:t>
      </w:r>
      <w:r w:rsidR="00845EB0">
        <w:rPr>
          <w:sz w:val="24"/>
          <w:szCs w:val="24"/>
        </w:rPr>
        <w:t>Th</w:t>
      </w:r>
      <w:r w:rsidR="007A532A">
        <w:rPr>
          <w:sz w:val="24"/>
          <w:szCs w:val="24"/>
        </w:rPr>
        <w:t>is one-</w:t>
      </w:r>
      <w:r w:rsidR="009040D1">
        <w:rPr>
          <w:sz w:val="24"/>
          <w:szCs w:val="24"/>
        </w:rPr>
        <w:t>time</w:t>
      </w:r>
      <w:r w:rsidR="00845EB0">
        <w:rPr>
          <w:sz w:val="24"/>
          <w:szCs w:val="24"/>
        </w:rPr>
        <w:t xml:space="preserve"> cos</w:t>
      </w:r>
      <w:r w:rsidR="007A532A">
        <w:rPr>
          <w:sz w:val="24"/>
          <w:szCs w:val="24"/>
        </w:rPr>
        <w:t xml:space="preserve">t is </w:t>
      </w:r>
      <w:r w:rsidR="00845EB0">
        <w:rPr>
          <w:sz w:val="24"/>
          <w:szCs w:val="24"/>
        </w:rPr>
        <w:t>accounted for in the first</w:t>
      </w:r>
      <w:r w:rsidR="009040D1">
        <w:rPr>
          <w:sz w:val="24"/>
          <w:szCs w:val="24"/>
        </w:rPr>
        <w:t>-</w:t>
      </w:r>
      <w:r w:rsidR="00845EB0">
        <w:rPr>
          <w:sz w:val="24"/>
          <w:szCs w:val="24"/>
        </w:rPr>
        <w:t>year capital costs for each new well site</w:t>
      </w:r>
      <w:r w:rsidR="00E83291">
        <w:rPr>
          <w:sz w:val="24"/>
          <w:szCs w:val="24"/>
        </w:rPr>
        <w:t xml:space="preserve"> </w:t>
      </w:r>
      <w:r w:rsidR="00BB5631">
        <w:rPr>
          <w:sz w:val="24"/>
          <w:szCs w:val="24"/>
        </w:rPr>
        <w:t xml:space="preserve">with two or more wellheads that is subject </w:t>
      </w:r>
      <w:r w:rsidR="00FC617B">
        <w:rPr>
          <w:sz w:val="24"/>
          <w:szCs w:val="24"/>
        </w:rPr>
        <w:t xml:space="preserve">to quarterly AVO and semiannually OGI monitoring, well sites and centralized production facilities with major production and processing equipment subject to </w:t>
      </w:r>
      <w:r w:rsidR="00776ED6">
        <w:rPr>
          <w:sz w:val="24"/>
          <w:szCs w:val="24"/>
        </w:rPr>
        <w:t xml:space="preserve">bimonthly AVO and quarterly OGI monitoring, </w:t>
      </w:r>
      <w:r w:rsidR="00D81F9F">
        <w:rPr>
          <w:sz w:val="24"/>
          <w:szCs w:val="24"/>
        </w:rPr>
        <w:t xml:space="preserve">and </w:t>
      </w:r>
      <w:r w:rsidR="007A532A">
        <w:rPr>
          <w:sz w:val="24"/>
          <w:szCs w:val="24"/>
        </w:rPr>
        <w:t>compressor station</w:t>
      </w:r>
      <w:r w:rsidR="00776ED6">
        <w:rPr>
          <w:sz w:val="24"/>
          <w:szCs w:val="24"/>
        </w:rPr>
        <w:t>s subject to monthly AVO and quarterly OGI monitoring</w:t>
      </w:r>
      <w:r w:rsidR="0033702E">
        <w:rPr>
          <w:sz w:val="24"/>
          <w:szCs w:val="24"/>
        </w:rPr>
        <w:t xml:space="preserve">. </w:t>
      </w:r>
      <w:r w:rsidRPr="00EF2A02" w:rsidR="00EF2A02">
        <w:rPr>
          <w:sz w:val="24"/>
          <w:szCs w:val="24"/>
        </w:rPr>
        <w:t>Consistent with the analyses used for the 2016 NSPS OOOOa and 2020 Technical Rule, the EPA assumes that each company will develop a monitoring plan and recordkeeping system that covers a company-defined area, which is assumed to include 22 well sites</w:t>
      </w:r>
      <w:r w:rsidR="005870D2">
        <w:rPr>
          <w:sz w:val="24"/>
          <w:szCs w:val="24"/>
        </w:rPr>
        <w:t xml:space="preserve">, </w:t>
      </w:r>
      <w:r w:rsidR="00EF2A02">
        <w:rPr>
          <w:sz w:val="24"/>
          <w:szCs w:val="24"/>
        </w:rPr>
        <w:t>7 gathering and boosting stations</w:t>
      </w:r>
      <w:r w:rsidR="007A532A">
        <w:rPr>
          <w:sz w:val="24"/>
          <w:szCs w:val="24"/>
        </w:rPr>
        <w:t>, or one transmission or storage station</w:t>
      </w:r>
      <w:r w:rsidRPr="00EF2A02" w:rsidR="00EF2A02">
        <w:rPr>
          <w:sz w:val="24"/>
          <w:szCs w:val="24"/>
        </w:rPr>
        <w:t>. This assumption is used because there are several elements of the fugitive monitoring program that are not site-specific.</w:t>
      </w:r>
      <w:r w:rsidR="00776ED6">
        <w:rPr>
          <w:sz w:val="24"/>
          <w:szCs w:val="24"/>
        </w:rPr>
        <w:t xml:space="preserve"> </w:t>
      </w:r>
      <w:r w:rsidR="00804B05">
        <w:rPr>
          <w:sz w:val="24"/>
          <w:szCs w:val="24"/>
        </w:rPr>
        <w:t xml:space="preserve">Under the proposed </w:t>
      </w:r>
      <w:r w:rsidR="00804B05">
        <w:rPr>
          <w:sz w:val="24"/>
          <w:szCs w:val="24"/>
        </w:rPr>
        <w:t>OOOOb</w:t>
      </w:r>
      <w:r w:rsidR="00804B05">
        <w:rPr>
          <w:sz w:val="24"/>
          <w:szCs w:val="24"/>
        </w:rPr>
        <w:t>, s</w:t>
      </w:r>
      <w:r w:rsidR="00776ED6">
        <w:rPr>
          <w:sz w:val="24"/>
          <w:szCs w:val="24"/>
        </w:rPr>
        <w:t xml:space="preserve">ingle wellhead only </w:t>
      </w:r>
      <w:r w:rsidR="00804B05">
        <w:rPr>
          <w:sz w:val="24"/>
          <w:szCs w:val="24"/>
        </w:rPr>
        <w:t>well sites and small well sites are subject to quarterly AVO monitoring only and</w:t>
      </w:r>
      <w:r w:rsidR="000D4157">
        <w:rPr>
          <w:sz w:val="24"/>
          <w:szCs w:val="24"/>
        </w:rPr>
        <w:t xml:space="preserve"> would be required to develop a simple spreadsheet </w:t>
      </w:r>
      <w:r w:rsidR="000D4157">
        <w:rPr>
          <w:sz w:val="24"/>
          <w:szCs w:val="24"/>
        </w:rPr>
        <w:t>in order to</w:t>
      </w:r>
      <w:r w:rsidR="000D4157">
        <w:rPr>
          <w:sz w:val="24"/>
          <w:szCs w:val="24"/>
        </w:rPr>
        <w:t xml:space="preserve"> track inspections. </w:t>
      </w:r>
    </w:p>
    <w:p w:rsidR="00FE00CB" w:rsidP="00D070A2" w14:paraId="0C441A93" w14:textId="57A19ED0">
      <w:pPr>
        <w:widowControl/>
        <w:spacing w:after="240" w:line="360" w:lineRule="auto"/>
        <w:rPr>
          <w:sz w:val="24"/>
          <w:szCs w:val="24"/>
        </w:rPr>
      </w:pPr>
      <w:r>
        <w:rPr>
          <w:i/>
          <w:iCs/>
          <w:sz w:val="24"/>
          <w:szCs w:val="24"/>
        </w:rPr>
        <w:t>(c)</w:t>
      </w:r>
      <w:r>
        <w:rPr>
          <w:i/>
          <w:iCs/>
          <w:sz w:val="24"/>
          <w:szCs w:val="24"/>
        </w:rPr>
        <w:tab/>
        <w:t>Estimating Agency Burden and Cost</w:t>
      </w:r>
      <w:r>
        <w:rPr>
          <w:sz w:val="24"/>
          <w:szCs w:val="24"/>
        </w:rPr>
        <w:t>.</w:t>
      </w:r>
    </w:p>
    <w:p w:rsidR="004C1E09" w:rsidP="0075527B" w14:paraId="2BBC381E" w14:textId="4FE30E85">
      <w:pPr>
        <w:widowControl/>
        <w:spacing w:line="360" w:lineRule="auto"/>
        <w:rPr>
          <w:sz w:val="24"/>
          <w:szCs w:val="24"/>
        </w:rPr>
      </w:pPr>
      <w:r>
        <w:rPr>
          <w:sz w:val="24"/>
          <w:szCs w:val="24"/>
        </w:rPr>
        <w:tab/>
        <w:t>Because reporting and recordkeeping requirements on the part of the respondents are required under the operating permits rules in 40 CFR part 70 or part 71 and the part 60 NSPS General Provisions, no operational costs will be incur</w:t>
      </w:r>
      <w:r w:rsidR="00FD0CE1">
        <w:rPr>
          <w:sz w:val="24"/>
          <w:szCs w:val="24"/>
        </w:rPr>
        <w:t xml:space="preserve">red by the Federal Government. </w:t>
      </w:r>
      <w:r>
        <w:rPr>
          <w:sz w:val="24"/>
          <w:szCs w:val="24"/>
        </w:rPr>
        <w:t xml:space="preserve">Examination </w:t>
      </w:r>
      <w:r>
        <w:rPr>
          <w:sz w:val="24"/>
          <w:szCs w:val="24"/>
        </w:rPr>
        <w:t xml:space="preserve">of records to be maintained by the respondents will occur incidentally as part of the periodic inspection of </w:t>
      </w:r>
      <w:r w:rsidR="00271798">
        <w:rPr>
          <w:sz w:val="24"/>
          <w:szCs w:val="24"/>
        </w:rPr>
        <w:t>facilities</w:t>
      </w:r>
      <w:r>
        <w:rPr>
          <w:sz w:val="24"/>
          <w:szCs w:val="24"/>
        </w:rPr>
        <w:t xml:space="preserve"> that is part of </w:t>
      </w:r>
      <w:r w:rsidR="007F789C">
        <w:rPr>
          <w:sz w:val="24"/>
          <w:szCs w:val="24"/>
        </w:rPr>
        <w:t>EPA</w:t>
      </w:r>
      <w:r>
        <w:rPr>
          <w:sz w:val="24"/>
          <w:szCs w:val="24"/>
        </w:rPr>
        <w:t>’s overall compliance and enforcement program, and, therefore, i</w:t>
      </w:r>
      <w:r w:rsidR="00FD0CE1">
        <w:rPr>
          <w:sz w:val="24"/>
          <w:szCs w:val="24"/>
        </w:rPr>
        <w:t xml:space="preserve">s not attributable to the ICR. </w:t>
      </w:r>
      <w:r>
        <w:rPr>
          <w:sz w:val="24"/>
          <w:szCs w:val="24"/>
        </w:rPr>
        <w:t xml:space="preserve">The only costs that the Federal government will incur are user costs associated with the analysis of the reported information, as presented in </w:t>
      </w:r>
      <w:r w:rsidRPr="00483C3F" w:rsidR="00664E61">
        <w:rPr>
          <w:sz w:val="24"/>
          <w:szCs w:val="24"/>
        </w:rPr>
        <w:t>Table</w:t>
      </w:r>
      <w:r w:rsidR="00664E61">
        <w:rPr>
          <w:sz w:val="24"/>
          <w:szCs w:val="24"/>
        </w:rPr>
        <w:t>s</w:t>
      </w:r>
      <w:r w:rsidRPr="00483C3F" w:rsidR="00664E61">
        <w:rPr>
          <w:sz w:val="24"/>
          <w:szCs w:val="24"/>
        </w:rPr>
        <w:t xml:space="preserve"> </w:t>
      </w:r>
      <w:r w:rsidR="005B7810">
        <w:rPr>
          <w:sz w:val="24"/>
          <w:szCs w:val="24"/>
        </w:rPr>
        <w:t>2</w:t>
      </w:r>
      <w:r w:rsidR="00664E61">
        <w:rPr>
          <w:sz w:val="24"/>
          <w:szCs w:val="24"/>
        </w:rPr>
        <w:t>a-</w:t>
      </w:r>
      <w:r w:rsidR="005B7810">
        <w:rPr>
          <w:sz w:val="24"/>
          <w:szCs w:val="24"/>
        </w:rPr>
        <w:t>2</w:t>
      </w:r>
      <w:r w:rsidR="00664E61">
        <w:rPr>
          <w:sz w:val="24"/>
          <w:szCs w:val="24"/>
        </w:rPr>
        <w:t>d</w:t>
      </w:r>
      <w:r>
        <w:rPr>
          <w:sz w:val="24"/>
          <w:szCs w:val="24"/>
        </w:rPr>
        <w:t>.</w:t>
      </w:r>
    </w:p>
    <w:p w:rsidR="004C1E09" w:rsidRPr="004C1E09" w:rsidP="0075527B" w14:paraId="6EC1B202" w14:textId="77777777">
      <w:pPr>
        <w:keepNext/>
        <w:widowControl/>
        <w:spacing w:line="360" w:lineRule="auto"/>
        <w:rPr>
          <w:sz w:val="24"/>
          <w:szCs w:val="24"/>
        </w:rPr>
      </w:pPr>
      <w:r w:rsidRPr="004C1E09">
        <w:rPr>
          <w:sz w:val="24"/>
          <w:szCs w:val="24"/>
        </w:rPr>
        <w:t>This cost is based on the average hourly labor rate as follows:</w:t>
      </w:r>
    </w:p>
    <w:p w:rsidR="004C1E09" w:rsidRPr="004C1E09" w:rsidP="0075527B" w14:paraId="17D6F223" w14:textId="02C62752">
      <w:pPr>
        <w:keepNext/>
        <w:widowControl/>
        <w:spacing w:line="360" w:lineRule="auto"/>
        <w:rPr>
          <w:sz w:val="24"/>
          <w:szCs w:val="24"/>
        </w:rPr>
      </w:pPr>
      <w:r w:rsidRPr="004C1E09">
        <w:rPr>
          <w:sz w:val="24"/>
          <w:szCs w:val="24"/>
        </w:rPr>
        <w:tab/>
      </w:r>
      <w:r w:rsidRPr="004C1E09">
        <w:rPr>
          <w:sz w:val="24"/>
          <w:szCs w:val="24"/>
        </w:rPr>
        <w:tab/>
        <w:t>Manag</w:t>
      </w:r>
      <w:r w:rsidR="004B293D">
        <w:rPr>
          <w:sz w:val="24"/>
          <w:szCs w:val="24"/>
        </w:rPr>
        <w:t>erial</w:t>
      </w:r>
      <w:r w:rsidR="004B293D">
        <w:rPr>
          <w:sz w:val="24"/>
          <w:szCs w:val="24"/>
        </w:rPr>
        <w:tab/>
        <w:t>$</w:t>
      </w:r>
      <w:r w:rsidR="002E047D">
        <w:rPr>
          <w:sz w:val="24"/>
          <w:szCs w:val="24"/>
        </w:rPr>
        <w:t>70.56</w:t>
      </w:r>
      <w:r w:rsidR="004B293D">
        <w:rPr>
          <w:sz w:val="24"/>
          <w:szCs w:val="24"/>
        </w:rPr>
        <w:t xml:space="preserve"> (GS-13, Step 5, $</w:t>
      </w:r>
      <w:r w:rsidR="003071D2">
        <w:rPr>
          <w:sz w:val="24"/>
          <w:szCs w:val="24"/>
        </w:rPr>
        <w:t>4</w:t>
      </w:r>
      <w:r w:rsidR="00057935">
        <w:rPr>
          <w:sz w:val="24"/>
          <w:szCs w:val="24"/>
        </w:rPr>
        <w:t>4.10</w:t>
      </w:r>
      <w:r w:rsidRPr="004C1E09">
        <w:rPr>
          <w:sz w:val="24"/>
          <w:szCs w:val="24"/>
        </w:rPr>
        <w:t xml:space="preserve"> + 60%) </w:t>
      </w:r>
    </w:p>
    <w:p w:rsidR="004C1E09" w:rsidRPr="004C1E09" w:rsidP="0075527B" w14:paraId="2C13E27C" w14:textId="070917B0">
      <w:pPr>
        <w:keepNext/>
        <w:widowControl/>
        <w:spacing w:line="360" w:lineRule="auto"/>
        <w:rPr>
          <w:sz w:val="24"/>
          <w:szCs w:val="24"/>
        </w:rPr>
      </w:pPr>
      <w:r>
        <w:rPr>
          <w:sz w:val="24"/>
          <w:szCs w:val="24"/>
        </w:rPr>
        <w:tab/>
      </w:r>
      <w:r>
        <w:rPr>
          <w:sz w:val="24"/>
          <w:szCs w:val="24"/>
        </w:rPr>
        <w:tab/>
        <w:t>Technical</w:t>
      </w:r>
      <w:r>
        <w:rPr>
          <w:sz w:val="24"/>
          <w:szCs w:val="24"/>
        </w:rPr>
        <w:tab/>
        <w:t>$</w:t>
      </w:r>
      <w:r w:rsidR="003071D2">
        <w:rPr>
          <w:sz w:val="24"/>
          <w:szCs w:val="24"/>
        </w:rPr>
        <w:t>5</w:t>
      </w:r>
      <w:r w:rsidR="00057935">
        <w:rPr>
          <w:sz w:val="24"/>
          <w:szCs w:val="24"/>
        </w:rPr>
        <w:t>2</w:t>
      </w:r>
      <w:r w:rsidR="003071D2">
        <w:rPr>
          <w:sz w:val="24"/>
          <w:szCs w:val="24"/>
        </w:rPr>
        <w:t>.</w:t>
      </w:r>
      <w:r w:rsidR="00057935">
        <w:rPr>
          <w:sz w:val="24"/>
          <w:szCs w:val="24"/>
        </w:rPr>
        <w:t>37</w:t>
      </w:r>
      <w:r>
        <w:rPr>
          <w:sz w:val="24"/>
          <w:szCs w:val="24"/>
        </w:rPr>
        <w:t xml:space="preserve"> (GS-12, Step 1, $</w:t>
      </w:r>
      <w:r w:rsidR="003071D2">
        <w:rPr>
          <w:sz w:val="24"/>
          <w:szCs w:val="24"/>
        </w:rPr>
        <w:t>3</w:t>
      </w:r>
      <w:r w:rsidR="00057935">
        <w:rPr>
          <w:sz w:val="24"/>
          <w:szCs w:val="24"/>
        </w:rPr>
        <w:t>2.73</w:t>
      </w:r>
      <w:r w:rsidRPr="004C1E09">
        <w:rPr>
          <w:sz w:val="24"/>
          <w:szCs w:val="24"/>
        </w:rPr>
        <w:t xml:space="preserve"> + 60%)</w:t>
      </w:r>
    </w:p>
    <w:p w:rsidR="004C1E09" w:rsidRPr="004C1E09" w:rsidP="0075527B" w14:paraId="11E48A9D" w14:textId="3E976754">
      <w:pPr>
        <w:keepNext/>
        <w:widowControl/>
        <w:spacing w:line="360" w:lineRule="auto"/>
        <w:rPr>
          <w:sz w:val="24"/>
          <w:szCs w:val="24"/>
        </w:rPr>
      </w:pPr>
      <w:r>
        <w:rPr>
          <w:sz w:val="24"/>
          <w:szCs w:val="24"/>
        </w:rPr>
        <w:tab/>
      </w:r>
      <w:r>
        <w:rPr>
          <w:sz w:val="24"/>
          <w:szCs w:val="24"/>
        </w:rPr>
        <w:tab/>
        <w:t>Clerical</w:t>
      </w:r>
      <w:r>
        <w:rPr>
          <w:sz w:val="24"/>
          <w:szCs w:val="24"/>
        </w:rPr>
        <w:tab/>
        <w:t>$</w:t>
      </w:r>
      <w:r w:rsidR="00B11895">
        <w:rPr>
          <w:sz w:val="24"/>
          <w:szCs w:val="24"/>
        </w:rPr>
        <w:t>2</w:t>
      </w:r>
      <w:r w:rsidR="00057935">
        <w:rPr>
          <w:sz w:val="24"/>
          <w:szCs w:val="24"/>
        </w:rPr>
        <w:t>8.34</w:t>
      </w:r>
      <w:r>
        <w:rPr>
          <w:sz w:val="24"/>
          <w:szCs w:val="24"/>
        </w:rPr>
        <w:t xml:space="preserve"> (GS-6, Step 3, $</w:t>
      </w:r>
      <w:r w:rsidR="00B11895">
        <w:rPr>
          <w:sz w:val="24"/>
          <w:szCs w:val="24"/>
        </w:rPr>
        <w:t>1</w:t>
      </w:r>
      <w:r w:rsidR="003071D2">
        <w:rPr>
          <w:sz w:val="24"/>
          <w:szCs w:val="24"/>
        </w:rPr>
        <w:t>7.</w:t>
      </w:r>
      <w:r w:rsidR="00057935">
        <w:rPr>
          <w:sz w:val="24"/>
          <w:szCs w:val="24"/>
        </w:rPr>
        <w:t>71</w:t>
      </w:r>
      <w:r w:rsidRPr="004C1E09">
        <w:rPr>
          <w:sz w:val="24"/>
          <w:szCs w:val="24"/>
        </w:rPr>
        <w:t xml:space="preserve"> + 60%)</w:t>
      </w:r>
      <w:r w:rsidR="00123B90">
        <w:rPr>
          <w:sz w:val="24"/>
          <w:szCs w:val="24"/>
        </w:rPr>
        <w:tab/>
      </w:r>
    </w:p>
    <w:p w:rsidR="004C1E09" w:rsidRPr="00123B90" w:rsidP="0075527B" w14:paraId="07A65B2A" w14:textId="7D703469">
      <w:pPr>
        <w:keepNext/>
        <w:widowControl/>
        <w:spacing w:line="360" w:lineRule="auto"/>
        <w:ind w:firstLine="720"/>
        <w:rPr>
          <w:sz w:val="24"/>
          <w:szCs w:val="24"/>
        </w:rPr>
      </w:pPr>
      <w:r w:rsidRPr="004C1E09">
        <w:rPr>
          <w:sz w:val="24"/>
          <w:szCs w:val="24"/>
        </w:rPr>
        <w:t>These rates are from the Office of P</w:t>
      </w:r>
      <w:r w:rsidR="004B293D">
        <w:rPr>
          <w:sz w:val="24"/>
          <w:szCs w:val="24"/>
        </w:rPr>
        <w:t xml:space="preserve">ersonnel Management (OPM), </w:t>
      </w:r>
      <w:r w:rsidR="003540EA">
        <w:rPr>
          <w:sz w:val="24"/>
          <w:szCs w:val="24"/>
        </w:rPr>
        <w:t>20</w:t>
      </w:r>
      <w:r w:rsidR="003071D2">
        <w:rPr>
          <w:sz w:val="24"/>
          <w:szCs w:val="24"/>
        </w:rPr>
        <w:t>2</w:t>
      </w:r>
      <w:r w:rsidR="00057935">
        <w:rPr>
          <w:sz w:val="24"/>
          <w:szCs w:val="24"/>
        </w:rPr>
        <w:t>2</w:t>
      </w:r>
      <w:r w:rsidR="003540EA">
        <w:rPr>
          <w:sz w:val="24"/>
          <w:szCs w:val="24"/>
        </w:rPr>
        <w:t xml:space="preserve"> </w:t>
      </w:r>
      <w:r w:rsidRPr="004C1E09">
        <w:rPr>
          <w:sz w:val="24"/>
          <w:szCs w:val="24"/>
        </w:rPr>
        <w:t>General Schedule</w:t>
      </w:r>
      <w:r w:rsidR="00CB35EC">
        <w:rPr>
          <w:sz w:val="24"/>
          <w:szCs w:val="24"/>
        </w:rPr>
        <w:t xml:space="preserve"> rates of pay</w:t>
      </w:r>
      <w:r w:rsidRPr="004C1E09">
        <w:rPr>
          <w:sz w:val="24"/>
          <w:szCs w:val="24"/>
        </w:rPr>
        <w:t xml:space="preserve">, which excludes </w:t>
      </w:r>
      <w:r w:rsidRPr="004C1E09" w:rsidR="00FA77E7">
        <w:rPr>
          <w:sz w:val="24"/>
          <w:szCs w:val="24"/>
        </w:rPr>
        <w:t>locality</w:t>
      </w:r>
      <w:r w:rsidR="00FD0CE1">
        <w:rPr>
          <w:sz w:val="24"/>
          <w:szCs w:val="24"/>
        </w:rPr>
        <w:t xml:space="preserve">. </w:t>
      </w:r>
      <w:r w:rsidRPr="004C1E09">
        <w:rPr>
          <w:sz w:val="24"/>
          <w:szCs w:val="24"/>
        </w:rPr>
        <w:t>The rates have been increased by 60 percent to account for the benefit packages available to government employees.</w:t>
      </w:r>
      <w:r w:rsidR="004B293D">
        <w:rPr>
          <w:sz w:val="24"/>
          <w:szCs w:val="24"/>
        </w:rPr>
        <w:t xml:space="preserve"> </w:t>
      </w:r>
    </w:p>
    <w:p w:rsidR="00FE00CB" w:rsidP="0075527B" w14:paraId="14042198" w14:textId="65E60695">
      <w:pPr>
        <w:keepNext/>
        <w:widowControl/>
        <w:spacing w:line="360" w:lineRule="auto"/>
        <w:rPr>
          <w:sz w:val="24"/>
          <w:szCs w:val="24"/>
        </w:rPr>
      </w:pPr>
      <w:r>
        <w:rPr>
          <w:i/>
          <w:iCs/>
          <w:sz w:val="24"/>
          <w:szCs w:val="24"/>
        </w:rPr>
        <w:t>(d)</w:t>
      </w:r>
      <w:r w:rsidRPr="00CF1129">
        <w:rPr>
          <w:i/>
          <w:iCs/>
          <w:sz w:val="24"/>
          <w:szCs w:val="24"/>
        </w:rPr>
        <w:tab/>
        <w:t>Estimating the Respondent Universe and Total Burden and Costs</w:t>
      </w:r>
      <w:r w:rsidRPr="00CF1129">
        <w:rPr>
          <w:sz w:val="24"/>
          <w:szCs w:val="24"/>
        </w:rPr>
        <w:t>.</w:t>
      </w:r>
    </w:p>
    <w:p w:rsidR="0069441D" w:rsidP="0075527B" w14:paraId="7D4227C2" w14:textId="6C4B06EE">
      <w:pPr>
        <w:keepNext/>
        <w:widowControl/>
        <w:spacing w:line="360" w:lineRule="auto"/>
        <w:ind w:firstLine="720"/>
        <w:rPr>
          <w:sz w:val="24"/>
          <w:szCs w:val="24"/>
        </w:rPr>
      </w:pPr>
      <w:r>
        <w:rPr>
          <w:sz w:val="24"/>
          <w:szCs w:val="24"/>
        </w:rPr>
        <w:t xml:space="preserve">It was estimated that an average of </w:t>
      </w:r>
      <w:r w:rsidR="00E04665">
        <w:rPr>
          <w:sz w:val="24"/>
          <w:szCs w:val="24"/>
        </w:rPr>
        <w:t>1,</w:t>
      </w:r>
      <w:r w:rsidR="00AB2580">
        <w:rPr>
          <w:sz w:val="24"/>
          <w:szCs w:val="24"/>
        </w:rPr>
        <w:t xml:space="preserve">849 </w:t>
      </w:r>
      <w:r w:rsidR="0043428D">
        <w:rPr>
          <w:sz w:val="24"/>
          <w:szCs w:val="24"/>
        </w:rPr>
        <w:t>respondents</w:t>
      </w:r>
      <w:r w:rsidR="00A05894">
        <w:rPr>
          <w:rFonts w:cs="Courier New"/>
          <w:sz w:val="24"/>
          <w:szCs w:val="24"/>
        </w:rPr>
        <w:t xml:space="preserve"> </w:t>
      </w:r>
      <w:r w:rsidR="00F025B0">
        <w:rPr>
          <w:sz w:val="24"/>
          <w:szCs w:val="24"/>
        </w:rPr>
        <w:t xml:space="preserve">per year will be subject to </w:t>
      </w:r>
      <w:r w:rsidR="00E14F01">
        <w:rPr>
          <w:sz w:val="24"/>
          <w:szCs w:val="24"/>
        </w:rPr>
        <w:t xml:space="preserve">NSPS </w:t>
      </w:r>
      <w:r w:rsidR="00E14F01">
        <w:rPr>
          <w:sz w:val="24"/>
          <w:szCs w:val="24"/>
        </w:rPr>
        <w:t>OOOO</w:t>
      </w:r>
      <w:r w:rsidR="005F608B">
        <w:rPr>
          <w:sz w:val="24"/>
          <w:szCs w:val="24"/>
        </w:rPr>
        <w:t>b</w:t>
      </w:r>
      <w:r w:rsidR="00A05894">
        <w:rPr>
          <w:sz w:val="24"/>
          <w:szCs w:val="24"/>
        </w:rPr>
        <w:t xml:space="preserve"> during </w:t>
      </w:r>
      <w:r w:rsidRPr="00A700C0" w:rsidR="00A05894">
        <w:rPr>
          <w:sz w:val="24"/>
          <w:szCs w:val="24"/>
        </w:rPr>
        <w:t>the 3</w:t>
      </w:r>
      <w:r w:rsidR="00A05894">
        <w:rPr>
          <w:sz w:val="24"/>
          <w:szCs w:val="24"/>
        </w:rPr>
        <w:t>-</w:t>
      </w:r>
      <w:r w:rsidRPr="00A700C0" w:rsidR="00A05894">
        <w:rPr>
          <w:sz w:val="24"/>
          <w:szCs w:val="24"/>
        </w:rPr>
        <w:t>year period of this ICR</w:t>
      </w:r>
      <w:r w:rsidR="00FA600A">
        <w:rPr>
          <w:sz w:val="24"/>
          <w:szCs w:val="24"/>
        </w:rPr>
        <w:t xml:space="preserve"> as shown in </w:t>
      </w:r>
      <w:r w:rsidR="00D773C6">
        <w:rPr>
          <w:sz w:val="24"/>
          <w:szCs w:val="24"/>
        </w:rPr>
        <w:t>the following table below.</w:t>
      </w:r>
      <w:r w:rsidR="00FD0CE1">
        <w:rPr>
          <w:sz w:val="24"/>
          <w:szCs w:val="24"/>
        </w:rPr>
        <w:t xml:space="preserve"> </w:t>
      </w:r>
      <w:r w:rsidR="00AC0855">
        <w:rPr>
          <w:sz w:val="24"/>
          <w:szCs w:val="24"/>
        </w:rPr>
        <w:t>T</w:t>
      </w:r>
      <w:r w:rsidR="00A05894">
        <w:rPr>
          <w:sz w:val="24"/>
          <w:szCs w:val="24"/>
        </w:rPr>
        <w:t xml:space="preserve">his </w:t>
      </w:r>
      <w:r w:rsidR="009B2527">
        <w:rPr>
          <w:sz w:val="24"/>
          <w:szCs w:val="24"/>
        </w:rPr>
        <w:t>estimate</w:t>
      </w:r>
      <w:r w:rsidR="00AC0855">
        <w:rPr>
          <w:sz w:val="24"/>
          <w:szCs w:val="24"/>
        </w:rPr>
        <w:t xml:space="preserve"> </w:t>
      </w:r>
      <w:r w:rsidR="00A05894">
        <w:rPr>
          <w:sz w:val="24"/>
          <w:szCs w:val="24"/>
        </w:rPr>
        <w:t xml:space="preserve">encompasses the number of </w:t>
      </w:r>
      <w:r w:rsidR="00015AED">
        <w:rPr>
          <w:sz w:val="24"/>
          <w:szCs w:val="24"/>
        </w:rPr>
        <w:t xml:space="preserve">companies </w:t>
      </w:r>
      <w:r w:rsidR="00A05894">
        <w:rPr>
          <w:sz w:val="24"/>
          <w:szCs w:val="24"/>
        </w:rPr>
        <w:t xml:space="preserve">that </w:t>
      </w:r>
      <w:r w:rsidR="00A750F0">
        <w:rPr>
          <w:sz w:val="24"/>
          <w:szCs w:val="24"/>
        </w:rPr>
        <w:t xml:space="preserve">the </w:t>
      </w:r>
      <w:r w:rsidR="007F789C">
        <w:rPr>
          <w:sz w:val="24"/>
          <w:szCs w:val="24"/>
        </w:rPr>
        <w:t>EPA</w:t>
      </w:r>
      <w:r w:rsidR="00A05894">
        <w:rPr>
          <w:sz w:val="24"/>
          <w:szCs w:val="24"/>
        </w:rPr>
        <w:t xml:space="preserve"> expect</w:t>
      </w:r>
      <w:r w:rsidR="00CE3E94">
        <w:rPr>
          <w:sz w:val="24"/>
          <w:szCs w:val="24"/>
        </w:rPr>
        <w:t>s</w:t>
      </w:r>
      <w:r w:rsidR="00A05894">
        <w:rPr>
          <w:sz w:val="24"/>
          <w:szCs w:val="24"/>
        </w:rPr>
        <w:t xml:space="preserve"> </w:t>
      </w:r>
      <w:r w:rsidR="00AC0855">
        <w:rPr>
          <w:sz w:val="24"/>
          <w:szCs w:val="24"/>
        </w:rPr>
        <w:t>will submit</w:t>
      </w:r>
      <w:r w:rsidR="00A05894">
        <w:rPr>
          <w:sz w:val="24"/>
          <w:szCs w:val="24"/>
        </w:rPr>
        <w:t xml:space="preserve"> reports </w:t>
      </w:r>
      <w:r w:rsidR="006463F3">
        <w:rPr>
          <w:sz w:val="24"/>
          <w:szCs w:val="24"/>
        </w:rPr>
        <w:t>on behalf of all its well sites (</w:t>
      </w:r>
      <w:r w:rsidR="00E62EE7">
        <w:rPr>
          <w:sz w:val="24"/>
          <w:szCs w:val="24"/>
        </w:rPr>
        <w:t>N</w:t>
      </w:r>
      <w:r w:rsidR="006463F3">
        <w:rPr>
          <w:sz w:val="24"/>
          <w:szCs w:val="24"/>
        </w:rPr>
        <w:t>ote: each company is assumed to own 22 well sites</w:t>
      </w:r>
      <w:r w:rsidR="0062103A">
        <w:rPr>
          <w:sz w:val="24"/>
          <w:szCs w:val="24"/>
        </w:rPr>
        <w:t>, 7 gathering and boosting stations, or one transmission or storage station</w:t>
      </w:r>
      <w:r w:rsidR="006463F3">
        <w:rPr>
          <w:sz w:val="24"/>
          <w:szCs w:val="24"/>
        </w:rPr>
        <w:t>)</w:t>
      </w:r>
      <w:r w:rsidR="00AB2580">
        <w:rPr>
          <w:sz w:val="24"/>
          <w:szCs w:val="24"/>
        </w:rPr>
        <w:t>, and the number of third-party entities that the EPA expects will apply to be certified as notifiers of super-emitter emissions events</w:t>
      </w:r>
      <w:r w:rsidR="00AC0855">
        <w:rPr>
          <w:sz w:val="24"/>
          <w:szCs w:val="24"/>
        </w:rPr>
        <w:t>.</w:t>
      </w:r>
      <w:r w:rsidR="000A096B">
        <w:rPr>
          <w:sz w:val="24"/>
          <w:szCs w:val="24"/>
        </w:rPr>
        <w:t xml:space="preserve"> The average annual </w:t>
      </w:r>
      <w:r w:rsidR="00F428CC">
        <w:rPr>
          <w:sz w:val="24"/>
          <w:szCs w:val="24"/>
        </w:rPr>
        <w:t>number of respondents per year is calculated using the following table.</w:t>
      </w:r>
    </w:p>
    <w:p w:rsidR="00AA1929" w:rsidP="0075527B" w14:paraId="284A246F" w14:textId="77777777">
      <w:pPr>
        <w:keepNext/>
        <w:widowControl/>
        <w:spacing w:line="360" w:lineRule="auto"/>
        <w:ind w:firstLine="720"/>
        <w:rPr>
          <w:sz w:val="24"/>
          <w:szCs w:val="24"/>
        </w:rPr>
      </w:pPr>
    </w:p>
    <w:tbl>
      <w:tblPr>
        <w:tblW w:w="289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tblPr>
      <w:tblGrid>
        <w:gridCol w:w="2070"/>
        <w:gridCol w:w="3419"/>
      </w:tblGrid>
      <w:tr w14:paraId="36455BE1" w14:textId="77777777" w:rsidTr="008A2727">
        <w:tblPrEx>
          <w:tblW w:w="289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tblPrEx>
        <w:trPr>
          <w:trHeight w:val="292"/>
          <w:jc w:val="center"/>
        </w:trPr>
        <w:tc>
          <w:tcPr>
            <w:tcW w:w="2070" w:type="dxa"/>
            <w:vAlign w:val="center"/>
          </w:tcPr>
          <w:p w:rsidR="0069441D" w:rsidRPr="008A2727" w:rsidP="00391501" w14:paraId="157FE031" w14:textId="3C0E3DC7">
            <w:pPr>
              <w:keepNext/>
              <w:widowControl/>
              <w:jc w:val="center"/>
              <w:rPr>
                <w:b/>
                <w:lang w:val="pt-BR"/>
              </w:rPr>
            </w:pPr>
            <w:r w:rsidRPr="008A2727">
              <w:rPr>
                <w:b/>
              </w:rPr>
              <w:t>Year</w:t>
            </w:r>
            <w:r>
              <w:rPr>
                <w:rStyle w:val="FootnoteReference"/>
                <w:b/>
              </w:rPr>
              <w:footnoteReference w:id="5"/>
            </w:r>
          </w:p>
        </w:tc>
        <w:tc>
          <w:tcPr>
            <w:tcW w:w="3419" w:type="dxa"/>
            <w:vAlign w:val="center"/>
          </w:tcPr>
          <w:p w:rsidR="0069441D" w:rsidRPr="008A2727" w:rsidP="00391501" w14:paraId="779F5323" w14:textId="1AB963C5">
            <w:pPr>
              <w:keepNext/>
              <w:widowControl/>
              <w:jc w:val="center"/>
              <w:rPr>
                <w:b/>
                <w:lang w:val="pt-BR"/>
              </w:rPr>
            </w:pPr>
            <w:r w:rsidRPr="008A2727">
              <w:rPr>
                <w:b/>
                <w:lang w:val="pt-BR"/>
              </w:rPr>
              <w:t>Annual Number of Respondents</w:t>
            </w:r>
          </w:p>
        </w:tc>
      </w:tr>
      <w:tr w14:paraId="561E41B0" w14:textId="77777777" w:rsidTr="008A2727">
        <w:tblPrEx>
          <w:tblW w:w="2894" w:type="pct"/>
          <w:jc w:val="center"/>
          <w:tblLayout w:type="fixed"/>
          <w:tblCellMar>
            <w:left w:w="111" w:type="dxa"/>
            <w:right w:w="111" w:type="dxa"/>
          </w:tblCellMar>
          <w:tblLook w:val="0000"/>
        </w:tblPrEx>
        <w:trPr>
          <w:trHeight w:val="290"/>
          <w:jc w:val="center"/>
        </w:trPr>
        <w:tc>
          <w:tcPr>
            <w:tcW w:w="2070" w:type="dxa"/>
            <w:vAlign w:val="center"/>
          </w:tcPr>
          <w:p w:rsidR="0069441D" w:rsidRPr="008A2727" w:rsidP="00391501" w14:paraId="3A394E6A" w14:textId="383ECDB7">
            <w:pPr>
              <w:keepNext/>
              <w:widowControl/>
              <w:jc w:val="center"/>
            </w:pPr>
            <w:r w:rsidRPr="008A2727">
              <w:t>1</w:t>
            </w:r>
            <w:r w:rsidR="00393F1A">
              <w:t xml:space="preserve"> (202</w:t>
            </w:r>
            <w:r w:rsidR="005C4D8B">
              <w:t>3</w:t>
            </w:r>
            <w:r w:rsidR="00393F1A">
              <w:t>)</w:t>
            </w:r>
          </w:p>
        </w:tc>
        <w:tc>
          <w:tcPr>
            <w:tcW w:w="3419" w:type="dxa"/>
            <w:vAlign w:val="center"/>
          </w:tcPr>
          <w:p w:rsidR="0069441D" w:rsidRPr="008A2727" w:rsidP="00391501" w14:paraId="3E1F697A" w14:textId="1555BCCB">
            <w:pPr>
              <w:keepNext/>
              <w:widowControl/>
              <w:jc w:val="center"/>
            </w:pPr>
            <w:r>
              <w:t>1,</w:t>
            </w:r>
            <w:r w:rsidR="00AB2580">
              <w:t>238</w:t>
            </w:r>
          </w:p>
        </w:tc>
      </w:tr>
      <w:tr w14:paraId="40A67F0C" w14:textId="77777777" w:rsidTr="008A2727">
        <w:tblPrEx>
          <w:tblW w:w="2894" w:type="pct"/>
          <w:jc w:val="center"/>
          <w:tblLayout w:type="fixed"/>
          <w:tblCellMar>
            <w:left w:w="111" w:type="dxa"/>
            <w:right w:w="111" w:type="dxa"/>
          </w:tblCellMar>
          <w:tblLook w:val="0000"/>
        </w:tblPrEx>
        <w:trPr>
          <w:trHeight w:val="290"/>
          <w:jc w:val="center"/>
        </w:trPr>
        <w:tc>
          <w:tcPr>
            <w:tcW w:w="2070" w:type="dxa"/>
            <w:vAlign w:val="center"/>
          </w:tcPr>
          <w:p w:rsidR="0069441D" w:rsidRPr="008A2727" w:rsidP="00391501" w14:paraId="43728C71" w14:textId="2437D088">
            <w:pPr>
              <w:keepNext/>
              <w:widowControl/>
              <w:jc w:val="center"/>
            </w:pPr>
            <w:r w:rsidRPr="008A2727">
              <w:t>2</w:t>
            </w:r>
            <w:r w:rsidR="00393F1A">
              <w:t xml:space="preserve"> (202</w:t>
            </w:r>
            <w:r w:rsidR="005C4D8B">
              <w:t>4</w:t>
            </w:r>
            <w:r w:rsidR="00393F1A">
              <w:t>)</w:t>
            </w:r>
          </w:p>
        </w:tc>
        <w:tc>
          <w:tcPr>
            <w:tcW w:w="3419" w:type="dxa"/>
            <w:vAlign w:val="center"/>
          </w:tcPr>
          <w:p w:rsidR="0069441D" w:rsidRPr="008A2727" w:rsidP="00391501" w14:paraId="61CAEB01" w14:textId="1538739E">
            <w:pPr>
              <w:keepNext/>
              <w:widowControl/>
              <w:jc w:val="center"/>
            </w:pPr>
            <w:r>
              <w:t>1,</w:t>
            </w:r>
            <w:r w:rsidR="00AB2580">
              <w:t>858</w:t>
            </w:r>
          </w:p>
        </w:tc>
      </w:tr>
      <w:tr w14:paraId="0B707C3D" w14:textId="77777777" w:rsidTr="008A2727">
        <w:tblPrEx>
          <w:tblW w:w="2894" w:type="pct"/>
          <w:jc w:val="center"/>
          <w:tblLayout w:type="fixed"/>
          <w:tblCellMar>
            <w:left w:w="111" w:type="dxa"/>
            <w:right w:w="111" w:type="dxa"/>
          </w:tblCellMar>
          <w:tblLook w:val="0000"/>
        </w:tblPrEx>
        <w:trPr>
          <w:trHeight w:val="290"/>
          <w:jc w:val="center"/>
        </w:trPr>
        <w:tc>
          <w:tcPr>
            <w:tcW w:w="2070" w:type="dxa"/>
            <w:vAlign w:val="center"/>
          </w:tcPr>
          <w:p w:rsidR="0069441D" w:rsidRPr="008A2727" w:rsidP="00391501" w14:paraId="43AC79D1" w14:textId="3DAF021E">
            <w:pPr>
              <w:keepNext/>
              <w:widowControl/>
              <w:jc w:val="center"/>
            </w:pPr>
            <w:r w:rsidRPr="008A2727">
              <w:t>3</w:t>
            </w:r>
            <w:r w:rsidR="00393F1A">
              <w:t xml:space="preserve"> (202</w:t>
            </w:r>
            <w:r w:rsidR="005C4D8B">
              <w:t>5</w:t>
            </w:r>
            <w:r w:rsidR="00393F1A">
              <w:t>)</w:t>
            </w:r>
          </w:p>
        </w:tc>
        <w:tc>
          <w:tcPr>
            <w:tcW w:w="3419" w:type="dxa"/>
            <w:vAlign w:val="center"/>
          </w:tcPr>
          <w:p w:rsidR="0069441D" w:rsidRPr="008A2727" w:rsidP="00391501" w14:paraId="4E64C899" w14:textId="31B82CE5">
            <w:pPr>
              <w:keepNext/>
              <w:widowControl/>
              <w:jc w:val="center"/>
            </w:pPr>
            <w:r>
              <w:t>2,</w:t>
            </w:r>
            <w:r w:rsidR="00AB2580">
              <w:t>450</w:t>
            </w:r>
          </w:p>
        </w:tc>
      </w:tr>
      <w:tr w14:paraId="39FB7FFA" w14:textId="77777777" w:rsidTr="008A2727">
        <w:tblPrEx>
          <w:tblW w:w="2894" w:type="pct"/>
          <w:jc w:val="center"/>
          <w:tblLayout w:type="fixed"/>
          <w:tblCellMar>
            <w:left w:w="111" w:type="dxa"/>
            <w:right w:w="111" w:type="dxa"/>
          </w:tblCellMar>
          <w:tblLook w:val="0000"/>
        </w:tblPrEx>
        <w:trPr>
          <w:trHeight w:val="290"/>
          <w:jc w:val="center"/>
        </w:trPr>
        <w:tc>
          <w:tcPr>
            <w:tcW w:w="2070" w:type="dxa"/>
            <w:vAlign w:val="center"/>
          </w:tcPr>
          <w:p w:rsidR="0069441D" w:rsidRPr="008A2727" w:rsidP="00391501" w14:paraId="492CE1C8" w14:textId="39FA77F2">
            <w:pPr>
              <w:keepNext/>
              <w:widowControl/>
              <w:jc w:val="center"/>
              <w:rPr>
                <w:b/>
              </w:rPr>
            </w:pPr>
            <w:r w:rsidRPr="008A2727">
              <w:rPr>
                <w:b/>
              </w:rPr>
              <w:t>Average</w:t>
            </w:r>
          </w:p>
        </w:tc>
        <w:tc>
          <w:tcPr>
            <w:tcW w:w="3419" w:type="dxa"/>
            <w:vAlign w:val="center"/>
          </w:tcPr>
          <w:p w:rsidR="0069441D" w:rsidRPr="0066014F" w:rsidP="00391501" w14:paraId="755ADDCA" w14:textId="019F2563">
            <w:pPr>
              <w:keepNext/>
              <w:widowControl/>
              <w:jc w:val="center"/>
              <w:rPr>
                <w:b/>
                <w:bCs/>
              </w:rPr>
            </w:pPr>
            <w:r>
              <w:rPr>
                <w:b/>
                <w:bCs/>
              </w:rPr>
              <w:t>1,</w:t>
            </w:r>
            <w:r w:rsidR="00AB2580">
              <w:rPr>
                <w:b/>
                <w:bCs/>
              </w:rPr>
              <w:t>849</w:t>
            </w:r>
          </w:p>
        </w:tc>
      </w:tr>
    </w:tbl>
    <w:p w:rsidR="00F6339A" w:rsidP="00F6339A" w14:paraId="7A26D9EC" w14:textId="77777777">
      <w:pPr>
        <w:widowControl/>
        <w:spacing w:line="360" w:lineRule="auto"/>
        <w:ind w:firstLine="720"/>
        <w:rPr>
          <w:sz w:val="24"/>
          <w:szCs w:val="24"/>
        </w:rPr>
      </w:pPr>
    </w:p>
    <w:p w:rsidR="004E5425" w:rsidP="00F6339A" w14:paraId="1D4EBE83" w14:textId="1674518B">
      <w:pPr>
        <w:widowControl/>
        <w:spacing w:line="360" w:lineRule="auto"/>
        <w:ind w:firstLine="720"/>
        <w:rPr>
          <w:sz w:val="24"/>
          <w:szCs w:val="24"/>
        </w:rPr>
      </w:pPr>
      <w:r w:rsidRPr="00972AFC">
        <w:rPr>
          <w:sz w:val="24"/>
          <w:szCs w:val="24"/>
        </w:rPr>
        <w:t xml:space="preserve">For </w:t>
      </w:r>
      <w:r w:rsidRPr="00972AFC" w:rsidR="00847139">
        <w:rPr>
          <w:sz w:val="24"/>
          <w:szCs w:val="24"/>
        </w:rPr>
        <w:t xml:space="preserve">the </w:t>
      </w:r>
      <w:r w:rsidRPr="00972AFC" w:rsidR="00E14F01">
        <w:rPr>
          <w:sz w:val="24"/>
          <w:szCs w:val="24"/>
        </w:rPr>
        <w:t xml:space="preserve">NSPS </w:t>
      </w:r>
      <w:r w:rsidRPr="00972AFC" w:rsidR="00E14F01">
        <w:rPr>
          <w:sz w:val="24"/>
          <w:szCs w:val="24"/>
        </w:rPr>
        <w:t>OOOO</w:t>
      </w:r>
      <w:r w:rsidRPr="00972AFC" w:rsidR="009A4D7B">
        <w:rPr>
          <w:sz w:val="24"/>
          <w:szCs w:val="24"/>
        </w:rPr>
        <w:t>b</w:t>
      </w:r>
      <w:r w:rsidRPr="00972AFC">
        <w:rPr>
          <w:sz w:val="24"/>
          <w:szCs w:val="24"/>
        </w:rPr>
        <w:t xml:space="preserve">, the components of the total annual responses attributable to this ICR are </w:t>
      </w:r>
      <w:r w:rsidRPr="00972AFC" w:rsidR="00903417">
        <w:rPr>
          <w:sz w:val="24"/>
          <w:szCs w:val="24"/>
        </w:rPr>
        <w:t>notification</w:t>
      </w:r>
      <w:r w:rsidRPr="00972AFC" w:rsidR="00613EF8">
        <w:rPr>
          <w:sz w:val="24"/>
          <w:szCs w:val="24"/>
        </w:rPr>
        <w:t>s</w:t>
      </w:r>
      <w:r w:rsidRPr="00972AFC" w:rsidR="00903417">
        <w:rPr>
          <w:sz w:val="24"/>
          <w:szCs w:val="24"/>
        </w:rPr>
        <w:t xml:space="preserve"> of well completions</w:t>
      </w:r>
      <w:r w:rsidRPr="00972AFC" w:rsidR="00613EF8">
        <w:rPr>
          <w:sz w:val="24"/>
          <w:szCs w:val="24"/>
        </w:rPr>
        <w:t xml:space="preserve">/recompletions from an </w:t>
      </w:r>
      <w:r w:rsidRPr="00972AFC" w:rsidR="00F87F98">
        <w:rPr>
          <w:sz w:val="24"/>
          <w:szCs w:val="24"/>
        </w:rPr>
        <w:t xml:space="preserve">estimated </w:t>
      </w:r>
      <w:r w:rsidRPr="00972AFC" w:rsidR="00613EF8">
        <w:rPr>
          <w:sz w:val="24"/>
          <w:szCs w:val="24"/>
        </w:rPr>
        <w:t xml:space="preserve">average of </w:t>
      </w:r>
      <w:r w:rsidRPr="00972AFC" w:rsidR="007316A3">
        <w:rPr>
          <w:sz w:val="24"/>
          <w:szCs w:val="24"/>
        </w:rPr>
        <w:t>12,693</w:t>
      </w:r>
      <w:r w:rsidRPr="00972AFC" w:rsidR="002A3D56">
        <w:rPr>
          <w:sz w:val="24"/>
          <w:szCs w:val="24"/>
        </w:rPr>
        <w:t xml:space="preserve"> </w:t>
      </w:r>
      <w:r w:rsidRPr="00972AFC" w:rsidR="00613EF8">
        <w:rPr>
          <w:sz w:val="24"/>
          <w:szCs w:val="24"/>
        </w:rPr>
        <w:t>companies over the three-year period</w:t>
      </w:r>
      <w:r w:rsidRPr="00972AFC" w:rsidR="00903417">
        <w:rPr>
          <w:sz w:val="24"/>
          <w:szCs w:val="24"/>
        </w:rPr>
        <w:t xml:space="preserve">, </w:t>
      </w:r>
      <w:r w:rsidRPr="00972AFC">
        <w:rPr>
          <w:sz w:val="24"/>
          <w:szCs w:val="24"/>
        </w:rPr>
        <w:t xml:space="preserve">notification </w:t>
      </w:r>
      <w:r w:rsidRPr="00972AFC" w:rsidR="00FD0CE1">
        <w:rPr>
          <w:sz w:val="24"/>
          <w:szCs w:val="24"/>
        </w:rPr>
        <w:t xml:space="preserve">of construction, reconstruction and </w:t>
      </w:r>
      <w:r w:rsidRPr="00972AFC">
        <w:rPr>
          <w:sz w:val="24"/>
          <w:szCs w:val="24"/>
        </w:rPr>
        <w:t>modification</w:t>
      </w:r>
      <w:r w:rsidRPr="00972AFC" w:rsidR="00AC0855">
        <w:rPr>
          <w:sz w:val="24"/>
          <w:szCs w:val="24"/>
        </w:rPr>
        <w:t xml:space="preserve"> </w:t>
      </w:r>
      <w:r w:rsidRPr="00972AFC" w:rsidR="00613EF8">
        <w:rPr>
          <w:sz w:val="24"/>
          <w:szCs w:val="24"/>
        </w:rPr>
        <w:t>from</w:t>
      </w:r>
      <w:r w:rsidRPr="00972AFC" w:rsidR="00C05404">
        <w:rPr>
          <w:sz w:val="24"/>
          <w:szCs w:val="24"/>
        </w:rPr>
        <w:t xml:space="preserve"> an average of </w:t>
      </w:r>
      <w:r w:rsidRPr="00972AFC" w:rsidR="007316A3">
        <w:rPr>
          <w:sz w:val="24"/>
          <w:szCs w:val="24"/>
        </w:rPr>
        <w:t>16</w:t>
      </w:r>
      <w:r w:rsidRPr="00972AFC" w:rsidR="00DC3808">
        <w:rPr>
          <w:sz w:val="24"/>
          <w:szCs w:val="24"/>
        </w:rPr>
        <w:t xml:space="preserve"> companies</w:t>
      </w:r>
      <w:r w:rsidRPr="00972AFC" w:rsidR="00613EF8">
        <w:rPr>
          <w:sz w:val="24"/>
          <w:szCs w:val="24"/>
        </w:rPr>
        <w:t xml:space="preserve"> over the three-year period</w:t>
      </w:r>
      <w:r w:rsidRPr="00972AFC" w:rsidR="00DC3808">
        <w:rPr>
          <w:sz w:val="24"/>
          <w:szCs w:val="24"/>
        </w:rPr>
        <w:t>,</w:t>
      </w:r>
      <w:r w:rsidRPr="00972AFC" w:rsidR="00C05404">
        <w:rPr>
          <w:sz w:val="24"/>
          <w:szCs w:val="24"/>
        </w:rPr>
        <w:t xml:space="preserve"> </w:t>
      </w:r>
      <w:r w:rsidRPr="00972AFC" w:rsidR="00C47343">
        <w:rPr>
          <w:sz w:val="24"/>
          <w:szCs w:val="24"/>
        </w:rPr>
        <w:t>annual</w:t>
      </w:r>
      <w:r w:rsidRPr="00972AFC" w:rsidR="000920C0">
        <w:rPr>
          <w:sz w:val="24"/>
          <w:szCs w:val="24"/>
        </w:rPr>
        <w:t xml:space="preserve"> </w:t>
      </w:r>
      <w:r w:rsidRPr="00972AFC" w:rsidR="005C5597">
        <w:rPr>
          <w:sz w:val="24"/>
          <w:szCs w:val="24"/>
        </w:rPr>
        <w:t>reports</w:t>
      </w:r>
      <w:r w:rsidRPr="00972AFC" w:rsidR="008E3484">
        <w:rPr>
          <w:sz w:val="24"/>
          <w:szCs w:val="24"/>
        </w:rPr>
        <w:t xml:space="preserve"> from an average of </w:t>
      </w:r>
      <w:r w:rsidRPr="00972AFC" w:rsidR="007316A3">
        <w:rPr>
          <w:sz w:val="24"/>
          <w:szCs w:val="24"/>
        </w:rPr>
        <w:t>1,810</w:t>
      </w:r>
      <w:r w:rsidRPr="00972AFC" w:rsidR="00AF7370">
        <w:rPr>
          <w:sz w:val="24"/>
          <w:szCs w:val="24"/>
        </w:rPr>
        <w:t xml:space="preserve"> </w:t>
      </w:r>
      <w:r w:rsidRPr="00972AFC" w:rsidR="008E3484">
        <w:rPr>
          <w:sz w:val="24"/>
          <w:szCs w:val="24"/>
        </w:rPr>
        <w:t>companies over the three-year period</w:t>
      </w:r>
      <w:r w:rsidRPr="00972AFC" w:rsidR="00DC3808">
        <w:rPr>
          <w:sz w:val="24"/>
          <w:szCs w:val="24"/>
        </w:rPr>
        <w:t>,</w:t>
      </w:r>
      <w:r w:rsidRPr="00972AFC" w:rsidR="005C5597">
        <w:rPr>
          <w:sz w:val="24"/>
          <w:szCs w:val="24"/>
        </w:rPr>
        <w:t xml:space="preserve"> and </w:t>
      </w:r>
      <w:r w:rsidRPr="00972AFC" w:rsidR="000920C0">
        <w:rPr>
          <w:sz w:val="24"/>
          <w:szCs w:val="24"/>
        </w:rPr>
        <w:t>semiannual</w:t>
      </w:r>
      <w:r w:rsidRPr="00972AFC" w:rsidR="00C47343">
        <w:rPr>
          <w:sz w:val="24"/>
          <w:szCs w:val="24"/>
        </w:rPr>
        <w:t xml:space="preserve"> report</w:t>
      </w:r>
      <w:r w:rsidRPr="00972AFC" w:rsidR="00CB35EC">
        <w:rPr>
          <w:sz w:val="24"/>
          <w:szCs w:val="24"/>
        </w:rPr>
        <w:t>s</w:t>
      </w:r>
      <w:r w:rsidRPr="00972AFC" w:rsidR="00C47343">
        <w:rPr>
          <w:sz w:val="24"/>
          <w:szCs w:val="24"/>
        </w:rPr>
        <w:t xml:space="preserve"> from</w:t>
      </w:r>
      <w:r w:rsidRPr="00972AFC" w:rsidR="00AC0855">
        <w:rPr>
          <w:sz w:val="24"/>
          <w:szCs w:val="24"/>
        </w:rPr>
        <w:t xml:space="preserve"> </w:t>
      </w:r>
      <w:r w:rsidRPr="00972AFC" w:rsidR="00613EF8">
        <w:rPr>
          <w:sz w:val="24"/>
          <w:szCs w:val="24"/>
        </w:rPr>
        <w:t xml:space="preserve">an average of </w:t>
      </w:r>
      <w:r w:rsidRPr="00972AFC" w:rsidR="007316A3">
        <w:rPr>
          <w:sz w:val="24"/>
          <w:szCs w:val="24"/>
        </w:rPr>
        <w:t>34</w:t>
      </w:r>
      <w:r w:rsidRPr="00972AFC" w:rsidR="00C84674">
        <w:rPr>
          <w:sz w:val="24"/>
          <w:szCs w:val="24"/>
        </w:rPr>
        <w:t xml:space="preserve"> c</w:t>
      </w:r>
      <w:r w:rsidRPr="00972AFC" w:rsidR="00613EF8">
        <w:rPr>
          <w:sz w:val="24"/>
          <w:szCs w:val="24"/>
        </w:rPr>
        <w:t>ompanies over the three-year period.</w:t>
      </w:r>
      <w:r w:rsidRPr="00972AFC" w:rsidR="000920C0">
        <w:rPr>
          <w:sz w:val="24"/>
          <w:szCs w:val="24"/>
        </w:rPr>
        <w:t xml:space="preserve"> (</w:t>
      </w:r>
      <w:r w:rsidRPr="00972AFC">
        <w:rPr>
          <w:sz w:val="24"/>
          <w:szCs w:val="24"/>
        </w:rPr>
        <w:t>Processing</w:t>
      </w:r>
      <w:r w:rsidRPr="00972AFC" w:rsidR="000920C0">
        <w:rPr>
          <w:sz w:val="24"/>
          <w:szCs w:val="24"/>
        </w:rPr>
        <w:t xml:space="preserve"> facilities report semiannually, all others annually)</w:t>
      </w:r>
      <w:r w:rsidRPr="00972AFC" w:rsidR="00465957">
        <w:rPr>
          <w:sz w:val="24"/>
          <w:szCs w:val="24"/>
        </w:rPr>
        <w:t>.</w:t>
      </w:r>
    </w:p>
    <w:p w:rsidR="00FA77E7" w:rsidP="00F311FA" w14:paraId="48C6DB9C" w14:textId="77777777">
      <w:pPr>
        <w:keepNext/>
        <w:widowControl/>
        <w:ind w:firstLine="720"/>
        <w:jc w:val="both"/>
        <w:rPr>
          <w:sz w:val="24"/>
          <w:szCs w:val="24"/>
        </w:rPr>
      </w:pPr>
      <w:r w:rsidRPr="004E469A">
        <w:rPr>
          <w:sz w:val="24"/>
          <w:szCs w:val="24"/>
        </w:rPr>
        <w:t xml:space="preserve">The </w:t>
      </w:r>
      <w:r w:rsidR="000F4EBB">
        <w:rPr>
          <w:sz w:val="24"/>
          <w:szCs w:val="24"/>
        </w:rPr>
        <w:t xml:space="preserve">average </w:t>
      </w:r>
      <w:r w:rsidRPr="004E469A">
        <w:rPr>
          <w:sz w:val="24"/>
          <w:szCs w:val="24"/>
        </w:rPr>
        <w:t>number of annual responses per year is calcu</w:t>
      </w:r>
      <w:r>
        <w:rPr>
          <w:sz w:val="24"/>
          <w:szCs w:val="24"/>
        </w:rPr>
        <w:t>lated using the following table.</w:t>
      </w:r>
    </w:p>
    <w:p w:rsidR="00D773C6" w:rsidP="00F311FA" w14:paraId="0AEF2F9A" w14:textId="77777777">
      <w:pPr>
        <w:keepNext/>
        <w:widowControl/>
        <w:ind w:firstLine="720"/>
        <w:jc w:val="both"/>
        <w:rPr>
          <w:sz w:val="24"/>
          <w:szCs w:val="24"/>
        </w:rPr>
      </w:pPr>
    </w:p>
    <w:tbl>
      <w:tblPr>
        <w:tblW w:w="5000" w:type="pct"/>
        <w:tblLayout w:type="fixed"/>
        <w:tblCellMar>
          <w:left w:w="111" w:type="dxa"/>
          <w:right w:w="111" w:type="dxa"/>
        </w:tblCellMar>
        <w:tblLook w:val="0000"/>
      </w:tblPr>
      <w:tblGrid>
        <w:gridCol w:w="4925"/>
        <w:gridCol w:w="1554"/>
        <w:gridCol w:w="1371"/>
        <w:gridCol w:w="1636"/>
      </w:tblGrid>
      <w:tr w14:paraId="66743400" w14:textId="77777777" w:rsidTr="76728A8F">
        <w:tblPrEx>
          <w:tblW w:w="5000" w:type="pct"/>
          <w:tblLayout w:type="fixed"/>
          <w:tblCellMar>
            <w:left w:w="111" w:type="dxa"/>
            <w:right w:w="111" w:type="dxa"/>
          </w:tblCellMar>
          <w:tblLook w:val="0000"/>
        </w:tblPrEx>
        <w:tc>
          <w:tcPr>
            <w:tcW w:w="9486" w:type="dxa"/>
            <w:gridSpan w:val="4"/>
            <w:tcBorders>
              <w:top w:val="single" w:sz="7" w:space="0" w:color="000000" w:themeColor="text1"/>
              <w:left w:val="single" w:sz="7" w:space="0" w:color="000000" w:themeColor="text1"/>
              <w:bottom w:val="single" w:sz="6" w:space="0" w:color="FFFFFF" w:themeColor="background1"/>
              <w:right w:val="single" w:sz="7" w:space="0" w:color="000000" w:themeColor="text1"/>
            </w:tcBorders>
            <w:vAlign w:val="center"/>
          </w:tcPr>
          <w:p w:rsidR="00C95E8B" w:rsidRPr="008A2727" w:rsidP="00F311FA" w14:paraId="3CF38CFA" w14:textId="273F756D">
            <w:pPr>
              <w:keepNext/>
              <w:widowControl/>
              <w:jc w:val="center"/>
              <w:rPr>
                <w:b/>
                <w:lang w:val="pt-BR"/>
              </w:rPr>
            </w:pPr>
            <w:r w:rsidRPr="008A2727">
              <w:rPr>
                <w:b/>
              </w:rPr>
              <w:t>Total Annual Responses</w:t>
            </w:r>
          </w:p>
        </w:tc>
      </w:tr>
      <w:tr w14:paraId="5C763C75" w14:textId="77777777" w:rsidTr="76728A8F">
        <w:tblPrEx>
          <w:tblW w:w="5000" w:type="pct"/>
          <w:tblLayout w:type="fixed"/>
          <w:tblCellMar>
            <w:left w:w="111" w:type="dxa"/>
            <w:right w:w="111" w:type="dxa"/>
          </w:tblCellMar>
          <w:tblLook w:val="0000"/>
        </w:tblPrEx>
        <w:tc>
          <w:tcPr>
            <w:tcW w:w="4925"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C95E8B" w:rsidRPr="008A7937" w:rsidP="00F311FA" w14:paraId="40C6F374" w14:textId="089EDC56">
            <w:pPr>
              <w:keepNext/>
              <w:widowControl/>
              <w:jc w:val="center"/>
              <w:rPr>
                <w:b/>
              </w:rPr>
            </w:pPr>
            <w:r w:rsidRPr="008A7937">
              <w:rPr>
                <w:b/>
              </w:rPr>
              <w:t>Information</w:t>
            </w:r>
            <w:r w:rsidRPr="008A7937" w:rsidR="00970071">
              <w:rPr>
                <w:b/>
              </w:rPr>
              <w:t xml:space="preserve"> </w:t>
            </w:r>
            <w:r w:rsidRPr="008A7937">
              <w:rPr>
                <w:b/>
              </w:rPr>
              <w:t>Collection</w:t>
            </w:r>
            <w:r w:rsidRPr="008A7937" w:rsidR="00970071">
              <w:rPr>
                <w:b/>
              </w:rPr>
              <w:t xml:space="preserve"> </w:t>
            </w:r>
            <w:r w:rsidRPr="008A7937">
              <w:rPr>
                <w:b/>
              </w:rPr>
              <w:t>Activity</w:t>
            </w:r>
          </w:p>
        </w:tc>
        <w:tc>
          <w:tcPr>
            <w:tcW w:w="1554"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C95E8B" w:rsidRPr="008A7937" w:rsidP="00F311FA" w14:paraId="10ECCDB7" w14:textId="5F37C975">
            <w:pPr>
              <w:keepNext/>
              <w:widowControl/>
              <w:jc w:val="center"/>
              <w:rPr>
                <w:b/>
              </w:rPr>
            </w:pPr>
            <w:r w:rsidRPr="008A7937">
              <w:rPr>
                <w:b/>
              </w:rPr>
              <w:t xml:space="preserve">Number of </w:t>
            </w:r>
            <w:r w:rsidRPr="008A7937">
              <w:rPr>
                <w:b/>
              </w:rPr>
              <w:t>Respondents</w:t>
            </w:r>
            <w:r w:rsidR="008A7937">
              <w:rPr>
                <w:b/>
                <w:vertAlign w:val="superscript"/>
              </w:rPr>
              <w:t>a</w:t>
            </w:r>
          </w:p>
        </w:tc>
        <w:tc>
          <w:tcPr>
            <w:tcW w:w="1371"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C95E8B" w:rsidRPr="008A7937" w:rsidP="00F311FA" w14:paraId="459E8AD0" w14:textId="77777777">
            <w:pPr>
              <w:keepNext/>
              <w:widowControl/>
              <w:jc w:val="center"/>
              <w:rPr>
                <w:b/>
              </w:rPr>
            </w:pPr>
            <w:r w:rsidRPr="008A7937">
              <w:rPr>
                <w:b/>
              </w:rPr>
              <w:t>Number of Responses</w:t>
            </w:r>
          </w:p>
        </w:tc>
        <w:tc>
          <w:tcPr>
            <w:tcW w:w="1636"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vAlign w:val="center"/>
          </w:tcPr>
          <w:p w:rsidR="00C95E8B" w:rsidRPr="008A7937" w:rsidP="008A7937" w14:paraId="5CEF1E9C" w14:textId="30B7B1CD">
            <w:pPr>
              <w:keepNext/>
              <w:widowControl/>
              <w:jc w:val="center"/>
              <w:rPr>
                <w:b/>
                <w:lang w:val="pt-BR"/>
              </w:rPr>
            </w:pPr>
            <w:r w:rsidRPr="008A7937">
              <w:rPr>
                <w:b/>
                <w:lang w:val="pt-BR"/>
              </w:rPr>
              <w:t>T</w:t>
            </w:r>
            <w:r w:rsidRPr="008A7937">
              <w:rPr>
                <w:b/>
                <w:lang w:val="pt-BR"/>
              </w:rPr>
              <w:t>otal Annual Responses</w:t>
            </w:r>
          </w:p>
        </w:tc>
      </w:tr>
      <w:tr w14:paraId="47FE6EE3" w14:textId="77777777" w:rsidTr="76728A8F">
        <w:tblPrEx>
          <w:tblW w:w="5000" w:type="pct"/>
          <w:tblLayout w:type="fixed"/>
          <w:tblCellMar>
            <w:left w:w="111" w:type="dxa"/>
            <w:right w:w="111" w:type="dxa"/>
          </w:tblCellMar>
          <w:tblLook w:val="0000"/>
        </w:tblPrEx>
        <w:tc>
          <w:tcPr>
            <w:tcW w:w="4925"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7316A3" w:rsidRPr="008A2727" w:rsidP="007316A3" w14:paraId="0CC79B68" w14:textId="2F412137">
            <w:pPr>
              <w:keepNext/>
              <w:widowControl/>
            </w:pPr>
            <w:r w:rsidRPr="008A2727">
              <w:t>Notification of well completions/recompletions</w:t>
            </w:r>
          </w:p>
        </w:tc>
        <w:tc>
          <w:tcPr>
            <w:tcW w:w="1554"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7316A3" w:rsidRPr="008A2727" w:rsidP="007316A3" w14:paraId="60A1897F" w14:textId="47CA6B16">
            <w:pPr>
              <w:keepNext/>
              <w:widowControl/>
              <w:jc w:val="center"/>
            </w:pPr>
            <w:r>
              <w:t>12,693</w:t>
            </w:r>
          </w:p>
        </w:tc>
        <w:tc>
          <w:tcPr>
            <w:tcW w:w="1371"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7316A3" w:rsidRPr="008A2727" w:rsidP="007316A3" w14:paraId="3024A720" w14:textId="5EF6AE08">
            <w:pPr>
              <w:keepNext/>
              <w:widowControl/>
              <w:jc w:val="center"/>
            </w:pPr>
            <w:r w:rsidRPr="008A2727">
              <w:t>1</w:t>
            </w:r>
          </w:p>
        </w:tc>
        <w:tc>
          <w:tcPr>
            <w:tcW w:w="1636"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vAlign w:val="center"/>
          </w:tcPr>
          <w:p w:rsidR="007316A3" w:rsidRPr="008A2727" w:rsidP="007316A3" w14:paraId="04F50CF3" w14:textId="426E9E75">
            <w:pPr>
              <w:keepNext/>
              <w:widowControl/>
              <w:jc w:val="center"/>
            </w:pPr>
            <w:r>
              <w:t>12,693</w:t>
            </w:r>
          </w:p>
        </w:tc>
      </w:tr>
      <w:tr w14:paraId="4B119EA7" w14:textId="77777777" w:rsidTr="76728A8F">
        <w:tblPrEx>
          <w:tblW w:w="5000" w:type="pct"/>
          <w:tblLayout w:type="fixed"/>
          <w:tblCellMar>
            <w:left w:w="111" w:type="dxa"/>
            <w:right w:w="111" w:type="dxa"/>
          </w:tblCellMar>
          <w:tblLook w:val="0000"/>
        </w:tblPrEx>
        <w:tc>
          <w:tcPr>
            <w:tcW w:w="4925"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7316A3" w:rsidRPr="008A2727" w:rsidP="007316A3" w14:paraId="3EFA4306" w14:textId="77777777">
            <w:pPr>
              <w:keepNext/>
              <w:widowControl/>
            </w:pPr>
            <w:r w:rsidRPr="008A2727">
              <w:t>Notification of construction/ reconstruction/modification</w:t>
            </w:r>
          </w:p>
        </w:tc>
        <w:tc>
          <w:tcPr>
            <w:tcW w:w="1554"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7316A3" w:rsidRPr="008A2727" w:rsidP="007316A3" w14:paraId="21EA13F3" w14:textId="411689F2">
            <w:pPr>
              <w:keepNext/>
              <w:widowControl/>
              <w:jc w:val="center"/>
            </w:pPr>
            <w:r>
              <w:t>16</w:t>
            </w:r>
          </w:p>
        </w:tc>
        <w:tc>
          <w:tcPr>
            <w:tcW w:w="1371"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7316A3" w:rsidRPr="008A2727" w:rsidP="007316A3" w14:paraId="2C0C11CB" w14:textId="77777777">
            <w:pPr>
              <w:keepNext/>
              <w:widowControl/>
              <w:jc w:val="center"/>
            </w:pPr>
            <w:r w:rsidRPr="008A2727">
              <w:t>1</w:t>
            </w:r>
          </w:p>
        </w:tc>
        <w:tc>
          <w:tcPr>
            <w:tcW w:w="1636"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vAlign w:val="center"/>
          </w:tcPr>
          <w:p w:rsidR="007316A3" w:rsidRPr="008A2727" w:rsidP="007316A3" w14:paraId="0FA1BE63" w14:textId="2A5E2A1A">
            <w:pPr>
              <w:keepNext/>
              <w:widowControl/>
              <w:jc w:val="center"/>
            </w:pPr>
            <w:r>
              <w:t>16</w:t>
            </w:r>
          </w:p>
        </w:tc>
      </w:tr>
      <w:tr w14:paraId="65388516" w14:textId="77777777" w:rsidTr="76728A8F">
        <w:tblPrEx>
          <w:tblW w:w="5000" w:type="pct"/>
          <w:tblLayout w:type="fixed"/>
          <w:tblCellMar>
            <w:left w:w="111" w:type="dxa"/>
            <w:right w:w="111" w:type="dxa"/>
          </w:tblCellMar>
          <w:tblLook w:val="0000"/>
        </w:tblPrEx>
        <w:tc>
          <w:tcPr>
            <w:tcW w:w="4925"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7316A3" w:rsidRPr="008A2727" w:rsidP="007316A3" w14:paraId="4495CFF0" w14:textId="77777777">
            <w:pPr>
              <w:keepNext/>
              <w:widowControl/>
            </w:pPr>
            <w:r w:rsidRPr="008A2727">
              <w:t>Annual Compliance Reports</w:t>
            </w:r>
          </w:p>
        </w:tc>
        <w:tc>
          <w:tcPr>
            <w:tcW w:w="1554"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7316A3" w:rsidRPr="008A2727" w:rsidP="007316A3" w14:paraId="4256F557" w14:textId="1D4EFA75">
            <w:pPr>
              <w:keepNext/>
              <w:widowControl/>
              <w:jc w:val="center"/>
            </w:pPr>
            <w:r>
              <w:t>1,810</w:t>
            </w:r>
          </w:p>
        </w:tc>
        <w:tc>
          <w:tcPr>
            <w:tcW w:w="1371"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7316A3" w:rsidRPr="008A2727" w:rsidP="007316A3" w14:paraId="1D0EEB91" w14:textId="77777777">
            <w:pPr>
              <w:keepNext/>
              <w:widowControl/>
              <w:jc w:val="center"/>
            </w:pPr>
            <w:r w:rsidRPr="008A2727">
              <w:t>1</w:t>
            </w:r>
          </w:p>
        </w:tc>
        <w:tc>
          <w:tcPr>
            <w:tcW w:w="1636"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vAlign w:val="center"/>
          </w:tcPr>
          <w:p w:rsidR="007316A3" w:rsidRPr="008A2727" w:rsidP="007316A3" w14:paraId="3C5D5FFF" w14:textId="4CE0BA98">
            <w:pPr>
              <w:keepNext/>
              <w:widowControl/>
              <w:jc w:val="center"/>
            </w:pPr>
            <w:r>
              <w:t>1,810</w:t>
            </w:r>
          </w:p>
        </w:tc>
      </w:tr>
      <w:tr w14:paraId="0CFE7182" w14:textId="77777777" w:rsidTr="76728A8F">
        <w:tblPrEx>
          <w:tblW w:w="5000" w:type="pct"/>
          <w:tblLayout w:type="fixed"/>
          <w:tblCellMar>
            <w:left w:w="111" w:type="dxa"/>
            <w:right w:w="111" w:type="dxa"/>
          </w:tblCellMar>
          <w:tblLook w:val="0000"/>
        </w:tblPrEx>
        <w:tc>
          <w:tcPr>
            <w:tcW w:w="4925"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C95E8B" w:rsidRPr="008A2727" w:rsidP="00F311FA" w14:paraId="445699D3" w14:textId="77777777">
            <w:pPr>
              <w:keepNext/>
              <w:widowControl/>
            </w:pPr>
            <w:r w:rsidRPr="008A2727">
              <w:t>Semiannual Compliance Reports</w:t>
            </w:r>
          </w:p>
        </w:tc>
        <w:tc>
          <w:tcPr>
            <w:tcW w:w="1554"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C95E8B" w:rsidRPr="008A2727" w:rsidP="00F311FA" w14:paraId="4957FEA8" w14:textId="4E9FFA64">
            <w:pPr>
              <w:keepNext/>
              <w:widowControl/>
              <w:jc w:val="center"/>
            </w:pPr>
            <w:r>
              <w:t>34</w:t>
            </w:r>
          </w:p>
        </w:tc>
        <w:tc>
          <w:tcPr>
            <w:tcW w:w="1371"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C95E8B" w:rsidRPr="008A2727" w:rsidP="00F311FA" w14:paraId="4FD1460D" w14:textId="77777777">
            <w:pPr>
              <w:keepNext/>
              <w:widowControl/>
              <w:jc w:val="center"/>
            </w:pPr>
            <w:r w:rsidRPr="008A2727">
              <w:t>2</w:t>
            </w:r>
          </w:p>
        </w:tc>
        <w:tc>
          <w:tcPr>
            <w:tcW w:w="1636"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vAlign w:val="center"/>
          </w:tcPr>
          <w:p w:rsidR="00C95E8B" w:rsidRPr="008A2727" w:rsidP="00F311FA" w14:paraId="0943E6EB" w14:textId="2BCF2354">
            <w:pPr>
              <w:keepNext/>
              <w:widowControl/>
              <w:jc w:val="center"/>
            </w:pPr>
            <w:r>
              <w:t>68</w:t>
            </w:r>
          </w:p>
        </w:tc>
      </w:tr>
      <w:tr w14:paraId="0F7F25AA" w14:textId="77777777" w:rsidTr="76728A8F">
        <w:tblPrEx>
          <w:tblW w:w="5000" w:type="pct"/>
          <w:tblLayout w:type="fixed"/>
          <w:tblCellMar>
            <w:left w:w="111" w:type="dxa"/>
            <w:right w:w="111" w:type="dxa"/>
          </w:tblCellMar>
          <w:tblLook w:val="0000"/>
        </w:tblPrEx>
        <w:tc>
          <w:tcPr>
            <w:tcW w:w="4925"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AB2580" w:rsidRPr="008A2727" w:rsidP="00F311FA" w14:paraId="74901994" w14:textId="2C2E1F43">
            <w:pPr>
              <w:keepNext/>
              <w:widowControl/>
            </w:pPr>
            <w:r>
              <w:t>Application for Certification of Third Party for Super-Emitter Response Program</w:t>
            </w:r>
          </w:p>
        </w:tc>
        <w:tc>
          <w:tcPr>
            <w:tcW w:w="1554"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AB2580" w:rsidP="00F311FA" w14:paraId="573225E5" w14:textId="00721786">
            <w:pPr>
              <w:keepNext/>
              <w:widowControl/>
              <w:jc w:val="center"/>
            </w:pPr>
            <w:r>
              <w:t>5</w:t>
            </w:r>
          </w:p>
        </w:tc>
        <w:tc>
          <w:tcPr>
            <w:tcW w:w="1371"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AB2580" w:rsidRPr="008A2727" w:rsidP="00F311FA" w14:paraId="39E4A805" w14:textId="13215E6D">
            <w:pPr>
              <w:keepNext/>
              <w:widowControl/>
              <w:jc w:val="center"/>
            </w:pPr>
            <w:r>
              <w:t>1</w:t>
            </w:r>
          </w:p>
        </w:tc>
        <w:tc>
          <w:tcPr>
            <w:tcW w:w="1636"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vAlign w:val="center"/>
          </w:tcPr>
          <w:p w:rsidR="00AB2580" w:rsidP="00F311FA" w14:paraId="140E9BE4" w14:textId="0ED26ED6">
            <w:pPr>
              <w:keepNext/>
              <w:widowControl/>
              <w:jc w:val="center"/>
            </w:pPr>
            <w:r>
              <w:t>5</w:t>
            </w:r>
          </w:p>
        </w:tc>
      </w:tr>
      <w:tr w14:paraId="43644B45" w14:textId="77777777" w:rsidTr="76728A8F">
        <w:tblPrEx>
          <w:tblW w:w="5000" w:type="pct"/>
          <w:tblLayout w:type="fixed"/>
          <w:tblCellMar>
            <w:left w:w="111" w:type="dxa"/>
            <w:right w:w="111" w:type="dxa"/>
          </w:tblCellMar>
          <w:tblLook w:val="0000"/>
        </w:tblPrEx>
        <w:tc>
          <w:tcPr>
            <w:tcW w:w="4925"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AB2580" w:rsidRPr="008A2727" w:rsidP="00F311FA" w14:paraId="5BA385C2" w14:textId="074FC06A">
            <w:pPr>
              <w:keepNext/>
              <w:widowControl/>
            </w:pPr>
            <w:r>
              <w:t>Third Party Notification of Super-Emitter Emissions Events</w:t>
            </w:r>
          </w:p>
        </w:tc>
        <w:tc>
          <w:tcPr>
            <w:tcW w:w="1554"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AB2580" w:rsidP="00F311FA" w14:paraId="2B4F451C" w14:textId="0E7762D9">
            <w:pPr>
              <w:keepNext/>
              <w:widowControl/>
              <w:jc w:val="center"/>
            </w:pPr>
            <w:r>
              <w:t>250</w:t>
            </w:r>
          </w:p>
        </w:tc>
        <w:tc>
          <w:tcPr>
            <w:tcW w:w="1371"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vAlign w:val="center"/>
          </w:tcPr>
          <w:p w:rsidR="00AB2580" w:rsidRPr="008A2727" w:rsidP="00F311FA" w14:paraId="1B1B10A6" w14:textId="0230379F">
            <w:pPr>
              <w:keepNext/>
              <w:widowControl/>
              <w:jc w:val="center"/>
            </w:pPr>
            <w:r>
              <w:t>1</w:t>
            </w:r>
          </w:p>
        </w:tc>
        <w:tc>
          <w:tcPr>
            <w:tcW w:w="1636"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vAlign w:val="center"/>
          </w:tcPr>
          <w:p w:rsidR="00AB2580" w:rsidP="00F311FA" w14:paraId="785A8319" w14:textId="1517D648">
            <w:pPr>
              <w:keepNext/>
              <w:widowControl/>
              <w:jc w:val="center"/>
            </w:pPr>
            <w:r>
              <w:t>250</w:t>
            </w:r>
          </w:p>
        </w:tc>
      </w:tr>
      <w:tr w14:paraId="4B099511" w14:textId="77777777" w:rsidTr="76728A8F">
        <w:tblPrEx>
          <w:tblW w:w="5000" w:type="pct"/>
          <w:tblLayout w:type="fixed"/>
          <w:tblCellMar>
            <w:left w:w="111" w:type="dxa"/>
            <w:right w:w="111" w:type="dxa"/>
          </w:tblCellMar>
          <w:tblLook w:val="0000"/>
        </w:tblPrEx>
        <w:tc>
          <w:tcPr>
            <w:tcW w:w="7850" w:type="dxa"/>
            <w:gridSpan w:val="3"/>
            <w:tcBorders>
              <w:top w:val="single" w:sz="7" w:space="0" w:color="000000" w:themeColor="text1"/>
              <w:left w:val="single" w:sz="7" w:space="0" w:color="000000" w:themeColor="text1"/>
              <w:bottom w:val="single" w:sz="7" w:space="0" w:color="000000" w:themeColor="text1"/>
              <w:right w:val="single" w:sz="6" w:space="0" w:color="FFFFFF" w:themeColor="background1"/>
            </w:tcBorders>
            <w:vAlign w:val="center"/>
          </w:tcPr>
          <w:p w:rsidR="00C95E8B" w:rsidRPr="008A2727" w:rsidP="00F311FA" w14:paraId="18CC1AF8" w14:textId="31B9BD2E">
            <w:pPr>
              <w:keepNext/>
              <w:widowControl/>
              <w:jc w:val="right"/>
              <w:rPr>
                <w:b/>
              </w:rPr>
            </w:pPr>
            <w:r w:rsidRPr="008A2727">
              <w:rPr>
                <w:b/>
              </w:rPr>
              <w:t>Total</w:t>
            </w:r>
          </w:p>
        </w:tc>
        <w:tc>
          <w:tcPr>
            <w:tcW w:w="163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95E8B" w:rsidRPr="008A2727" w:rsidP="00F311FA" w14:paraId="74C1D4B2" w14:textId="5169F26C">
            <w:pPr>
              <w:keepNext/>
              <w:widowControl/>
              <w:jc w:val="center"/>
              <w:rPr>
                <w:b/>
              </w:rPr>
            </w:pPr>
            <w:r>
              <w:rPr>
                <w:b/>
              </w:rPr>
              <w:t>14,</w:t>
            </w:r>
            <w:r w:rsidR="00A778C8">
              <w:rPr>
                <w:b/>
              </w:rPr>
              <w:t>841</w:t>
            </w:r>
          </w:p>
        </w:tc>
      </w:tr>
    </w:tbl>
    <w:p w:rsidR="00911677" w:rsidP="00F311FA" w14:paraId="484DC273" w14:textId="77777777">
      <w:pPr>
        <w:keepNext/>
        <w:widowControl/>
        <w:rPr>
          <w:szCs w:val="24"/>
        </w:rPr>
      </w:pPr>
      <w:r>
        <w:rPr>
          <w:szCs w:val="24"/>
          <w:vertAlign w:val="superscript"/>
        </w:rPr>
        <w:t>a</w:t>
      </w:r>
      <w:r>
        <w:rPr>
          <w:szCs w:val="24"/>
        </w:rPr>
        <w:t>The</w:t>
      </w:r>
      <w:r>
        <w:rPr>
          <w:szCs w:val="24"/>
        </w:rPr>
        <w:t xml:space="preserve"> E</w:t>
      </w:r>
      <w:r w:rsidR="007F789C">
        <w:rPr>
          <w:szCs w:val="24"/>
        </w:rPr>
        <w:t>PA</w:t>
      </w:r>
      <w:r w:rsidRPr="008E6F7C" w:rsidR="007E10F1">
        <w:rPr>
          <w:szCs w:val="24"/>
        </w:rPr>
        <w:t xml:space="preserve"> </w:t>
      </w:r>
      <w:r w:rsidRPr="008E6F7C" w:rsidR="00FE2FF0">
        <w:rPr>
          <w:szCs w:val="24"/>
        </w:rPr>
        <w:t>assume</w:t>
      </w:r>
      <w:r w:rsidRPr="008E6F7C" w:rsidR="00CE3E94">
        <w:rPr>
          <w:szCs w:val="24"/>
        </w:rPr>
        <w:t>s</w:t>
      </w:r>
      <w:r w:rsidRPr="008E6F7C" w:rsidR="00FE2FF0">
        <w:rPr>
          <w:szCs w:val="24"/>
        </w:rPr>
        <w:t xml:space="preserve"> each facility will make </w:t>
      </w:r>
      <w:r w:rsidRPr="008E6F7C" w:rsidR="00A05894">
        <w:rPr>
          <w:szCs w:val="24"/>
        </w:rPr>
        <w:t>t</w:t>
      </w:r>
      <w:r w:rsidRPr="008E6F7C" w:rsidR="00FE2FF0">
        <w:rPr>
          <w:szCs w:val="24"/>
        </w:rPr>
        <w:t>he appropriate notifications and t</w:t>
      </w:r>
      <w:r w:rsidRPr="008E6F7C" w:rsidR="00A05894">
        <w:rPr>
          <w:szCs w:val="24"/>
        </w:rPr>
        <w:t>h</w:t>
      </w:r>
      <w:r w:rsidRPr="008E6F7C" w:rsidR="00FE2FF0">
        <w:rPr>
          <w:szCs w:val="24"/>
        </w:rPr>
        <w:t xml:space="preserve">at each </w:t>
      </w:r>
      <w:r w:rsidR="00315B69">
        <w:rPr>
          <w:szCs w:val="24"/>
        </w:rPr>
        <w:t>respondent</w:t>
      </w:r>
      <w:r w:rsidRPr="008E6F7C" w:rsidR="00FE2FF0">
        <w:rPr>
          <w:szCs w:val="24"/>
        </w:rPr>
        <w:t xml:space="preserve"> will sub</w:t>
      </w:r>
      <w:r w:rsidRPr="008E6F7C" w:rsidR="00A05894">
        <w:rPr>
          <w:szCs w:val="24"/>
        </w:rPr>
        <w:t xml:space="preserve">mit the </w:t>
      </w:r>
      <w:r w:rsidRPr="008E6F7C" w:rsidR="00FE2FF0">
        <w:rPr>
          <w:szCs w:val="24"/>
        </w:rPr>
        <w:t xml:space="preserve">annual </w:t>
      </w:r>
      <w:r w:rsidRPr="008E6F7C" w:rsidR="00E03B0F">
        <w:rPr>
          <w:szCs w:val="24"/>
        </w:rPr>
        <w:t xml:space="preserve">or semiannual </w:t>
      </w:r>
      <w:r w:rsidRPr="008E6F7C" w:rsidR="00FE2FF0">
        <w:rPr>
          <w:szCs w:val="24"/>
        </w:rPr>
        <w:t xml:space="preserve">report for all affected </w:t>
      </w:r>
      <w:r w:rsidRPr="008E6F7C" w:rsidR="00172007">
        <w:rPr>
          <w:szCs w:val="24"/>
        </w:rPr>
        <w:t>f</w:t>
      </w:r>
      <w:r w:rsidRPr="008E6F7C" w:rsidR="00271798">
        <w:rPr>
          <w:szCs w:val="24"/>
        </w:rPr>
        <w:t>acilities</w:t>
      </w:r>
      <w:r w:rsidRPr="008E6F7C" w:rsidR="00FE2FF0">
        <w:rPr>
          <w:szCs w:val="24"/>
        </w:rPr>
        <w:t xml:space="preserve"> in each year.</w:t>
      </w:r>
    </w:p>
    <w:p w:rsidR="00911677" w:rsidRPr="00D22275" w:rsidP="00911677" w14:paraId="6A29A1D2" w14:textId="0E57D764">
      <w:pPr>
        <w:widowControl/>
        <w:autoSpaceDE/>
        <w:autoSpaceDN/>
        <w:adjustRightInd/>
      </w:pPr>
      <w:r w:rsidRPr="00756E02">
        <w:rPr>
          <w:szCs w:val="24"/>
          <w:vertAlign w:val="superscript"/>
        </w:rPr>
        <w:t>b</w:t>
      </w:r>
      <w:r>
        <w:rPr>
          <w:szCs w:val="24"/>
        </w:rPr>
        <w:t>Per</w:t>
      </w:r>
      <w:r>
        <w:rPr>
          <w:szCs w:val="24"/>
        </w:rPr>
        <w:t xml:space="preserve"> §</w:t>
      </w:r>
      <w:r w:rsidRPr="00D22275">
        <w:t>60.5420</w:t>
      </w:r>
      <w:r w:rsidR="00354D74">
        <w:t>b(</w:t>
      </w:r>
      <w:r w:rsidRPr="00D22275">
        <w:t>a)(2)</w:t>
      </w:r>
      <w:r>
        <w:t>, notifications are required for each well completion/recompletion. Therefore, the estimated number of respondents is based on the estimated number of well completions/recompletions.</w:t>
      </w:r>
    </w:p>
    <w:p w:rsidR="008E6F7C" w:rsidRPr="008E6F7C" w:rsidP="00C95E8B" w14:paraId="5129E40E" w14:textId="77777777">
      <w:pPr>
        <w:keepNext/>
        <w:widowControl/>
        <w:rPr>
          <w:szCs w:val="24"/>
        </w:rPr>
      </w:pPr>
    </w:p>
    <w:p w:rsidR="00FE00CB" w:rsidRPr="00A93DA1" w:rsidP="0007083A" w14:paraId="46ECE4B6" w14:textId="44977B10">
      <w:pPr>
        <w:keepNext/>
        <w:keepLines/>
        <w:widowControl/>
        <w:spacing w:after="240" w:line="360" w:lineRule="auto"/>
        <w:rPr>
          <w:sz w:val="24"/>
          <w:szCs w:val="24"/>
        </w:rPr>
      </w:pPr>
      <w:r w:rsidRPr="004E469A">
        <w:rPr>
          <w:i/>
          <w:iCs/>
          <w:sz w:val="24"/>
          <w:szCs w:val="24"/>
        </w:rPr>
        <w:t>(e)</w:t>
      </w:r>
      <w:r w:rsidRPr="004E469A">
        <w:rPr>
          <w:i/>
          <w:iCs/>
          <w:sz w:val="24"/>
          <w:szCs w:val="24"/>
        </w:rPr>
        <w:tab/>
      </w:r>
      <w:r w:rsidRPr="00A93DA1">
        <w:rPr>
          <w:i/>
          <w:iCs/>
          <w:sz w:val="24"/>
          <w:szCs w:val="24"/>
        </w:rPr>
        <w:t>Bottom Line Burden Hours and Cost Tables.</w:t>
      </w:r>
    </w:p>
    <w:p w:rsidR="00AC0855" w:rsidRPr="00297B91" w:rsidP="4E246ACC" w14:paraId="090EE80C" w14:textId="445E8824">
      <w:pPr>
        <w:widowControl/>
        <w:spacing w:line="360" w:lineRule="auto"/>
        <w:ind w:firstLine="720"/>
        <w:rPr>
          <w:rFonts w:eastAsia="Courier New"/>
          <w:sz w:val="24"/>
          <w:szCs w:val="24"/>
        </w:rPr>
      </w:pPr>
      <w:r w:rsidRPr="4E246ACC">
        <w:rPr>
          <w:i/>
          <w:iCs/>
          <w:sz w:val="24"/>
          <w:szCs w:val="24"/>
        </w:rPr>
        <w:t>(</w:t>
      </w:r>
      <w:r w:rsidRPr="4E246ACC">
        <w:rPr>
          <w:i/>
          <w:iCs/>
          <w:sz w:val="24"/>
          <w:szCs w:val="24"/>
        </w:rPr>
        <w:t>i</w:t>
      </w:r>
      <w:r w:rsidRPr="4E246ACC">
        <w:rPr>
          <w:i/>
          <w:iCs/>
          <w:sz w:val="24"/>
          <w:szCs w:val="24"/>
        </w:rPr>
        <w:t>)</w:t>
      </w:r>
      <w:r>
        <w:rPr>
          <w:i/>
          <w:iCs/>
          <w:sz w:val="24"/>
          <w:szCs w:val="24"/>
        </w:rPr>
        <w:tab/>
      </w:r>
      <w:r w:rsidRPr="4E246ACC" w:rsidR="00FE00CB">
        <w:rPr>
          <w:i/>
          <w:iCs/>
          <w:sz w:val="24"/>
          <w:szCs w:val="24"/>
        </w:rPr>
        <w:t>Respondent tally.</w:t>
      </w:r>
      <w:r>
        <w:rPr>
          <w:sz w:val="24"/>
          <w:szCs w:val="24"/>
        </w:rPr>
        <w:t xml:space="preserve"> </w:t>
      </w:r>
      <w:r w:rsidRPr="00F43B30" w:rsidR="00FE00CB">
        <w:rPr>
          <w:sz w:val="24"/>
          <w:szCs w:val="24"/>
        </w:rPr>
        <w:t xml:space="preserve">The </w:t>
      </w:r>
      <w:r w:rsidRPr="00297B91" w:rsidR="00FE00CB">
        <w:rPr>
          <w:sz w:val="24"/>
          <w:szCs w:val="24"/>
        </w:rPr>
        <w:t>bottom</w:t>
      </w:r>
      <w:r w:rsidR="009F1A7A">
        <w:rPr>
          <w:sz w:val="24"/>
          <w:szCs w:val="24"/>
        </w:rPr>
        <w:t>-</w:t>
      </w:r>
      <w:r w:rsidRPr="00297B91" w:rsidR="00FE00CB">
        <w:rPr>
          <w:sz w:val="24"/>
          <w:szCs w:val="24"/>
        </w:rPr>
        <w:t>line respondent burden hours and costs</w:t>
      </w:r>
      <w:r w:rsidRPr="00297B91" w:rsidR="00040F70">
        <w:rPr>
          <w:sz w:val="24"/>
          <w:szCs w:val="24"/>
        </w:rPr>
        <w:t xml:space="preserve"> </w:t>
      </w:r>
      <w:r w:rsidRPr="00297B91" w:rsidR="005B4D05">
        <w:rPr>
          <w:sz w:val="24"/>
          <w:szCs w:val="24"/>
        </w:rPr>
        <w:t>for the three years (</w:t>
      </w:r>
      <w:r w:rsidR="00C628E9">
        <w:rPr>
          <w:sz w:val="24"/>
          <w:szCs w:val="24"/>
        </w:rPr>
        <w:t>2023-2025</w:t>
      </w:r>
      <w:r w:rsidRPr="00297B91" w:rsidR="001B3ACD">
        <w:rPr>
          <w:sz w:val="24"/>
          <w:szCs w:val="24"/>
        </w:rPr>
        <w:t xml:space="preserve">) covered by this ICR </w:t>
      </w:r>
      <w:r w:rsidRPr="00297B91" w:rsidR="00040F70">
        <w:rPr>
          <w:sz w:val="24"/>
          <w:szCs w:val="24"/>
        </w:rPr>
        <w:t>are</w:t>
      </w:r>
      <w:r w:rsidRPr="00297B91" w:rsidR="00FE00CB">
        <w:rPr>
          <w:sz w:val="24"/>
          <w:szCs w:val="24"/>
        </w:rPr>
        <w:t xml:space="preserve"> presented in </w:t>
      </w:r>
      <w:r w:rsidRPr="00297B91" w:rsidR="00664E61">
        <w:rPr>
          <w:sz w:val="24"/>
          <w:szCs w:val="24"/>
        </w:rPr>
        <w:t>Table 1d</w:t>
      </w:r>
      <w:r w:rsidRPr="00297B91" w:rsidR="001B3ACD">
        <w:rPr>
          <w:sz w:val="24"/>
          <w:szCs w:val="24"/>
        </w:rPr>
        <w:t xml:space="preserve"> (located at the end of this supporting statement)</w:t>
      </w:r>
      <w:r w:rsidRPr="00297B91">
        <w:rPr>
          <w:sz w:val="24"/>
          <w:szCs w:val="24"/>
        </w:rPr>
        <w:t xml:space="preserve">. </w:t>
      </w:r>
      <w:r w:rsidRPr="00297B91" w:rsidR="00FE00CB">
        <w:rPr>
          <w:sz w:val="24"/>
          <w:szCs w:val="24"/>
        </w:rPr>
        <w:t xml:space="preserve">The average annual burden for the recordkeeping and reporting requirements in </w:t>
      </w:r>
      <w:r w:rsidR="00E14F01">
        <w:rPr>
          <w:sz w:val="24"/>
          <w:szCs w:val="24"/>
        </w:rPr>
        <w:t xml:space="preserve">NSPS </w:t>
      </w:r>
      <w:r w:rsidR="00E14F01">
        <w:rPr>
          <w:sz w:val="24"/>
          <w:szCs w:val="24"/>
        </w:rPr>
        <w:t>OOOO</w:t>
      </w:r>
      <w:r w:rsidR="00204F4F">
        <w:rPr>
          <w:sz w:val="24"/>
          <w:szCs w:val="24"/>
        </w:rPr>
        <w:t>b</w:t>
      </w:r>
      <w:r w:rsidRPr="00297B91" w:rsidR="00FE00CB">
        <w:rPr>
          <w:sz w:val="24"/>
          <w:szCs w:val="24"/>
        </w:rPr>
        <w:t xml:space="preserve"> for the </w:t>
      </w:r>
      <w:r w:rsidRPr="00297B91" w:rsidR="00100D06">
        <w:rPr>
          <w:sz w:val="24"/>
          <w:szCs w:val="24"/>
        </w:rPr>
        <w:t xml:space="preserve">estimated </w:t>
      </w:r>
      <w:r w:rsidR="00933122">
        <w:rPr>
          <w:sz w:val="24"/>
          <w:szCs w:val="24"/>
        </w:rPr>
        <w:t>1,</w:t>
      </w:r>
      <w:r w:rsidR="00AB2580">
        <w:rPr>
          <w:sz w:val="24"/>
          <w:szCs w:val="24"/>
        </w:rPr>
        <w:t xml:space="preserve">849 </w:t>
      </w:r>
      <w:r w:rsidRPr="00297B91" w:rsidR="00100D06">
        <w:rPr>
          <w:sz w:val="24"/>
          <w:szCs w:val="24"/>
        </w:rPr>
        <w:t>respondent</w:t>
      </w:r>
      <w:r w:rsidRPr="00297B91" w:rsidR="00A05894">
        <w:rPr>
          <w:sz w:val="24"/>
          <w:szCs w:val="24"/>
        </w:rPr>
        <w:t xml:space="preserve">s that </w:t>
      </w:r>
      <w:r w:rsidRPr="00297B91" w:rsidR="00FE00CB">
        <w:rPr>
          <w:sz w:val="24"/>
          <w:szCs w:val="24"/>
        </w:rPr>
        <w:t xml:space="preserve">are subject to the </w:t>
      </w:r>
      <w:r w:rsidRPr="00297B91" w:rsidR="00CB35EC">
        <w:rPr>
          <w:sz w:val="24"/>
          <w:szCs w:val="24"/>
        </w:rPr>
        <w:t>rule</w:t>
      </w:r>
      <w:r w:rsidRPr="00297B91" w:rsidR="00FE00CB">
        <w:rPr>
          <w:sz w:val="24"/>
          <w:szCs w:val="24"/>
        </w:rPr>
        <w:t xml:space="preserve"> is </w:t>
      </w:r>
      <w:r w:rsidR="007C61E1">
        <w:rPr>
          <w:sz w:val="24"/>
          <w:szCs w:val="24"/>
        </w:rPr>
        <w:t xml:space="preserve">883,625 </w:t>
      </w:r>
      <w:r w:rsidRPr="00297B91" w:rsidR="00C80F26">
        <w:rPr>
          <w:sz w:val="24"/>
          <w:szCs w:val="24"/>
        </w:rPr>
        <w:t xml:space="preserve">labor </w:t>
      </w:r>
      <w:r w:rsidRPr="00297B91">
        <w:rPr>
          <w:sz w:val="24"/>
          <w:szCs w:val="24"/>
        </w:rPr>
        <w:t xml:space="preserve">hours, with an annual average </w:t>
      </w:r>
      <w:r w:rsidR="0027777A">
        <w:rPr>
          <w:sz w:val="24"/>
          <w:szCs w:val="24"/>
        </w:rPr>
        <w:t xml:space="preserve">labor </w:t>
      </w:r>
      <w:r w:rsidRPr="00297B91">
        <w:rPr>
          <w:sz w:val="24"/>
          <w:szCs w:val="24"/>
        </w:rPr>
        <w:t xml:space="preserve">cost of </w:t>
      </w:r>
      <w:r w:rsidRPr="00AF6A75" w:rsidR="00AF6A75">
        <w:rPr>
          <w:sz w:val="24"/>
          <w:szCs w:val="24"/>
        </w:rPr>
        <w:t>$</w:t>
      </w:r>
      <w:r w:rsidR="00933122">
        <w:rPr>
          <w:sz w:val="24"/>
          <w:szCs w:val="24"/>
        </w:rPr>
        <w:t>58,</w:t>
      </w:r>
      <w:r w:rsidR="007C61E1">
        <w:rPr>
          <w:sz w:val="24"/>
          <w:szCs w:val="24"/>
        </w:rPr>
        <w:t>474</w:t>
      </w:r>
      <w:r w:rsidR="00933122">
        <w:rPr>
          <w:sz w:val="24"/>
          <w:szCs w:val="24"/>
        </w:rPr>
        <w:t>,</w:t>
      </w:r>
      <w:r w:rsidR="007C61E1">
        <w:rPr>
          <w:sz w:val="24"/>
          <w:szCs w:val="24"/>
        </w:rPr>
        <w:t>899</w:t>
      </w:r>
      <w:r w:rsidRPr="00297B91">
        <w:rPr>
          <w:rFonts w:eastAsia="Courier New"/>
          <w:sz w:val="24"/>
          <w:szCs w:val="24"/>
        </w:rPr>
        <w:t xml:space="preserve">. </w:t>
      </w:r>
    </w:p>
    <w:p w:rsidR="00FE00CB" w:rsidRPr="00A93DA1" w:rsidP="4E246ACC" w14:paraId="1BE8C43E" w14:textId="25902941">
      <w:pPr>
        <w:widowControl/>
        <w:spacing w:line="360" w:lineRule="auto"/>
        <w:rPr>
          <w:sz w:val="24"/>
          <w:szCs w:val="24"/>
        </w:rPr>
      </w:pPr>
      <w:r w:rsidRPr="00297B91">
        <w:rPr>
          <w:sz w:val="24"/>
          <w:szCs w:val="24"/>
        </w:rPr>
        <w:tab/>
      </w:r>
      <w:r w:rsidRPr="4E246ACC" w:rsidR="00270646">
        <w:rPr>
          <w:i/>
          <w:iCs/>
          <w:sz w:val="24"/>
          <w:szCs w:val="24"/>
        </w:rPr>
        <w:t>(ii)</w:t>
      </w:r>
      <w:r w:rsidRPr="00297B91" w:rsidR="00270646">
        <w:rPr>
          <w:i/>
          <w:iCs/>
          <w:sz w:val="24"/>
          <w:szCs w:val="24"/>
        </w:rPr>
        <w:tab/>
      </w:r>
      <w:r w:rsidRPr="4E246ACC">
        <w:rPr>
          <w:i/>
          <w:iCs/>
          <w:sz w:val="24"/>
          <w:szCs w:val="24"/>
        </w:rPr>
        <w:t xml:space="preserve">The Agency </w:t>
      </w:r>
      <w:r w:rsidRPr="4E246ACC" w:rsidR="00DD0F40">
        <w:rPr>
          <w:i/>
          <w:iCs/>
          <w:sz w:val="24"/>
          <w:szCs w:val="24"/>
        </w:rPr>
        <w:t>T</w:t>
      </w:r>
      <w:r w:rsidRPr="4E246ACC">
        <w:rPr>
          <w:i/>
          <w:iCs/>
          <w:sz w:val="24"/>
          <w:szCs w:val="24"/>
        </w:rPr>
        <w:t>ally.</w:t>
      </w:r>
      <w:r w:rsidRPr="00297B91" w:rsidR="00270646">
        <w:rPr>
          <w:sz w:val="24"/>
          <w:szCs w:val="24"/>
        </w:rPr>
        <w:t xml:space="preserve"> </w:t>
      </w:r>
      <w:r w:rsidRPr="00297B91">
        <w:rPr>
          <w:sz w:val="24"/>
          <w:szCs w:val="24"/>
        </w:rPr>
        <w:t>The average annual Federal Government</w:t>
      </w:r>
      <w:r w:rsidRPr="00A93DA1">
        <w:rPr>
          <w:sz w:val="24"/>
          <w:szCs w:val="24"/>
        </w:rPr>
        <w:t xml:space="preserve"> cost is </w:t>
      </w:r>
      <w:r w:rsidRPr="00CA7D33" w:rsidR="00CA7D33">
        <w:rPr>
          <w:sz w:val="24"/>
          <w:szCs w:val="24"/>
        </w:rPr>
        <w:t>$</w:t>
      </w:r>
      <w:r w:rsidR="00D87728">
        <w:rPr>
          <w:sz w:val="24"/>
          <w:szCs w:val="24"/>
        </w:rPr>
        <w:t>733,461</w:t>
      </w:r>
      <w:r w:rsidRPr="00A93DA1">
        <w:rPr>
          <w:sz w:val="24"/>
          <w:szCs w:val="24"/>
        </w:rPr>
        <w:t xml:space="preserve">for </w:t>
      </w:r>
      <w:r w:rsidR="00D87728">
        <w:rPr>
          <w:sz w:val="24"/>
          <w:szCs w:val="24"/>
        </w:rPr>
        <w:t xml:space="preserve">14,362 </w:t>
      </w:r>
      <w:r w:rsidR="00C80F26">
        <w:rPr>
          <w:sz w:val="24"/>
          <w:szCs w:val="24"/>
        </w:rPr>
        <w:t>labor</w:t>
      </w:r>
      <w:r w:rsidRPr="00A93DA1">
        <w:rPr>
          <w:sz w:val="24"/>
          <w:szCs w:val="24"/>
        </w:rPr>
        <w:t xml:space="preserve"> hours for </w:t>
      </w:r>
      <w:r w:rsidR="00E14F01">
        <w:rPr>
          <w:sz w:val="24"/>
          <w:szCs w:val="24"/>
        </w:rPr>
        <w:t xml:space="preserve">NSPS </w:t>
      </w:r>
      <w:r w:rsidR="00E14F01">
        <w:rPr>
          <w:sz w:val="24"/>
          <w:szCs w:val="24"/>
        </w:rPr>
        <w:t>OOOO</w:t>
      </w:r>
      <w:r w:rsidR="0071086D">
        <w:rPr>
          <w:sz w:val="24"/>
          <w:szCs w:val="24"/>
        </w:rPr>
        <w:t>b</w:t>
      </w:r>
      <w:r w:rsidRPr="00A93DA1">
        <w:rPr>
          <w:sz w:val="24"/>
          <w:szCs w:val="24"/>
        </w:rPr>
        <w:t>. The bottom</w:t>
      </w:r>
      <w:r w:rsidR="00BA7094">
        <w:rPr>
          <w:sz w:val="24"/>
          <w:szCs w:val="24"/>
        </w:rPr>
        <w:t>-</w:t>
      </w:r>
      <w:r w:rsidRPr="00A93DA1">
        <w:rPr>
          <w:sz w:val="24"/>
          <w:szCs w:val="24"/>
        </w:rPr>
        <w:t>line Agency burden hours and costs</w:t>
      </w:r>
      <w:r w:rsidR="006D24E1">
        <w:rPr>
          <w:sz w:val="24"/>
          <w:szCs w:val="24"/>
        </w:rPr>
        <w:t>,</w:t>
      </w:r>
      <w:r w:rsidRPr="00A93DA1">
        <w:rPr>
          <w:sz w:val="24"/>
          <w:szCs w:val="24"/>
        </w:rPr>
        <w:t xml:space="preserve"> presented in </w:t>
      </w:r>
      <w:r w:rsidRPr="00483C3F" w:rsidR="00664E61">
        <w:rPr>
          <w:sz w:val="24"/>
          <w:szCs w:val="24"/>
        </w:rPr>
        <w:t xml:space="preserve">Table </w:t>
      </w:r>
      <w:r w:rsidR="005B7810">
        <w:rPr>
          <w:sz w:val="24"/>
          <w:szCs w:val="24"/>
        </w:rPr>
        <w:t>2</w:t>
      </w:r>
      <w:r w:rsidR="00D45E61">
        <w:rPr>
          <w:sz w:val="24"/>
          <w:szCs w:val="24"/>
        </w:rPr>
        <w:t>d</w:t>
      </w:r>
      <w:r w:rsidR="006D24E1">
        <w:rPr>
          <w:sz w:val="24"/>
          <w:szCs w:val="24"/>
        </w:rPr>
        <w:t>,</w:t>
      </w:r>
      <w:r w:rsidRPr="00A93DA1" w:rsidR="00D45E61">
        <w:rPr>
          <w:sz w:val="24"/>
          <w:szCs w:val="24"/>
        </w:rPr>
        <w:t xml:space="preserve"> </w:t>
      </w:r>
      <w:r w:rsidRPr="00A93DA1">
        <w:rPr>
          <w:sz w:val="24"/>
          <w:szCs w:val="24"/>
        </w:rPr>
        <w:t xml:space="preserve">are calculated </w:t>
      </w:r>
      <w:r w:rsidR="006D24E1">
        <w:rPr>
          <w:sz w:val="24"/>
          <w:szCs w:val="24"/>
        </w:rPr>
        <w:t xml:space="preserve">from Tables </w:t>
      </w:r>
      <w:r w:rsidR="005B7810">
        <w:rPr>
          <w:sz w:val="24"/>
          <w:szCs w:val="24"/>
        </w:rPr>
        <w:t>2</w:t>
      </w:r>
      <w:r w:rsidR="006D24E1">
        <w:rPr>
          <w:sz w:val="24"/>
          <w:szCs w:val="24"/>
        </w:rPr>
        <w:t>a-</w:t>
      </w:r>
      <w:r w:rsidR="005B7810">
        <w:rPr>
          <w:sz w:val="24"/>
          <w:szCs w:val="24"/>
        </w:rPr>
        <w:t>2</w:t>
      </w:r>
      <w:r w:rsidR="006D24E1">
        <w:rPr>
          <w:sz w:val="24"/>
          <w:szCs w:val="24"/>
        </w:rPr>
        <w:t xml:space="preserve">c </w:t>
      </w:r>
      <w:r w:rsidRPr="00A93DA1">
        <w:rPr>
          <w:sz w:val="24"/>
          <w:szCs w:val="24"/>
        </w:rPr>
        <w:t xml:space="preserve">by adding person-hours per year down each column for technical, managerial, and clerical staff, and by adding down the cost column. </w:t>
      </w:r>
    </w:p>
    <w:p w:rsidR="00FE00CB" w:rsidP="0007083A" w14:paraId="4BBD349F" w14:textId="5107BA30">
      <w:pPr>
        <w:widowControl/>
        <w:spacing w:after="240" w:line="360" w:lineRule="auto"/>
        <w:rPr>
          <w:sz w:val="24"/>
          <w:szCs w:val="24"/>
        </w:rPr>
      </w:pPr>
      <w:r w:rsidRPr="00A93DA1">
        <w:rPr>
          <w:sz w:val="24"/>
          <w:szCs w:val="24"/>
        </w:rPr>
        <w:tab/>
      </w:r>
      <w:r w:rsidR="00270646">
        <w:rPr>
          <w:i/>
          <w:iCs/>
          <w:sz w:val="24"/>
          <w:szCs w:val="24"/>
        </w:rPr>
        <w:t>(iii)</w:t>
      </w:r>
      <w:r w:rsidR="00270646">
        <w:rPr>
          <w:i/>
          <w:iCs/>
          <w:sz w:val="24"/>
          <w:szCs w:val="24"/>
        </w:rPr>
        <w:tab/>
      </w:r>
      <w:r w:rsidRPr="00A93DA1">
        <w:rPr>
          <w:i/>
          <w:iCs/>
          <w:sz w:val="24"/>
          <w:szCs w:val="24"/>
        </w:rPr>
        <w:t>Variations in the annual bottom line</w:t>
      </w:r>
      <w:r w:rsidR="00275D51">
        <w:rPr>
          <w:i/>
          <w:iCs/>
          <w:sz w:val="24"/>
          <w:szCs w:val="24"/>
        </w:rPr>
        <w:t xml:space="preserve">. </w:t>
      </w:r>
      <w:r w:rsidRPr="00A93DA1">
        <w:rPr>
          <w:sz w:val="24"/>
          <w:szCs w:val="24"/>
        </w:rPr>
        <w:t>This section does not apply since no significant variation is anticipated.</w:t>
      </w:r>
    </w:p>
    <w:p w:rsidR="00764477" w:rsidP="0007083A" w14:paraId="7DA36F93" w14:textId="43A99F01">
      <w:pPr>
        <w:keepNext/>
        <w:widowControl/>
        <w:spacing w:after="240" w:line="360" w:lineRule="auto"/>
        <w:rPr>
          <w:i/>
          <w:iCs/>
          <w:sz w:val="24"/>
          <w:szCs w:val="24"/>
        </w:rPr>
      </w:pPr>
      <w:bookmarkStart w:id="6" w:name="_Hlk528671765"/>
      <w:r w:rsidRPr="00A93DA1">
        <w:rPr>
          <w:i/>
          <w:iCs/>
          <w:sz w:val="24"/>
          <w:szCs w:val="24"/>
        </w:rPr>
        <w:t>(f)</w:t>
      </w:r>
      <w:r w:rsidRPr="00A93DA1">
        <w:rPr>
          <w:i/>
          <w:iCs/>
          <w:sz w:val="24"/>
          <w:szCs w:val="24"/>
        </w:rPr>
        <w:tab/>
        <w:t>Reasons for Change in Burden.</w:t>
      </w:r>
    </w:p>
    <w:p w:rsidR="0071537D" w:rsidP="0007083A" w14:paraId="032897FF" w14:textId="77777777">
      <w:pPr>
        <w:keepNext/>
        <w:widowControl/>
        <w:spacing w:after="240" w:line="360" w:lineRule="auto"/>
        <w:rPr>
          <w:i/>
          <w:iCs/>
          <w:sz w:val="24"/>
          <w:szCs w:val="24"/>
        </w:rPr>
      </w:pPr>
      <w:r>
        <w:rPr>
          <w:i/>
          <w:iCs/>
          <w:sz w:val="24"/>
          <w:szCs w:val="24"/>
        </w:rPr>
        <w:tab/>
      </w:r>
      <w:bookmarkEnd w:id="6"/>
      <w:r w:rsidRPr="00A93DA1">
        <w:rPr>
          <w:sz w:val="24"/>
          <w:szCs w:val="24"/>
        </w:rPr>
        <w:t>This section does not apply because this is a new ICR.</w:t>
      </w:r>
      <w:r>
        <w:rPr>
          <w:i/>
          <w:iCs/>
          <w:sz w:val="24"/>
          <w:szCs w:val="24"/>
        </w:rPr>
        <w:t xml:space="preserve"> </w:t>
      </w:r>
    </w:p>
    <w:p w:rsidR="00FE00CB" w:rsidRPr="00A93DA1" w:rsidP="0007083A" w14:paraId="495E2CB2" w14:textId="6B9D0DD5">
      <w:pPr>
        <w:keepNext/>
        <w:widowControl/>
        <w:spacing w:after="240" w:line="360" w:lineRule="auto"/>
        <w:rPr>
          <w:i/>
          <w:iCs/>
          <w:sz w:val="24"/>
          <w:szCs w:val="24"/>
        </w:rPr>
      </w:pPr>
      <w:r>
        <w:rPr>
          <w:i/>
          <w:iCs/>
          <w:sz w:val="24"/>
          <w:szCs w:val="24"/>
        </w:rPr>
        <w:t>(g)</w:t>
      </w:r>
      <w:r w:rsidRPr="00A93DA1">
        <w:rPr>
          <w:i/>
          <w:iCs/>
          <w:sz w:val="24"/>
          <w:szCs w:val="24"/>
        </w:rPr>
        <w:tab/>
        <w:t>Burden Statement</w:t>
      </w:r>
    </w:p>
    <w:p w:rsidR="00FE00CB" w:rsidRPr="008826CF" w:rsidP="00F6339A" w14:paraId="3CE5929D" w14:textId="109AE52F">
      <w:pPr>
        <w:widowControl/>
        <w:spacing w:line="360" w:lineRule="auto"/>
        <w:rPr>
          <w:sz w:val="24"/>
          <w:szCs w:val="24"/>
        </w:rPr>
      </w:pPr>
      <w:r w:rsidRPr="00A93DA1">
        <w:rPr>
          <w:sz w:val="24"/>
          <w:szCs w:val="24"/>
        </w:rPr>
        <w:tab/>
      </w:r>
      <w:r w:rsidRPr="008826CF">
        <w:rPr>
          <w:sz w:val="24"/>
          <w:szCs w:val="24"/>
        </w:rPr>
        <w:t xml:space="preserve">The annual public reporting and recordkeeping burden for this collection of information is estimated to </w:t>
      </w:r>
      <w:r w:rsidRPr="0029737E">
        <w:rPr>
          <w:sz w:val="24"/>
          <w:szCs w:val="24"/>
        </w:rPr>
        <w:t>average</w:t>
      </w:r>
      <w:r w:rsidR="00CE6769">
        <w:rPr>
          <w:sz w:val="24"/>
          <w:szCs w:val="24"/>
        </w:rPr>
        <w:t xml:space="preserve"> 60</w:t>
      </w:r>
      <w:r w:rsidR="00EC6064">
        <w:rPr>
          <w:sz w:val="24"/>
          <w:szCs w:val="24"/>
        </w:rPr>
        <w:t xml:space="preserve"> </w:t>
      </w:r>
      <w:r w:rsidRPr="00F81145">
        <w:rPr>
          <w:sz w:val="24"/>
          <w:szCs w:val="24"/>
        </w:rPr>
        <w:t>hours per response</w:t>
      </w:r>
      <w:r w:rsidRPr="00F81145" w:rsidR="00FD0CE1">
        <w:rPr>
          <w:sz w:val="24"/>
          <w:szCs w:val="24"/>
        </w:rPr>
        <w:t>.</w:t>
      </w:r>
      <w:r w:rsidR="00FD0CE1">
        <w:rPr>
          <w:sz w:val="24"/>
          <w:szCs w:val="24"/>
        </w:rPr>
        <w:t xml:space="preserve"> </w:t>
      </w:r>
      <w:r w:rsidRPr="008826CF">
        <w:rPr>
          <w:sz w:val="24"/>
          <w:szCs w:val="24"/>
        </w:rPr>
        <w:t>Burden means the total time, effort, or financial resources expended by persons to generate, maintain, retain, or disclose or provide informati</w:t>
      </w:r>
      <w:r w:rsidR="00FD0CE1">
        <w:rPr>
          <w:sz w:val="24"/>
          <w:szCs w:val="24"/>
        </w:rPr>
        <w:t xml:space="preserve">on to or for a </w:t>
      </w:r>
      <w:r w:rsidR="00FD0CE1">
        <w:rPr>
          <w:sz w:val="24"/>
          <w:szCs w:val="24"/>
        </w:rPr>
        <w:t>Federal</w:t>
      </w:r>
      <w:r w:rsidR="00FD0CE1">
        <w:rPr>
          <w:sz w:val="24"/>
          <w:szCs w:val="24"/>
        </w:rPr>
        <w:t xml:space="preserve"> agency. </w:t>
      </w:r>
      <w:r w:rsidRPr="008826CF">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E00CB" w:rsidRPr="008826CF" w:rsidP="00F6339A" w14:paraId="4E3664BB" w14:textId="77777777">
      <w:pPr>
        <w:widowControl/>
        <w:spacing w:line="360" w:lineRule="auto"/>
        <w:rPr>
          <w:sz w:val="24"/>
          <w:szCs w:val="24"/>
        </w:rPr>
      </w:pPr>
      <w:r>
        <w:rPr>
          <w:sz w:val="24"/>
          <w:szCs w:val="24"/>
        </w:rPr>
        <w:tab/>
      </w:r>
      <w:r w:rsidRPr="008826CF">
        <w:rPr>
          <w:sz w:val="24"/>
          <w:szCs w:val="24"/>
        </w:rPr>
        <w:t>An agency may not conduct or sponsor, and a person is not required to respond to, a collection of information unless it displa</w:t>
      </w:r>
      <w:r w:rsidR="00FD0CE1">
        <w:rPr>
          <w:sz w:val="24"/>
          <w:szCs w:val="24"/>
        </w:rPr>
        <w:t xml:space="preserve">ys a valid OMB Control Number. </w:t>
      </w:r>
      <w:r w:rsidRPr="008826CF">
        <w:rPr>
          <w:sz w:val="24"/>
          <w:szCs w:val="24"/>
        </w:rPr>
        <w:t>The OMB Control Numbers for EPA regulations are listed at 40 CFR part 9 and 48 CFR chapter 15.</w:t>
      </w:r>
    </w:p>
    <w:p w:rsidR="00172199" w:rsidP="0007083A" w14:paraId="4B99A3C1" w14:textId="38C70FA1">
      <w:pPr>
        <w:widowControl/>
        <w:spacing w:after="240" w:line="360" w:lineRule="auto"/>
        <w:rPr>
          <w:sz w:val="24"/>
          <w:szCs w:val="24"/>
        </w:rPr>
      </w:pPr>
      <w:r>
        <w:rPr>
          <w:sz w:val="24"/>
          <w:szCs w:val="24"/>
        </w:rPr>
        <w:tab/>
      </w:r>
      <w:r w:rsidRPr="00172199">
        <w:rPr>
          <w:sz w:val="24"/>
          <w:szCs w:val="24"/>
        </w:rPr>
        <w:t>To view comments received on the Agency’s need for this information, the accuracy of the provided burden estimates, and any suggested methods for minimizing respondent burden, including the use of automated collection techniques, the EPA has established a public docket for this ICR under Docket ID Number [</w:t>
      </w:r>
      <w:r w:rsidRPr="00EC1FF9" w:rsidR="00044741">
        <w:rPr>
          <w:sz w:val="24"/>
          <w:szCs w:val="24"/>
        </w:rPr>
        <w:t>EPA-HQ-OAR-2021-0317</w:t>
      </w:r>
      <w:r w:rsidRPr="00172199">
        <w:rPr>
          <w:sz w:val="24"/>
          <w:szCs w:val="24"/>
        </w:rPr>
        <w:t xml:space="preserve">]. An electronic version of the public docket is available at </w:t>
      </w:r>
      <w:r w:rsidRPr="00751C65">
        <w:rPr>
          <w:i/>
          <w:iCs/>
          <w:sz w:val="24"/>
          <w:szCs w:val="24"/>
        </w:rPr>
        <w:t>http://www.regulations.gov/</w:t>
      </w:r>
      <w:r w:rsidRPr="00172199">
        <w:rPr>
          <w:sz w:val="24"/>
          <w:szCs w:val="24"/>
        </w:rPr>
        <w:t xml:space="preserve"> which may be used to obtain a copy of the collection of information, view public comments submitted, access the index listing of the contents of the docket, and to access those documents in the public docket that are available electronically. When in the system, select “search,” then key in the docket ID number identified in this document. The documents are typically available for public viewing at EPA Docket Center </w:t>
      </w:r>
      <w:r w:rsidR="00E47400">
        <w:rPr>
          <w:sz w:val="24"/>
          <w:szCs w:val="24"/>
        </w:rPr>
        <w:t>Room 3334</w:t>
      </w:r>
      <w:r w:rsidRPr="00172199">
        <w:rPr>
          <w:sz w:val="24"/>
          <w:szCs w:val="24"/>
        </w:rPr>
        <w:t xml:space="preserve">, EPA WJC West Building, 1301 Constitution Ave., NW, Washington, DC. EPA Docket Center Public Reading Room is open from 8:30 a.m. to 4:30 p.m., Monday through Friday, excluding legal holidays. The telephone number for the </w:t>
      </w:r>
      <w:r w:rsidR="00E47400">
        <w:rPr>
          <w:sz w:val="24"/>
          <w:szCs w:val="24"/>
        </w:rPr>
        <w:t xml:space="preserve">Public </w:t>
      </w:r>
      <w:r w:rsidRPr="00172199">
        <w:rPr>
          <w:sz w:val="24"/>
          <w:szCs w:val="24"/>
        </w:rPr>
        <w:t xml:space="preserve">Reading Room is (202) 566-1744, and the telephone number for the </w:t>
      </w:r>
      <w:r w:rsidR="00541FB5">
        <w:rPr>
          <w:sz w:val="24"/>
          <w:szCs w:val="24"/>
        </w:rPr>
        <w:t>EPA Docket</w:t>
      </w:r>
      <w:r w:rsidRPr="00172199">
        <w:rPr>
          <w:sz w:val="24"/>
          <w:szCs w:val="24"/>
        </w:rPr>
        <w:t xml:space="preserve"> Center is (202) 566-1742. </w:t>
      </w:r>
    </w:p>
    <w:p w:rsidR="00FE00CB" w:rsidP="0007083A" w14:paraId="68EAA159" w14:textId="77777777">
      <w:pPr>
        <w:keepNext/>
        <w:keepLines/>
        <w:widowControl/>
        <w:spacing w:after="240" w:line="360" w:lineRule="auto"/>
        <w:rPr>
          <w:sz w:val="24"/>
          <w:szCs w:val="24"/>
        </w:rPr>
      </w:pPr>
      <w:r>
        <w:rPr>
          <w:b/>
          <w:bCs/>
          <w:sz w:val="24"/>
          <w:szCs w:val="24"/>
        </w:rPr>
        <w:t>PART B</w:t>
      </w:r>
    </w:p>
    <w:p w:rsidR="00474D29" w:rsidP="00F6339A" w14:paraId="58831E7C" w14:textId="30DAD082">
      <w:pPr>
        <w:widowControl/>
        <w:spacing w:line="360" w:lineRule="auto"/>
        <w:rPr>
          <w:sz w:val="24"/>
          <w:szCs w:val="24"/>
        </w:rPr>
      </w:pPr>
      <w:r>
        <w:rPr>
          <w:sz w:val="24"/>
          <w:szCs w:val="24"/>
        </w:rPr>
        <w:tab/>
        <w:t>This section is not applicable because statistical methods are not used in data collection associated with the final rule.</w:t>
      </w:r>
      <w:r>
        <w:rPr>
          <w:sz w:val="24"/>
          <w:szCs w:val="24"/>
        </w:rPr>
        <w:br w:type="page"/>
      </w:r>
    </w:p>
    <w:p w:rsidR="00474D29" w14:paraId="0E21F17E" w14:textId="4E19DF92">
      <w:pPr>
        <w:widowControl/>
        <w:autoSpaceDE/>
        <w:autoSpaceDN/>
        <w:adjustRightInd/>
        <w:rPr>
          <w:sz w:val="24"/>
          <w:szCs w:val="24"/>
        </w:rPr>
      </w:pPr>
      <w:r w:rsidRPr="00751C65">
        <w:rPr>
          <w:noProof/>
        </w:rPr>
        <w:drawing>
          <wp:inline distT="0" distB="0" distL="0" distR="0">
            <wp:extent cx="5420995" cy="8229600"/>
            <wp:effectExtent l="19050" t="19050" r="2730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20995" cy="8229600"/>
                    </a:xfrm>
                    <a:prstGeom prst="rect">
                      <a:avLst/>
                    </a:prstGeom>
                    <a:noFill/>
                    <a:ln w="3175">
                      <a:solidFill>
                        <a:schemeClr val="tx1"/>
                      </a:solidFill>
                    </a:ln>
                  </pic:spPr>
                </pic:pic>
              </a:graphicData>
            </a:graphic>
          </wp:inline>
        </w:drawing>
      </w:r>
    </w:p>
    <w:p w:rsidR="00356DA7" w:rsidP="00994C8A" w14:paraId="360001EE" w14:textId="733F91C7">
      <w:pPr>
        <w:widowControl/>
        <w:spacing w:line="360" w:lineRule="auto"/>
        <w:jc w:val="center"/>
        <w:rPr>
          <w:sz w:val="24"/>
          <w:szCs w:val="24"/>
        </w:rPr>
      </w:pPr>
      <w:r w:rsidRPr="00751C65">
        <w:rPr>
          <w:noProof/>
        </w:rPr>
        <w:drawing>
          <wp:inline distT="0" distB="0" distL="0" distR="0">
            <wp:extent cx="5466080" cy="8229600"/>
            <wp:effectExtent l="19050" t="19050" r="2032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6080" cy="8229600"/>
                    </a:xfrm>
                    <a:prstGeom prst="rect">
                      <a:avLst/>
                    </a:prstGeom>
                    <a:noFill/>
                    <a:ln w="3175">
                      <a:solidFill>
                        <a:schemeClr val="tx1"/>
                      </a:solidFill>
                    </a:ln>
                  </pic:spPr>
                </pic:pic>
              </a:graphicData>
            </a:graphic>
          </wp:inline>
        </w:drawing>
      </w:r>
    </w:p>
    <w:p w:rsidR="00356DA7" w14:paraId="0FB7F80E" w14:textId="00317FCC">
      <w:pPr>
        <w:widowControl/>
        <w:autoSpaceDE/>
        <w:autoSpaceDN/>
        <w:adjustRightInd/>
        <w:rPr>
          <w:sz w:val="24"/>
          <w:szCs w:val="24"/>
        </w:rPr>
      </w:pPr>
      <w:r w:rsidRPr="00751C65">
        <w:rPr>
          <w:noProof/>
        </w:rPr>
        <w:drawing>
          <wp:inline distT="0" distB="0" distL="0" distR="0">
            <wp:extent cx="5466080" cy="8229600"/>
            <wp:effectExtent l="19050" t="19050" r="2032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66080" cy="8229600"/>
                    </a:xfrm>
                    <a:prstGeom prst="rect">
                      <a:avLst/>
                    </a:prstGeom>
                    <a:noFill/>
                    <a:ln w="3175">
                      <a:solidFill>
                        <a:schemeClr val="tx1"/>
                      </a:solidFill>
                    </a:ln>
                  </pic:spPr>
                </pic:pic>
              </a:graphicData>
            </a:graphic>
          </wp:inline>
        </w:drawing>
      </w:r>
    </w:p>
    <w:p w:rsidR="00E55761" w:rsidP="00E55761" w14:paraId="78398429" w14:textId="09BEE67A">
      <w:pPr>
        <w:widowControl/>
        <w:tabs>
          <w:tab w:val="left" w:pos="3948"/>
        </w:tabs>
        <w:autoSpaceDE/>
        <w:autoSpaceDN/>
        <w:adjustRightInd/>
        <w:rPr>
          <w:b/>
        </w:rPr>
      </w:pPr>
    </w:p>
    <w:p w:rsidR="00E84EBD" w:rsidP="00E55761" w14:paraId="48965D29" w14:textId="5C473D70">
      <w:pPr>
        <w:widowControl/>
        <w:tabs>
          <w:tab w:val="left" w:pos="3948"/>
        </w:tabs>
        <w:autoSpaceDE/>
        <w:autoSpaceDN/>
        <w:adjustRightInd/>
        <w:rPr>
          <w:b/>
        </w:rPr>
      </w:pPr>
    </w:p>
    <w:p w:rsidR="00E55761" w:rsidP="00E55761" w14:paraId="1FD7C924" w14:textId="273BF005">
      <w:pPr>
        <w:widowControl/>
        <w:tabs>
          <w:tab w:val="left" w:pos="3948"/>
        </w:tabs>
        <w:autoSpaceDE/>
        <w:autoSpaceDN/>
        <w:adjustRightInd/>
        <w:rPr>
          <w:b/>
        </w:rPr>
      </w:pPr>
      <w:r w:rsidRPr="007B566D">
        <w:rPr>
          <w:noProof/>
        </w:rPr>
        <w:drawing>
          <wp:inline distT="0" distB="0" distL="0" distR="0">
            <wp:extent cx="6035040" cy="1809115"/>
            <wp:effectExtent l="0" t="0" r="381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5040" cy="1809115"/>
                    </a:xfrm>
                    <a:prstGeom prst="rect">
                      <a:avLst/>
                    </a:prstGeom>
                    <a:noFill/>
                    <a:ln>
                      <a:noFill/>
                    </a:ln>
                  </pic:spPr>
                </pic:pic>
              </a:graphicData>
            </a:graphic>
          </wp:inline>
        </w:drawing>
      </w:r>
    </w:p>
    <w:p w:rsidR="00E55761" w:rsidP="00E55761" w14:paraId="18B66480" w14:textId="5DDEF67D">
      <w:pPr>
        <w:widowControl/>
        <w:tabs>
          <w:tab w:val="left" w:pos="3948"/>
        </w:tabs>
        <w:autoSpaceDE/>
        <w:autoSpaceDN/>
        <w:adjustRightInd/>
        <w:rPr>
          <w:b/>
        </w:rPr>
      </w:pPr>
    </w:p>
    <w:p w:rsidR="00E55761" w:rsidP="00E55761" w14:paraId="5D3DFD98" w14:textId="2E368E1B">
      <w:pPr>
        <w:widowControl/>
        <w:tabs>
          <w:tab w:val="left" w:pos="3948"/>
        </w:tabs>
        <w:autoSpaceDE/>
        <w:autoSpaceDN/>
        <w:adjustRightInd/>
        <w:rPr>
          <w:b/>
        </w:rPr>
      </w:pPr>
    </w:p>
    <w:p w:rsidR="00E55761" w:rsidP="00E55761" w14:paraId="7DF66C22" w14:textId="45899B02">
      <w:pPr>
        <w:widowControl/>
        <w:tabs>
          <w:tab w:val="left" w:pos="3948"/>
        </w:tabs>
        <w:autoSpaceDE/>
        <w:autoSpaceDN/>
        <w:adjustRightInd/>
        <w:rPr>
          <w:b/>
        </w:rPr>
      </w:pPr>
    </w:p>
    <w:p w:rsidR="00E55761" w:rsidP="00E55761" w14:paraId="098F90EC" w14:textId="63B75BD0">
      <w:pPr>
        <w:widowControl/>
        <w:tabs>
          <w:tab w:val="left" w:pos="3948"/>
        </w:tabs>
        <w:autoSpaceDE/>
        <w:autoSpaceDN/>
        <w:adjustRightInd/>
        <w:rPr>
          <w:b/>
        </w:rPr>
      </w:pPr>
    </w:p>
    <w:p w:rsidR="00E55761" w:rsidP="00E55761" w14:paraId="0C4A2F9B" w14:textId="1510F626">
      <w:pPr>
        <w:widowControl/>
        <w:tabs>
          <w:tab w:val="left" w:pos="3948"/>
        </w:tabs>
        <w:autoSpaceDE/>
        <w:autoSpaceDN/>
        <w:adjustRightInd/>
        <w:rPr>
          <w:b/>
        </w:rPr>
      </w:pPr>
    </w:p>
    <w:p w:rsidR="00E55761" w:rsidP="00E55761" w14:paraId="46BFC30E" w14:textId="45AAD337">
      <w:pPr>
        <w:widowControl/>
        <w:tabs>
          <w:tab w:val="left" w:pos="3948"/>
        </w:tabs>
        <w:autoSpaceDE/>
        <w:autoSpaceDN/>
        <w:adjustRightInd/>
        <w:rPr>
          <w:b/>
        </w:rPr>
      </w:pPr>
    </w:p>
    <w:p w:rsidR="00E55761" w:rsidP="00E55761" w14:paraId="4575CABC" w14:textId="52EF5B66">
      <w:pPr>
        <w:widowControl/>
        <w:tabs>
          <w:tab w:val="left" w:pos="3948"/>
        </w:tabs>
        <w:autoSpaceDE/>
        <w:autoSpaceDN/>
        <w:adjustRightInd/>
        <w:rPr>
          <w:b/>
        </w:rPr>
      </w:pPr>
    </w:p>
    <w:p w:rsidR="00E55761" w:rsidP="00E55761" w14:paraId="43922E5F" w14:textId="5A09D5F1">
      <w:pPr>
        <w:widowControl/>
        <w:tabs>
          <w:tab w:val="left" w:pos="3948"/>
        </w:tabs>
        <w:autoSpaceDE/>
        <w:autoSpaceDN/>
        <w:adjustRightInd/>
        <w:rPr>
          <w:b/>
        </w:rPr>
      </w:pPr>
    </w:p>
    <w:p w:rsidR="00E55761" w:rsidP="00E55761" w14:paraId="466159D0" w14:textId="1FBF638C">
      <w:pPr>
        <w:widowControl/>
        <w:tabs>
          <w:tab w:val="left" w:pos="3948"/>
        </w:tabs>
        <w:autoSpaceDE/>
        <w:autoSpaceDN/>
        <w:adjustRightInd/>
        <w:rPr>
          <w:b/>
        </w:rPr>
      </w:pPr>
    </w:p>
    <w:p w:rsidR="00E55761" w:rsidP="00E55761" w14:paraId="0C5AA351" w14:textId="0C380969">
      <w:pPr>
        <w:widowControl/>
        <w:tabs>
          <w:tab w:val="left" w:pos="3948"/>
        </w:tabs>
        <w:autoSpaceDE/>
        <w:autoSpaceDN/>
        <w:adjustRightInd/>
        <w:rPr>
          <w:b/>
        </w:rPr>
      </w:pPr>
    </w:p>
    <w:p w:rsidR="00E55761" w:rsidP="00E55761" w14:paraId="5CCDB059" w14:textId="59F330CE">
      <w:pPr>
        <w:widowControl/>
        <w:tabs>
          <w:tab w:val="left" w:pos="3948"/>
        </w:tabs>
        <w:autoSpaceDE/>
        <w:autoSpaceDN/>
        <w:adjustRightInd/>
        <w:rPr>
          <w:b/>
        </w:rPr>
      </w:pPr>
    </w:p>
    <w:p w:rsidR="00E55761" w:rsidP="00E55761" w14:paraId="61A42CF2" w14:textId="0BED5A34">
      <w:pPr>
        <w:widowControl/>
        <w:tabs>
          <w:tab w:val="left" w:pos="3948"/>
        </w:tabs>
        <w:autoSpaceDE/>
        <w:autoSpaceDN/>
        <w:adjustRightInd/>
        <w:rPr>
          <w:b/>
        </w:rPr>
      </w:pPr>
    </w:p>
    <w:p w:rsidR="009F7AB1" w:rsidP="00E55761" w14:paraId="2BAA3158" w14:textId="16A3B013">
      <w:pPr>
        <w:widowControl/>
        <w:tabs>
          <w:tab w:val="left" w:pos="3948"/>
        </w:tabs>
        <w:autoSpaceDE/>
        <w:autoSpaceDN/>
        <w:adjustRightInd/>
        <w:rPr>
          <w:b/>
        </w:rPr>
      </w:pPr>
    </w:p>
    <w:p w:rsidR="009F7AB1" w:rsidP="00E55761" w14:paraId="20A68D3D" w14:textId="308529D0">
      <w:pPr>
        <w:widowControl/>
        <w:tabs>
          <w:tab w:val="left" w:pos="3948"/>
        </w:tabs>
        <w:autoSpaceDE/>
        <w:autoSpaceDN/>
        <w:adjustRightInd/>
        <w:rPr>
          <w:b/>
        </w:rPr>
      </w:pPr>
    </w:p>
    <w:p w:rsidR="009F7AB1" w:rsidP="00E55761" w14:paraId="7FA1E36E" w14:textId="009EEF1F">
      <w:pPr>
        <w:widowControl/>
        <w:tabs>
          <w:tab w:val="left" w:pos="3948"/>
        </w:tabs>
        <w:autoSpaceDE/>
        <w:autoSpaceDN/>
        <w:adjustRightInd/>
        <w:rPr>
          <w:b/>
        </w:rPr>
      </w:pPr>
    </w:p>
    <w:p w:rsidR="009F7AB1" w:rsidP="00E55761" w14:paraId="6C482AFC" w14:textId="27A604A1">
      <w:pPr>
        <w:widowControl/>
        <w:tabs>
          <w:tab w:val="left" w:pos="3948"/>
        </w:tabs>
        <w:autoSpaceDE/>
        <w:autoSpaceDN/>
        <w:adjustRightInd/>
        <w:rPr>
          <w:b/>
        </w:rPr>
      </w:pPr>
    </w:p>
    <w:p w:rsidR="009F7AB1" w:rsidP="00E55761" w14:paraId="270C55E7" w14:textId="1F48485A">
      <w:pPr>
        <w:widowControl/>
        <w:tabs>
          <w:tab w:val="left" w:pos="3948"/>
        </w:tabs>
        <w:autoSpaceDE/>
        <w:autoSpaceDN/>
        <w:adjustRightInd/>
        <w:rPr>
          <w:b/>
        </w:rPr>
      </w:pPr>
    </w:p>
    <w:p w:rsidR="009F7AB1" w:rsidP="00E55761" w14:paraId="330C5879" w14:textId="7BAAE123">
      <w:pPr>
        <w:widowControl/>
        <w:tabs>
          <w:tab w:val="left" w:pos="3948"/>
        </w:tabs>
        <w:autoSpaceDE/>
        <w:autoSpaceDN/>
        <w:adjustRightInd/>
        <w:rPr>
          <w:b/>
        </w:rPr>
      </w:pPr>
    </w:p>
    <w:p w:rsidR="009F7AB1" w:rsidP="00E55761" w14:paraId="658BEAFB" w14:textId="43C29558">
      <w:pPr>
        <w:widowControl/>
        <w:tabs>
          <w:tab w:val="left" w:pos="3948"/>
        </w:tabs>
        <w:autoSpaceDE/>
        <w:autoSpaceDN/>
        <w:adjustRightInd/>
        <w:rPr>
          <w:b/>
        </w:rPr>
      </w:pPr>
    </w:p>
    <w:p w:rsidR="009F7AB1" w:rsidP="00E55761" w14:paraId="1AE83BF8" w14:textId="5A515B41">
      <w:pPr>
        <w:widowControl/>
        <w:tabs>
          <w:tab w:val="left" w:pos="3948"/>
        </w:tabs>
        <w:autoSpaceDE/>
        <w:autoSpaceDN/>
        <w:adjustRightInd/>
        <w:rPr>
          <w:b/>
        </w:rPr>
      </w:pPr>
    </w:p>
    <w:p w:rsidR="009F7AB1" w:rsidP="00E55761" w14:paraId="7E26B55C" w14:textId="2E088814">
      <w:pPr>
        <w:widowControl/>
        <w:tabs>
          <w:tab w:val="left" w:pos="3948"/>
        </w:tabs>
        <w:autoSpaceDE/>
        <w:autoSpaceDN/>
        <w:adjustRightInd/>
        <w:rPr>
          <w:b/>
        </w:rPr>
      </w:pPr>
    </w:p>
    <w:p w:rsidR="009F7AB1" w:rsidP="00E55761" w14:paraId="18593246" w14:textId="30EA5417">
      <w:pPr>
        <w:widowControl/>
        <w:tabs>
          <w:tab w:val="left" w:pos="3948"/>
        </w:tabs>
        <w:autoSpaceDE/>
        <w:autoSpaceDN/>
        <w:adjustRightInd/>
        <w:rPr>
          <w:b/>
        </w:rPr>
      </w:pPr>
    </w:p>
    <w:p w:rsidR="009F7AB1" w:rsidP="00E55761" w14:paraId="28A8B3B9" w14:textId="6B0390FA">
      <w:pPr>
        <w:widowControl/>
        <w:tabs>
          <w:tab w:val="left" w:pos="3948"/>
        </w:tabs>
        <w:autoSpaceDE/>
        <w:autoSpaceDN/>
        <w:adjustRightInd/>
        <w:rPr>
          <w:b/>
        </w:rPr>
      </w:pPr>
    </w:p>
    <w:p w:rsidR="009F7AB1" w:rsidP="00E55761" w14:paraId="02DDBFAF" w14:textId="100F4F9B">
      <w:pPr>
        <w:widowControl/>
        <w:tabs>
          <w:tab w:val="left" w:pos="3948"/>
        </w:tabs>
        <w:autoSpaceDE/>
        <w:autoSpaceDN/>
        <w:adjustRightInd/>
        <w:rPr>
          <w:b/>
        </w:rPr>
      </w:pPr>
    </w:p>
    <w:p w:rsidR="009F7AB1" w:rsidP="00E55761" w14:paraId="366D952C" w14:textId="25009BBE">
      <w:pPr>
        <w:widowControl/>
        <w:tabs>
          <w:tab w:val="left" w:pos="3948"/>
        </w:tabs>
        <w:autoSpaceDE/>
        <w:autoSpaceDN/>
        <w:adjustRightInd/>
        <w:rPr>
          <w:b/>
        </w:rPr>
      </w:pPr>
    </w:p>
    <w:p w:rsidR="009F7AB1" w:rsidP="00E55761" w14:paraId="23638AF0" w14:textId="3CD5D488">
      <w:pPr>
        <w:widowControl/>
        <w:tabs>
          <w:tab w:val="left" w:pos="3948"/>
        </w:tabs>
        <w:autoSpaceDE/>
        <w:autoSpaceDN/>
        <w:adjustRightInd/>
        <w:rPr>
          <w:b/>
        </w:rPr>
      </w:pPr>
    </w:p>
    <w:p w:rsidR="009F7AB1" w:rsidP="00E55761" w14:paraId="724739D9" w14:textId="31832EDF">
      <w:pPr>
        <w:widowControl/>
        <w:tabs>
          <w:tab w:val="left" w:pos="3948"/>
        </w:tabs>
        <w:autoSpaceDE/>
        <w:autoSpaceDN/>
        <w:adjustRightInd/>
        <w:rPr>
          <w:b/>
        </w:rPr>
      </w:pPr>
    </w:p>
    <w:p w:rsidR="009F7AB1" w:rsidP="00E55761" w14:paraId="10A9F05D" w14:textId="77777777">
      <w:pPr>
        <w:widowControl/>
        <w:tabs>
          <w:tab w:val="left" w:pos="3948"/>
        </w:tabs>
        <w:autoSpaceDE/>
        <w:autoSpaceDN/>
        <w:adjustRightInd/>
        <w:rPr>
          <w:b/>
        </w:rPr>
      </w:pPr>
    </w:p>
    <w:p w:rsidR="00E55761" w:rsidP="00E55761" w14:paraId="7980C978" w14:textId="5CBE0AAF">
      <w:pPr>
        <w:widowControl/>
        <w:tabs>
          <w:tab w:val="left" w:pos="3948"/>
        </w:tabs>
        <w:autoSpaceDE/>
        <w:autoSpaceDN/>
        <w:adjustRightInd/>
        <w:rPr>
          <w:b/>
        </w:rPr>
      </w:pPr>
    </w:p>
    <w:p w:rsidR="00E55761" w:rsidP="00E55761" w14:paraId="01ACD2CA" w14:textId="5E1F427B">
      <w:pPr>
        <w:widowControl/>
        <w:tabs>
          <w:tab w:val="left" w:pos="3948"/>
        </w:tabs>
        <w:autoSpaceDE/>
        <w:autoSpaceDN/>
        <w:adjustRightInd/>
        <w:rPr>
          <w:b/>
        </w:rPr>
      </w:pPr>
    </w:p>
    <w:p w:rsidR="00E55761" w:rsidP="00E55761" w14:paraId="774E5141" w14:textId="11550B20">
      <w:pPr>
        <w:widowControl/>
        <w:tabs>
          <w:tab w:val="left" w:pos="3948"/>
        </w:tabs>
        <w:autoSpaceDE/>
        <w:autoSpaceDN/>
        <w:adjustRightInd/>
        <w:rPr>
          <w:b/>
        </w:rPr>
      </w:pPr>
    </w:p>
    <w:p w:rsidR="00294002" w:rsidP="00E55761" w14:paraId="1B056AC4" w14:textId="77777777">
      <w:pPr>
        <w:widowControl/>
        <w:tabs>
          <w:tab w:val="left" w:pos="3948"/>
        </w:tabs>
        <w:autoSpaceDE/>
        <w:autoSpaceDN/>
        <w:adjustRightInd/>
        <w:rPr>
          <w:b/>
        </w:rPr>
      </w:pPr>
    </w:p>
    <w:p w:rsidR="005A015C" w:rsidP="00AA1C8F" w14:paraId="3CAA6907" w14:textId="06989781">
      <w:pPr>
        <w:widowControl/>
        <w:jc w:val="center"/>
      </w:pPr>
    </w:p>
    <w:p w:rsidR="00694709" w:rsidP="00AA1C8F" w14:paraId="2B2A72A2" w14:textId="08F3A5E7">
      <w:pPr>
        <w:widowControl/>
        <w:jc w:val="center"/>
      </w:pPr>
    </w:p>
    <w:p w:rsidR="00694709" w:rsidP="00AA1C8F" w14:paraId="06303F7A" w14:textId="5784E32B">
      <w:pPr>
        <w:widowControl/>
        <w:jc w:val="center"/>
      </w:pPr>
    </w:p>
    <w:p w:rsidR="00E726F4" w:rsidP="00AA1C8F" w14:paraId="617FB7F7" w14:textId="020C595D">
      <w:pPr>
        <w:widowControl/>
        <w:jc w:val="center"/>
        <w:rPr>
          <w:b/>
        </w:rPr>
      </w:pPr>
    </w:p>
    <w:p w:rsidR="005A015C" w14:paraId="1F325BDD" w14:textId="26F8F147">
      <w:pPr>
        <w:widowControl/>
        <w:autoSpaceDE/>
        <w:autoSpaceDN/>
        <w:adjustRightInd/>
        <w:rPr>
          <w:b/>
        </w:rPr>
      </w:pPr>
      <w:r>
        <w:rPr>
          <w:b/>
        </w:rPr>
        <w:br w:type="page"/>
      </w:r>
    </w:p>
    <w:p w:rsidR="00E01C14" w:rsidP="00AA1C8F" w14:paraId="7EF767A8" w14:textId="40097E25">
      <w:pPr>
        <w:widowControl/>
        <w:jc w:val="center"/>
      </w:pPr>
    </w:p>
    <w:p w:rsidR="009F7AB1" w:rsidP="00AA1C8F" w14:paraId="473937CB" w14:textId="6C57E7E3">
      <w:pPr>
        <w:widowControl/>
        <w:jc w:val="center"/>
        <w:rPr>
          <w:b/>
        </w:rPr>
      </w:pPr>
      <w:r w:rsidRPr="00751C65">
        <w:rPr>
          <w:noProof/>
        </w:rPr>
        <w:drawing>
          <wp:inline distT="0" distB="0" distL="0" distR="0">
            <wp:extent cx="6035040" cy="271145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5040" cy="2711450"/>
                    </a:xfrm>
                    <a:prstGeom prst="rect">
                      <a:avLst/>
                    </a:prstGeom>
                    <a:noFill/>
                    <a:ln>
                      <a:noFill/>
                    </a:ln>
                  </pic:spPr>
                </pic:pic>
              </a:graphicData>
            </a:graphic>
          </wp:inline>
        </w:drawing>
      </w:r>
    </w:p>
    <w:p w:rsidR="009427B6" w:rsidP="00AA1C8F" w14:paraId="55DE2702" w14:textId="77777777">
      <w:pPr>
        <w:widowControl/>
        <w:jc w:val="center"/>
        <w:rPr>
          <w:b/>
        </w:rPr>
      </w:pPr>
    </w:p>
    <w:p w:rsidR="00B730B5" w:rsidP="00AA1C8F" w14:paraId="2A9E68CF" w14:textId="7400746D">
      <w:pPr>
        <w:widowControl/>
        <w:jc w:val="center"/>
        <w:rPr>
          <w:noProof/>
        </w:rPr>
      </w:pPr>
    </w:p>
    <w:p w:rsidR="00DA0814" w:rsidP="00AA1C8F" w14:paraId="507F6605" w14:textId="44D64EAB">
      <w:pPr>
        <w:widowControl/>
        <w:jc w:val="center"/>
        <w:rPr>
          <w:b/>
        </w:rPr>
      </w:pPr>
    </w:p>
    <w:p w:rsidR="00E529AD" w:rsidP="00AA1C8F" w14:paraId="1578C1DA" w14:textId="428F6572">
      <w:pPr>
        <w:widowControl/>
        <w:jc w:val="center"/>
        <w:rPr>
          <w:b/>
        </w:rPr>
      </w:pPr>
      <w:r w:rsidRPr="00751C65">
        <w:rPr>
          <w:noProof/>
        </w:rPr>
        <w:drawing>
          <wp:inline distT="0" distB="0" distL="0" distR="0">
            <wp:extent cx="6035040" cy="280606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5040" cy="2806065"/>
                    </a:xfrm>
                    <a:prstGeom prst="rect">
                      <a:avLst/>
                    </a:prstGeom>
                    <a:noFill/>
                    <a:ln>
                      <a:noFill/>
                    </a:ln>
                  </pic:spPr>
                </pic:pic>
              </a:graphicData>
            </a:graphic>
          </wp:inline>
        </w:drawing>
      </w:r>
    </w:p>
    <w:p w:rsidR="00B730B5" w:rsidP="00AA1C8F" w14:paraId="5D2FA522" w14:textId="77777777">
      <w:pPr>
        <w:widowControl/>
        <w:jc w:val="center"/>
        <w:rPr>
          <w:b/>
        </w:rPr>
      </w:pPr>
    </w:p>
    <w:p w:rsidR="00B730B5" w:rsidP="00AA1C8F" w14:paraId="0FD7FCC8" w14:textId="29D8E8FA">
      <w:pPr>
        <w:widowControl/>
        <w:jc w:val="center"/>
        <w:rPr>
          <w:b/>
        </w:rPr>
      </w:pPr>
      <w:r w:rsidRPr="00751C65">
        <w:rPr>
          <w:noProof/>
        </w:rPr>
        <w:drawing>
          <wp:inline distT="0" distB="0" distL="0" distR="0">
            <wp:extent cx="6035040" cy="2818765"/>
            <wp:effectExtent l="0" t="0" r="381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5040" cy="2818765"/>
                    </a:xfrm>
                    <a:prstGeom prst="rect">
                      <a:avLst/>
                    </a:prstGeom>
                    <a:noFill/>
                    <a:ln>
                      <a:noFill/>
                    </a:ln>
                  </pic:spPr>
                </pic:pic>
              </a:graphicData>
            </a:graphic>
          </wp:inline>
        </w:drawing>
      </w:r>
    </w:p>
    <w:p w:rsidR="00B730B5" w:rsidP="00AA1C8F" w14:paraId="068471B4" w14:textId="77777777">
      <w:pPr>
        <w:widowControl/>
        <w:jc w:val="center"/>
        <w:rPr>
          <w:b/>
        </w:rPr>
      </w:pPr>
    </w:p>
    <w:p w:rsidR="00B730B5" w:rsidP="00AA1C8F" w14:paraId="122178F6" w14:textId="6B040F95">
      <w:pPr>
        <w:widowControl/>
        <w:jc w:val="center"/>
        <w:rPr>
          <w:b/>
        </w:rPr>
      </w:pPr>
    </w:p>
    <w:p w:rsidR="00E529AD" w:rsidP="00AA1C8F" w14:paraId="15D6AA1D" w14:textId="77777777">
      <w:pPr>
        <w:widowControl/>
        <w:jc w:val="center"/>
        <w:rPr>
          <w:b/>
        </w:rPr>
      </w:pPr>
    </w:p>
    <w:p w:rsidR="00E529AD" w:rsidP="00AA1C8F" w14:paraId="2C371E75" w14:textId="2A6CEA71">
      <w:pPr>
        <w:widowControl/>
        <w:jc w:val="center"/>
        <w:rPr>
          <w:b/>
        </w:rPr>
      </w:pPr>
      <w:r w:rsidRPr="00E529AD">
        <w:rPr>
          <w:noProof/>
        </w:rPr>
        <w:drawing>
          <wp:inline distT="0" distB="0" distL="0" distR="0">
            <wp:extent cx="6035040" cy="154432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5040" cy="1544320"/>
                    </a:xfrm>
                    <a:prstGeom prst="rect">
                      <a:avLst/>
                    </a:prstGeom>
                    <a:noFill/>
                    <a:ln>
                      <a:noFill/>
                    </a:ln>
                  </pic:spPr>
                </pic:pic>
              </a:graphicData>
            </a:graphic>
          </wp:inline>
        </w:drawing>
      </w:r>
    </w:p>
    <w:p w:rsidR="00B730B5" w:rsidP="00AA1C8F" w14:paraId="7BA0A255" w14:textId="6D1BB60E">
      <w:pPr>
        <w:widowControl/>
        <w:jc w:val="center"/>
        <w:rPr>
          <w:b/>
        </w:rPr>
        <w:sectPr w:rsidSect="00A82BE6">
          <w:headerReference w:type="default" r:id="rId14"/>
          <w:footerReference w:type="default" r:id="rId15"/>
          <w:headerReference w:type="first" r:id="rId16"/>
          <w:footerReference w:type="first" r:id="rId17"/>
          <w:endnotePr>
            <w:numFmt w:val="decimal"/>
          </w:endnotePr>
          <w:pgSz w:w="12240" w:h="15840" w:code="1"/>
          <w:pgMar w:top="1440" w:right="1440" w:bottom="1440" w:left="1296" w:header="720" w:footer="720" w:gutter="0"/>
          <w:cols w:space="720"/>
          <w:titlePg/>
          <w:docGrid w:linePitch="272"/>
        </w:sectPr>
      </w:pPr>
    </w:p>
    <w:p w:rsidR="00A626A6" w:rsidRPr="0090708B" w:rsidP="00A626A6" w14:paraId="07060EC0" w14:textId="0E16E28C">
      <w:pPr>
        <w:pStyle w:val="Heading2"/>
      </w:pPr>
      <w:r w:rsidRPr="0090708B">
        <w:t xml:space="preserve">Appendix </w:t>
      </w:r>
      <w:r>
        <w:t>A</w:t>
      </w:r>
    </w:p>
    <w:p w:rsidR="00103605" w:rsidP="00103605" w14:paraId="4F5DAA08" w14:textId="77777777">
      <w:pPr>
        <w:widowControl/>
        <w:jc w:val="center"/>
        <w:rPr>
          <w:b/>
          <w:sz w:val="24"/>
        </w:rPr>
      </w:pPr>
    </w:p>
    <w:p w:rsidR="00103605" w:rsidP="00103605" w14:paraId="24FF198A" w14:textId="6536FB27">
      <w:pPr>
        <w:widowControl/>
        <w:jc w:val="center"/>
        <w:rPr>
          <w:b/>
          <w:sz w:val="24"/>
          <w:szCs w:val="24"/>
        </w:rPr>
      </w:pPr>
      <w:r w:rsidRPr="0090708B">
        <w:rPr>
          <w:b/>
          <w:sz w:val="24"/>
          <w:szCs w:val="24"/>
        </w:rPr>
        <w:t xml:space="preserve">Estimate of New Sources Affected for purposes of the Information Collection Request under the </w:t>
      </w:r>
      <w:r w:rsidR="00FE2E8C">
        <w:rPr>
          <w:b/>
          <w:sz w:val="24"/>
          <w:szCs w:val="24"/>
        </w:rPr>
        <w:t>Proposed</w:t>
      </w:r>
      <w:r w:rsidRPr="0090708B">
        <w:rPr>
          <w:b/>
          <w:sz w:val="24"/>
          <w:szCs w:val="24"/>
        </w:rPr>
        <w:t xml:space="preserve"> to 40 CFR </w:t>
      </w:r>
      <w:r w:rsidR="000713A9">
        <w:rPr>
          <w:b/>
          <w:sz w:val="24"/>
          <w:szCs w:val="24"/>
        </w:rPr>
        <w:t>p</w:t>
      </w:r>
      <w:r w:rsidRPr="0090708B">
        <w:rPr>
          <w:b/>
          <w:sz w:val="24"/>
          <w:szCs w:val="24"/>
        </w:rPr>
        <w:t xml:space="preserve">art 60, </w:t>
      </w:r>
      <w:r w:rsidR="000713A9">
        <w:rPr>
          <w:b/>
          <w:sz w:val="24"/>
          <w:szCs w:val="24"/>
        </w:rPr>
        <w:t>s</w:t>
      </w:r>
      <w:r w:rsidRPr="0090708B">
        <w:rPr>
          <w:b/>
          <w:sz w:val="24"/>
          <w:szCs w:val="24"/>
        </w:rPr>
        <w:t xml:space="preserve">ubpart </w:t>
      </w:r>
      <w:r w:rsidRPr="0090708B">
        <w:rPr>
          <w:b/>
          <w:sz w:val="24"/>
          <w:szCs w:val="24"/>
        </w:rPr>
        <w:t>OOOO</w:t>
      </w:r>
      <w:r w:rsidR="00F01CAA">
        <w:rPr>
          <w:b/>
          <w:sz w:val="24"/>
          <w:szCs w:val="24"/>
        </w:rPr>
        <w:t>b</w:t>
      </w:r>
      <w:r w:rsidRPr="0090708B">
        <w:rPr>
          <w:b/>
          <w:sz w:val="24"/>
          <w:szCs w:val="24"/>
        </w:rPr>
        <w:t>.</w:t>
      </w:r>
    </w:p>
    <w:p w:rsidR="00A626A6" w:rsidP="00103605" w14:paraId="3741DAD9" w14:textId="77777777">
      <w:pPr>
        <w:widowControl/>
        <w:jc w:val="center"/>
        <w:rPr>
          <w:b/>
          <w:sz w:val="24"/>
          <w:szCs w:val="24"/>
        </w:rPr>
      </w:pPr>
    </w:p>
    <w:p w:rsidR="00293331" w:rsidP="00564BA6" w14:paraId="63C365E7" w14:textId="77777777">
      <w:pPr>
        <w:keepNext/>
        <w:widowControl/>
        <w:autoSpaceDE/>
        <w:autoSpaceDN/>
        <w:adjustRightInd/>
        <w:rPr>
          <w:b/>
          <w:sz w:val="24"/>
          <w:szCs w:val="24"/>
        </w:rPr>
      </w:pPr>
    </w:p>
    <w:p w:rsidR="007728DD" w:rsidP="00FD0950" w14:paraId="2A9A8A37" w14:textId="796DCC6A">
      <w:pPr>
        <w:keepNext/>
        <w:widowControl/>
        <w:autoSpaceDE/>
        <w:autoSpaceDN/>
        <w:adjustRightInd/>
        <w:jc w:val="center"/>
        <w:rPr>
          <w:b/>
          <w:sz w:val="24"/>
          <w:szCs w:val="24"/>
        </w:rPr>
        <w:sectPr w:rsidSect="00F84D8C">
          <w:footerReference w:type="first" r:id="rId18"/>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r w:rsidRPr="00FD0950">
        <w:rPr>
          <w:noProof/>
        </w:rPr>
        <w:drawing>
          <wp:inline distT="0" distB="0" distL="0" distR="0">
            <wp:extent cx="4931410" cy="2634615"/>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931410" cy="2634615"/>
                    </a:xfrm>
                    <a:prstGeom prst="rect">
                      <a:avLst/>
                    </a:prstGeom>
                    <a:noFill/>
                    <a:ln>
                      <a:noFill/>
                    </a:ln>
                  </pic:spPr>
                </pic:pic>
              </a:graphicData>
            </a:graphic>
          </wp:inline>
        </w:drawing>
      </w:r>
    </w:p>
    <w:p w:rsidR="00B54F17" w:rsidRPr="0090708B" w:rsidP="00B54F17" w14:paraId="745CF6D5" w14:textId="1114965E">
      <w:pPr>
        <w:pStyle w:val="Heading2"/>
      </w:pPr>
      <w:r w:rsidRPr="0090708B">
        <w:t xml:space="preserve">Appendix </w:t>
      </w:r>
      <w:r w:rsidR="00A626A6">
        <w:t>B</w:t>
      </w:r>
    </w:p>
    <w:p w:rsidR="00B54F17" w:rsidP="00B54F17" w14:paraId="2D765007" w14:textId="77777777">
      <w:pPr>
        <w:widowControl/>
        <w:jc w:val="center"/>
        <w:rPr>
          <w:b/>
          <w:sz w:val="24"/>
        </w:rPr>
      </w:pPr>
    </w:p>
    <w:p w:rsidR="00BE4154" w:rsidP="00BA4694" w14:paraId="0CB1D1EE" w14:textId="31B57BBD">
      <w:pPr>
        <w:widowControl/>
        <w:autoSpaceDE/>
        <w:autoSpaceDN/>
        <w:adjustRightInd/>
        <w:spacing w:line="480" w:lineRule="auto"/>
        <w:jc w:val="center"/>
        <w:rPr>
          <w:b/>
          <w:sz w:val="24"/>
          <w:szCs w:val="24"/>
        </w:rPr>
      </w:pPr>
      <w:r>
        <w:rPr>
          <w:b/>
          <w:sz w:val="24"/>
          <w:szCs w:val="24"/>
        </w:rPr>
        <w:t>EPA’s Compliance and Emissions Data Reporting (CEDRI) Interface</w:t>
      </w:r>
      <w:r>
        <w:rPr>
          <w:noProof/>
        </w:rPr>
        <w:drawing>
          <wp:inline distT="0" distB="0" distL="0" distR="0">
            <wp:extent cx="6035040" cy="2508885"/>
            <wp:effectExtent l="0" t="0" r="381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5040" cy="2508885"/>
                    </a:xfrm>
                    <a:prstGeom prst="rect">
                      <a:avLst/>
                    </a:prstGeom>
                    <a:noFill/>
                    <a:ln>
                      <a:noFill/>
                    </a:ln>
                  </pic:spPr>
                </pic:pic>
              </a:graphicData>
            </a:graphic>
          </wp:inline>
        </w:drawing>
      </w:r>
    </w:p>
    <w:p w:rsidR="009A5038" w:rsidP="00EA728D" w14:paraId="52F4CC10" w14:textId="77777777">
      <w:pPr>
        <w:keepNext/>
        <w:widowControl/>
        <w:autoSpaceDE/>
        <w:autoSpaceDN/>
        <w:adjustRightInd/>
        <w:jc w:val="center"/>
        <w:rPr>
          <w:b/>
          <w:sz w:val="24"/>
          <w:szCs w:val="24"/>
        </w:rPr>
        <w:sectPr w:rsidSect="00293331">
          <w:footerReference w:type="first" r:id="rId21"/>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r>
        <w:rPr>
          <w:noProof/>
        </w:rPr>
        <w:drawing>
          <wp:inline distT="0" distB="0" distL="0" distR="0">
            <wp:extent cx="6035040" cy="3498215"/>
            <wp:effectExtent l="0" t="0" r="381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5040" cy="3498215"/>
                    </a:xfrm>
                    <a:prstGeom prst="rect">
                      <a:avLst/>
                    </a:prstGeom>
                    <a:noFill/>
                    <a:ln>
                      <a:noFill/>
                    </a:ln>
                  </pic:spPr>
                </pic:pic>
              </a:graphicData>
            </a:graphic>
          </wp:inline>
        </w:drawing>
      </w:r>
    </w:p>
    <w:p w:rsidR="00BE4154" w:rsidP="00EA728D" w14:paraId="569D54D1" w14:textId="71586F48">
      <w:pPr>
        <w:keepNext/>
        <w:widowControl/>
        <w:autoSpaceDE/>
        <w:autoSpaceDN/>
        <w:adjustRightInd/>
        <w:jc w:val="center"/>
        <w:rPr>
          <w:b/>
          <w:sz w:val="24"/>
          <w:szCs w:val="24"/>
        </w:rPr>
      </w:pPr>
    </w:p>
    <w:p w:rsidR="00383261" w:rsidRPr="0090708B" w:rsidP="00383261" w14:paraId="10E42937" w14:textId="25191CF0">
      <w:pPr>
        <w:pStyle w:val="Heading2"/>
      </w:pPr>
      <w:r>
        <w:t>A</w:t>
      </w:r>
      <w:r w:rsidRPr="0090708B">
        <w:t xml:space="preserve">ppendix </w:t>
      </w:r>
      <w:r w:rsidR="00A626A6">
        <w:t>C</w:t>
      </w:r>
    </w:p>
    <w:p w:rsidR="00383261" w:rsidP="00383261" w14:paraId="1C0DCF7E" w14:textId="77777777">
      <w:pPr>
        <w:widowControl/>
        <w:jc w:val="center"/>
        <w:rPr>
          <w:b/>
          <w:sz w:val="24"/>
        </w:rPr>
      </w:pPr>
    </w:p>
    <w:p w:rsidR="00383261" w:rsidRPr="00EC52DB" w:rsidP="00383261" w14:paraId="58DDC434" w14:textId="17E6BB7E">
      <w:pPr>
        <w:widowControl/>
        <w:autoSpaceDE/>
        <w:autoSpaceDN/>
        <w:adjustRightInd/>
        <w:spacing w:line="480" w:lineRule="auto"/>
        <w:ind w:firstLine="720"/>
        <w:jc w:val="center"/>
        <w:rPr>
          <w:b/>
          <w:bCs/>
          <w:sz w:val="24"/>
          <w:szCs w:val="24"/>
        </w:rPr>
      </w:pPr>
      <w:r w:rsidRPr="00EC52DB">
        <w:rPr>
          <w:b/>
          <w:bCs/>
          <w:sz w:val="24"/>
          <w:szCs w:val="24"/>
        </w:rPr>
        <w:t>Instructions for submitting reports to the EPA via CEDRI per 60.5420</w:t>
      </w:r>
      <w:r w:rsidR="00354D74">
        <w:rPr>
          <w:b/>
          <w:bCs/>
          <w:sz w:val="24"/>
          <w:szCs w:val="24"/>
        </w:rPr>
        <w:t>b(</w:t>
      </w:r>
      <w:r w:rsidRPr="00EC52DB">
        <w:rPr>
          <w:b/>
          <w:bCs/>
          <w:sz w:val="24"/>
          <w:szCs w:val="24"/>
        </w:rPr>
        <w:t>c)(11)</w:t>
      </w:r>
      <w:r>
        <w:rPr>
          <w:b/>
          <w:bCs/>
          <w:sz w:val="24"/>
          <w:szCs w:val="24"/>
        </w:rPr>
        <w:t>:</w:t>
      </w:r>
    </w:p>
    <w:p w:rsidR="00AB3A1A" w:rsidP="00A31073" w14:paraId="68B207DA" w14:textId="56CAD772">
      <w:pPr>
        <w:widowControl/>
        <w:autoSpaceDE/>
        <w:autoSpaceDN/>
        <w:adjustRightInd/>
        <w:spacing w:line="360" w:lineRule="auto"/>
        <w:ind w:firstLine="720"/>
        <w:rPr>
          <w:sz w:val="24"/>
          <w:szCs w:val="24"/>
        </w:rPr>
      </w:pPr>
      <w:r w:rsidRPr="004E6497">
        <w:rPr>
          <w:sz w:val="24"/>
          <w:szCs w:val="24"/>
        </w:rPr>
        <w:t>(11) You must submit reports to the EPA via CEDRI, except as outlined below. (CEDRI can be accessed through the EPA's CDX (</w:t>
      </w:r>
      <w:r w:rsidRPr="004E6497">
        <w:rPr>
          <w:i/>
          <w:sz w:val="24"/>
          <w:szCs w:val="24"/>
        </w:rPr>
        <w:t>https://cdx.epa.gov/</w:t>
      </w:r>
      <w:r w:rsidRPr="004E6497">
        <w:rPr>
          <w:sz w:val="24"/>
          <w:szCs w:val="24"/>
        </w:rPr>
        <w:t>).) The EPA will make all the information submitted through CEDRI available to the public without further notice to you. Do not use CEDRI to submit information you claim as CBI. Anything submitted using CEDRI cannot later be claimed CBI. You must use the appropriate electronic report in CEDRI for this subpart or an alternate electronic file format consistent with the extensible markup language (XML) schema listed on the CEDRI website (</w:t>
      </w:r>
      <w:r w:rsidRPr="004E6497">
        <w:rPr>
          <w:i/>
          <w:iCs/>
          <w:sz w:val="24"/>
          <w:szCs w:val="24"/>
        </w:rPr>
        <w:t>https://www.epa.gov/electronic-reporting-air-emissions/cedri</w:t>
      </w:r>
      <w:r w:rsidRPr="004E6497">
        <w:rPr>
          <w:i/>
          <w:sz w:val="24"/>
          <w:szCs w:val="24"/>
        </w:rPr>
        <w:t>/</w:t>
      </w:r>
      <w:r w:rsidRPr="004E6497">
        <w:rPr>
          <w:sz w:val="24"/>
          <w:szCs w:val="24"/>
        </w:rPr>
        <w:t>). If the reporting form specific to this subpart is not available in CEDRI at the time that the report is due, you must submit the report to the Administrator at the appropriate address listed in §60.4. Once the form has been available in CEDRI for at least 90 calendar days, you must begin submitting all subsequent reports via CEDRI. The reports must be submitted by the deadlines specified in this subpart, regardless of the method in which the reports are submitted. Although we do not expect persons to assert a claim of CBI, if you wish to assert a CBI claim, submit a complete report generated using the appropriate form in CEDRI or an alternate electronic file consistent with the XML schema listed on the EPA’s CEDRI website, including information claimed to be CBI, on a compact disc, flash drive, or other commonly used electronic storage medium to the EPA. The electronic medium shall be clearly marked as CBI and mailed to U.S. EPA/OAQPS/CORE CBI Office, Attention: Group Leader, Fuels and Incineration Group, MD C404-02, 4930 Old Page Rd., Durham, NC 27703. The same file with the CBI omitted shall be submitted to the EPA via CEDRI. All CBI claims must be asserted at the time of submission. Furthermore, under CAA section 114(c), emissions data is not entitled to confidential treatment, and the EPA is required to make emissions data available to the public. Thus, emissions data will not be protected as CBI and will be made publicly available.</w:t>
      </w:r>
    </w:p>
    <w:p w:rsidR="00AB3A1A" w14:paraId="3EB822AE" w14:textId="77777777">
      <w:pPr>
        <w:widowControl/>
        <w:autoSpaceDE/>
        <w:autoSpaceDN/>
        <w:adjustRightInd/>
        <w:rPr>
          <w:sz w:val="24"/>
          <w:szCs w:val="24"/>
        </w:rPr>
      </w:pPr>
      <w:r>
        <w:rPr>
          <w:sz w:val="24"/>
          <w:szCs w:val="24"/>
        </w:rPr>
        <w:br w:type="page"/>
      </w:r>
    </w:p>
    <w:p w:rsidR="00AB3A1A" w:rsidRPr="00F245EA" w:rsidP="00AB3A1A" w14:paraId="39174720" w14:textId="77777777">
      <w:pPr>
        <w:pStyle w:val="Subtitle"/>
        <w:rPr>
          <w:rFonts w:ascii="Times New Roman" w:hAnsi="Times New Roman"/>
          <w:b/>
          <w:bCs/>
          <w:kern w:val="28"/>
          <w:szCs w:val="32"/>
        </w:rPr>
      </w:pPr>
      <w:r w:rsidRPr="00F245EA">
        <w:rPr>
          <w:rFonts w:ascii="Times New Roman" w:hAnsi="Times New Roman"/>
          <w:b/>
          <w:bCs/>
          <w:kern w:val="28"/>
          <w:szCs w:val="32"/>
        </w:rPr>
        <w:t>SUPPORTING STATEMENT</w:t>
      </w:r>
    </w:p>
    <w:p w:rsidR="00AB3A1A" w:rsidRPr="000A065A" w:rsidP="00AB3A1A" w14:paraId="4D106F44" w14:textId="77777777">
      <w:pPr>
        <w:pStyle w:val="Subtitle"/>
        <w:rPr>
          <w:rFonts w:ascii="Times New Roman" w:hAnsi="Times New Roman"/>
          <w:b/>
          <w:bCs/>
          <w:kern w:val="28"/>
          <w:szCs w:val="32"/>
        </w:rPr>
      </w:pPr>
      <w:r w:rsidRPr="000A065A">
        <w:rPr>
          <w:rFonts w:ascii="Times New Roman" w:hAnsi="Times New Roman"/>
          <w:b/>
          <w:bCs/>
          <w:kern w:val="28"/>
          <w:szCs w:val="32"/>
        </w:rPr>
        <w:t>ENVIRONMENTAL PROTECTION AGENCY</w:t>
      </w:r>
    </w:p>
    <w:p w:rsidR="00AB3A1A" w:rsidRPr="00A536E7" w:rsidP="00AB3A1A" w14:paraId="0A8958FA" w14:textId="77777777"/>
    <w:p w:rsidR="00AB3A1A" w:rsidP="00AB3A1A" w14:paraId="5227170E" w14:textId="77777777"/>
    <w:p w:rsidR="00AB3A1A" w:rsidRPr="007D6331" w:rsidP="00AB3A1A" w14:paraId="40AC62AE" w14:textId="77777777">
      <w:pPr>
        <w:spacing w:line="480" w:lineRule="auto"/>
        <w:jc w:val="center"/>
        <w:rPr>
          <w:b/>
          <w:bCs/>
          <w:szCs w:val="24"/>
        </w:rPr>
      </w:pPr>
      <w:r w:rsidRPr="007D6331">
        <w:rPr>
          <w:szCs w:val="24"/>
          <w:lang w:val="en-CA"/>
        </w:rPr>
        <w:fldChar w:fldCharType="begin"/>
      </w:r>
      <w:r w:rsidRPr="007D6331">
        <w:rPr>
          <w:szCs w:val="24"/>
          <w:lang w:val="en-CA"/>
        </w:rPr>
        <w:instrText xml:space="preserve"> SEQ CHAPTER \h \r 1</w:instrText>
      </w:r>
      <w:r w:rsidRPr="007D6331">
        <w:rPr>
          <w:szCs w:val="24"/>
          <w:lang w:val="en-CA"/>
        </w:rPr>
        <w:fldChar w:fldCharType="separate"/>
      </w:r>
      <w:r w:rsidRPr="007D6331">
        <w:rPr>
          <w:szCs w:val="24"/>
          <w:lang w:val="en-CA"/>
        </w:rPr>
        <w:fldChar w:fldCharType="end"/>
      </w:r>
      <w:r w:rsidRPr="007D6331">
        <w:rPr>
          <w:b/>
          <w:bCs/>
          <w:szCs w:val="24"/>
        </w:rPr>
        <w:t>SUPPORTING STATEMENT</w:t>
      </w:r>
    </w:p>
    <w:p w:rsidR="00AB3A1A" w:rsidRPr="00EB124E" w:rsidP="00AB3A1A" w14:paraId="30528AF3" w14:textId="77777777">
      <w:pPr>
        <w:pStyle w:val="Heading1"/>
        <w:jc w:val="center"/>
      </w:pPr>
      <w:r w:rsidRPr="00EB124E">
        <w:t>Emissions Guidelines for Greenhouse Gas Emissions from Existing Crude Oil and Natural Gas Facilities</w:t>
      </w:r>
    </w:p>
    <w:p w:rsidR="00AB3A1A" w:rsidRPr="00EB124E" w:rsidP="00AB3A1A" w14:paraId="69A948AB" w14:textId="77777777">
      <w:pPr>
        <w:jc w:val="center"/>
        <w:rPr>
          <w:b/>
          <w:bCs/>
        </w:rPr>
      </w:pPr>
      <w:r w:rsidRPr="00EB124E">
        <w:rPr>
          <w:b/>
          <w:bCs/>
        </w:rPr>
        <w:t xml:space="preserve">(40 CFR Part 60, Subpart </w:t>
      </w:r>
      <w:r w:rsidRPr="00EB124E">
        <w:rPr>
          <w:b/>
          <w:bCs/>
        </w:rPr>
        <w:t>OOOOc</w:t>
      </w:r>
      <w:r w:rsidRPr="00EB124E">
        <w:rPr>
          <w:b/>
          <w:bCs/>
        </w:rPr>
        <w:t>)</w:t>
      </w:r>
    </w:p>
    <w:p w:rsidR="00AB3A1A" w:rsidRPr="00A42BB4" w:rsidP="00AB3A1A" w14:paraId="1E55B166" w14:textId="77777777"/>
    <w:p w:rsidR="00AB3A1A" w:rsidRPr="00F245EA" w:rsidP="00AB3A1A" w14:paraId="58835166" w14:textId="77777777">
      <w:pPr>
        <w:pStyle w:val="Heading1"/>
      </w:pPr>
      <w:r w:rsidRPr="00F245EA">
        <w:t>Part A of the Supporting Statement</w:t>
      </w:r>
    </w:p>
    <w:p w:rsidR="00AB3A1A" w:rsidRPr="00F245EA" w:rsidP="00AB3A1A" w14:paraId="40D68A80" w14:textId="77777777">
      <w:pPr>
        <w:pStyle w:val="Heading1"/>
      </w:pPr>
      <w:r>
        <w:t>1.</w:t>
      </w:r>
      <w:r>
        <w:tab/>
        <w:t>Identification of the Information Collection</w:t>
      </w:r>
    </w:p>
    <w:p w:rsidR="00AB3A1A" w:rsidRPr="0068644D" w:rsidP="00AB3A1A" w14:paraId="018C1F2E" w14:textId="77777777">
      <w:pPr>
        <w:pStyle w:val="Heading2"/>
        <w:spacing w:after="240"/>
        <w:rPr>
          <w:i/>
          <w:iCs/>
        </w:rPr>
      </w:pPr>
      <w:r>
        <w:rPr>
          <w:i/>
        </w:rPr>
        <w:t>1</w:t>
      </w:r>
      <w:r w:rsidRPr="0068644D">
        <w:rPr>
          <w:i/>
        </w:rPr>
        <w:t>(a)</w:t>
      </w:r>
      <w:r w:rsidRPr="0068644D">
        <w:rPr>
          <w:i/>
        </w:rPr>
        <w:tab/>
        <w:t>Title and Number of the Information Collection</w:t>
      </w:r>
      <w:r>
        <w:rPr>
          <w:i/>
        </w:rPr>
        <w:t>.</w:t>
      </w:r>
    </w:p>
    <w:p w:rsidR="00AB3A1A" w:rsidRPr="00F7243D" w:rsidP="00AB3A1A" w14:paraId="7794D08B" w14:textId="77777777">
      <w:pPr>
        <w:ind w:firstLine="720"/>
      </w:pPr>
      <w:r w:rsidRPr="00A6633E">
        <w:t>“</w:t>
      </w:r>
      <w:r w:rsidRPr="00EB124E">
        <w:t>Emissions Guidelines for Greenhouse Gas Emissions from Existing Crude Oil and Natural Gas Facilities</w:t>
      </w:r>
      <w:r w:rsidRPr="00A6633E">
        <w:rPr>
          <w:szCs w:val="24"/>
        </w:rPr>
        <w:t xml:space="preserve"> </w:t>
      </w:r>
      <w:r w:rsidRPr="000A065A">
        <w:t xml:space="preserve">(40 CFR Part 60, Subpart </w:t>
      </w:r>
      <w:r>
        <w:t>OOOOc</w:t>
      </w:r>
      <w:r w:rsidRPr="000A065A">
        <w:t xml:space="preserve">).” </w:t>
      </w:r>
      <w:r w:rsidRPr="00F7243D">
        <w:t xml:space="preserve">A new information collection request (ICR) has been prepared in support of the </w:t>
      </w:r>
      <w:r>
        <w:t>guidelines</w:t>
      </w:r>
      <w:r w:rsidRPr="00F7243D">
        <w:t xml:space="preserve"> being </w:t>
      </w:r>
      <w:r>
        <w:t>promulgated</w:t>
      </w:r>
      <w:r w:rsidRPr="00F7243D">
        <w:t>. The EPA ICR tracking number is</w:t>
      </w:r>
      <w:r>
        <w:t xml:space="preserve"> 2523.05, Office of Management and Budget (OMB) Control Number 2060-0721</w:t>
      </w:r>
      <w:r w:rsidRPr="00F7243D">
        <w:t>.</w:t>
      </w:r>
      <w:r>
        <w:t xml:space="preserve"> This ICR was developed for the 3-year period following publication of the final rule.</w:t>
      </w:r>
    </w:p>
    <w:p w:rsidR="00AB3A1A" w:rsidRPr="002A626A" w:rsidP="00AB3A1A" w14:paraId="2311647A" w14:textId="77777777">
      <w:pPr>
        <w:pStyle w:val="Heading2"/>
        <w:spacing w:after="240"/>
        <w:rPr>
          <w:i/>
          <w:iCs/>
        </w:rPr>
      </w:pPr>
      <w:r>
        <w:rPr>
          <w:i/>
        </w:rPr>
        <w:t>1</w:t>
      </w:r>
      <w:r w:rsidRPr="002A626A">
        <w:rPr>
          <w:i/>
        </w:rPr>
        <w:t>(b)</w:t>
      </w:r>
      <w:r w:rsidRPr="002A626A">
        <w:rPr>
          <w:i/>
        </w:rPr>
        <w:tab/>
        <w:t>Short Characterization</w:t>
      </w:r>
      <w:r>
        <w:rPr>
          <w:i/>
        </w:rPr>
        <w:t>/Abstract.</w:t>
      </w:r>
    </w:p>
    <w:p w:rsidR="00AB3A1A" w:rsidP="00AB3A1A" w14:paraId="6D4864A0" w14:textId="77777777">
      <w:pPr>
        <w:pStyle w:val="Para"/>
        <w:rPr>
          <w:rFonts w:ascii="Times New Roman" w:hAnsi="Times New Roman"/>
        </w:rPr>
      </w:pPr>
      <w:r>
        <w:rPr>
          <w:rFonts w:ascii="Times New Roman" w:hAnsi="Times New Roman"/>
        </w:rPr>
        <w:t>Pursuant to Clean Air Act (CAA)</w:t>
      </w:r>
      <w:r w:rsidRPr="00335F39">
        <w:rPr>
          <w:rFonts w:ascii="Times New Roman" w:hAnsi="Times New Roman"/>
        </w:rPr>
        <w:t xml:space="preserve"> section 111(d), the EPA i</w:t>
      </w:r>
      <w:r>
        <w:rPr>
          <w:rFonts w:ascii="Times New Roman" w:hAnsi="Times New Roman"/>
        </w:rPr>
        <w:t xml:space="preserve">s </w:t>
      </w:r>
      <w:r w:rsidRPr="00335F39">
        <w:rPr>
          <w:rFonts w:ascii="Times New Roman" w:hAnsi="Times New Roman"/>
        </w:rPr>
        <w:t xml:space="preserve">proposing nationwide </w:t>
      </w:r>
      <w:r>
        <w:rPr>
          <w:rFonts w:ascii="Times New Roman" w:hAnsi="Times New Roman"/>
        </w:rPr>
        <w:t xml:space="preserve">emission guidelines (EG) </w:t>
      </w:r>
      <w:r w:rsidRPr="00335F39">
        <w:rPr>
          <w:rFonts w:ascii="Times New Roman" w:hAnsi="Times New Roman"/>
        </w:rPr>
        <w:t>for</w:t>
      </w:r>
      <w:r>
        <w:rPr>
          <w:rFonts w:ascii="Times New Roman" w:hAnsi="Times New Roman"/>
        </w:rPr>
        <w:t xml:space="preserve"> greenhouse gas (</w:t>
      </w:r>
      <w:r w:rsidRPr="00335F39">
        <w:rPr>
          <w:rFonts w:ascii="Times New Roman" w:hAnsi="Times New Roman"/>
        </w:rPr>
        <w:t>GHG</w:t>
      </w:r>
      <w:r>
        <w:rPr>
          <w:rFonts w:ascii="Times New Roman" w:hAnsi="Times New Roman"/>
        </w:rPr>
        <w:t>)</w:t>
      </w:r>
      <w:r w:rsidRPr="00335F39">
        <w:rPr>
          <w:rFonts w:ascii="Times New Roman" w:hAnsi="Times New Roman"/>
        </w:rPr>
        <w:t xml:space="preserve"> </w:t>
      </w:r>
      <w:r>
        <w:rPr>
          <w:rFonts w:ascii="Times New Roman" w:hAnsi="Times New Roman"/>
        </w:rPr>
        <w:t xml:space="preserve">emissions </w:t>
      </w:r>
      <w:r w:rsidRPr="00335F39">
        <w:rPr>
          <w:rFonts w:ascii="Times New Roman" w:hAnsi="Times New Roman"/>
        </w:rPr>
        <w:t>(in the form of methane</w:t>
      </w:r>
      <w:r>
        <w:rPr>
          <w:rFonts w:ascii="Times New Roman" w:hAnsi="Times New Roman"/>
        </w:rPr>
        <w:t xml:space="preserve"> </w:t>
      </w:r>
      <w:r w:rsidRPr="00335F39">
        <w:rPr>
          <w:rFonts w:ascii="Times New Roman" w:hAnsi="Times New Roman"/>
        </w:rPr>
        <w:t>limitations) for the Crude Oil and</w:t>
      </w:r>
      <w:r>
        <w:rPr>
          <w:rFonts w:ascii="Times New Roman" w:hAnsi="Times New Roman"/>
        </w:rPr>
        <w:t xml:space="preserve"> </w:t>
      </w:r>
      <w:r w:rsidRPr="00335F39">
        <w:rPr>
          <w:rFonts w:ascii="Times New Roman" w:hAnsi="Times New Roman"/>
        </w:rPr>
        <w:t>Natural Gas source category, including</w:t>
      </w:r>
      <w:r>
        <w:rPr>
          <w:rFonts w:ascii="Times New Roman" w:hAnsi="Times New Roman"/>
        </w:rPr>
        <w:t xml:space="preserve"> </w:t>
      </w:r>
      <w:r w:rsidRPr="00335F39">
        <w:rPr>
          <w:rFonts w:ascii="Times New Roman" w:hAnsi="Times New Roman"/>
        </w:rPr>
        <w:t>the production, processing,</w:t>
      </w:r>
      <w:r>
        <w:rPr>
          <w:rFonts w:ascii="Times New Roman" w:hAnsi="Times New Roman"/>
        </w:rPr>
        <w:t xml:space="preserve"> and </w:t>
      </w:r>
      <w:r w:rsidRPr="00335F39">
        <w:rPr>
          <w:rFonts w:ascii="Times New Roman" w:hAnsi="Times New Roman"/>
        </w:rPr>
        <w:t>transmission and storage segments (EG</w:t>
      </w:r>
      <w:r>
        <w:rPr>
          <w:rFonts w:ascii="Times New Roman" w:hAnsi="Times New Roman"/>
        </w:rPr>
        <w:t xml:space="preserve"> </w:t>
      </w:r>
      <w:r w:rsidRPr="00335F39">
        <w:rPr>
          <w:rFonts w:ascii="Times New Roman" w:hAnsi="Times New Roman"/>
        </w:rPr>
        <w:t>OOOOc</w:t>
      </w:r>
      <w:r w:rsidRPr="00335F39">
        <w:rPr>
          <w:rFonts w:ascii="Times New Roman" w:hAnsi="Times New Roman"/>
        </w:rPr>
        <w:t>).</w:t>
      </w:r>
      <w:r>
        <w:rPr>
          <w:rFonts w:ascii="Times New Roman" w:hAnsi="Times New Roman"/>
        </w:rPr>
        <w:t xml:space="preserve"> The </w:t>
      </w:r>
      <w:r w:rsidRPr="00EC5FC5">
        <w:rPr>
          <w:rFonts w:ascii="Times New Roman" w:hAnsi="Times New Roman"/>
        </w:rPr>
        <w:t xml:space="preserve">EPA proposes </w:t>
      </w:r>
      <w:r>
        <w:rPr>
          <w:rFonts w:ascii="Times New Roman" w:hAnsi="Times New Roman"/>
        </w:rPr>
        <w:t>EG for</w:t>
      </w:r>
      <w:r w:rsidRPr="00EC5FC5">
        <w:rPr>
          <w:rFonts w:ascii="Times New Roman" w:hAnsi="Times New Roman"/>
        </w:rPr>
        <w:t xml:space="preserve"> states to follow</w:t>
      </w:r>
      <w:r>
        <w:rPr>
          <w:rFonts w:ascii="Times New Roman" w:hAnsi="Times New Roman"/>
        </w:rPr>
        <w:t xml:space="preserve"> </w:t>
      </w:r>
      <w:r w:rsidRPr="00EC5FC5">
        <w:rPr>
          <w:rFonts w:ascii="Times New Roman" w:hAnsi="Times New Roman"/>
        </w:rPr>
        <w:t>in developing, submitting, and</w:t>
      </w:r>
      <w:r>
        <w:rPr>
          <w:rFonts w:ascii="Times New Roman" w:hAnsi="Times New Roman"/>
        </w:rPr>
        <w:t xml:space="preserve"> </w:t>
      </w:r>
      <w:r w:rsidRPr="00EC5FC5">
        <w:rPr>
          <w:rFonts w:ascii="Times New Roman" w:hAnsi="Times New Roman"/>
        </w:rPr>
        <w:t>implementing state plans to establish</w:t>
      </w:r>
      <w:r>
        <w:rPr>
          <w:rFonts w:ascii="Times New Roman" w:hAnsi="Times New Roman"/>
        </w:rPr>
        <w:t xml:space="preserve"> </w:t>
      </w:r>
      <w:r w:rsidRPr="00EC5FC5">
        <w:rPr>
          <w:rFonts w:ascii="Times New Roman" w:hAnsi="Times New Roman"/>
        </w:rPr>
        <w:t>performance standards to limit GHGs</w:t>
      </w:r>
      <w:r>
        <w:rPr>
          <w:rFonts w:ascii="Times New Roman" w:hAnsi="Times New Roman"/>
        </w:rPr>
        <w:t xml:space="preserve"> </w:t>
      </w:r>
      <w:r w:rsidRPr="00EC5FC5">
        <w:rPr>
          <w:rFonts w:ascii="Times New Roman" w:hAnsi="Times New Roman"/>
        </w:rPr>
        <w:t>from existing sources (designated</w:t>
      </w:r>
      <w:r>
        <w:rPr>
          <w:rFonts w:ascii="Times New Roman" w:hAnsi="Times New Roman"/>
        </w:rPr>
        <w:t xml:space="preserve"> </w:t>
      </w:r>
      <w:r w:rsidRPr="00EC5FC5">
        <w:rPr>
          <w:rFonts w:ascii="Times New Roman" w:hAnsi="Times New Roman"/>
        </w:rPr>
        <w:t>facilities) in the Crude Oil and Natural</w:t>
      </w:r>
      <w:r>
        <w:rPr>
          <w:rFonts w:ascii="Times New Roman" w:hAnsi="Times New Roman"/>
        </w:rPr>
        <w:t xml:space="preserve"> </w:t>
      </w:r>
      <w:r w:rsidRPr="00EC5FC5">
        <w:rPr>
          <w:rFonts w:ascii="Times New Roman" w:hAnsi="Times New Roman"/>
        </w:rPr>
        <w:t>Gas source category.</w:t>
      </w:r>
      <w:r>
        <w:rPr>
          <w:rFonts w:ascii="Times New Roman" w:hAnsi="Times New Roman"/>
        </w:rPr>
        <w:t xml:space="preserve"> For purposes of these guidelines, existing sources include designated facilities that commenced construction on or before </w:t>
      </w:r>
      <w:r w:rsidRPr="000537B0">
        <w:rPr>
          <w:rFonts w:ascii="Times New Roman" w:hAnsi="Times New Roman"/>
        </w:rPr>
        <w:t>N</w:t>
      </w:r>
      <w:r>
        <w:rPr>
          <w:rFonts w:ascii="Times New Roman" w:hAnsi="Times New Roman"/>
        </w:rPr>
        <w:t>o</w:t>
      </w:r>
      <w:r w:rsidRPr="000537B0">
        <w:rPr>
          <w:rFonts w:ascii="Times New Roman" w:hAnsi="Times New Roman"/>
        </w:rPr>
        <w:t>vember 15, 2021</w:t>
      </w:r>
      <w:r>
        <w:rPr>
          <w:rFonts w:ascii="Times New Roman" w:hAnsi="Times New Roman"/>
        </w:rPr>
        <w:t xml:space="preserve">, </w:t>
      </w:r>
      <w:r w:rsidRPr="00A8124B">
        <w:rPr>
          <w:rFonts w:ascii="Times New Roman" w:hAnsi="Times New Roman"/>
        </w:rPr>
        <w:t>with the exception of</w:t>
      </w:r>
      <w:r w:rsidRPr="00A8124B">
        <w:rPr>
          <w:rFonts w:ascii="Times New Roman" w:hAnsi="Times New Roman"/>
        </w:rPr>
        <w:t xml:space="preserve"> centrifugal compressor designated facilities that use dry seals. Centrifugal compressor designated facilities that use dry seals are subject to the applicable provisions of this subpart if construction, modification, or reconstruction is commenced before </w:t>
      </w:r>
      <w:r>
        <w:rPr>
          <w:rFonts w:ascii="Times New Roman" w:hAnsi="Times New Roman"/>
        </w:rPr>
        <w:t xml:space="preserve">the date of publication of the supplemental proposal in the </w:t>
      </w:r>
      <w:r w:rsidRPr="007D6331">
        <w:rPr>
          <w:rFonts w:ascii="Times New Roman" w:hAnsi="Times New Roman"/>
          <w:i/>
          <w:iCs/>
        </w:rPr>
        <w:t>Federal Register</w:t>
      </w:r>
      <w:r>
        <w:rPr>
          <w:rFonts w:ascii="Times New Roman" w:hAnsi="Times New Roman"/>
        </w:rPr>
        <w:t xml:space="preserve">. </w:t>
      </w:r>
    </w:p>
    <w:p w:rsidR="00AB3A1A" w:rsidP="00AB3A1A" w14:paraId="0D4932D5" w14:textId="77777777">
      <w:pPr>
        <w:pStyle w:val="FRBodyTextDS"/>
        <w:widowControl w:val="0"/>
        <w:spacing w:line="240" w:lineRule="auto"/>
        <w:ind w:firstLine="720"/>
        <w:rPr>
          <w:rFonts w:ascii="Times New Roman" w:hAnsi="Times New Roman" w:cs="Times New Roman"/>
        </w:rPr>
      </w:pPr>
      <w:r w:rsidRPr="00E74473">
        <w:rPr>
          <w:rFonts w:ascii="Times New Roman" w:hAnsi="Times New Roman" w:cs="Times New Roman"/>
        </w:rPr>
        <w:t xml:space="preserve">This </w:t>
      </w:r>
      <w:r>
        <w:rPr>
          <w:rFonts w:ascii="Times New Roman" w:hAnsi="Times New Roman" w:cs="Times New Roman"/>
        </w:rPr>
        <w:t xml:space="preserve">proposed rule proposes to require those states with one or more designated facilities </w:t>
      </w:r>
      <w:r>
        <w:rPr>
          <w:rFonts w:ascii="Times New Roman" w:hAnsi="Times New Roman"/>
        </w:rPr>
        <w:t xml:space="preserve">covered under this subpart </w:t>
      </w:r>
      <w:r>
        <w:rPr>
          <w:rFonts w:ascii="Times New Roman" w:hAnsi="Times New Roman" w:cs="Times New Roman"/>
        </w:rPr>
        <w:t>to develop plans to implement the emission guidelines and submit plans to the EPA for approval. For areas of Indian country with affected sources, if the EPA determines that a plan is necessary or appropriate, the EPA has the responsibility to establish a plan, unless a tribe on whose lands an affected source is located seeks and obtains authority from the EPA to establish a plan itself. If an approvable state or other jurisdictional plan is not submitted by the deadline for that plan, the EPA will implement the emission guidelines in those states and tribal lands under a federal plan developed according to 40 CFR 60.27. Und</w:t>
      </w:r>
      <w:r w:rsidRPr="00FD3822">
        <w:rPr>
          <w:rFonts w:ascii="Times New Roman" w:hAnsi="Times New Roman" w:cs="Times New Roman"/>
        </w:rPr>
        <w:t xml:space="preserve">er CAA section 111(d)(2)(B), the EPA has the authority to prescribe a Federal plan promulgating standard of performance for designated facilities located in a state that fails to submit a </w:t>
      </w:r>
      <w:r w:rsidRPr="00FD3822">
        <w:rPr>
          <w:rFonts w:ascii="Times New Roman" w:hAnsi="Times New Roman" w:cs="Times New Roman"/>
        </w:rPr>
        <w:t>satisfactory plan.</w:t>
      </w:r>
      <w:r>
        <w:rPr>
          <w:rFonts w:ascii="Times New Roman" w:hAnsi="Times New Roman" w:cs="Times New Roman"/>
        </w:rPr>
        <w:t xml:space="preserve"> Owners and operators of e</w:t>
      </w:r>
      <w:r w:rsidRPr="001268C4">
        <w:rPr>
          <w:rFonts w:ascii="Times New Roman" w:hAnsi="Times New Roman" w:cs="Times New Roman"/>
        </w:rPr>
        <w:t xml:space="preserve">xisting </w:t>
      </w:r>
      <w:r>
        <w:rPr>
          <w:rFonts w:ascii="Times New Roman" w:hAnsi="Times New Roman" w:cs="Times New Roman"/>
        </w:rPr>
        <w:t>oil and natural gas facilities that are not covered by an approved jurisdictional plan must comply with the federal plan. Those states that have no existing oil and natural gas facilities for which construction commenced on or before November 15, 2021,</w:t>
      </w:r>
      <w:r w:rsidRPr="0010124C">
        <w:rPr>
          <w:rFonts w:ascii="Times New Roman" w:hAnsi="Times New Roman" w:cs="Times New Roman"/>
        </w:rPr>
        <w:t xml:space="preserve"> </w:t>
      </w:r>
      <w:r w:rsidRPr="0010124C">
        <w:rPr>
          <w:rFonts w:ascii="Times New Roman" w:hAnsi="Times New Roman" w:cs="Times New Roman"/>
        </w:rPr>
        <w:t>with the exception of</w:t>
      </w:r>
      <w:r w:rsidRPr="0010124C">
        <w:rPr>
          <w:rFonts w:ascii="Times New Roman" w:hAnsi="Times New Roman" w:cs="Times New Roman"/>
        </w:rPr>
        <w:t xml:space="preserve"> centrifugal compressor designated facilities that use dry seals</w:t>
      </w:r>
      <w:r>
        <w:rPr>
          <w:rFonts w:ascii="Times New Roman" w:hAnsi="Times New Roman" w:cs="Times New Roman"/>
        </w:rPr>
        <w:t>,</w:t>
      </w:r>
      <w:r w:rsidRPr="0010124C">
        <w:rPr>
          <w:rFonts w:ascii="Times New Roman" w:hAnsi="Times New Roman" w:cs="Times New Roman"/>
        </w:rPr>
        <w:t xml:space="preserve"> </w:t>
      </w:r>
      <w:r>
        <w:rPr>
          <w:rFonts w:ascii="Times New Roman" w:hAnsi="Times New Roman" w:cs="Times New Roman"/>
        </w:rPr>
        <w:t>would submit a negative declaration letter in place of the state plan. Those states that have no existing oil and natural gas c</w:t>
      </w:r>
      <w:r w:rsidRPr="0010124C">
        <w:rPr>
          <w:rFonts w:ascii="Times New Roman" w:hAnsi="Times New Roman" w:cs="Times New Roman"/>
        </w:rPr>
        <w:t xml:space="preserve">entrifugal compressor designated facilities that use dry seals </w:t>
      </w:r>
      <w:r>
        <w:rPr>
          <w:rFonts w:ascii="Times New Roman" w:hAnsi="Times New Roman" w:cs="Times New Roman"/>
        </w:rPr>
        <w:t xml:space="preserve">for which construction commenced on or before the date of publication of the supplemental proposal in the </w:t>
      </w:r>
      <w:r w:rsidRPr="007D6331">
        <w:rPr>
          <w:rFonts w:ascii="Times New Roman" w:hAnsi="Times New Roman" w:cs="Times New Roman"/>
          <w:i/>
          <w:iCs/>
        </w:rPr>
        <w:t>Federal Register</w:t>
      </w:r>
      <w:r>
        <w:rPr>
          <w:rFonts w:ascii="Times New Roman" w:hAnsi="Times New Roman" w:cs="Times New Roman"/>
          <w:i/>
          <w:iCs/>
        </w:rPr>
        <w:t xml:space="preserve">, </w:t>
      </w:r>
      <w:r>
        <w:rPr>
          <w:rFonts w:ascii="Times New Roman" w:hAnsi="Times New Roman" w:cs="Times New Roman"/>
        </w:rPr>
        <w:t>would submit a negative declaration letter in place of the state plan. Tribal lands with no existing oil and natural gas facilities covered under this subpart would not be required to submit a negative declaration.</w:t>
      </w:r>
    </w:p>
    <w:p w:rsidR="00AB3A1A" w:rsidP="00AB3A1A" w14:paraId="4C2FCDA6" w14:textId="77777777">
      <w:pPr>
        <w:pStyle w:val="FRBodyTextDS"/>
        <w:widowControl w:val="0"/>
        <w:spacing w:line="240" w:lineRule="auto"/>
        <w:ind w:firstLine="720"/>
        <w:rPr>
          <w:rFonts w:ascii="Times New Roman" w:hAnsi="Times New Roman" w:cs="Times New Roman"/>
        </w:rPr>
      </w:pPr>
    </w:p>
    <w:p w:rsidR="00AB3A1A" w:rsidP="00AB3A1A" w14:paraId="60F142F4" w14:textId="77777777">
      <w:pPr>
        <w:pStyle w:val="FRBodyTextDS"/>
        <w:widowControl w:val="0"/>
        <w:spacing w:line="240" w:lineRule="auto"/>
        <w:ind w:firstLine="720"/>
        <w:rPr>
          <w:rFonts w:ascii="Times New Roman" w:hAnsi="Times New Roman" w:cs="Times New Roman"/>
        </w:rPr>
      </w:pPr>
      <w:r>
        <w:rPr>
          <w:rFonts w:ascii="Times New Roman" w:hAnsi="Times New Roman" w:cs="Times New Roman"/>
        </w:rPr>
        <w:t>The emission guidelines include required components of the state plan, including an inventory of designated facilities and emissions from affected designated facilities in each state, compliance schedules, standards of performance, p</w:t>
      </w:r>
      <w:r w:rsidRPr="0012779B">
        <w:rPr>
          <w:rFonts w:ascii="Times New Roman" w:hAnsi="Times New Roman" w:cs="Times New Roman"/>
        </w:rPr>
        <w:t>erformance testing, monitoring, recordkeeping, and reporting requirements</w:t>
      </w:r>
      <w:r>
        <w:rPr>
          <w:rFonts w:ascii="Times New Roman" w:hAnsi="Times New Roman" w:cs="Times New Roman"/>
        </w:rPr>
        <w:t>, and timing requirements for submitting the plan.</w:t>
      </w:r>
    </w:p>
    <w:p w:rsidR="00AB3A1A" w:rsidP="00AB3A1A" w14:paraId="22A268D4" w14:textId="77777777">
      <w:pPr>
        <w:pStyle w:val="FRBodyTextDS"/>
        <w:widowControl w:val="0"/>
        <w:spacing w:line="240" w:lineRule="auto"/>
        <w:ind w:firstLine="720"/>
        <w:rPr>
          <w:rFonts w:ascii="Times New Roman" w:hAnsi="Times New Roman" w:cs="Times New Roman"/>
        </w:rPr>
      </w:pPr>
    </w:p>
    <w:p w:rsidR="00AB3A1A" w:rsidP="00AB3A1A" w14:paraId="4B9C4CDB" w14:textId="77777777">
      <w:pPr>
        <w:pStyle w:val="FRBodyTextDS"/>
        <w:widowControl w:val="0"/>
        <w:spacing w:line="240" w:lineRule="auto"/>
        <w:ind w:firstLine="720"/>
        <w:rPr>
          <w:rFonts w:ascii="Calibri" w:hAnsi="Calibri"/>
          <w:color w:val="1F497D"/>
          <w:sz w:val="22"/>
        </w:rPr>
      </w:pPr>
      <w:r w:rsidRPr="00FE3E4D">
        <w:rPr>
          <w:rFonts w:ascii="Times New Roman" w:hAnsi="Times New Roman"/>
          <w:bCs/>
        </w:rPr>
        <w:t>This action impose</w:t>
      </w:r>
      <w:r>
        <w:rPr>
          <w:rFonts w:ascii="Times New Roman" w:hAnsi="Times New Roman"/>
          <w:bCs/>
        </w:rPr>
        <w:t>s</w:t>
      </w:r>
      <w:r w:rsidRPr="00FE3E4D">
        <w:rPr>
          <w:rFonts w:ascii="Times New Roman" w:hAnsi="Times New Roman"/>
          <w:bCs/>
        </w:rPr>
        <w:t xml:space="preserve"> </w:t>
      </w:r>
      <w:r>
        <w:rPr>
          <w:rFonts w:ascii="Times New Roman" w:hAnsi="Times New Roman"/>
          <w:bCs/>
        </w:rPr>
        <w:t>no n</w:t>
      </w:r>
      <w:r w:rsidRPr="00FE3E4D">
        <w:rPr>
          <w:rFonts w:ascii="Times New Roman" w:hAnsi="Times New Roman"/>
          <w:bCs/>
        </w:rPr>
        <w:t xml:space="preserve">ew information collection burden on </w:t>
      </w:r>
      <w:r>
        <w:rPr>
          <w:rFonts w:ascii="Times New Roman" w:hAnsi="Times New Roman"/>
          <w:bCs/>
        </w:rPr>
        <w:t>designated facilities</w:t>
      </w:r>
      <w:r>
        <w:rPr>
          <w:rFonts w:ascii="Times New Roman" w:hAnsi="Times New Roman"/>
        </w:rPr>
        <w:t xml:space="preserve"> </w:t>
      </w:r>
      <w:r w:rsidRPr="00E4481C">
        <w:rPr>
          <w:rFonts w:ascii="Times New Roman" w:hAnsi="Times New Roman"/>
        </w:rPr>
        <w:t>during the first 3 years after final rule promulgation</w:t>
      </w:r>
      <w:r>
        <w:rPr>
          <w:rFonts w:ascii="Times New Roman" w:hAnsi="Times New Roman"/>
        </w:rPr>
        <w:t xml:space="preserve"> </w:t>
      </w:r>
      <w:r w:rsidRPr="00FE3E4D">
        <w:rPr>
          <w:rFonts w:ascii="Times New Roman" w:hAnsi="Times New Roman"/>
        </w:rPr>
        <w:t xml:space="preserve">beyond what those </w:t>
      </w:r>
      <w:r>
        <w:rPr>
          <w:rFonts w:ascii="Times New Roman" w:hAnsi="Times New Roman"/>
        </w:rPr>
        <w:t>facilities</w:t>
      </w:r>
      <w:r w:rsidRPr="00FE3E4D">
        <w:rPr>
          <w:rFonts w:ascii="Times New Roman" w:hAnsi="Times New Roman"/>
        </w:rPr>
        <w:t xml:space="preserve"> would already be subject to under the authorities of </w:t>
      </w:r>
      <w:r>
        <w:rPr>
          <w:rFonts w:ascii="Times New Roman" w:hAnsi="Times New Roman"/>
        </w:rPr>
        <w:t>40 CFR</w:t>
      </w:r>
      <w:r w:rsidRPr="00FE3E4D">
        <w:rPr>
          <w:rFonts w:ascii="Times New Roman" w:hAnsi="Times New Roman"/>
        </w:rPr>
        <w:t xml:space="preserve"> parts 75 and 98. </w:t>
      </w:r>
      <w:r>
        <w:rPr>
          <w:rFonts w:ascii="Times New Roman" w:hAnsi="Times New Roman"/>
        </w:rPr>
        <w:t xml:space="preserve">There are no new information collection costs for these designated facilities </w:t>
      </w:r>
      <w:r w:rsidRPr="00E4481C">
        <w:rPr>
          <w:rFonts w:ascii="Times New Roman" w:hAnsi="Times New Roman"/>
        </w:rPr>
        <w:t xml:space="preserve">during the first 3 years, as the information required for these </w:t>
      </w:r>
      <w:r>
        <w:rPr>
          <w:rFonts w:ascii="Times New Roman" w:hAnsi="Times New Roman"/>
        </w:rPr>
        <w:t>facilities</w:t>
      </w:r>
      <w:r w:rsidRPr="00E4481C">
        <w:rPr>
          <w:rFonts w:ascii="Times New Roman" w:hAnsi="Times New Roman"/>
        </w:rPr>
        <w:t xml:space="preserve"> by the guidelines is already collected and reported by other regulatory programs during this period.</w:t>
      </w:r>
    </w:p>
    <w:p w:rsidR="00AB3A1A" w:rsidP="00AB3A1A" w14:paraId="463D3E1B" w14:textId="77777777">
      <w:pPr>
        <w:pStyle w:val="Para"/>
        <w:spacing w:after="0"/>
        <w:rPr>
          <w:rFonts w:ascii="Times New Roman" w:hAnsi="Times New Roman"/>
          <w:szCs w:val="24"/>
        </w:rPr>
      </w:pPr>
    </w:p>
    <w:p w:rsidR="00AB3A1A" w:rsidRPr="00B443B8" w:rsidP="00AB3A1A" w14:paraId="368475C4" w14:textId="77777777">
      <w:pPr>
        <w:pStyle w:val="Para"/>
        <w:rPr>
          <w:rFonts w:ascii="Times New Roman" w:hAnsi="Times New Roman"/>
        </w:rPr>
      </w:pPr>
      <w:r>
        <w:rPr>
          <w:rFonts w:ascii="Times New Roman" w:hAnsi="Times New Roman"/>
        </w:rPr>
        <w:t xml:space="preserve">The only </w:t>
      </w:r>
      <w:r w:rsidRPr="008950BA">
        <w:rPr>
          <w:rFonts w:ascii="Times New Roman" w:hAnsi="Times New Roman"/>
        </w:rPr>
        <w:t xml:space="preserve">respondents </w:t>
      </w:r>
      <w:r>
        <w:rPr>
          <w:rFonts w:ascii="Times New Roman" w:hAnsi="Times New Roman"/>
        </w:rPr>
        <w:t xml:space="preserve">expected to incur new information collection burden </w:t>
      </w:r>
      <w:r w:rsidRPr="008950BA">
        <w:rPr>
          <w:rFonts w:ascii="Times New Roman" w:hAnsi="Times New Roman"/>
        </w:rPr>
        <w:t xml:space="preserve">are </w:t>
      </w:r>
      <w:r>
        <w:rPr>
          <w:rFonts w:ascii="Times New Roman" w:hAnsi="Times New Roman"/>
        </w:rPr>
        <w:t xml:space="preserve">those states with one or more facilities covered under this subpart. </w:t>
      </w:r>
    </w:p>
    <w:p w:rsidR="00AB3A1A" w:rsidRPr="00B443B8" w:rsidP="00AB3A1A" w14:paraId="12A69F85" w14:textId="77777777">
      <w:pPr>
        <w:pStyle w:val="Heading1"/>
      </w:pPr>
      <w:r w:rsidRPr="00B443B8">
        <w:t>2.</w:t>
      </w:r>
      <w:r w:rsidRPr="00B443B8">
        <w:tab/>
        <w:t>Need for and Use of the Collection</w:t>
      </w:r>
    </w:p>
    <w:p w:rsidR="00AB3A1A" w:rsidRPr="00B443B8" w:rsidP="00AB3A1A" w14:paraId="1D427774" w14:textId="77777777">
      <w:pPr>
        <w:pStyle w:val="Heading2"/>
        <w:spacing w:after="240"/>
        <w:rPr>
          <w:i/>
          <w:iCs/>
        </w:rPr>
      </w:pPr>
      <w:r>
        <w:rPr>
          <w:i/>
        </w:rPr>
        <w:t>2</w:t>
      </w:r>
      <w:r w:rsidRPr="00B443B8">
        <w:rPr>
          <w:i/>
        </w:rPr>
        <w:t>(a)</w:t>
      </w:r>
      <w:r w:rsidRPr="00B443B8">
        <w:rPr>
          <w:i/>
        </w:rPr>
        <w:tab/>
        <w:t>Need/Authority for the Collection</w:t>
      </w:r>
      <w:r>
        <w:rPr>
          <w:i/>
        </w:rPr>
        <w:t>.</w:t>
      </w:r>
    </w:p>
    <w:p w:rsidR="00AB3A1A" w:rsidRPr="00B443B8" w:rsidP="00AB3A1A" w14:paraId="19ED5138" w14:textId="77777777">
      <w:pPr>
        <w:keepNext/>
        <w:ind w:firstLine="720"/>
        <w:rPr>
          <w:szCs w:val="24"/>
        </w:rPr>
      </w:pPr>
      <w:r>
        <w:rPr>
          <w:szCs w:val="24"/>
        </w:rPr>
        <w:t xml:space="preserve">The </w:t>
      </w:r>
      <w:r w:rsidRPr="00B443B8">
        <w:rPr>
          <w:szCs w:val="24"/>
        </w:rPr>
        <w:t>EPA is charged under section 111</w:t>
      </w:r>
      <w:r>
        <w:rPr>
          <w:szCs w:val="24"/>
        </w:rPr>
        <w:t>(d)</w:t>
      </w:r>
      <w:r w:rsidRPr="00B443B8">
        <w:rPr>
          <w:szCs w:val="24"/>
        </w:rPr>
        <w:t xml:space="preserve"> of the </w:t>
      </w:r>
      <w:r>
        <w:rPr>
          <w:szCs w:val="24"/>
        </w:rPr>
        <w:t>CAA</w:t>
      </w:r>
      <w:r w:rsidRPr="00B443B8">
        <w:rPr>
          <w:szCs w:val="24"/>
        </w:rPr>
        <w:t xml:space="preserve"> to establish </w:t>
      </w:r>
      <w:r>
        <w:rPr>
          <w:szCs w:val="24"/>
        </w:rPr>
        <w:t>guidelines for existing</w:t>
      </w:r>
      <w:r w:rsidRPr="00B443B8">
        <w:rPr>
          <w:szCs w:val="24"/>
        </w:rPr>
        <w:t xml:space="preserve"> stationary sources</w:t>
      </w:r>
      <w:r>
        <w:rPr>
          <w:szCs w:val="24"/>
        </w:rPr>
        <w:t>. Section 111(d)(1) states</w:t>
      </w:r>
      <w:r w:rsidRPr="00B443B8">
        <w:rPr>
          <w:szCs w:val="24"/>
        </w:rPr>
        <w:t>:</w:t>
      </w:r>
    </w:p>
    <w:p w:rsidR="00AB3A1A" w:rsidRPr="00B443B8" w:rsidP="00AB3A1A" w14:paraId="40518E09" w14:textId="77777777">
      <w:pPr>
        <w:rPr>
          <w:szCs w:val="24"/>
        </w:rPr>
      </w:pPr>
    </w:p>
    <w:p w:rsidR="00AB3A1A" w:rsidRPr="00D653FE" w:rsidP="00AB3A1A" w14:paraId="13C2CE0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szCs w:val="24"/>
        </w:rPr>
      </w:pPr>
      <w:r>
        <w:rPr>
          <w:bCs/>
          <w:szCs w:val="24"/>
        </w:rPr>
        <w:t>“</w:t>
      </w:r>
      <w:r w:rsidRPr="00D653FE">
        <w:rPr>
          <w:bCs/>
          <w:szCs w:val="24"/>
        </w:rPr>
        <w:t>The Administrator shall prescribe regulations which shall establish</w:t>
      </w:r>
      <w:r>
        <w:rPr>
          <w:bCs/>
          <w:szCs w:val="24"/>
        </w:rPr>
        <w:t xml:space="preserve"> </w:t>
      </w:r>
      <w:r w:rsidRPr="00D653FE">
        <w:rPr>
          <w:bCs/>
          <w:szCs w:val="24"/>
        </w:rPr>
        <w:t>a</w:t>
      </w:r>
      <w:r>
        <w:rPr>
          <w:bCs/>
          <w:szCs w:val="24"/>
        </w:rPr>
        <w:t xml:space="preserve"> </w:t>
      </w:r>
      <w:r w:rsidRPr="00D653FE">
        <w:rPr>
          <w:bCs/>
          <w:szCs w:val="24"/>
        </w:rPr>
        <w:t>procedure similar to that provided by section 110 under which each State</w:t>
      </w:r>
      <w:r>
        <w:rPr>
          <w:bCs/>
          <w:szCs w:val="24"/>
        </w:rPr>
        <w:t xml:space="preserve"> </w:t>
      </w:r>
      <w:r w:rsidRPr="00D653FE">
        <w:rPr>
          <w:bCs/>
          <w:szCs w:val="24"/>
        </w:rPr>
        <w:t>shall submit to the Administrator a plan which (A)</w:t>
      </w:r>
      <w:r>
        <w:rPr>
          <w:bCs/>
          <w:szCs w:val="24"/>
        </w:rPr>
        <w:t> </w:t>
      </w:r>
      <w:r w:rsidRPr="00D653FE">
        <w:rPr>
          <w:bCs/>
          <w:szCs w:val="24"/>
        </w:rPr>
        <w:t>establishes standards of</w:t>
      </w:r>
      <w:r>
        <w:rPr>
          <w:bCs/>
          <w:szCs w:val="24"/>
        </w:rPr>
        <w:t xml:space="preserve"> </w:t>
      </w:r>
      <w:r w:rsidRPr="00D653FE">
        <w:rPr>
          <w:bCs/>
          <w:szCs w:val="24"/>
        </w:rPr>
        <w:t>performance for any existing source for any air pollutant (</w:t>
      </w:r>
      <w:r w:rsidRPr="00D653FE">
        <w:rPr>
          <w:bCs/>
          <w:szCs w:val="24"/>
        </w:rPr>
        <w:t>i</w:t>
      </w:r>
      <w:r w:rsidRPr="00D653FE">
        <w:rPr>
          <w:bCs/>
          <w:szCs w:val="24"/>
        </w:rPr>
        <w:t>) for which air quality criteria have not been issued...but (ii) to which a standard of performance under this section would apply if such existing so</w:t>
      </w:r>
      <w:r>
        <w:rPr>
          <w:bCs/>
          <w:szCs w:val="24"/>
        </w:rPr>
        <w:t>urce were a new source, and (B) </w:t>
      </w:r>
      <w:r w:rsidRPr="00D653FE">
        <w:rPr>
          <w:bCs/>
          <w:szCs w:val="24"/>
        </w:rPr>
        <w:t>provides for the implementation and enforcement of such standards of performance.</w:t>
      </w:r>
      <w:r>
        <w:rPr>
          <w:bCs/>
          <w:szCs w:val="24"/>
        </w:rPr>
        <w:t>”</w:t>
      </w:r>
    </w:p>
    <w:p w:rsidR="00AB3A1A" w:rsidRPr="00B443B8" w:rsidP="00AB3A1A" w14:paraId="3367C0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B3A1A" w:rsidRPr="00B443B8" w:rsidP="00AB3A1A" w14:paraId="2E496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t xml:space="preserve">Subpart Ba of 40 CFR part 60 requires the plans to include monitoring, recordkeeping, and reporting provisions consistent with the emission guidelines. </w:t>
      </w:r>
      <w:r w:rsidRPr="00B443B8">
        <w:rPr>
          <w:szCs w:val="24"/>
        </w:rPr>
        <w:t>In addition, section 114(a) states that the Administrator may require any owner or operator subject to any requirement of this Act to:</w:t>
      </w:r>
    </w:p>
    <w:p w:rsidR="00AB3A1A" w:rsidRPr="00B443B8" w:rsidP="00AB3A1A" w14:paraId="51D9B6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B3A1A" w:rsidRPr="00B443B8" w:rsidP="00AB3A1A" w14:paraId="283C48EA"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rPr>
          <w:szCs w:val="24"/>
        </w:rPr>
      </w:pPr>
      <w:r>
        <w:rPr>
          <w:szCs w:val="24"/>
        </w:rPr>
        <w:t>“</w:t>
      </w:r>
      <w:r w:rsidRPr="00B443B8">
        <w:rPr>
          <w:szCs w:val="24"/>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B443B8">
        <w:rPr>
          <w:szCs w:val="24"/>
        </w:rPr>
        <w:t>equipment parameters, production variables or other indirect data when direct monitoring of emissions is impractical; (F) submit compliance certifications in accordance with section 114(a)(3); and (G) provide such other information as the Administrator may reasonably require.</w:t>
      </w:r>
      <w:r>
        <w:rPr>
          <w:szCs w:val="24"/>
        </w:rPr>
        <w:t>”</w:t>
      </w:r>
    </w:p>
    <w:p w:rsidR="00AB3A1A" w:rsidRPr="00B443B8" w:rsidP="00AB3A1A" w14:paraId="2BC5F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AB3A1A" w:rsidP="00AB3A1A" w14:paraId="6424F62C" w14:textId="77777777">
      <w:pPr>
        <w:pStyle w:val="Para"/>
        <w:rPr>
          <w:rFonts w:ascii="Times New Roman" w:hAnsi="Times New Roman"/>
        </w:rPr>
      </w:pPr>
      <w:r>
        <w:rPr>
          <w:rFonts w:ascii="Times New Roman" w:hAnsi="Times New Roman"/>
        </w:rPr>
        <w:t>T</w:t>
      </w:r>
      <w:r w:rsidRPr="00376AB5">
        <w:rPr>
          <w:rFonts w:ascii="Times New Roman" w:hAnsi="Times New Roman"/>
        </w:rPr>
        <w:t>he Oil and Natural Gas Industry is the United States’ largest industrial emitter of methane, a highly potent GHG. Methane and VOC emissions from the Crude Oil and Natural Gas source category result from a variety of industry operations across the supply chain.</w:t>
      </w:r>
      <w:r>
        <w:rPr>
          <w:rFonts w:ascii="Times New Roman" w:hAnsi="Times New Roman"/>
        </w:rPr>
        <w:t xml:space="preserve"> </w:t>
      </w:r>
      <w:r w:rsidRPr="0068798A">
        <w:rPr>
          <w:rFonts w:ascii="Times New Roman" w:hAnsi="Times New Roman"/>
        </w:rPr>
        <w:t xml:space="preserve">Therefore, emission guidelines for </w:t>
      </w:r>
      <w:r>
        <w:rPr>
          <w:rFonts w:ascii="Times New Roman" w:hAnsi="Times New Roman"/>
        </w:rPr>
        <w:t xml:space="preserve">GHG </w:t>
      </w:r>
      <w:r w:rsidRPr="0068798A">
        <w:rPr>
          <w:rFonts w:ascii="Times New Roman" w:hAnsi="Times New Roman"/>
        </w:rPr>
        <w:t xml:space="preserve">emissions </w:t>
      </w:r>
      <w:r>
        <w:rPr>
          <w:rFonts w:ascii="Times New Roman" w:hAnsi="Times New Roman"/>
        </w:rPr>
        <w:t xml:space="preserve">are being proposed </w:t>
      </w:r>
      <w:r w:rsidRPr="0068798A">
        <w:rPr>
          <w:rFonts w:ascii="Times New Roman" w:hAnsi="Times New Roman"/>
        </w:rPr>
        <w:t xml:space="preserve">for existing sources in this category at 40 CFR part 60, subpart </w:t>
      </w:r>
      <w:r>
        <w:rPr>
          <w:rFonts w:ascii="Times New Roman" w:hAnsi="Times New Roman"/>
        </w:rPr>
        <w:t>OOOOc</w:t>
      </w:r>
      <w:r w:rsidRPr="0068798A">
        <w:rPr>
          <w:rFonts w:ascii="Times New Roman" w:hAnsi="Times New Roman"/>
        </w:rPr>
        <w:t xml:space="preserve">. </w:t>
      </w:r>
      <w:r w:rsidRPr="00207304">
        <w:rPr>
          <w:rFonts w:ascii="Times New Roman" w:hAnsi="Times New Roman"/>
        </w:rPr>
        <w:t xml:space="preserve">The greenhouse gas standard in this subpart </w:t>
      </w:r>
      <w:r w:rsidRPr="00207304">
        <w:rPr>
          <w:rFonts w:ascii="Times New Roman" w:hAnsi="Times New Roman"/>
        </w:rPr>
        <w:t>are</w:t>
      </w:r>
      <w:r w:rsidRPr="00207304">
        <w:rPr>
          <w:rFonts w:ascii="Times New Roman" w:hAnsi="Times New Roman"/>
        </w:rPr>
        <w:t xml:space="preserve"> in the form of a limitation on emissions of methane from designated facilities in the crude oil and natural gas source category that commenced construction on or before November 15, 2021</w:t>
      </w:r>
      <w:r w:rsidRPr="00B118EC">
        <w:rPr>
          <w:rFonts w:ascii="Times New Roman" w:hAnsi="Times New Roman"/>
        </w:rPr>
        <w:t xml:space="preserve"> </w:t>
      </w:r>
      <w:r w:rsidRPr="0010124C">
        <w:rPr>
          <w:rFonts w:ascii="Times New Roman" w:hAnsi="Times New Roman"/>
        </w:rPr>
        <w:t>with the exception of centrifugal compressor designated facilities that use dry seals</w:t>
      </w:r>
      <w:r>
        <w:rPr>
          <w:rFonts w:ascii="Times New Roman" w:hAnsi="Times New Roman"/>
        </w:rPr>
        <w:t xml:space="preserve">. </w:t>
      </w:r>
      <w:r w:rsidRPr="00A8124B">
        <w:rPr>
          <w:rFonts w:ascii="Times New Roman" w:hAnsi="Times New Roman"/>
        </w:rPr>
        <w:t xml:space="preserve">Centrifugal compressor designated facilities that use dry seals are subject to the applicable provisions of this subpart if construction, modification, or reconstruction is commenced before </w:t>
      </w:r>
      <w:r>
        <w:rPr>
          <w:rFonts w:ascii="Times New Roman" w:hAnsi="Times New Roman"/>
        </w:rPr>
        <w:t xml:space="preserve">the date of publication of the supplemental proposal in the </w:t>
      </w:r>
      <w:r w:rsidRPr="00C8673F">
        <w:rPr>
          <w:rFonts w:ascii="Times New Roman" w:hAnsi="Times New Roman"/>
          <w:i/>
          <w:iCs/>
        </w:rPr>
        <w:t>Federal Register</w:t>
      </w:r>
      <w:r>
        <w:rPr>
          <w:rFonts w:ascii="Times New Roman" w:hAnsi="Times New Roman"/>
        </w:rPr>
        <w:t>. T</w:t>
      </w:r>
      <w:r w:rsidRPr="0068798A">
        <w:rPr>
          <w:rFonts w:ascii="Times New Roman" w:hAnsi="Times New Roman"/>
        </w:rPr>
        <w:t>he emission guidelines are being proposed for states to use in developing state plans</w:t>
      </w:r>
      <w:r>
        <w:rPr>
          <w:rFonts w:ascii="Times New Roman" w:hAnsi="Times New Roman"/>
        </w:rPr>
        <w:t>.</w:t>
      </w:r>
    </w:p>
    <w:p w:rsidR="00AB3A1A" w:rsidRPr="00B443B8" w:rsidP="00AB3A1A" w14:paraId="7904E5A0" w14:textId="77777777">
      <w:pPr>
        <w:pStyle w:val="Heading2"/>
        <w:spacing w:after="240"/>
        <w:rPr>
          <w:i/>
          <w:iCs/>
        </w:rPr>
      </w:pPr>
      <w:r>
        <w:rPr>
          <w:i/>
        </w:rPr>
        <w:t>2</w:t>
      </w:r>
      <w:r w:rsidRPr="00B443B8">
        <w:rPr>
          <w:i/>
        </w:rPr>
        <w:t>(b)</w:t>
      </w:r>
      <w:r w:rsidRPr="00B443B8">
        <w:rPr>
          <w:i/>
        </w:rPr>
        <w:tab/>
        <w:t>Use/Users of the Data</w:t>
      </w:r>
      <w:r>
        <w:rPr>
          <w:i/>
        </w:rPr>
        <w:t>.</w:t>
      </w:r>
    </w:p>
    <w:p w:rsidR="00AB3A1A" w:rsidP="00AB3A1A" w14:paraId="4BEA1DB1" w14:textId="77777777">
      <w:pPr>
        <w:pStyle w:val="Para"/>
        <w:spacing w:after="0"/>
        <w:rPr>
          <w:rFonts w:ascii="Times New Roman" w:hAnsi="Times New Roman"/>
        </w:rPr>
      </w:pPr>
      <w:r w:rsidRPr="00B443B8">
        <w:rPr>
          <w:rFonts w:ascii="Times New Roman" w:hAnsi="Times New Roman"/>
        </w:rPr>
        <w:t xml:space="preserve">The </w:t>
      </w:r>
      <w:r>
        <w:rPr>
          <w:rFonts w:ascii="Times New Roman" w:hAnsi="Times New Roman"/>
        </w:rPr>
        <w:t>data collected from respondents (states) include the state plans expected to be developed in response to the emission guidelines. The data from states provide the foundation for identifying their</w:t>
      </w:r>
      <w:r w:rsidRPr="00A258D3">
        <w:rPr>
          <w:rFonts w:ascii="Times New Roman" w:hAnsi="Times New Roman"/>
        </w:rPr>
        <w:t xml:space="preserve"> emission</w:t>
      </w:r>
      <w:r>
        <w:rPr>
          <w:rFonts w:ascii="Times New Roman" w:hAnsi="Times New Roman"/>
        </w:rPr>
        <w:t xml:space="preserve"> </w:t>
      </w:r>
      <w:r w:rsidRPr="00A258D3">
        <w:rPr>
          <w:rFonts w:ascii="Times New Roman" w:hAnsi="Times New Roman"/>
        </w:rPr>
        <w:t>performance level</w:t>
      </w:r>
      <w:r>
        <w:rPr>
          <w:rFonts w:ascii="Times New Roman" w:hAnsi="Times New Roman"/>
        </w:rPr>
        <w:t>s and demonstrating how they will be achieved; i</w:t>
      </w:r>
      <w:r w:rsidRPr="00A258D3">
        <w:rPr>
          <w:rFonts w:ascii="Times New Roman" w:hAnsi="Times New Roman"/>
        </w:rPr>
        <w:t>dentif</w:t>
      </w:r>
      <w:r>
        <w:rPr>
          <w:rFonts w:ascii="Times New Roman" w:hAnsi="Times New Roman"/>
        </w:rPr>
        <w:t>ying</w:t>
      </w:r>
      <w:r w:rsidRPr="00A258D3">
        <w:rPr>
          <w:rFonts w:ascii="Times New Roman" w:hAnsi="Times New Roman"/>
        </w:rPr>
        <w:t xml:space="preserve"> emission standards</w:t>
      </w:r>
      <w:r>
        <w:rPr>
          <w:rFonts w:ascii="Times New Roman" w:hAnsi="Times New Roman"/>
        </w:rPr>
        <w:t xml:space="preserve"> and compliance requirements for each affected entity;</w:t>
      </w:r>
      <w:r w:rsidRPr="00A258D3">
        <w:rPr>
          <w:rFonts w:ascii="Times New Roman" w:hAnsi="Times New Roman"/>
        </w:rPr>
        <w:t xml:space="preserve"> </w:t>
      </w:r>
      <w:r>
        <w:rPr>
          <w:rFonts w:ascii="Times New Roman" w:hAnsi="Times New Roman"/>
        </w:rPr>
        <w:t xml:space="preserve">and specifying </w:t>
      </w:r>
      <w:r w:rsidRPr="002C7610">
        <w:rPr>
          <w:rFonts w:ascii="Times New Roman" w:hAnsi="Times New Roman"/>
        </w:rPr>
        <w:t>program implementation milestones</w:t>
      </w:r>
      <w:r>
        <w:rPr>
          <w:rFonts w:ascii="Times New Roman" w:hAnsi="Times New Roman"/>
        </w:rPr>
        <w:t xml:space="preserve">. These emission performance levels, standards, compliance requirements, and milestones will be developed </w:t>
      </w:r>
      <w:r>
        <w:rPr>
          <w:rFonts w:ascii="Times New Roman" w:hAnsi="Times New Roman"/>
        </w:rPr>
        <w:t>during the course of</w:t>
      </w:r>
      <w:r>
        <w:rPr>
          <w:rFonts w:ascii="Times New Roman" w:hAnsi="Times New Roman"/>
        </w:rPr>
        <w:t xml:space="preserve"> this ICR period.</w:t>
      </w:r>
    </w:p>
    <w:p w:rsidR="00AB3A1A" w:rsidRPr="00B443B8" w:rsidP="00AB3A1A" w14:paraId="6F81DECC" w14:textId="77777777">
      <w:pPr>
        <w:pStyle w:val="Heading1"/>
      </w:pPr>
      <w:r w:rsidRPr="00B443B8">
        <w:t>3.</w:t>
      </w:r>
      <w:r w:rsidRPr="00B443B8">
        <w:tab/>
        <w:t>Nonduplication, Consultations, and Other Collection Criteria</w:t>
      </w:r>
    </w:p>
    <w:p w:rsidR="00AB3A1A" w:rsidRPr="00B82754" w:rsidP="00AB3A1A" w14:paraId="644D2D98" w14:textId="77777777">
      <w:pPr>
        <w:pStyle w:val="Heading2"/>
        <w:spacing w:after="240"/>
        <w:rPr>
          <w:i/>
          <w:iCs/>
        </w:rPr>
      </w:pPr>
      <w:r>
        <w:rPr>
          <w:i/>
        </w:rPr>
        <w:t>3</w:t>
      </w:r>
      <w:r w:rsidRPr="00B443B8">
        <w:rPr>
          <w:i/>
        </w:rPr>
        <w:t>(a)</w:t>
      </w:r>
      <w:r w:rsidRPr="00B443B8">
        <w:rPr>
          <w:i/>
        </w:rPr>
        <w:tab/>
        <w:t>Nonduplication</w:t>
      </w:r>
      <w:r>
        <w:rPr>
          <w:i/>
        </w:rPr>
        <w:t>.</w:t>
      </w:r>
    </w:p>
    <w:p w:rsidR="00AB3A1A" w:rsidP="00AB3A1A" w14:paraId="7FDB1939" w14:textId="77777777">
      <w:pPr>
        <w:pStyle w:val="Para"/>
        <w:rPr>
          <w:rFonts w:ascii="Times New Roman" w:hAnsi="Times New Roman"/>
          <w:szCs w:val="24"/>
        </w:rPr>
      </w:pPr>
      <w:r>
        <w:rPr>
          <w:rFonts w:ascii="Times New Roman" w:eastAsia="Times New Roman" w:hAnsi="Times New Roman"/>
          <w:bCs/>
          <w:szCs w:val="24"/>
        </w:rPr>
        <w:t>As previously stated, t</w:t>
      </w:r>
      <w:r w:rsidRPr="00FE3E4D">
        <w:rPr>
          <w:rFonts w:ascii="Times New Roman" w:eastAsia="Times New Roman" w:hAnsi="Times New Roman"/>
          <w:bCs/>
          <w:szCs w:val="24"/>
        </w:rPr>
        <w:t xml:space="preserve">his </w:t>
      </w:r>
      <w:r>
        <w:rPr>
          <w:rFonts w:ascii="Times New Roman" w:eastAsia="Times New Roman" w:hAnsi="Times New Roman"/>
          <w:bCs/>
          <w:szCs w:val="24"/>
        </w:rPr>
        <w:t xml:space="preserve">action </w:t>
      </w:r>
      <w:r w:rsidRPr="00FE3E4D">
        <w:rPr>
          <w:rFonts w:ascii="Times New Roman" w:eastAsia="Times New Roman" w:hAnsi="Times New Roman"/>
          <w:bCs/>
          <w:szCs w:val="24"/>
        </w:rPr>
        <w:t>impose</w:t>
      </w:r>
      <w:r>
        <w:rPr>
          <w:rFonts w:ascii="Times New Roman" w:eastAsia="Times New Roman" w:hAnsi="Times New Roman"/>
          <w:bCs/>
          <w:szCs w:val="24"/>
        </w:rPr>
        <w:t>s</w:t>
      </w:r>
      <w:r w:rsidRPr="00FE3E4D">
        <w:rPr>
          <w:rFonts w:ascii="Times New Roman" w:eastAsia="Times New Roman" w:hAnsi="Times New Roman"/>
          <w:bCs/>
          <w:szCs w:val="24"/>
        </w:rPr>
        <w:t xml:space="preserve"> </w:t>
      </w:r>
      <w:r>
        <w:rPr>
          <w:rFonts w:ascii="Times New Roman" w:eastAsia="Times New Roman" w:hAnsi="Times New Roman"/>
          <w:bCs/>
          <w:szCs w:val="24"/>
        </w:rPr>
        <w:t>no</w:t>
      </w:r>
      <w:r w:rsidRPr="00FE3E4D">
        <w:rPr>
          <w:rFonts w:ascii="Times New Roman" w:eastAsia="Times New Roman" w:hAnsi="Times New Roman"/>
          <w:bCs/>
          <w:szCs w:val="24"/>
        </w:rPr>
        <w:t xml:space="preserve"> new information collection burden on affected sources</w:t>
      </w:r>
      <w:r w:rsidRPr="00FE3E4D">
        <w:rPr>
          <w:rFonts w:ascii="Times New Roman" w:eastAsia="Times New Roman" w:hAnsi="Times New Roman"/>
          <w:szCs w:val="24"/>
        </w:rPr>
        <w:t xml:space="preserve"> </w:t>
      </w:r>
      <w:r>
        <w:rPr>
          <w:rFonts w:ascii="Times New Roman" w:eastAsia="Times New Roman" w:hAnsi="Times New Roman"/>
          <w:szCs w:val="24"/>
        </w:rPr>
        <w:t xml:space="preserve">(oil and natural gas facilities) </w:t>
      </w:r>
      <w:r w:rsidRPr="00E4481C">
        <w:rPr>
          <w:rFonts w:ascii="Times New Roman" w:hAnsi="Times New Roman"/>
        </w:rPr>
        <w:t>during the first 3 years after final rule promulgation</w:t>
      </w:r>
      <w:r>
        <w:rPr>
          <w:rFonts w:ascii="Times New Roman" w:hAnsi="Times New Roman"/>
        </w:rPr>
        <w:t xml:space="preserve">, </w:t>
      </w:r>
      <w:r w:rsidRPr="00FE3E4D">
        <w:rPr>
          <w:rFonts w:ascii="Times New Roman" w:eastAsia="Times New Roman" w:hAnsi="Times New Roman"/>
          <w:szCs w:val="24"/>
        </w:rPr>
        <w:t xml:space="preserve">beyond what those sources would already be subject to under the authorities of </w:t>
      </w:r>
      <w:r>
        <w:rPr>
          <w:rFonts w:ascii="Times New Roman" w:eastAsia="Times New Roman" w:hAnsi="Times New Roman"/>
          <w:szCs w:val="24"/>
        </w:rPr>
        <w:t>40 CFR</w:t>
      </w:r>
      <w:r w:rsidRPr="00FE3E4D">
        <w:rPr>
          <w:rFonts w:ascii="Times New Roman" w:eastAsia="Times New Roman" w:hAnsi="Times New Roman"/>
          <w:szCs w:val="24"/>
        </w:rPr>
        <w:t xml:space="preserve"> parts 75 and 98.</w:t>
      </w:r>
      <w:r w:rsidRPr="00FE3E4D">
        <w:rPr>
          <w:rFonts w:ascii="Times New Roman" w:hAnsi="Times New Roman"/>
          <w:b/>
          <w:color w:val="0000FF"/>
          <w:szCs w:val="24"/>
        </w:rPr>
        <w:t xml:space="preserve"> </w:t>
      </w:r>
      <w:r>
        <w:rPr>
          <w:rFonts w:ascii="Times New Roman" w:hAnsi="Times New Roman"/>
          <w:szCs w:val="24"/>
        </w:rPr>
        <w:t>T</w:t>
      </w:r>
      <w:r w:rsidRPr="00FE3E4D">
        <w:rPr>
          <w:rFonts w:ascii="Times New Roman" w:hAnsi="Times New Roman"/>
          <w:szCs w:val="24"/>
        </w:rPr>
        <w:t>here are no new information collec</w:t>
      </w:r>
      <w:r>
        <w:rPr>
          <w:rFonts w:ascii="Times New Roman" w:hAnsi="Times New Roman"/>
          <w:szCs w:val="24"/>
        </w:rPr>
        <w:t>tion costs;</w:t>
      </w:r>
      <w:r w:rsidRPr="00FE3E4D">
        <w:rPr>
          <w:rFonts w:ascii="Times New Roman" w:hAnsi="Times New Roman"/>
          <w:szCs w:val="24"/>
        </w:rPr>
        <w:t xml:space="preserve"> the information required by th</w:t>
      </w:r>
      <w:r>
        <w:rPr>
          <w:rFonts w:ascii="Times New Roman" w:hAnsi="Times New Roman"/>
          <w:szCs w:val="24"/>
        </w:rPr>
        <w:t>ese</w:t>
      </w:r>
      <w:r w:rsidRPr="00FE3E4D">
        <w:rPr>
          <w:rFonts w:ascii="Times New Roman" w:hAnsi="Times New Roman"/>
          <w:szCs w:val="24"/>
        </w:rPr>
        <w:t xml:space="preserve"> </w:t>
      </w:r>
      <w:r>
        <w:rPr>
          <w:rFonts w:ascii="Times New Roman" w:hAnsi="Times New Roman"/>
          <w:szCs w:val="24"/>
        </w:rPr>
        <w:t xml:space="preserve">guidelines </w:t>
      </w:r>
      <w:r w:rsidRPr="00FE3E4D">
        <w:rPr>
          <w:rFonts w:ascii="Times New Roman" w:hAnsi="Times New Roman"/>
          <w:szCs w:val="24"/>
        </w:rPr>
        <w:t xml:space="preserve">is already collected </w:t>
      </w:r>
      <w:r w:rsidRPr="00F7243D">
        <w:rPr>
          <w:rFonts w:ascii="Times New Roman" w:hAnsi="Times New Roman"/>
          <w:szCs w:val="24"/>
        </w:rPr>
        <w:t xml:space="preserve">and reported by other </w:t>
      </w:r>
      <w:r w:rsidRPr="00AD5CAB">
        <w:rPr>
          <w:rFonts w:ascii="Times New Roman" w:hAnsi="Times New Roman"/>
          <w:szCs w:val="24"/>
        </w:rPr>
        <w:t xml:space="preserve">regulatory programs. </w:t>
      </w:r>
      <w:r w:rsidRPr="00AD5CAB">
        <w:rPr>
          <w:rFonts w:ascii="Times New Roman" w:hAnsi="Times New Roman"/>
        </w:rPr>
        <w:t>Therefore, no duplication exists</w:t>
      </w:r>
      <w:r>
        <w:rPr>
          <w:rFonts w:ascii="Times New Roman" w:hAnsi="Times New Roman"/>
        </w:rPr>
        <w:t xml:space="preserve"> for the affected industry</w:t>
      </w:r>
      <w:r>
        <w:rPr>
          <w:rFonts w:ascii="Times New Roman" w:hAnsi="Times New Roman"/>
          <w:szCs w:val="24"/>
        </w:rPr>
        <w:t>.</w:t>
      </w:r>
      <w:r>
        <w:rPr>
          <w:rStyle w:val="FootnoteReference"/>
          <w:rFonts w:ascii="Times New Roman" w:hAnsi="Times New Roman"/>
          <w:szCs w:val="24"/>
        </w:rPr>
        <w:footnoteReference w:id="6"/>
      </w:r>
    </w:p>
    <w:p w:rsidR="00AB3A1A" w:rsidRPr="00AD5CAB" w:rsidP="00AB3A1A" w14:paraId="1363AD53" w14:textId="77777777">
      <w:pPr>
        <w:pStyle w:val="Para"/>
        <w:rPr>
          <w:rFonts w:ascii="Times New Roman" w:hAnsi="Times New Roman"/>
        </w:rPr>
      </w:pPr>
      <w:r w:rsidRPr="00FD183B">
        <w:rPr>
          <w:rFonts w:ascii="Times New Roman" w:hAnsi="Times New Roman"/>
          <w:szCs w:val="24"/>
        </w:rPr>
        <w:t xml:space="preserve">If a </w:t>
      </w:r>
      <w:r>
        <w:rPr>
          <w:rFonts w:ascii="Times New Roman" w:hAnsi="Times New Roman"/>
          <w:szCs w:val="24"/>
        </w:rPr>
        <w:t>state p</w:t>
      </w:r>
      <w:r w:rsidRPr="00FD183B">
        <w:rPr>
          <w:rFonts w:ascii="Times New Roman" w:hAnsi="Times New Roman"/>
          <w:szCs w:val="24"/>
        </w:rPr>
        <w:t xml:space="preserve">lan is disapproved, the </w:t>
      </w:r>
      <w:r>
        <w:rPr>
          <w:rFonts w:ascii="Times New Roman" w:hAnsi="Times New Roman"/>
          <w:szCs w:val="24"/>
        </w:rPr>
        <w:t>respondent (s</w:t>
      </w:r>
      <w:r w:rsidRPr="00FD183B">
        <w:rPr>
          <w:rFonts w:ascii="Times New Roman" w:hAnsi="Times New Roman"/>
          <w:szCs w:val="24"/>
        </w:rPr>
        <w:t>tate</w:t>
      </w:r>
      <w:r>
        <w:rPr>
          <w:rFonts w:ascii="Times New Roman" w:hAnsi="Times New Roman"/>
          <w:szCs w:val="24"/>
        </w:rPr>
        <w:t>)</w:t>
      </w:r>
      <w:r w:rsidRPr="00FD183B">
        <w:rPr>
          <w:rFonts w:ascii="Times New Roman" w:hAnsi="Times New Roman"/>
          <w:szCs w:val="24"/>
        </w:rPr>
        <w:t xml:space="preserve"> can respond to EPA’s concerns and submit a revised plan. If </w:t>
      </w:r>
      <w:r>
        <w:rPr>
          <w:rFonts w:ascii="Times New Roman" w:hAnsi="Times New Roman"/>
          <w:szCs w:val="24"/>
        </w:rPr>
        <w:t>an approvable p</w:t>
      </w:r>
      <w:r w:rsidRPr="00FD183B">
        <w:rPr>
          <w:rFonts w:ascii="Times New Roman" w:hAnsi="Times New Roman"/>
          <w:szCs w:val="24"/>
        </w:rPr>
        <w:t xml:space="preserve">lan </w:t>
      </w:r>
      <w:r>
        <w:rPr>
          <w:rFonts w:ascii="Times New Roman" w:hAnsi="Times New Roman"/>
          <w:szCs w:val="24"/>
        </w:rPr>
        <w:t xml:space="preserve">is not submitted by the state, the </w:t>
      </w:r>
      <w:r w:rsidRPr="00FD183B">
        <w:rPr>
          <w:rFonts w:ascii="Times New Roman" w:hAnsi="Times New Roman"/>
          <w:szCs w:val="24"/>
        </w:rPr>
        <w:t>EPA will</w:t>
      </w:r>
      <w:r>
        <w:rPr>
          <w:rFonts w:ascii="Times New Roman" w:hAnsi="Times New Roman"/>
          <w:szCs w:val="24"/>
        </w:rPr>
        <w:t xml:space="preserve"> implement a federal p</w:t>
      </w:r>
      <w:r w:rsidRPr="00FD183B">
        <w:rPr>
          <w:rFonts w:ascii="Times New Roman" w:hAnsi="Times New Roman"/>
          <w:szCs w:val="24"/>
        </w:rPr>
        <w:t xml:space="preserve">lan that applies to existing </w:t>
      </w:r>
      <w:r>
        <w:rPr>
          <w:rFonts w:ascii="Times New Roman" w:hAnsi="Times New Roman"/>
          <w:szCs w:val="24"/>
        </w:rPr>
        <w:t>sources</w:t>
      </w:r>
      <w:r w:rsidRPr="00FD183B">
        <w:rPr>
          <w:rFonts w:ascii="Times New Roman" w:hAnsi="Times New Roman"/>
          <w:szCs w:val="24"/>
        </w:rPr>
        <w:t xml:space="preserve"> in the </w:t>
      </w:r>
      <w:r>
        <w:rPr>
          <w:rFonts w:ascii="Times New Roman" w:hAnsi="Times New Roman"/>
          <w:szCs w:val="24"/>
        </w:rPr>
        <w:t>s</w:t>
      </w:r>
      <w:r w:rsidRPr="00FD183B">
        <w:rPr>
          <w:rFonts w:ascii="Times New Roman" w:hAnsi="Times New Roman"/>
          <w:szCs w:val="24"/>
        </w:rPr>
        <w:t xml:space="preserve">tate. Consequently, the information would be submitted to the appropriate EPA </w:t>
      </w:r>
      <w:r>
        <w:rPr>
          <w:rFonts w:ascii="Times New Roman" w:hAnsi="Times New Roman"/>
          <w:szCs w:val="24"/>
        </w:rPr>
        <w:t>r</w:t>
      </w:r>
      <w:r w:rsidRPr="00FD183B">
        <w:rPr>
          <w:rFonts w:ascii="Times New Roman" w:hAnsi="Times New Roman"/>
          <w:szCs w:val="24"/>
        </w:rPr>
        <w:t xml:space="preserve">egional office, until such time as the </w:t>
      </w:r>
      <w:r>
        <w:rPr>
          <w:rFonts w:ascii="Times New Roman" w:hAnsi="Times New Roman"/>
          <w:szCs w:val="24"/>
        </w:rPr>
        <w:t>s</w:t>
      </w:r>
      <w:r w:rsidRPr="00FD183B">
        <w:rPr>
          <w:rFonts w:ascii="Times New Roman" w:hAnsi="Times New Roman"/>
          <w:szCs w:val="24"/>
        </w:rPr>
        <w:t>tate</w:t>
      </w:r>
      <w:r>
        <w:rPr>
          <w:rFonts w:ascii="Times New Roman" w:hAnsi="Times New Roman"/>
          <w:szCs w:val="24"/>
        </w:rPr>
        <w:t xml:space="preserve"> </w:t>
      </w:r>
      <w:r w:rsidRPr="00FD183B">
        <w:rPr>
          <w:rFonts w:ascii="Times New Roman" w:hAnsi="Times New Roman"/>
          <w:szCs w:val="24"/>
        </w:rPr>
        <w:t>is delegated this authority.</w:t>
      </w:r>
      <w:r>
        <w:rPr>
          <w:rFonts w:ascii="Times New Roman" w:hAnsi="Times New Roman"/>
          <w:szCs w:val="24"/>
        </w:rPr>
        <w:t xml:space="preserve"> </w:t>
      </w:r>
      <w:r w:rsidRPr="00AD5CAB">
        <w:rPr>
          <w:rFonts w:ascii="Times New Roman" w:hAnsi="Times New Roman"/>
        </w:rPr>
        <w:t>Therefore, no duplication exists</w:t>
      </w:r>
      <w:r>
        <w:rPr>
          <w:rFonts w:ascii="Times New Roman" w:hAnsi="Times New Roman"/>
        </w:rPr>
        <w:t xml:space="preserve"> for states</w:t>
      </w:r>
      <w:r w:rsidRPr="00AD5CAB">
        <w:rPr>
          <w:rFonts w:ascii="Times New Roman" w:hAnsi="Times New Roman"/>
        </w:rPr>
        <w:t xml:space="preserve">. </w:t>
      </w:r>
    </w:p>
    <w:p w:rsidR="00AB3A1A" w:rsidRPr="00AD5CAB" w:rsidP="00AB3A1A" w14:paraId="71FD0850" w14:textId="77777777">
      <w:pPr>
        <w:pStyle w:val="Heading2"/>
        <w:spacing w:after="240"/>
        <w:rPr>
          <w:i/>
          <w:iCs/>
        </w:rPr>
      </w:pPr>
      <w:r>
        <w:rPr>
          <w:i/>
        </w:rPr>
        <w:t>3</w:t>
      </w:r>
      <w:r w:rsidRPr="00AD5CAB">
        <w:rPr>
          <w:i/>
        </w:rPr>
        <w:t>(b)</w:t>
      </w:r>
      <w:r w:rsidRPr="00AD5CAB">
        <w:rPr>
          <w:i/>
        </w:rPr>
        <w:tab/>
        <w:t>Public Notice Required Prior to ICR Submission to OMB</w:t>
      </w:r>
      <w:r>
        <w:rPr>
          <w:i/>
        </w:rPr>
        <w:t>.</w:t>
      </w:r>
    </w:p>
    <w:p w:rsidR="00AB3A1A" w:rsidRPr="00946040" w:rsidP="00AB3A1A" w14:paraId="1334E9FD" w14:textId="77777777">
      <w:pPr>
        <w:pStyle w:val="Para"/>
        <w:rPr>
          <w:rFonts w:ascii="Times New Roman" w:hAnsi="Times New Roman"/>
        </w:rPr>
      </w:pPr>
      <w:r>
        <w:rPr>
          <w:rFonts w:ascii="Times New Roman" w:hAnsi="Times New Roman"/>
        </w:rPr>
        <w:t>Public notice is provided in the preamble to the proposed rule.</w:t>
      </w:r>
    </w:p>
    <w:p w:rsidR="00AB3A1A" w:rsidRPr="00946040" w:rsidP="00AB3A1A" w14:paraId="70014B60" w14:textId="77777777">
      <w:pPr>
        <w:pStyle w:val="Heading2"/>
        <w:spacing w:after="240"/>
        <w:rPr>
          <w:i/>
          <w:iCs/>
          <w:highlight w:val="yellow"/>
        </w:rPr>
      </w:pPr>
      <w:r>
        <w:rPr>
          <w:i/>
        </w:rPr>
        <w:t>3</w:t>
      </w:r>
      <w:r w:rsidRPr="00946040">
        <w:rPr>
          <w:i/>
        </w:rPr>
        <w:t>(c)</w:t>
      </w:r>
      <w:r w:rsidRPr="00946040">
        <w:rPr>
          <w:i/>
        </w:rPr>
        <w:tab/>
        <w:t>Consultations</w:t>
      </w:r>
      <w:r>
        <w:rPr>
          <w:i/>
        </w:rPr>
        <w:t>.</w:t>
      </w:r>
    </w:p>
    <w:p w:rsidR="00AB3A1A" w:rsidP="00AB3A1A" w14:paraId="7CB5921D" w14:textId="77777777">
      <w:pPr>
        <w:spacing w:after="120"/>
        <w:ind w:firstLine="720"/>
      </w:pPr>
      <w:r>
        <w:t>T</w:t>
      </w:r>
      <w:r w:rsidRPr="003248FD">
        <w:t>h</w:t>
      </w:r>
      <w:r>
        <w:t>e</w:t>
      </w:r>
      <w:r w:rsidRPr="003248FD">
        <w:t xml:space="preserve"> </w:t>
      </w:r>
      <w:r>
        <w:t xml:space="preserve">November 21, 2021, </w:t>
      </w:r>
      <w:r w:rsidRPr="003248FD">
        <w:t xml:space="preserve">proposed rule </w:t>
      </w:r>
      <w:r>
        <w:t>and 2022 supplemental proposal were</w:t>
      </w:r>
      <w:r w:rsidRPr="003248FD">
        <w:t xml:space="preserve"> developed after extensive and vigorous outreach to stakeholders and the </w:t>
      </w:r>
      <w:r w:rsidRPr="003248FD">
        <w:t>general publi</w:t>
      </w:r>
      <w:r>
        <w:t>c</w:t>
      </w:r>
      <w:r>
        <w:t xml:space="preserve">. This included public comments received on the November 21, 2021, </w:t>
      </w:r>
      <w:r>
        <w:t>proposal</w:t>
      </w:r>
      <w:r>
        <w:t xml:space="preserve"> and multiple meetings with a variety of stakeholders</w:t>
      </w:r>
      <w:r w:rsidRPr="003248FD">
        <w:t>.</w:t>
      </w:r>
      <w:r>
        <w:t xml:space="preserve"> </w:t>
      </w:r>
      <w:r w:rsidRPr="004A2ACF">
        <w:t xml:space="preserve">The EPA recognizes the importance of working with all stakeholders, and </w:t>
      </w:r>
      <w:r w:rsidRPr="004A2ACF">
        <w:t>in particular with</w:t>
      </w:r>
      <w:r w:rsidRPr="004A2ACF">
        <w:t xml:space="preserve"> the states, to ensure a clear and common understanding of the role the states will play in addressing </w:t>
      </w:r>
      <w:r>
        <w:t>GHG pollution from oil and natural gas facilities</w:t>
      </w:r>
      <w:r w:rsidRPr="004A2ACF">
        <w:t xml:space="preserve">. </w:t>
      </w:r>
    </w:p>
    <w:p w:rsidR="00AB3A1A" w:rsidRPr="003248FD" w:rsidP="00AB3A1A" w14:paraId="5CB366A2" w14:textId="77777777">
      <w:pPr>
        <w:spacing w:after="120"/>
        <w:ind w:firstLine="720"/>
      </w:pPr>
      <w:r w:rsidRPr="003248FD">
        <w:t xml:space="preserve">This outreach process has produced a wealth of information. The EPA has taken information from these meetings and used it to inform </w:t>
      </w:r>
      <w:r>
        <w:t xml:space="preserve">these proposed emission guidelines. </w:t>
      </w:r>
      <w:r w:rsidRPr="003248FD">
        <w:t xml:space="preserve">The </w:t>
      </w:r>
      <w:r>
        <w:t>EPA expects that a dialog with s</w:t>
      </w:r>
      <w:r w:rsidRPr="003248FD">
        <w:t xml:space="preserve">tates and </w:t>
      </w:r>
      <w:r>
        <w:t xml:space="preserve">other </w:t>
      </w:r>
      <w:r w:rsidRPr="003248FD">
        <w:t xml:space="preserve">stakeholders will continue </w:t>
      </w:r>
      <w:r>
        <w:t xml:space="preserve">post-proposal and </w:t>
      </w:r>
      <w:r w:rsidRPr="00491960">
        <w:t>EPA will continue to engage in consultation during the development of th</w:t>
      </w:r>
      <w:r>
        <w:t>e final emission guidelines</w:t>
      </w:r>
      <w:r w:rsidRPr="00491960">
        <w:t>.</w:t>
      </w:r>
    </w:p>
    <w:p w:rsidR="00AB3A1A" w:rsidRPr="00E545A0" w:rsidP="00AB3A1A" w14:paraId="697537AE" w14:textId="77777777">
      <w:pPr>
        <w:pStyle w:val="Heading2"/>
        <w:spacing w:after="240"/>
        <w:rPr>
          <w:i/>
          <w:iCs/>
        </w:rPr>
      </w:pPr>
      <w:r>
        <w:rPr>
          <w:i/>
        </w:rPr>
        <w:t>3</w:t>
      </w:r>
      <w:r w:rsidRPr="00E545A0">
        <w:rPr>
          <w:i/>
        </w:rPr>
        <w:t>(d)</w:t>
      </w:r>
      <w:r w:rsidRPr="00E545A0">
        <w:rPr>
          <w:i/>
        </w:rPr>
        <w:tab/>
        <w:t>Effects of Less Frequent Collection</w:t>
      </w:r>
      <w:r>
        <w:rPr>
          <w:i/>
        </w:rPr>
        <w:t>.</w:t>
      </w:r>
    </w:p>
    <w:p w:rsidR="00AB3A1A" w:rsidRPr="00E545A0" w:rsidP="00AB3A1A" w14:paraId="50E5FE74" w14:textId="77777777">
      <w:pPr>
        <w:pStyle w:val="Para"/>
        <w:rPr>
          <w:rFonts w:ascii="Times New Roman" w:hAnsi="Times New Roman"/>
        </w:rPr>
      </w:pPr>
      <w:r>
        <w:rPr>
          <w:rFonts w:ascii="Times New Roman" w:hAnsi="Times New Roman"/>
        </w:rPr>
        <w:t>This section is not applicable because respondents for this 3-year ICR period do not include designated facilities, and annual reports from states will be submitted after the 3-year ICR period.</w:t>
      </w:r>
    </w:p>
    <w:p w:rsidR="00AB3A1A" w:rsidRPr="0068644D" w:rsidP="00AB3A1A" w14:paraId="225F85BA" w14:textId="77777777">
      <w:pPr>
        <w:pStyle w:val="Heading2"/>
        <w:spacing w:after="240"/>
        <w:rPr>
          <w:i/>
          <w:iCs/>
        </w:rPr>
      </w:pPr>
      <w:r>
        <w:rPr>
          <w:i/>
        </w:rPr>
        <w:t>3</w:t>
      </w:r>
      <w:r w:rsidRPr="0068644D">
        <w:rPr>
          <w:i/>
        </w:rPr>
        <w:t>(e)</w:t>
      </w:r>
      <w:r w:rsidRPr="0068644D">
        <w:rPr>
          <w:i/>
        </w:rPr>
        <w:tab/>
        <w:t>General Guidelines</w:t>
      </w:r>
      <w:r>
        <w:rPr>
          <w:i/>
        </w:rPr>
        <w:t>.</w:t>
      </w:r>
    </w:p>
    <w:p w:rsidR="00AB3A1A" w:rsidRPr="009B35B5" w:rsidP="00AB3A1A" w14:paraId="459A0564" w14:textId="77777777">
      <w:pPr>
        <w:pStyle w:val="Para"/>
        <w:rPr>
          <w:rFonts w:ascii="Times New Roman" w:hAnsi="Times New Roman"/>
        </w:rPr>
      </w:pPr>
      <w:r w:rsidRPr="009B35B5">
        <w:rPr>
          <w:rFonts w:ascii="Times New Roman" w:hAnsi="Times New Roman"/>
        </w:rPr>
        <w:t>None of the guidelines in 5 CFR 1320.5 are being exceeded.</w:t>
      </w:r>
    </w:p>
    <w:p w:rsidR="00AB3A1A" w:rsidRPr="0068644D" w:rsidP="00AB3A1A" w14:paraId="40CD987B" w14:textId="77777777">
      <w:pPr>
        <w:pStyle w:val="Heading2"/>
        <w:spacing w:after="240"/>
        <w:rPr>
          <w:i/>
          <w:iCs/>
        </w:rPr>
      </w:pPr>
      <w:r>
        <w:rPr>
          <w:i/>
        </w:rPr>
        <w:t>3</w:t>
      </w:r>
      <w:r w:rsidRPr="0068644D">
        <w:rPr>
          <w:i/>
        </w:rPr>
        <w:t>(f)</w:t>
      </w:r>
      <w:r w:rsidRPr="0068644D">
        <w:rPr>
          <w:i/>
        </w:rPr>
        <w:tab/>
        <w:t>Confidentiality</w:t>
      </w:r>
      <w:r>
        <w:rPr>
          <w:i/>
        </w:rPr>
        <w:t>.</w:t>
      </w:r>
    </w:p>
    <w:p w:rsidR="00AB3A1A" w:rsidRPr="009B35B5" w:rsidP="00AB3A1A" w14:paraId="2A5F87A4" w14:textId="77777777">
      <w:pPr>
        <w:pStyle w:val="Para"/>
        <w:rPr>
          <w:rFonts w:ascii="Times New Roman" w:hAnsi="Times New Roman"/>
        </w:rPr>
      </w:pPr>
      <w:r w:rsidRPr="009B35B5">
        <w:rPr>
          <w:rFonts w:ascii="Times New Roman" w:hAnsi="Times New Roman"/>
        </w:rPr>
        <w:t xml:space="preserve">All information submitted to the </w:t>
      </w:r>
      <w:r>
        <w:rPr>
          <w:rFonts w:ascii="Times New Roman" w:hAnsi="Times New Roman"/>
        </w:rPr>
        <w:t>A</w:t>
      </w:r>
      <w:r w:rsidRPr="009B35B5">
        <w:rPr>
          <w:rFonts w:ascii="Times New Roman" w:hAnsi="Times New Roman"/>
        </w:rPr>
        <w:t xml:space="preserve">gency for which a claim of confidentiality is made will be safeguarded according to the </w:t>
      </w:r>
      <w:r>
        <w:rPr>
          <w:rFonts w:ascii="Times New Roman" w:hAnsi="Times New Roman"/>
        </w:rPr>
        <w:t>a</w:t>
      </w:r>
      <w:r w:rsidRPr="009B35B5">
        <w:rPr>
          <w:rFonts w:ascii="Times New Roman" w:hAnsi="Times New Roman"/>
        </w:rPr>
        <w:t>gency policies set forth in Title 40, Chapter 1, part 2, subpart B–Confidentiality of Business Information (see 40 CFR 2; 41 FR 36902, September 1, 1976; amended by 43 FR 39999, September 28, 1978; 43 FR 42251, September 28, 1978; 44 FR 17674, March 23, 1979).</w:t>
      </w:r>
    </w:p>
    <w:p w:rsidR="00AB3A1A" w:rsidRPr="0068644D" w:rsidP="00AB3A1A" w14:paraId="2DE37A11" w14:textId="77777777">
      <w:pPr>
        <w:pStyle w:val="Heading2"/>
        <w:spacing w:after="240"/>
        <w:rPr>
          <w:i/>
          <w:iCs/>
        </w:rPr>
      </w:pPr>
      <w:r>
        <w:rPr>
          <w:i/>
        </w:rPr>
        <w:t>3</w:t>
      </w:r>
      <w:r w:rsidRPr="0068644D">
        <w:rPr>
          <w:i/>
        </w:rPr>
        <w:t>(g)</w:t>
      </w:r>
      <w:r w:rsidRPr="0068644D">
        <w:rPr>
          <w:i/>
        </w:rPr>
        <w:tab/>
        <w:t>Sensitive Questions</w:t>
      </w:r>
      <w:r>
        <w:rPr>
          <w:i/>
        </w:rPr>
        <w:t>.</w:t>
      </w:r>
    </w:p>
    <w:p w:rsidR="00AB3A1A" w:rsidRPr="009B35B5" w:rsidP="00AB3A1A" w14:paraId="0ACEAFB4" w14:textId="77777777">
      <w:pPr>
        <w:pStyle w:val="Para"/>
        <w:rPr>
          <w:rFonts w:ascii="Times New Roman" w:hAnsi="Times New Roman"/>
        </w:rPr>
      </w:pPr>
      <w:r w:rsidRPr="009B35B5">
        <w:rPr>
          <w:rFonts w:ascii="Times New Roman" w:hAnsi="Times New Roman"/>
        </w:rPr>
        <w:t>This section is not applicable because this ICR does not involve matters of a sensitive nature.</w:t>
      </w:r>
    </w:p>
    <w:p w:rsidR="00AB3A1A" w:rsidRPr="009B35B5" w:rsidP="00AB3A1A" w14:paraId="3637317B" w14:textId="77777777">
      <w:pPr>
        <w:pStyle w:val="Heading1"/>
      </w:pPr>
      <w:r w:rsidRPr="009B35B5">
        <w:t>4.</w:t>
      </w:r>
      <w:r w:rsidRPr="009B35B5">
        <w:tab/>
        <w:t>The Respondents and the Information Requested</w:t>
      </w:r>
    </w:p>
    <w:p w:rsidR="00AB3A1A" w:rsidRPr="007E09A5" w:rsidP="00AB3A1A" w14:paraId="7E721226" w14:textId="77777777">
      <w:pPr>
        <w:pStyle w:val="Heading2"/>
        <w:spacing w:after="240"/>
        <w:rPr>
          <w:i/>
          <w:iCs/>
        </w:rPr>
      </w:pPr>
      <w:r>
        <w:rPr>
          <w:i/>
        </w:rPr>
        <w:t>4</w:t>
      </w:r>
      <w:r w:rsidRPr="0068644D">
        <w:rPr>
          <w:i/>
        </w:rPr>
        <w:t>(a)</w:t>
      </w:r>
      <w:r w:rsidRPr="0068644D">
        <w:rPr>
          <w:i/>
        </w:rPr>
        <w:tab/>
        <w:t>Respondents/NAICS C</w:t>
      </w:r>
      <w:r w:rsidRPr="007E09A5">
        <w:rPr>
          <w:i/>
        </w:rPr>
        <w:t>odes</w:t>
      </w:r>
      <w:r>
        <w:rPr>
          <w:i/>
        </w:rPr>
        <w:t>.</w:t>
      </w:r>
    </w:p>
    <w:p w:rsidR="00AB3A1A" w:rsidP="00AB3A1A" w14:paraId="792F2D2B" w14:textId="77777777">
      <w:pPr>
        <w:pStyle w:val="Para"/>
        <w:rPr>
          <w:rFonts w:ascii="Times New Roman" w:hAnsi="Times New Roman"/>
        </w:rPr>
      </w:pPr>
      <w:r w:rsidRPr="00D4584F">
        <w:rPr>
          <w:rFonts w:ascii="Times New Roman" w:hAnsi="Times New Roman"/>
        </w:rPr>
        <w:t xml:space="preserve">The respondents </w:t>
      </w:r>
      <w:r>
        <w:rPr>
          <w:rFonts w:ascii="Times New Roman" w:hAnsi="Times New Roman"/>
        </w:rPr>
        <w:t xml:space="preserve">that would be </w:t>
      </w:r>
      <w:r w:rsidRPr="00D4584F">
        <w:rPr>
          <w:rFonts w:ascii="Times New Roman" w:hAnsi="Times New Roman"/>
        </w:rPr>
        <w:t>expected to incur new information collection burden</w:t>
      </w:r>
      <w:r>
        <w:rPr>
          <w:rFonts w:ascii="Times New Roman" w:hAnsi="Times New Roman"/>
        </w:rPr>
        <w:t xml:space="preserve"> under subpart </w:t>
      </w:r>
      <w:r>
        <w:rPr>
          <w:rFonts w:ascii="Times New Roman" w:hAnsi="Times New Roman"/>
        </w:rPr>
        <w:t>OOOOc</w:t>
      </w:r>
      <w:r>
        <w:rPr>
          <w:rFonts w:ascii="Times New Roman" w:hAnsi="Times New Roman"/>
        </w:rPr>
        <w:t xml:space="preserve"> </w:t>
      </w:r>
      <w:r w:rsidRPr="00D4584F">
        <w:rPr>
          <w:rFonts w:ascii="Times New Roman" w:hAnsi="Times New Roman"/>
        </w:rPr>
        <w:t xml:space="preserve">are those </w:t>
      </w:r>
      <w:r>
        <w:rPr>
          <w:rFonts w:ascii="Times New Roman" w:hAnsi="Times New Roman"/>
        </w:rPr>
        <w:t>s</w:t>
      </w:r>
      <w:r w:rsidRPr="00D4584F">
        <w:rPr>
          <w:rFonts w:ascii="Times New Roman" w:hAnsi="Times New Roman"/>
        </w:rPr>
        <w:t>tates</w:t>
      </w:r>
      <w:r>
        <w:rPr>
          <w:rFonts w:ascii="Times New Roman" w:hAnsi="Times New Roman"/>
        </w:rPr>
        <w:t xml:space="preserve"> </w:t>
      </w:r>
      <w:r w:rsidRPr="00D4584F">
        <w:rPr>
          <w:rFonts w:ascii="Times New Roman" w:hAnsi="Times New Roman"/>
        </w:rPr>
        <w:t>with one</w:t>
      </w:r>
      <w:r>
        <w:rPr>
          <w:rFonts w:ascii="Times New Roman" w:hAnsi="Times New Roman"/>
        </w:rPr>
        <w:t xml:space="preserve"> or more designated facilities covered under this</w:t>
      </w:r>
      <w:r w:rsidRPr="00D4584F">
        <w:rPr>
          <w:rFonts w:ascii="Times New Roman" w:hAnsi="Times New Roman"/>
        </w:rPr>
        <w:t xml:space="preserve"> subpart. </w:t>
      </w:r>
      <w:r w:rsidRPr="00095CEF">
        <w:rPr>
          <w:rFonts w:ascii="Times New Roman" w:hAnsi="Times New Roman"/>
        </w:rPr>
        <w:t xml:space="preserve">An estimated </w:t>
      </w:r>
      <w:r>
        <w:rPr>
          <w:rFonts w:ascii="Times New Roman" w:hAnsi="Times New Roman"/>
        </w:rPr>
        <w:t>50</w:t>
      </w:r>
      <w:r w:rsidRPr="00095CEF">
        <w:rPr>
          <w:rFonts w:ascii="Times New Roman" w:hAnsi="Times New Roman"/>
        </w:rPr>
        <w:t xml:space="preserve"> state plans are expected to be submitte</w:t>
      </w:r>
      <w:r>
        <w:rPr>
          <w:rFonts w:ascii="Times New Roman" w:hAnsi="Times New Roman"/>
        </w:rPr>
        <w:t>d</w:t>
      </w:r>
      <w:r w:rsidRPr="00095CEF">
        <w:rPr>
          <w:rFonts w:ascii="Times New Roman" w:hAnsi="Times New Roman"/>
        </w:rPr>
        <w:t xml:space="preserve">. </w:t>
      </w:r>
      <w:r>
        <w:rPr>
          <w:rFonts w:ascii="Times New Roman" w:hAnsi="Times New Roman"/>
        </w:rPr>
        <w:t>One n</w:t>
      </w:r>
      <w:r w:rsidRPr="00095CEF">
        <w:rPr>
          <w:rFonts w:ascii="Times New Roman" w:hAnsi="Times New Roman"/>
        </w:rPr>
        <w:t>egative declaration</w:t>
      </w:r>
      <w:r>
        <w:rPr>
          <w:rFonts w:ascii="Times New Roman" w:hAnsi="Times New Roman"/>
        </w:rPr>
        <w:t xml:space="preserve"> is </w:t>
      </w:r>
      <w:r w:rsidRPr="00095CEF">
        <w:rPr>
          <w:rFonts w:ascii="Times New Roman" w:hAnsi="Times New Roman"/>
        </w:rPr>
        <w:t>expected</w:t>
      </w:r>
      <w:r>
        <w:rPr>
          <w:rFonts w:ascii="Times New Roman" w:hAnsi="Times New Roman"/>
        </w:rPr>
        <w:t xml:space="preserve">. </w:t>
      </w:r>
      <w:r w:rsidRPr="00095CEF">
        <w:rPr>
          <w:rFonts w:ascii="Times New Roman" w:hAnsi="Times New Roman"/>
        </w:rPr>
        <w:t xml:space="preserve">The applicable North American Industry Classification System (NAICS) code for state governments is 999200, “State Government, excluding schools and hospitals.” </w:t>
      </w:r>
    </w:p>
    <w:p w:rsidR="00AB3A1A" w:rsidRPr="0053251F" w:rsidP="00AB3A1A" w14:paraId="21E4C415" w14:textId="77777777">
      <w:pPr>
        <w:pStyle w:val="Para"/>
        <w:rPr>
          <w:i/>
          <w:iCs/>
        </w:rPr>
      </w:pPr>
      <w:r>
        <w:rPr>
          <w:i/>
        </w:rPr>
        <w:t>4</w:t>
      </w:r>
      <w:r w:rsidRPr="0053251F">
        <w:rPr>
          <w:i/>
        </w:rPr>
        <w:t>(b)</w:t>
      </w:r>
      <w:r>
        <w:rPr>
          <w:i/>
        </w:rPr>
        <w:tab/>
      </w:r>
      <w:r w:rsidRPr="0053251F">
        <w:rPr>
          <w:i/>
        </w:rPr>
        <w:t>Information Requested</w:t>
      </w:r>
      <w:r>
        <w:rPr>
          <w:i/>
        </w:rPr>
        <w:t>.</w:t>
      </w:r>
    </w:p>
    <w:p w:rsidR="00AB3A1A" w:rsidRPr="00BB68B4" w:rsidP="00AB3A1A" w14:paraId="60431E09" w14:textId="77777777">
      <w:pPr>
        <w:pStyle w:val="Heading2"/>
        <w:numPr>
          <w:ilvl w:val="0"/>
          <w:numId w:val="31"/>
        </w:numPr>
        <w:spacing w:after="240"/>
        <w:ind w:left="1512" w:hanging="1224"/>
        <w:rPr>
          <w:i/>
          <w:iCs/>
        </w:rPr>
      </w:pPr>
      <w:r w:rsidRPr="0053251F">
        <w:rPr>
          <w:i/>
        </w:rPr>
        <w:t xml:space="preserve">Data Items, Including </w:t>
      </w:r>
      <w:r>
        <w:rPr>
          <w:i/>
        </w:rPr>
        <w:t>Recordkeeping Requirements.</w:t>
      </w:r>
    </w:p>
    <w:p w:rsidR="00AB3A1A" w:rsidP="00AB3A1A" w14:paraId="09E43942" w14:textId="77777777">
      <w:pPr>
        <w:pStyle w:val="Para"/>
        <w:rPr>
          <w:rFonts w:ascii="Times New Roman" w:hAnsi="Times New Roman"/>
          <w:szCs w:val="24"/>
        </w:rPr>
      </w:pPr>
      <w:r w:rsidRPr="00D13F30">
        <w:rPr>
          <w:rFonts w:ascii="Times New Roman" w:hAnsi="Times New Roman"/>
          <w:szCs w:val="24"/>
        </w:rPr>
        <w:t>There are no new information collection costs</w:t>
      </w:r>
      <w:r>
        <w:rPr>
          <w:rFonts w:ascii="Times New Roman" w:hAnsi="Times New Roman"/>
          <w:szCs w:val="24"/>
        </w:rPr>
        <w:t xml:space="preserve"> for the affected industry</w:t>
      </w:r>
      <w:r w:rsidRPr="00D13F30">
        <w:rPr>
          <w:rFonts w:ascii="Times New Roman" w:hAnsi="Times New Roman"/>
          <w:szCs w:val="24"/>
        </w:rPr>
        <w:t xml:space="preserve">, as the information required by </w:t>
      </w:r>
      <w:r>
        <w:rPr>
          <w:rFonts w:ascii="Times New Roman" w:hAnsi="Times New Roman"/>
          <w:szCs w:val="24"/>
        </w:rPr>
        <w:t>these guidelines</w:t>
      </w:r>
      <w:r w:rsidRPr="00D13F30">
        <w:rPr>
          <w:rFonts w:ascii="Times New Roman" w:hAnsi="Times New Roman"/>
          <w:szCs w:val="24"/>
        </w:rPr>
        <w:t xml:space="preserve"> is already collected and reported by other regulatory programs (</w:t>
      </w:r>
      <w:r>
        <w:rPr>
          <w:rFonts w:ascii="Times New Roman" w:hAnsi="Times New Roman"/>
          <w:szCs w:val="24"/>
        </w:rPr>
        <w:t>40 CFR</w:t>
      </w:r>
      <w:r w:rsidRPr="00D13F30">
        <w:rPr>
          <w:rFonts w:ascii="Times New Roman" w:hAnsi="Times New Roman"/>
          <w:szCs w:val="24"/>
        </w:rPr>
        <w:t xml:space="preserve"> parts 75 and 98).</w:t>
      </w:r>
      <w:r>
        <w:rPr>
          <w:rFonts w:ascii="Times New Roman" w:hAnsi="Times New Roman"/>
          <w:szCs w:val="24"/>
        </w:rPr>
        <w:t xml:space="preserve"> </w:t>
      </w:r>
      <w:r w:rsidRPr="005D7A38">
        <w:rPr>
          <w:rFonts w:ascii="Times New Roman" w:hAnsi="Times New Roman"/>
          <w:szCs w:val="24"/>
        </w:rPr>
        <w:t xml:space="preserve">The only </w:t>
      </w:r>
      <w:r>
        <w:rPr>
          <w:rFonts w:ascii="Times New Roman" w:hAnsi="Times New Roman"/>
          <w:szCs w:val="24"/>
        </w:rPr>
        <w:t xml:space="preserve">new </w:t>
      </w:r>
      <w:r w:rsidRPr="005D7A38">
        <w:rPr>
          <w:rFonts w:ascii="Times New Roman" w:hAnsi="Times New Roman"/>
          <w:szCs w:val="24"/>
        </w:rPr>
        <w:t xml:space="preserve">information collection </w:t>
      </w:r>
      <w:r>
        <w:rPr>
          <w:rFonts w:ascii="Times New Roman" w:hAnsi="Times New Roman"/>
          <w:szCs w:val="24"/>
        </w:rPr>
        <w:t>costs are for</w:t>
      </w:r>
      <w:r w:rsidRPr="005D7A38">
        <w:rPr>
          <w:rFonts w:ascii="Times New Roman" w:hAnsi="Times New Roman"/>
          <w:szCs w:val="24"/>
        </w:rPr>
        <w:t xml:space="preserve"> those </w:t>
      </w:r>
      <w:r>
        <w:rPr>
          <w:rFonts w:ascii="Times New Roman" w:hAnsi="Times New Roman"/>
          <w:szCs w:val="24"/>
        </w:rPr>
        <w:t>s</w:t>
      </w:r>
      <w:r w:rsidRPr="005D7A38">
        <w:rPr>
          <w:rFonts w:ascii="Times New Roman" w:hAnsi="Times New Roman"/>
          <w:szCs w:val="24"/>
        </w:rPr>
        <w:t xml:space="preserve">tates with one or more </w:t>
      </w:r>
      <w:r>
        <w:rPr>
          <w:rFonts w:ascii="Times New Roman" w:hAnsi="Times New Roman"/>
          <w:szCs w:val="24"/>
        </w:rPr>
        <w:t>affected facilities</w:t>
      </w:r>
      <w:r w:rsidRPr="005D7A38">
        <w:rPr>
          <w:rFonts w:ascii="Times New Roman" w:hAnsi="Times New Roman"/>
          <w:szCs w:val="24"/>
        </w:rPr>
        <w:t xml:space="preserve"> covered under this subpart.</w:t>
      </w:r>
    </w:p>
    <w:p w:rsidR="00AB3A1A" w:rsidP="00AB3A1A" w14:paraId="1375415E" w14:textId="77777777">
      <w:pPr>
        <w:pStyle w:val="Para"/>
        <w:keepNext/>
        <w:rPr>
          <w:rFonts w:ascii="Times New Roman" w:hAnsi="Times New Roman"/>
          <w:szCs w:val="24"/>
        </w:rPr>
      </w:pPr>
      <w:r>
        <w:rPr>
          <w:rFonts w:ascii="Times New Roman" w:hAnsi="Times New Roman"/>
          <w:szCs w:val="24"/>
        </w:rPr>
        <w:t>Respondents must make the following reports:</w:t>
      </w:r>
    </w:p>
    <w:tbl>
      <w:tblPr>
        <w:tblW w:w="9359" w:type="dxa"/>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tblPr>
      <w:tblGrid>
        <w:gridCol w:w="7110"/>
        <w:gridCol w:w="2249"/>
      </w:tblGrid>
      <w:tr w14:paraId="66AFFBDB" w14:textId="77777777" w:rsidTr="002752FF">
        <w:tblPrEx>
          <w:tblW w:w="9359" w:type="dxa"/>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tblPrEx>
        <w:trPr>
          <w:tblHeader/>
        </w:trPr>
        <w:tc>
          <w:tcPr>
            <w:tcW w:w="7110" w:type="dxa"/>
            <w:vAlign w:val="center"/>
          </w:tcPr>
          <w:p w:rsidR="00AB3A1A" w:rsidRPr="00C22D71" w:rsidP="002752FF" w14:paraId="145962F5" w14:textId="77777777">
            <w:pPr>
              <w:keepNext/>
              <w:tabs>
                <w:tab w:val="left" w:pos="-1181"/>
                <w:tab w:val="left" w:pos="-720"/>
              </w:tabs>
              <w:suppressAutoHyphens/>
              <w:spacing w:before="18" w:after="54" w:line="240" w:lineRule="atLeast"/>
              <w:jc w:val="center"/>
              <w:rPr>
                <w:b/>
              </w:rPr>
            </w:pPr>
            <w:r w:rsidRPr="00C22D71">
              <w:rPr>
                <w:b/>
              </w:rPr>
              <w:t>Requirement</w:t>
            </w:r>
          </w:p>
        </w:tc>
        <w:tc>
          <w:tcPr>
            <w:tcW w:w="2249" w:type="dxa"/>
            <w:vAlign w:val="center"/>
          </w:tcPr>
          <w:p w:rsidR="00AB3A1A" w:rsidRPr="00C22D71" w:rsidP="002752FF" w14:paraId="44360022" w14:textId="77777777">
            <w:pPr>
              <w:keepNext/>
              <w:tabs>
                <w:tab w:val="left" w:pos="-1181"/>
                <w:tab w:val="left" w:pos="-720"/>
              </w:tabs>
              <w:suppressAutoHyphens/>
              <w:spacing w:before="18" w:after="54" w:line="240" w:lineRule="atLeast"/>
              <w:jc w:val="center"/>
              <w:rPr>
                <w:b/>
              </w:rPr>
            </w:pPr>
            <w:r>
              <w:rPr>
                <w:b/>
              </w:rPr>
              <w:t>Guidelines</w:t>
            </w:r>
            <w:r w:rsidRPr="00C22D71">
              <w:rPr>
                <w:b/>
              </w:rPr>
              <w:t xml:space="preserve"> Citation by Section</w:t>
            </w:r>
          </w:p>
        </w:tc>
      </w:tr>
      <w:tr w14:paraId="60AAA8B6" w14:textId="77777777" w:rsidTr="002752FF">
        <w:tblPrEx>
          <w:tblW w:w="9359" w:type="dxa"/>
          <w:tblInd w:w="43" w:type="dxa"/>
          <w:tblLayout w:type="fixed"/>
          <w:tblCellMar>
            <w:left w:w="43" w:type="dxa"/>
            <w:right w:w="43" w:type="dxa"/>
          </w:tblCellMar>
          <w:tblLook w:val="0000"/>
        </w:tblPrEx>
        <w:tc>
          <w:tcPr>
            <w:tcW w:w="7110" w:type="dxa"/>
            <w:vAlign w:val="center"/>
          </w:tcPr>
          <w:p w:rsidR="00AB3A1A" w:rsidP="002752FF" w14:paraId="085DE2CB" w14:textId="77777777">
            <w:pPr>
              <w:keepNext/>
              <w:tabs>
                <w:tab w:val="left" w:pos="-1181"/>
                <w:tab w:val="left" w:pos="-720"/>
              </w:tabs>
              <w:suppressAutoHyphens/>
              <w:spacing w:before="18" w:after="54" w:line="240" w:lineRule="atLeast"/>
            </w:pPr>
            <w:r>
              <w:t>Plan to implement and enforce emission guidelines</w:t>
            </w:r>
          </w:p>
        </w:tc>
        <w:tc>
          <w:tcPr>
            <w:tcW w:w="2249" w:type="dxa"/>
            <w:vAlign w:val="center"/>
          </w:tcPr>
          <w:p w:rsidR="00AB3A1A" w:rsidP="002752FF" w14:paraId="14D23E3F" w14:textId="77777777">
            <w:pPr>
              <w:keepNext/>
              <w:tabs>
                <w:tab w:val="left" w:pos="-1181"/>
                <w:tab w:val="left" w:pos="-720"/>
              </w:tabs>
              <w:suppressAutoHyphens/>
              <w:spacing w:before="18" w:after="54" w:line="240" w:lineRule="atLeast"/>
            </w:pPr>
            <w:r w:rsidRPr="00837607">
              <w:t xml:space="preserve">60.5362c </w:t>
            </w:r>
            <w:r>
              <w:t>and 60.23a(a)</w:t>
            </w:r>
          </w:p>
        </w:tc>
      </w:tr>
      <w:tr w14:paraId="0CB352F6" w14:textId="77777777" w:rsidTr="002752FF">
        <w:tblPrEx>
          <w:tblW w:w="9359" w:type="dxa"/>
          <w:tblInd w:w="43" w:type="dxa"/>
          <w:tblLayout w:type="fixed"/>
          <w:tblCellMar>
            <w:left w:w="43" w:type="dxa"/>
            <w:right w:w="43" w:type="dxa"/>
          </w:tblCellMar>
          <w:tblLook w:val="0000"/>
        </w:tblPrEx>
        <w:tc>
          <w:tcPr>
            <w:tcW w:w="7110" w:type="dxa"/>
            <w:vAlign w:val="center"/>
          </w:tcPr>
          <w:p w:rsidR="00AB3A1A" w:rsidP="002752FF" w14:paraId="0E17464E" w14:textId="77777777">
            <w:pPr>
              <w:keepNext/>
              <w:tabs>
                <w:tab w:val="left" w:pos="-1181"/>
                <w:tab w:val="left" w:pos="-720"/>
              </w:tabs>
              <w:suppressAutoHyphens/>
              <w:spacing w:before="18" w:after="54" w:line="240" w:lineRule="atLeast"/>
            </w:pPr>
            <w:r>
              <w:t>Negative declaration letter documenting there are no affected facilities in the state that are covered under the emission guidelines</w:t>
            </w:r>
          </w:p>
        </w:tc>
        <w:tc>
          <w:tcPr>
            <w:tcW w:w="2249" w:type="dxa"/>
            <w:vAlign w:val="center"/>
          </w:tcPr>
          <w:p w:rsidR="00AB3A1A" w:rsidP="002752FF" w14:paraId="2DF0DF4D" w14:textId="77777777">
            <w:pPr>
              <w:keepNext/>
              <w:tabs>
                <w:tab w:val="left" w:pos="-1181"/>
                <w:tab w:val="left" w:pos="-720"/>
              </w:tabs>
              <w:suppressAutoHyphens/>
              <w:spacing w:before="18" w:after="54" w:line="240" w:lineRule="atLeast"/>
            </w:pPr>
            <w:r w:rsidRPr="00837607">
              <w:t>60.5362c</w:t>
            </w:r>
          </w:p>
        </w:tc>
      </w:tr>
      <w:tr w14:paraId="5171B7EE" w14:textId="77777777" w:rsidTr="002752FF">
        <w:tblPrEx>
          <w:tblW w:w="9359" w:type="dxa"/>
          <w:tblInd w:w="43" w:type="dxa"/>
          <w:tblLayout w:type="fixed"/>
          <w:tblCellMar>
            <w:left w:w="43" w:type="dxa"/>
            <w:right w:w="43" w:type="dxa"/>
          </w:tblCellMar>
          <w:tblLook w:val="0000"/>
        </w:tblPrEx>
        <w:tc>
          <w:tcPr>
            <w:tcW w:w="7110" w:type="dxa"/>
            <w:vAlign w:val="center"/>
          </w:tcPr>
          <w:p w:rsidR="00AB3A1A" w:rsidP="002752FF" w14:paraId="56824D81" w14:textId="77777777">
            <w:pPr>
              <w:keepNext/>
              <w:tabs>
                <w:tab w:val="left" w:pos="-1181"/>
                <w:tab w:val="left" w:pos="-720"/>
              </w:tabs>
              <w:suppressAutoHyphens/>
              <w:spacing w:before="18" w:after="54" w:line="240" w:lineRule="atLeast"/>
            </w:pPr>
            <w:r>
              <w:t>Request for extension to deadline for submitting a plan (as part of plan submittal)</w:t>
            </w:r>
          </w:p>
        </w:tc>
        <w:tc>
          <w:tcPr>
            <w:tcW w:w="2249" w:type="dxa"/>
            <w:vAlign w:val="center"/>
          </w:tcPr>
          <w:p w:rsidR="00AB3A1A" w:rsidP="002752FF" w14:paraId="5FE43929" w14:textId="77777777">
            <w:pPr>
              <w:keepNext/>
              <w:tabs>
                <w:tab w:val="left" w:pos="-1181"/>
                <w:tab w:val="left" w:pos="-720"/>
              </w:tabs>
              <w:suppressAutoHyphens/>
              <w:spacing w:before="18" w:after="54" w:line="240" w:lineRule="atLeast"/>
            </w:pPr>
            <w:r w:rsidRPr="00F470BF">
              <w:t>60.5371c</w:t>
            </w:r>
          </w:p>
        </w:tc>
      </w:tr>
      <w:tr w14:paraId="6E7629A0" w14:textId="77777777" w:rsidTr="002752FF">
        <w:tblPrEx>
          <w:tblW w:w="9359" w:type="dxa"/>
          <w:tblInd w:w="43" w:type="dxa"/>
          <w:tblLayout w:type="fixed"/>
          <w:tblCellMar>
            <w:left w:w="43" w:type="dxa"/>
            <w:right w:w="43" w:type="dxa"/>
          </w:tblCellMar>
          <w:tblLook w:val="0000"/>
        </w:tblPrEx>
        <w:tc>
          <w:tcPr>
            <w:tcW w:w="7110" w:type="dxa"/>
            <w:vAlign w:val="center"/>
          </w:tcPr>
          <w:p w:rsidR="00AB3A1A" w:rsidP="002752FF" w14:paraId="12A9FDBB" w14:textId="77777777">
            <w:pPr>
              <w:tabs>
                <w:tab w:val="left" w:pos="-1181"/>
                <w:tab w:val="left" w:pos="-720"/>
              </w:tabs>
              <w:suppressAutoHyphens/>
              <w:spacing w:before="18" w:after="54" w:line="240" w:lineRule="atLeast"/>
            </w:pPr>
            <w:r>
              <w:t>Notification of public hearing on the plan</w:t>
            </w:r>
          </w:p>
        </w:tc>
        <w:tc>
          <w:tcPr>
            <w:tcW w:w="2249" w:type="dxa"/>
            <w:vAlign w:val="center"/>
          </w:tcPr>
          <w:p w:rsidR="00AB3A1A" w:rsidP="002752FF" w14:paraId="1E77A15D" w14:textId="77777777">
            <w:pPr>
              <w:tabs>
                <w:tab w:val="left" w:pos="-1181"/>
                <w:tab w:val="left" w:pos="-720"/>
              </w:tabs>
              <w:suppressAutoHyphens/>
              <w:spacing w:before="18" w:after="54" w:line="240" w:lineRule="atLeast"/>
            </w:pPr>
            <w:r>
              <w:t>60.23a(a)</w:t>
            </w:r>
          </w:p>
        </w:tc>
      </w:tr>
      <w:tr w14:paraId="1F2F3E21" w14:textId="77777777" w:rsidTr="002752FF">
        <w:tblPrEx>
          <w:tblW w:w="9359" w:type="dxa"/>
          <w:tblInd w:w="43" w:type="dxa"/>
          <w:tblLayout w:type="fixed"/>
          <w:tblCellMar>
            <w:left w:w="43" w:type="dxa"/>
            <w:right w:w="43" w:type="dxa"/>
          </w:tblCellMar>
          <w:tblLook w:val="0000"/>
        </w:tblPrEx>
        <w:tc>
          <w:tcPr>
            <w:tcW w:w="7110" w:type="dxa"/>
            <w:vAlign w:val="center"/>
          </w:tcPr>
          <w:p w:rsidR="00AB3A1A" w:rsidP="002752FF" w14:paraId="4627CBD9" w14:textId="77777777">
            <w:pPr>
              <w:keepNext/>
              <w:tabs>
                <w:tab w:val="left" w:pos="-1181"/>
                <w:tab w:val="left" w:pos="-720"/>
              </w:tabs>
              <w:suppressAutoHyphens/>
              <w:spacing w:before="18" w:after="54" w:line="240" w:lineRule="atLeast"/>
            </w:pPr>
            <w:r>
              <w:t>Certification that public hearing on the plan conducted according to subpart B procedures</w:t>
            </w:r>
          </w:p>
        </w:tc>
        <w:tc>
          <w:tcPr>
            <w:tcW w:w="2249" w:type="dxa"/>
            <w:vAlign w:val="center"/>
          </w:tcPr>
          <w:p w:rsidR="00AB3A1A" w:rsidP="002752FF" w14:paraId="7FC40CE2" w14:textId="77777777">
            <w:pPr>
              <w:keepNext/>
              <w:tabs>
                <w:tab w:val="left" w:pos="-1181"/>
                <w:tab w:val="left" w:pos="-720"/>
              </w:tabs>
              <w:suppressAutoHyphens/>
              <w:spacing w:before="18" w:after="54" w:line="240" w:lineRule="atLeast"/>
            </w:pPr>
            <w:r>
              <w:t>60.23a(f)</w:t>
            </w:r>
          </w:p>
        </w:tc>
      </w:tr>
    </w:tbl>
    <w:p w:rsidR="00AB3A1A" w:rsidP="00AB3A1A" w14:paraId="726F2D8F" w14:textId="77777777">
      <w:pPr>
        <w:pStyle w:val="Para"/>
        <w:ind w:firstLine="0"/>
        <w:rPr>
          <w:rFonts w:ascii="Times New Roman" w:hAnsi="Times New Roman"/>
        </w:rPr>
      </w:pPr>
    </w:p>
    <w:p w:rsidR="00AB3A1A" w:rsidP="00AB3A1A" w14:paraId="2E33C248" w14:textId="77777777">
      <w:pPr>
        <w:pStyle w:val="Para"/>
        <w:keepNext/>
        <w:rPr>
          <w:rFonts w:ascii="Times New Roman" w:hAnsi="Times New Roman"/>
        </w:rPr>
      </w:pPr>
      <w:r>
        <w:rPr>
          <w:rFonts w:ascii="Times New Roman" w:hAnsi="Times New Roman"/>
        </w:rPr>
        <w:t>State respondents must also keep the following records:</w:t>
      </w:r>
    </w:p>
    <w:tbl>
      <w:tblPr>
        <w:tblW w:w="94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tblPr>
      <w:tblGrid>
        <w:gridCol w:w="7153"/>
        <w:gridCol w:w="2293"/>
      </w:tblGrid>
      <w:tr w14:paraId="30180DF7" w14:textId="77777777" w:rsidTr="002752FF">
        <w:tblPrEx>
          <w:tblW w:w="94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3" w:type="dxa"/>
            <w:right w:w="43" w:type="dxa"/>
          </w:tblCellMar>
          <w:tblLook w:val="0000"/>
        </w:tblPrEx>
        <w:trPr>
          <w:tblHeader/>
        </w:trPr>
        <w:tc>
          <w:tcPr>
            <w:tcW w:w="7153" w:type="dxa"/>
            <w:vAlign w:val="center"/>
          </w:tcPr>
          <w:p w:rsidR="00AB3A1A" w:rsidRPr="00C22D71" w:rsidP="002752FF" w14:paraId="12B11D66" w14:textId="77777777">
            <w:pPr>
              <w:keepNext/>
              <w:tabs>
                <w:tab w:val="left" w:pos="-1181"/>
                <w:tab w:val="left" w:pos="-720"/>
              </w:tabs>
              <w:suppressAutoHyphens/>
              <w:spacing w:before="18" w:after="54" w:line="240" w:lineRule="atLeast"/>
              <w:jc w:val="center"/>
              <w:rPr>
                <w:b/>
              </w:rPr>
            </w:pPr>
            <w:r w:rsidRPr="00C22D71">
              <w:rPr>
                <w:b/>
              </w:rPr>
              <w:t>Requirement</w:t>
            </w:r>
          </w:p>
        </w:tc>
        <w:tc>
          <w:tcPr>
            <w:tcW w:w="2293" w:type="dxa"/>
            <w:vAlign w:val="center"/>
          </w:tcPr>
          <w:p w:rsidR="00AB3A1A" w:rsidRPr="00C22D71" w:rsidP="002752FF" w14:paraId="2FC19258" w14:textId="77777777">
            <w:pPr>
              <w:keepNext/>
              <w:tabs>
                <w:tab w:val="left" w:pos="-1181"/>
                <w:tab w:val="left" w:pos="-720"/>
              </w:tabs>
              <w:suppressAutoHyphens/>
              <w:spacing w:before="18" w:after="54" w:line="240" w:lineRule="atLeast"/>
              <w:jc w:val="center"/>
              <w:rPr>
                <w:b/>
              </w:rPr>
            </w:pPr>
            <w:r>
              <w:rPr>
                <w:b/>
              </w:rPr>
              <w:t>Guidelines</w:t>
            </w:r>
            <w:r w:rsidRPr="00C22D71">
              <w:rPr>
                <w:b/>
              </w:rPr>
              <w:t xml:space="preserve"> Citation by Section</w:t>
            </w:r>
          </w:p>
        </w:tc>
      </w:tr>
      <w:tr w14:paraId="1C7BE6D4" w14:textId="77777777" w:rsidTr="002752FF">
        <w:tblPrEx>
          <w:tblW w:w="9446" w:type="dxa"/>
          <w:tblLayout w:type="fixed"/>
          <w:tblCellMar>
            <w:left w:w="43" w:type="dxa"/>
            <w:right w:w="43" w:type="dxa"/>
          </w:tblCellMar>
          <w:tblLook w:val="0000"/>
        </w:tblPrEx>
        <w:tc>
          <w:tcPr>
            <w:tcW w:w="7153" w:type="dxa"/>
            <w:vAlign w:val="center"/>
          </w:tcPr>
          <w:p w:rsidR="00AB3A1A" w:rsidP="002752FF" w14:paraId="25DC87F6" w14:textId="77777777">
            <w:pPr>
              <w:tabs>
                <w:tab w:val="left" w:pos="-1181"/>
                <w:tab w:val="left" w:pos="-720"/>
              </w:tabs>
              <w:suppressAutoHyphens/>
              <w:spacing w:before="18" w:after="54" w:line="240" w:lineRule="atLeast"/>
            </w:pPr>
            <w:r>
              <w:t>Records of public hearing conducted on the plan</w:t>
            </w:r>
          </w:p>
        </w:tc>
        <w:tc>
          <w:tcPr>
            <w:tcW w:w="2293" w:type="dxa"/>
            <w:vAlign w:val="center"/>
          </w:tcPr>
          <w:p w:rsidR="00AB3A1A" w:rsidP="002752FF" w14:paraId="1858A9EF" w14:textId="77777777">
            <w:pPr>
              <w:tabs>
                <w:tab w:val="left" w:pos="-1181"/>
                <w:tab w:val="left" w:pos="-720"/>
              </w:tabs>
              <w:suppressAutoHyphens/>
              <w:spacing w:before="18" w:after="54" w:line="240" w:lineRule="atLeast"/>
            </w:pPr>
            <w:r>
              <w:t>60.23a(e)</w:t>
            </w:r>
          </w:p>
        </w:tc>
      </w:tr>
    </w:tbl>
    <w:p w:rsidR="00AB3A1A" w:rsidRPr="00657A0A" w:rsidP="00AB3A1A" w14:paraId="585324E9" w14:textId="77777777">
      <w:pPr>
        <w:pStyle w:val="Heading2"/>
        <w:numPr>
          <w:ilvl w:val="0"/>
          <w:numId w:val="31"/>
        </w:numPr>
        <w:spacing w:after="240"/>
        <w:ind w:left="1512" w:hanging="1224"/>
        <w:rPr>
          <w:i/>
        </w:rPr>
      </w:pPr>
      <w:r w:rsidRPr="00657A0A">
        <w:rPr>
          <w:i/>
        </w:rPr>
        <w:t>Respondent Activities</w:t>
      </w:r>
      <w:r>
        <w:rPr>
          <w:i/>
        </w:rPr>
        <w:t>.</w:t>
      </w:r>
    </w:p>
    <w:p w:rsidR="00AB3A1A" w:rsidRPr="00C954C5" w:rsidP="00AB3A1A" w14:paraId="08BBECF1" w14:textId="77777777">
      <w:pPr>
        <w:pStyle w:val="Para"/>
        <w:rPr>
          <w:rFonts w:ascii="Times New Roman" w:hAnsi="Times New Roman"/>
          <w:i/>
          <w:iCs/>
        </w:rPr>
      </w:pPr>
      <w:r w:rsidRPr="009E766D">
        <w:rPr>
          <w:rFonts w:ascii="Times New Roman" w:hAnsi="Times New Roman"/>
        </w:rPr>
        <w:t xml:space="preserve">The respondent activities </w:t>
      </w:r>
      <w:r>
        <w:rPr>
          <w:rFonts w:ascii="Times New Roman" w:hAnsi="Times New Roman"/>
        </w:rPr>
        <w:t xml:space="preserve">that would be </w:t>
      </w:r>
      <w:r w:rsidRPr="009E766D">
        <w:rPr>
          <w:rFonts w:ascii="Times New Roman" w:hAnsi="Times New Roman"/>
        </w:rPr>
        <w:t xml:space="preserve">required by the </w:t>
      </w:r>
      <w:r>
        <w:rPr>
          <w:rFonts w:ascii="Times New Roman" w:hAnsi="Times New Roman"/>
        </w:rPr>
        <w:t>emission guidelines</w:t>
      </w:r>
      <w:r w:rsidRPr="009E766D">
        <w:rPr>
          <w:rFonts w:ascii="Times New Roman" w:hAnsi="Times New Roman"/>
        </w:rPr>
        <w:t xml:space="preserve"> are </w:t>
      </w:r>
      <w:r>
        <w:rPr>
          <w:rFonts w:ascii="Times New Roman" w:hAnsi="Times New Roman"/>
        </w:rPr>
        <w:t>described in the tables and footnotes in</w:t>
      </w:r>
      <w:r w:rsidRPr="009E766D">
        <w:rPr>
          <w:rFonts w:ascii="Times New Roman" w:hAnsi="Times New Roman"/>
        </w:rPr>
        <w:t xml:space="preserve"> Exhibits 1a </w:t>
      </w:r>
      <w:r>
        <w:rPr>
          <w:rFonts w:ascii="Times New Roman" w:hAnsi="Times New Roman"/>
        </w:rPr>
        <w:t>and 1b at the end of this document</w:t>
      </w:r>
      <w:r w:rsidRPr="009E766D">
        <w:rPr>
          <w:rFonts w:ascii="Times New Roman" w:hAnsi="Times New Roman"/>
        </w:rPr>
        <w:t xml:space="preserve">. </w:t>
      </w:r>
      <w:r w:rsidRPr="00696412">
        <w:rPr>
          <w:rFonts w:ascii="Times New Roman" w:hAnsi="Times New Roman"/>
        </w:rPr>
        <w:t xml:space="preserve">Exhibits 1a and 1b include the respondent activities associated with developing and implementing individual state plans.  </w:t>
      </w:r>
    </w:p>
    <w:p w:rsidR="00AB3A1A" w:rsidRPr="00657A0A" w:rsidP="00AB3A1A" w14:paraId="2C7D9B6A" w14:textId="77777777">
      <w:pPr>
        <w:pStyle w:val="Heading2"/>
        <w:numPr>
          <w:ilvl w:val="0"/>
          <w:numId w:val="31"/>
        </w:numPr>
        <w:spacing w:after="240"/>
        <w:ind w:left="1512" w:hanging="1224"/>
        <w:rPr>
          <w:i/>
        </w:rPr>
      </w:pPr>
      <w:r w:rsidRPr="00657A0A">
        <w:rPr>
          <w:i/>
        </w:rPr>
        <w:t>Summary of Requirements</w:t>
      </w:r>
      <w:r>
        <w:rPr>
          <w:i/>
        </w:rPr>
        <w:t>.</w:t>
      </w:r>
    </w:p>
    <w:p w:rsidR="00AB3A1A" w:rsidRPr="00A85CDB" w:rsidP="00AB3A1A" w14:paraId="69BFFE62" w14:textId="77777777">
      <w:pPr>
        <w:ind w:firstLine="720"/>
      </w:pPr>
      <w:r>
        <w:t>The proposal would require states covered under the emission guidelines to prepare and submit plans to implement the guidelines and conduct public hearings on the plans as necessary, according to the procedures in 40 CFR part 60, subpart Ba.</w:t>
      </w:r>
    </w:p>
    <w:p w:rsidR="00AB3A1A" w:rsidRPr="009B35B5" w:rsidP="00AB3A1A" w14:paraId="058EDD62" w14:textId="77777777">
      <w:pPr>
        <w:pStyle w:val="Heading1"/>
      </w:pPr>
      <w:r w:rsidRPr="009B35B5">
        <w:t>5.</w:t>
      </w:r>
      <w:r w:rsidRPr="009B35B5">
        <w:tab/>
        <w:t>The Information Collected: Agency Activities, Collection Methodology, and Information Management</w:t>
      </w:r>
      <w:r>
        <w:t xml:space="preserve"> (covering the first 3 years following final rule promulgation)</w:t>
      </w:r>
    </w:p>
    <w:p w:rsidR="00AB3A1A" w:rsidRPr="0068644D" w:rsidP="00AB3A1A" w14:paraId="54CF9BAB" w14:textId="77777777">
      <w:pPr>
        <w:pStyle w:val="Heading2"/>
        <w:spacing w:after="240"/>
        <w:rPr>
          <w:i/>
          <w:iCs/>
        </w:rPr>
      </w:pPr>
      <w:r>
        <w:rPr>
          <w:i/>
        </w:rPr>
        <w:t>5</w:t>
      </w:r>
      <w:r w:rsidRPr="0068644D">
        <w:rPr>
          <w:i/>
        </w:rPr>
        <w:t>(a)</w:t>
      </w:r>
      <w:r w:rsidRPr="0068644D">
        <w:rPr>
          <w:i/>
        </w:rPr>
        <w:tab/>
        <w:t>Agency Activities</w:t>
      </w:r>
      <w:r>
        <w:rPr>
          <w:i/>
        </w:rPr>
        <w:t>.</w:t>
      </w:r>
    </w:p>
    <w:p w:rsidR="00AB3A1A" w:rsidP="00AB3A1A" w14:paraId="3B93C943" w14:textId="77777777">
      <w:pPr>
        <w:pStyle w:val="Para"/>
        <w:spacing w:after="0"/>
        <w:rPr>
          <w:rFonts w:ascii="Times New Roman" w:eastAsia="Times New Roman" w:hAnsi="Times New Roman"/>
          <w:szCs w:val="24"/>
        </w:rPr>
      </w:pPr>
      <w:r>
        <w:rPr>
          <w:rFonts w:ascii="Times New Roman" w:hAnsi="Times New Roman"/>
        </w:rPr>
        <w:t>T</w:t>
      </w:r>
      <w:r w:rsidRPr="009E766D">
        <w:rPr>
          <w:rFonts w:ascii="Times New Roman" w:hAnsi="Times New Roman"/>
        </w:rPr>
        <w:t xml:space="preserve">he </w:t>
      </w:r>
      <w:r>
        <w:rPr>
          <w:rFonts w:ascii="Times New Roman" w:hAnsi="Times New Roman"/>
        </w:rPr>
        <w:t>A</w:t>
      </w:r>
      <w:r w:rsidRPr="009E766D">
        <w:rPr>
          <w:rFonts w:ascii="Times New Roman" w:hAnsi="Times New Roman"/>
        </w:rPr>
        <w:t>gency</w:t>
      </w:r>
      <w:r>
        <w:rPr>
          <w:rFonts w:ascii="Times New Roman" w:hAnsi="Times New Roman"/>
        </w:rPr>
        <w:t>, specifically the EPA Headquarters and the EPA Regions,</w:t>
      </w:r>
      <w:r w:rsidRPr="009E766D">
        <w:rPr>
          <w:rFonts w:ascii="Times New Roman" w:hAnsi="Times New Roman"/>
        </w:rPr>
        <w:t xml:space="preserve"> </w:t>
      </w:r>
      <w:r>
        <w:rPr>
          <w:rFonts w:ascii="Times New Roman" w:hAnsi="Times New Roman"/>
        </w:rPr>
        <w:t>will</w:t>
      </w:r>
      <w:r w:rsidRPr="009E766D">
        <w:rPr>
          <w:rFonts w:ascii="Times New Roman" w:hAnsi="Times New Roman"/>
        </w:rPr>
        <w:t xml:space="preserve"> incur burden associated with the reporting requirements for </w:t>
      </w:r>
      <w:r>
        <w:rPr>
          <w:rFonts w:ascii="Times New Roman" w:hAnsi="Times New Roman"/>
        </w:rPr>
        <w:t>s</w:t>
      </w:r>
      <w:r w:rsidRPr="009E766D">
        <w:rPr>
          <w:rFonts w:ascii="Times New Roman" w:hAnsi="Times New Roman"/>
        </w:rPr>
        <w:t xml:space="preserve">tates, including: (1) </w:t>
      </w:r>
      <w:r>
        <w:rPr>
          <w:rFonts w:ascii="Times New Roman" w:hAnsi="Times New Roman"/>
        </w:rPr>
        <w:t xml:space="preserve">providing support and outreach to states regarding the implementation of the emission guidelines and preparation of the plans, (2) reviewing and </w:t>
      </w:r>
      <w:r w:rsidRPr="009E766D">
        <w:rPr>
          <w:rFonts w:ascii="Times New Roman" w:hAnsi="Times New Roman"/>
        </w:rPr>
        <w:t>approving t</w:t>
      </w:r>
      <w:r>
        <w:rPr>
          <w:rFonts w:ascii="Times New Roman" w:hAnsi="Times New Roman"/>
        </w:rPr>
        <w:t>h</w:t>
      </w:r>
      <w:r w:rsidRPr="009E766D">
        <w:rPr>
          <w:rFonts w:ascii="Times New Roman" w:hAnsi="Times New Roman"/>
        </w:rPr>
        <w:t xml:space="preserve">e plans, </w:t>
      </w:r>
      <w:r>
        <w:rPr>
          <w:rFonts w:ascii="Times New Roman" w:hAnsi="Times New Roman"/>
        </w:rPr>
        <w:t xml:space="preserve">(3) reviewing negative declarations from states </w:t>
      </w:r>
      <w:r>
        <w:rPr>
          <w:rFonts w:ascii="Times New Roman" w:hAnsi="Times New Roman"/>
        </w:rPr>
        <w:t>with no affected facilities covered under the emission guidelines, (4) reviewing and approving extension requests, (5) </w:t>
      </w:r>
      <w:r w:rsidRPr="009E766D">
        <w:rPr>
          <w:rFonts w:ascii="Times New Roman" w:hAnsi="Times New Roman"/>
        </w:rPr>
        <w:t xml:space="preserve">reviewing notifications from </w:t>
      </w:r>
      <w:r>
        <w:rPr>
          <w:rFonts w:ascii="Times New Roman" w:hAnsi="Times New Roman"/>
        </w:rPr>
        <w:t xml:space="preserve">states regarding </w:t>
      </w:r>
      <w:r w:rsidRPr="009E766D">
        <w:rPr>
          <w:rFonts w:ascii="Times New Roman" w:hAnsi="Times New Roman"/>
        </w:rPr>
        <w:t>public hearings on t</w:t>
      </w:r>
      <w:r>
        <w:rPr>
          <w:rFonts w:ascii="Times New Roman" w:hAnsi="Times New Roman"/>
        </w:rPr>
        <w:t>h</w:t>
      </w:r>
      <w:r w:rsidRPr="009E766D">
        <w:rPr>
          <w:rFonts w:ascii="Times New Roman" w:hAnsi="Times New Roman"/>
        </w:rPr>
        <w:t>e plans, and (</w:t>
      </w:r>
      <w:r>
        <w:rPr>
          <w:rFonts w:ascii="Times New Roman" w:hAnsi="Times New Roman"/>
        </w:rPr>
        <w:t>6</w:t>
      </w:r>
      <w:r w:rsidRPr="009E766D">
        <w:rPr>
          <w:rFonts w:ascii="Times New Roman" w:hAnsi="Times New Roman"/>
        </w:rPr>
        <w:t>)</w:t>
      </w:r>
      <w:r>
        <w:rPr>
          <w:rFonts w:ascii="Times New Roman" w:hAnsi="Times New Roman"/>
        </w:rPr>
        <w:t> </w:t>
      </w:r>
      <w:r w:rsidRPr="009E766D">
        <w:rPr>
          <w:rFonts w:ascii="Times New Roman" w:hAnsi="Times New Roman"/>
        </w:rPr>
        <w:t xml:space="preserve">reviewing certifications </w:t>
      </w:r>
      <w:r>
        <w:rPr>
          <w:rFonts w:ascii="Times New Roman" w:hAnsi="Times New Roman"/>
        </w:rPr>
        <w:t xml:space="preserve">from states </w:t>
      </w:r>
      <w:r w:rsidRPr="009E766D">
        <w:rPr>
          <w:rFonts w:ascii="Times New Roman" w:hAnsi="Times New Roman"/>
        </w:rPr>
        <w:t>that the public hearings were conducted according to 40 CFR part 60, subpart B</w:t>
      </w:r>
      <w:r>
        <w:rPr>
          <w:rFonts w:ascii="Times New Roman" w:hAnsi="Times New Roman"/>
        </w:rPr>
        <w:t>a</w:t>
      </w:r>
      <w:r w:rsidRPr="009E766D">
        <w:rPr>
          <w:rFonts w:ascii="Times New Roman" w:hAnsi="Times New Roman"/>
        </w:rPr>
        <w:t xml:space="preserve"> procedures. </w:t>
      </w:r>
    </w:p>
    <w:p w:rsidR="00AB3A1A" w:rsidRPr="00686E60" w:rsidP="00AB3A1A" w14:paraId="2F9CD686" w14:textId="77777777">
      <w:pPr>
        <w:pStyle w:val="Para"/>
        <w:spacing w:after="0"/>
        <w:ind w:firstLine="0"/>
        <w:rPr>
          <w:rFonts w:ascii="Times New Roman" w:hAnsi="Times New Roman"/>
          <w:szCs w:val="24"/>
        </w:rPr>
      </w:pPr>
    </w:p>
    <w:p w:rsidR="00AB3A1A" w:rsidRPr="0068644D" w:rsidP="00AB3A1A" w14:paraId="2EDE9B96" w14:textId="77777777">
      <w:pPr>
        <w:pStyle w:val="Heading2"/>
        <w:spacing w:before="0" w:after="240"/>
        <w:rPr>
          <w:i/>
          <w:iCs/>
        </w:rPr>
      </w:pPr>
      <w:r>
        <w:rPr>
          <w:i/>
        </w:rPr>
        <w:t>5</w:t>
      </w:r>
      <w:r w:rsidRPr="0068644D">
        <w:rPr>
          <w:i/>
        </w:rPr>
        <w:t>(b)</w:t>
      </w:r>
      <w:r w:rsidRPr="0068644D">
        <w:rPr>
          <w:i/>
        </w:rPr>
        <w:tab/>
        <w:t>Collection Methodology and Management</w:t>
      </w:r>
      <w:r>
        <w:rPr>
          <w:i/>
        </w:rPr>
        <w:t>.</w:t>
      </w:r>
    </w:p>
    <w:p w:rsidR="00AB3A1A" w:rsidP="00AB3A1A" w14:paraId="2D039938" w14:textId="77777777">
      <w:pPr>
        <w:pStyle w:val="Para"/>
        <w:rPr>
          <w:rFonts w:ascii="Times New Roman" w:hAnsi="Times New Roman"/>
        </w:rPr>
      </w:pPr>
      <w:r>
        <w:rPr>
          <w:rFonts w:ascii="Times New Roman" w:hAnsi="Times New Roman"/>
        </w:rPr>
        <w:t>The state plans expected to be prepared by states will set forth the specifics regarding the actual collection methodology and management. The plan submittal must include the following components, which will be codified as part of the federally enforceable plan upon approval by the EPA:</w:t>
      </w:r>
    </w:p>
    <w:p w:rsidR="00AB3A1A" w:rsidP="00AB3A1A" w14:paraId="7E19B702" w14:textId="77777777">
      <w:pPr>
        <w:pStyle w:val="Para"/>
        <w:numPr>
          <w:ilvl w:val="0"/>
          <w:numId w:val="32"/>
        </w:numPr>
        <w:rPr>
          <w:rFonts w:ascii="Times New Roman" w:hAnsi="Times New Roman"/>
        </w:rPr>
      </w:pPr>
      <w:r w:rsidRPr="0000778C">
        <w:rPr>
          <w:rFonts w:ascii="Times New Roman" w:hAnsi="Times New Roman"/>
        </w:rPr>
        <w:t xml:space="preserve">Inventory of designated facilities. </w:t>
      </w:r>
    </w:p>
    <w:p w:rsidR="00AB3A1A" w:rsidP="00AB3A1A" w14:paraId="3B8EB460" w14:textId="77777777">
      <w:pPr>
        <w:pStyle w:val="Para"/>
        <w:numPr>
          <w:ilvl w:val="0"/>
          <w:numId w:val="32"/>
        </w:numPr>
        <w:rPr>
          <w:rFonts w:ascii="Times New Roman" w:hAnsi="Times New Roman"/>
        </w:rPr>
      </w:pPr>
      <w:r w:rsidRPr="0000778C">
        <w:rPr>
          <w:rFonts w:ascii="Times New Roman" w:hAnsi="Times New Roman"/>
        </w:rPr>
        <w:t xml:space="preserve">Inventory of emissions from affected designated facilities in your state. </w:t>
      </w:r>
    </w:p>
    <w:p w:rsidR="00AB3A1A" w:rsidP="00AB3A1A" w14:paraId="6CAA8909" w14:textId="77777777">
      <w:pPr>
        <w:pStyle w:val="Para"/>
        <w:numPr>
          <w:ilvl w:val="0"/>
          <w:numId w:val="32"/>
        </w:numPr>
        <w:rPr>
          <w:rFonts w:ascii="Times New Roman" w:hAnsi="Times New Roman"/>
        </w:rPr>
      </w:pPr>
      <w:r w:rsidRPr="0000778C">
        <w:rPr>
          <w:rFonts w:ascii="Times New Roman" w:hAnsi="Times New Roman"/>
        </w:rPr>
        <w:t>Compliance schedules for each designated facility or logical grouping of designated facilities.</w:t>
      </w:r>
    </w:p>
    <w:p w:rsidR="00AB3A1A" w:rsidP="00AB3A1A" w14:paraId="65580704" w14:textId="77777777">
      <w:pPr>
        <w:pStyle w:val="Para"/>
        <w:numPr>
          <w:ilvl w:val="0"/>
          <w:numId w:val="32"/>
        </w:numPr>
        <w:rPr>
          <w:rFonts w:ascii="Times New Roman" w:hAnsi="Times New Roman"/>
        </w:rPr>
      </w:pPr>
      <w:r w:rsidRPr="0000778C">
        <w:rPr>
          <w:rFonts w:ascii="Times New Roman" w:hAnsi="Times New Roman"/>
        </w:rPr>
        <w:t>Standards of performance for designated facilities that are at least as protective as the emission guidelines contained in this subpart</w:t>
      </w:r>
      <w:r>
        <w:rPr>
          <w:rFonts w:ascii="Times New Roman" w:hAnsi="Times New Roman"/>
        </w:rPr>
        <w:t>.</w:t>
      </w:r>
    </w:p>
    <w:p w:rsidR="00AB3A1A" w:rsidP="00AB3A1A" w14:paraId="7D122241" w14:textId="77777777">
      <w:pPr>
        <w:pStyle w:val="Para"/>
        <w:numPr>
          <w:ilvl w:val="0"/>
          <w:numId w:val="32"/>
        </w:numPr>
        <w:rPr>
          <w:rFonts w:ascii="Times New Roman" w:hAnsi="Times New Roman"/>
        </w:rPr>
      </w:pPr>
      <w:r w:rsidRPr="0000778C">
        <w:rPr>
          <w:rFonts w:ascii="Times New Roman" w:hAnsi="Times New Roman"/>
        </w:rPr>
        <w:t>Performance testing, monitoring, recordkeeping, and reporting requirements.</w:t>
      </w:r>
    </w:p>
    <w:p w:rsidR="00AB3A1A" w:rsidP="00AB3A1A" w14:paraId="3BB916D8" w14:textId="77777777">
      <w:pPr>
        <w:pStyle w:val="Para"/>
        <w:numPr>
          <w:ilvl w:val="0"/>
          <w:numId w:val="32"/>
        </w:numPr>
        <w:rPr>
          <w:rFonts w:ascii="Times New Roman" w:hAnsi="Times New Roman"/>
        </w:rPr>
      </w:pPr>
      <w:r w:rsidRPr="0000778C">
        <w:rPr>
          <w:rFonts w:ascii="Times New Roman" w:hAnsi="Times New Roman"/>
        </w:rPr>
        <w:t xml:space="preserve">Certification and evidence of meaningful engagement on such plan or plan revisions, including a list of identified pertinent stakeholders and a summary of the engagement conducted, a summary of stakeholder input received, and a description of any action or changes made </w:t>
      </w:r>
      <w:r w:rsidRPr="0000778C">
        <w:rPr>
          <w:rFonts w:ascii="Times New Roman" w:hAnsi="Times New Roman"/>
        </w:rPr>
        <w:t>as a result of</w:t>
      </w:r>
      <w:r w:rsidRPr="0000778C">
        <w:rPr>
          <w:rFonts w:ascii="Times New Roman" w:hAnsi="Times New Roman"/>
        </w:rPr>
        <w:t xml:space="preserve"> the engagement.</w:t>
      </w:r>
    </w:p>
    <w:p w:rsidR="00AB3A1A" w:rsidP="00AB3A1A" w14:paraId="46AE206E" w14:textId="77777777">
      <w:pPr>
        <w:pStyle w:val="Para"/>
        <w:numPr>
          <w:ilvl w:val="0"/>
          <w:numId w:val="32"/>
        </w:numPr>
        <w:rPr>
          <w:rFonts w:ascii="Times New Roman" w:hAnsi="Times New Roman"/>
        </w:rPr>
      </w:pPr>
      <w:r w:rsidRPr="0000778C">
        <w:rPr>
          <w:rFonts w:ascii="Times New Roman" w:hAnsi="Times New Roman"/>
        </w:rPr>
        <w:t>Certification that the required hearing on the state plan was held, a list of witnesses and their organizational affiliations, if any, appearing at the hearing, and a brief written summary of each presentation or written submission</w:t>
      </w:r>
      <w:r>
        <w:rPr>
          <w:rFonts w:ascii="Times New Roman" w:hAnsi="Times New Roman"/>
        </w:rPr>
        <w:t>.</w:t>
      </w:r>
    </w:p>
    <w:p w:rsidR="00AB3A1A" w:rsidP="00AB3A1A" w14:paraId="211EEC23" w14:textId="77777777">
      <w:pPr>
        <w:pStyle w:val="Para"/>
        <w:numPr>
          <w:ilvl w:val="0"/>
          <w:numId w:val="32"/>
        </w:numPr>
        <w:rPr>
          <w:rFonts w:ascii="Times New Roman" w:hAnsi="Times New Roman"/>
        </w:rPr>
      </w:pPr>
      <w:r w:rsidRPr="0000778C">
        <w:rPr>
          <w:rFonts w:ascii="Times New Roman" w:hAnsi="Times New Roman"/>
        </w:rPr>
        <w:t>Provision for state progress reports to EPA.</w:t>
      </w:r>
    </w:p>
    <w:p w:rsidR="00AB3A1A" w:rsidP="00AB3A1A" w14:paraId="3A55BBD4" w14:textId="77777777">
      <w:pPr>
        <w:pStyle w:val="Para"/>
        <w:numPr>
          <w:ilvl w:val="0"/>
          <w:numId w:val="32"/>
        </w:numPr>
        <w:rPr>
          <w:rFonts w:ascii="Times New Roman" w:hAnsi="Times New Roman"/>
        </w:rPr>
      </w:pPr>
      <w:r w:rsidRPr="0000778C">
        <w:rPr>
          <w:rFonts w:ascii="Times New Roman" w:hAnsi="Times New Roman"/>
        </w:rPr>
        <w:t>Identification of enforceable state mechanisms that you selected for implementing the emission guidelines of this subpart.</w:t>
      </w:r>
    </w:p>
    <w:p w:rsidR="00AB3A1A" w:rsidP="00AB3A1A" w14:paraId="061387F0" w14:textId="77777777">
      <w:pPr>
        <w:pStyle w:val="Para"/>
        <w:numPr>
          <w:ilvl w:val="0"/>
          <w:numId w:val="32"/>
        </w:numPr>
        <w:rPr>
          <w:rFonts w:ascii="Times New Roman" w:hAnsi="Times New Roman"/>
        </w:rPr>
      </w:pPr>
      <w:r w:rsidRPr="0000778C">
        <w:rPr>
          <w:rFonts w:ascii="Times New Roman" w:hAnsi="Times New Roman"/>
        </w:rPr>
        <w:t xml:space="preserve">Demonstration of your state's legal authority to carry out the </w:t>
      </w:r>
      <w:r>
        <w:rPr>
          <w:rFonts w:ascii="Times New Roman" w:hAnsi="Times New Roman"/>
        </w:rPr>
        <w:t>CAA</w:t>
      </w:r>
      <w:r w:rsidRPr="0000778C">
        <w:rPr>
          <w:rFonts w:ascii="Times New Roman" w:hAnsi="Times New Roman"/>
        </w:rPr>
        <w:t xml:space="preserve"> section 111(d) state plan.</w:t>
      </w:r>
    </w:p>
    <w:p w:rsidR="00AB3A1A" w:rsidRPr="0000778C" w:rsidP="00AB3A1A" w14:paraId="3652C673" w14:textId="77777777">
      <w:pPr>
        <w:pStyle w:val="Para"/>
        <w:rPr>
          <w:rFonts w:ascii="Times New Roman" w:hAnsi="Times New Roman"/>
        </w:rPr>
      </w:pPr>
      <w:r w:rsidRPr="00247A24">
        <w:rPr>
          <w:rFonts w:ascii="Times New Roman" w:hAnsi="Times New Roman"/>
        </w:rPr>
        <w:t xml:space="preserve">Data and records maintained by the respondents are tabulated and published for use in compliance and enforcement programs of the delegated permitting authority. Information contained in the reports will be required to be submitted electronically to EPA’s Central DATA Exchange (CDX) using the CEDRI. CDX enables fast, </w:t>
      </w:r>
      <w:r w:rsidRPr="00247A24">
        <w:rPr>
          <w:rFonts w:ascii="Times New Roman" w:hAnsi="Times New Roman"/>
        </w:rPr>
        <w:t>efficient</w:t>
      </w:r>
      <w:r w:rsidRPr="00247A24">
        <w:rPr>
          <w:rFonts w:ascii="Times New Roman" w:hAnsi="Times New Roman"/>
        </w:rPr>
        <w:t xml:space="preserve"> and more accurate environmental data submissions from state and local governments, industry and tribes to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 Appendix </w:t>
      </w:r>
      <w:r>
        <w:rPr>
          <w:rFonts w:ascii="Times New Roman" w:hAnsi="Times New Roman"/>
        </w:rPr>
        <w:t>A</w:t>
      </w:r>
      <w:r w:rsidRPr="00247A24">
        <w:rPr>
          <w:rFonts w:ascii="Times New Roman" w:hAnsi="Times New Roman"/>
        </w:rPr>
        <w:t xml:space="preserve"> includes the CEDRI electronic portal for submitting reports under 40 CFR part 60, subpart </w:t>
      </w:r>
      <w:r w:rsidRPr="00247A24">
        <w:rPr>
          <w:rFonts w:ascii="Times New Roman" w:hAnsi="Times New Roman"/>
        </w:rPr>
        <w:t>OOOO</w:t>
      </w:r>
      <w:r>
        <w:rPr>
          <w:rFonts w:ascii="Times New Roman" w:hAnsi="Times New Roman"/>
        </w:rPr>
        <w:t>c</w:t>
      </w:r>
      <w:r w:rsidRPr="00247A24">
        <w:rPr>
          <w:rFonts w:ascii="Times New Roman" w:hAnsi="Times New Roman"/>
        </w:rPr>
        <w:t xml:space="preserve">. The electronic portal to submit reports online is accessed through </w:t>
      </w:r>
      <w:r w:rsidRPr="00247A24">
        <w:rPr>
          <w:rFonts w:ascii="Times New Roman" w:hAnsi="Times New Roman"/>
        </w:rPr>
        <w:t xml:space="preserve">the EPA’s CDX at https://cdx.epa.gov. The spreadsheet templates created by the EPA to facilitate annual reporting for Oil and Gas Facilities under 40 CFR part 60, subpart </w:t>
      </w:r>
      <w:r w:rsidRPr="00247A24">
        <w:rPr>
          <w:rFonts w:ascii="Times New Roman" w:hAnsi="Times New Roman"/>
        </w:rPr>
        <w:t>OOOO</w:t>
      </w:r>
      <w:r>
        <w:rPr>
          <w:rFonts w:ascii="Times New Roman" w:hAnsi="Times New Roman"/>
        </w:rPr>
        <w:t>c</w:t>
      </w:r>
      <w:r w:rsidRPr="00247A24">
        <w:rPr>
          <w:rFonts w:ascii="Times New Roman" w:hAnsi="Times New Roman"/>
        </w:rPr>
        <w:t xml:space="preserve"> can be obtained at https://www.epa.gov/electronic-reporting-air-emissions/cedri#list as well as https://www.epa.gov/controlling-air-pollution-oil-and-natural-gas-industry/implementation-oil-and-natural-gas-air#report.</w:t>
      </w:r>
    </w:p>
    <w:p w:rsidR="00AB3A1A" w:rsidRPr="007C17B7" w:rsidP="00AB3A1A" w14:paraId="2093EF77" w14:textId="77777777">
      <w:pPr>
        <w:pStyle w:val="Heading2"/>
        <w:spacing w:after="240"/>
        <w:ind w:firstLine="720"/>
        <w:rPr>
          <w:i/>
          <w:iCs/>
        </w:rPr>
      </w:pPr>
      <w:r>
        <w:rPr>
          <w:i/>
        </w:rPr>
        <w:t>5</w:t>
      </w:r>
      <w:r w:rsidRPr="007C17B7">
        <w:rPr>
          <w:i/>
        </w:rPr>
        <w:t>(c)</w:t>
      </w:r>
      <w:r w:rsidRPr="007C17B7">
        <w:rPr>
          <w:i/>
        </w:rPr>
        <w:tab/>
        <w:t>Small Entity Flexibility</w:t>
      </w:r>
      <w:r>
        <w:rPr>
          <w:i/>
        </w:rPr>
        <w:t>.</w:t>
      </w:r>
    </w:p>
    <w:p w:rsidR="00AB3A1A" w:rsidP="00AB3A1A" w14:paraId="665658DB" w14:textId="77777777">
      <w:pPr>
        <w:spacing w:after="120"/>
        <w:ind w:firstLine="720"/>
      </w:pPr>
      <w:r>
        <w:t xml:space="preserve">The EPA is aware that there is substantial interest in this rule among small entities (municipal and rural electric cooperatives) but has no indication that it would disproportionately affect small entities. </w:t>
      </w:r>
    </w:p>
    <w:p w:rsidR="00AB3A1A" w:rsidRPr="0068644D" w:rsidP="00AB3A1A" w14:paraId="199BC558" w14:textId="77777777">
      <w:pPr>
        <w:pStyle w:val="Heading2"/>
        <w:spacing w:after="240"/>
        <w:rPr>
          <w:i/>
          <w:iCs/>
        </w:rPr>
      </w:pPr>
      <w:r>
        <w:rPr>
          <w:i/>
        </w:rPr>
        <w:t>5</w:t>
      </w:r>
      <w:r w:rsidRPr="0068644D">
        <w:rPr>
          <w:i/>
        </w:rPr>
        <w:t>(d)</w:t>
      </w:r>
      <w:r w:rsidRPr="0068644D">
        <w:rPr>
          <w:i/>
        </w:rPr>
        <w:tab/>
        <w:t>Collection Schedule</w:t>
      </w:r>
      <w:r>
        <w:rPr>
          <w:i/>
        </w:rPr>
        <w:t>.</w:t>
      </w:r>
    </w:p>
    <w:p w:rsidR="00AB3A1A" w:rsidRPr="000B5C1A" w:rsidP="00AB3A1A" w14:paraId="07EE7725" w14:textId="77777777">
      <w:pPr>
        <w:pStyle w:val="Para"/>
        <w:rPr>
          <w:rFonts w:ascii="Times New Roman" w:hAnsi="Times New Roman"/>
          <w:b/>
          <w:bCs/>
        </w:rPr>
      </w:pPr>
      <w:r>
        <w:rPr>
          <w:rFonts w:ascii="Times New Roman" w:hAnsi="Times New Roman"/>
        </w:rPr>
        <w:t>The specific frequency for each information collection activity within this request is shown in Exhibits 1a and 1b for the first 3 years following promulgation of the emission guidelines.</w:t>
      </w:r>
    </w:p>
    <w:p w:rsidR="00AB3A1A" w:rsidP="00AB3A1A" w14:paraId="625D866E" w14:textId="77777777">
      <w:pPr>
        <w:pStyle w:val="Heading1"/>
      </w:pPr>
      <w:r w:rsidRPr="007C7E34">
        <w:t>6.</w:t>
      </w:r>
      <w:r w:rsidRPr="007C7E34">
        <w:tab/>
        <w:t>Estimating the Burden and Cost of the Collection</w:t>
      </w:r>
    </w:p>
    <w:p w:rsidR="00AB3A1A" w:rsidRPr="00BC4643" w:rsidP="00AB3A1A" w14:paraId="38FB0872" w14:textId="77777777">
      <w:pPr>
        <w:keepNext/>
      </w:pPr>
    </w:p>
    <w:p w:rsidR="00AB3A1A" w:rsidP="00AB3A1A" w14:paraId="117FD921" w14:textId="77777777">
      <w:pPr>
        <w:pStyle w:val="Para"/>
        <w:keepNext/>
        <w:spacing w:after="0"/>
        <w:rPr>
          <w:rFonts w:ascii="Times New Roman" w:hAnsi="Times New Roman"/>
        </w:rPr>
      </w:pPr>
      <w:r>
        <w:rPr>
          <w:rFonts w:ascii="Times New Roman" w:hAnsi="Times New Roman"/>
        </w:rPr>
        <w:t>Exhibits</w:t>
      </w:r>
      <w:r w:rsidRPr="007C7E34">
        <w:rPr>
          <w:rFonts w:ascii="Times New Roman" w:hAnsi="Times New Roman"/>
        </w:rPr>
        <w:t xml:space="preserve"> 1a</w:t>
      </w:r>
      <w:r>
        <w:rPr>
          <w:rFonts w:ascii="Times New Roman" w:hAnsi="Times New Roman"/>
        </w:rPr>
        <w:t xml:space="preserve"> and</w:t>
      </w:r>
      <w:r w:rsidRPr="007C7E34">
        <w:rPr>
          <w:rFonts w:ascii="Times New Roman" w:hAnsi="Times New Roman"/>
        </w:rPr>
        <w:t xml:space="preserve"> 1b document the </w:t>
      </w:r>
      <w:r>
        <w:rPr>
          <w:rFonts w:ascii="Times New Roman" w:hAnsi="Times New Roman"/>
        </w:rPr>
        <w:t>lower and upper bounds, respectively,</w:t>
      </w:r>
      <w:r w:rsidRPr="007C7E34">
        <w:rPr>
          <w:rFonts w:ascii="Times New Roman" w:hAnsi="Times New Roman"/>
        </w:rPr>
        <w:t xml:space="preserve"> of individual burdens for the reporting requirements applicable to </w:t>
      </w:r>
      <w:r>
        <w:rPr>
          <w:rFonts w:ascii="Times New Roman" w:hAnsi="Times New Roman"/>
        </w:rPr>
        <w:t>states</w:t>
      </w:r>
      <w:r w:rsidRPr="007C7E34">
        <w:rPr>
          <w:rFonts w:ascii="Times New Roman" w:hAnsi="Times New Roman"/>
        </w:rPr>
        <w:t xml:space="preserve"> for the first 3 years</w:t>
      </w:r>
      <w:r>
        <w:rPr>
          <w:rFonts w:ascii="Times New Roman" w:hAnsi="Times New Roman"/>
        </w:rPr>
        <w:t xml:space="preserve">. The lower bounds account for states expected to have existing requirements in place </w:t>
      </w:r>
      <w:r>
        <w:rPr>
          <w:rFonts w:ascii="Times New Roman" w:hAnsi="Times New Roman"/>
        </w:rPr>
        <w:t>similar to</w:t>
      </w:r>
      <w:r>
        <w:rPr>
          <w:rFonts w:ascii="Times New Roman" w:hAnsi="Times New Roman"/>
        </w:rPr>
        <w:t>, or more stringent than those proposed in the emission guidelines, while the upper bounds do not account for existing regulatory programs.</w:t>
      </w:r>
      <w:r w:rsidRPr="005E01D7">
        <w:rPr>
          <w:rFonts w:ascii="Times New Roman" w:hAnsi="Times New Roman"/>
        </w:rPr>
        <w:t xml:space="preserve"> </w:t>
      </w:r>
      <w:r>
        <w:rPr>
          <w:rFonts w:ascii="Times New Roman" w:hAnsi="Times New Roman"/>
        </w:rPr>
        <w:t xml:space="preserve">By accounting for existing programs, the burden estimates in Exhibit 1a are lower than those in Exhibit 1b. </w:t>
      </w:r>
      <w:r w:rsidRPr="005E01D7">
        <w:rPr>
          <w:rFonts w:ascii="Times New Roman" w:hAnsi="Times New Roman"/>
        </w:rPr>
        <w:t>Table</w:t>
      </w:r>
      <w:r w:rsidRPr="008403BE">
        <w:rPr>
          <w:rFonts w:ascii="Times New Roman" w:hAnsi="Times New Roman"/>
        </w:rPr>
        <w:t xml:space="preserve"> </w:t>
      </w:r>
      <w:r>
        <w:rPr>
          <w:rFonts w:ascii="Times New Roman" w:hAnsi="Times New Roman"/>
        </w:rPr>
        <w:t>1</w:t>
      </w:r>
      <w:r w:rsidRPr="008403BE">
        <w:rPr>
          <w:rFonts w:ascii="Times New Roman" w:hAnsi="Times New Roman"/>
        </w:rPr>
        <w:t xml:space="preserve"> </w:t>
      </w:r>
      <w:r>
        <w:rPr>
          <w:rFonts w:ascii="Times New Roman" w:hAnsi="Times New Roman"/>
        </w:rPr>
        <w:t>below presents the range</w:t>
      </w:r>
      <w:r w:rsidRPr="008403BE">
        <w:rPr>
          <w:rFonts w:ascii="Times New Roman" w:hAnsi="Times New Roman"/>
        </w:rPr>
        <w:t xml:space="preserve"> of the respondent burden hours and costs </w:t>
      </w:r>
      <w:r>
        <w:rPr>
          <w:rFonts w:ascii="Times New Roman" w:hAnsi="Times New Roman"/>
        </w:rPr>
        <w:t>(</w:t>
      </w:r>
      <w:r w:rsidRPr="008403BE">
        <w:rPr>
          <w:rFonts w:ascii="Times New Roman" w:hAnsi="Times New Roman"/>
        </w:rPr>
        <w:t>detailed in Exhibit 1</w:t>
      </w:r>
      <w:r>
        <w:rPr>
          <w:rFonts w:ascii="Times New Roman" w:hAnsi="Times New Roman"/>
        </w:rPr>
        <w:t>c)</w:t>
      </w:r>
      <w:r w:rsidRPr="008403BE">
        <w:rPr>
          <w:rFonts w:ascii="Times New Roman" w:hAnsi="Times New Roman"/>
        </w:rPr>
        <w:t>.</w:t>
      </w:r>
    </w:p>
    <w:p w:rsidR="00AB3A1A" w:rsidRPr="008403BE" w:rsidP="00AB3A1A" w14:paraId="70B9870D" w14:textId="77777777">
      <w:pPr>
        <w:pStyle w:val="Para"/>
        <w:spacing w:after="0"/>
        <w:ind w:firstLine="0"/>
        <w:rPr>
          <w:rFonts w:ascii="Times New Roman" w:hAnsi="Times New Roman"/>
        </w:rPr>
      </w:pPr>
    </w:p>
    <w:p w:rsidR="00AB3A1A" w:rsidP="00AB3A1A" w14:paraId="187EE32E" w14:textId="77777777">
      <w:pPr>
        <w:pStyle w:val="ExhibitTitle"/>
        <w:spacing w:after="0"/>
        <w:jc w:val="center"/>
        <w:rPr>
          <w:rFonts w:ascii="Times New Roman" w:hAnsi="Times New Roman"/>
        </w:rPr>
      </w:pPr>
      <w:r w:rsidRPr="005E01D7">
        <w:rPr>
          <w:rFonts w:ascii="Times New Roman" w:hAnsi="Times New Roman"/>
        </w:rPr>
        <w:t>Table</w:t>
      </w:r>
      <w:r w:rsidRPr="008403BE">
        <w:rPr>
          <w:rFonts w:ascii="Times New Roman" w:hAnsi="Times New Roman"/>
        </w:rPr>
        <w:t xml:space="preserve"> </w:t>
      </w:r>
      <w:r>
        <w:rPr>
          <w:rFonts w:ascii="Times New Roman" w:hAnsi="Times New Roman"/>
        </w:rPr>
        <w:t>1</w:t>
      </w:r>
      <w:r w:rsidRPr="008403BE">
        <w:rPr>
          <w:rFonts w:ascii="Times New Roman" w:hAnsi="Times New Roman"/>
        </w:rPr>
        <w:t>.</w:t>
      </w:r>
      <w:r>
        <w:rPr>
          <w:rFonts w:ascii="Times New Roman" w:hAnsi="Times New Roman"/>
        </w:rPr>
        <w:t xml:space="preserve"> Lower to Upper Range</w:t>
      </w:r>
      <w:r w:rsidRPr="008403BE">
        <w:rPr>
          <w:rFonts w:ascii="Times New Roman" w:hAnsi="Times New Roman"/>
        </w:rPr>
        <w:t xml:space="preserve"> of Respondent Burden</w:t>
      </w:r>
      <w:r>
        <w:rPr>
          <w:rFonts w:ascii="Times New Roman" w:hAnsi="Times New Roman"/>
        </w:rPr>
        <w:t xml:space="preserve"> and Costs </w:t>
      </w:r>
    </w:p>
    <w:p w:rsidR="00AB3A1A" w:rsidRPr="001F421B" w:rsidP="00AB3A1A" w14:paraId="56DE0D16" w14:textId="77777777">
      <w:pPr>
        <w:pStyle w:val="ExhibitTitle"/>
        <w:spacing w:after="120"/>
        <w:ind w:left="1166" w:hanging="1166"/>
        <w:jc w:val="center"/>
        <w:rPr>
          <w:rFonts w:ascii="Times New Roman" w:hAnsi="Times New Roman"/>
        </w:rPr>
      </w:pPr>
      <w:r>
        <w:rPr>
          <w:rFonts w:ascii="Times New Roman" w:hAnsi="Times New Roman"/>
        </w:rPr>
        <w:t>(3-year period following final rule publication)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98"/>
        <w:gridCol w:w="3868"/>
        <w:gridCol w:w="3075"/>
      </w:tblGrid>
      <w:tr w14:paraId="2823768E" w14:textId="77777777" w:rsidTr="002752FF">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78"/>
          <w:tblHeader/>
        </w:trPr>
        <w:tc>
          <w:tcPr>
            <w:tcW w:w="2198" w:type="dxa"/>
            <w:shd w:val="clear" w:color="auto" w:fill="D9D9D9" w:themeFill="background1" w:themeFillShade="D9"/>
            <w:vAlign w:val="center"/>
            <w:hideMark/>
          </w:tcPr>
          <w:p w:rsidR="00AB3A1A" w:rsidRPr="001F421B" w:rsidP="002752FF" w14:paraId="1FA8F9BC" w14:textId="77777777">
            <w:pPr>
              <w:pStyle w:val="TableHeader"/>
              <w:rPr>
                <w:rFonts w:ascii="Times New Roman" w:hAnsi="Times New Roman"/>
              </w:rPr>
            </w:pPr>
            <w:r w:rsidRPr="001F421B">
              <w:rPr>
                <w:rFonts w:ascii="Times New Roman" w:hAnsi="Times New Roman"/>
              </w:rPr>
              <w:t>Year</w:t>
            </w:r>
          </w:p>
        </w:tc>
        <w:tc>
          <w:tcPr>
            <w:tcW w:w="3868" w:type="dxa"/>
            <w:shd w:val="clear" w:color="auto" w:fill="D9D9D9" w:themeFill="background1" w:themeFillShade="D9"/>
            <w:vAlign w:val="center"/>
            <w:hideMark/>
          </w:tcPr>
          <w:p w:rsidR="00AB3A1A" w:rsidRPr="00EA35FE" w:rsidP="002752FF" w14:paraId="308154A0" w14:textId="77777777">
            <w:pPr>
              <w:pStyle w:val="TableHeader"/>
              <w:rPr>
                <w:rFonts w:ascii="Times New Roman" w:hAnsi="Times New Roman"/>
              </w:rPr>
            </w:pPr>
            <w:r>
              <w:rPr>
                <w:rFonts w:ascii="Times New Roman" w:hAnsi="Times New Roman"/>
              </w:rPr>
              <w:t>Total Annual Labor Burden (hours)</w:t>
            </w:r>
          </w:p>
        </w:tc>
        <w:tc>
          <w:tcPr>
            <w:tcW w:w="3075" w:type="dxa"/>
            <w:shd w:val="clear" w:color="auto" w:fill="D9D9D9" w:themeFill="background1" w:themeFillShade="D9"/>
            <w:vAlign w:val="center"/>
            <w:hideMark/>
          </w:tcPr>
          <w:p w:rsidR="00AB3A1A" w:rsidRPr="00EA35FE" w:rsidP="002752FF" w14:paraId="6C9841DC" w14:textId="77777777">
            <w:pPr>
              <w:pStyle w:val="TableHeader"/>
              <w:rPr>
                <w:rFonts w:ascii="Times New Roman" w:hAnsi="Times New Roman"/>
              </w:rPr>
            </w:pPr>
            <w:r>
              <w:rPr>
                <w:rFonts w:ascii="Times New Roman" w:hAnsi="Times New Roman"/>
              </w:rPr>
              <w:t>Total Annual Labor Costs ($)</w:t>
            </w:r>
          </w:p>
        </w:tc>
      </w:tr>
      <w:tr w14:paraId="5D5BBF37" w14:textId="77777777" w:rsidTr="002752FF">
        <w:tblPrEx>
          <w:tblW w:w="0" w:type="auto"/>
          <w:tblInd w:w="108" w:type="dxa"/>
          <w:tblLayout w:type="fixed"/>
          <w:tblLook w:val="04A0"/>
        </w:tblPrEx>
        <w:trPr>
          <w:trHeight w:val="255"/>
        </w:trPr>
        <w:tc>
          <w:tcPr>
            <w:tcW w:w="2198" w:type="dxa"/>
            <w:vAlign w:val="center"/>
            <w:hideMark/>
          </w:tcPr>
          <w:p w:rsidR="00AB3A1A" w:rsidRPr="00EB7CE4" w:rsidP="002752FF" w14:paraId="7387F322" w14:textId="77777777">
            <w:pPr>
              <w:pStyle w:val="TableRow"/>
              <w:jc w:val="center"/>
              <w:rPr>
                <w:rFonts w:ascii="Times New Roman" w:hAnsi="Times New Roman"/>
              </w:rPr>
            </w:pPr>
            <w:r w:rsidRPr="00EB7CE4">
              <w:rPr>
                <w:rFonts w:ascii="Times New Roman" w:hAnsi="Times New Roman"/>
              </w:rPr>
              <w:t>3-Year Total</w:t>
            </w:r>
          </w:p>
        </w:tc>
        <w:tc>
          <w:tcPr>
            <w:tcW w:w="3868" w:type="dxa"/>
            <w:vAlign w:val="center"/>
          </w:tcPr>
          <w:p w:rsidR="00AB3A1A" w:rsidRPr="00F8624F" w:rsidP="002752FF" w14:paraId="41875F7B" w14:textId="77777777">
            <w:pPr>
              <w:pStyle w:val="TableRow"/>
              <w:jc w:val="center"/>
              <w:rPr>
                <w:rFonts w:ascii="Times New Roman" w:hAnsi="Times New Roman"/>
                <w:szCs w:val="22"/>
              </w:rPr>
            </w:pPr>
            <w:r>
              <w:rPr>
                <w:rFonts w:ascii="Times New Roman" w:hAnsi="Times New Roman"/>
                <w:szCs w:val="22"/>
              </w:rPr>
              <w:t>166,400-208,000</w:t>
            </w:r>
          </w:p>
        </w:tc>
        <w:tc>
          <w:tcPr>
            <w:tcW w:w="3075" w:type="dxa"/>
            <w:vAlign w:val="center"/>
          </w:tcPr>
          <w:p w:rsidR="00AB3A1A" w:rsidRPr="00F8624F" w:rsidP="002752FF" w14:paraId="0166BC8B" w14:textId="77777777">
            <w:pPr>
              <w:pStyle w:val="TableRow"/>
              <w:jc w:val="center"/>
              <w:rPr>
                <w:rFonts w:ascii="Times New Roman" w:hAnsi="Times New Roman"/>
                <w:szCs w:val="22"/>
              </w:rPr>
            </w:pPr>
            <w:r w:rsidRPr="00F8624F">
              <w:rPr>
                <w:rFonts w:ascii="Times New Roman" w:hAnsi="Times New Roman"/>
                <w:szCs w:val="22"/>
              </w:rPr>
              <w:t>$</w:t>
            </w:r>
            <w:r>
              <w:rPr>
                <w:rFonts w:ascii="Times New Roman" w:hAnsi="Times New Roman"/>
                <w:szCs w:val="22"/>
              </w:rPr>
              <w:t>21 -</w:t>
            </w:r>
            <w:r w:rsidRPr="00F8624F">
              <w:rPr>
                <w:rFonts w:ascii="Times New Roman" w:hAnsi="Times New Roman"/>
                <w:szCs w:val="22"/>
              </w:rPr>
              <w:t xml:space="preserve"> $</w:t>
            </w:r>
            <w:r>
              <w:rPr>
                <w:rFonts w:ascii="Times New Roman" w:hAnsi="Times New Roman"/>
                <w:szCs w:val="22"/>
              </w:rPr>
              <w:t>26</w:t>
            </w:r>
            <w:r w:rsidRPr="00F8624F">
              <w:rPr>
                <w:rFonts w:ascii="Times New Roman" w:hAnsi="Times New Roman"/>
                <w:szCs w:val="22"/>
              </w:rPr>
              <w:t xml:space="preserve"> million</w:t>
            </w:r>
          </w:p>
        </w:tc>
      </w:tr>
      <w:tr w14:paraId="5A41CC0B" w14:textId="77777777" w:rsidTr="002752FF">
        <w:tblPrEx>
          <w:tblW w:w="0" w:type="auto"/>
          <w:tblInd w:w="108" w:type="dxa"/>
          <w:tblLayout w:type="fixed"/>
          <w:tblLook w:val="04A0"/>
        </w:tblPrEx>
        <w:trPr>
          <w:trHeight w:val="255"/>
        </w:trPr>
        <w:tc>
          <w:tcPr>
            <w:tcW w:w="2198" w:type="dxa"/>
            <w:vAlign w:val="center"/>
            <w:hideMark/>
          </w:tcPr>
          <w:p w:rsidR="00AB3A1A" w:rsidRPr="00EB7CE4" w:rsidP="002752FF" w14:paraId="23C38CF5" w14:textId="77777777">
            <w:pPr>
              <w:pStyle w:val="TableRow"/>
              <w:jc w:val="center"/>
              <w:rPr>
                <w:rFonts w:ascii="Times New Roman" w:hAnsi="Times New Roman"/>
              </w:rPr>
            </w:pPr>
            <w:r w:rsidRPr="00EB7CE4">
              <w:rPr>
                <w:rFonts w:ascii="Times New Roman" w:hAnsi="Times New Roman"/>
              </w:rPr>
              <w:t>Average Annual</w:t>
            </w:r>
          </w:p>
        </w:tc>
        <w:tc>
          <w:tcPr>
            <w:tcW w:w="3868" w:type="dxa"/>
            <w:vAlign w:val="center"/>
          </w:tcPr>
          <w:p w:rsidR="00AB3A1A" w:rsidRPr="00F8624F" w:rsidP="002752FF" w14:paraId="20034821" w14:textId="77777777">
            <w:pPr>
              <w:pStyle w:val="TableRow"/>
              <w:jc w:val="center"/>
              <w:rPr>
                <w:rFonts w:ascii="Times New Roman" w:hAnsi="Times New Roman"/>
                <w:szCs w:val="22"/>
              </w:rPr>
            </w:pPr>
            <w:r>
              <w:rPr>
                <w:rFonts w:ascii="Times New Roman" w:hAnsi="Times New Roman"/>
                <w:szCs w:val="22"/>
              </w:rPr>
              <w:t>55,000</w:t>
            </w:r>
            <w:r w:rsidRPr="00F8624F">
              <w:rPr>
                <w:rFonts w:ascii="Times New Roman" w:hAnsi="Times New Roman"/>
                <w:szCs w:val="22"/>
              </w:rPr>
              <w:t xml:space="preserve"> </w:t>
            </w:r>
            <w:r>
              <w:rPr>
                <w:rFonts w:ascii="Times New Roman" w:hAnsi="Times New Roman"/>
                <w:szCs w:val="22"/>
              </w:rPr>
              <w:t>–</w:t>
            </w:r>
            <w:r w:rsidRPr="00F8624F">
              <w:rPr>
                <w:rFonts w:ascii="Times New Roman" w:hAnsi="Times New Roman"/>
                <w:szCs w:val="22"/>
              </w:rPr>
              <w:t xml:space="preserve"> </w:t>
            </w:r>
            <w:r>
              <w:rPr>
                <w:rFonts w:ascii="Times New Roman" w:hAnsi="Times New Roman"/>
                <w:szCs w:val="22"/>
              </w:rPr>
              <w:t>69,000</w:t>
            </w:r>
          </w:p>
        </w:tc>
        <w:tc>
          <w:tcPr>
            <w:tcW w:w="3075" w:type="dxa"/>
            <w:vAlign w:val="center"/>
          </w:tcPr>
          <w:p w:rsidR="00AB3A1A" w:rsidRPr="00F8624F" w:rsidP="002752FF" w14:paraId="38F2EB83" w14:textId="77777777">
            <w:pPr>
              <w:pStyle w:val="TableRow"/>
              <w:jc w:val="center"/>
              <w:rPr>
                <w:rFonts w:ascii="Times New Roman" w:hAnsi="Times New Roman"/>
                <w:szCs w:val="22"/>
              </w:rPr>
            </w:pPr>
            <w:r w:rsidRPr="00F8624F">
              <w:rPr>
                <w:rFonts w:ascii="Times New Roman" w:hAnsi="Times New Roman"/>
                <w:szCs w:val="22"/>
              </w:rPr>
              <w:t>$</w:t>
            </w:r>
            <w:r>
              <w:rPr>
                <w:rFonts w:ascii="Times New Roman" w:hAnsi="Times New Roman"/>
                <w:szCs w:val="22"/>
              </w:rPr>
              <w:t>7.1</w:t>
            </w:r>
            <w:r w:rsidRPr="00F8624F">
              <w:rPr>
                <w:rFonts w:ascii="Times New Roman" w:hAnsi="Times New Roman"/>
                <w:szCs w:val="22"/>
              </w:rPr>
              <w:t xml:space="preserve"> </w:t>
            </w:r>
            <w:r>
              <w:rPr>
                <w:rFonts w:ascii="Times New Roman" w:hAnsi="Times New Roman"/>
                <w:szCs w:val="22"/>
              </w:rPr>
              <w:t xml:space="preserve">- </w:t>
            </w:r>
            <w:r w:rsidRPr="00F8624F">
              <w:rPr>
                <w:rFonts w:ascii="Times New Roman" w:hAnsi="Times New Roman"/>
                <w:szCs w:val="22"/>
              </w:rPr>
              <w:t>$</w:t>
            </w:r>
            <w:r>
              <w:rPr>
                <w:rFonts w:ascii="Times New Roman" w:hAnsi="Times New Roman"/>
                <w:szCs w:val="22"/>
              </w:rPr>
              <w:t>8.8</w:t>
            </w:r>
            <w:r w:rsidRPr="00F8624F">
              <w:rPr>
                <w:rFonts w:ascii="Times New Roman" w:hAnsi="Times New Roman"/>
                <w:szCs w:val="22"/>
              </w:rPr>
              <w:t xml:space="preserve"> million</w:t>
            </w:r>
          </w:p>
        </w:tc>
      </w:tr>
      <w:tr w14:paraId="2B185DA8" w14:textId="77777777" w:rsidTr="002752FF">
        <w:tblPrEx>
          <w:tblW w:w="0" w:type="auto"/>
          <w:tblInd w:w="108" w:type="dxa"/>
          <w:tblLayout w:type="fixed"/>
          <w:tblLook w:val="04A0"/>
        </w:tblPrEx>
        <w:trPr>
          <w:trHeight w:val="255"/>
        </w:trPr>
        <w:tc>
          <w:tcPr>
            <w:tcW w:w="2198" w:type="dxa"/>
            <w:vAlign w:val="center"/>
          </w:tcPr>
          <w:p w:rsidR="00AB3A1A" w:rsidRPr="00EB7CE4" w:rsidP="002752FF" w14:paraId="293D9877" w14:textId="77777777">
            <w:pPr>
              <w:pStyle w:val="TableRow"/>
              <w:jc w:val="center"/>
              <w:rPr>
                <w:rFonts w:ascii="Times New Roman" w:hAnsi="Times New Roman"/>
              </w:rPr>
            </w:pPr>
            <w:r w:rsidRPr="00EB7CE4">
              <w:rPr>
                <w:rFonts w:ascii="Times New Roman" w:hAnsi="Times New Roman"/>
              </w:rPr>
              <w:t>Average Annual per Respondent</w:t>
            </w:r>
          </w:p>
        </w:tc>
        <w:tc>
          <w:tcPr>
            <w:tcW w:w="3868" w:type="dxa"/>
            <w:vAlign w:val="center"/>
          </w:tcPr>
          <w:p w:rsidR="00AB3A1A" w:rsidRPr="00F8624F" w:rsidP="002752FF" w14:paraId="3B0ED83C" w14:textId="77777777">
            <w:pPr>
              <w:pStyle w:val="TableRow"/>
              <w:jc w:val="center"/>
              <w:rPr>
                <w:rFonts w:ascii="Times New Roman" w:hAnsi="Times New Roman"/>
                <w:szCs w:val="22"/>
              </w:rPr>
            </w:pPr>
            <w:r>
              <w:rPr>
                <w:rFonts w:ascii="Times New Roman" w:hAnsi="Times New Roman"/>
                <w:szCs w:val="22"/>
              </w:rPr>
              <w:t>1,100 –</w:t>
            </w:r>
            <w:r w:rsidRPr="00F8624F">
              <w:rPr>
                <w:rFonts w:ascii="Times New Roman" w:hAnsi="Times New Roman"/>
                <w:szCs w:val="22"/>
              </w:rPr>
              <w:t xml:space="preserve"> </w:t>
            </w:r>
            <w:r>
              <w:rPr>
                <w:rFonts w:ascii="Times New Roman" w:hAnsi="Times New Roman"/>
                <w:szCs w:val="22"/>
              </w:rPr>
              <w:t>1,400</w:t>
            </w:r>
          </w:p>
        </w:tc>
        <w:tc>
          <w:tcPr>
            <w:tcW w:w="3075" w:type="dxa"/>
            <w:vAlign w:val="center"/>
          </w:tcPr>
          <w:p w:rsidR="00AB3A1A" w:rsidRPr="00F8624F" w:rsidP="002752FF" w14:paraId="438A48D1" w14:textId="77777777">
            <w:pPr>
              <w:pStyle w:val="TableRow"/>
              <w:jc w:val="center"/>
              <w:rPr>
                <w:rFonts w:ascii="Times New Roman" w:hAnsi="Times New Roman"/>
                <w:szCs w:val="22"/>
              </w:rPr>
            </w:pPr>
            <w:r>
              <w:rPr>
                <w:rFonts w:ascii="Times New Roman" w:hAnsi="Times New Roman"/>
                <w:szCs w:val="22"/>
              </w:rPr>
              <w:t>$141,000</w:t>
            </w:r>
            <w:r w:rsidRPr="00F8624F">
              <w:rPr>
                <w:rFonts w:ascii="Times New Roman" w:hAnsi="Times New Roman"/>
                <w:szCs w:val="22"/>
              </w:rPr>
              <w:t xml:space="preserve"> </w:t>
            </w:r>
            <w:r>
              <w:rPr>
                <w:rFonts w:ascii="Times New Roman" w:hAnsi="Times New Roman"/>
                <w:szCs w:val="22"/>
              </w:rPr>
              <w:t>-</w:t>
            </w:r>
            <w:r w:rsidRPr="00F8624F">
              <w:rPr>
                <w:rFonts w:ascii="Times New Roman" w:hAnsi="Times New Roman"/>
                <w:szCs w:val="22"/>
              </w:rPr>
              <w:t xml:space="preserve"> $</w:t>
            </w:r>
            <w:r>
              <w:rPr>
                <w:rFonts w:ascii="Times New Roman" w:hAnsi="Times New Roman"/>
                <w:szCs w:val="22"/>
              </w:rPr>
              <w:t xml:space="preserve">176,000 </w:t>
            </w:r>
          </w:p>
        </w:tc>
      </w:tr>
    </w:tbl>
    <w:p w:rsidR="00AB3A1A" w:rsidP="00AB3A1A" w14:paraId="60CDC6CD" w14:textId="77777777">
      <w:pPr>
        <w:pStyle w:val="Para"/>
        <w:rPr>
          <w:rFonts w:ascii="Times New Roman" w:hAnsi="Times New Roman"/>
        </w:rPr>
      </w:pPr>
    </w:p>
    <w:p w:rsidR="00AB3A1A" w:rsidRPr="009B35B5" w:rsidP="00AB3A1A" w14:paraId="51509F55" w14:textId="77777777">
      <w:pPr>
        <w:pStyle w:val="Para"/>
        <w:rPr>
          <w:rFonts w:ascii="Times New Roman" w:hAnsi="Times New Roman"/>
        </w:rPr>
      </w:pPr>
      <w:r w:rsidRPr="009B35B5">
        <w:rPr>
          <w:rFonts w:ascii="Times New Roman" w:hAnsi="Times New Roman"/>
        </w:rPr>
        <w:t xml:space="preserve">The individual burdens are expressed under standardized headings consistent with the concept of burden under the </w:t>
      </w:r>
      <w:r w:rsidRPr="008B7C15">
        <w:rPr>
          <w:rFonts w:ascii="Times New Roman" w:hAnsi="Times New Roman"/>
          <w:i/>
          <w:iCs/>
        </w:rPr>
        <w:t>Paperwork Reduction Act</w:t>
      </w:r>
      <w:r w:rsidRPr="009B35B5">
        <w:rPr>
          <w:rFonts w:ascii="Times New Roman" w:hAnsi="Times New Roman"/>
        </w:rPr>
        <w:t>. Where appropriate, specific tasks and major assumptions have been identified</w:t>
      </w:r>
      <w:r>
        <w:rPr>
          <w:rFonts w:ascii="Times New Roman" w:hAnsi="Times New Roman"/>
        </w:rPr>
        <w:t>.</w:t>
      </w:r>
      <w:r w:rsidRPr="009B35B5">
        <w:rPr>
          <w:rFonts w:ascii="Times New Roman" w:hAnsi="Times New Roman"/>
        </w:rPr>
        <w:t xml:space="preserve"> </w:t>
      </w:r>
      <w:r>
        <w:rPr>
          <w:rFonts w:ascii="Times New Roman" w:hAnsi="Times New Roman"/>
        </w:rPr>
        <w:t>R</w:t>
      </w:r>
      <w:r w:rsidRPr="009B35B5">
        <w:rPr>
          <w:rFonts w:ascii="Times New Roman" w:hAnsi="Times New Roman"/>
        </w:rPr>
        <w:t>esponses to this information collection are mandatory.</w:t>
      </w:r>
    </w:p>
    <w:p w:rsidR="00AB3A1A" w:rsidRPr="009B35B5" w:rsidP="00AB3A1A" w14:paraId="1CFD5932" w14:textId="77777777">
      <w:pPr>
        <w:pStyle w:val="Para"/>
        <w:rPr>
          <w:rFonts w:ascii="Times New Roman" w:hAnsi="Times New Roman"/>
        </w:rPr>
      </w:pPr>
      <w:r w:rsidRPr="009B35B5">
        <w:rPr>
          <w:rFonts w:ascii="Times New Roman" w:hAnsi="Times New Roman"/>
        </w:rPr>
        <w:t xml:space="preserve">The </w:t>
      </w:r>
      <w:r>
        <w:rPr>
          <w:rFonts w:ascii="Times New Roman" w:hAnsi="Times New Roman"/>
        </w:rPr>
        <w:t>a</w:t>
      </w:r>
      <w:r w:rsidRPr="009B35B5">
        <w:rPr>
          <w:rFonts w:ascii="Times New Roman" w:hAnsi="Times New Roman"/>
        </w:rPr>
        <w:t>gency may not conduct or sponsor, and a person is not required to respond to, a collection of information unless it displays a currently valid OMB Control Number.</w:t>
      </w:r>
    </w:p>
    <w:p w:rsidR="00AB3A1A" w:rsidRPr="0068644D" w:rsidP="00AB3A1A" w14:paraId="3E539A6C" w14:textId="77777777">
      <w:pPr>
        <w:pStyle w:val="Heading2"/>
        <w:spacing w:after="240"/>
        <w:rPr>
          <w:i/>
          <w:iCs/>
        </w:rPr>
      </w:pPr>
      <w:r>
        <w:rPr>
          <w:i/>
        </w:rPr>
        <w:t>6</w:t>
      </w:r>
      <w:r w:rsidRPr="0068644D">
        <w:rPr>
          <w:i/>
        </w:rPr>
        <w:t>(a)</w:t>
      </w:r>
      <w:r w:rsidRPr="0068644D">
        <w:rPr>
          <w:i/>
        </w:rPr>
        <w:tab/>
        <w:t>Estimating Respondent Burden</w:t>
      </w:r>
      <w:r>
        <w:rPr>
          <w:i/>
        </w:rPr>
        <w:t>.</w:t>
      </w:r>
    </w:p>
    <w:p w:rsidR="00AB3A1A" w:rsidP="00AB3A1A" w14:paraId="2857F11C" w14:textId="77777777">
      <w:pPr>
        <w:pStyle w:val="Para"/>
        <w:rPr>
          <w:rFonts w:ascii="Times New Roman" w:hAnsi="Times New Roman"/>
        </w:rPr>
      </w:pPr>
      <w:r>
        <w:rPr>
          <w:rFonts w:ascii="Times New Roman" w:hAnsi="Times New Roman"/>
        </w:rPr>
        <w:t xml:space="preserve">The average annual burden </w:t>
      </w:r>
      <w:r w:rsidRPr="007C7E34">
        <w:rPr>
          <w:rFonts w:ascii="Times New Roman" w:hAnsi="Times New Roman"/>
        </w:rPr>
        <w:t xml:space="preserve">over the </w:t>
      </w:r>
      <w:r>
        <w:rPr>
          <w:rFonts w:ascii="Times New Roman" w:hAnsi="Times New Roman"/>
        </w:rPr>
        <w:t>3-</w:t>
      </w:r>
      <w:r w:rsidRPr="007C7E34">
        <w:rPr>
          <w:rFonts w:ascii="Times New Roman" w:hAnsi="Times New Roman"/>
        </w:rPr>
        <w:t>year</w:t>
      </w:r>
      <w:r>
        <w:rPr>
          <w:rFonts w:ascii="Times New Roman" w:hAnsi="Times New Roman"/>
        </w:rPr>
        <w:t xml:space="preserve"> period of this ICR</w:t>
      </w:r>
      <w:r w:rsidRPr="007C7E34">
        <w:rPr>
          <w:rFonts w:ascii="Times New Roman" w:hAnsi="Times New Roman"/>
        </w:rPr>
        <w:t xml:space="preserve"> from these reporting requirements is estimated to </w:t>
      </w:r>
      <w:r>
        <w:rPr>
          <w:rFonts w:ascii="Times New Roman" w:hAnsi="Times New Roman"/>
        </w:rPr>
        <w:t xml:space="preserve">range from approximately </w:t>
      </w:r>
      <w:r>
        <w:rPr>
          <w:rFonts w:ascii="Times New Roman" w:hAnsi="Times New Roman"/>
          <w:szCs w:val="22"/>
        </w:rPr>
        <w:t>55,000</w:t>
      </w:r>
      <w:r w:rsidRPr="00F8624F">
        <w:rPr>
          <w:rFonts w:ascii="Times New Roman" w:hAnsi="Times New Roman"/>
          <w:szCs w:val="22"/>
        </w:rPr>
        <w:t xml:space="preserve"> </w:t>
      </w:r>
      <w:r>
        <w:rPr>
          <w:rFonts w:ascii="Times New Roman" w:hAnsi="Times New Roman"/>
          <w:szCs w:val="22"/>
        </w:rPr>
        <w:t>to</w:t>
      </w:r>
      <w:r w:rsidRPr="00F8624F">
        <w:rPr>
          <w:rFonts w:ascii="Times New Roman" w:hAnsi="Times New Roman"/>
          <w:szCs w:val="22"/>
        </w:rPr>
        <w:t xml:space="preserve"> </w:t>
      </w:r>
      <w:r>
        <w:rPr>
          <w:rFonts w:ascii="Times New Roman" w:hAnsi="Times New Roman"/>
          <w:szCs w:val="22"/>
        </w:rPr>
        <w:t xml:space="preserve">69,000 </w:t>
      </w:r>
      <w:r>
        <w:rPr>
          <w:rFonts w:ascii="Times New Roman" w:hAnsi="Times New Roman"/>
        </w:rPr>
        <w:t xml:space="preserve">hours per year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w:t>
      </w:r>
      <w:r>
        <w:rPr>
          <w:rFonts w:ascii="Times New Roman" w:hAnsi="Times New Roman"/>
        </w:rPr>
        <w:t>c)</w:t>
      </w:r>
      <w:r w:rsidRPr="007C7E34">
        <w:rPr>
          <w:rFonts w:ascii="Times New Roman" w:hAnsi="Times New Roman"/>
        </w:rPr>
        <w:t xml:space="preserve">. These hours are based on </w:t>
      </w:r>
      <w:r>
        <w:rPr>
          <w:rFonts w:ascii="Times New Roman" w:hAnsi="Times New Roman"/>
        </w:rPr>
        <w:t>a</w:t>
      </w:r>
      <w:r w:rsidRPr="007C7E34">
        <w:rPr>
          <w:rFonts w:ascii="Times New Roman" w:hAnsi="Times New Roman"/>
        </w:rPr>
        <w:t xml:space="preserve">gency studies and background documents from the </w:t>
      </w:r>
      <w:r w:rsidRPr="007C7E34">
        <w:rPr>
          <w:rFonts w:ascii="Times New Roman" w:hAnsi="Times New Roman"/>
        </w:rPr>
        <w:t xml:space="preserve">development of the regulation, </w:t>
      </w:r>
      <w:r>
        <w:rPr>
          <w:rFonts w:ascii="Times New Roman" w:hAnsi="Times New Roman"/>
        </w:rPr>
        <w:t>a</w:t>
      </w:r>
      <w:r w:rsidRPr="007C7E34">
        <w:rPr>
          <w:rFonts w:ascii="Times New Roman" w:hAnsi="Times New Roman"/>
        </w:rPr>
        <w:t>gency knowledge</w:t>
      </w:r>
      <w:r>
        <w:rPr>
          <w:rFonts w:ascii="Times New Roman" w:hAnsi="Times New Roman"/>
        </w:rPr>
        <w:t xml:space="preserve"> and</w:t>
      </w:r>
      <w:r w:rsidRPr="007C7E34">
        <w:rPr>
          <w:rFonts w:ascii="Times New Roman" w:hAnsi="Times New Roman"/>
        </w:rPr>
        <w:t xml:space="preserve"> experience with </w:t>
      </w:r>
      <w:r>
        <w:rPr>
          <w:rFonts w:ascii="Times New Roman" w:hAnsi="Times New Roman"/>
        </w:rPr>
        <w:t xml:space="preserve">part 60 and other regulations, the previously approved ICR for subpart OOOO, </w:t>
      </w:r>
      <w:r>
        <w:rPr>
          <w:rFonts w:ascii="Times New Roman" w:hAnsi="Times New Roman"/>
        </w:rPr>
        <w:t>OOOOa</w:t>
      </w:r>
      <w:r>
        <w:rPr>
          <w:rFonts w:ascii="Times New Roman" w:hAnsi="Times New Roman"/>
        </w:rPr>
        <w:t>, and other sources</w:t>
      </w:r>
      <w:r w:rsidRPr="007C7E34">
        <w:rPr>
          <w:rFonts w:ascii="Times New Roman" w:hAnsi="Times New Roman"/>
        </w:rPr>
        <w:t>.</w:t>
      </w:r>
    </w:p>
    <w:p w:rsidR="00AB3A1A" w:rsidRPr="0068644D" w:rsidP="00AB3A1A" w14:paraId="50C98AC6" w14:textId="77777777">
      <w:pPr>
        <w:pStyle w:val="Heading2"/>
        <w:spacing w:after="240"/>
        <w:rPr>
          <w:i/>
          <w:iCs/>
        </w:rPr>
      </w:pPr>
      <w:r>
        <w:rPr>
          <w:i/>
        </w:rPr>
        <w:t>6</w:t>
      </w:r>
      <w:r w:rsidRPr="0068644D">
        <w:rPr>
          <w:i/>
        </w:rPr>
        <w:t>(b)</w:t>
      </w:r>
      <w:r w:rsidRPr="0068644D">
        <w:rPr>
          <w:i/>
        </w:rPr>
        <w:tab/>
        <w:t>Estimating Respondent Costs</w:t>
      </w:r>
      <w:r>
        <w:rPr>
          <w:i/>
        </w:rPr>
        <w:t>.</w:t>
      </w:r>
    </w:p>
    <w:p w:rsidR="00AB3A1A" w:rsidP="00AB3A1A" w14:paraId="5EDDB255" w14:textId="77777777">
      <w:pPr>
        <w:pStyle w:val="Para"/>
        <w:rPr>
          <w:rFonts w:ascii="Times New Roman" w:hAnsi="Times New Roman"/>
        </w:rPr>
      </w:pPr>
      <w:r w:rsidRPr="00B70F1C">
        <w:rPr>
          <w:rFonts w:ascii="Times New Roman" w:hAnsi="Times New Roman"/>
        </w:rPr>
        <w:t xml:space="preserve">Respondent costs are </w:t>
      </w:r>
      <w:r>
        <w:rPr>
          <w:rFonts w:ascii="Times New Roman" w:hAnsi="Times New Roman"/>
        </w:rPr>
        <w:t xml:space="preserve">typically </w:t>
      </w:r>
      <w:r w:rsidRPr="00B70F1C">
        <w:rPr>
          <w:rFonts w:ascii="Times New Roman" w:hAnsi="Times New Roman"/>
        </w:rPr>
        <w:t xml:space="preserve">divided into </w:t>
      </w:r>
      <w:r>
        <w:rPr>
          <w:rFonts w:ascii="Times New Roman" w:hAnsi="Times New Roman"/>
        </w:rPr>
        <w:t>three</w:t>
      </w:r>
      <w:r w:rsidRPr="00B70F1C">
        <w:rPr>
          <w:rFonts w:ascii="Times New Roman" w:hAnsi="Times New Roman"/>
        </w:rPr>
        <w:t xml:space="preserve"> categories. These categories include labor costs, </w:t>
      </w:r>
      <w:r w:rsidRPr="00B70F1C">
        <w:rPr>
          <w:rFonts w:ascii="Times New Roman" w:hAnsi="Times New Roman"/>
        </w:rPr>
        <w:t>operation</w:t>
      </w:r>
      <w:r w:rsidRPr="00B70F1C">
        <w:rPr>
          <w:rFonts w:ascii="Times New Roman" w:hAnsi="Times New Roman"/>
        </w:rPr>
        <w:t xml:space="preserve"> and maintenance </w:t>
      </w:r>
      <w:r>
        <w:rPr>
          <w:rFonts w:ascii="Times New Roman" w:hAnsi="Times New Roman"/>
        </w:rPr>
        <w:t xml:space="preserve">(O&amp;M) </w:t>
      </w:r>
      <w:r w:rsidRPr="00B70F1C">
        <w:rPr>
          <w:rFonts w:ascii="Times New Roman" w:hAnsi="Times New Roman"/>
        </w:rPr>
        <w:t>costs, and annualized capital costs</w:t>
      </w:r>
      <w:r>
        <w:rPr>
          <w:rFonts w:ascii="Times New Roman" w:hAnsi="Times New Roman"/>
        </w:rPr>
        <w:t xml:space="preserve">. Labor costs and O&amp;M costs are the only respondent costs associated with this ICR. </w:t>
      </w:r>
    </w:p>
    <w:p w:rsidR="00AB3A1A" w:rsidRPr="0068644D" w:rsidP="00AB3A1A" w14:paraId="7A0F5000" w14:textId="77777777">
      <w:pPr>
        <w:pStyle w:val="Heading2"/>
        <w:spacing w:after="240"/>
        <w:rPr>
          <w:i/>
          <w:iCs/>
        </w:rPr>
      </w:pPr>
      <w:r w:rsidRPr="0068644D">
        <w:rPr>
          <w:i/>
        </w:rPr>
        <w:t>(</w:t>
      </w:r>
      <w:r w:rsidRPr="0068644D">
        <w:rPr>
          <w:i/>
        </w:rPr>
        <w:t>i</w:t>
      </w:r>
      <w:r w:rsidRPr="0068644D">
        <w:rPr>
          <w:i/>
        </w:rPr>
        <w:t>)</w:t>
      </w:r>
      <w:r w:rsidRPr="0068644D">
        <w:rPr>
          <w:i/>
        </w:rPr>
        <w:tab/>
        <w:t>Estimating Labor Costs</w:t>
      </w:r>
      <w:r>
        <w:rPr>
          <w:i/>
        </w:rPr>
        <w:t>.</w:t>
      </w:r>
    </w:p>
    <w:p w:rsidR="00AB3A1A" w:rsidP="00AB3A1A" w14:paraId="387D0A22" w14:textId="77777777">
      <w:pPr>
        <w:pStyle w:val="Para"/>
        <w:rPr>
          <w:rFonts w:ascii="Times New Roman" w:hAnsi="Times New Roman"/>
        </w:rPr>
      </w:pPr>
      <w:r w:rsidRPr="007C7E34">
        <w:rPr>
          <w:rFonts w:ascii="Times New Roman" w:hAnsi="Times New Roman"/>
        </w:rPr>
        <w:t xml:space="preserve">The average annual </w:t>
      </w:r>
      <w:r>
        <w:rPr>
          <w:rFonts w:ascii="Times New Roman" w:hAnsi="Times New Roman"/>
        </w:rPr>
        <w:t>labor costs</w:t>
      </w:r>
      <w:r w:rsidRPr="007C7E34">
        <w:rPr>
          <w:rFonts w:ascii="Times New Roman" w:hAnsi="Times New Roman"/>
        </w:rPr>
        <w:t xml:space="preserve"> over the </w:t>
      </w:r>
      <w:r>
        <w:rPr>
          <w:rFonts w:ascii="Times New Roman" w:hAnsi="Times New Roman"/>
        </w:rPr>
        <w:t>3-</w:t>
      </w:r>
      <w:r w:rsidRPr="007C7E34">
        <w:rPr>
          <w:rFonts w:ascii="Times New Roman" w:hAnsi="Times New Roman"/>
        </w:rPr>
        <w:t>year</w:t>
      </w:r>
      <w:r>
        <w:rPr>
          <w:rFonts w:ascii="Times New Roman" w:hAnsi="Times New Roman"/>
        </w:rPr>
        <w:t xml:space="preserve"> period of this ICR</w:t>
      </w:r>
      <w:r w:rsidRPr="007C7E34">
        <w:rPr>
          <w:rFonts w:ascii="Times New Roman" w:hAnsi="Times New Roman"/>
        </w:rPr>
        <w:t xml:space="preserve"> from these reporting requirements </w:t>
      </w:r>
      <w:r>
        <w:rPr>
          <w:rFonts w:ascii="Times New Roman" w:hAnsi="Times New Roman"/>
        </w:rPr>
        <w:t>are</w:t>
      </w:r>
      <w:r w:rsidRPr="007C7E34">
        <w:rPr>
          <w:rFonts w:ascii="Times New Roman" w:hAnsi="Times New Roman"/>
        </w:rPr>
        <w:t xml:space="preserve"> estimated to </w:t>
      </w:r>
      <w:r>
        <w:rPr>
          <w:rFonts w:ascii="Times New Roman" w:hAnsi="Times New Roman"/>
        </w:rPr>
        <w:t xml:space="preserve">range from approximately </w:t>
      </w:r>
      <w:r w:rsidRPr="00F8624F">
        <w:rPr>
          <w:rFonts w:ascii="Times New Roman" w:hAnsi="Times New Roman"/>
          <w:szCs w:val="22"/>
        </w:rPr>
        <w:t>$</w:t>
      </w:r>
      <w:r>
        <w:rPr>
          <w:rFonts w:ascii="Times New Roman" w:hAnsi="Times New Roman"/>
          <w:szCs w:val="22"/>
        </w:rPr>
        <w:t>7.1 to</w:t>
      </w:r>
      <w:r w:rsidRPr="00F8624F">
        <w:rPr>
          <w:rFonts w:ascii="Times New Roman" w:hAnsi="Times New Roman"/>
          <w:szCs w:val="22"/>
        </w:rPr>
        <w:t xml:space="preserve"> $</w:t>
      </w:r>
      <w:r>
        <w:rPr>
          <w:rFonts w:ascii="Times New Roman" w:hAnsi="Times New Roman"/>
          <w:szCs w:val="22"/>
        </w:rPr>
        <w:t>8.8</w:t>
      </w:r>
      <w:r w:rsidRPr="00F8624F">
        <w:rPr>
          <w:rFonts w:ascii="Times New Roman" w:hAnsi="Times New Roman"/>
          <w:szCs w:val="22"/>
        </w:rPr>
        <w:t xml:space="preserve"> million</w:t>
      </w:r>
      <w:r>
        <w:rPr>
          <w:rFonts w:ascii="Times New Roman" w:hAnsi="Times New Roman"/>
        </w:rPr>
        <w:t xml:space="preserve"> per year </w:t>
      </w:r>
      <w:r w:rsidRPr="007C7E34">
        <w:rPr>
          <w:rFonts w:ascii="Times New Roman" w:hAnsi="Times New Roman"/>
        </w:rPr>
        <w:t>(</w:t>
      </w:r>
      <w:r>
        <w:rPr>
          <w:rFonts w:ascii="Times New Roman" w:hAnsi="Times New Roman"/>
        </w:rPr>
        <w:t>detailed in</w:t>
      </w:r>
      <w:r w:rsidRPr="007C7E34">
        <w:rPr>
          <w:rFonts w:ascii="Times New Roman" w:hAnsi="Times New Roman"/>
        </w:rPr>
        <w:t xml:space="preserve"> </w:t>
      </w:r>
      <w:r>
        <w:rPr>
          <w:rFonts w:ascii="Times New Roman" w:hAnsi="Times New Roman"/>
        </w:rPr>
        <w:t>Exhibit</w:t>
      </w:r>
      <w:r w:rsidRPr="007C7E34">
        <w:rPr>
          <w:rFonts w:ascii="Times New Roman" w:hAnsi="Times New Roman"/>
        </w:rPr>
        <w:t xml:space="preserve"> 1</w:t>
      </w:r>
      <w:r>
        <w:rPr>
          <w:rFonts w:ascii="Times New Roman" w:hAnsi="Times New Roman"/>
        </w:rPr>
        <w:t>c</w:t>
      </w:r>
      <w:r w:rsidRPr="007C7E34">
        <w:rPr>
          <w:rFonts w:ascii="Times New Roman" w:hAnsi="Times New Roman"/>
        </w:rPr>
        <w:t>)</w:t>
      </w:r>
      <w:r>
        <w:rPr>
          <w:rFonts w:ascii="Times New Roman" w:hAnsi="Times New Roman"/>
        </w:rPr>
        <w:t xml:space="preserve">. </w:t>
      </w:r>
      <w:r w:rsidRPr="00E87EC5">
        <w:rPr>
          <w:rFonts w:ascii="Times New Roman" w:hAnsi="Times New Roman"/>
        </w:rPr>
        <w:t>Labor rates and associated costs are based on Bureau of Labor Statistics (BLS) data</w:t>
      </w:r>
      <w:r>
        <w:rPr>
          <w:rFonts w:ascii="Times New Roman" w:hAnsi="Times New Roman"/>
        </w:rPr>
        <w:t xml:space="preserve">. </w:t>
      </w:r>
      <w:r w:rsidRPr="00E87EC5">
        <w:rPr>
          <w:rFonts w:ascii="Times New Roman" w:hAnsi="Times New Roman"/>
        </w:rPr>
        <w:t>Technical, manage</w:t>
      </w:r>
      <w:r>
        <w:rPr>
          <w:rFonts w:ascii="Times New Roman" w:hAnsi="Times New Roman"/>
        </w:rPr>
        <w:t>rial</w:t>
      </w:r>
      <w:r w:rsidRPr="00E87EC5">
        <w:rPr>
          <w:rFonts w:ascii="Times New Roman" w:hAnsi="Times New Roman"/>
        </w:rPr>
        <w:t xml:space="preserve">, and clerical average hourly rates for </w:t>
      </w:r>
      <w:r>
        <w:rPr>
          <w:rFonts w:ascii="Times New Roman" w:hAnsi="Times New Roman"/>
        </w:rPr>
        <w:t>state government</w:t>
      </w:r>
      <w:r w:rsidRPr="00E87EC5">
        <w:rPr>
          <w:rFonts w:ascii="Times New Roman" w:hAnsi="Times New Roman"/>
        </w:rPr>
        <w:t xml:space="preserve"> workers were </w:t>
      </w:r>
      <w:r>
        <w:rPr>
          <w:rFonts w:ascii="Times New Roman" w:hAnsi="Times New Roman"/>
        </w:rPr>
        <w:t>based on</w:t>
      </w:r>
      <w:r w:rsidRPr="00E87EC5">
        <w:rPr>
          <w:rFonts w:ascii="Times New Roman" w:hAnsi="Times New Roman"/>
        </w:rPr>
        <w:t xml:space="preserve"> </w:t>
      </w:r>
      <w:r>
        <w:rPr>
          <w:rFonts w:ascii="Times New Roman" w:hAnsi="Times New Roman"/>
        </w:rPr>
        <w:t xml:space="preserve">the </w:t>
      </w:r>
      <w:r w:rsidRPr="00ED18AB">
        <w:rPr>
          <w:rFonts w:ascii="Times New Roman" w:hAnsi="Times New Roman"/>
        </w:rPr>
        <w:t xml:space="preserve">Bureau of Labor Statistics, Occupational Employment Statistics, </w:t>
      </w:r>
      <w:r>
        <w:rPr>
          <w:rFonts w:ascii="Times New Roman" w:hAnsi="Times New Roman"/>
        </w:rPr>
        <w:t xml:space="preserve">May </w:t>
      </w:r>
      <w:r w:rsidRPr="00ED18AB">
        <w:rPr>
          <w:rFonts w:ascii="Times New Roman" w:hAnsi="Times New Roman"/>
        </w:rPr>
        <w:t>20</w:t>
      </w:r>
      <w:r>
        <w:rPr>
          <w:rFonts w:ascii="Times New Roman" w:hAnsi="Times New Roman"/>
        </w:rPr>
        <w:t>21</w:t>
      </w:r>
      <w:r w:rsidRPr="00ED18AB">
        <w:rPr>
          <w:rFonts w:ascii="Times New Roman" w:hAnsi="Times New Roman"/>
        </w:rPr>
        <w:t xml:space="preserve"> National Industry-Specific Occupational Employment and Wage Estimates</w:t>
      </w:r>
      <w:r>
        <w:rPr>
          <w:rFonts w:ascii="Times New Roman" w:hAnsi="Times New Roman"/>
        </w:rPr>
        <w:t xml:space="preserve"> for state government (NAICS code 999200). The state government labor rates from BLS were multiplied by an overhead multiplier of 110 percent to estimate loaded labor rates of </w:t>
      </w:r>
      <w:r w:rsidRPr="005E01D7">
        <w:rPr>
          <w:rFonts w:ascii="Times New Roman" w:hAnsi="Times New Roman"/>
        </w:rPr>
        <w:t>$</w:t>
      </w:r>
      <w:r>
        <w:rPr>
          <w:rFonts w:ascii="Times New Roman" w:hAnsi="Times New Roman"/>
        </w:rPr>
        <w:t>90.89 per hour for technical, $101.66</w:t>
      </w:r>
      <w:r w:rsidRPr="005E01D7">
        <w:rPr>
          <w:rFonts w:ascii="Times New Roman" w:hAnsi="Times New Roman"/>
        </w:rPr>
        <w:t xml:space="preserve"> per hour for managerial, and $</w:t>
      </w:r>
      <w:r>
        <w:rPr>
          <w:rFonts w:ascii="Times New Roman" w:hAnsi="Times New Roman"/>
        </w:rPr>
        <w:t>45.76 per hour for clerical.</w:t>
      </w:r>
    </w:p>
    <w:p w:rsidR="00AB3A1A" w:rsidRPr="00657A0A" w:rsidP="00AB3A1A" w14:paraId="2FFA9730" w14:textId="77777777">
      <w:pPr>
        <w:pStyle w:val="Para"/>
        <w:rPr>
          <w:rFonts w:ascii="Times New Roman" w:hAnsi="Times New Roman"/>
        </w:rPr>
      </w:pPr>
      <w:r w:rsidRPr="00657A0A">
        <w:rPr>
          <w:rFonts w:ascii="Times New Roman" w:hAnsi="Times New Roman"/>
          <w:i/>
        </w:rPr>
        <w:t>(ii)</w:t>
      </w:r>
      <w:r w:rsidRPr="00657A0A">
        <w:rPr>
          <w:rFonts w:ascii="Times New Roman" w:hAnsi="Times New Roman"/>
          <w:i/>
          <w:iCs/>
        </w:rPr>
        <w:tab/>
      </w:r>
      <w:r w:rsidRPr="00657A0A">
        <w:rPr>
          <w:rFonts w:ascii="Times New Roman" w:hAnsi="Times New Roman"/>
          <w:i/>
        </w:rPr>
        <w:t>Estimating Annualized Capital Costs</w:t>
      </w:r>
      <w:r>
        <w:rPr>
          <w:rFonts w:ascii="Times New Roman" w:hAnsi="Times New Roman"/>
          <w:i/>
        </w:rPr>
        <w:t>.</w:t>
      </w:r>
    </w:p>
    <w:p w:rsidR="00AB3A1A" w:rsidP="00AB3A1A" w14:paraId="3B86E84D" w14:textId="77777777">
      <w:pPr>
        <w:pStyle w:val="Para"/>
        <w:spacing w:after="0"/>
        <w:rPr>
          <w:rFonts w:ascii="Times New Roman" w:hAnsi="Times New Roman"/>
        </w:rPr>
      </w:pPr>
      <w:r w:rsidRPr="007E09A5">
        <w:rPr>
          <w:rFonts w:ascii="Times New Roman" w:hAnsi="Times New Roman"/>
        </w:rPr>
        <w:t>The</w:t>
      </w:r>
      <w:r>
        <w:rPr>
          <w:rFonts w:ascii="Times New Roman" w:hAnsi="Times New Roman"/>
        </w:rPr>
        <w:t>re are no</w:t>
      </w:r>
      <w:r w:rsidRPr="007E09A5">
        <w:rPr>
          <w:rFonts w:ascii="Times New Roman" w:hAnsi="Times New Roman"/>
        </w:rPr>
        <w:t xml:space="preserve"> </w:t>
      </w:r>
      <w:r>
        <w:rPr>
          <w:rFonts w:ascii="Times New Roman" w:hAnsi="Times New Roman"/>
        </w:rPr>
        <w:t xml:space="preserve">annualized </w:t>
      </w:r>
      <w:r w:rsidRPr="007E09A5">
        <w:rPr>
          <w:rFonts w:ascii="Times New Roman" w:hAnsi="Times New Roman"/>
        </w:rPr>
        <w:t>capital costs associated with th</w:t>
      </w:r>
      <w:r>
        <w:rPr>
          <w:rFonts w:ascii="Times New Roman" w:hAnsi="Times New Roman"/>
        </w:rPr>
        <w:t>is ICR.</w:t>
      </w:r>
    </w:p>
    <w:p w:rsidR="00AB3A1A" w:rsidRPr="00640B02" w:rsidP="00AB3A1A" w14:paraId="418A9FF9" w14:textId="77777777">
      <w:pPr>
        <w:pStyle w:val="Heading2"/>
        <w:spacing w:after="240"/>
        <w:ind w:firstLine="720"/>
        <w:rPr>
          <w:i/>
          <w:iCs/>
        </w:rPr>
      </w:pPr>
      <w:r w:rsidRPr="0068644D">
        <w:rPr>
          <w:i/>
        </w:rPr>
        <w:t>(iii)</w:t>
      </w:r>
      <w:r w:rsidRPr="0068644D">
        <w:rPr>
          <w:i/>
        </w:rPr>
        <w:tab/>
      </w:r>
      <w:r w:rsidRPr="00640B02">
        <w:rPr>
          <w:i/>
        </w:rPr>
        <w:t>Estimating Operations and Maintenance (O&amp;M) Costs</w:t>
      </w:r>
      <w:r>
        <w:rPr>
          <w:i/>
        </w:rPr>
        <w:t>.</w:t>
      </w:r>
    </w:p>
    <w:p w:rsidR="00AB3A1A" w:rsidP="00AB3A1A" w14:paraId="7E27F0AA" w14:textId="77777777">
      <w:pPr>
        <w:ind w:firstLine="720"/>
        <w:rPr>
          <w:rFonts w:ascii="Calibri" w:hAnsi="Calibri"/>
        </w:rPr>
      </w:pPr>
      <w:r w:rsidRPr="004130DE">
        <w:t xml:space="preserve">The annual O&amp;M costs </w:t>
      </w:r>
      <w:r>
        <w:t xml:space="preserve">associated with this ICR </w:t>
      </w:r>
      <w:r w:rsidRPr="004130DE">
        <w:t>are the costs associated with the paperwork requirements incurred continuously over the life of the ICR (</w:t>
      </w:r>
      <w:r w:rsidRPr="008B7C15">
        <w:rPr>
          <w:i/>
          <w:iCs/>
        </w:rPr>
        <w:t>e.g</w:t>
      </w:r>
      <w:r w:rsidRPr="004130DE">
        <w:t xml:space="preserve">., </w:t>
      </w:r>
      <w:r>
        <w:t>storing hard copy records, electronic data storage, and miscellaneous annual supplies</w:t>
      </w:r>
      <w:r w:rsidRPr="004130DE">
        <w:t>)</w:t>
      </w:r>
      <w:r>
        <w:t xml:space="preserve"> (see Exhibits 1a and 1b)</w:t>
      </w:r>
      <w:r w:rsidRPr="004130DE">
        <w:t xml:space="preserve">. </w:t>
      </w:r>
      <w:r>
        <w:t>The average annual O&amp;M costs associated with this ICR are approximately $36,750 (detailed in Exhibit 1c)</w:t>
      </w:r>
      <w:r w:rsidRPr="004130DE">
        <w:t>.</w:t>
      </w:r>
    </w:p>
    <w:p w:rsidR="00AB3A1A" w:rsidRPr="0068644D" w:rsidP="00AB3A1A" w14:paraId="5D48A876" w14:textId="77777777">
      <w:pPr>
        <w:pStyle w:val="Heading2"/>
        <w:spacing w:after="240"/>
        <w:rPr>
          <w:i/>
          <w:iCs/>
        </w:rPr>
      </w:pPr>
      <w:r>
        <w:rPr>
          <w:i/>
        </w:rPr>
        <w:t>6</w:t>
      </w:r>
      <w:r w:rsidRPr="0068644D">
        <w:rPr>
          <w:i/>
        </w:rPr>
        <w:t>(c)</w:t>
      </w:r>
      <w:r w:rsidRPr="0068644D">
        <w:rPr>
          <w:i/>
        </w:rPr>
        <w:tab/>
        <w:t>Estimating Agency Burden and Cost</w:t>
      </w:r>
      <w:r>
        <w:rPr>
          <w:i/>
        </w:rPr>
        <w:t>.</w:t>
      </w:r>
    </w:p>
    <w:p w:rsidR="00AB3A1A" w:rsidP="00AB3A1A" w14:paraId="477396B3" w14:textId="77777777">
      <w:pPr>
        <w:pStyle w:val="Para"/>
        <w:spacing w:after="0"/>
        <w:rPr>
          <w:rFonts w:ascii="Times New Roman" w:hAnsi="Times New Roman"/>
        </w:rPr>
      </w:pPr>
      <w:r w:rsidRPr="00216393">
        <w:rPr>
          <w:rFonts w:ascii="Times New Roman" w:hAnsi="Times New Roman"/>
        </w:rPr>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section 111 of the CAA, no operational costs will be incurred by the </w:t>
      </w:r>
      <w:r>
        <w:rPr>
          <w:rFonts w:ascii="Times New Roman" w:hAnsi="Times New Roman"/>
        </w:rPr>
        <w:t>f</w:t>
      </w:r>
      <w:r w:rsidRPr="00216393">
        <w:rPr>
          <w:rFonts w:ascii="Times New Roman" w:hAnsi="Times New Roman"/>
        </w:rPr>
        <w:t>ederal government. Examination of records to be maintained by the respondents will occur incidentally as part of EPA’s overall compliance and enforcement program, and, therefore, is not attributable to the ICR.</w:t>
      </w:r>
      <w:r>
        <w:rPr>
          <w:rFonts w:ascii="Times New Roman" w:hAnsi="Times New Roman"/>
        </w:rPr>
        <w:t xml:space="preserve"> The only costs to</w:t>
      </w:r>
      <w:r w:rsidRPr="00216393">
        <w:rPr>
          <w:rFonts w:ascii="Times New Roman" w:hAnsi="Times New Roman"/>
        </w:rPr>
        <w:t xml:space="preserve"> the </w:t>
      </w:r>
      <w:r>
        <w:rPr>
          <w:rFonts w:ascii="Times New Roman" w:hAnsi="Times New Roman"/>
        </w:rPr>
        <w:t>f</w:t>
      </w:r>
      <w:r w:rsidRPr="00216393">
        <w:rPr>
          <w:rFonts w:ascii="Times New Roman" w:hAnsi="Times New Roman"/>
        </w:rPr>
        <w:t>ederal government</w:t>
      </w:r>
      <w:r>
        <w:rPr>
          <w:rFonts w:ascii="Times New Roman" w:hAnsi="Times New Roman"/>
        </w:rPr>
        <w:t xml:space="preserve">, specifically the EPA Headquarters and the EPA Regions, under this ICR </w:t>
      </w:r>
      <w:r w:rsidRPr="00216393">
        <w:rPr>
          <w:rFonts w:ascii="Times New Roman" w:hAnsi="Times New Roman"/>
        </w:rPr>
        <w:t>are those costs associated with</w:t>
      </w:r>
      <w:r w:rsidRPr="000B562A">
        <w:rPr>
          <w:rFonts w:ascii="Times New Roman" w:hAnsi="Times New Roman"/>
        </w:rPr>
        <w:t xml:space="preserve"> </w:t>
      </w:r>
      <w:r>
        <w:rPr>
          <w:rFonts w:ascii="Times New Roman" w:hAnsi="Times New Roman"/>
        </w:rPr>
        <w:t>the support and outreach to states; the review of the plans, negative declarations, extension requests for plan submittals, progress reports and public hearing notifications/certifications; and miscellaneous administrative charges</w:t>
      </w:r>
      <w:r w:rsidRPr="00216393">
        <w:rPr>
          <w:rFonts w:ascii="Times New Roman" w:hAnsi="Times New Roman"/>
        </w:rPr>
        <w:t>.</w:t>
      </w:r>
      <w:r>
        <w:rPr>
          <w:rFonts w:ascii="Times New Roman" w:hAnsi="Times New Roman"/>
        </w:rPr>
        <w:t xml:space="preserve"> Exhibit 2a presents the average annual agency </w:t>
      </w:r>
      <w:r w:rsidRPr="007C7E34">
        <w:rPr>
          <w:rFonts w:ascii="Times New Roman" w:hAnsi="Times New Roman"/>
        </w:rPr>
        <w:t xml:space="preserve">burden </w:t>
      </w:r>
      <w:r>
        <w:rPr>
          <w:rFonts w:ascii="Times New Roman" w:hAnsi="Times New Roman"/>
        </w:rPr>
        <w:t>and cost estimates for</w:t>
      </w:r>
      <w:r w:rsidRPr="007C7E34">
        <w:rPr>
          <w:rFonts w:ascii="Times New Roman" w:hAnsi="Times New Roman"/>
        </w:rPr>
        <w:t xml:space="preserve"> the first 3</w:t>
      </w:r>
      <w:r>
        <w:rPr>
          <w:rFonts w:ascii="Times New Roman" w:hAnsi="Times New Roman"/>
        </w:rPr>
        <w:t> </w:t>
      </w:r>
      <w:r w:rsidRPr="007C7E34">
        <w:rPr>
          <w:rFonts w:ascii="Times New Roman" w:hAnsi="Times New Roman"/>
        </w:rPr>
        <w:t>years</w:t>
      </w:r>
      <w:r>
        <w:rPr>
          <w:rFonts w:ascii="Times New Roman" w:hAnsi="Times New Roman"/>
        </w:rPr>
        <w:t xml:space="preserve"> after promulgation of the emission guidelines. </w:t>
      </w:r>
      <w:r w:rsidRPr="005E01D7">
        <w:rPr>
          <w:rFonts w:ascii="Times New Roman" w:hAnsi="Times New Roman"/>
        </w:rPr>
        <w:t>Table</w:t>
      </w:r>
      <w:r w:rsidRPr="008403BE">
        <w:rPr>
          <w:rFonts w:ascii="Times New Roman" w:hAnsi="Times New Roman"/>
        </w:rPr>
        <w:t xml:space="preserve"> </w:t>
      </w:r>
      <w:r>
        <w:rPr>
          <w:rFonts w:ascii="Times New Roman" w:hAnsi="Times New Roman"/>
        </w:rPr>
        <w:t>2</w:t>
      </w:r>
      <w:r w:rsidRPr="008403BE">
        <w:rPr>
          <w:rFonts w:ascii="Times New Roman" w:hAnsi="Times New Roman"/>
        </w:rPr>
        <w:t xml:space="preserve"> </w:t>
      </w:r>
      <w:r>
        <w:rPr>
          <w:rFonts w:ascii="Times New Roman" w:hAnsi="Times New Roman"/>
        </w:rPr>
        <w:t xml:space="preserve">below </w:t>
      </w:r>
      <w:r w:rsidRPr="008403BE">
        <w:rPr>
          <w:rFonts w:ascii="Times New Roman" w:hAnsi="Times New Roman"/>
        </w:rPr>
        <w:t xml:space="preserve">contains a summary of the </w:t>
      </w:r>
      <w:r>
        <w:rPr>
          <w:rFonts w:ascii="Times New Roman" w:hAnsi="Times New Roman"/>
        </w:rPr>
        <w:t>3-year total and average annual agency</w:t>
      </w:r>
      <w:r w:rsidRPr="008403BE">
        <w:rPr>
          <w:rFonts w:ascii="Times New Roman" w:hAnsi="Times New Roman"/>
        </w:rPr>
        <w:t xml:space="preserve"> burden hours and costs</w:t>
      </w:r>
      <w:r>
        <w:rPr>
          <w:rFonts w:ascii="Times New Roman" w:hAnsi="Times New Roman"/>
        </w:rPr>
        <w:t xml:space="preserve"> (</w:t>
      </w:r>
      <w:r w:rsidRPr="008403BE">
        <w:rPr>
          <w:rFonts w:ascii="Times New Roman" w:hAnsi="Times New Roman"/>
        </w:rPr>
        <w:t>detailed in Exhibit</w:t>
      </w:r>
      <w:r>
        <w:rPr>
          <w:rFonts w:ascii="Times New Roman" w:hAnsi="Times New Roman"/>
        </w:rPr>
        <w:t xml:space="preserve"> 2b)</w:t>
      </w:r>
      <w:r w:rsidRPr="008403BE">
        <w:rPr>
          <w:rFonts w:ascii="Times New Roman" w:hAnsi="Times New Roman"/>
        </w:rPr>
        <w:t>.</w:t>
      </w:r>
    </w:p>
    <w:p w:rsidR="00AB3A1A" w:rsidP="00AB3A1A" w14:paraId="38693715" w14:textId="77777777">
      <w:pPr>
        <w:pStyle w:val="Para"/>
        <w:spacing w:after="0"/>
        <w:ind w:firstLine="0"/>
        <w:rPr>
          <w:rFonts w:ascii="Times New Roman" w:hAnsi="Times New Roman"/>
        </w:rPr>
      </w:pPr>
    </w:p>
    <w:p w:rsidR="00AB3A1A" w:rsidP="00AB3A1A" w14:paraId="3772E33E" w14:textId="77777777">
      <w:pPr>
        <w:pStyle w:val="ExhibitTitle"/>
        <w:keepNext/>
        <w:spacing w:after="0"/>
        <w:jc w:val="center"/>
        <w:rPr>
          <w:rFonts w:ascii="Times New Roman" w:hAnsi="Times New Roman"/>
        </w:rPr>
      </w:pPr>
      <w:r w:rsidRPr="005E01D7">
        <w:rPr>
          <w:rFonts w:ascii="Times New Roman" w:hAnsi="Times New Roman"/>
        </w:rPr>
        <w:t>Table</w:t>
      </w:r>
      <w:r w:rsidRPr="008403BE">
        <w:rPr>
          <w:rFonts w:ascii="Times New Roman" w:hAnsi="Times New Roman"/>
        </w:rPr>
        <w:t xml:space="preserve"> </w:t>
      </w:r>
      <w:r>
        <w:rPr>
          <w:rFonts w:ascii="Times New Roman" w:hAnsi="Times New Roman"/>
        </w:rPr>
        <w:t>2</w:t>
      </w:r>
      <w:r w:rsidRPr="008403BE">
        <w:rPr>
          <w:rFonts w:ascii="Times New Roman" w:hAnsi="Times New Roman"/>
        </w:rPr>
        <w:t>.</w:t>
      </w:r>
      <w:r>
        <w:rPr>
          <w:rFonts w:ascii="Times New Roman" w:hAnsi="Times New Roman"/>
        </w:rPr>
        <w:t xml:space="preserve"> </w:t>
      </w:r>
      <w:r w:rsidRPr="008403BE">
        <w:rPr>
          <w:rFonts w:ascii="Times New Roman" w:hAnsi="Times New Roman"/>
        </w:rPr>
        <w:t xml:space="preserve">Summary of </w:t>
      </w:r>
      <w:r>
        <w:rPr>
          <w:rFonts w:ascii="Times New Roman" w:hAnsi="Times New Roman"/>
        </w:rPr>
        <w:t>Agency</w:t>
      </w:r>
      <w:r w:rsidRPr="008403BE">
        <w:rPr>
          <w:rFonts w:ascii="Times New Roman" w:hAnsi="Times New Roman"/>
        </w:rPr>
        <w:t xml:space="preserve"> Burden</w:t>
      </w:r>
      <w:r>
        <w:rPr>
          <w:rFonts w:ascii="Times New Roman" w:hAnsi="Times New Roman"/>
        </w:rPr>
        <w:t xml:space="preserve"> and Costs</w:t>
      </w:r>
    </w:p>
    <w:p w:rsidR="00AB3A1A" w:rsidRPr="001F421B" w:rsidP="00AB3A1A" w14:paraId="4D84875B" w14:textId="77777777">
      <w:pPr>
        <w:pStyle w:val="ExhibitTitle"/>
        <w:keepNext/>
        <w:spacing w:after="120"/>
        <w:ind w:left="1166" w:hanging="1166"/>
        <w:jc w:val="center"/>
        <w:rPr>
          <w:rFonts w:ascii="Times New Roman" w:hAnsi="Times New Roman"/>
        </w:rPr>
      </w:pPr>
      <w:r>
        <w:rPr>
          <w:rFonts w:ascii="Times New Roman" w:hAnsi="Times New Roman"/>
        </w:rPr>
        <w:t>(3-year period following final rule publication)</w:t>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8"/>
        <w:gridCol w:w="3868"/>
        <w:gridCol w:w="3075"/>
      </w:tblGrid>
      <w:tr w14:paraId="2C7EB0D8" w14:textId="77777777" w:rsidTr="002752FF">
        <w:tblPrEx>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8"/>
        </w:trPr>
        <w:tc>
          <w:tcPr>
            <w:tcW w:w="1202" w:type="pct"/>
            <w:shd w:val="clear" w:color="auto" w:fill="D9D9D9" w:themeFill="background1" w:themeFillShade="D9"/>
            <w:vAlign w:val="center"/>
            <w:hideMark/>
          </w:tcPr>
          <w:p w:rsidR="00AB3A1A" w:rsidRPr="001F421B" w:rsidP="002752FF" w14:paraId="704992FC" w14:textId="77777777">
            <w:pPr>
              <w:pStyle w:val="TableHeader"/>
              <w:keepNext/>
              <w:rPr>
                <w:rFonts w:ascii="Times New Roman" w:hAnsi="Times New Roman"/>
              </w:rPr>
            </w:pPr>
            <w:r w:rsidRPr="001F421B">
              <w:rPr>
                <w:rFonts w:ascii="Times New Roman" w:hAnsi="Times New Roman"/>
              </w:rPr>
              <w:t>Year</w:t>
            </w:r>
          </w:p>
        </w:tc>
        <w:tc>
          <w:tcPr>
            <w:tcW w:w="2116" w:type="pct"/>
            <w:shd w:val="clear" w:color="auto" w:fill="D9D9D9" w:themeFill="background1" w:themeFillShade="D9"/>
            <w:vAlign w:val="center"/>
            <w:hideMark/>
          </w:tcPr>
          <w:p w:rsidR="00AB3A1A" w:rsidRPr="00EA35FE" w:rsidP="002752FF" w14:paraId="5198C116" w14:textId="77777777">
            <w:pPr>
              <w:pStyle w:val="TableHeader"/>
              <w:keepNext/>
              <w:rPr>
                <w:rFonts w:ascii="Times New Roman" w:hAnsi="Times New Roman"/>
              </w:rPr>
            </w:pPr>
            <w:r>
              <w:rPr>
                <w:rFonts w:ascii="Times New Roman" w:hAnsi="Times New Roman"/>
              </w:rPr>
              <w:t>Total Annual Labor Burden (hours)</w:t>
            </w:r>
          </w:p>
        </w:tc>
        <w:tc>
          <w:tcPr>
            <w:tcW w:w="1682" w:type="pct"/>
            <w:shd w:val="clear" w:color="auto" w:fill="D9D9D9" w:themeFill="background1" w:themeFillShade="D9"/>
            <w:vAlign w:val="center"/>
            <w:hideMark/>
          </w:tcPr>
          <w:p w:rsidR="00AB3A1A" w:rsidRPr="00EA35FE" w:rsidP="002752FF" w14:paraId="6C34466D" w14:textId="77777777">
            <w:pPr>
              <w:pStyle w:val="TableHeader"/>
              <w:keepNext/>
              <w:rPr>
                <w:rFonts w:ascii="Times New Roman" w:hAnsi="Times New Roman"/>
              </w:rPr>
            </w:pPr>
            <w:r>
              <w:rPr>
                <w:rFonts w:ascii="Times New Roman" w:hAnsi="Times New Roman"/>
              </w:rPr>
              <w:t>Total Annual Labor Costs ($)</w:t>
            </w:r>
          </w:p>
        </w:tc>
      </w:tr>
      <w:tr w14:paraId="065D6C31" w14:textId="77777777" w:rsidTr="002752FF">
        <w:tblPrEx>
          <w:tblW w:w="4888" w:type="pct"/>
          <w:tblInd w:w="108" w:type="dxa"/>
          <w:tblLook w:val="04A0"/>
        </w:tblPrEx>
        <w:trPr>
          <w:trHeight w:val="255"/>
        </w:trPr>
        <w:tc>
          <w:tcPr>
            <w:tcW w:w="1202" w:type="pct"/>
            <w:vAlign w:val="center"/>
            <w:hideMark/>
          </w:tcPr>
          <w:p w:rsidR="00AB3A1A" w:rsidRPr="00F8624F" w:rsidP="002752FF" w14:paraId="13532204" w14:textId="77777777">
            <w:pPr>
              <w:pStyle w:val="TableRow"/>
              <w:keepNext/>
              <w:jc w:val="center"/>
              <w:rPr>
                <w:rFonts w:ascii="Times New Roman" w:hAnsi="Times New Roman"/>
              </w:rPr>
            </w:pPr>
            <w:r w:rsidRPr="00F8624F">
              <w:rPr>
                <w:rFonts w:ascii="Times New Roman" w:hAnsi="Times New Roman"/>
              </w:rPr>
              <w:t>3-Year Total</w:t>
            </w:r>
          </w:p>
        </w:tc>
        <w:tc>
          <w:tcPr>
            <w:tcW w:w="2116" w:type="pct"/>
            <w:vAlign w:val="center"/>
          </w:tcPr>
          <w:p w:rsidR="00AB3A1A" w:rsidRPr="001D7174" w:rsidP="002752FF" w14:paraId="774CBB3B" w14:textId="77777777">
            <w:pPr>
              <w:pStyle w:val="TableRow"/>
              <w:keepNext/>
              <w:jc w:val="center"/>
              <w:rPr>
                <w:rFonts w:ascii="Times New Roman" w:hAnsi="Times New Roman"/>
                <w:b/>
                <w:sz w:val="24"/>
                <w:szCs w:val="24"/>
                <w:highlight w:val="yellow"/>
              </w:rPr>
            </w:pPr>
            <w:r>
              <w:rPr>
                <w:rFonts w:ascii="Times New Roman" w:hAnsi="Times New Roman"/>
                <w:color w:val="000000"/>
                <w:sz w:val="24"/>
                <w:szCs w:val="24"/>
              </w:rPr>
              <w:t>67,600</w:t>
            </w:r>
          </w:p>
        </w:tc>
        <w:tc>
          <w:tcPr>
            <w:tcW w:w="1682" w:type="pct"/>
            <w:vAlign w:val="center"/>
          </w:tcPr>
          <w:p w:rsidR="00AB3A1A" w:rsidRPr="001D7174" w:rsidP="002752FF" w14:paraId="55B7C716" w14:textId="77777777">
            <w:pPr>
              <w:pStyle w:val="TableRow"/>
              <w:keepNext/>
              <w:jc w:val="center"/>
              <w:rPr>
                <w:rFonts w:ascii="Times New Roman" w:hAnsi="Times New Roman"/>
                <w:b/>
                <w:sz w:val="24"/>
                <w:szCs w:val="24"/>
                <w:highlight w:val="yellow"/>
              </w:rPr>
            </w:pPr>
            <w:r>
              <w:rPr>
                <w:rFonts w:ascii="Times New Roman" w:hAnsi="Times New Roman"/>
                <w:color w:val="000000"/>
                <w:sz w:val="24"/>
                <w:szCs w:val="24"/>
              </w:rPr>
              <w:t>$4.2 million</w:t>
            </w:r>
          </w:p>
        </w:tc>
      </w:tr>
      <w:tr w14:paraId="4D2EF6DD" w14:textId="77777777" w:rsidTr="002752FF">
        <w:tblPrEx>
          <w:tblW w:w="4888" w:type="pct"/>
          <w:tblInd w:w="108" w:type="dxa"/>
          <w:tblLook w:val="04A0"/>
        </w:tblPrEx>
        <w:trPr>
          <w:trHeight w:val="255"/>
        </w:trPr>
        <w:tc>
          <w:tcPr>
            <w:tcW w:w="1202" w:type="pct"/>
            <w:vAlign w:val="center"/>
            <w:hideMark/>
          </w:tcPr>
          <w:p w:rsidR="00AB3A1A" w:rsidRPr="00F8624F" w:rsidP="002752FF" w14:paraId="490C3512" w14:textId="77777777">
            <w:pPr>
              <w:pStyle w:val="TableRow"/>
              <w:keepNext/>
              <w:jc w:val="center"/>
              <w:rPr>
                <w:rFonts w:ascii="Times New Roman" w:hAnsi="Times New Roman"/>
              </w:rPr>
            </w:pPr>
            <w:r w:rsidRPr="00F8624F">
              <w:rPr>
                <w:rFonts w:ascii="Times New Roman" w:hAnsi="Times New Roman"/>
              </w:rPr>
              <w:t>Average Annual</w:t>
            </w:r>
          </w:p>
        </w:tc>
        <w:tc>
          <w:tcPr>
            <w:tcW w:w="2116" w:type="pct"/>
            <w:vAlign w:val="center"/>
          </w:tcPr>
          <w:p w:rsidR="00AB3A1A" w:rsidRPr="001F02ED" w:rsidP="002752FF" w14:paraId="745CBFE3" w14:textId="77777777">
            <w:pPr>
              <w:pStyle w:val="TableRow"/>
              <w:keepNext/>
              <w:jc w:val="center"/>
              <w:rPr>
                <w:rFonts w:ascii="Times New Roman" w:hAnsi="Times New Roman"/>
                <w:bCs/>
                <w:sz w:val="24"/>
                <w:szCs w:val="24"/>
                <w:highlight w:val="yellow"/>
              </w:rPr>
            </w:pPr>
            <w:r w:rsidRPr="001F02ED">
              <w:rPr>
                <w:rFonts w:ascii="Times New Roman" w:hAnsi="Times New Roman"/>
                <w:bCs/>
                <w:sz w:val="24"/>
                <w:szCs w:val="24"/>
              </w:rPr>
              <w:t>22,500</w:t>
            </w:r>
          </w:p>
        </w:tc>
        <w:tc>
          <w:tcPr>
            <w:tcW w:w="1682" w:type="pct"/>
            <w:vAlign w:val="center"/>
          </w:tcPr>
          <w:p w:rsidR="00AB3A1A" w:rsidRPr="00F8624F" w:rsidP="002752FF" w14:paraId="253A6B31" w14:textId="77777777">
            <w:pPr>
              <w:pStyle w:val="TableRow"/>
              <w:keepNext/>
              <w:jc w:val="center"/>
              <w:rPr>
                <w:rFonts w:ascii="Times New Roman" w:hAnsi="Times New Roman"/>
                <w:b/>
                <w:sz w:val="24"/>
                <w:szCs w:val="24"/>
              </w:rPr>
            </w:pPr>
            <w:r w:rsidRPr="00F8624F">
              <w:rPr>
                <w:rFonts w:ascii="Times New Roman" w:hAnsi="Times New Roman"/>
                <w:color w:val="000000"/>
                <w:sz w:val="24"/>
                <w:szCs w:val="24"/>
              </w:rPr>
              <w:t>$</w:t>
            </w:r>
            <w:r>
              <w:rPr>
                <w:rFonts w:ascii="Times New Roman" w:hAnsi="Times New Roman"/>
                <w:color w:val="000000"/>
                <w:sz w:val="24"/>
                <w:szCs w:val="24"/>
              </w:rPr>
              <w:t>1.4 million</w:t>
            </w:r>
          </w:p>
        </w:tc>
      </w:tr>
    </w:tbl>
    <w:p w:rsidR="00AB3A1A" w:rsidP="00AB3A1A" w14:paraId="1DC161BE" w14:textId="77777777">
      <w:pPr>
        <w:pStyle w:val="Para"/>
        <w:spacing w:after="0"/>
        <w:rPr>
          <w:rFonts w:ascii="Times New Roman" w:hAnsi="Times New Roman"/>
        </w:rPr>
      </w:pPr>
    </w:p>
    <w:p w:rsidR="00AB3A1A" w:rsidP="00AB3A1A" w14:paraId="1ECF6741" w14:textId="77777777">
      <w:pPr>
        <w:pStyle w:val="Para"/>
        <w:spacing w:after="0"/>
        <w:rPr>
          <w:rFonts w:ascii="Times New Roman" w:hAnsi="Times New Roman"/>
        </w:rPr>
      </w:pPr>
      <w:r w:rsidRPr="00004816">
        <w:rPr>
          <w:rFonts w:ascii="Times New Roman" w:hAnsi="Times New Roman"/>
        </w:rPr>
        <w:t>Technical, manage</w:t>
      </w:r>
      <w:r>
        <w:rPr>
          <w:rFonts w:ascii="Times New Roman" w:hAnsi="Times New Roman"/>
        </w:rPr>
        <w:t>rial</w:t>
      </w:r>
      <w:r w:rsidRPr="00004816">
        <w:rPr>
          <w:rFonts w:ascii="Times New Roman" w:hAnsi="Times New Roman"/>
        </w:rPr>
        <w:t>, and cle</w:t>
      </w:r>
      <w:r>
        <w:rPr>
          <w:rFonts w:ascii="Times New Roman" w:hAnsi="Times New Roman"/>
        </w:rPr>
        <w:t>rical average hourly rates for EPA Headquarters staff and EPA Regional staff</w:t>
      </w:r>
      <w:r w:rsidRPr="00004816">
        <w:rPr>
          <w:rFonts w:ascii="Times New Roman" w:hAnsi="Times New Roman"/>
        </w:rPr>
        <w:t xml:space="preserve"> were selected from the U.S. Office of Personnel Management Salary Table 20</w:t>
      </w:r>
      <w:r>
        <w:rPr>
          <w:rFonts w:ascii="Times New Roman" w:hAnsi="Times New Roman"/>
        </w:rPr>
        <w:t>22</w:t>
      </w:r>
      <w:r w:rsidRPr="00004816">
        <w:rPr>
          <w:rFonts w:ascii="Times New Roman" w:hAnsi="Times New Roman"/>
        </w:rPr>
        <w:t xml:space="preserve">-GS (accessed at </w:t>
      </w:r>
      <w:r w:rsidRPr="00801F80">
        <w:rPr>
          <w:rFonts w:ascii="Times New Roman" w:hAnsi="Times New Roman"/>
        </w:rPr>
        <w:t>&lt;https://www.opm.gov/policy-data-oversight/pay-leave/salaries-wages/salary-tables/pdf/2022/GS_h.pdf</w:t>
      </w:r>
      <w:r w:rsidRPr="00004816">
        <w:rPr>
          <w:rFonts w:ascii="Times New Roman" w:hAnsi="Times New Roman"/>
        </w:rPr>
        <w:t>).</w:t>
      </w:r>
      <w:r w:rsidRPr="005D1988">
        <w:rPr>
          <w:rFonts w:ascii="Times New Roman" w:hAnsi="Times New Roman"/>
        </w:rPr>
        <w:t xml:space="preserve"> </w:t>
      </w:r>
      <w:r>
        <w:rPr>
          <w:rFonts w:ascii="Times New Roman" w:hAnsi="Times New Roman"/>
        </w:rPr>
        <w:t xml:space="preserve">These rates </w:t>
      </w:r>
      <w:r w:rsidRPr="00004816">
        <w:rPr>
          <w:rFonts w:ascii="Times New Roman" w:hAnsi="Times New Roman"/>
        </w:rPr>
        <w:t xml:space="preserve">were increased by 60 </w:t>
      </w:r>
      <w:r>
        <w:rPr>
          <w:rFonts w:ascii="Times New Roman" w:hAnsi="Times New Roman"/>
        </w:rPr>
        <w:t>percent</w:t>
      </w:r>
      <w:r w:rsidRPr="00004816">
        <w:rPr>
          <w:rFonts w:ascii="Times New Roman" w:hAnsi="Times New Roman"/>
        </w:rPr>
        <w:t xml:space="preserve"> to </w:t>
      </w:r>
      <w:r>
        <w:rPr>
          <w:rFonts w:ascii="Times New Roman" w:hAnsi="Times New Roman"/>
        </w:rPr>
        <w:t>include fringe benefits and overhead. For EPA Headquarters staff, t</w:t>
      </w:r>
      <w:r w:rsidRPr="00004816">
        <w:rPr>
          <w:rFonts w:ascii="Times New Roman" w:hAnsi="Times New Roman"/>
        </w:rPr>
        <w:t xml:space="preserve">he </w:t>
      </w:r>
      <w:r>
        <w:rPr>
          <w:rFonts w:ascii="Times New Roman" w:hAnsi="Times New Roman"/>
        </w:rPr>
        <w:t xml:space="preserve">loaded </w:t>
      </w:r>
      <w:r w:rsidRPr="00004816">
        <w:rPr>
          <w:rFonts w:ascii="Times New Roman" w:hAnsi="Times New Roman"/>
        </w:rPr>
        <w:t xml:space="preserve">labor rates </w:t>
      </w:r>
      <w:r>
        <w:rPr>
          <w:rFonts w:ascii="Times New Roman" w:hAnsi="Times New Roman"/>
        </w:rPr>
        <w:t xml:space="preserve">are </w:t>
      </w:r>
      <w:r w:rsidRPr="005E01D7">
        <w:rPr>
          <w:rFonts w:ascii="Times New Roman" w:hAnsi="Times New Roman"/>
        </w:rPr>
        <w:t>$</w:t>
      </w:r>
      <w:r>
        <w:rPr>
          <w:rFonts w:ascii="Times New Roman" w:hAnsi="Times New Roman"/>
        </w:rPr>
        <w:t>70.56 per hour for technical</w:t>
      </w:r>
      <w:r w:rsidRPr="00004816">
        <w:rPr>
          <w:rFonts w:ascii="Times New Roman" w:hAnsi="Times New Roman"/>
        </w:rPr>
        <w:t xml:space="preserve"> (GS-1</w:t>
      </w:r>
      <w:r>
        <w:rPr>
          <w:rFonts w:ascii="Times New Roman" w:hAnsi="Times New Roman"/>
        </w:rPr>
        <w:t>3</w:t>
      </w:r>
      <w:r w:rsidRPr="00004816">
        <w:rPr>
          <w:rFonts w:ascii="Times New Roman" w:hAnsi="Times New Roman"/>
        </w:rPr>
        <w:t>, Step 5)</w:t>
      </w:r>
      <w:r>
        <w:rPr>
          <w:rFonts w:ascii="Times New Roman" w:hAnsi="Times New Roman"/>
        </w:rPr>
        <w:t>, $98.08</w:t>
      </w:r>
      <w:r w:rsidRPr="005E01D7">
        <w:rPr>
          <w:rFonts w:ascii="Times New Roman" w:hAnsi="Times New Roman"/>
        </w:rPr>
        <w:t xml:space="preserve"> per hour for managerial</w:t>
      </w:r>
      <w:r>
        <w:rPr>
          <w:rFonts w:ascii="Times New Roman" w:hAnsi="Times New Roman"/>
        </w:rPr>
        <w:t xml:space="preserve"> (</w:t>
      </w:r>
      <w:r w:rsidRPr="00004816">
        <w:rPr>
          <w:rFonts w:ascii="Times New Roman" w:hAnsi="Times New Roman"/>
        </w:rPr>
        <w:t>GS-15, Step 5</w:t>
      </w:r>
      <w:r>
        <w:rPr>
          <w:rFonts w:ascii="Times New Roman" w:hAnsi="Times New Roman"/>
        </w:rPr>
        <w:t xml:space="preserve">), and </w:t>
      </w:r>
      <w:r w:rsidRPr="005E01D7">
        <w:rPr>
          <w:rFonts w:ascii="Times New Roman" w:hAnsi="Times New Roman"/>
        </w:rPr>
        <w:t>$</w:t>
      </w:r>
      <w:r>
        <w:rPr>
          <w:rFonts w:ascii="Times New Roman" w:hAnsi="Times New Roman"/>
        </w:rPr>
        <w:t>40.93 per hour for clerical (</w:t>
      </w:r>
      <w:r w:rsidRPr="00004816">
        <w:rPr>
          <w:rFonts w:ascii="Times New Roman" w:hAnsi="Times New Roman"/>
        </w:rPr>
        <w:t>GS-</w:t>
      </w:r>
      <w:r>
        <w:rPr>
          <w:rFonts w:ascii="Times New Roman" w:hAnsi="Times New Roman"/>
        </w:rPr>
        <w:t>9</w:t>
      </w:r>
      <w:r w:rsidRPr="00004816">
        <w:rPr>
          <w:rFonts w:ascii="Times New Roman" w:hAnsi="Times New Roman"/>
        </w:rPr>
        <w:t>, Step 5</w:t>
      </w:r>
      <w:r>
        <w:rPr>
          <w:rFonts w:ascii="Times New Roman" w:hAnsi="Times New Roman"/>
        </w:rPr>
        <w:t>). For EPA Regional staff, t</w:t>
      </w:r>
      <w:r w:rsidRPr="00004816">
        <w:rPr>
          <w:rFonts w:ascii="Times New Roman" w:hAnsi="Times New Roman"/>
        </w:rPr>
        <w:t xml:space="preserve">he </w:t>
      </w:r>
      <w:r>
        <w:rPr>
          <w:rFonts w:ascii="Times New Roman" w:hAnsi="Times New Roman"/>
        </w:rPr>
        <w:t xml:space="preserve">loaded </w:t>
      </w:r>
      <w:r w:rsidRPr="00004816">
        <w:rPr>
          <w:rFonts w:ascii="Times New Roman" w:hAnsi="Times New Roman"/>
        </w:rPr>
        <w:t xml:space="preserve">labor rates </w:t>
      </w:r>
      <w:r>
        <w:rPr>
          <w:rFonts w:ascii="Times New Roman" w:hAnsi="Times New Roman"/>
        </w:rPr>
        <w:t xml:space="preserve">are </w:t>
      </w:r>
      <w:r w:rsidRPr="005E01D7">
        <w:rPr>
          <w:rFonts w:ascii="Times New Roman" w:hAnsi="Times New Roman"/>
        </w:rPr>
        <w:t>$</w:t>
      </w:r>
      <w:r>
        <w:rPr>
          <w:rFonts w:ascii="Times New Roman" w:hAnsi="Times New Roman"/>
        </w:rPr>
        <w:t>55.26 per hour for technical</w:t>
      </w:r>
      <w:r w:rsidRPr="00004816">
        <w:rPr>
          <w:rFonts w:ascii="Times New Roman" w:hAnsi="Times New Roman"/>
        </w:rPr>
        <w:t xml:space="preserve"> (GS-12, Step 5)</w:t>
      </w:r>
      <w:r>
        <w:rPr>
          <w:rFonts w:ascii="Times New Roman" w:hAnsi="Times New Roman"/>
        </w:rPr>
        <w:t>, $98.08</w:t>
      </w:r>
      <w:r w:rsidRPr="005E01D7">
        <w:rPr>
          <w:rFonts w:ascii="Times New Roman" w:hAnsi="Times New Roman"/>
        </w:rPr>
        <w:t xml:space="preserve"> per hour for managerial</w:t>
      </w:r>
      <w:r>
        <w:rPr>
          <w:rFonts w:ascii="Times New Roman" w:hAnsi="Times New Roman"/>
        </w:rPr>
        <w:t xml:space="preserve"> (</w:t>
      </w:r>
      <w:r w:rsidRPr="00004816">
        <w:rPr>
          <w:rFonts w:ascii="Times New Roman" w:hAnsi="Times New Roman"/>
        </w:rPr>
        <w:t>GS-15, Step 5</w:t>
      </w:r>
      <w:r>
        <w:rPr>
          <w:rFonts w:ascii="Times New Roman" w:hAnsi="Times New Roman"/>
        </w:rPr>
        <w:t xml:space="preserve">), and </w:t>
      </w:r>
      <w:r w:rsidRPr="005E01D7">
        <w:rPr>
          <w:rFonts w:ascii="Times New Roman" w:hAnsi="Times New Roman"/>
        </w:rPr>
        <w:t>$</w:t>
      </w:r>
      <w:r>
        <w:rPr>
          <w:rFonts w:ascii="Times New Roman" w:hAnsi="Times New Roman"/>
        </w:rPr>
        <w:t>31.15 per hour for clerical (</w:t>
      </w:r>
      <w:r w:rsidRPr="00004816">
        <w:rPr>
          <w:rFonts w:ascii="Times New Roman" w:hAnsi="Times New Roman"/>
        </w:rPr>
        <w:t>GS-7, Step 5</w:t>
      </w:r>
      <w:r>
        <w:rPr>
          <w:rFonts w:ascii="Times New Roman" w:hAnsi="Times New Roman"/>
        </w:rPr>
        <w:t xml:space="preserve">).  </w:t>
      </w:r>
    </w:p>
    <w:p w:rsidR="00AB3A1A" w:rsidP="00AB3A1A" w14:paraId="15B8E90E" w14:textId="77777777">
      <w:pPr>
        <w:pStyle w:val="Para"/>
        <w:spacing w:after="0"/>
        <w:rPr>
          <w:rFonts w:ascii="Times New Roman" w:hAnsi="Times New Roman"/>
        </w:rPr>
      </w:pPr>
    </w:p>
    <w:p w:rsidR="00AB3A1A" w:rsidRPr="00216393" w:rsidP="00AB3A1A" w14:paraId="71D179A7" w14:textId="77777777">
      <w:pPr>
        <w:pStyle w:val="Para"/>
        <w:spacing w:after="0"/>
        <w:rPr>
          <w:rFonts w:ascii="Times New Roman" w:hAnsi="Times New Roman"/>
        </w:rPr>
      </w:pPr>
      <w:r>
        <w:rPr>
          <w:rFonts w:ascii="Times New Roman" w:hAnsi="Times New Roman"/>
        </w:rPr>
        <w:t>The agency cost estimates also include annual costs of $1,000 for miscellaneous administrative charges (</w:t>
      </w:r>
      <w:r w:rsidRPr="00801F80">
        <w:rPr>
          <w:rFonts w:ascii="Times New Roman" w:hAnsi="Times New Roman"/>
          <w:i/>
          <w:iCs/>
        </w:rPr>
        <w:t>e.g.,</w:t>
      </w:r>
      <w:r>
        <w:rPr>
          <w:rFonts w:ascii="Times New Roman" w:hAnsi="Times New Roman"/>
        </w:rPr>
        <w:t xml:space="preserve"> telephone, photocopies, and postage) incurred during the first 3 years after promulgation.</w:t>
      </w:r>
    </w:p>
    <w:p w:rsidR="00AB3A1A" w:rsidRPr="0068644D" w:rsidP="00AB3A1A" w14:paraId="0C34E505" w14:textId="77777777">
      <w:pPr>
        <w:pStyle w:val="Heading2"/>
        <w:keepNext w:val="0"/>
        <w:spacing w:after="240"/>
        <w:ind w:firstLine="720"/>
        <w:rPr>
          <w:i/>
          <w:iCs/>
        </w:rPr>
      </w:pPr>
      <w:r>
        <w:rPr>
          <w:i/>
        </w:rPr>
        <w:t>6</w:t>
      </w:r>
      <w:r w:rsidRPr="0068644D">
        <w:rPr>
          <w:i/>
        </w:rPr>
        <w:t>(d)</w:t>
      </w:r>
      <w:r>
        <w:rPr>
          <w:i/>
        </w:rPr>
        <w:tab/>
      </w:r>
      <w:r w:rsidRPr="0068644D">
        <w:rPr>
          <w:i/>
        </w:rPr>
        <w:t xml:space="preserve"> Estimating the Respondent Universe and Total Burden and Costs.</w:t>
      </w:r>
    </w:p>
    <w:p w:rsidR="00AB3A1A" w:rsidP="00AB3A1A" w14:paraId="6442B347" w14:textId="77777777">
      <w:pPr>
        <w:pStyle w:val="Para"/>
        <w:rPr>
          <w:rFonts w:ascii="Times New Roman" w:hAnsi="Times New Roman"/>
        </w:rPr>
      </w:pPr>
      <w:r>
        <w:rPr>
          <w:rFonts w:ascii="Times New Roman" w:hAnsi="Times New Roman"/>
        </w:rPr>
        <w:t>Forty-nine states and the District of Columbia will be subject to the requirements of the emission guidelines. Under the lower bound estimate, 20 states are expected to submit individual state plans for compressor stations only and 30 states are expected to submit individual state plans for other sources also, including compressor stations. Under the lower bound estimate, 10 states are expected to have existing regulatory programs in place. Under the upper bound estimate, 20 states are expected to submit individual state plans for compressor stations and 30 states are expected to submit individual state plans for other sources, including compressor stations. One state is expected to submit a negative declaration. T</w:t>
      </w:r>
      <w:r w:rsidRPr="00346CC5">
        <w:rPr>
          <w:rFonts w:ascii="Times New Roman" w:hAnsi="Times New Roman"/>
        </w:rPr>
        <w:t>ribes are expected to rely on the federal plan</w:t>
      </w:r>
      <w:r w:rsidRPr="00F448A9">
        <w:rPr>
          <w:rFonts w:ascii="Times New Roman" w:hAnsi="Times New Roman"/>
        </w:rPr>
        <w:t>.</w:t>
      </w:r>
      <w:r w:rsidRPr="006708A1">
        <w:rPr>
          <w:rFonts w:ascii="Times New Roman" w:hAnsi="Times New Roman"/>
        </w:rPr>
        <w:t xml:space="preserve"> </w:t>
      </w:r>
    </w:p>
    <w:p w:rsidR="00AB3A1A" w:rsidP="00AB3A1A" w14:paraId="6DE4890D" w14:textId="77777777">
      <w:pPr>
        <w:pStyle w:val="Para"/>
        <w:rPr>
          <w:rFonts w:ascii="Times New Roman" w:hAnsi="Times New Roman"/>
        </w:rPr>
      </w:pPr>
      <w:r w:rsidRPr="00F448A9">
        <w:rPr>
          <w:rFonts w:ascii="Times New Roman" w:hAnsi="Times New Roman"/>
        </w:rPr>
        <w:t>The total</w:t>
      </w:r>
      <w:r>
        <w:rPr>
          <w:rFonts w:ascii="Times New Roman" w:hAnsi="Times New Roman"/>
        </w:rPr>
        <w:t xml:space="preserve"> </w:t>
      </w:r>
      <w:r w:rsidRPr="00F448A9">
        <w:rPr>
          <w:rFonts w:ascii="Times New Roman" w:hAnsi="Times New Roman"/>
        </w:rPr>
        <w:t xml:space="preserve">number of responses for the recordkeeping, and reporting guidelines in subpart </w:t>
      </w:r>
      <w:r>
        <w:rPr>
          <w:rFonts w:ascii="Times New Roman" w:hAnsi="Times New Roman"/>
        </w:rPr>
        <w:t>OOOOc</w:t>
      </w:r>
      <w:r w:rsidRPr="00F448A9">
        <w:rPr>
          <w:rFonts w:ascii="Times New Roman" w:hAnsi="Times New Roman"/>
        </w:rPr>
        <w:t xml:space="preserve"> over the 3-year ICR period is estimated to be </w:t>
      </w:r>
      <w:r>
        <w:rPr>
          <w:rFonts w:ascii="Times New Roman" w:hAnsi="Times New Roman"/>
        </w:rPr>
        <w:t>50.</w:t>
      </w:r>
      <w:r w:rsidRPr="00F448A9">
        <w:rPr>
          <w:rFonts w:ascii="Times New Roman" w:hAnsi="Times New Roman"/>
        </w:rPr>
        <w:t xml:space="preserve"> The average number of annual responses over the 3-year ICR period is </w:t>
      </w:r>
      <w:r>
        <w:rPr>
          <w:rFonts w:ascii="Times New Roman" w:hAnsi="Times New Roman"/>
        </w:rPr>
        <w:t>17 per year</w:t>
      </w:r>
      <w:r w:rsidRPr="00F448A9">
        <w:rPr>
          <w:rFonts w:ascii="Times New Roman" w:hAnsi="Times New Roman"/>
        </w:rPr>
        <w:t>.</w:t>
      </w:r>
      <w:r>
        <w:rPr>
          <w:rFonts w:ascii="Times New Roman" w:hAnsi="Times New Roman"/>
        </w:rPr>
        <w:t xml:space="preserve"> </w:t>
      </w:r>
      <w:r w:rsidRPr="00F448A9">
        <w:rPr>
          <w:rFonts w:ascii="Times New Roman" w:hAnsi="Times New Roman"/>
        </w:rPr>
        <w:t xml:space="preserve">The total labor burden over the 3-year ICR period is estimated to </w:t>
      </w:r>
      <w:r>
        <w:rPr>
          <w:rFonts w:ascii="Times New Roman" w:hAnsi="Times New Roman"/>
        </w:rPr>
        <w:t xml:space="preserve">range from approximately 166,000 to 208,000 </w:t>
      </w:r>
      <w:r w:rsidRPr="00F448A9">
        <w:rPr>
          <w:rFonts w:ascii="Times New Roman" w:hAnsi="Times New Roman"/>
        </w:rPr>
        <w:t>person</w:t>
      </w:r>
      <w:r>
        <w:rPr>
          <w:rFonts w:ascii="Times New Roman" w:hAnsi="Times New Roman"/>
        </w:rPr>
        <w:t>-</w:t>
      </w:r>
      <w:r w:rsidRPr="00F448A9">
        <w:rPr>
          <w:rFonts w:ascii="Times New Roman" w:hAnsi="Times New Roman"/>
        </w:rPr>
        <w:t xml:space="preserve">hours. The total labor costs over the 3-year ICR period are estimated </w:t>
      </w:r>
      <w:r>
        <w:rPr>
          <w:rFonts w:ascii="Times New Roman" w:hAnsi="Times New Roman"/>
        </w:rPr>
        <w:t>to range from approximately $21 to $26 million</w:t>
      </w:r>
      <w:r w:rsidRPr="00F448A9">
        <w:rPr>
          <w:rFonts w:ascii="Times New Roman" w:hAnsi="Times New Roman"/>
        </w:rPr>
        <w:t>.</w:t>
      </w:r>
    </w:p>
    <w:p w:rsidR="00AB3A1A" w:rsidRPr="0068644D" w:rsidP="00AB3A1A" w14:paraId="736AA4E4" w14:textId="77777777">
      <w:pPr>
        <w:pStyle w:val="Heading2"/>
        <w:spacing w:after="240"/>
        <w:rPr>
          <w:i/>
          <w:iCs/>
        </w:rPr>
      </w:pPr>
      <w:r>
        <w:rPr>
          <w:i/>
        </w:rPr>
        <w:t>6</w:t>
      </w:r>
      <w:r w:rsidRPr="0068644D">
        <w:rPr>
          <w:i/>
        </w:rPr>
        <w:t>(e)</w:t>
      </w:r>
      <w:r w:rsidRPr="0068644D">
        <w:rPr>
          <w:i/>
        </w:rPr>
        <w:tab/>
        <w:t>Bottom Line Burden Hours and Cost Tables</w:t>
      </w:r>
      <w:r>
        <w:rPr>
          <w:i/>
        </w:rPr>
        <w:t>.</w:t>
      </w:r>
    </w:p>
    <w:p w:rsidR="00AB3A1A" w:rsidP="00AB3A1A" w14:paraId="5D44B1B1" w14:textId="77777777">
      <w:pPr>
        <w:pStyle w:val="Para"/>
        <w:keepNext/>
        <w:rPr>
          <w:rFonts w:ascii="Times New Roman" w:hAnsi="Times New Roman"/>
        </w:rPr>
      </w:pPr>
      <w:r>
        <w:rPr>
          <w:rFonts w:ascii="Times New Roman" w:hAnsi="Times New Roman"/>
        </w:rPr>
        <w:t>The bottom-line labor hours and costs are shown</w:t>
      </w:r>
      <w:r w:rsidRPr="00807DF8">
        <w:rPr>
          <w:rFonts w:ascii="Times New Roman" w:hAnsi="Times New Roman"/>
        </w:rPr>
        <w:t xml:space="preserve"> in </w:t>
      </w:r>
      <w:r>
        <w:rPr>
          <w:rFonts w:ascii="Times New Roman" w:hAnsi="Times New Roman"/>
        </w:rPr>
        <w:t>Exhibits</w:t>
      </w:r>
      <w:r w:rsidRPr="00807DF8">
        <w:rPr>
          <w:rFonts w:ascii="Times New Roman" w:hAnsi="Times New Roman"/>
        </w:rPr>
        <w:t xml:space="preserve"> 1a</w:t>
      </w:r>
      <w:r>
        <w:rPr>
          <w:rFonts w:ascii="Times New Roman" w:hAnsi="Times New Roman"/>
        </w:rPr>
        <w:t xml:space="preserve"> and</w:t>
      </w:r>
      <w:r w:rsidRPr="00807DF8">
        <w:rPr>
          <w:rFonts w:ascii="Times New Roman" w:hAnsi="Times New Roman"/>
        </w:rPr>
        <w:t xml:space="preserve"> 1b</w:t>
      </w:r>
      <w:r>
        <w:rPr>
          <w:rFonts w:ascii="Times New Roman" w:hAnsi="Times New Roman"/>
        </w:rPr>
        <w:t xml:space="preserve"> for respondents and Exhibit 2a for EPA. The labor hours and costs are summarized in Exhibit 1c for respondents and Exhibit 2b for EPA</w:t>
      </w:r>
      <w:r w:rsidRPr="00807DF8">
        <w:rPr>
          <w:rFonts w:ascii="Times New Roman" w:hAnsi="Times New Roman"/>
        </w:rPr>
        <w:t>.</w:t>
      </w:r>
    </w:p>
    <w:p w:rsidR="00AB3A1A" w:rsidRPr="0068644D" w:rsidP="00AB3A1A" w14:paraId="2F61BEAD" w14:textId="77777777">
      <w:pPr>
        <w:pStyle w:val="Heading2"/>
        <w:spacing w:after="240"/>
        <w:rPr>
          <w:i/>
          <w:iCs/>
        </w:rPr>
      </w:pPr>
      <w:r>
        <w:rPr>
          <w:i/>
        </w:rPr>
        <w:t>6</w:t>
      </w:r>
      <w:r w:rsidRPr="0068644D">
        <w:rPr>
          <w:i/>
        </w:rPr>
        <w:t>(f)</w:t>
      </w:r>
      <w:r w:rsidRPr="0068644D">
        <w:rPr>
          <w:i/>
        </w:rPr>
        <w:tab/>
        <w:t>Reasons for Cha</w:t>
      </w:r>
      <w:r>
        <w:rPr>
          <w:i/>
        </w:rPr>
        <w:t>nge in Burden.</w:t>
      </w:r>
    </w:p>
    <w:p w:rsidR="00AB3A1A" w:rsidRPr="00F6715F" w:rsidP="00AB3A1A" w14:paraId="53DCB17D" w14:textId="77777777">
      <w:pPr>
        <w:pStyle w:val="Para"/>
        <w:keepNext/>
        <w:rPr>
          <w:rFonts w:ascii="Times New Roman" w:hAnsi="Times New Roman"/>
        </w:rPr>
      </w:pPr>
      <w:r w:rsidRPr="00F6715F">
        <w:rPr>
          <w:rFonts w:ascii="Times New Roman" w:hAnsi="Times New Roman"/>
        </w:rPr>
        <w:t>The increase in burden is due to this being a new ICR associated with a new subpart.</w:t>
      </w:r>
    </w:p>
    <w:p w:rsidR="00AB3A1A" w:rsidRPr="0068644D" w:rsidP="00AB3A1A" w14:paraId="5491DC8E" w14:textId="77777777">
      <w:pPr>
        <w:pStyle w:val="Heading2"/>
        <w:keepNext w:val="0"/>
        <w:spacing w:after="240"/>
        <w:ind w:firstLine="720"/>
        <w:rPr>
          <w:i/>
          <w:iCs/>
        </w:rPr>
      </w:pPr>
      <w:r>
        <w:rPr>
          <w:i/>
        </w:rPr>
        <w:t>6</w:t>
      </w:r>
      <w:r w:rsidRPr="0068644D">
        <w:rPr>
          <w:i/>
        </w:rPr>
        <w:t>(g)</w:t>
      </w:r>
      <w:r w:rsidRPr="0068644D">
        <w:rPr>
          <w:i/>
        </w:rPr>
        <w:tab/>
        <w:t>Burden Statement</w:t>
      </w:r>
      <w:r>
        <w:rPr>
          <w:i/>
        </w:rPr>
        <w:t>.</w:t>
      </w:r>
    </w:p>
    <w:p w:rsidR="00AB3A1A" w:rsidP="00AB3A1A" w14:paraId="7AC70CBF" w14:textId="77777777">
      <w:pPr>
        <w:pStyle w:val="Para"/>
        <w:rPr>
          <w:rFonts w:ascii="Times New Roman" w:hAnsi="Times New Roman"/>
        </w:rPr>
      </w:pPr>
      <w:r w:rsidRPr="007C7E34">
        <w:rPr>
          <w:rFonts w:ascii="Times New Roman" w:hAnsi="Times New Roman"/>
        </w:rPr>
        <w:t xml:space="preserve">The annual </w:t>
      </w:r>
      <w:r w:rsidRPr="005E01D7">
        <w:rPr>
          <w:rFonts w:ascii="Times New Roman" w:hAnsi="Times New Roman"/>
        </w:rPr>
        <w:t>public reporting and recordkeeping burden</w:t>
      </w:r>
      <w:r>
        <w:rPr>
          <w:rFonts w:ascii="Times New Roman" w:hAnsi="Times New Roman"/>
        </w:rPr>
        <w:t xml:space="preserve"> (as listed in Section 5(b) above)</w:t>
      </w:r>
      <w:r w:rsidRPr="005E01D7">
        <w:rPr>
          <w:rFonts w:ascii="Times New Roman" w:hAnsi="Times New Roman"/>
        </w:rPr>
        <w:t xml:space="preserve"> for this collection of information is estimated to </w:t>
      </w:r>
      <w:r>
        <w:rPr>
          <w:rFonts w:ascii="Times New Roman" w:hAnsi="Times New Roman"/>
        </w:rPr>
        <w:t>range from</w:t>
      </w:r>
      <w:r w:rsidRPr="005E01D7">
        <w:rPr>
          <w:rFonts w:ascii="Times New Roman" w:hAnsi="Times New Roman"/>
        </w:rPr>
        <w:t xml:space="preserve"> </w:t>
      </w:r>
      <w:r>
        <w:rPr>
          <w:rFonts w:ascii="Times New Roman" w:hAnsi="Times New Roman"/>
        </w:rPr>
        <w:t>approximately 3,300 to 4,200</w:t>
      </w:r>
      <w:r w:rsidRPr="00F448A9">
        <w:rPr>
          <w:rFonts w:ascii="Times New Roman" w:hAnsi="Times New Roman"/>
        </w:rPr>
        <w:t xml:space="preserve"> </w:t>
      </w:r>
      <w:r w:rsidRPr="005E01D7">
        <w:rPr>
          <w:rFonts w:ascii="Times New Roman" w:hAnsi="Times New Roman"/>
        </w:rPr>
        <w:t>hours per response. Burden</w:t>
      </w:r>
      <w:r w:rsidRPr="009060A6">
        <w:rPr>
          <w:rFonts w:ascii="Times New Roman" w:hAnsi="Times New Roman"/>
        </w:rPr>
        <w:t xml:space="preserve"> means the total time, effort, or financial resources expended by persons</w:t>
      </w:r>
      <w:r w:rsidRPr="007C7E34">
        <w:rPr>
          <w:rFonts w:ascii="Times New Roman" w:hAnsi="Times New Roman"/>
        </w:rPr>
        <w:t xml:space="preserve"> to generate, maintain, retain, or disclose or provide information to or for a </w:t>
      </w:r>
      <w:r>
        <w:rPr>
          <w:rFonts w:ascii="Times New Roman" w:hAnsi="Times New Roman"/>
        </w:rPr>
        <w:t>f</w:t>
      </w:r>
      <w:r w:rsidRPr="007C7E34">
        <w:rPr>
          <w:rFonts w:ascii="Times New Roman" w:hAnsi="Times New Roman"/>
        </w:rPr>
        <w:t>ederal agency</w:t>
      </w:r>
      <w:r>
        <w:rPr>
          <w:rFonts w:ascii="Times New Roman" w:hAnsi="Times New Roman"/>
        </w:rPr>
        <w:t xml:space="preserve">. </w:t>
      </w:r>
      <w:r w:rsidRPr="00332DD0">
        <w:rPr>
          <w:rFonts w:ascii="Times New Roman" w:hAnsi="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AB3A1A" w:rsidP="00AB3A1A" w14:paraId="4141016F" w14:textId="77777777">
      <w:pPr>
        <w:pStyle w:val="Para"/>
        <w:rPr>
          <w:rFonts w:ascii="Times New Roman" w:hAnsi="Times New Roman"/>
        </w:rPr>
      </w:pPr>
      <w:r w:rsidRPr="007C7E34">
        <w:rPr>
          <w:rFonts w:ascii="Times New Roman" w:hAnsi="Times New Roman"/>
        </w:rPr>
        <w:t>An agency may not conduct or sponsor, and a person is not required to respond to a collection of information unless it displays a currently valid OMB control number</w:t>
      </w:r>
      <w:r>
        <w:rPr>
          <w:rFonts w:ascii="Times New Roman" w:hAnsi="Times New Roman"/>
        </w:rPr>
        <w:t xml:space="preserve">. </w:t>
      </w:r>
      <w:r w:rsidRPr="007C7E34">
        <w:rPr>
          <w:rFonts w:ascii="Times New Roman" w:hAnsi="Times New Roman"/>
        </w:rPr>
        <w:t>The OMB control numbers for EPA’s regulations in 40 CFR part 6</w:t>
      </w:r>
      <w:r>
        <w:rPr>
          <w:rFonts w:ascii="Times New Roman" w:hAnsi="Times New Roman"/>
        </w:rPr>
        <w:t>0</w:t>
      </w:r>
      <w:r w:rsidRPr="007C7E34">
        <w:rPr>
          <w:rFonts w:ascii="Times New Roman" w:hAnsi="Times New Roman"/>
        </w:rPr>
        <w:t xml:space="preserve"> are listed in 40 CFR part 9.</w:t>
      </w:r>
    </w:p>
    <w:p w:rsidR="00AB3A1A" w:rsidRPr="007C7E34" w:rsidP="00AB3A1A" w14:paraId="75E0D783" w14:textId="77777777">
      <w:pPr>
        <w:pStyle w:val="Para"/>
        <w:rPr>
          <w:rFonts w:ascii="Times New Roman" w:hAnsi="Times New Roman"/>
        </w:rPr>
      </w:pPr>
      <w:r w:rsidRPr="007F04A6">
        <w:rPr>
          <w:rFonts w:ascii="Times New Roman" w:hAnsi="Times New Roman"/>
        </w:rPr>
        <w:t xml:space="preserve">To view comments received on the Agency’s need for this information, the accuracy of the provided burden estimates, and any suggested methods for minimizing respondent burden, including the use of automated collection techniques, the EPA has established a public docket for this ICR under Docket ID Number [EPA-HQ-OAR-2021-0317]. An electronic version of the public docket is available at </w:t>
      </w:r>
      <w:r w:rsidRPr="00305577">
        <w:rPr>
          <w:rFonts w:ascii="Times New Roman" w:hAnsi="Times New Roman"/>
          <w:i/>
          <w:iCs/>
        </w:rPr>
        <w:t>http://www.regulations.gov/</w:t>
      </w:r>
      <w:r w:rsidRPr="007F04A6">
        <w:rPr>
          <w:rFonts w:ascii="Times New Roman" w:hAnsi="Times New Roman"/>
        </w:rPr>
        <w:t xml:space="preserve"> which may be used to obtain a copy of the collection of information, view public comments submitted, access the index listing of the contents of the docket, and to access those documents in the public docket that are available electronically. When in the system, select “search,” then key in the docket ID number identified in this document. The documents are typically available for public viewing at EPA Docket Center Room 3334, EPA WJC West Building, 1301 Constitution Ave., NW, Washington, DC. EPA Docket Center Public Reading Room is open from 8:30 a.m. to 4:30 p.m., Monday through Friday, excluding legal holidays. The telephone number for the Public Reading Room is (202) 566-1744, and the telephone number for the EPA Docket Center is (202) 566-1742.</w:t>
      </w:r>
    </w:p>
    <w:p w:rsidR="00AB3A1A" w:rsidRPr="007C7E34" w:rsidP="00AB3A1A" w14:paraId="4DB8B4C6" w14:textId="77777777">
      <w:pPr>
        <w:pStyle w:val="Heading1"/>
        <w:spacing w:after="240"/>
      </w:pPr>
      <w:r w:rsidRPr="007C7E34">
        <w:t>PART B</w:t>
      </w:r>
    </w:p>
    <w:p w:rsidR="00AB3A1A" w:rsidP="00AB3A1A" w14:paraId="41FBF742" w14:textId="77777777">
      <w:pPr>
        <w:pStyle w:val="Para"/>
        <w:rPr>
          <w:rFonts w:ascii="Times New Roman" w:hAnsi="Times New Roman"/>
        </w:rPr>
      </w:pPr>
      <w:r w:rsidRPr="007C7E34">
        <w:rPr>
          <w:rFonts w:ascii="Times New Roman" w:hAnsi="Times New Roman"/>
        </w:rPr>
        <w:t xml:space="preserve">This section is not applicable because statistical methods are not used in data collection associated with </w:t>
      </w:r>
      <w:r>
        <w:rPr>
          <w:rFonts w:ascii="Times New Roman" w:hAnsi="Times New Roman"/>
        </w:rPr>
        <w:t>these guidelines</w:t>
      </w:r>
      <w:r w:rsidRPr="007C7E34">
        <w:rPr>
          <w:rFonts w:ascii="Times New Roman" w:hAnsi="Times New Roman"/>
        </w:rPr>
        <w:t>.</w:t>
      </w:r>
      <w:r>
        <w:rPr>
          <w:rFonts w:ascii="Times New Roman" w:hAnsi="Times New Roman"/>
        </w:rPr>
        <w:br w:type="page"/>
      </w:r>
    </w:p>
    <w:p w:rsidR="00AB3A1A" w:rsidP="00AB3A1A" w14:paraId="7A4964F5" w14:textId="77777777">
      <w:pPr>
        <w:jc w:val="center"/>
      </w:pPr>
      <w:r>
        <w:t>ATTACHMENTS</w:t>
      </w:r>
    </w:p>
    <w:p w:rsidR="00AB3A1A" w:rsidP="00AB3A1A" w14:paraId="6CB2FDDE" w14:textId="77777777"/>
    <w:p w:rsidR="00AB3A1A" w:rsidP="00AB3A1A" w14:paraId="29C21906" w14:textId="77777777"/>
    <w:p w:rsidR="00AB3A1A" w:rsidP="00AB3A1A" w14:paraId="1646B9E6" w14:textId="77777777">
      <w:r>
        <w:t xml:space="preserve">Exhibit 1a. </w:t>
      </w:r>
      <w:r w:rsidRPr="006349A1">
        <w:t xml:space="preserve">Lower Bound Respondent Burden and Cost of Reporting and Recordkeeping Requirements for States, Emissions Guidelines for Greenhouse Gas Emissions from Existing Crude Oil and Natural Gas Facilities (40 CFR Part 60, Subpart </w:t>
      </w:r>
      <w:r w:rsidRPr="006349A1">
        <w:t>OOOOc</w:t>
      </w:r>
      <w:r w:rsidRPr="006349A1">
        <w:t>)</w:t>
      </w:r>
    </w:p>
    <w:p w:rsidR="00AB3A1A" w:rsidP="00AB3A1A" w14:paraId="3256614E" w14:textId="77777777"/>
    <w:p w:rsidR="00AB3A1A" w:rsidRPr="002D24E2" w:rsidP="00AB3A1A" w14:paraId="36DFC261" w14:textId="77777777">
      <w:r w:rsidRPr="002D24E2">
        <w:t>Exhibit</w:t>
      </w:r>
      <w:r>
        <w:t xml:space="preserve"> 1b.</w:t>
      </w:r>
      <w:r w:rsidRPr="009C7662">
        <w:t xml:space="preserve"> Upper Bound Respondent Burden and Cost of Reporting and Recordkeeping Requirements for States, Emissions Guidelines for Greenhouse Gas Emissions from Existing Crude Oil and Natural Gas Facilities (40 CFR Part 60, Subpart </w:t>
      </w:r>
      <w:r w:rsidRPr="009C7662">
        <w:t>OOOOc</w:t>
      </w:r>
      <w:r w:rsidRPr="009C7662">
        <w:t>)</w:t>
      </w:r>
    </w:p>
    <w:p w:rsidR="00AB3A1A" w:rsidP="00AB3A1A" w14:paraId="4130E34C" w14:textId="77777777"/>
    <w:p w:rsidR="00AB3A1A" w:rsidP="00AB3A1A" w14:paraId="0B8CAF35" w14:textId="77777777">
      <w:r w:rsidRPr="002D24E2">
        <w:t>Exhibit</w:t>
      </w:r>
      <w:r>
        <w:t xml:space="preserve"> 1c.</w:t>
      </w:r>
      <w:r w:rsidRPr="009C7662">
        <w:t xml:space="preserve"> Summary of Respondent Burden and Cost of Reporting and Recordkeeping Requirements for States, Emissions Guidelines for Greenhouse Gas Emissions from Existing Crude Oil and Natural Gas Facilities (40 CFR Part 60, Subpart </w:t>
      </w:r>
      <w:r w:rsidRPr="009C7662">
        <w:t>OOOOc</w:t>
      </w:r>
      <w:r w:rsidRPr="009C7662">
        <w:t>)</w:t>
      </w:r>
    </w:p>
    <w:p w:rsidR="00AB3A1A" w:rsidP="00AB3A1A" w14:paraId="2F2A3A81" w14:textId="77777777"/>
    <w:p w:rsidR="00AB3A1A" w:rsidP="00AB3A1A" w14:paraId="02132DD3" w14:textId="77777777">
      <w:r w:rsidRPr="00F97DAE">
        <w:t xml:space="preserve">Exhibit 2a. Burden and Cost to the Agency, Emissions Guidelines for Greenhouse Gas Emissions from Existing Crude Oil and Natural Gas Facilities (40 CFR Part 60, Subpart </w:t>
      </w:r>
      <w:r w:rsidRPr="00F97DAE">
        <w:t>OOOOc</w:t>
      </w:r>
      <w:r w:rsidRPr="00F97DAE">
        <w:t>)</w:t>
      </w:r>
    </w:p>
    <w:p w:rsidR="00AB3A1A" w:rsidP="00AB3A1A" w14:paraId="34D1ABA7" w14:textId="77777777"/>
    <w:p w:rsidR="00AB3A1A" w:rsidP="00AB3A1A" w14:paraId="6AB301C1" w14:textId="77777777">
      <w:pPr>
        <w:sectPr w:rsidSect="00DC69FC">
          <w:footerReference w:type="default" r:id="rId23"/>
          <w:pgSz w:w="12240" w:h="15840"/>
          <w:pgMar w:top="1440" w:right="1440" w:bottom="1440" w:left="1440" w:header="720" w:footer="720" w:gutter="0"/>
          <w:cols w:space="720"/>
          <w:docGrid w:linePitch="360"/>
        </w:sectPr>
      </w:pPr>
      <w:r w:rsidRPr="00985AB7">
        <w:t xml:space="preserve">Exhibit 2b. Summary of Agency Burden and Cost, Emissions Guidelines for Greenhouse Gas Emissions from Existing Crude Oil and Natural Gas Facilities (40 CFR Part 60, Subpart </w:t>
      </w:r>
      <w:r w:rsidRPr="00985AB7">
        <w:t>OOOOc</w:t>
      </w:r>
      <w:r w:rsidRPr="00985AB7">
        <w:t>)</w:t>
      </w:r>
    </w:p>
    <w:p w:rsidR="00AB3A1A" w:rsidP="00AB3A1A" w14:paraId="70574305" w14:textId="77777777">
      <w:pPr>
        <w:rPr>
          <w:sz w:val="16"/>
          <w:szCs w:val="16"/>
        </w:rPr>
      </w:pPr>
      <w:r w:rsidRPr="00517080">
        <w:rPr>
          <w:noProof/>
        </w:rPr>
        <w:drawing>
          <wp:inline distT="0" distB="0" distL="0" distR="0">
            <wp:extent cx="8229600" cy="343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435350"/>
                    </a:xfrm>
                    <a:prstGeom prst="rect">
                      <a:avLst/>
                    </a:prstGeom>
                    <a:noFill/>
                    <a:ln>
                      <a:noFill/>
                    </a:ln>
                  </pic:spPr>
                </pic:pic>
              </a:graphicData>
            </a:graphic>
          </wp:inline>
        </w:drawing>
      </w:r>
    </w:p>
    <w:p w:rsidR="00AB3A1A" w:rsidP="00AB3A1A" w14:paraId="5EB304F6" w14:textId="77777777">
      <w:pPr>
        <w:rPr>
          <w:sz w:val="16"/>
          <w:szCs w:val="16"/>
        </w:rPr>
        <w:sectPr w:rsidSect="00DC69FC">
          <w:pgSz w:w="15840" w:h="12240" w:orient="landscape"/>
          <w:pgMar w:top="1440" w:right="1440" w:bottom="1440" w:left="1440" w:header="720" w:footer="720" w:gutter="0"/>
          <w:cols w:space="720"/>
          <w:docGrid w:linePitch="360"/>
        </w:sectPr>
      </w:pPr>
    </w:p>
    <w:p w:rsidR="00AB3A1A" w:rsidP="00AB3A1A" w14:paraId="14D22BCF" w14:textId="77777777">
      <w:pPr>
        <w:keepNext/>
        <w:rPr>
          <w:sz w:val="16"/>
          <w:szCs w:val="16"/>
        </w:rPr>
      </w:pPr>
      <w:r w:rsidRPr="00466E26">
        <w:rPr>
          <w:noProof/>
        </w:rPr>
        <w:drawing>
          <wp:inline distT="0" distB="0" distL="0" distR="0">
            <wp:extent cx="5394960" cy="594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394960" cy="5943600"/>
                    </a:xfrm>
                    <a:prstGeom prst="rect">
                      <a:avLst/>
                    </a:prstGeom>
                    <a:noFill/>
                    <a:ln>
                      <a:noFill/>
                    </a:ln>
                  </pic:spPr>
                </pic:pic>
              </a:graphicData>
            </a:graphic>
          </wp:inline>
        </w:drawing>
      </w:r>
    </w:p>
    <w:p w:rsidR="00AB3A1A" w:rsidP="00AB3A1A" w14:paraId="5DE760E4" w14:textId="77777777">
      <w:pPr>
        <w:rPr>
          <w:sz w:val="16"/>
          <w:szCs w:val="16"/>
        </w:rPr>
      </w:pPr>
    </w:p>
    <w:p w:rsidR="00AB3A1A" w:rsidRPr="005B4E32" w:rsidP="00AB3A1A" w14:paraId="107CE99E" w14:textId="77777777">
      <w:pPr>
        <w:sectPr w:rsidSect="005B4E32">
          <w:pgSz w:w="15840" w:h="12240" w:orient="landscape"/>
          <w:pgMar w:top="1440" w:right="1440" w:bottom="1440" w:left="1440" w:header="720" w:footer="720" w:gutter="0"/>
          <w:cols w:space="720"/>
          <w:docGrid w:linePitch="360"/>
        </w:sectPr>
      </w:pPr>
    </w:p>
    <w:p w:rsidR="00AB3A1A" w:rsidP="00AB3A1A" w14:paraId="231AFD42" w14:textId="77777777">
      <w:pPr>
        <w:rPr>
          <w:b/>
          <w:sz w:val="16"/>
        </w:rPr>
      </w:pPr>
      <w:r w:rsidRPr="00B71DC1">
        <w:rPr>
          <w:noProof/>
        </w:rPr>
        <w:drawing>
          <wp:inline distT="0" distB="0" distL="0" distR="0">
            <wp:extent cx="8229600" cy="32416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3241675"/>
                    </a:xfrm>
                    <a:prstGeom prst="rect">
                      <a:avLst/>
                    </a:prstGeom>
                    <a:noFill/>
                    <a:ln>
                      <a:noFill/>
                    </a:ln>
                  </pic:spPr>
                </pic:pic>
              </a:graphicData>
            </a:graphic>
          </wp:inline>
        </w:drawing>
      </w:r>
    </w:p>
    <w:p w:rsidR="00AB3A1A" w:rsidP="00AB3A1A" w14:paraId="5D72A2EB" w14:textId="77777777">
      <w:pPr>
        <w:rPr>
          <w:b/>
          <w:sz w:val="16"/>
        </w:rPr>
      </w:pPr>
    </w:p>
    <w:p w:rsidR="00AB3A1A" w:rsidP="00AB3A1A" w14:paraId="11E0F853" w14:textId="77777777"/>
    <w:p w:rsidR="00AB3A1A" w:rsidP="00AB3A1A" w14:paraId="7EA351A7" w14:textId="77777777"/>
    <w:p w:rsidR="00AB3A1A" w:rsidRPr="005B4E32" w:rsidP="00AB3A1A" w14:paraId="5A807B23" w14:textId="77777777">
      <w:pPr>
        <w:sectPr w:rsidSect="005B4E32">
          <w:type w:val="continuous"/>
          <w:pgSz w:w="15840" w:h="12240" w:orient="landscape"/>
          <w:pgMar w:top="1440" w:right="1440" w:bottom="1440" w:left="1440" w:header="720" w:footer="720" w:gutter="0"/>
          <w:cols w:space="720"/>
          <w:docGrid w:linePitch="360"/>
        </w:sectPr>
      </w:pPr>
      <w:r w:rsidRPr="00B71DC1">
        <w:rPr>
          <w:noProof/>
        </w:rPr>
        <w:drawing>
          <wp:inline distT="0" distB="0" distL="0" distR="0">
            <wp:extent cx="6323330" cy="59436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6323330" cy="5943600"/>
                    </a:xfrm>
                    <a:prstGeom prst="rect">
                      <a:avLst/>
                    </a:prstGeom>
                    <a:noFill/>
                    <a:ln>
                      <a:noFill/>
                    </a:ln>
                  </pic:spPr>
                </pic:pic>
              </a:graphicData>
            </a:graphic>
          </wp:inline>
        </w:drawing>
      </w:r>
    </w:p>
    <w:p w:rsidR="00AB3A1A" w:rsidP="00AB3A1A" w14:paraId="0E00D724" w14:textId="77777777">
      <w:pPr>
        <w:rPr>
          <w:szCs w:val="24"/>
        </w:rPr>
      </w:pPr>
      <w:r w:rsidRPr="004931A6">
        <w:rPr>
          <w:noProof/>
        </w:rPr>
        <w:drawing>
          <wp:inline distT="0" distB="0" distL="0" distR="0">
            <wp:extent cx="8229600" cy="45643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4564380"/>
                    </a:xfrm>
                    <a:prstGeom prst="rect">
                      <a:avLst/>
                    </a:prstGeom>
                    <a:noFill/>
                    <a:ln>
                      <a:noFill/>
                    </a:ln>
                  </pic:spPr>
                </pic:pic>
              </a:graphicData>
            </a:graphic>
          </wp:inline>
        </w:drawing>
      </w:r>
    </w:p>
    <w:p w:rsidR="00AB3A1A" w:rsidP="00AB3A1A" w14:paraId="514A495B" w14:textId="77777777">
      <w:pPr>
        <w:rPr>
          <w:sz w:val="16"/>
          <w:szCs w:val="16"/>
        </w:rPr>
      </w:pPr>
    </w:p>
    <w:p w:rsidR="00AB3A1A" w:rsidP="00AB3A1A" w14:paraId="29ED1AA0" w14:textId="77777777">
      <w:pPr>
        <w:rPr>
          <w:sz w:val="16"/>
          <w:szCs w:val="16"/>
        </w:rPr>
        <w:sectPr w:rsidSect="00B07BA8">
          <w:type w:val="continuous"/>
          <w:pgSz w:w="15840" w:h="12240" w:orient="landscape"/>
          <w:pgMar w:top="1440" w:right="1440" w:bottom="1440" w:left="1440" w:header="720" w:footer="720" w:gutter="0"/>
          <w:cols w:space="720"/>
          <w:docGrid w:linePitch="360"/>
        </w:sectPr>
      </w:pPr>
    </w:p>
    <w:p w:rsidR="00AB3A1A" w:rsidP="00AB3A1A" w14:paraId="08233B8D" w14:textId="77777777">
      <w:r w:rsidRPr="00123134">
        <w:rPr>
          <w:noProof/>
        </w:rPr>
        <w:drawing>
          <wp:inline distT="0" distB="0" distL="0" distR="0">
            <wp:extent cx="8229600" cy="428180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4281805"/>
                    </a:xfrm>
                    <a:prstGeom prst="rect">
                      <a:avLst/>
                    </a:prstGeom>
                    <a:noFill/>
                    <a:ln>
                      <a:noFill/>
                    </a:ln>
                  </pic:spPr>
                </pic:pic>
              </a:graphicData>
            </a:graphic>
          </wp:inline>
        </w:drawing>
      </w:r>
    </w:p>
    <w:p w:rsidR="00AB3A1A" w:rsidP="00AB3A1A" w14:paraId="4AB05861" w14:textId="77777777"/>
    <w:p w:rsidR="00AB3A1A" w:rsidP="00AB3A1A" w14:paraId="6A3B5801" w14:textId="77777777"/>
    <w:p w:rsidR="00AB3A1A" w:rsidP="00AB3A1A" w14:paraId="01AC053E" w14:textId="77777777"/>
    <w:p w:rsidR="00AB3A1A" w:rsidP="00AB3A1A" w14:paraId="3F51DE0F" w14:textId="77777777">
      <w:r w:rsidRPr="00651D3F">
        <w:rPr>
          <w:noProof/>
        </w:rPr>
        <w:drawing>
          <wp:inline distT="0" distB="0" distL="0" distR="0">
            <wp:extent cx="4648200" cy="2008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4648200" cy="2008505"/>
                    </a:xfrm>
                    <a:prstGeom prst="rect">
                      <a:avLst/>
                    </a:prstGeom>
                    <a:noFill/>
                    <a:ln>
                      <a:noFill/>
                    </a:ln>
                  </pic:spPr>
                </pic:pic>
              </a:graphicData>
            </a:graphic>
          </wp:inline>
        </w:drawing>
      </w:r>
    </w:p>
    <w:p w:rsidR="00AB3A1A" w:rsidP="00AB3A1A" w14:paraId="42C0CAAE" w14:textId="77777777"/>
    <w:p w:rsidR="00AB3A1A" w:rsidP="00AB3A1A" w14:paraId="792C4EE6" w14:textId="77777777">
      <w:pPr>
        <w:sectPr w:rsidSect="005B4E32">
          <w:pgSz w:w="15840" w:h="12240" w:orient="landscape"/>
          <w:pgMar w:top="1440" w:right="1440" w:bottom="1440" w:left="1440" w:header="720" w:footer="720" w:gutter="0"/>
          <w:cols w:space="720"/>
          <w:docGrid w:linePitch="360"/>
        </w:sectPr>
      </w:pPr>
    </w:p>
    <w:p w:rsidR="00AB3A1A" w:rsidRPr="00021695" w:rsidP="00AB3A1A" w14:paraId="33DBB7A7" w14:textId="77777777">
      <w:pPr>
        <w:pStyle w:val="Heading2"/>
        <w:rPr>
          <w:b w:val="0"/>
          <w:bCs/>
        </w:rPr>
      </w:pPr>
      <w:r w:rsidRPr="00021695">
        <w:t>Appendix A</w:t>
      </w:r>
    </w:p>
    <w:p w:rsidR="00AB3A1A" w:rsidP="00AB3A1A" w14:paraId="0F21634E" w14:textId="77777777">
      <w:pPr>
        <w:jc w:val="center"/>
        <w:rPr>
          <w:b/>
        </w:rPr>
      </w:pPr>
    </w:p>
    <w:p w:rsidR="00AB3A1A" w:rsidP="00AB3A1A" w14:paraId="0EEB4E74" w14:textId="77777777">
      <w:pPr>
        <w:spacing w:line="480" w:lineRule="auto"/>
        <w:jc w:val="center"/>
        <w:rPr>
          <w:b/>
          <w:szCs w:val="24"/>
        </w:rPr>
      </w:pPr>
      <w:r>
        <w:rPr>
          <w:b/>
          <w:szCs w:val="24"/>
        </w:rPr>
        <w:t>EPA’s Compliance and Emissions Data Reporting (CEDRI) Interface</w:t>
      </w:r>
      <w:r>
        <w:rPr>
          <w:noProof/>
        </w:rPr>
        <w:drawing>
          <wp:inline distT="0" distB="0" distL="0" distR="0">
            <wp:extent cx="6035040" cy="2508885"/>
            <wp:effectExtent l="0" t="0" r="3810" b="571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5040" cy="2508885"/>
                    </a:xfrm>
                    <a:prstGeom prst="rect">
                      <a:avLst/>
                    </a:prstGeom>
                    <a:noFill/>
                    <a:ln>
                      <a:noFill/>
                    </a:ln>
                  </pic:spPr>
                </pic:pic>
              </a:graphicData>
            </a:graphic>
          </wp:inline>
        </w:drawing>
      </w:r>
    </w:p>
    <w:p w:rsidR="00AB3A1A" w:rsidP="00AB3A1A" w14:paraId="742D6492" w14:textId="77777777">
      <w:pPr>
        <w:keepNext/>
        <w:jc w:val="center"/>
        <w:rPr>
          <w:b/>
          <w:szCs w:val="24"/>
        </w:rPr>
        <w:sectPr>
          <w:footerReference w:type="first" r:id="rId31"/>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pPr>
      <w:r>
        <w:rPr>
          <w:noProof/>
        </w:rPr>
        <w:drawing>
          <wp:inline distT="0" distB="0" distL="0" distR="0">
            <wp:extent cx="6035040" cy="3498215"/>
            <wp:effectExtent l="0" t="0" r="3810" b="6985"/>
            <wp:docPr id="16" name="Picture 16"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9" descr="Graphical user interface, website&#10;&#10;Description automatically generated"/>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6035040" cy="3498215"/>
                    </a:xfrm>
                    <a:prstGeom prst="rect">
                      <a:avLst/>
                    </a:prstGeom>
                    <a:noFill/>
                    <a:ln>
                      <a:noFill/>
                    </a:ln>
                  </pic:spPr>
                </pic:pic>
              </a:graphicData>
            </a:graphic>
          </wp:inline>
        </w:drawing>
      </w:r>
    </w:p>
    <w:p w:rsidR="00AB3A1A" w:rsidP="00AB3A1A" w14:paraId="0C782A3B" w14:textId="77777777">
      <w:pPr>
        <w:keepNext/>
        <w:jc w:val="center"/>
        <w:rPr>
          <w:b/>
          <w:szCs w:val="24"/>
        </w:rPr>
      </w:pPr>
    </w:p>
    <w:p w:rsidR="00AB3A1A" w:rsidRPr="00021695" w:rsidP="00AB3A1A" w14:paraId="78F8D034" w14:textId="77777777">
      <w:pPr>
        <w:pStyle w:val="Heading2"/>
        <w:rPr>
          <w:b w:val="0"/>
          <w:bCs/>
        </w:rPr>
      </w:pPr>
      <w:r w:rsidRPr="00021695">
        <w:t>Appendix B</w:t>
      </w:r>
    </w:p>
    <w:p w:rsidR="00AB3A1A" w:rsidRPr="00423AEF" w:rsidP="00AB3A1A" w14:paraId="7C58529F" w14:textId="77777777">
      <w:pPr>
        <w:jc w:val="center"/>
        <w:rPr>
          <w:b/>
        </w:rPr>
      </w:pPr>
    </w:p>
    <w:p w:rsidR="00AB3A1A" w:rsidRPr="00423AEF" w:rsidP="00AB3A1A" w14:paraId="6366A827" w14:textId="77777777">
      <w:pPr>
        <w:spacing w:line="480" w:lineRule="auto"/>
        <w:ind w:firstLine="720"/>
        <w:jc w:val="center"/>
        <w:rPr>
          <w:b/>
          <w:bCs/>
          <w:szCs w:val="24"/>
        </w:rPr>
      </w:pPr>
      <w:r w:rsidRPr="00423AEF">
        <w:rPr>
          <w:b/>
          <w:bCs/>
          <w:szCs w:val="24"/>
        </w:rPr>
        <w:t>Instructions for submitting reports to the EPA via CEDRI per 60.5420b(c)(11):</w:t>
      </w:r>
    </w:p>
    <w:p w:rsidR="00AB3A1A" w:rsidRPr="00423AEF" w:rsidP="00AB3A1A" w14:paraId="744DCCE3" w14:textId="77777777">
      <w:pPr>
        <w:spacing w:line="360" w:lineRule="auto"/>
        <w:ind w:firstLine="720"/>
        <w:rPr>
          <w:b/>
          <w:szCs w:val="24"/>
        </w:rPr>
      </w:pPr>
      <w:r w:rsidRPr="00423AEF">
        <w:rPr>
          <w:szCs w:val="24"/>
        </w:rPr>
        <w:t>(11) You must submit reports to the EPA via CEDRI, except as outlined below. (CEDRI can be accessed through the EPA's CDX (</w:t>
      </w:r>
      <w:r w:rsidRPr="00423AEF">
        <w:rPr>
          <w:i/>
          <w:szCs w:val="24"/>
        </w:rPr>
        <w:t>https://cdx.epa.gov/</w:t>
      </w:r>
      <w:r w:rsidRPr="00423AEF">
        <w:rPr>
          <w:szCs w:val="24"/>
        </w:rPr>
        <w:t>).) The EPA will make all the information submitted through CEDRI available to the public without further notice to you. Do not use CEDRI to submit information you claim as CBI. Anything submitted using CEDRI cannot later be claimed CBI. You must use the appropriate electronic report in CEDRI for this subpart or an alternate electronic file format consistent with the extensible markup language (XML) schema listed on the CEDRI website (</w:t>
      </w:r>
      <w:r w:rsidRPr="00423AEF">
        <w:rPr>
          <w:i/>
          <w:iCs/>
          <w:szCs w:val="24"/>
        </w:rPr>
        <w:t>https://www.epa.gov/electronic-reporting-air-emissions/cedri</w:t>
      </w:r>
      <w:r w:rsidRPr="00423AEF">
        <w:rPr>
          <w:i/>
          <w:szCs w:val="24"/>
        </w:rPr>
        <w:t>/</w:t>
      </w:r>
      <w:r w:rsidRPr="00423AEF">
        <w:rPr>
          <w:szCs w:val="24"/>
        </w:rPr>
        <w:t>). If the reporting form specific to this subpart is not available in CEDRI at the time that the report is due, you must submit the report to the Administrator at the appropriate address listed in §60.4. Once the form has been available in CEDRI for at least 90 calendar days, you must begin submitting all subsequent reports via CEDRI. The reports must be submitted by the deadlines specified in this subpart, regardless of the method in which the reports are submitted. Although we do not expect persons to assert a claim of CBI, if you wish to assert a CBI claim, submit a complete report generated using the appropriate form in CEDRI or an alternate electronic file consistent with the XML schema listed on the EPA’s CEDRI website, including information claimed to be CBI, on a compact disc, flash drive, or other commonly used electronic storage medium to the EPA. The electronic medium shall be clearly marked as CBI and mailed to U.S. EPA/OAQPS/CORE CBI Office, Attention: Group Leader, Fuels and Incineration Group, MD C404-02, 4930 Old Page Rd., Durham, NC 27703. The same file with the CBI omitted shall be submitted to the EPA via CEDRI. All CBI claims must be asserted at the time of submission. Furthermore, under CAA section 114(c), emissions data is not entitled to confidential treatment, and the EPA is required to make emissions data available to the public. Thus, emissions data will not be protected as CBI and will be made publicly available.</w:t>
      </w:r>
    </w:p>
    <w:p w:rsidR="00AB3A1A" w:rsidRPr="00423AEF" w:rsidP="00AB3A1A" w14:paraId="67BA0FCE" w14:textId="77777777"/>
    <w:p w:rsidR="00383261" w:rsidP="00A31073" w14:paraId="1741EA6B" w14:textId="77777777">
      <w:pPr>
        <w:widowControl/>
        <w:autoSpaceDE/>
        <w:autoSpaceDN/>
        <w:adjustRightInd/>
        <w:spacing w:line="360" w:lineRule="auto"/>
        <w:ind w:firstLine="720"/>
        <w:rPr>
          <w:b/>
          <w:sz w:val="24"/>
          <w:szCs w:val="24"/>
        </w:rPr>
      </w:pPr>
    </w:p>
    <w:sectPr w:rsidSect="00293331">
      <w:footerReference w:type="first" r:id="rId32"/>
      <w:footnotePr>
        <w:numFmt w:val="lowerLetter"/>
        <w:numRestart w:val="eachPage"/>
      </w:footnotePr>
      <w:endnotePr>
        <w:numFmt w:val="decimal"/>
      </w:endnotePr>
      <w:pgSz w:w="12240" w:h="15840" w:code="1"/>
      <w:pgMar w:top="1440" w:right="1440" w:bottom="1440" w:left="1296" w:header="1440" w:footer="144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Ellipt BT">
    <w:altName w:val="Cambria"/>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91F" w:rsidRPr="00030416" w14:paraId="419EFA4C" w14:textId="4C41D0D7">
    <w:pPr>
      <w:pStyle w:val="Footer"/>
      <w:jc w:val="center"/>
      <w:rPr>
        <w:sz w:val="24"/>
        <w:szCs w:val="24"/>
      </w:rPr>
    </w:pPr>
    <w:r w:rsidRPr="00030416">
      <w:rPr>
        <w:sz w:val="24"/>
        <w:szCs w:val="24"/>
      </w:rPr>
      <w:fldChar w:fldCharType="begin"/>
    </w:r>
    <w:r w:rsidRPr="00030416">
      <w:rPr>
        <w:sz w:val="24"/>
        <w:szCs w:val="24"/>
      </w:rPr>
      <w:instrText xml:space="preserve"> PAGE   \* MERGEFORMAT </w:instrText>
    </w:r>
    <w:r w:rsidRPr="00030416">
      <w:rPr>
        <w:sz w:val="24"/>
        <w:szCs w:val="24"/>
      </w:rPr>
      <w:fldChar w:fldCharType="separate"/>
    </w:r>
    <w:r>
      <w:rPr>
        <w:noProof/>
        <w:sz w:val="24"/>
        <w:szCs w:val="24"/>
      </w:rPr>
      <w:t>21</w:t>
    </w:r>
    <w:r w:rsidRPr="00030416">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3076495"/>
      <w:docPartObj>
        <w:docPartGallery w:val="Page Numbers (Bottom of Page)"/>
        <w:docPartUnique/>
      </w:docPartObj>
    </w:sdtPr>
    <w:sdtEndPr>
      <w:rPr>
        <w:noProof/>
        <w:sz w:val="24"/>
        <w:szCs w:val="24"/>
      </w:rPr>
    </w:sdtEndPr>
    <w:sdtContent>
      <w:p w:rsidR="009E391F" w:rsidRPr="00BE3F3B" w:rsidP="00BE3F3B" w14:paraId="2A721688" w14:textId="5D15138C">
        <w:pPr>
          <w:pStyle w:val="Footer"/>
          <w:jc w:val="center"/>
          <w:rPr>
            <w:sz w:val="24"/>
            <w:szCs w:val="24"/>
          </w:rPr>
        </w:pPr>
        <w:r w:rsidRPr="00BE3F3B">
          <w:rPr>
            <w:sz w:val="24"/>
            <w:szCs w:val="24"/>
          </w:rPr>
          <w:fldChar w:fldCharType="begin"/>
        </w:r>
        <w:r w:rsidRPr="00BE3F3B">
          <w:rPr>
            <w:sz w:val="24"/>
            <w:szCs w:val="24"/>
          </w:rPr>
          <w:instrText xml:space="preserve"> PAGE   \* MERGEFORMAT </w:instrText>
        </w:r>
        <w:r w:rsidRPr="00BE3F3B">
          <w:rPr>
            <w:sz w:val="24"/>
            <w:szCs w:val="24"/>
          </w:rPr>
          <w:fldChar w:fldCharType="separate"/>
        </w:r>
        <w:r w:rsidRPr="00BE3F3B">
          <w:rPr>
            <w:noProof/>
            <w:sz w:val="24"/>
            <w:szCs w:val="24"/>
          </w:rPr>
          <w:t>2</w:t>
        </w:r>
        <w:r w:rsidRPr="00BE3F3B">
          <w:rPr>
            <w:noProof/>
            <w:sz w:val="24"/>
            <w:szCs w:val="24"/>
          </w:rPr>
          <w:fldChar w:fldCharType="end"/>
        </w:r>
      </w:p>
    </w:sdtContent>
  </w:sdt>
  <w:p w:rsidR="009E391F" w14:paraId="6F9C3E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88255435"/>
      <w:docPartObj>
        <w:docPartGallery w:val="Page Numbers (Bottom of Page)"/>
        <w:docPartUnique/>
      </w:docPartObj>
    </w:sdtPr>
    <w:sdtEndPr>
      <w:rPr>
        <w:noProof/>
        <w:sz w:val="24"/>
        <w:szCs w:val="24"/>
      </w:rPr>
    </w:sdtEndPr>
    <w:sdtContent>
      <w:p w:rsidR="009E391F" w:rsidRPr="00125EF4" w:rsidP="009E391F" w14:paraId="5779B9B1" w14:textId="7184DBFD">
        <w:pPr>
          <w:pStyle w:val="Footer"/>
          <w:jc w:val="center"/>
          <w:rPr>
            <w:sz w:val="24"/>
            <w:szCs w:val="24"/>
          </w:rPr>
        </w:pPr>
        <w:r>
          <w:rPr>
            <w:sz w:val="24"/>
            <w:szCs w:val="24"/>
          </w:rPr>
          <w:t>A</w:t>
        </w:r>
        <w:r w:rsidRPr="00B83D6A">
          <w:rPr>
            <w:sz w:val="24"/>
            <w:szCs w:val="24"/>
          </w:rPr>
          <w:t>-</w:t>
        </w:r>
        <w:r w:rsidRPr="00B83D6A">
          <w:rPr>
            <w:sz w:val="24"/>
            <w:szCs w:val="24"/>
          </w:rPr>
          <w:fldChar w:fldCharType="begin"/>
        </w:r>
        <w:r w:rsidRPr="00B83D6A">
          <w:rPr>
            <w:sz w:val="24"/>
            <w:szCs w:val="24"/>
          </w:rPr>
          <w:instrText xml:space="preserve"> PAGE   \* MERGEFORMAT </w:instrText>
        </w:r>
        <w:r w:rsidRPr="00B83D6A">
          <w:rPr>
            <w:sz w:val="24"/>
            <w:szCs w:val="24"/>
          </w:rPr>
          <w:fldChar w:fldCharType="separate"/>
        </w:r>
        <w:r w:rsidRPr="00B83D6A">
          <w:rPr>
            <w:noProof/>
            <w:sz w:val="24"/>
            <w:szCs w:val="24"/>
          </w:rPr>
          <w:t>2</w:t>
        </w:r>
        <w:r w:rsidRPr="00B83D6A">
          <w:rPr>
            <w:noProof/>
            <w:sz w:val="24"/>
            <w:szCs w:val="24"/>
          </w:rPr>
          <w:fldChar w:fldCharType="end"/>
        </w:r>
      </w:p>
    </w:sdtContent>
  </w:sdt>
  <w:p w:rsidR="009E391F" w14:paraId="73D58D32" w14:textId="77777777">
    <w:pPr>
      <w:pStyle w:val="Footer"/>
    </w:pPr>
  </w:p>
  <w:p w:rsidR="009E391F" w14:paraId="6296A575" w14:textId="77777777"/>
  <w:p w:rsidR="009E391F" w:rsidP="009E391F" w14:paraId="485661BB" w14:textId="77777777">
    <w:pPr>
      <w:tabs>
        <w:tab w:val="left" w:pos="5580"/>
      </w:tabs>
    </w:pPr>
    <w:r>
      <w:tab/>
    </w:r>
  </w:p>
  <w:p w:rsidR="009E391F" w14:paraId="34F00FD0"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9114699"/>
      <w:docPartObj>
        <w:docPartGallery w:val="Page Numbers (Bottom of Page)"/>
        <w:docPartUnique/>
      </w:docPartObj>
    </w:sdtPr>
    <w:sdtEndPr>
      <w:rPr>
        <w:noProof/>
        <w:sz w:val="24"/>
        <w:szCs w:val="24"/>
      </w:rPr>
    </w:sdtEndPr>
    <w:sdtContent>
      <w:p w:rsidR="00293331" w:rsidRPr="00125EF4" w:rsidP="009E391F" w14:paraId="34B39CA3" w14:textId="33BA000F">
        <w:pPr>
          <w:pStyle w:val="Footer"/>
          <w:jc w:val="center"/>
          <w:rPr>
            <w:sz w:val="24"/>
            <w:szCs w:val="24"/>
          </w:rPr>
        </w:pPr>
        <w:r>
          <w:rPr>
            <w:sz w:val="24"/>
            <w:szCs w:val="24"/>
          </w:rPr>
          <w:t>B</w:t>
        </w:r>
        <w:r w:rsidRPr="00B83D6A">
          <w:rPr>
            <w:sz w:val="24"/>
            <w:szCs w:val="24"/>
          </w:rPr>
          <w:t>-</w:t>
        </w:r>
        <w:r w:rsidRPr="00B83D6A">
          <w:rPr>
            <w:sz w:val="24"/>
            <w:szCs w:val="24"/>
          </w:rPr>
          <w:fldChar w:fldCharType="begin"/>
        </w:r>
        <w:r w:rsidRPr="00B83D6A">
          <w:rPr>
            <w:sz w:val="24"/>
            <w:szCs w:val="24"/>
          </w:rPr>
          <w:instrText xml:space="preserve"> PAGE   \* MERGEFORMAT </w:instrText>
        </w:r>
        <w:r w:rsidRPr="00B83D6A">
          <w:rPr>
            <w:sz w:val="24"/>
            <w:szCs w:val="24"/>
          </w:rPr>
          <w:fldChar w:fldCharType="separate"/>
        </w:r>
        <w:r w:rsidRPr="00B83D6A">
          <w:rPr>
            <w:noProof/>
            <w:sz w:val="24"/>
            <w:szCs w:val="24"/>
          </w:rPr>
          <w:t>2</w:t>
        </w:r>
        <w:r w:rsidRPr="00B83D6A">
          <w:rPr>
            <w:noProof/>
            <w:sz w:val="24"/>
            <w:szCs w:val="24"/>
          </w:rPr>
          <w:fldChar w:fldCharType="end"/>
        </w:r>
      </w:p>
    </w:sdtContent>
  </w:sdt>
  <w:p w:rsidR="00293331" w14:paraId="698CE63D" w14:textId="77777777">
    <w:pPr>
      <w:pStyle w:val="Footer"/>
    </w:pPr>
  </w:p>
  <w:p w:rsidR="00293331" w14:paraId="5D69A7DF" w14:textId="77777777"/>
  <w:p w:rsidR="00293331" w:rsidP="009E391F" w14:paraId="3959FD90" w14:textId="77777777">
    <w:pPr>
      <w:tabs>
        <w:tab w:val="left" w:pos="5580"/>
      </w:tabs>
    </w:pPr>
    <w:r>
      <w:tab/>
    </w:r>
  </w:p>
  <w:p w:rsidR="00293331" w14:paraId="4C615833"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A1A" w:rsidRPr="00365D0B" w14:paraId="5D4709FE" w14:textId="77777777">
    <w:pPr>
      <w:pStyle w:val="Footer"/>
      <w:jc w:val="center"/>
      <w:rPr>
        <w:szCs w:val="24"/>
      </w:rPr>
    </w:pPr>
    <w:r w:rsidRPr="00365D0B">
      <w:rPr>
        <w:szCs w:val="24"/>
      </w:rPr>
      <w:fldChar w:fldCharType="begin"/>
    </w:r>
    <w:r w:rsidRPr="00365D0B">
      <w:rPr>
        <w:szCs w:val="24"/>
      </w:rPr>
      <w:instrText xml:space="preserve"> PAGE   \* MERGEFORMAT </w:instrText>
    </w:r>
    <w:r w:rsidRPr="00365D0B">
      <w:rPr>
        <w:szCs w:val="24"/>
      </w:rPr>
      <w:fldChar w:fldCharType="separate"/>
    </w:r>
    <w:r>
      <w:rPr>
        <w:noProof/>
        <w:szCs w:val="24"/>
      </w:rPr>
      <w:t>1</w:t>
    </w:r>
    <w:r w:rsidRPr="00365D0B">
      <w:rPr>
        <w:noProof/>
        <w:szCs w:val="24"/>
      </w:rPr>
      <w:fldChar w:fldCharType="end"/>
    </w:r>
  </w:p>
  <w:p w:rsidR="00AB3A1A" w14:paraId="0957330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0652718"/>
      <w:docPartObj>
        <w:docPartGallery w:val="Page Numbers (Bottom of Page)"/>
        <w:docPartUnique/>
      </w:docPartObj>
    </w:sdtPr>
    <w:sdtEndPr>
      <w:rPr>
        <w:noProof/>
        <w:szCs w:val="24"/>
      </w:rPr>
    </w:sdtEndPr>
    <w:sdtContent>
      <w:p w:rsidR="00AB3A1A" w:rsidRPr="00125EF4" w14:paraId="270175F6" w14:textId="77777777">
        <w:pPr>
          <w:pStyle w:val="Footer"/>
          <w:jc w:val="center"/>
          <w:rPr>
            <w:szCs w:val="24"/>
          </w:rPr>
        </w:pPr>
        <w:r>
          <w:rPr>
            <w:szCs w:val="24"/>
          </w:rPr>
          <w:t>A</w:t>
        </w:r>
        <w:r w:rsidRPr="00B83D6A">
          <w:rPr>
            <w:szCs w:val="24"/>
          </w:rPr>
          <w:t>-</w:t>
        </w:r>
        <w:r w:rsidRPr="00B83D6A">
          <w:rPr>
            <w:szCs w:val="24"/>
          </w:rPr>
          <w:fldChar w:fldCharType="begin"/>
        </w:r>
        <w:r w:rsidRPr="00B83D6A">
          <w:rPr>
            <w:szCs w:val="24"/>
          </w:rPr>
          <w:instrText xml:space="preserve"> PAGE   \* MERGEFORMAT </w:instrText>
        </w:r>
        <w:r w:rsidRPr="00B83D6A">
          <w:rPr>
            <w:szCs w:val="24"/>
          </w:rPr>
          <w:fldChar w:fldCharType="separate"/>
        </w:r>
        <w:r w:rsidRPr="00B83D6A">
          <w:rPr>
            <w:noProof/>
            <w:szCs w:val="24"/>
          </w:rPr>
          <w:t>2</w:t>
        </w:r>
        <w:r w:rsidRPr="00B83D6A">
          <w:rPr>
            <w:noProof/>
            <w:szCs w:val="24"/>
          </w:rPr>
          <w:fldChar w:fldCharType="end"/>
        </w:r>
      </w:p>
    </w:sdtContent>
  </w:sdt>
  <w:p w:rsidR="00AB3A1A" w14:paraId="7E1719C8" w14:textId="77777777">
    <w:pPr>
      <w:pStyle w:val="Footer"/>
    </w:pPr>
  </w:p>
  <w:p w:rsidR="00AB3A1A" w14:paraId="57450F6E" w14:textId="77777777"/>
  <w:p w:rsidR="00AB3A1A" w14:paraId="0F6DDFE2" w14:textId="77777777">
    <w:pPr>
      <w:tabs>
        <w:tab w:val="left" w:pos="5580"/>
      </w:tabs>
    </w:pPr>
    <w:r>
      <w:tab/>
    </w:r>
  </w:p>
  <w:p w:rsidR="00AB3A1A" w14:paraId="05328A51"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1208671"/>
      <w:docPartObj>
        <w:docPartGallery w:val="Page Numbers (Bottom of Page)"/>
        <w:docPartUnique/>
      </w:docPartObj>
    </w:sdtPr>
    <w:sdtEndPr>
      <w:rPr>
        <w:noProof/>
        <w:sz w:val="24"/>
        <w:szCs w:val="24"/>
      </w:rPr>
    </w:sdtEndPr>
    <w:sdtContent>
      <w:p w:rsidR="009A5038" w:rsidRPr="00125EF4" w:rsidP="009E391F" w14:paraId="0C814354" w14:textId="1B5A9873">
        <w:pPr>
          <w:pStyle w:val="Footer"/>
          <w:jc w:val="center"/>
          <w:rPr>
            <w:sz w:val="24"/>
            <w:szCs w:val="24"/>
          </w:rPr>
        </w:pPr>
        <w:r>
          <w:rPr>
            <w:sz w:val="24"/>
            <w:szCs w:val="24"/>
          </w:rPr>
          <w:t>C</w:t>
        </w:r>
        <w:r w:rsidRPr="00B83D6A">
          <w:rPr>
            <w:sz w:val="24"/>
            <w:szCs w:val="24"/>
          </w:rPr>
          <w:t>-</w:t>
        </w:r>
        <w:r w:rsidRPr="00B83D6A">
          <w:rPr>
            <w:sz w:val="24"/>
            <w:szCs w:val="24"/>
          </w:rPr>
          <w:fldChar w:fldCharType="begin"/>
        </w:r>
        <w:r w:rsidRPr="00B83D6A">
          <w:rPr>
            <w:sz w:val="24"/>
            <w:szCs w:val="24"/>
          </w:rPr>
          <w:instrText xml:space="preserve"> PAGE   \* MERGEFORMAT </w:instrText>
        </w:r>
        <w:r w:rsidRPr="00B83D6A">
          <w:rPr>
            <w:sz w:val="24"/>
            <w:szCs w:val="24"/>
          </w:rPr>
          <w:fldChar w:fldCharType="separate"/>
        </w:r>
        <w:r w:rsidRPr="00B83D6A">
          <w:rPr>
            <w:noProof/>
            <w:sz w:val="24"/>
            <w:szCs w:val="24"/>
          </w:rPr>
          <w:t>2</w:t>
        </w:r>
        <w:r w:rsidRPr="00B83D6A">
          <w:rPr>
            <w:noProof/>
            <w:sz w:val="24"/>
            <w:szCs w:val="24"/>
          </w:rPr>
          <w:fldChar w:fldCharType="end"/>
        </w:r>
      </w:p>
    </w:sdtContent>
  </w:sdt>
  <w:p w:rsidR="009A5038" w14:paraId="5600A57C" w14:textId="77777777">
    <w:pPr>
      <w:pStyle w:val="Footer"/>
    </w:pPr>
  </w:p>
  <w:p w:rsidR="009A5038" w14:paraId="71D97A2F" w14:textId="77777777"/>
  <w:p w:rsidR="009A5038" w:rsidP="009E391F" w14:paraId="3F314BBE" w14:textId="77777777">
    <w:pPr>
      <w:tabs>
        <w:tab w:val="left" w:pos="5580"/>
      </w:tabs>
    </w:pPr>
    <w:r>
      <w:tab/>
    </w:r>
  </w:p>
  <w:p w:rsidR="009A5038" w14:paraId="61339CC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422F" w14:paraId="2256E1CA" w14:textId="77777777">
      <w:r>
        <w:separator/>
      </w:r>
    </w:p>
  </w:footnote>
  <w:footnote w:type="continuationSeparator" w:id="1">
    <w:p w:rsidR="0092422F" w14:paraId="58881592" w14:textId="77777777">
      <w:r>
        <w:continuationSeparator/>
      </w:r>
    </w:p>
  </w:footnote>
  <w:footnote w:type="continuationNotice" w:id="2">
    <w:p w:rsidR="0092422F" w14:paraId="43711C08" w14:textId="77777777"/>
  </w:footnote>
  <w:footnote w:id="3">
    <w:p w:rsidR="00E60E98" w:rsidP="0007083A" w14:paraId="3C75707F" w14:textId="02178565">
      <w:r>
        <w:rPr>
          <w:rStyle w:val="FootnoteReference"/>
        </w:rPr>
        <w:footnoteRef/>
      </w:r>
      <w:r>
        <w:t xml:space="preserve"> </w:t>
      </w:r>
      <w:r w:rsidRPr="00B3647A">
        <w:rPr>
          <w:sz w:val="22"/>
          <w:szCs w:val="22"/>
        </w:rPr>
        <w:t xml:space="preserve">For example, </w:t>
      </w:r>
      <w:r w:rsidR="00C37DE2">
        <w:rPr>
          <w:sz w:val="22"/>
          <w:szCs w:val="22"/>
        </w:rPr>
        <w:t>40 CFR</w:t>
      </w:r>
      <w:r w:rsidRPr="00B3647A">
        <w:rPr>
          <w:sz w:val="22"/>
          <w:szCs w:val="22"/>
        </w:rPr>
        <w:t xml:space="preserve"> 60.5420</w:t>
      </w:r>
      <w:r>
        <w:rPr>
          <w:sz w:val="22"/>
          <w:szCs w:val="22"/>
        </w:rPr>
        <w:t>b</w:t>
      </w:r>
      <w:r w:rsidRPr="00B3647A">
        <w:rPr>
          <w:sz w:val="22"/>
          <w:szCs w:val="22"/>
        </w:rPr>
        <w:t>(a)(2) states that “</w:t>
      </w:r>
      <w:r w:rsidRPr="00187AEA">
        <w:rPr>
          <w:sz w:val="22"/>
          <w:szCs w:val="22"/>
        </w:rPr>
        <w:t>If you are subject to state regulations that require advance notification of well completions and you have met those notification requirements, then you are considered to have met the advance notification requirements of this paragraph.</w:t>
      </w:r>
      <w:r>
        <w:rPr>
          <w:sz w:val="22"/>
          <w:szCs w:val="22"/>
        </w:rPr>
        <w:t>”</w:t>
      </w:r>
    </w:p>
  </w:footnote>
  <w:footnote w:id="4">
    <w:p w:rsidR="009D5A3F" w:rsidP="009D5A3F" w14:paraId="4C90BBBD" w14:textId="77777777">
      <w:pPr>
        <w:pStyle w:val="FootnoteText"/>
      </w:pPr>
      <w:r>
        <w:rPr>
          <w:rStyle w:val="FootnoteReference"/>
        </w:rPr>
        <w:footnoteRef/>
      </w:r>
      <w:r>
        <w:t xml:space="preserve"> This table is not intended to be exhaustive, but rather represents a summary of potential notification, recordkeeping and reporting requirements affected facilities under proposed NSPS </w:t>
      </w:r>
      <w:r>
        <w:t>OOOOb</w:t>
      </w:r>
      <w:r>
        <w:t xml:space="preserve"> could be subject to. Other notification, recordkeeping, and reporting requirements not listed in this table could also be required as specified in the proposed rule at 60.5320b(a)-(c).</w:t>
      </w:r>
    </w:p>
  </w:footnote>
  <w:footnote w:id="5">
    <w:p w:rsidR="00FE63B2" w:rsidP="00FE63B2" w14:paraId="3C6A0240" w14:textId="2C248D7C">
      <w:r>
        <w:rPr>
          <w:rStyle w:val="FootnoteReference"/>
        </w:rPr>
        <w:footnoteRef/>
      </w:r>
      <w:r>
        <w:t xml:space="preserve"> </w:t>
      </w:r>
      <w:r w:rsidR="00091344">
        <w:t xml:space="preserve">The three-year projection </w:t>
      </w:r>
      <w:r w:rsidR="00503C44">
        <w:t>include</w:t>
      </w:r>
      <w:r w:rsidR="005C4D8B">
        <w:t>s</w:t>
      </w:r>
      <w:r w:rsidR="00503C44">
        <w:t xml:space="preserve"> </w:t>
      </w:r>
      <w:r w:rsidR="005C4D8B">
        <w:t xml:space="preserve">some </w:t>
      </w:r>
      <w:r w:rsidR="00503C44">
        <w:t>n</w:t>
      </w:r>
      <w:r w:rsidR="00091344">
        <w:t xml:space="preserve">ew sources for </w:t>
      </w:r>
      <w:r w:rsidR="00043368">
        <w:t xml:space="preserve">2021 and </w:t>
      </w:r>
      <w:r>
        <w:t xml:space="preserve">2022 </w:t>
      </w:r>
      <w:r w:rsidR="00091344">
        <w:t xml:space="preserve">since </w:t>
      </w:r>
      <w:r>
        <w:t xml:space="preserve">40 CFR part 60, subpart </w:t>
      </w:r>
      <w:r w:rsidR="00091344">
        <w:t>OOOOb</w:t>
      </w:r>
      <w:r w:rsidR="00091344">
        <w:t xml:space="preserve"> would be in effect</w:t>
      </w:r>
      <w:r>
        <w:t xml:space="preserve"> </w:t>
      </w:r>
      <w:r w:rsidR="00C85420">
        <w:t>for</w:t>
      </w:r>
      <w:r>
        <w:t xml:space="preserve"> new sources </w:t>
      </w:r>
      <w:r w:rsidR="008E2325">
        <w:t xml:space="preserve">for which construction, modification or reconstruction commenced after </w:t>
      </w:r>
      <w:r w:rsidR="005C4D8B">
        <w:t>November 15,</w:t>
      </w:r>
      <w:r w:rsidR="008E2325">
        <w:t xml:space="preserve"> 2021</w:t>
      </w:r>
      <w:r w:rsidR="00C85420">
        <w:t>.</w:t>
      </w:r>
      <w:r w:rsidR="00091344">
        <w:t xml:space="preserve"> </w:t>
      </w:r>
    </w:p>
    <w:p w:rsidR="0062103A" w:rsidP="00091344" w14:paraId="0964DDBE" w14:textId="3245D500">
      <w:pPr>
        <w:pStyle w:val="FootnoteText"/>
      </w:pPr>
    </w:p>
  </w:footnote>
  <w:footnote w:id="6">
    <w:p w:rsidR="00AB3A1A" w:rsidP="00AB3A1A" w14:paraId="5851AA54" w14:textId="77777777">
      <w:pPr>
        <w:pStyle w:val="FootnoteText"/>
      </w:pPr>
      <w:r>
        <w:rPr>
          <w:rStyle w:val="FootnoteReference"/>
        </w:rPr>
        <w:footnoteRef/>
      </w:r>
      <w:r>
        <w:t xml:space="preserve"> </w:t>
      </w:r>
      <w:r>
        <w:rPr>
          <w:bCs/>
          <w:szCs w:val="24"/>
        </w:rPr>
        <w:t>T</w:t>
      </w:r>
      <w:r w:rsidRPr="00FE3E4D">
        <w:rPr>
          <w:bCs/>
          <w:szCs w:val="24"/>
        </w:rPr>
        <w:t>h</w:t>
      </w:r>
      <w:r>
        <w:rPr>
          <w:bCs/>
          <w:szCs w:val="24"/>
        </w:rPr>
        <w:t xml:space="preserve">e proposed emission guidelines </w:t>
      </w:r>
      <w:r w:rsidRPr="00FE3E4D">
        <w:rPr>
          <w:bCs/>
          <w:szCs w:val="24"/>
        </w:rPr>
        <w:t xml:space="preserve">impose </w:t>
      </w:r>
      <w:r>
        <w:rPr>
          <w:bCs/>
          <w:szCs w:val="24"/>
        </w:rPr>
        <w:t>no</w:t>
      </w:r>
      <w:r w:rsidRPr="00FE3E4D">
        <w:rPr>
          <w:bCs/>
          <w:szCs w:val="24"/>
        </w:rPr>
        <w:t xml:space="preserve"> new information collection burden on </w:t>
      </w:r>
      <w:r>
        <w:rPr>
          <w:szCs w:val="24"/>
        </w:rPr>
        <w:t xml:space="preserve">oil and natural gas facilities </w:t>
      </w:r>
      <w:r w:rsidRPr="00E4481C">
        <w:t>during the 3</w:t>
      </w:r>
      <w:r>
        <w:t>-</w:t>
      </w:r>
      <w:r w:rsidRPr="00E4481C">
        <w:t>year</w:t>
      </w:r>
      <w:r>
        <w:t xml:space="preserve"> period of this ICR. The earliest timeframe for designated facilities to be in compliance is estimated to be </w:t>
      </w:r>
      <w:r>
        <w:rPr>
          <w:rFonts w:cstheme="minorHAnsi"/>
          <w:color w:val="000000"/>
        </w:rPr>
        <w:t>December 31, 2027. A conservatively high estimate of t</w:t>
      </w:r>
      <w:r w:rsidRPr="003620D8">
        <w:rPr>
          <w:rFonts w:cstheme="minorHAnsi"/>
          <w:color w:val="000000"/>
        </w:rPr>
        <w:t xml:space="preserve">he annual burden for industry is estimated to be </w:t>
      </w:r>
      <w:r>
        <w:rPr>
          <w:rFonts w:cstheme="minorHAnsi"/>
          <w:color w:val="000000"/>
        </w:rPr>
        <w:t xml:space="preserve">around </w:t>
      </w:r>
      <w:r w:rsidRPr="003620D8">
        <w:rPr>
          <w:rFonts w:cstheme="minorHAnsi"/>
          <w:color w:val="000000"/>
        </w:rPr>
        <w:t xml:space="preserve">2 million </w:t>
      </w:r>
      <w:r>
        <w:rPr>
          <w:rFonts w:cstheme="minorHAnsi"/>
          <w:color w:val="000000"/>
        </w:rPr>
        <w:t xml:space="preserve">labor </w:t>
      </w:r>
      <w:r w:rsidRPr="003620D8">
        <w:rPr>
          <w:rFonts w:cstheme="minorHAnsi"/>
          <w:color w:val="000000"/>
        </w:rPr>
        <w:t>hours at a total annual labor cost of $166 millio</w:t>
      </w:r>
      <w:r>
        <w:rPr>
          <w:rFonts w:cstheme="minorHAnsi"/>
          <w:color w:val="000000"/>
        </w:rPr>
        <w:t>n in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91F" w:rsidP="00FC37EC" w14:paraId="10AF07C4" w14:textId="28037ED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A14" w:rsidP="00D614F6" w14:paraId="54595CB2" w14:textId="50BBF1AE">
    <w:pPr>
      <w:jc w:val="center"/>
      <w:rPr>
        <w:b/>
        <w:i/>
      </w:rPr>
    </w:pPr>
    <w:r w:rsidRPr="00F076CE">
      <w:tab/>
    </w:r>
  </w:p>
  <w:p w:rsidR="00F165D5" w:rsidP="00450A14" w14:paraId="39DC6E36" w14:textId="0345F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abstractNum w:abstractNumId="10">
    <w:nsid w:val="02F81BE3"/>
    <w:multiLevelType w:val="hybridMultilevel"/>
    <w:tmpl w:val="8F3A362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06BD2CF6"/>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8C473DF"/>
    <w:multiLevelType w:val="hybridMultilevel"/>
    <w:tmpl w:val="E9809B72"/>
    <w:lvl w:ilvl="0">
      <w:start w:val="1"/>
      <w:numFmt w:val="bullet"/>
      <w:lvlText w:val=""/>
      <w:lvlJc w:val="left"/>
      <w:pPr>
        <w:ind w:left="576" w:hanging="288"/>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9675D5C"/>
    <w:multiLevelType w:val="hybridMultilevel"/>
    <w:tmpl w:val="C452254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0AF80E56"/>
    <w:multiLevelType w:val="hybridMultilevel"/>
    <w:tmpl w:val="518CF696"/>
    <w:lvl w:ilvl="0">
      <w:start w:val="1"/>
      <w:numFmt w:val="bullet"/>
      <w:lvlText w:val=""/>
      <w:lvlJc w:val="left"/>
      <w:pPr>
        <w:ind w:left="576" w:hanging="288"/>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C6C39AC"/>
    <w:multiLevelType w:val="hybridMultilevel"/>
    <w:tmpl w:val="74E285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12F77CC"/>
    <w:multiLevelType w:val="hybridMultilevel"/>
    <w:tmpl w:val="E0D04696"/>
    <w:lvl w:ilvl="0">
      <w:start w:val="1"/>
      <w:numFmt w:val="decimal"/>
      <w:lvlText w:val="(%1)"/>
      <w:lvlJc w:val="left"/>
      <w:pPr>
        <w:ind w:left="720" w:hanging="720"/>
      </w:pPr>
      <w:rPr>
        <w:rFonts w:ascii="Courier New" w:eastAsia="Calibri" w:hAnsi="Courier New" w:cs="Courier New"/>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4414253"/>
    <w:multiLevelType w:val="hybridMultilevel"/>
    <w:tmpl w:val="E9B4619A"/>
    <w:lvl w:ilvl="0">
      <w:start w:val="1"/>
      <w:numFmt w:val="bullet"/>
      <w:lvlText w:val=""/>
      <w:lvlJc w:val="left"/>
      <w:pPr>
        <w:tabs>
          <w:tab w:val="num" w:pos="2805"/>
        </w:tabs>
        <w:ind w:left="2805" w:hanging="1365"/>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19981D9C"/>
    <w:multiLevelType w:val="hybridMultilevel"/>
    <w:tmpl w:val="393C1A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9">
    <w:nsid w:val="1F287D5E"/>
    <w:multiLevelType w:val="hybridMultilevel"/>
    <w:tmpl w:val="5AC80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E223BB"/>
    <w:multiLevelType w:val="hybridMultilevel"/>
    <w:tmpl w:val="E24875C0"/>
    <w:lvl w:ilvl="0">
      <w:start w:val="1"/>
      <w:numFmt w:val="bullet"/>
      <w:lvlText w:val=""/>
      <w:lvlJc w:val="left"/>
      <w:pPr>
        <w:ind w:left="1512" w:hanging="122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621038"/>
    <w:multiLevelType w:val="hybridMultilevel"/>
    <w:tmpl w:val="A10E1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5BD4E93"/>
    <w:multiLevelType w:val="hybridMultilevel"/>
    <w:tmpl w:val="3E48A720"/>
    <w:lvl w:ilvl="0">
      <w:start w:val="1"/>
      <w:numFmt w:val="bullet"/>
      <w:lvlText w:val=""/>
      <w:lvlJc w:val="left"/>
      <w:pPr>
        <w:ind w:left="1557" w:hanging="360"/>
      </w:pPr>
      <w:rPr>
        <w:rFonts w:ascii="Symbol" w:hAnsi="Symbol" w:hint="default"/>
      </w:rPr>
    </w:lvl>
    <w:lvl w:ilvl="1" w:tentative="1">
      <w:start w:val="1"/>
      <w:numFmt w:val="bullet"/>
      <w:lvlText w:val="o"/>
      <w:lvlJc w:val="left"/>
      <w:pPr>
        <w:ind w:left="2277" w:hanging="360"/>
      </w:pPr>
      <w:rPr>
        <w:rFonts w:ascii="Courier New" w:hAnsi="Courier New" w:cs="Courier New" w:hint="default"/>
      </w:rPr>
    </w:lvl>
    <w:lvl w:ilvl="2" w:tentative="1">
      <w:start w:val="1"/>
      <w:numFmt w:val="bullet"/>
      <w:lvlText w:val=""/>
      <w:lvlJc w:val="left"/>
      <w:pPr>
        <w:ind w:left="2997" w:hanging="360"/>
      </w:pPr>
      <w:rPr>
        <w:rFonts w:ascii="Wingdings" w:hAnsi="Wingdings" w:hint="default"/>
      </w:rPr>
    </w:lvl>
    <w:lvl w:ilvl="3" w:tentative="1">
      <w:start w:val="1"/>
      <w:numFmt w:val="bullet"/>
      <w:lvlText w:val=""/>
      <w:lvlJc w:val="left"/>
      <w:pPr>
        <w:ind w:left="3717" w:hanging="360"/>
      </w:pPr>
      <w:rPr>
        <w:rFonts w:ascii="Symbol" w:hAnsi="Symbol" w:hint="default"/>
      </w:rPr>
    </w:lvl>
    <w:lvl w:ilvl="4" w:tentative="1">
      <w:start w:val="1"/>
      <w:numFmt w:val="bullet"/>
      <w:lvlText w:val="o"/>
      <w:lvlJc w:val="left"/>
      <w:pPr>
        <w:ind w:left="4437" w:hanging="360"/>
      </w:pPr>
      <w:rPr>
        <w:rFonts w:ascii="Courier New" w:hAnsi="Courier New" w:cs="Courier New" w:hint="default"/>
      </w:rPr>
    </w:lvl>
    <w:lvl w:ilvl="5" w:tentative="1">
      <w:start w:val="1"/>
      <w:numFmt w:val="bullet"/>
      <w:lvlText w:val=""/>
      <w:lvlJc w:val="left"/>
      <w:pPr>
        <w:ind w:left="5157" w:hanging="360"/>
      </w:pPr>
      <w:rPr>
        <w:rFonts w:ascii="Wingdings" w:hAnsi="Wingdings" w:hint="default"/>
      </w:rPr>
    </w:lvl>
    <w:lvl w:ilvl="6" w:tentative="1">
      <w:start w:val="1"/>
      <w:numFmt w:val="bullet"/>
      <w:lvlText w:val=""/>
      <w:lvlJc w:val="left"/>
      <w:pPr>
        <w:ind w:left="5877" w:hanging="360"/>
      </w:pPr>
      <w:rPr>
        <w:rFonts w:ascii="Symbol" w:hAnsi="Symbol" w:hint="default"/>
      </w:rPr>
    </w:lvl>
    <w:lvl w:ilvl="7" w:tentative="1">
      <w:start w:val="1"/>
      <w:numFmt w:val="bullet"/>
      <w:lvlText w:val="o"/>
      <w:lvlJc w:val="left"/>
      <w:pPr>
        <w:ind w:left="6597" w:hanging="360"/>
      </w:pPr>
      <w:rPr>
        <w:rFonts w:ascii="Courier New" w:hAnsi="Courier New" w:cs="Courier New" w:hint="default"/>
      </w:rPr>
    </w:lvl>
    <w:lvl w:ilvl="8" w:tentative="1">
      <w:start w:val="1"/>
      <w:numFmt w:val="bullet"/>
      <w:lvlText w:val=""/>
      <w:lvlJc w:val="left"/>
      <w:pPr>
        <w:ind w:left="7317" w:hanging="360"/>
      </w:pPr>
      <w:rPr>
        <w:rFonts w:ascii="Wingdings" w:hAnsi="Wingdings" w:hint="default"/>
      </w:rPr>
    </w:lvl>
  </w:abstractNum>
  <w:abstractNum w:abstractNumId="23">
    <w:nsid w:val="3A8A6E79"/>
    <w:multiLevelType w:val="hybridMultilevel"/>
    <w:tmpl w:val="CD8A9C1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3E242FA1"/>
    <w:multiLevelType w:val="hybridMultilevel"/>
    <w:tmpl w:val="64B4EC30"/>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6F60903"/>
    <w:multiLevelType w:val="hybridMultilevel"/>
    <w:tmpl w:val="7DC2EA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C206CA"/>
    <w:multiLevelType w:val="hybridMultilevel"/>
    <w:tmpl w:val="3C90D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346D7A"/>
    <w:multiLevelType w:val="hybridMultilevel"/>
    <w:tmpl w:val="51C2E55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D58506C"/>
    <w:multiLevelType w:val="hybridMultilevel"/>
    <w:tmpl w:val="EDF8F6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FC4219E"/>
    <w:multiLevelType w:val="hybridMultilevel"/>
    <w:tmpl w:val="A268D92C"/>
    <w:lvl w:ilvl="0">
      <w:start w:val="1"/>
      <w:numFmt w:val="bullet"/>
      <w:lvlText w:val=""/>
      <w:lvlJc w:val="left"/>
      <w:pPr>
        <w:ind w:left="21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D371F2"/>
    <w:multiLevelType w:val="multilevel"/>
    <w:tmpl w:val="882A2E14"/>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152"/>
        </w:tabs>
        <w:ind w:left="1152" w:hanging="432"/>
      </w:pPr>
      <w:rPr>
        <w:rFonts w:hint="default"/>
      </w:rPr>
    </w:lvl>
    <w:lvl w:ilvl="2">
      <w:start w:val="1"/>
      <w:numFmt w:val="lowerRoman"/>
      <w:lvlText w:val="%3)"/>
      <w:lvlJc w:val="left"/>
      <w:pPr>
        <w:tabs>
          <w:tab w:val="num" w:pos="1872"/>
        </w:tabs>
        <w:ind w:left="1872" w:hanging="432"/>
      </w:pPr>
      <w:rPr>
        <w:rFonts w:hint="default"/>
      </w:rPr>
    </w:lvl>
    <w:lvl w:ilvl="3">
      <w:start w:val="1"/>
      <w:numFmt w:val="upperLetter"/>
      <w:lvlText w:val="%4)"/>
      <w:lvlJc w:val="left"/>
      <w:pPr>
        <w:tabs>
          <w:tab w:val="num" w:pos="1872"/>
        </w:tabs>
        <w:ind w:left="1872" w:hanging="432"/>
      </w:pPr>
      <w:rPr>
        <w:rFonts w:hint="default"/>
        <w:sz w:val="24"/>
        <w:szCs w:val="24"/>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9BC6BE5"/>
    <w:multiLevelType w:val="multilevel"/>
    <w:tmpl w:val="F16E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ABC5B19"/>
    <w:multiLevelType w:val="hybridMultilevel"/>
    <w:tmpl w:val="524CC5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04683192">
    <w:abstractNumId w:val="17"/>
  </w:num>
  <w:num w:numId="2" w16cid:durableId="46808146">
    <w:abstractNumId w:val="10"/>
  </w:num>
  <w:num w:numId="3" w16cid:durableId="295528223">
    <w:abstractNumId w:val="16"/>
  </w:num>
  <w:num w:numId="4" w16cid:durableId="1721779939">
    <w:abstractNumId w:val="24"/>
  </w:num>
  <w:num w:numId="5" w16cid:durableId="1500149018">
    <w:abstractNumId w:val="23"/>
  </w:num>
  <w:num w:numId="6" w16cid:durableId="1203248402">
    <w:abstractNumId w:val="11"/>
  </w:num>
  <w:num w:numId="7" w16cid:durableId="894003037">
    <w:abstractNumId w:val="28"/>
  </w:num>
  <w:num w:numId="8" w16cid:durableId="1839078005">
    <w:abstractNumId w:val="30"/>
  </w:num>
  <w:num w:numId="9" w16cid:durableId="1292051556">
    <w:abstractNumId w:val="13"/>
  </w:num>
  <w:num w:numId="10" w16cid:durableId="1634555439">
    <w:abstractNumId w:val="22"/>
  </w:num>
  <w:num w:numId="11" w16cid:durableId="457534893">
    <w:abstractNumId w:val="19"/>
  </w:num>
  <w:num w:numId="12" w16cid:durableId="2010674796">
    <w:abstractNumId w:val="31"/>
  </w:num>
  <w:num w:numId="13" w16cid:durableId="554439173">
    <w:abstractNumId w:val="26"/>
  </w:num>
  <w:num w:numId="14" w16cid:durableId="9572622">
    <w:abstractNumId w:val="20"/>
  </w:num>
  <w:num w:numId="15" w16cid:durableId="1914074163">
    <w:abstractNumId w:val="29"/>
  </w:num>
  <w:num w:numId="16" w16cid:durableId="1996450930">
    <w:abstractNumId w:val="14"/>
  </w:num>
  <w:num w:numId="17" w16cid:durableId="670060690">
    <w:abstractNumId w:val="12"/>
  </w:num>
  <w:num w:numId="18" w16cid:durableId="141508048">
    <w:abstractNumId w:val="9"/>
  </w:num>
  <w:num w:numId="19" w16cid:durableId="432433897">
    <w:abstractNumId w:val="7"/>
  </w:num>
  <w:num w:numId="20" w16cid:durableId="1029181102">
    <w:abstractNumId w:val="6"/>
  </w:num>
  <w:num w:numId="21" w16cid:durableId="1446846258">
    <w:abstractNumId w:val="5"/>
  </w:num>
  <w:num w:numId="22" w16cid:durableId="1983651448">
    <w:abstractNumId w:val="4"/>
  </w:num>
  <w:num w:numId="23" w16cid:durableId="169223512">
    <w:abstractNumId w:val="8"/>
  </w:num>
  <w:num w:numId="24" w16cid:durableId="1772508184">
    <w:abstractNumId w:val="3"/>
  </w:num>
  <w:num w:numId="25" w16cid:durableId="1375692042">
    <w:abstractNumId w:val="2"/>
  </w:num>
  <w:num w:numId="26" w16cid:durableId="1948536359">
    <w:abstractNumId w:val="1"/>
  </w:num>
  <w:num w:numId="27" w16cid:durableId="1768043532">
    <w:abstractNumId w:val="0"/>
  </w:num>
  <w:num w:numId="28" w16cid:durableId="1709336402">
    <w:abstractNumId w:val="18"/>
  </w:num>
  <w:num w:numId="29" w16cid:durableId="183372971">
    <w:abstractNumId w:val="15"/>
  </w:num>
  <w:num w:numId="30" w16cid:durableId="588270694">
    <w:abstractNumId w:val="25"/>
  </w:num>
  <w:num w:numId="31" w16cid:durableId="651182648">
    <w:abstractNumId w:val="27"/>
  </w:num>
  <w:num w:numId="32" w16cid:durableId="322516531">
    <w:abstractNumId w:val="32"/>
  </w:num>
  <w:num w:numId="33" w16cid:durableId="2058764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00"/>
    <w:rsid w:val="00000FBA"/>
    <w:rsid w:val="00001A80"/>
    <w:rsid w:val="00001AC4"/>
    <w:rsid w:val="00001CA7"/>
    <w:rsid w:val="000024C5"/>
    <w:rsid w:val="00002AB6"/>
    <w:rsid w:val="000034FD"/>
    <w:rsid w:val="0000382F"/>
    <w:rsid w:val="0000395B"/>
    <w:rsid w:val="00003975"/>
    <w:rsid w:val="000040F2"/>
    <w:rsid w:val="00004816"/>
    <w:rsid w:val="00004B20"/>
    <w:rsid w:val="00004CB9"/>
    <w:rsid w:val="00005784"/>
    <w:rsid w:val="000057B3"/>
    <w:rsid w:val="00006A0A"/>
    <w:rsid w:val="00006CC3"/>
    <w:rsid w:val="00006DE0"/>
    <w:rsid w:val="00006EDD"/>
    <w:rsid w:val="00006FE0"/>
    <w:rsid w:val="0000778C"/>
    <w:rsid w:val="00007AD6"/>
    <w:rsid w:val="00007C44"/>
    <w:rsid w:val="00007EF8"/>
    <w:rsid w:val="00007F76"/>
    <w:rsid w:val="00010371"/>
    <w:rsid w:val="00011E22"/>
    <w:rsid w:val="00012BA2"/>
    <w:rsid w:val="00012CD8"/>
    <w:rsid w:val="00013263"/>
    <w:rsid w:val="00013966"/>
    <w:rsid w:val="00013E82"/>
    <w:rsid w:val="00014C23"/>
    <w:rsid w:val="00014F88"/>
    <w:rsid w:val="00015821"/>
    <w:rsid w:val="00015AED"/>
    <w:rsid w:val="00016B33"/>
    <w:rsid w:val="0002054A"/>
    <w:rsid w:val="00020FF9"/>
    <w:rsid w:val="00021002"/>
    <w:rsid w:val="00021695"/>
    <w:rsid w:val="00021ACE"/>
    <w:rsid w:val="00021FC5"/>
    <w:rsid w:val="00023D9E"/>
    <w:rsid w:val="00023DEC"/>
    <w:rsid w:val="00023EE7"/>
    <w:rsid w:val="000263D3"/>
    <w:rsid w:val="00026B17"/>
    <w:rsid w:val="00027286"/>
    <w:rsid w:val="0002734E"/>
    <w:rsid w:val="00027480"/>
    <w:rsid w:val="00030416"/>
    <w:rsid w:val="000306F8"/>
    <w:rsid w:val="00031FE4"/>
    <w:rsid w:val="0003292F"/>
    <w:rsid w:val="00033F20"/>
    <w:rsid w:val="00034A54"/>
    <w:rsid w:val="00034F3C"/>
    <w:rsid w:val="00035DE7"/>
    <w:rsid w:val="00035FC2"/>
    <w:rsid w:val="00036137"/>
    <w:rsid w:val="0003757A"/>
    <w:rsid w:val="000377C4"/>
    <w:rsid w:val="00037D8F"/>
    <w:rsid w:val="00040F70"/>
    <w:rsid w:val="000414DE"/>
    <w:rsid w:val="00041BF8"/>
    <w:rsid w:val="00041EB2"/>
    <w:rsid w:val="00043114"/>
    <w:rsid w:val="00043368"/>
    <w:rsid w:val="000434CC"/>
    <w:rsid w:val="000440F8"/>
    <w:rsid w:val="00044445"/>
    <w:rsid w:val="00044741"/>
    <w:rsid w:val="00045A80"/>
    <w:rsid w:val="000473F5"/>
    <w:rsid w:val="00047BA5"/>
    <w:rsid w:val="00050961"/>
    <w:rsid w:val="00050A2E"/>
    <w:rsid w:val="00050F47"/>
    <w:rsid w:val="00051215"/>
    <w:rsid w:val="0005266C"/>
    <w:rsid w:val="00052D3A"/>
    <w:rsid w:val="00052D4F"/>
    <w:rsid w:val="000537B0"/>
    <w:rsid w:val="00053A89"/>
    <w:rsid w:val="00053AF3"/>
    <w:rsid w:val="00053C3C"/>
    <w:rsid w:val="00053C9C"/>
    <w:rsid w:val="00054C85"/>
    <w:rsid w:val="00054E70"/>
    <w:rsid w:val="00055341"/>
    <w:rsid w:val="000557B3"/>
    <w:rsid w:val="00056287"/>
    <w:rsid w:val="00056629"/>
    <w:rsid w:val="0005666C"/>
    <w:rsid w:val="00057935"/>
    <w:rsid w:val="00060B3B"/>
    <w:rsid w:val="00061A2B"/>
    <w:rsid w:val="00061EAA"/>
    <w:rsid w:val="0006200D"/>
    <w:rsid w:val="000620EB"/>
    <w:rsid w:val="000636FB"/>
    <w:rsid w:val="00063CC1"/>
    <w:rsid w:val="00063D76"/>
    <w:rsid w:val="000641FD"/>
    <w:rsid w:val="00064245"/>
    <w:rsid w:val="00064746"/>
    <w:rsid w:val="0006485B"/>
    <w:rsid w:val="00064BEF"/>
    <w:rsid w:val="00064CAB"/>
    <w:rsid w:val="00064D8B"/>
    <w:rsid w:val="00064DA9"/>
    <w:rsid w:val="0006580C"/>
    <w:rsid w:val="00065C8B"/>
    <w:rsid w:val="00066496"/>
    <w:rsid w:val="0006733F"/>
    <w:rsid w:val="00067EB9"/>
    <w:rsid w:val="0007083A"/>
    <w:rsid w:val="00070DD5"/>
    <w:rsid w:val="00070EB5"/>
    <w:rsid w:val="000713A9"/>
    <w:rsid w:val="00071778"/>
    <w:rsid w:val="000717FC"/>
    <w:rsid w:val="0007199D"/>
    <w:rsid w:val="000724BA"/>
    <w:rsid w:val="00072551"/>
    <w:rsid w:val="0007297E"/>
    <w:rsid w:val="00072A0B"/>
    <w:rsid w:val="00072C20"/>
    <w:rsid w:val="00073241"/>
    <w:rsid w:val="000738E9"/>
    <w:rsid w:val="000742C5"/>
    <w:rsid w:val="000745E4"/>
    <w:rsid w:val="00075004"/>
    <w:rsid w:val="000754FA"/>
    <w:rsid w:val="000766C8"/>
    <w:rsid w:val="000768BA"/>
    <w:rsid w:val="00076948"/>
    <w:rsid w:val="00077133"/>
    <w:rsid w:val="00077C5F"/>
    <w:rsid w:val="00080B30"/>
    <w:rsid w:val="0008237D"/>
    <w:rsid w:val="000838CE"/>
    <w:rsid w:val="0008449E"/>
    <w:rsid w:val="0008488C"/>
    <w:rsid w:val="0008590A"/>
    <w:rsid w:val="00085D37"/>
    <w:rsid w:val="000865F3"/>
    <w:rsid w:val="00086C45"/>
    <w:rsid w:val="00087908"/>
    <w:rsid w:val="00091344"/>
    <w:rsid w:val="00091396"/>
    <w:rsid w:val="00091880"/>
    <w:rsid w:val="00091EA0"/>
    <w:rsid w:val="000920C0"/>
    <w:rsid w:val="000923FE"/>
    <w:rsid w:val="00092691"/>
    <w:rsid w:val="00092E5D"/>
    <w:rsid w:val="000938C7"/>
    <w:rsid w:val="00094609"/>
    <w:rsid w:val="000947E7"/>
    <w:rsid w:val="00095CEF"/>
    <w:rsid w:val="00096D9B"/>
    <w:rsid w:val="00096E42"/>
    <w:rsid w:val="00096EB0"/>
    <w:rsid w:val="0009753D"/>
    <w:rsid w:val="000A04E6"/>
    <w:rsid w:val="000A065A"/>
    <w:rsid w:val="000A096B"/>
    <w:rsid w:val="000A12D7"/>
    <w:rsid w:val="000A295C"/>
    <w:rsid w:val="000A2EBB"/>
    <w:rsid w:val="000A392B"/>
    <w:rsid w:val="000A3E3C"/>
    <w:rsid w:val="000A4216"/>
    <w:rsid w:val="000A5720"/>
    <w:rsid w:val="000A6143"/>
    <w:rsid w:val="000A7175"/>
    <w:rsid w:val="000A72D1"/>
    <w:rsid w:val="000B07DC"/>
    <w:rsid w:val="000B0B37"/>
    <w:rsid w:val="000B1ED5"/>
    <w:rsid w:val="000B247C"/>
    <w:rsid w:val="000B2803"/>
    <w:rsid w:val="000B2F37"/>
    <w:rsid w:val="000B3A70"/>
    <w:rsid w:val="000B41BB"/>
    <w:rsid w:val="000B4806"/>
    <w:rsid w:val="000B562A"/>
    <w:rsid w:val="000B5C1A"/>
    <w:rsid w:val="000B66AC"/>
    <w:rsid w:val="000B6E9F"/>
    <w:rsid w:val="000B7551"/>
    <w:rsid w:val="000B75BD"/>
    <w:rsid w:val="000B7DDA"/>
    <w:rsid w:val="000C0CB0"/>
    <w:rsid w:val="000C1002"/>
    <w:rsid w:val="000C15AA"/>
    <w:rsid w:val="000C1AE7"/>
    <w:rsid w:val="000C1F43"/>
    <w:rsid w:val="000C29AF"/>
    <w:rsid w:val="000C3B9C"/>
    <w:rsid w:val="000C4BF9"/>
    <w:rsid w:val="000C4C54"/>
    <w:rsid w:val="000C5540"/>
    <w:rsid w:val="000C60F1"/>
    <w:rsid w:val="000C6F57"/>
    <w:rsid w:val="000C7890"/>
    <w:rsid w:val="000C7EA5"/>
    <w:rsid w:val="000D0282"/>
    <w:rsid w:val="000D077C"/>
    <w:rsid w:val="000D0841"/>
    <w:rsid w:val="000D0EC7"/>
    <w:rsid w:val="000D12CC"/>
    <w:rsid w:val="000D1B99"/>
    <w:rsid w:val="000D24CE"/>
    <w:rsid w:val="000D30EF"/>
    <w:rsid w:val="000D312D"/>
    <w:rsid w:val="000D4157"/>
    <w:rsid w:val="000D4209"/>
    <w:rsid w:val="000D51C6"/>
    <w:rsid w:val="000D54D0"/>
    <w:rsid w:val="000D581D"/>
    <w:rsid w:val="000D7153"/>
    <w:rsid w:val="000E0093"/>
    <w:rsid w:val="000E1131"/>
    <w:rsid w:val="000E1607"/>
    <w:rsid w:val="000E1838"/>
    <w:rsid w:val="000E3D52"/>
    <w:rsid w:val="000E5208"/>
    <w:rsid w:val="000E522B"/>
    <w:rsid w:val="000E60E0"/>
    <w:rsid w:val="000E65CA"/>
    <w:rsid w:val="000E6EF0"/>
    <w:rsid w:val="000E77FC"/>
    <w:rsid w:val="000E786D"/>
    <w:rsid w:val="000E7AE8"/>
    <w:rsid w:val="000F088E"/>
    <w:rsid w:val="000F0EC2"/>
    <w:rsid w:val="000F1FFE"/>
    <w:rsid w:val="000F2772"/>
    <w:rsid w:val="000F279A"/>
    <w:rsid w:val="000F2895"/>
    <w:rsid w:val="000F2E6E"/>
    <w:rsid w:val="000F2FC5"/>
    <w:rsid w:val="000F4071"/>
    <w:rsid w:val="000F4EBB"/>
    <w:rsid w:val="000F56DF"/>
    <w:rsid w:val="000F5B5C"/>
    <w:rsid w:val="000F5C51"/>
    <w:rsid w:val="000F62E0"/>
    <w:rsid w:val="000F64C5"/>
    <w:rsid w:val="000F7748"/>
    <w:rsid w:val="000F7993"/>
    <w:rsid w:val="00100121"/>
    <w:rsid w:val="0010028C"/>
    <w:rsid w:val="00100341"/>
    <w:rsid w:val="00100376"/>
    <w:rsid w:val="0010072D"/>
    <w:rsid w:val="00100D06"/>
    <w:rsid w:val="00100EF2"/>
    <w:rsid w:val="0010124C"/>
    <w:rsid w:val="00101720"/>
    <w:rsid w:val="00102571"/>
    <w:rsid w:val="00103605"/>
    <w:rsid w:val="00103644"/>
    <w:rsid w:val="00104612"/>
    <w:rsid w:val="001049BD"/>
    <w:rsid w:val="00104A8D"/>
    <w:rsid w:val="0010701D"/>
    <w:rsid w:val="00107BEC"/>
    <w:rsid w:val="00110132"/>
    <w:rsid w:val="001102D6"/>
    <w:rsid w:val="00110D2A"/>
    <w:rsid w:val="001114CB"/>
    <w:rsid w:val="0011196D"/>
    <w:rsid w:val="00112457"/>
    <w:rsid w:val="00113107"/>
    <w:rsid w:val="00113320"/>
    <w:rsid w:val="001133AE"/>
    <w:rsid w:val="001134A9"/>
    <w:rsid w:val="00113BED"/>
    <w:rsid w:val="001147ED"/>
    <w:rsid w:val="00114B37"/>
    <w:rsid w:val="001161E6"/>
    <w:rsid w:val="001172F7"/>
    <w:rsid w:val="00117687"/>
    <w:rsid w:val="00117747"/>
    <w:rsid w:val="00117C1C"/>
    <w:rsid w:val="00120CEE"/>
    <w:rsid w:val="00121840"/>
    <w:rsid w:val="0012184D"/>
    <w:rsid w:val="001219DE"/>
    <w:rsid w:val="00121B61"/>
    <w:rsid w:val="00122A9F"/>
    <w:rsid w:val="001236B6"/>
    <w:rsid w:val="00123B90"/>
    <w:rsid w:val="00123DB5"/>
    <w:rsid w:val="00125689"/>
    <w:rsid w:val="00125EF4"/>
    <w:rsid w:val="001262BA"/>
    <w:rsid w:val="00126356"/>
    <w:rsid w:val="001268C4"/>
    <w:rsid w:val="00126CB0"/>
    <w:rsid w:val="0012779B"/>
    <w:rsid w:val="00127F62"/>
    <w:rsid w:val="0013013F"/>
    <w:rsid w:val="00130373"/>
    <w:rsid w:val="001307DD"/>
    <w:rsid w:val="00131610"/>
    <w:rsid w:val="00131704"/>
    <w:rsid w:val="001317CC"/>
    <w:rsid w:val="001326A5"/>
    <w:rsid w:val="00132966"/>
    <w:rsid w:val="00133478"/>
    <w:rsid w:val="001336D4"/>
    <w:rsid w:val="00133C0E"/>
    <w:rsid w:val="001340C9"/>
    <w:rsid w:val="00134358"/>
    <w:rsid w:val="00134BAC"/>
    <w:rsid w:val="00134C83"/>
    <w:rsid w:val="0013507D"/>
    <w:rsid w:val="00135316"/>
    <w:rsid w:val="00135989"/>
    <w:rsid w:val="00135E97"/>
    <w:rsid w:val="00136608"/>
    <w:rsid w:val="00136E72"/>
    <w:rsid w:val="0013715B"/>
    <w:rsid w:val="00137949"/>
    <w:rsid w:val="00137AC5"/>
    <w:rsid w:val="00140B16"/>
    <w:rsid w:val="001410EA"/>
    <w:rsid w:val="00142083"/>
    <w:rsid w:val="00142A86"/>
    <w:rsid w:val="00142DED"/>
    <w:rsid w:val="0014348C"/>
    <w:rsid w:val="0014403D"/>
    <w:rsid w:val="00144DAD"/>
    <w:rsid w:val="00144F50"/>
    <w:rsid w:val="00145028"/>
    <w:rsid w:val="00145905"/>
    <w:rsid w:val="00145C92"/>
    <w:rsid w:val="00145E30"/>
    <w:rsid w:val="00146442"/>
    <w:rsid w:val="00146558"/>
    <w:rsid w:val="001469D1"/>
    <w:rsid w:val="00146E97"/>
    <w:rsid w:val="00146F0E"/>
    <w:rsid w:val="0015078C"/>
    <w:rsid w:val="00151344"/>
    <w:rsid w:val="00151EB3"/>
    <w:rsid w:val="00152E49"/>
    <w:rsid w:val="00152F5F"/>
    <w:rsid w:val="0015358B"/>
    <w:rsid w:val="00153634"/>
    <w:rsid w:val="00153D7B"/>
    <w:rsid w:val="0015431A"/>
    <w:rsid w:val="001544B4"/>
    <w:rsid w:val="00154E9E"/>
    <w:rsid w:val="001551F0"/>
    <w:rsid w:val="00155563"/>
    <w:rsid w:val="00155E0C"/>
    <w:rsid w:val="00155EC6"/>
    <w:rsid w:val="001567E7"/>
    <w:rsid w:val="00160158"/>
    <w:rsid w:val="00161F58"/>
    <w:rsid w:val="00162A70"/>
    <w:rsid w:val="00162DA8"/>
    <w:rsid w:val="00163980"/>
    <w:rsid w:val="00164194"/>
    <w:rsid w:val="001642A4"/>
    <w:rsid w:val="001646D0"/>
    <w:rsid w:val="0016695A"/>
    <w:rsid w:val="0016723B"/>
    <w:rsid w:val="00167746"/>
    <w:rsid w:val="0017013B"/>
    <w:rsid w:val="001702B4"/>
    <w:rsid w:val="00170351"/>
    <w:rsid w:val="001717C2"/>
    <w:rsid w:val="00171F44"/>
    <w:rsid w:val="00172007"/>
    <w:rsid w:val="00172199"/>
    <w:rsid w:val="001722FF"/>
    <w:rsid w:val="0017233E"/>
    <w:rsid w:val="0017299E"/>
    <w:rsid w:val="00173796"/>
    <w:rsid w:val="0017481D"/>
    <w:rsid w:val="00174AB2"/>
    <w:rsid w:val="00174CAF"/>
    <w:rsid w:val="00175564"/>
    <w:rsid w:val="0017590E"/>
    <w:rsid w:val="00175B0C"/>
    <w:rsid w:val="00176584"/>
    <w:rsid w:val="00176615"/>
    <w:rsid w:val="001778DF"/>
    <w:rsid w:val="00180148"/>
    <w:rsid w:val="00181E4F"/>
    <w:rsid w:val="001826BD"/>
    <w:rsid w:val="001833EA"/>
    <w:rsid w:val="00183697"/>
    <w:rsid w:val="00183DC6"/>
    <w:rsid w:val="00184644"/>
    <w:rsid w:val="0018562D"/>
    <w:rsid w:val="00185E2B"/>
    <w:rsid w:val="0018670C"/>
    <w:rsid w:val="001868F5"/>
    <w:rsid w:val="00186BDE"/>
    <w:rsid w:val="00187A1B"/>
    <w:rsid w:val="00187AEA"/>
    <w:rsid w:val="001902E6"/>
    <w:rsid w:val="001905E9"/>
    <w:rsid w:val="001907F4"/>
    <w:rsid w:val="00191687"/>
    <w:rsid w:val="00191CDD"/>
    <w:rsid w:val="00191DBD"/>
    <w:rsid w:val="001922C2"/>
    <w:rsid w:val="001928DF"/>
    <w:rsid w:val="001943A1"/>
    <w:rsid w:val="00194A23"/>
    <w:rsid w:val="00195F63"/>
    <w:rsid w:val="00196672"/>
    <w:rsid w:val="00196B8B"/>
    <w:rsid w:val="00197092"/>
    <w:rsid w:val="0019715E"/>
    <w:rsid w:val="0019779D"/>
    <w:rsid w:val="00197F45"/>
    <w:rsid w:val="001A1178"/>
    <w:rsid w:val="001A157C"/>
    <w:rsid w:val="001A1B4E"/>
    <w:rsid w:val="001A1B63"/>
    <w:rsid w:val="001A222B"/>
    <w:rsid w:val="001A22D1"/>
    <w:rsid w:val="001A2982"/>
    <w:rsid w:val="001A2EC2"/>
    <w:rsid w:val="001A37AD"/>
    <w:rsid w:val="001A4F7A"/>
    <w:rsid w:val="001A5E29"/>
    <w:rsid w:val="001A7133"/>
    <w:rsid w:val="001A71AA"/>
    <w:rsid w:val="001A7684"/>
    <w:rsid w:val="001A7C27"/>
    <w:rsid w:val="001B062F"/>
    <w:rsid w:val="001B0F25"/>
    <w:rsid w:val="001B1709"/>
    <w:rsid w:val="001B19B5"/>
    <w:rsid w:val="001B2362"/>
    <w:rsid w:val="001B2579"/>
    <w:rsid w:val="001B260A"/>
    <w:rsid w:val="001B380B"/>
    <w:rsid w:val="001B3ACD"/>
    <w:rsid w:val="001B3E33"/>
    <w:rsid w:val="001B4257"/>
    <w:rsid w:val="001B4546"/>
    <w:rsid w:val="001B49C5"/>
    <w:rsid w:val="001B535C"/>
    <w:rsid w:val="001B56E8"/>
    <w:rsid w:val="001B5CD9"/>
    <w:rsid w:val="001B6516"/>
    <w:rsid w:val="001B6837"/>
    <w:rsid w:val="001B6CCA"/>
    <w:rsid w:val="001B6E9C"/>
    <w:rsid w:val="001B7A59"/>
    <w:rsid w:val="001C007B"/>
    <w:rsid w:val="001C0F58"/>
    <w:rsid w:val="001C1202"/>
    <w:rsid w:val="001C15C1"/>
    <w:rsid w:val="001C25E1"/>
    <w:rsid w:val="001C2973"/>
    <w:rsid w:val="001C2BA0"/>
    <w:rsid w:val="001C4A8B"/>
    <w:rsid w:val="001C5BC0"/>
    <w:rsid w:val="001C62B2"/>
    <w:rsid w:val="001C63B3"/>
    <w:rsid w:val="001D08CE"/>
    <w:rsid w:val="001D0CA6"/>
    <w:rsid w:val="001D1522"/>
    <w:rsid w:val="001D1695"/>
    <w:rsid w:val="001D19D5"/>
    <w:rsid w:val="001D1CEB"/>
    <w:rsid w:val="001D1F9A"/>
    <w:rsid w:val="001D2A40"/>
    <w:rsid w:val="001D3A07"/>
    <w:rsid w:val="001D4110"/>
    <w:rsid w:val="001D4352"/>
    <w:rsid w:val="001D4EAC"/>
    <w:rsid w:val="001D671E"/>
    <w:rsid w:val="001D69E4"/>
    <w:rsid w:val="001D6AC5"/>
    <w:rsid w:val="001D6F64"/>
    <w:rsid w:val="001D7174"/>
    <w:rsid w:val="001D7707"/>
    <w:rsid w:val="001D7ADE"/>
    <w:rsid w:val="001E05A3"/>
    <w:rsid w:val="001E060E"/>
    <w:rsid w:val="001E075C"/>
    <w:rsid w:val="001E0902"/>
    <w:rsid w:val="001E0944"/>
    <w:rsid w:val="001E0E42"/>
    <w:rsid w:val="001E1183"/>
    <w:rsid w:val="001E1618"/>
    <w:rsid w:val="001E23DF"/>
    <w:rsid w:val="001E4CF7"/>
    <w:rsid w:val="001E60FA"/>
    <w:rsid w:val="001E6DE0"/>
    <w:rsid w:val="001E7395"/>
    <w:rsid w:val="001E7520"/>
    <w:rsid w:val="001E7799"/>
    <w:rsid w:val="001E79D4"/>
    <w:rsid w:val="001F0017"/>
    <w:rsid w:val="001F02ED"/>
    <w:rsid w:val="001F0916"/>
    <w:rsid w:val="001F09DA"/>
    <w:rsid w:val="001F18AF"/>
    <w:rsid w:val="001F1CC9"/>
    <w:rsid w:val="001F2B54"/>
    <w:rsid w:val="001F3434"/>
    <w:rsid w:val="001F351E"/>
    <w:rsid w:val="001F3B06"/>
    <w:rsid w:val="001F421B"/>
    <w:rsid w:val="001F68AD"/>
    <w:rsid w:val="001F6E53"/>
    <w:rsid w:val="001F7764"/>
    <w:rsid w:val="001F7D1B"/>
    <w:rsid w:val="001F7E95"/>
    <w:rsid w:val="001F7FD4"/>
    <w:rsid w:val="0020115C"/>
    <w:rsid w:val="00201893"/>
    <w:rsid w:val="00201FA5"/>
    <w:rsid w:val="00201FAC"/>
    <w:rsid w:val="0020244E"/>
    <w:rsid w:val="00202CB7"/>
    <w:rsid w:val="00202CEA"/>
    <w:rsid w:val="00204F4F"/>
    <w:rsid w:val="002050EB"/>
    <w:rsid w:val="00205E78"/>
    <w:rsid w:val="0020680B"/>
    <w:rsid w:val="00206CD9"/>
    <w:rsid w:val="00207304"/>
    <w:rsid w:val="00207D19"/>
    <w:rsid w:val="00207D23"/>
    <w:rsid w:val="00210069"/>
    <w:rsid w:val="002109C3"/>
    <w:rsid w:val="002118AC"/>
    <w:rsid w:val="00213D3E"/>
    <w:rsid w:val="002142C8"/>
    <w:rsid w:val="00214985"/>
    <w:rsid w:val="00216393"/>
    <w:rsid w:val="0021648C"/>
    <w:rsid w:val="00216DE9"/>
    <w:rsid w:val="0021710C"/>
    <w:rsid w:val="002179D0"/>
    <w:rsid w:val="00217CAA"/>
    <w:rsid w:val="00220420"/>
    <w:rsid w:val="00222001"/>
    <w:rsid w:val="0022225C"/>
    <w:rsid w:val="0022237D"/>
    <w:rsid w:val="00222A22"/>
    <w:rsid w:val="00223130"/>
    <w:rsid w:val="00223598"/>
    <w:rsid w:val="00224B92"/>
    <w:rsid w:val="00224BDD"/>
    <w:rsid w:val="00224C87"/>
    <w:rsid w:val="00224FCA"/>
    <w:rsid w:val="00226399"/>
    <w:rsid w:val="0022705C"/>
    <w:rsid w:val="002273D1"/>
    <w:rsid w:val="0022740B"/>
    <w:rsid w:val="0023027E"/>
    <w:rsid w:val="002302C1"/>
    <w:rsid w:val="00232413"/>
    <w:rsid w:val="00233B78"/>
    <w:rsid w:val="00233D13"/>
    <w:rsid w:val="00233EB4"/>
    <w:rsid w:val="00234236"/>
    <w:rsid w:val="00235728"/>
    <w:rsid w:val="00235A3C"/>
    <w:rsid w:val="00235A9F"/>
    <w:rsid w:val="00235D0C"/>
    <w:rsid w:val="00236945"/>
    <w:rsid w:val="00236E71"/>
    <w:rsid w:val="002378AD"/>
    <w:rsid w:val="002379F4"/>
    <w:rsid w:val="0024059D"/>
    <w:rsid w:val="00240AD9"/>
    <w:rsid w:val="00241223"/>
    <w:rsid w:val="002413A2"/>
    <w:rsid w:val="00241C48"/>
    <w:rsid w:val="002433A7"/>
    <w:rsid w:val="002442ED"/>
    <w:rsid w:val="002445F2"/>
    <w:rsid w:val="00244732"/>
    <w:rsid w:val="002451E7"/>
    <w:rsid w:val="00247306"/>
    <w:rsid w:val="00247726"/>
    <w:rsid w:val="00247A24"/>
    <w:rsid w:val="00247BC2"/>
    <w:rsid w:val="0025147E"/>
    <w:rsid w:val="002528C8"/>
    <w:rsid w:val="00254632"/>
    <w:rsid w:val="002553B0"/>
    <w:rsid w:val="00255571"/>
    <w:rsid w:val="00255A5E"/>
    <w:rsid w:val="00256B0F"/>
    <w:rsid w:val="002603B4"/>
    <w:rsid w:val="00260679"/>
    <w:rsid w:val="00260AD8"/>
    <w:rsid w:val="00260E98"/>
    <w:rsid w:val="002615A9"/>
    <w:rsid w:val="00262550"/>
    <w:rsid w:val="0026255D"/>
    <w:rsid w:val="0026286B"/>
    <w:rsid w:val="00263644"/>
    <w:rsid w:val="0026408E"/>
    <w:rsid w:val="002642D4"/>
    <w:rsid w:val="002647F7"/>
    <w:rsid w:val="002648AC"/>
    <w:rsid w:val="00267063"/>
    <w:rsid w:val="00267CBF"/>
    <w:rsid w:val="00270646"/>
    <w:rsid w:val="00271181"/>
    <w:rsid w:val="00271791"/>
    <w:rsid w:val="00271798"/>
    <w:rsid w:val="00272020"/>
    <w:rsid w:val="002726E7"/>
    <w:rsid w:val="002726ED"/>
    <w:rsid w:val="00272D16"/>
    <w:rsid w:val="00272FCA"/>
    <w:rsid w:val="00273056"/>
    <w:rsid w:val="00273479"/>
    <w:rsid w:val="00273B27"/>
    <w:rsid w:val="00273ED7"/>
    <w:rsid w:val="002752FF"/>
    <w:rsid w:val="00275D51"/>
    <w:rsid w:val="0027614D"/>
    <w:rsid w:val="00277299"/>
    <w:rsid w:val="0027747A"/>
    <w:rsid w:val="00277705"/>
    <w:rsid w:val="0027777A"/>
    <w:rsid w:val="00280588"/>
    <w:rsid w:val="002814C0"/>
    <w:rsid w:val="002818D5"/>
    <w:rsid w:val="00281925"/>
    <w:rsid w:val="00281DC1"/>
    <w:rsid w:val="002823B3"/>
    <w:rsid w:val="00282462"/>
    <w:rsid w:val="00283659"/>
    <w:rsid w:val="00283FF8"/>
    <w:rsid w:val="00284E0D"/>
    <w:rsid w:val="00284F11"/>
    <w:rsid w:val="00285215"/>
    <w:rsid w:val="00285BCF"/>
    <w:rsid w:val="00285BEC"/>
    <w:rsid w:val="00285C98"/>
    <w:rsid w:val="00287B7B"/>
    <w:rsid w:val="00290013"/>
    <w:rsid w:val="0029027E"/>
    <w:rsid w:val="002904F5"/>
    <w:rsid w:val="002912D3"/>
    <w:rsid w:val="0029169C"/>
    <w:rsid w:val="0029241E"/>
    <w:rsid w:val="00292E62"/>
    <w:rsid w:val="00293331"/>
    <w:rsid w:val="002933FD"/>
    <w:rsid w:val="00293F1D"/>
    <w:rsid w:val="00294002"/>
    <w:rsid w:val="002950C6"/>
    <w:rsid w:val="0029565A"/>
    <w:rsid w:val="0029737E"/>
    <w:rsid w:val="00297B91"/>
    <w:rsid w:val="002A08C9"/>
    <w:rsid w:val="002A140F"/>
    <w:rsid w:val="002A1418"/>
    <w:rsid w:val="002A23A6"/>
    <w:rsid w:val="002A25E2"/>
    <w:rsid w:val="002A3CAA"/>
    <w:rsid w:val="002A3D56"/>
    <w:rsid w:val="002A4862"/>
    <w:rsid w:val="002A5BAA"/>
    <w:rsid w:val="002A626A"/>
    <w:rsid w:val="002A6658"/>
    <w:rsid w:val="002A7221"/>
    <w:rsid w:val="002A7FB0"/>
    <w:rsid w:val="002B20DD"/>
    <w:rsid w:val="002B3B34"/>
    <w:rsid w:val="002B3E2A"/>
    <w:rsid w:val="002B490C"/>
    <w:rsid w:val="002B6534"/>
    <w:rsid w:val="002B745C"/>
    <w:rsid w:val="002B754E"/>
    <w:rsid w:val="002B7639"/>
    <w:rsid w:val="002C0AED"/>
    <w:rsid w:val="002C0FB9"/>
    <w:rsid w:val="002C12AD"/>
    <w:rsid w:val="002C1B2B"/>
    <w:rsid w:val="002C1B63"/>
    <w:rsid w:val="002C4AA7"/>
    <w:rsid w:val="002C5DA3"/>
    <w:rsid w:val="002C6295"/>
    <w:rsid w:val="002C63EF"/>
    <w:rsid w:val="002C6D07"/>
    <w:rsid w:val="002C7610"/>
    <w:rsid w:val="002D038C"/>
    <w:rsid w:val="002D128D"/>
    <w:rsid w:val="002D1B1E"/>
    <w:rsid w:val="002D24E2"/>
    <w:rsid w:val="002D2C1E"/>
    <w:rsid w:val="002D3E1A"/>
    <w:rsid w:val="002D4252"/>
    <w:rsid w:val="002D4293"/>
    <w:rsid w:val="002D4B18"/>
    <w:rsid w:val="002D4CAA"/>
    <w:rsid w:val="002D56C9"/>
    <w:rsid w:val="002D592E"/>
    <w:rsid w:val="002D5A08"/>
    <w:rsid w:val="002E002E"/>
    <w:rsid w:val="002E01FC"/>
    <w:rsid w:val="002E047D"/>
    <w:rsid w:val="002E06AF"/>
    <w:rsid w:val="002E07CF"/>
    <w:rsid w:val="002E1254"/>
    <w:rsid w:val="002E1358"/>
    <w:rsid w:val="002E1650"/>
    <w:rsid w:val="002E211A"/>
    <w:rsid w:val="002E48A0"/>
    <w:rsid w:val="002E5E81"/>
    <w:rsid w:val="002E6188"/>
    <w:rsid w:val="002E72AA"/>
    <w:rsid w:val="002E740A"/>
    <w:rsid w:val="002E7A08"/>
    <w:rsid w:val="002F02B0"/>
    <w:rsid w:val="002F0F46"/>
    <w:rsid w:val="002F1381"/>
    <w:rsid w:val="002F147F"/>
    <w:rsid w:val="002F1535"/>
    <w:rsid w:val="002F2173"/>
    <w:rsid w:val="002F32FF"/>
    <w:rsid w:val="002F36D9"/>
    <w:rsid w:val="002F3AD9"/>
    <w:rsid w:val="002F468C"/>
    <w:rsid w:val="002F4CB1"/>
    <w:rsid w:val="002F5537"/>
    <w:rsid w:val="002F58DA"/>
    <w:rsid w:val="002F6869"/>
    <w:rsid w:val="002F6DBA"/>
    <w:rsid w:val="00300184"/>
    <w:rsid w:val="0030079F"/>
    <w:rsid w:val="00300E65"/>
    <w:rsid w:val="00301928"/>
    <w:rsid w:val="00301ABE"/>
    <w:rsid w:val="0030209D"/>
    <w:rsid w:val="0030274E"/>
    <w:rsid w:val="00302858"/>
    <w:rsid w:val="00302B64"/>
    <w:rsid w:val="00302D0C"/>
    <w:rsid w:val="0030309D"/>
    <w:rsid w:val="00303303"/>
    <w:rsid w:val="003035EA"/>
    <w:rsid w:val="00305577"/>
    <w:rsid w:val="00306218"/>
    <w:rsid w:val="0030634C"/>
    <w:rsid w:val="00306685"/>
    <w:rsid w:val="00306B51"/>
    <w:rsid w:val="003071D2"/>
    <w:rsid w:val="00307C88"/>
    <w:rsid w:val="00307EDF"/>
    <w:rsid w:val="0031012F"/>
    <w:rsid w:val="0031121C"/>
    <w:rsid w:val="003120D9"/>
    <w:rsid w:val="00312653"/>
    <w:rsid w:val="0031307B"/>
    <w:rsid w:val="003132C6"/>
    <w:rsid w:val="003135DE"/>
    <w:rsid w:val="00313F4F"/>
    <w:rsid w:val="00315B69"/>
    <w:rsid w:val="00316B04"/>
    <w:rsid w:val="003174D0"/>
    <w:rsid w:val="00317F14"/>
    <w:rsid w:val="00317F7F"/>
    <w:rsid w:val="00320148"/>
    <w:rsid w:val="00320A50"/>
    <w:rsid w:val="0032191B"/>
    <w:rsid w:val="003248FD"/>
    <w:rsid w:val="00325247"/>
    <w:rsid w:val="003255A3"/>
    <w:rsid w:val="003256B4"/>
    <w:rsid w:val="00326F4F"/>
    <w:rsid w:val="00327430"/>
    <w:rsid w:val="00327684"/>
    <w:rsid w:val="00327E6B"/>
    <w:rsid w:val="003300FC"/>
    <w:rsid w:val="003305D5"/>
    <w:rsid w:val="0033069E"/>
    <w:rsid w:val="00330C61"/>
    <w:rsid w:val="00330D99"/>
    <w:rsid w:val="0033147D"/>
    <w:rsid w:val="00331805"/>
    <w:rsid w:val="00332DD0"/>
    <w:rsid w:val="0033325C"/>
    <w:rsid w:val="0033352D"/>
    <w:rsid w:val="0033361B"/>
    <w:rsid w:val="00333DB6"/>
    <w:rsid w:val="00334A68"/>
    <w:rsid w:val="003351EE"/>
    <w:rsid w:val="00335537"/>
    <w:rsid w:val="00335F39"/>
    <w:rsid w:val="00336216"/>
    <w:rsid w:val="00336A45"/>
    <w:rsid w:val="0033702E"/>
    <w:rsid w:val="003371D7"/>
    <w:rsid w:val="00337997"/>
    <w:rsid w:val="003400A6"/>
    <w:rsid w:val="00340718"/>
    <w:rsid w:val="00340928"/>
    <w:rsid w:val="00341049"/>
    <w:rsid w:val="0034108E"/>
    <w:rsid w:val="003411B7"/>
    <w:rsid w:val="00341547"/>
    <w:rsid w:val="0034199A"/>
    <w:rsid w:val="0034370D"/>
    <w:rsid w:val="00343B4F"/>
    <w:rsid w:val="003451E0"/>
    <w:rsid w:val="00345589"/>
    <w:rsid w:val="0034591E"/>
    <w:rsid w:val="00345BA2"/>
    <w:rsid w:val="0034664A"/>
    <w:rsid w:val="00346CC5"/>
    <w:rsid w:val="00346EE7"/>
    <w:rsid w:val="00347017"/>
    <w:rsid w:val="003502AC"/>
    <w:rsid w:val="00350FA0"/>
    <w:rsid w:val="00351FB6"/>
    <w:rsid w:val="00352368"/>
    <w:rsid w:val="003530FF"/>
    <w:rsid w:val="0035349A"/>
    <w:rsid w:val="003540EA"/>
    <w:rsid w:val="003541C8"/>
    <w:rsid w:val="00354D74"/>
    <w:rsid w:val="00354EFE"/>
    <w:rsid w:val="00355013"/>
    <w:rsid w:val="00355942"/>
    <w:rsid w:val="00355F6D"/>
    <w:rsid w:val="0035655C"/>
    <w:rsid w:val="00356737"/>
    <w:rsid w:val="00356DA7"/>
    <w:rsid w:val="003603ED"/>
    <w:rsid w:val="00361BAB"/>
    <w:rsid w:val="00361C7B"/>
    <w:rsid w:val="00361CB0"/>
    <w:rsid w:val="003620D8"/>
    <w:rsid w:val="0036224E"/>
    <w:rsid w:val="00362919"/>
    <w:rsid w:val="00363032"/>
    <w:rsid w:val="003649C2"/>
    <w:rsid w:val="00364E54"/>
    <w:rsid w:val="00365BB2"/>
    <w:rsid w:val="00365C7E"/>
    <w:rsid w:val="00365D0B"/>
    <w:rsid w:val="00366FC6"/>
    <w:rsid w:val="003677FF"/>
    <w:rsid w:val="00367D38"/>
    <w:rsid w:val="003705AF"/>
    <w:rsid w:val="003710AF"/>
    <w:rsid w:val="003719D2"/>
    <w:rsid w:val="00371BE1"/>
    <w:rsid w:val="00371D11"/>
    <w:rsid w:val="00372B30"/>
    <w:rsid w:val="003735AC"/>
    <w:rsid w:val="003747E1"/>
    <w:rsid w:val="00376275"/>
    <w:rsid w:val="003762F0"/>
    <w:rsid w:val="00376AB5"/>
    <w:rsid w:val="00376CD0"/>
    <w:rsid w:val="00377E56"/>
    <w:rsid w:val="00380526"/>
    <w:rsid w:val="0038085A"/>
    <w:rsid w:val="003809F7"/>
    <w:rsid w:val="00380A52"/>
    <w:rsid w:val="00381302"/>
    <w:rsid w:val="003816B0"/>
    <w:rsid w:val="003830EA"/>
    <w:rsid w:val="00383261"/>
    <w:rsid w:val="00383857"/>
    <w:rsid w:val="00383EAF"/>
    <w:rsid w:val="003841CE"/>
    <w:rsid w:val="00384EE3"/>
    <w:rsid w:val="003863C3"/>
    <w:rsid w:val="00386BA6"/>
    <w:rsid w:val="0038742B"/>
    <w:rsid w:val="00387DC3"/>
    <w:rsid w:val="00390705"/>
    <w:rsid w:val="00390C3E"/>
    <w:rsid w:val="003912C9"/>
    <w:rsid w:val="00391501"/>
    <w:rsid w:val="003915E3"/>
    <w:rsid w:val="003931ED"/>
    <w:rsid w:val="00393D6E"/>
    <w:rsid w:val="00393F1A"/>
    <w:rsid w:val="00395FD8"/>
    <w:rsid w:val="003978F4"/>
    <w:rsid w:val="003A08D3"/>
    <w:rsid w:val="003A0BAE"/>
    <w:rsid w:val="003A1015"/>
    <w:rsid w:val="003A1462"/>
    <w:rsid w:val="003A14DC"/>
    <w:rsid w:val="003A18BF"/>
    <w:rsid w:val="003A41E9"/>
    <w:rsid w:val="003A4600"/>
    <w:rsid w:val="003A52B7"/>
    <w:rsid w:val="003A665C"/>
    <w:rsid w:val="003A6E3D"/>
    <w:rsid w:val="003A74A0"/>
    <w:rsid w:val="003A79F6"/>
    <w:rsid w:val="003B0EA9"/>
    <w:rsid w:val="003B1097"/>
    <w:rsid w:val="003B1392"/>
    <w:rsid w:val="003B191B"/>
    <w:rsid w:val="003B1F8D"/>
    <w:rsid w:val="003B2180"/>
    <w:rsid w:val="003B23EE"/>
    <w:rsid w:val="003B2915"/>
    <w:rsid w:val="003B2EFA"/>
    <w:rsid w:val="003B3004"/>
    <w:rsid w:val="003B33E4"/>
    <w:rsid w:val="003B3BE4"/>
    <w:rsid w:val="003B3D3C"/>
    <w:rsid w:val="003B4170"/>
    <w:rsid w:val="003B4227"/>
    <w:rsid w:val="003B4C40"/>
    <w:rsid w:val="003B5276"/>
    <w:rsid w:val="003B62F8"/>
    <w:rsid w:val="003C0772"/>
    <w:rsid w:val="003C0D36"/>
    <w:rsid w:val="003C10C2"/>
    <w:rsid w:val="003C152B"/>
    <w:rsid w:val="003C2FB7"/>
    <w:rsid w:val="003C3269"/>
    <w:rsid w:val="003C42FB"/>
    <w:rsid w:val="003C4900"/>
    <w:rsid w:val="003C5222"/>
    <w:rsid w:val="003C5874"/>
    <w:rsid w:val="003C6FEE"/>
    <w:rsid w:val="003C7886"/>
    <w:rsid w:val="003D0617"/>
    <w:rsid w:val="003D0B53"/>
    <w:rsid w:val="003D2212"/>
    <w:rsid w:val="003D24F2"/>
    <w:rsid w:val="003D3685"/>
    <w:rsid w:val="003D39B0"/>
    <w:rsid w:val="003D4106"/>
    <w:rsid w:val="003D4AC8"/>
    <w:rsid w:val="003D535A"/>
    <w:rsid w:val="003D57CF"/>
    <w:rsid w:val="003D5966"/>
    <w:rsid w:val="003D6022"/>
    <w:rsid w:val="003D6C54"/>
    <w:rsid w:val="003E0E10"/>
    <w:rsid w:val="003E1405"/>
    <w:rsid w:val="003E1F50"/>
    <w:rsid w:val="003E305D"/>
    <w:rsid w:val="003E3964"/>
    <w:rsid w:val="003E413C"/>
    <w:rsid w:val="003E48BA"/>
    <w:rsid w:val="003E4BF9"/>
    <w:rsid w:val="003E760D"/>
    <w:rsid w:val="003E7AD3"/>
    <w:rsid w:val="003E7D70"/>
    <w:rsid w:val="003E7DC9"/>
    <w:rsid w:val="003F1173"/>
    <w:rsid w:val="003F2277"/>
    <w:rsid w:val="003F24AA"/>
    <w:rsid w:val="003F2E98"/>
    <w:rsid w:val="003F3833"/>
    <w:rsid w:val="003F42C2"/>
    <w:rsid w:val="003F523A"/>
    <w:rsid w:val="003F5385"/>
    <w:rsid w:val="003F59C2"/>
    <w:rsid w:val="003F618B"/>
    <w:rsid w:val="003F62F2"/>
    <w:rsid w:val="003F79AD"/>
    <w:rsid w:val="0040045A"/>
    <w:rsid w:val="00400968"/>
    <w:rsid w:val="00400F74"/>
    <w:rsid w:val="0040113D"/>
    <w:rsid w:val="00403973"/>
    <w:rsid w:val="0040478C"/>
    <w:rsid w:val="0040494F"/>
    <w:rsid w:val="0040553C"/>
    <w:rsid w:val="004061A8"/>
    <w:rsid w:val="00407194"/>
    <w:rsid w:val="004071F1"/>
    <w:rsid w:val="00407345"/>
    <w:rsid w:val="00407448"/>
    <w:rsid w:val="00407976"/>
    <w:rsid w:val="0041038D"/>
    <w:rsid w:val="004107C1"/>
    <w:rsid w:val="00411A5A"/>
    <w:rsid w:val="00411CAB"/>
    <w:rsid w:val="00411F71"/>
    <w:rsid w:val="004120C5"/>
    <w:rsid w:val="00412393"/>
    <w:rsid w:val="004130DE"/>
    <w:rsid w:val="0041368F"/>
    <w:rsid w:val="00413A2A"/>
    <w:rsid w:val="00413B18"/>
    <w:rsid w:val="004141F5"/>
    <w:rsid w:val="004151C7"/>
    <w:rsid w:val="004162DC"/>
    <w:rsid w:val="004167B4"/>
    <w:rsid w:val="00416F8C"/>
    <w:rsid w:val="00417EF1"/>
    <w:rsid w:val="004206E1"/>
    <w:rsid w:val="004209C0"/>
    <w:rsid w:val="0042177C"/>
    <w:rsid w:val="00421F46"/>
    <w:rsid w:val="00422F8F"/>
    <w:rsid w:val="00423129"/>
    <w:rsid w:val="004231A5"/>
    <w:rsid w:val="00423AEF"/>
    <w:rsid w:val="00423D31"/>
    <w:rsid w:val="00423EE4"/>
    <w:rsid w:val="00424601"/>
    <w:rsid w:val="004263EF"/>
    <w:rsid w:val="00427185"/>
    <w:rsid w:val="00427471"/>
    <w:rsid w:val="00430C54"/>
    <w:rsid w:val="00431B8B"/>
    <w:rsid w:val="00432747"/>
    <w:rsid w:val="00433A13"/>
    <w:rsid w:val="00433AAE"/>
    <w:rsid w:val="004340D1"/>
    <w:rsid w:val="004340E0"/>
    <w:rsid w:val="0043428D"/>
    <w:rsid w:val="00434AB3"/>
    <w:rsid w:val="00435383"/>
    <w:rsid w:val="0043583F"/>
    <w:rsid w:val="00435EBF"/>
    <w:rsid w:val="004370EC"/>
    <w:rsid w:val="00437198"/>
    <w:rsid w:val="00437660"/>
    <w:rsid w:val="004378A2"/>
    <w:rsid w:val="00437AD6"/>
    <w:rsid w:val="00440DE5"/>
    <w:rsid w:val="004414A9"/>
    <w:rsid w:val="0044185E"/>
    <w:rsid w:val="00443969"/>
    <w:rsid w:val="00443EF9"/>
    <w:rsid w:val="0044409E"/>
    <w:rsid w:val="0044416F"/>
    <w:rsid w:val="004452B5"/>
    <w:rsid w:val="00445593"/>
    <w:rsid w:val="00445F67"/>
    <w:rsid w:val="004502FC"/>
    <w:rsid w:val="00450471"/>
    <w:rsid w:val="00450A14"/>
    <w:rsid w:val="00450F4E"/>
    <w:rsid w:val="00451123"/>
    <w:rsid w:val="00451530"/>
    <w:rsid w:val="00452185"/>
    <w:rsid w:val="00453A1C"/>
    <w:rsid w:val="00453E4A"/>
    <w:rsid w:val="0045449E"/>
    <w:rsid w:val="0045499A"/>
    <w:rsid w:val="00454F13"/>
    <w:rsid w:val="00455057"/>
    <w:rsid w:val="0045553D"/>
    <w:rsid w:val="00456FA3"/>
    <w:rsid w:val="00457C9E"/>
    <w:rsid w:val="00457DED"/>
    <w:rsid w:val="00460776"/>
    <w:rsid w:val="00460997"/>
    <w:rsid w:val="00460AB8"/>
    <w:rsid w:val="00461212"/>
    <w:rsid w:val="004626CC"/>
    <w:rsid w:val="004627FF"/>
    <w:rsid w:val="00464ED8"/>
    <w:rsid w:val="00465052"/>
    <w:rsid w:val="00465957"/>
    <w:rsid w:val="00465CE4"/>
    <w:rsid w:val="004669C0"/>
    <w:rsid w:val="00466BEE"/>
    <w:rsid w:val="004675BC"/>
    <w:rsid w:val="00467771"/>
    <w:rsid w:val="00470068"/>
    <w:rsid w:val="00470837"/>
    <w:rsid w:val="00470F99"/>
    <w:rsid w:val="004714A4"/>
    <w:rsid w:val="004722FD"/>
    <w:rsid w:val="00472F03"/>
    <w:rsid w:val="004732A4"/>
    <w:rsid w:val="00473634"/>
    <w:rsid w:val="00473906"/>
    <w:rsid w:val="0047471D"/>
    <w:rsid w:val="00474D29"/>
    <w:rsid w:val="004763EC"/>
    <w:rsid w:val="00476479"/>
    <w:rsid w:val="004764E4"/>
    <w:rsid w:val="004773D2"/>
    <w:rsid w:val="00477DE6"/>
    <w:rsid w:val="00480BA7"/>
    <w:rsid w:val="00481723"/>
    <w:rsid w:val="00482031"/>
    <w:rsid w:val="004822CC"/>
    <w:rsid w:val="004824BF"/>
    <w:rsid w:val="00482C58"/>
    <w:rsid w:val="00482F39"/>
    <w:rsid w:val="00483C3F"/>
    <w:rsid w:val="004841CB"/>
    <w:rsid w:val="00484859"/>
    <w:rsid w:val="00484CFD"/>
    <w:rsid w:val="004850C0"/>
    <w:rsid w:val="00485436"/>
    <w:rsid w:val="00486895"/>
    <w:rsid w:val="00487473"/>
    <w:rsid w:val="004902FF"/>
    <w:rsid w:val="00490515"/>
    <w:rsid w:val="0049142D"/>
    <w:rsid w:val="00491960"/>
    <w:rsid w:val="00492526"/>
    <w:rsid w:val="00492D43"/>
    <w:rsid w:val="00492F0C"/>
    <w:rsid w:val="004932DB"/>
    <w:rsid w:val="00493A00"/>
    <w:rsid w:val="00493D59"/>
    <w:rsid w:val="00495A74"/>
    <w:rsid w:val="00497678"/>
    <w:rsid w:val="004A02BD"/>
    <w:rsid w:val="004A07F6"/>
    <w:rsid w:val="004A0ADE"/>
    <w:rsid w:val="004A0FC6"/>
    <w:rsid w:val="004A1B23"/>
    <w:rsid w:val="004A1F14"/>
    <w:rsid w:val="004A29ED"/>
    <w:rsid w:val="004A2ACF"/>
    <w:rsid w:val="004A32F4"/>
    <w:rsid w:val="004A3463"/>
    <w:rsid w:val="004A34BC"/>
    <w:rsid w:val="004A39AD"/>
    <w:rsid w:val="004A462B"/>
    <w:rsid w:val="004A46FC"/>
    <w:rsid w:val="004A4971"/>
    <w:rsid w:val="004A4BE8"/>
    <w:rsid w:val="004A6632"/>
    <w:rsid w:val="004A779D"/>
    <w:rsid w:val="004B0E8C"/>
    <w:rsid w:val="004B12CD"/>
    <w:rsid w:val="004B25F7"/>
    <w:rsid w:val="004B28FC"/>
    <w:rsid w:val="004B293D"/>
    <w:rsid w:val="004B2A42"/>
    <w:rsid w:val="004B3554"/>
    <w:rsid w:val="004B3CCC"/>
    <w:rsid w:val="004B3D7F"/>
    <w:rsid w:val="004B437A"/>
    <w:rsid w:val="004B459B"/>
    <w:rsid w:val="004B5814"/>
    <w:rsid w:val="004B5E72"/>
    <w:rsid w:val="004B70EE"/>
    <w:rsid w:val="004B73BC"/>
    <w:rsid w:val="004B7536"/>
    <w:rsid w:val="004B7E9B"/>
    <w:rsid w:val="004C189B"/>
    <w:rsid w:val="004C18EE"/>
    <w:rsid w:val="004C1937"/>
    <w:rsid w:val="004C1E09"/>
    <w:rsid w:val="004C1EE7"/>
    <w:rsid w:val="004C2778"/>
    <w:rsid w:val="004C2BBB"/>
    <w:rsid w:val="004C2D4F"/>
    <w:rsid w:val="004C3B7A"/>
    <w:rsid w:val="004C3C6E"/>
    <w:rsid w:val="004C4B7D"/>
    <w:rsid w:val="004C6742"/>
    <w:rsid w:val="004D0811"/>
    <w:rsid w:val="004D1727"/>
    <w:rsid w:val="004D1B07"/>
    <w:rsid w:val="004D2E9B"/>
    <w:rsid w:val="004D3BBA"/>
    <w:rsid w:val="004D4F52"/>
    <w:rsid w:val="004D57DC"/>
    <w:rsid w:val="004D5F49"/>
    <w:rsid w:val="004D6140"/>
    <w:rsid w:val="004D6572"/>
    <w:rsid w:val="004D6707"/>
    <w:rsid w:val="004D6C42"/>
    <w:rsid w:val="004D7E6C"/>
    <w:rsid w:val="004E0457"/>
    <w:rsid w:val="004E0BF2"/>
    <w:rsid w:val="004E162A"/>
    <w:rsid w:val="004E1718"/>
    <w:rsid w:val="004E38A3"/>
    <w:rsid w:val="004E3B65"/>
    <w:rsid w:val="004E469A"/>
    <w:rsid w:val="004E4B63"/>
    <w:rsid w:val="004E5425"/>
    <w:rsid w:val="004E5819"/>
    <w:rsid w:val="004E59DF"/>
    <w:rsid w:val="004E6497"/>
    <w:rsid w:val="004E66DE"/>
    <w:rsid w:val="004F0275"/>
    <w:rsid w:val="004F0D32"/>
    <w:rsid w:val="004F1897"/>
    <w:rsid w:val="004F1BBB"/>
    <w:rsid w:val="004F1E12"/>
    <w:rsid w:val="004F235B"/>
    <w:rsid w:val="004F25B7"/>
    <w:rsid w:val="004F3BEB"/>
    <w:rsid w:val="004F423B"/>
    <w:rsid w:val="004F4450"/>
    <w:rsid w:val="004F49EF"/>
    <w:rsid w:val="004F54F4"/>
    <w:rsid w:val="004F627F"/>
    <w:rsid w:val="004F7032"/>
    <w:rsid w:val="004F7412"/>
    <w:rsid w:val="00500690"/>
    <w:rsid w:val="00500832"/>
    <w:rsid w:val="00502D10"/>
    <w:rsid w:val="00502F01"/>
    <w:rsid w:val="00503C44"/>
    <w:rsid w:val="00503C8A"/>
    <w:rsid w:val="00503FE1"/>
    <w:rsid w:val="00504845"/>
    <w:rsid w:val="00505151"/>
    <w:rsid w:val="00506608"/>
    <w:rsid w:val="00507CE2"/>
    <w:rsid w:val="00507D70"/>
    <w:rsid w:val="00507F4B"/>
    <w:rsid w:val="00512E0E"/>
    <w:rsid w:val="00512F47"/>
    <w:rsid w:val="00513DEB"/>
    <w:rsid w:val="00514B4C"/>
    <w:rsid w:val="00514F41"/>
    <w:rsid w:val="00515FFE"/>
    <w:rsid w:val="0051606C"/>
    <w:rsid w:val="00516553"/>
    <w:rsid w:val="00516597"/>
    <w:rsid w:val="00516849"/>
    <w:rsid w:val="005172DE"/>
    <w:rsid w:val="00517404"/>
    <w:rsid w:val="005202DC"/>
    <w:rsid w:val="005206BA"/>
    <w:rsid w:val="00520812"/>
    <w:rsid w:val="00520B47"/>
    <w:rsid w:val="00522875"/>
    <w:rsid w:val="00522A9E"/>
    <w:rsid w:val="00523BD8"/>
    <w:rsid w:val="00523CFA"/>
    <w:rsid w:val="00524958"/>
    <w:rsid w:val="00524F09"/>
    <w:rsid w:val="005306D5"/>
    <w:rsid w:val="00530A1E"/>
    <w:rsid w:val="00530DAF"/>
    <w:rsid w:val="00530E4D"/>
    <w:rsid w:val="005318BF"/>
    <w:rsid w:val="00531BE6"/>
    <w:rsid w:val="0053228A"/>
    <w:rsid w:val="005322BE"/>
    <w:rsid w:val="00532416"/>
    <w:rsid w:val="0053251F"/>
    <w:rsid w:val="005325C7"/>
    <w:rsid w:val="005326F7"/>
    <w:rsid w:val="00533004"/>
    <w:rsid w:val="00533D43"/>
    <w:rsid w:val="00534555"/>
    <w:rsid w:val="005348E7"/>
    <w:rsid w:val="00535610"/>
    <w:rsid w:val="00535B8B"/>
    <w:rsid w:val="00535DAE"/>
    <w:rsid w:val="00537262"/>
    <w:rsid w:val="0053748E"/>
    <w:rsid w:val="00537645"/>
    <w:rsid w:val="00537791"/>
    <w:rsid w:val="00537F4D"/>
    <w:rsid w:val="00540AD1"/>
    <w:rsid w:val="0054150F"/>
    <w:rsid w:val="00541FB5"/>
    <w:rsid w:val="005422AA"/>
    <w:rsid w:val="0054334A"/>
    <w:rsid w:val="005433F2"/>
    <w:rsid w:val="00544017"/>
    <w:rsid w:val="0054502B"/>
    <w:rsid w:val="00545201"/>
    <w:rsid w:val="0054637E"/>
    <w:rsid w:val="005464E9"/>
    <w:rsid w:val="00546AF1"/>
    <w:rsid w:val="005477AA"/>
    <w:rsid w:val="0055014A"/>
    <w:rsid w:val="005503E8"/>
    <w:rsid w:val="0055093E"/>
    <w:rsid w:val="005511C7"/>
    <w:rsid w:val="00551559"/>
    <w:rsid w:val="0055156D"/>
    <w:rsid w:val="00551C75"/>
    <w:rsid w:val="00552833"/>
    <w:rsid w:val="00552CF0"/>
    <w:rsid w:val="00553866"/>
    <w:rsid w:val="00554333"/>
    <w:rsid w:val="00554ACC"/>
    <w:rsid w:val="00554BE3"/>
    <w:rsid w:val="005550A5"/>
    <w:rsid w:val="00555286"/>
    <w:rsid w:val="00555FB1"/>
    <w:rsid w:val="00556743"/>
    <w:rsid w:val="005578B7"/>
    <w:rsid w:val="00557966"/>
    <w:rsid w:val="00560161"/>
    <w:rsid w:val="00560B98"/>
    <w:rsid w:val="00561241"/>
    <w:rsid w:val="00561543"/>
    <w:rsid w:val="00562646"/>
    <w:rsid w:val="00562E0E"/>
    <w:rsid w:val="00562EE9"/>
    <w:rsid w:val="0056322C"/>
    <w:rsid w:val="00563C56"/>
    <w:rsid w:val="00563E25"/>
    <w:rsid w:val="00563E5F"/>
    <w:rsid w:val="005645CE"/>
    <w:rsid w:val="00564718"/>
    <w:rsid w:val="00564BA6"/>
    <w:rsid w:val="00565B84"/>
    <w:rsid w:val="00566BC9"/>
    <w:rsid w:val="00567FC2"/>
    <w:rsid w:val="00570406"/>
    <w:rsid w:val="00571804"/>
    <w:rsid w:val="00571C8A"/>
    <w:rsid w:val="00572B99"/>
    <w:rsid w:val="00572EDA"/>
    <w:rsid w:val="00572F56"/>
    <w:rsid w:val="0057364A"/>
    <w:rsid w:val="005738C7"/>
    <w:rsid w:val="00573AE0"/>
    <w:rsid w:val="00574115"/>
    <w:rsid w:val="00574D9E"/>
    <w:rsid w:val="00575418"/>
    <w:rsid w:val="00575743"/>
    <w:rsid w:val="0057588D"/>
    <w:rsid w:val="00575F52"/>
    <w:rsid w:val="00577639"/>
    <w:rsid w:val="005802BD"/>
    <w:rsid w:val="00580B18"/>
    <w:rsid w:val="00580D00"/>
    <w:rsid w:val="00580EA8"/>
    <w:rsid w:val="00580F46"/>
    <w:rsid w:val="00581858"/>
    <w:rsid w:val="00582698"/>
    <w:rsid w:val="00582BE0"/>
    <w:rsid w:val="005838A2"/>
    <w:rsid w:val="005843E3"/>
    <w:rsid w:val="00584826"/>
    <w:rsid w:val="00585197"/>
    <w:rsid w:val="005858AD"/>
    <w:rsid w:val="00585993"/>
    <w:rsid w:val="005870D2"/>
    <w:rsid w:val="00590082"/>
    <w:rsid w:val="005912C7"/>
    <w:rsid w:val="00591875"/>
    <w:rsid w:val="00591B72"/>
    <w:rsid w:val="00591F48"/>
    <w:rsid w:val="00593AD9"/>
    <w:rsid w:val="005944EB"/>
    <w:rsid w:val="0059474D"/>
    <w:rsid w:val="0059660B"/>
    <w:rsid w:val="00596E70"/>
    <w:rsid w:val="00597A93"/>
    <w:rsid w:val="005A015C"/>
    <w:rsid w:val="005A0498"/>
    <w:rsid w:val="005A092B"/>
    <w:rsid w:val="005A0F57"/>
    <w:rsid w:val="005A12E3"/>
    <w:rsid w:val="005A186E"/>
    <w:rsid w:val="005A18D9"/>
    <w:rsid w:val="005A1958"/>
    <w:rsid w:val="005A2021"/>
    <w:rsid w:val="005A2534"/>
    <w:rsid w:val="005A2902"/>
    <w:rsid w:val="005A4552"/>
    <w:rsid w:val="005A5A00"/>
    <w:rsid w:val="005A5A3E"/>
    <w:rsid w:val="005A5AF1"/>
    <w:rsid w:val="005A5D40"/>
    <w:rsid w:val="005A6FF3"/>
    <w:rsid w:val="005A7367"/>
    <w:rsid w:val="005B0FD0"/>
    <w:rsid w:val="005B2089"/>
    <w:rsid w:val="005B2205"/>
    <w:rsid w:val="005B2391"/>
    <w:rsid w:val="005B2CA7"/>
    <w:rsid w:val="005B3543"/>
    <w:rsid w:val="005B36DA"/>
    <w:rsid w:val="005B37B5"/>
    <w:rsid w:val="005B3FDB"/>
    <w:rsid w:val="005B445F"/>
    <w:rsid w:val="005B4D05"/>
    <w:rsid w:val="005B4E32"/>
    <w:rsid w:val="005B53DA"/>
    <w:rsid w:val="005B5A7E"/>
    <w:rsid w:val="005B5BE9"/>
    <w:rsid w:val="005B5FA0"/>
    <w:rsid w:val="005B65CC"/>
    <w:rsid w:val="005B71F7"/>
    <w:rsid w:val="005B7810"/>
    <w:rsid w:val="005B7BE3"/>
    <w:rsid w:val="005C05CB"/>
    <w:rsid w:val="005C0D6C"/>
    <w:rsid w:val="005C1E6C"/>
    <w:rsid w:val="005C49AD"/>
    <w:rsid w:val="005C4CE6"/>
    <w:rsid w:val="005C4D37"/>
    <w:rsid w:val="005C4D71"/>
    <w:rsid w:val="005C4D8B"/>
    <w:rsid w:val="005C549F"/>
    <w:rsid w:val="005C5597"/>
    <w:rsid w:val="005C612A"/>
    <w:rsid w:val="005C7003"/>
    <w:rsid w:val="005C73CE"/>
    <w:rsid w:val="005C743E"/>
    <w:rsid w:val="005C7492"/>
    <w:rsid w:val="005C7977"/>
    <w:rsid w:val="005D0CDA"/>
    <w:rsid w:val="005D0FE3"/>
    <w:rsid w:val="005D1140"/>
    <w:rsid w:val="005D11D5"/>
    <w:rsid w:val="005D1988"/>
    <w:rsid w:val="005D211A"/>
    <w:rsid w:val="005D282E"/>
    <w:rsid w:val="005D4AA8"/>
    <w:rsid w:val="005D4D4D"/>
    <w:rsid w:val="005D5206"/>
    <w:rsid w:val="005D5249"/>
    <w:rsid w:val="005D625C"/>
    <w:rsid w:val="005D715C"/>
    <w:rsid w:val="005D7431"/>
    <w:rsid w:val="005D7605"/>
    <w:rsid w:val="005D7A38"/>
    <w:rsid w:val="005E01D7"/>
    <w:rsid w:val="005E0D21"/>
    <w:rsid w:val="005E104C"/>
    <w:rsid w:val="005E2D37"/>
    <w:rsid w:val="005E301C"/>
    <w:rsid w:val="005E3590"/>
    <w:rsid w:val="005E370B"/>
    <w:rsid w:val="005E387F"/>
    <w:rsid w:val="005E4416"/>
    <w:rsid w:val="005E518C"/>
    <w:rsid w:val="005E76A3"/>
    <w:rsid w:val="005E77C8"/>
    <w:rsid w:val="005F05FD"/>
    <w:rsid w:val="005F0F07"/>
    <w:rsid w:val="005F109D"/>
    <w:rsid w:val="005F14D5"/>
    <w:rsid w:val="005F1EA4"/>
    <w:rsid w:val="005F2E6F"/>
    <w:rsid w:val="005F34CC"/>
    <w:rsid w:val="005F3A6E"/>
    <w:rsid w:val="005F3B2C"/>
    <w:rsid w:val="005F42EE"/>
    <w:rsid w:val="005F4BBA"/>
    <w:rsid w:val="005F5017"/>
    <w:rsid w:val="005F5750"/>
    <w:rsid w:val="005F5CBA"/>
    <w:rsid w:val="005F5F62"/>
    <w:rsid w:val="005F608B"/>
    <w:rsid w:val="005F6ED5"/>
    <w:rsid w:val="00600126"/>
    <w:rsid w:val="006004E4"/>
    <w:rsid w:val="0060111C"/>
    <w:rsid w:val="0060153E"/>
    <w:rsid w:val="006017B7"/>
    <w:rsid w:val="006019DF"/>
    <w:rsid w:val="00602CCA"/>
    <w:rsid w:val="00602E27"/>
    <w:rsid w:val="0060384D"/>
    <w:rsid w:val="00603DBB"/>
    <w:rsid w:val="00605F7D"/>
    <w:rsid w:val="0060632B"/>
    <w:rsid w:val="006067D4"/>
    <w:rsid w:val="0061044B"/>
    <w:rsid w:val="00610536"/>
    <w:rsid w:val="0061083F"/>
    <w:rsid w:val="00611998"/>
    <w:rsid w:val="0061211D"/>
    <w:rsid w:val="0061332F"/>
    <w:rsid w:val="006135FD"/>
    <w:rsid w:val="00613A05"/>
    <w:rsid w:val="00613EF8"/>
    <w:rsid w:val="00615802"/>
    <w:rsid w:val="00615B9D"/>
    <w:rsid w:val="00616A1B"/>
    <w:rsid w:val="0061759F"/>
    <w:rsid w:val="0061784F"/>
    <w:rsid w:val="00617EE7"/>
    <w:rsid w:val="006203DA"/>
    <w:rsid w:val="00620B7E"/>
    <w:rsid w:val="00620F21"/>
    <w:rsid w:val="0062103A"/>
    <w:rsid w:val="006211CC"/>
    <w:rsid w:val="006221AD"/>
    <w:rsid w:val="00622992"/>
    <w:rsid w:val="00622FF1"/>
    <w:rsid w:val="0062314D"/>
    <w:rsid w:val="00623206"/>
    <w:rsid w:val="006237E5"/>
    <w:rsid w:val="00624107"/>
    <w:rsid w:val="006248FA"/>
    <w:rsid w:val="00624EA7"/>
    <w:rsid w:val="0062557E"/>
    <w:rsid w:val="006258B3"/>
    <w:rsid w:val="00626201"/>
    <w:rsid w:val="006262F7"/>
    <w:rsid w:val="00626A54"/>
    <w:rsid w:val="00626AE2"/>
    <w:rsid w:val="0062709A"/>
    <w:rsid w:val="00627C27"/>
    <w:rsid w:val="00630761"/>
    <w:rsid w:val="00630D43"/>
    <w:rsid w:val="0063106B"/>
    <w:rsid w:val="006313AA"/>
    <w:rsid w:val="00631612"/>
    <w:rsid w:val="00632581"/>
    <w:rsid w:val="006325C7"/>
    <w:rsid w:val="0063264F"/>
    <w:rsid w:val="00632FAC"/>
    <w:rsid w:val="006338A0"/>
    <w:rsid w:val="00633AD9"/>
    <w:rsid w:val="00633F1A"/>
    <w:rsid w:val="006341F3"/>
    <w:rsid w:val="006349A1"/>
    <w:rsid w:val="00634A23"/>
    <w:rsid w:val="00635801"/>
    <w:rsid w:val="00635DEC"/>
    <w:rsid w:val="00636564"/>
    <w:rsid w:val="006367FB"/>
    <w:rsid w:val="00636996"/>
    <w:rsid w:val="00636CC2"/>
    <w:rsid w:val="00636CE5"/>
    <w:rsid w:val="006370D6"/>
    <w:rsid w:val="006377AE"/>
    <w:rsid w:val="0064058A"/>
    <w:rsid w:val="00640B02"/>
    <w:rsid w:val="00640F52"/>
    <w:rsid w:val="0064152E"/>
    <w:rsid w:val="006415FF"/>
    <w:rsid w:val="00641736"/>
    <w:rsid w:val="006417BC"/>
    <w:rsid w:val="00641A06"/>
    <w:rsid w:val="00642B2D"/>
    <w:rsid w:val="0064307F"/>
    <w:rsid w:val="0064345D"/>
    <w:rsid w:val="006434F0"/>
    <w:rsid w:val="00643935"/>
    <w:rsid w:val="006448C3"/>
    <w:rsid w:val="006452A5"/>
    <w:rsid w:val="0064595B"/>
    <w:rsid w:val="00645AE0"/>
    <w:rsid w:val="00645AE9"/>
    <w:rsid w:val="00646153"/>
    <w:rsid w:val="006463F3"/>
    <w:rsid w:val="00646850"/>
    <w:rsid w:val="00646A58"/>
    <w:rsid w:val="00646A8A"/>
    <w:rsid w:val="00646CB4"/>
    <w:rsid w:val="0064702C"/>
    <w:rsid w:val="0065029C"/>
    <w:rsid w:val="006520D1"/>
    <w:rsid w:val="00652535"/>
    <w:rsid w:val="00652898"/>
    <w:rsid w:val="00652D3F"/>
    <w:rsid w:val="006533A1"/>
    <w:rsid w:val="0065363E"/>
    <w:rsid w:val="00654079"/>
    <w:rsid w:val="0065477A"/>
    <w:rsid w:val="006549F1"/>
    <w:rsid w:val="00655C09"/>
    <w:rsid w:val="00655DCC"/>
    <w:rsid w:val="00655F85"/>
    <w:rsid w:val="00656206"/>
    <w:rsid w:val="006568AF"/>
    <w:rsid w:val="00657A0A"/>
    <w:rsid w:val="00657AD8"/>
    <w:rsid w:val="0066014F"/>
    <w:rsid w:val="00660D9F"/>
    <w:rsid w:val="00661218"/>
    <w:rsid w:val="00661693"/>
    <w:rsid w:val="006616E6"/>
    <w:rsid w:val="00661BF9"/>
    <w:rsid w:val="00662EAE"/>
    <w:rsid w:val="00663078"/>
    <w:rsid w:val="00664223"/>
    <w:rsid w:val="006642EA"/>
    <w:rsid w:val="00664BA0"/>
    <w:rsid w:val="00664E61"/>
    <w:rsid w:val="006662EE"/>
    <w:rsid w:val="00666982"/>
    <w:rsid w:val="00670128"/>
    <w:rsid w:val="00670868"/>
    <w:rsid w:val="006708A1"/>
    <w:rsid w:val="00670D51"/>
    <w:rsid w:val="00671183"/>
    <w:rsid w:val="00672602"/>
    <w:rsid w:val="00672B3D"/>
    <w:rsid w:val="00672B8D"/>
    <w:rsid w:val="0067496D"/>
    <w:rsid w:val="00674E91"/>
    <w:rsid w:val="0067505F"/>
    <w:rsid w:val="00675E47"/>
    <w:rsid w:val="00675E70"/>
    <w:rsid w:val="006761F0"/>
    <w:rsid w:val="006773BE"/>
    <w:rsid w:val="00677F19"/>
    <w:rsid w:val="00677F5C"/>
    <w:rsid w:val="00680628"/>
    <w:rsid w:val="00680824"/>
    <w:rsid w:val="00680B48"/>
    <w:rsid w:val="00680D3C"/>
    <w:rsid w:val="00681CF8"/>
    <w:rsid w:val="006828A1"/>
    <w:rsid w:val="00682995"/>
    <w:rsid w:val="00683F70"/>
    <w:rsid w:val="00685AF8"/>
    <w:rsid w:val="006861DF"/>
    <w:rsid w:val="0068644D"/>
    <w:rsid w:val="00686B4D"/>
    <w:rsid w:val="00686E60"/>
    <w:rsid w:val="00687686"/>
    <w:rsid w:val="0068798A"/>
    <w:rsid w:val="00690275"/>
    <w:rsid w:val="0069138D"/>
    <w:rsid w:val="006921D6"/>
    <w:rsid w:val="00693874"/>
    <w:rsid w:val="0069441D"/>
    <w:rsid w:val="006944FE"/>
    <w:rsid w:val="00694709"/>
    <w:rsid w:val="00695F3E"/>
    <w:rsid w:val="00695F61"/>
    <w:rsid w:val="00696412"/>
    <w:rsid w:val="006A1B1F"/>
    <w:rsid w:val="006A272E"/>
    <w:rsid w:val="006A288F"/>
    <w:rsid w:val="006A2D35"/>
    <w:rsid w:val="006A367F"/>
    <w:rsid w:val="006A3769"/>
    <w:rsid w:val="006A3B8F"/>
    <w:rsid w:val="006A4F0F"/>
    <w:rsid w:val="006A4F53"/>
    <w:rsid w:val="006A54E2"/>
    <w:rsid w:val="006A5ACE"/>
    <w:rsid w:val="006A5E64"/>
    <w:rsid w:val="006A64E1"/>
    <w:rsid w:val="006A68D7"/>
    <w:rsid w:val="006A6AFC"/>
    <w:rsid w:val="006A6B7A"/>
    <w:rsid w:val="006A743A"/>
    <w:rsid w:val="006A787B"/>
    <w:rsid w:val="006A79C5"/>
    <w:rsid w:val="006A7B98"/>
    <w:rsid w:val="006B0A74"/>
    <w:rsid w:val="006B1043"/>
    <w:rsid w:val="006B11BB"/>
    <w:rsid w:val="006B1455"/>
    <w:rsid w:val="006B15AD"/>
    <w:rsid w:val="006B17CF"/>
    <w:rsid w:val="006B1D28"/>
    <w:rsid w:val="006B2150"/>
    <w:rsid w:val="006B24B7"/>
    <w:rsid w:val="006B2A6D"/>
    <w:rsid w:val="006B2FC5"/>
    <w:rsid w:val="006B3AED"/>
    <w:rsid w:val="006B488B"/>
    <w:rsid w:val="006B6248"/>
    <w:rsid w:val="006B7B91"/>
    <w:rsid w:val="006C1E93"/>
    <w:rsid w:val="006C1F11"/>
    <w:rsid w:val="006C26EC"/>
    <w:rsid w:val="006C2AA0"/>
    <w:rsid w:val="006C2FC2"/>
    <w:rsid w:val="006C3320"/>
    <w:rsid w:val="006C4365"/>
    <w:rsid w:val="006C4476"/>
    <w:rsid w:val="006C48D5"/>
    <w:rsid w:val="006C50B8"/>
    <w:rsid w:val="006C51E5"/>
    <w:rsid w:val="006C52EC"/>
    <w:rsid w:val="006C58B9"/>
    <w:rsid w:val="006C5A45"/>
    <w:rsid w:val="006C6190"/>
    <w:rsid w:val="006C62FA"/>
    <w:rsid w:val="006C6DD9"/>
    <w:rsid w:val="006D013F"/>
    <w:rsid w:val="006D09E7"/>
    <w:rsid w:val="006D11A5"/>
    <w:rsid w:val="006D170D"/>
    <w:rsid w:val="006D1BDF"/>
    <w:rsid w:val="006D23D7"/>
    <w:rsid w:val="006D24E1"/>
    <w:rsid w:val="006D28CE"/>
    <w:rsid w:val="006D2FD8"/>
    <w:rsid w:val="006D41E2"/>
    <w:rsid w:val="006D4313"/>
    <w:rsid w:val="006D5066"/>
    <w:rsid w:val="006D53FE"/>
    <w:rsid w:val="006D5A79"/>
    <w:rsid w:val="006D6898"/>
    <w:rsid w:val="006E067B"/>
    <w:rsid w:val="006E09FD"/>
    <w:rsid w:val="006E0F4E"/>
    <w:rsid w:val="006E10BF"/>
    <w:rsid w:val="006E12F6"/>
    <w:rsid w:val="006E1CAC"/>
    <w:rsid w:val="006E2B53"/>
    <w:rsid w:val="006E2FF4"/>
    <w:rsid w:val="006E30B5"/>
    <w:rsid w:val="006E33F1"/>
    <w:rsid w:val="006E3538"/>
    <w:rsid w:val="006E37B3"/>
    <w:rsid w:val="006E38AA"/>
    <w:rsid w:val="006E43FC"/>
    <w:rsid w:val="006E68EB"/>
    <w:rsid w:val="006E6C52"/>
    <w:rsid w:val="006E6C69"/>
    <w:rsid w:val="006E78B5"/>
    <w:rsid w:val="006F0620"/>
    <w:rsid w:val="006F0940"/>
    <w:rsid w:val="006F0CD1"/>
    <w:rsid w:val="006F0CD8"/>
    <w:rsid w:val="006F1ABA"/>
    <w:rsid w:val="006F237B"/>
    <w:rsid w:val="006F250E"/>
    <w:rsid w:val="006F2A25"/>
    <w:rsid w:val="006F3BBC"/>
    <w:rsid w:val="006F3CC3"/>
    <w:rsid w:val="006F50E4"/>
    <w:rsid w:val="006F542A"/>
    <w:rsid w:val="006F5D6F"/>
    <w:rsid w:val="006F5EE9"/>
    <w:rsid w:val="006F631A"/>
    <w:rsid w:val="006F6F93"/>
    <w:rsid w:val="00700207"/>
    <w:rsid w:val="007011BB"/>
    <w:rsid w:val="007014BD"/>
    <w:rsid w:val="00701817"/>
    <w:rsid w:val="007019DA"/>
    <w:rsid w:val="00701E66"/>
    <w:rsid w:val="00702114"/>
    <w:rsid w:val="00702E7A"/>
    <w:rsid w:val="007031C4"/>
    <w:rsid w:val="007033E8"/>
    <w:rsid w:val="00704299"/>
    <w:rsid w:val="0070512B"/>
    <w:rsid w:val="00705601"/>
    <w:rsid w:val="007058B7"/>
    <w:rsid w:val="0070597D"/>
    <w:rsid w:val="0070735A"/>
    <w:rsid w:val="00707563"/>
    <w:rsid w:val="00707617"/>
    <w:rsid w:val="00707BDF"/>
    <w:rsid w:val="00707C9F"/>
    <w:rsid w:val="00707E70"/>
    <w:rsid w:val="0071086D"/>
    <w:rsid w:val="00710A6B"/>
    <w:rsid w:val="00710CD8"/>
    <w:rsid w:val="00712148"/>
    <w:rsid w:val="00712A04"/>
    <w:rsid w:val="007133FE"/>
    <w:rsid w:val="007141B2"/>
    <w:rsid w:val="00714289"/>
    <w:rsid w:val="007146CC"/>
    <w:rsid w:val="00714CCC"/>
    <w:rsid w:val="0071527B"/>
    <w:rsid w:val="0071537D"/>
    <w:rsid w:val="007156D8"/>
    <w:rsid w:val="0071599C"/>
    <w:rsid w:val="00715B16"/>
    <w:rsid w:val="00715F4C"/>
    <w:rsid w:val="0071656A"/>
    <w:rsid w:val="00716721"/>
    <w:rsid w:val="007170E0"/>
    <w:rsid w:val="007201E3"/>
    <w:rsid w:val="007215C0"/>
    <w:rsid w:val="00721C26"/>
    <w:rsid w:val="0072277F"/>
    <w:rsid w:val="00722E0A"/>
    <w:rsid w:val="00723664"/>
    <w:rsid w:val="0072414F"/>
    <w:rsid w:val="00724A9D"/>
    <w:rsid w:val="00724FA8"/>
    <w:rsid w:val="00725E0B"/>
    <w:rsid w:val="00727DA7"/>
    <w:rsid w:val="00730127"/>
    <w:rsid w:val="0073014D"/>
    <w:rsid w:val="007304DF"/>
    <w:rsid w:val="007308E0"/>
    <w:rsid w:val="00730CB3"/>
    <w:rsid w:val="00730E31"/>
    <w:rsid w:val="007316A3"/>
    <w:rsid w:val="00731F1D"/>
    <w:rsid w:val="00732230"/>
    <w:rsid w:val="0073234C"/>
    <w:rsid w:val="007328AE"/>
    <w:rsid w:val="0073361A"/>
    <w:rsid w:val="0073408A"/>
    <w:rsid w:val="00734BB3"/>
    <w:rsid w:val="00735B02"/>
    <w:rsid w:val="007366FE"/>
    <w:rsid w:val="00736988"/>
    <w:rsid w:val="0073737F"/>
    <w:rsid w:val="00740378"/>
    <w:rsid w:val="007406C8"/>
    <w:rsid w:val="00741346"/>
    <w:rsid w:val="00741BC1"/>
    <w:rsid w:val="00741E58"/>
    <w:rsid w:val="00741E62"/>
    <w:rsid w:val="00742371"/>
    <w:rsid w:val="00742449"/>
    <w:rsid w:val="00743634"/>
    <w:rsid w:val="00743A57"/>
    <w:rsid w:val="0074502E"/>
    <w:rsid w:val="00745A87"/>
    <w:rsid w:val="00745C37"/>
    <w:rsid w:val="00745F9F"/>
    <w:rsid w:val="00746156"/>
    <w:rsid w:val="00746599"/>
    <w:rsid w:val="007468B5"/>
    <w:rsid w:val="007469E2"/>
    <w:rsid w:val="00746A53"/>
    <w:rsid w:val="00746FBE"/>
    <w:rsid w:val="0074739F"/>
    <w:rsid w:val="007478A6"/>
    <w:rsid w:val="00750098"/>
    <w:rsid w:val="00750C24"/>
    <w:rsid w:val="0075122B"/>
    <w:rsid w:val="00751C65"/>
    <w:rsid w:val="00751E7C"/>
    <w:rsid w:val="007525C6"/>
    <w:rsid w:val="007528D8"/>
    <w:rsid w:val="007530B0"/>
    <w:rsid w:val="00753118"/>
    <w:rsid w:val="007534AF"/>
    <w:rsid w:val="00753AC8"/>
    <w:rsid w:val="00753D3E"/>
    <w:rsid w:val="00753E7F"/>
    <w:rsid w:val="00754602"/>
    <w:rsid w:val="0075527B"/>
    <w:rsid w:val="0075576F"/>
    <w:rsid w:val="00756451"/>
    <w:rsid w:val="007569D7"/>
    <w:rsid w:val="00756E02"/>
    <w:rsid w:val="00757084"/>
    <w:rsid w:val="007600B6"/>
    <w:rsid w:val="007605DF"/>
    <w:rsid w:val="00760C28"/>
    <w:rsid w:val="007610A3"/>
    <w:rsid w:val="00761749"/>
    <w:rsid w:val="00762DD1"/>
    <w:rsid w:val="00763270"/>
    <w:rsid w:val="00764477"/>
    <w:rsid w:val="007648A7"/>
    <w:rsid w:val="00764D29"/>
    <w:rsid w:val="00764D73"/>
    <w:rsid w:val="0076501B"/>
    <w:rsid w:val="00765573"/>
    <w:rsid w:val="007655F2"/>
    <w:rsid w:val="00766423"/>
    <w:rsid w:val="007668EB"/>
    <w:rsid w:val="00766D8F"/>
    <w:rsid w:val="00770217"/>
    <w:rsid w:val="00771E52"/>
    <w:rsid w:val="007728DD"/>
    <w:rsid w:val="00772C5A"/>
    <w:rsid w:val="00772F21"/>
    <w:rsid w:val="007735C0"/>
    <w:rsid w:val="00773650"/>
    <w:rsid w:val="00776BF0"/>
    <w:rsid w:val="00776ED6"/>
    <w:rsid w:val="00777524"/>
    <w:rsid w:val="00777675"/>
    <w:rsid w:val="007779A1"/>
    <w:rsid w:val="00777C0E"/>
    <w:rsid w:val="00781B86"/>
    <w:rsid w:val="00782855"/>
    <w:rsid w:val="00783D31"/>
    <w:rsid w:val="00784838"/>
    <w:rsid w:val="00785B66"/>
    <w:rsid w:val="00785BAF"/>
    <w:rsid w:val="00785C78"/>
    <w:rsid w:val="0078775E"/>
    <w:rsid w:val="0078785F"/>
    <w:rsid w:val="00790A07"/>
    <w:rsid w:val="00790CF5"/>
    <w:rsid w:val="00791819"/>
    <w:rsid w:val="0079190B"/>
    <w:rsid w:val="00791DD9"/>
    <w:rsid w:val="00792063"/>
    <w:rsid w:val="007926DB"/>
    <w:rsid w:val="00792EB5"/>
    <w:rsid w:val="007938C8"/>
    <w:rsid w:val="00793EE9"/>
    <w:rsid w:val="007941DD"/>
    <w:rsid w:val="0079431E"/>
    <w:rsid w:val="007945A3"/>
    <w:rsid w:val="00794F8D"/>
    <w:rsid w:val="00795ABD"/>
    <w:rsid w:val="0079780F"/>
    <w:rsid w:val="00797DB8"/>
    <w:rsid w:val="007A0224"/>
    <w:rsid w:val="007A1730"/>
    <w:rsid w:val="007A25D9"/>
    <w:rsid w:val="007A34F0"/>
    <w:rsid w:val="007A4C2F"/>
    <w:rsid w:val="007A4CA8"/>
    <w:rsid w:val="007A518F"/>
    <w:rsid w:val="007A532A"/>
    <w:rsid w:val="007A56E4"/>
    <w:rsid w:val="007A6296"/>
    <w:rsid w:val="007A6819"/>
    <w:rsid w:val="007A7187"/>
    <w:rsid w:val="007A7BA2"/>
    <w:rsid w:val="007A7F91"/>
    <w:rsid w:val="007B108E"/>
    <w:rsid w:val="007B1411"/>
    <w:rsid w:val="007B1528"/>
    <w:rsid w:val="007B1B22"/>
    <w:rsid w:val="007B1B63"/>
    <w:rsid w:val="007B1EA6"/>
    <w:rsid w:val="007B2569"/>
    <w:rsid w:val="007B357E"/>
    <w:rsid w:val="007B3779"/>
    <w:rsid w:val="007B3B98"/>
    <w:rsid w:val="007B461B"/>
    <w:rsid w:val="007B46B1"/>
    <w:rsid w:val="007B566D"/>
    <w:rsid w:val="007B6416"/>
    <w:rsid w:val="007B73FA"/>
    <w:rsid w:val="007C0470"/>
    <w:rsid w:val="007C08BD"/>
    <w:rsid w:val="007C17B7"/>
    <w:rsid w:val="007C1B26"/>
    <w:rsid w:val="007C27F3"/>
    <w:rsid w:val="007C2C8B"/>
    <w:rsid w:val="007C31DD"/>
    <w:rsid w:val="007C35C5"/>
    <w:rsid w:val="007C463F"/>
    <w:rsid w:val="007C5202"/>
    <w:rsid w:val="007C5378"/>
    <w:rsid w:val="007C61E1"/>
    <w:rsid w:val="007C6C80"/>
    <w:rsid w:val="007C761F"/>
    <w:rsid w:val="007C765C"/>
    <w:rsid w:val="007C7E34"/>
    <w:rsid w:val="007C7E9E"/>
    <w:rsid w:val="007D010B"/>
    <w:rsid w:val="007D0864"/>
    <w:rsid w:val="007D0BC1"/>
    <w:rsid w:val="007D11A4"/>
    <w:rsid w:val="007D1322"/>
    <w:rsid w:val="007D263B"/>
    <w:rsid w:val="007D311F"/>
    <w:rsid w:val="007D37B1"/>
    <w:rsid w:val="007D42EF"/>
    <w:rsid w:val="007D5A14"/>
    <w:rsid w:val="007D6331"/>
    <w:rsid w:val="007D6797"/>
    <w:rsid w:val="007D693E"/>
    <w:rsid w:val="007D74C0"/>
    <w:rsid w:val="007E05BD"/>
    <w:rsid w:val="007E09A5"/>
    <w:rsid w:val="007E0E06"/>
    <w:rsid w:val="007E10F1"/>
    <w:rsid w:val="007E114C"/>
    <w:rsid w:val="007E183E"/>
    <w:rsid w:val="007E188E"/>
    <w:rsid w:val="007E218C"/>
    <w:rsid w:val="007E2F87"/>
    <w:rsid w:val="007E3538"/>
    <w:rsid w:val="007E4565"/>
    <w:rsid w:val="007E48D1"/>
    <w:rsid w:val="007E4E4E"/>
    <w:rsid w:val="007E5176"/>
    <w:rsid w:val="007E52B2"/>
    <w:rsid w:val="007E7AA4"/>
    <w:rsid w:val="007E7D31"/>
    <w:rsid w:val="007E7E52"/>
    <w:rsid w:val="007F04A6"/>
    <w:rsid w:val="007F093C"/>
    <w:rsid w:val="007F186C"/>
    <w:rsid w:val="007F473A"/>
    <w:rsid w:val="007F49AA"/>
    <w:rsid w:val="007F4C6E"/>
    <w:rsid w:val="007F4D1D"/>
    <w:rsid w:val="007F64EC"/>
    <w:rsid w:val="007F6EFC"/>
    <w:rsid w:val="007F75A8"/>
    <w:rsid w:val="007F7764"/>
    <w:rsid w:val="007F789C"/>
    <w:rsid w:val="007F7D65"/>
    <w:rsid w:val="00800446"/>
    <w:rsid w:val="00801D56"/>
    <w:rsid w:val="00801F80"/>
    <w:rsid w:val="0080266D"/>
    <w:rsid w:val="008027B4"/>
    <w:rsid w:val="00803246"/>
    <w:rsid w:val="0080375C"/>
    <w:rsid w:val="008037F2"/>
    <w:rsid w:val="00804B05"/>
    <w:rsid w:val="008059A5"/>
    <w:rsid w:val="00807073"/>
    <w:rsid w:val="0080714D"/>
    <w:rsid w:val="008072CD"/>
    <w:rsid w:val="0080785D"/>
    <w:rsid w:val="00807DF8"/>
    <w:rsid w:val="008104E5"/>
    <w:rsid w:val="00810A52"/>
    <w:rsid w:val="00810EE1"/>
    <w:rsid w:val="00811301"/>
    <w:rsid w:val="00811376"/>
    <w:rsid w:val="00811B48"/>
    <w:rsid w:val="008133D2"/>
    <w:rsid w:val="00813F98"/>
    <w:rsid w:val="00814259"/>
    <w:rsid w:val="0081510A"/>
    <w:rsid w:val="008151CA"/>
    <w:rsid w:val="008151E9"/>
    <w:rsid w:val="008163D8"/>
    <w:rsid w:val="00816EBB"/>
    <w:rsid w:val="0081795D"/>
    <w:rsid w:val="00817A16"/>
    <w:rsid w:val="00817B16"/>
    <w:rsid w:val="00820427"/>
    <w:rsid w:val="008219C1"/>
    <w:rsid w:val="00821D25"/>
    <w:rsid w:val="00821E4D"/>
    <w:rsid w:val="00821FF1"/>
    <w:rsid w:val="008220F5"/>
    <w:rsid w:val="00822A6C"/>
    <w:rsid w:val="00822E3E"/>
    <w:rsid w:val="00823615"/>
    <w:rsid w:val="00823EB6"/>
    <w:rsid w:val="008253D5"/>
    <w:rsid w:val="008260A6"/>
    <w:rsid w:val="008262E2"/>
    <w:rsid w:val="00826882"/>
    <w:rsid w:val="00827586"/>
    <w:rsid w:val="00830143"/>
    <w:rsid w:val="00830BA9"/>
    <w:rsid w:val="0083129D"/>
    <w:rsid w:val="00831397"/>
    <w:rsid w:val="00831568"/>
    <w:rsid w:val="008319AE"/>
    <w:rsid w:val="00832724"/>
    <w:rsid w:val="00832CAE"/>
    <w:rsid w:val="00833CFC"/>
    <w:rsid w:val="00836762"/>
    <w:rsid w:val="00837170"/>
    <w:rsid w:val="00837572"/>
    <w:rsid w:val="00837607"/>
    <w:rsid w:val="00837FF2"/>
    <w:rsid w:val="008402E5"/>
    <w:rsid w:val="008403BE"/>
    <w:rsid w:val="008409BB"/>
    <w:rsid w:val="00841059"/>
    <w:rsid w:val="00841396"/>
    <w:rsid w:val="00841E2C"/>
    <w:rsid w:val="008445B0"/>
    <w:rsid w:val="00844FAA"/>
    <w:rsid w:val="00845459"/>
    <w:rsid w:val="0084593C"/>
    <w:rsid w:val="00845B6E"/>
    <w:rsid w:val="00845EB0"/>
    <w:rsid w:val="008461F2"/>
    <w:rsid w:val="008466D4"/>
    <w:rsid w:val="00847139"/>
    <w:rsid w:val="0084787E"/>
    <w:rsid w:val="0085239F"/>
    <w:rsid w:val="0085277B"/>
    <w:rsid w:val="00852B39"/>
    <w:rsid w:val="00852D2B"/>
    <w:rsid w:val="00853A27"/>
    <w:rsid w:val="00853E95"/>
    <w:rsid w:val="008540B6"/>
    <w:rsid w:val="0085471E"/>
    <w:rsid w:val="00854D06"/>
    <w:rsid w:val="008556DF"/>
    <w:rsid w:val="008556E4"/>
    <w:rsid w:val="0085685F"/>
    <w:rsid w:val="00856A18"/>
    <w:rsid w:val="00856DD6"/>
    <w:rsid w:val="00857CC2"/>
    <w:rsid w:val="00857D4A"/>
    <w:rsid w:val="00860357"/>
    <w:rsid w:val="0086073B"/>
    <w:rsid w:val="0086159D"/>
    <w:rsid w:val="008615D8"/>
    <w:rsid w:val="00862556"/>
    <w:rsid w:val="00862C68"/>
    <w:rsid w:val="00863197"/>
    <w:rsid w:val="00864056"/>
    <w:rsid w:val="008645AC"/>
    <w:rsid w:val="00865B1B"/>
    <w:rsid w:val="00866976"/>
    <w:rsid w:val="008678B0"/>
    <w:rsid w:val="00867DAE"/>
    <w:rsid w:val="00871114"/>
    <w:rsid w:val="008715EE"/>
    <w:rsid w:val="00872288"/>
    <w:rsid w:val="00872F59"/>
    <w:rsid w:val="00873580"/>
    <w:rsid w:val="00873C16"/>
    <w:rsid w:val="00874253"/>
    <w:rsid w:val="00876A74"/>
    <w:rsid w:val="008772AC"/>
    <w:rsid w:val="00877903"/>
    <w:rsid w:val="008815C9"/>
    <w:rsid w:val="0088171B"/>
    <w:rsid w:val="008818A9"/>
    <w:rsid w:val="00881ECA"/>
    <w:rsid w:val="0088244E"/>
    <w:rsid w:val="00882683"/>
    <w:rsid w:val="008826CF"/>
    <w:rsid w:val="00883F2A"/>
    <w:rsid w:val="008840D8"/>
    <w:rsid w:val="00884124"/>
    <w:rsid w:val="00884CE8"/>
    <w:rsid w:val="00885A6D"/>
    <w:rsid w:val="008869B3"/>
    <w:rsid w:val="00887B0A"/>
    <w:rsid w:val="00887F60"/>
    <w:rsid w:val="00890094"/>
    <w:rsid w:val="0089126B"/>
    <w:rsid w:val="00891690"/>
    <w:rsid w:val="00891950"/>
    <w:rsid w:val="00891ACA"/>
    <w:rsid w:val="008922DE"/>
    <w:rsid w:val="008924C6"/>
    <w:rsid w:val="0089381E"/>
    <w:rsid w:val="00893990"/>
    <w:rsid w:val="008939D5"/>
    <w:rsid w:val="00893D8F"/>
    <w:rsid w:val="0089489E"/>
    <w:rsid w:val="00894DDD"/>
    <w:rsid w:val="008950BA"/>
    <w:rsid w:val="00895978"/>
    <w:rsid w:val="00895C1F"/>
    <w:rsid w:val="00895D49"/>
    <w:rsid w:val="00896560"/>
    <w:rsid w:val="00897A68"/>
    <w:rsid w:val="00897D77"/>
    <w:rsid w:val="008A055E"/>
    <w:rsid w:val="008A1019"/>
    <w:rsid w:val="008A2727"/>
    <w:rsid w:val="008A299D"/>
    <w:rsid w:val="008A2B67"/>
    <w:rsid w:val="008A2F98"/>
    <w:rsid w:val="008A3D20"/>
    <w:rsid w:val="008A49EA"/>
    <w:rsid w:val="008A5099"/>
    <w:rsid w:val="008A53CB"/>
    <w:rsid w:val="008A5BDA"/>
    <w:rsid w:val="008A5E7C"/>
    <w:rsid w:val="008A6F29"/>
    <w:rsid w:val="008A6F8A"/>
    <w:rsid w:val="008A727B"/>
    <w:rsid w:val="008A7937"/>
    <w:rsid w:val="008A7DBB"/>
    <w:rsid w:val="008B085E"/>
    <w:rsid w:val="008B10A3"/>
    <w:rsid w:val="008B15B2"/>
    <w:rsid w:val="008B15D7"/>
    <w:rsid w:val="008B1B0A"/>
    <w:rsid w:val="008B3F9C"/>
    <w:rsid w:val="008B460A"/>
    <w:rsid w:val="008B4C6A"/>
    <w:rsid w:val="008B5689"/>
    <w:rsid w:val="008B5948"/>
    <w:rsid w:val="008B7523"/>
    <w:rsid w:val="008B7C15"/>
    <w:rsid w:val="008B7D8C"/>
    <w:rsid w:val="008C04EC"/>
    <w:rsid w:val="008C0638"/>
    <w:rsid w:val="008C0828"/>
    <w:rsid w:val="008C0940"/>
    <w:rsid w:val="008C1ABD"/>
    <w:rsid w:val="008C2906"/>
    <w:rsid w:val="008C2CCF"/>
    <w:rsid w:val="008C3513"/>
    <w:rsid w:val="008C36ED"/>
    <w:rsid w:val="008C3BA3"/>
    <w:rsid w:val="008C4389"/>
    <w:rsid w:val="008C4EC2"/>
    <w:rsid w:val="008C50D0"/>
    <w:rsid w:val="008C621A"/>
    <w:rsid w:val="008C6898"/>
    <w:rsid w:val="008D0018"/>
    <w:rsid w:val="008D0314"/>
    <w:rsid w:val="008D05CC"/>
    <w:rsid w:val="008D0632"/>
    <w:rsid w:val="008D1B67"/>
    <w:rsid w:val="008D2CCD"/>
    <w:rsid w:val="008D3535"/>
    <w:rsid w:val="008D3B0D"/>
    <w:rsid w:val="008D4989"/>
    <w:rsid w:val="008D57BC"/>
    <w:rsid w:val="008D57C9"/>
    <w:rsid w:val="008D5869"/>
    <w:rsid w:val="008D72A9"/>
    <w:rsid w:val="008D72B8"/>
    <w:rsid w:val="008D75A0"/>
    <w:rsid w:val="008D799F"/>
    <w:rsid w:val="008E05EB"/>
    <w:rsid w:val="008E0A0F"/>
    <w:rsid w:val="008E0D43"/>
    <w:rsid w:val="008E120C"/>
    <w:rsid w:val="008E12CB"/>
    <w:rsid w:val="008E195C"/>
    <w:rsid w:val="008E1C37"/>
    <w:rsid w:val="008E20DC"/>
    <w:rsid w:val="008E2325"/>
    <w:rsid w:val="008E29B7"/>
    <w:rsid w:val="008E325E"/>
    <w:rsid w:val="008E328D"/>
    <w:rsid w:val="008E3484"/>
    <w:rsid w:val="008E35BD"/>
    <w:rsid w:val="008E3EA1"/>
    <w:rsid w:val="008E4B15"/>
    <w:rsid w:val="008E5AD0"/>
    <w:rsid w:val="008E61A4"/>
    <w:rsid w:val="008E6F7C"/>
    <w:rsid w:val="008F04EA"/>
    <w:rsid w:val="008F106C"/>
    <w:rsid w:val="008F1AAF"/>
    <w:rsid w:val="008F1FCA"/>
    <w:rsid w:val="008F285E"/>
    <w:rsid w:val="008F2A6F"/>
    <w:rsid w:val="008F3290"/>
    <w:rsid w:val="008F3C00"/>
    <w:rsid w:val="008F5EB7"/>
    <w:rsid w:val="008F6E53"/>
    <w:rsid w:val="008F6EEC"/>
    <w:rsid w:val="008F7DE3"/>
    <w:rsid w:val="00901147"/>
    <w:rsid w:val="009018D2"/>
    <w:rsid w:val="00901C10"/>
    <w:rsid w:val="00901D7D"/>
    <w:rsid w:val="00901E09"/>
    <w:rsid w:val="009023A0"/>
    <w:rsid w:val="009031CC"/>
    <w:rsid w:val="00903417"/>
    <w:rsid w:val="00903B36"/>
    <w:rsid w:val="00903C99"/>
    <w:rsid w:val="009040D1"/>
    <w:rsid w:val="0090448A"/>
    <w:rsid w:val="00905158"/>
    <w:rsid w:val="009060A6"/>
    <w:rsid w:val="0090708B"/>
    <w:rsid w:val="00907A5E"/>
    <w:rsid w:val="00907CBA"/>
    <w:rsid w:val="00907DE1"/>
    <w:rsid w:val="00910350"/>
    <w:rsid w:val="00910573"/>
    <w:rsid w:val="00910ECB"/>
    <w:rsid w:val="009112ED"/>
    <w:rsid w:val="009112F1"/>
    <w:rsid w:val="00911677"/>
    <w:rsid w:val="00911C8F"/>
    <w:rsid w:val="00911D02"/>
    <w:rsid w:val="0091241D"/>
    <w:rsid w:val="009125DE"/>
    <w:rsid w:val="0091366F"/>
    <w:rsid w:val="0091519C"/>
    <w:rsid w:val="00915481"/>
    <w:rsid w:val="00915AF8"/>
    <w:rsid w:val="00916190"/>
    <w:rsid w:val="009173D9"/>
    <w:rsid w:val="00920F11"/>
    <w:rsid w:val="00920F82"/>
    <w:rsid w:val="009232AD"/>
    <w:rsid w:val="00923F17"/>
    <w:rsid w:val="0092422F"/>
    <w:rsid w:val="00924DA0"/>
    <w:rsid w:val="009252FB"/>
    <w:rsid w:val="0092538F"/>
    <w:rsid w:val="00925AEF"/>
    <w:rsid w:val="00926859"/>
    <w:rsid w:val="00926871"/>
    <w:rsid w:val="0092709C"/>
    <w:rsid w:val="00931992"/>
    <w:rsid w:val="009323F2"/>
    <w:rsid w:val="00932468"/>
    <w:rsid w:val="00933122"/>
    <w:rsid w:val="00933D4B"/>
    <w:rsid w:val="00933E58"/>
    <w:rsid w:val="009358CD"/>
    <w:rsid w:val="00936760"/>
    <w:rsid w:val="009368AD"/>
    <w:rsid w:val="0093693A"/>
    <w:rsid w:val="00937007"/>
    <w:rsid w:val="009401D1"/>
    <w:rsid w:val="009401FD"/>
    <w:rsid w:val="00941B9D"/>
    <w:rsid w:val="009420F2"/>
    <w:rsid w:val="009427B6"/>
    <w:rsid w:val="00942DFD"/>
    <w:rsid w:val="0094328D"/>
    <w:rsid w:val="00943B28"/>
    <w:rsid w:val="00943BD8"/>
    <w:rsid w:val="0094441A"/>
    <w:rsid w:val="00945617"/>
    <w:rsid w:val="00945D3C"/>
    <w:rsid w:val="00946040"/>
    <w:rsid w:val="00946FDD"/>
    <w:rsid w:val="009470DB"/>
    <w:rsid w:val="009475A7"/>
    <w:rsid w:val="009479DE"/>
    <w:rsid w:val="00953210"/>
    <w:rsid w:val="009536F1"/>
    <w:rsid w:val="00953EED"/>
    <w:rsid w:val="00954C3B"/>
    <w:rsid w:val="00956087"/>
    <w:rsid w:val="009565BE"/>
    <w:rsid w:val="00956774"/>
    <w:rsid w:val="009568C4"/>
    <w:rsid w:val="00956F75"/>
    <w:rsid w:val="00957001"/>
    <w:rsid w:val="00957578"/>
    <w:rsid w:val="0096074E"/>
    <w:rsid w:val="00960D6D"/>
    <w:rsid w:val="00961C5D"/>
    <w:rsid w:val="00962F8D"/>
    <w:rsid w:val="0096303F"/>
    <w:rsid w:val="00963AE2"/>
    <w:rsid w:val="009642EC"/>
    <w:rsid w:val="00964CAF"/>
    <w:rsid w:val="00965142"/>
    <w:rsid w:val="0096551A"/>
    <w:rsid w:val="0096598B"/>
    <w:rsid w:val="00966292"/>
    <w:rsid w:val="00966ED5"/>
    <w:rsid w:val="00967632"/>
    <w:rsid w:val="00967B1F"/>
    <w:rsid w:val="00967F36"/>
    <w:rsid w:val="00967FE8"/>
    <w:rsid w:val="00970071"/>
    <w:rsid w:val="00970368"/>
    <w:rsid w:val="0097095D"/>
    <w:rsid w:val="009718C7"/>
    <w:rsid w:val="00971966"/>
    <w:rsid w:val="00971DF3"/>
    <w:rsid w:val="00972371"/>
    <w:rsid w:val="009723C6"/>
    <w:rsid w:val="00972A8D"/>
    <w:rsid w:val="00972AFC"/>
    <w:rsid w:val="009734DE"/>
    <w:rsid w:val="00973B30"/>
    <w:rsid w:val="00974847"/>
    <w:rsid w:val="009752DD"/>
    <w:rsid w:val="0097549E"/>
    <w:rsid w:val="00975EBB"/>
    <w:rsid w:val="0097632F"/>
    <w:rsid w:val="009767E2"/>
    <w:rsid w:val="00976E57"/>
    <w:rsid w:val="009774A1"/>
    <w:rsid w:val="00977E08"/>
    <w:rsid w:val="00977FF7"/>
    <w:rsid w:val="0098018A"/>
    <w:rsid w:val="00980EF2"/>
    <w:rsid w:val="00981439"/>
    <w:rsid w:val="00982349"/>
    <w:rsid w:val="0098297D"/>
    <w:rsid w:val="00983DA3"/>
    <w:rsid w:val="0098444C"/>
    <w:rsid w:val="00985202"/>
    <w:rsid w:val="0098521A"/>
    <w:rsid w:val="009857E3"/>
    <w:rsid w:val="00985AB7"/>
    <w:rsid w:val="0098627C"/>
    <w:rsid w:val="00986D1D"/>
    <w:rsid w:val="00990010"/>
    <w:rsid w:val="00990042"/>
    <w:rsid w:val="00990762"/>
    <w:rsid w:val="00991031"/>
    <w:rsid w:val="00991B02"/>
    <w:rsid w:val="00992B9E"/>
    <w:rsid w:val="00992F2B"/>
    <w:rsid w:val="009934B4"/>
    <w:rsid w:val="009940E3"/>
    <w:rsid w:val="0099447C"/>
    <w:rsid w:val="00994A1C"/>
    <w:rsid w:val="00994C8A"/>
    <w:rsid w:val="00994D60"/>
    <w:rsid w:val="00995029"/>
    <w:rsid w:val="0099527E"/>
    <w:rsid w:val="00995592"/>
    <w:rsid w:val="00995734"/>
    <w:rsid w:val="00995BFD"/>
    <w:rsid w:val="009960C9"/>
    <w:rsid w:val="00996476"/>
    <w:rsid w:val="00996655"/>
    <w:rsid w:val="00997168"/>
    <w:rsid w:val="009A04BC"/>
    <w:rsid w:val="009A0AED"/>
    <w:rsid w:val="009A1169"/>
    <w:rsid w:val="009A1478"/>
    <w:rsid w:val="009A2433"/>
    <w:rsid w:val="009A3EC5"/>
    <w:rsid w:val="009A3F46"/>
    <w:rsid w:val="009A3F82"/>
    <w:rsid w:val="009A434B"/>
    <w:rsid w:val="009A4D7B"/>
    <w:rsid w:val="009A5038"/>
    <w:rsid w:val="009A5A13"/>
    <w:rsid w:val="009A6067"/>
    <w:rsid w:val="009A71A0"/>
    <w:rsid w:val="009A7B41"/>
    <w:rsid w:val="009B06D3"/>
    <w:rsid w:val="009B0A88"/>
    <w:rsid w:val="009B1649"/>
    <w:rsid w:val="009B2527"/>
    <w:rsid w:val="009B27DB"/>
    <w:rsid w:val="009B2C09"/>
    <w:rsid w:val="009B35B5"/>
    <w:rsid w:val="009B3626"/>
    <w:rsid w:val="009B3857"/>
    <w:rsid w:val="009B49A0"/>
    <w:rsid w:val="009B4ADD"/>
    <w:rsid w:val="009B51A2"/>
    <w:rsid w:val="009B51F6"/>
    <w:rsid w:val="009B59D5"/>
    <w:rsid w:val="009B5B86"/>
    <w:rsid w:val="009B5D34"/>
    <w:rsid w:val="009B5EE3"/>
    <w:rsid w:val="009B6B30"/>
    <w:rsid w:val="009B6D3E"/>
    <w:rsid w:val="009B7968"/>
    <w:rsid w:val="009C017C"/>
    <w:rsid w:val="009C0965"/>
    <w:rsid w:val="009C1B27"/>
    <w:rsid w:val="009C319E"/>
    <w:rsid w:val="009C6183"/>
    <w:rsid w:val="009C6E23"/>
    <w:rsid w:val="009C71C1"/>
    <w:rsid w:val="009C72C7"/>
    <w:rsid w:val="009C75DC"/>
    <w:rsid w:val="009C7662"/>
    <w:rsid w:val="009C7FA4"/>
    <w:rsid w:val="009D0946"/>
    <w:rsid w:val="009D0C20"/>
    <w:rsid w:val="009D12CB"/>
    <w:rsid w:val="009D1C10"/>
    <w:rsid w:val="009D1CC2"/>
    <w:rsid w:val="009D1FF8"/>
    <w:rsid w:val="009D236A"/>
    <w:rsid w:val="009D263A"/>
    <w:rsid w:val="009D29E4"/>
    <w:rsid w:val="009D2B7F"/>
    <w:rsid w:val="009D3040"/>
    <w:rsid w:val="009D3150"/>
    <w:rsid w:val="009D3AAC"/>
    <w:rsid w:val="009D4971"/>
    <w:rsid w:val="009D4D55"/>
    <w:rsid w:val="009D5230"/>
    <w:rsid w:val="009D586E"/>
    <w:rsid w:val="009D5A3F"/>
    <w:rsid w:val="009D5D18"/>
    <w:rsid w:val="009D6FB4"/>
    <w:rsid w:val="009D7094"/>
    <w:rsid w:val="009E16C0"/>
    <w:rsid w:val="009E196D"/>
    <w:rsid w:val="009E35E5"/>
    <w:rsid w:val="009E391F"/>
    <w:rsid w:val="009E39F9"/>
    <w:rsid w:val="009E3E20"/>
    <w:rsid w:val="009E4FA6"/>
    <w:rsid w:val="009E50BA"/>
    <w:rsid w:val="009E5198"/>
    <w:rsid w:val="009E557B"/>
    <w:rsid w:val="009E5DD2"/>
    <w:rsid w:val="009E63C4"/>
    <w:rsid w:val="009E63F9"/>
    <w:rsid w:val="009E664E"/>
    <w:rsid w:val="009E703F"/>
    <w:rsid w:val="009E752C"/>
    <w:rsid w:val="009E766D"/>
    <w:rsid w:val="009E7791"/>
    <w:rsid w:val="009F0308"/>
    <w:rsid w:val="009F0373"/>
    <w:rsid w:val="009F0558"/>
    <w:rsid w:val="009F0A90"/>
    <w:rsid w:val="009F0CB5"/>
    <w:rsid w:val="009F15D1"/>
    <w:rsid w:val="009F1A7A"/>
    <w:rsid w:val="009F2946"/>
    <w:rsid w:val="009F2969"/>
    <w:rsid w:val="009F2CCA"/>
    <w:rsid w:val="009F358C"/>
    <w:rsid w:val="009F46AB"/>
    <w:rsid w:val="009F4A88"/>
    <w:rsid w:val="009F56DF"/>
    <w:rsid w:val="009F5D85"/>
    <w:rsid w:val="009F5E36"/>
    <w:rsid w:val="009F63F5"/>
    <w:rsid w:val="009F7AB1"/>
    <w:rsid w:val="009F7AE3"/>
    <w:rsid w:val="00A00274"/>
    <w:rsid w:val="00A011E5"/>
    <w:rsid w:val="00A02165"/>
    <w:rsid w:val="00A0300E"/>
    <w:rsid w:val="00A0353D"/>
    <w:rsid w:val="00A0364B"/>
    <w:rsid w:val="00A039AB"/>
    <w:rsid w:val="00A03B0A"/>
    <w:rsid w:val="00A04D3F"/>
    <w:rsid w:val="00A05894"/>
    <w:rsid w:val="00A07B57"/>
    <w:rsid w:val="00A10077"/>
    <w:rsid w:val="00A10716"/>
    <w:rsid w:val="00A10730"/>
    <w:rsid w:val="00A11BB2"/>
    <w:rsid w:val="00A12711"/>
    <w:rsid w:val="00A14911"/>
    <w:rsid w:val="00A15554"/>
    <w:rsid w:val="00A16185"/>
    <w:rsid w:val="00A169B4"/>
    <w:rsid w:val="00A17225"/>
    <w:rsid w:val="00A17293"/>
    <w:rsid w:val="00A172E6"/>
    <w:rsid w:val="00A17B61"/>
    <w:rsid w:val="00A17BB2"/>
    <w:rsid w:val="00A206EA"/>
    <w:rsid w:val="00A20BFC"/>
    <w:rsid w:val="00A215E6"/>
    <w:rsid w:val="00A21D56"/>
    <w:rsid w:val="00A21E6A"/>
    <w:rsid w:val="00A22E31"/>
    <w:rsid w:val="00A25125"/>
    <w:rsid w:val="00A2527C"/>
    <w:rsid w:val="00A258D3"/>
    <w:rsid w:val="00A260AE"/>
    <w:rsid w:val="00A26462"/>
    <w:rsid w:val="00A269BA"/>
    <w:rsid w:val="00A26CE0"/>
    <w:rsid w:val="00A27934"/>
    <w:rsid w:val="00A27C84"/>
    <w:rsid w:val="00A307CA"/>
    <w:rsid w:val="00A30C5E"/>
    <w:rsid w:val="00A30F90"/>
    <w:rsid w:val="00A31073"/>
    <w:rsid w:val="00A31AEB"/>
    <w:rsid w:val="00A322B0"/>
    <w:rsid w:val="00A32332"/>
    <w:rsid w:val="00A3293E"/>
    <w:rsid w:val="00A32BCF"/>
    <w:rsid w:val="00A32E69"/>
    <w:rsid w:val="00A336FC"/>
    <w:rsid w:val="00A33BDD"/>
    <w:rsid w:val="00A34B47"/>
    <w:rsid w:val="00A3509B"/>
    <w:rsid w:val="00A36035"/>
    <w:rsid w:val="00A36456"/>
    <w:rsid w:val="00A36823"/>
    <w:rsid w:val="00A36B4F"/>
    <w:rsid w:val="00A3785F"/>
    <w:rsid w:val="00A37D95"/>
    <w:rsid w:val="00A41592"/>
    <w:rsid w:val="00A41724"/>
    <w:rsid w:val="00A417EA"/>
    <w:rsid w:val="00A422CB"/>
    <w:rsid w:val="00A42A3B"/>
    <w:rsid w:val="00A42BB4"/>
    <w:rsid w:val="00A42E8E"/>
    <w:rsid w:val="00A433EB"/>
    <w:rsid w:val="00A4439D"/>
    <w:rsid w:val="00A44792"/>
    <w:rsid w:val="00A44924"/>
    <w:rsid w:val="00A44ACB"/>
    <w:rsid w:val="00A44F0D"/>
    <w:rsid w:val="00A45132"/>
    <w:rsid w:val="00A47A4E"/>
    <w:rsid w:val="00A47D6E"/>
    <w:rsid w:val="00A47E25"/>
    <w:rsid w:val="00A50C93"/>
    <w:rsid w:val="00A51065"/>
    <w:rsid w:val="00A51153"/>
    <w:rsid w:val="00A51871"/>
    <w:rsid w:val="00A51D01"/>
    <w:rsid w:val="00A51DBB"/>
    <w:rsid w:val="00A53620"/>
    <w:rsid w:val="00A536E7"/>
    <w:rsid w:val="00A53879"/>
    <w:rsid w:val="00A54537"/>
    <w:rsid w:val="00A5492F"/>
    <w:rsid w:val="00A54B98"/>
    <w:rsid w:val="00A54C65"/>
    <w:rsid w:val="00A5617E"/>
    <w:rsid w:val="00A573A0"/>
    <w:rsid w:val="00A5742B"/>
    <w:rsid w:val="00A6000D"/>
    <w:rsid w:val="00A60519"/>
    <w:rsid w:val="00A609B9"/>
    <w:rsid w:val="00A62417"/>
    <w:rsid w:val="00A626A6"/>
    <w:rsid w:val="00A62797"/>
    <w:rsid w:val="00A627CC"/>
    <w:rsid w:val="00A62885"/>
    <w:rsid w:val="00A62C5A"/>
    <w:rsid w:val="00A62D87"/>
    <w:rsid w:val="00A635F5"/>
    <w:rsid w:val="00A64A56"/>
    <w:rsid w:val="00A64B8E"/>
    <w:rsid w:val="00A64CD2"/>
    <w:rsid w:val="00A64E21"/>
    <w:rsid w:val="00A6557C"/>
    <w:rsid w:val="00A65C4B"/>
    <w:rsid w:val="00A6633E"/>
    <w:rsid w:val="00A6697D"/>
    <w:rsid w:val="00A700C0"/>
    <w:rsid w:val="00A7054D"/>
    <w:rsid w:val="00A72C14"/>
    <w:rsid w:val="00A72D1A"/>
    <w:rsid w:val="00A73050"/>
    <w:rsid w:val="00A749EB"/>
    <w:rsid w:val="00A74B1D"/>
    <w:rsid w:val="00A74E18"/>
    <w:rsid w:val="00A750F0"/>
    <w:rsid w:val="00A7518C"/>
    <w:rsid w:val="00A756BA"/>
    <w:rsid w:val="00A75BAA"/>
    <w:rsid w:val="00A76065"/>
    <w:rsid w:val="00A778C8"/>
    <w:rsid w:val="00A77940"/>
    <w:rsid w:val="00A77AA7"/>
    <w:rsid w:val="00A80049"/>
    <w:rsid w:val="00A80CAA"/>
    <w:rsid w:val="00A8124B"/>
    <w:rsid w:val="00A81844"/>
    <w:rsid w:val="00A81B71"/>
    <w:rsid w:val="00A82270"/>
    <w:rsid w:val="00A82BE6"/>
    <w:rsid w:val="00A82EEF"/>
    <w:rsid w:val="00A83065"/>
    <w:rsid w:val="00A83407"/>
    <w:rsid w:val="00A83D54"/>
    <w:rsid w:val="00A842F5"/>
    <w:rsid w:val="00A85B1E"/>
    <w:rsid w:val="00A85CDB"/>
    <w:rsid w:val="00A86122"/>
    <w:rsid w:val="00A86C99"/>
    <w:rsid w:val="00A86CA0"/>
    <w:rsid w:val="00A878EA"/>
    <w:rsid w:val="00A9014D"/>
    <w:rsid w:val="00A90616"/>
    <w:rsid w:val="00A90A16"/>
    <w:rsid w:val="00A91B29"/>
    <w:rsid w:val="00A93DA1"/>
    <w:rsid w:val="00A93FA0"/>
    <w:rsid w:val="00A94225"/>
    <w:rsid w:val="00A9476B"/>
    <w:rsid w:val="00A950FA"/>
    <w:rsid w:val="00A95408"/>
    <w:rsid w:val="00A95C49"/>
    <w:rsid w:val="00A95FC7"/>
    <w:rsid w:val="00A96E1E"/>
    <w:rsid w:val="00A97F29"/>
    <w:rsid w:val="00AA0F6F"/>
    <w:rsid w:val="00AA157F"/>
    <w:rsid w:val="00AA1929"/>
    <w:rsid w:val="00AA1B4B"/>
    <w:rsid w:val="00AA1C8F"/>
    <w:rsid w:val="00AA2010"/>
    <w:rsid w:val="00AA2080"/>
    <w:rsid w:val="00AA3201"/>
    <w:rsid w:val="00AA48AA"/>
    <w:rsid w:val="00AA4BEE"/>
    <w:rsid w:val="00AA4EB2"/>
    <w:rsid w:val="00AA5DCE"/>
    <w:rsid w:val="00AA5E5E"/>
    <w:rsid w:val="00AA64E2"/>
    <w:rsid w:val="00AA6E3E"/>
    <w:rsid w:val="00AA6EBA"/>
    <w:rsid w:val="00AA7346"/>
    <w:rsid w:val="00AA73F8"/>
    <w:rsid w:val="00AA757D"/>
    <w:rsid w:val="00AA7A96"/>
    <w:rsid w:val="00AB090B"/>
    <w:rsid w:val="00AB0B1A"/>
    <w:rsid w:val="00AB0EFB"/>
    <w:rsid w:val="00AB0F21"/>
    <w:rsid w:val="00AB1A75"/>
    <w:rsid w:val="00AB2580"/>
    <w:rsid w:val="00AB273F"/>
    <w:rsid w:val="00AB2BA4"/>
    <w:rsid w:val="00AB2D66"/>
    <w:rsid w:val="00AB3A1A"/>
    <w:rsid w:val="00AB591A"/>
    <w:rsid w:val="00AB594E"/>
    <w:rsid w:val="00AB7175"/>
    <w:rsid w:val="00AB789E"/>
    <w:rsid w:val="00AC0855"/>
    <w:rsid w:val="00AC11D0"/>
    <w:rsid w:val="00AC1295"/>
    <w:rsid w:val="00AC1E1A"/>
    <w:rsid w:val="00AC24BC"/>
    <w:rsid w:val="00AC331E"/>
    <w:rsid w:val="00AC390B"/>
    <w:rsid w:val="00AC3ABC"/>
    <w:rsid w:val="00AC3C07"/>
    <w:rsid w:val="00AC3E59"/>
    <w:rsid w:val="00AC40FC"/>
    <w:rsid w:val="00AC4D5E"/>
    <w:rsid w:val="00AC5590"/>
    <w:rsid w:val="00AC59CD"/>
    <w:rsid w:val="00AC678A"/>
    <w:rsid w:val="00AC6E17"/>
    <w:rsid w:val="00AC7FF9"/>
    <w:rsid w:val="00AD0C59"/>
    <w:rsid w:val="00AD0C70"/>
    <w:rsid w:val="00AD163B"/>
    <w:rsid w:val="00AD1C73"/>
    <w:rsid w:val="00AD237A"/>
    <w:rsid w:val="00AD2BF3"/>
    <w:rsid w:val="00AD3D7C"/>
    <w:rsid w:val="00AD3EF5"/>
    <w:rsid w:val="00AD424E"/>
    <w:rsid w:val="00AD4ECF"/>
    <w:rsid w:val="00AD5CAB"/>
    <w:rsid w:val="00AD66DD"/>
    <w:rsid w:val="00AD69B0"/>
    <w:rsid w:val="00AD6CE4"/>
    <w:rsid w:val="00AD717E"/>
    <w:rsid w:val="00AD7806"/>
    <w:rsid w:val="00AD7D59"/>
    <w:rsid w:val="00AE0775"/>
    <w:rsid w:val="00AE1319"/>
    <w:rsid w:val="00AE155B"/>
    <w:rsid w:val="00AE1B64"/>
    <w:rsid w:val="00AE2379"/>
    <w:rsid w:val="00AE2828"/>
    <w:rsid w:val="00AE3069"/>
    <w:rsid w:val="00AE4A32"/>
    <w:rsid w:val="00AE4EBF"/>
    <w:rsid w:val="00AE52FF"/>
    <w:rsid w:val="00AE5FB4"/>
    <w:rsid w:val="00AE63E8"/>
    <w:rsid w:val="00AE6FC3"/>
    <w:rsid w:val="00AE7012"/>
    <w:rsid w:val="00AE7969"/>
    <w:rsid w:val="00AF0068"/>
    <w:rsid w:val="00AF0457"/>
    <w:rsid w:val="00AF08DC"/>
    <w:rsid w:val="00AF1D41"/>
    <w:rsid w:val="00AF21A4"/>
    <w:rsid w:val="00AF2244"/>
    <w:rsid w:val="00AF23FB"/>
    <w:rsid w:val="00AF2615"/>
    <w:rsid w:val="00AF27FC"/>
    <w:rsid w:val="00AF2C98"/>
    <w:rsid w:val="00AF2DBC"/>
    <w:rsid w:val="00AF4010"/>
    <w:rsid w:val="00AF5417"/>
    <w:rsid w:val="00AF56F1"/>
    <w:rsid w:val="00AF671B"/>
    <w:rsid w:val="00AF6A75"/>
    <w:rsid w:val="00AF7370"/>
    <w:rsid w:val="00AF7B10"/>
    <w:rsid w:val="00B00889"/>
    <w:rsid w:val="00B0090E"/>
    <w:rsid w:val="00B01129"/>
    <w:rsid w:val="00B038B1"/>
    <w:rsid w:val="00B04211"/>
    <w:rsid w:val="00B04386"/>
    <w:rsid w:val="00B04628"/>
    <w:rsid w:val="00B0463D"/>
    <w:rsid w:val="00B04F25"/>
    <w:rsid w:val="00B05056"/>
    <w:rsid w:val="00B066F5"/>
    <w:rsid w:val="00B07166"/>
    <w:rsid w:val="00B07187"/>
    <w:rsid w:val="00B07730"/>
    <w:rsid w:val="00B108A8"/>
    <w:rsid w:val="00B11895"/>
    <w:rsid w:val="00B118EC"/>
    <w:rsid w:val="00B11A2B"/>
    <w:rsid w:val="00B1265C"/>
    <w:rsid w:val="00B134EB"/>
    <w:rsid w:val="00B1351A"/>
    <w:rsid w:val="00B1382C"/>
    <w:rsid w:val="00B1394E"/>
    <w:rsid w:val="00B14026"/>
    <w:rsid w:val="00B140C6"/>
    <w:rsid w:val="00B14A23"/>
    <w:rsid w:val="00B14CF2"/>
    <w:rsid w:val="00B165B9"/>
    <w:rsid w:val="00B1661C"/>
    <w:rsid w:val="00B169DE"/>
    <w:rsid w:val="00B17385"/>
    <w:rsid w:val="00B17470"/>
    <w:rsid w:val="00B17668"/>
    <w:rsid w:val="00B17A05"/>
    <w:rsid w:val="00B17D5B"/>
    <w:rsid w:val="00B20863"/>
    <w:rsid w:val="00B21A5B"/>
    <w:rsid w:val="00B22426"/>
    <w:rsid w:val="00B231FE"/>
    <w:rsid w:val="00B235EE"/>
    <w:rsid w:val="00B24236"/>
    <w:rsid w:val="00B248CC"/>
    <w:rsid w:val="00B24BEA"/>
    <w:rsid w:val="00B24C02"/>
    <w:rsid w:val="00B24C56"/>
    <w:rsid w:val="00B251C6"/>
    <w:rsid w:val="00B26D08"/>
    <w:rsid w:val="00B30448"/>
    <w:rsid w:val="00B31529"/>
    <w:rsid w:val="00B324CA"/>
    <w:rsid w:val="00B32571"/>
    <w:rsid w:val="00B33CE0"/>
    <w:rsid w:val="00B33FF0"/>
    <w:rsid w:val="00B34B97"/>
    <w:rsid w:val="00B358F6"/>
    <w:rsid w:val="00B35A74"/>
    <w:rsid w:val="00B35B70"/>
    <w:rsid w:val="00B35E55"/>
    <w:rsid w:val="00B3647A"/>
    <w:rsid w:val="00B375E5"/>
    <w:rsid w:val="00B4111D"/>
    <w:rsid w:val="00B422BB"/>
    <w:rsid w:val="00B437B2"/>
    <w:rsid w:val="00B44155"/>
    <w:rsid w:val="00B443B8"/>
    <w:rsid w:val="00B44804"/>
    <w:rsid w:val="00B450FC"/>
    <w:rsid w:val="00B463DC"/>
    <w:rsid w:val="00B47473"/>
    <w:rsid w:val="00B47CCF"/>
    <w:rsid w:val="00B50752"/>
    <w:rsid w:val="00B5075F"/>
    <w:rsid w:val="00B50D33"/>
    <w:rsid w:val="00B51173"/>
    <w:rsid w:val="00B51E32"/>
    <w:rsid w:val="00B52905"/>
    <w:rsid w:val="00B53626"/>
    <w:rsid w:val="00B53ABC"/>
    <w:rsid w:val="00B54226"/>
    <w:rsid w:val="00B549FE"/>
    <w:rsid w:val="00B54F17"/>
    <w:rsid w:val="00B554CA"/>
    <w:rsid w:val="00B55F6E"/>
    <w:rsid w:val="00B55FB1"/>
    <w:rsid w:val="00B56350"/>
    <w:rsid w:val="00B56528"/>
    <w:rsid w:val="00B565F9"/>
    <w:rsid w:val="00B568E0"/>
    <w:rsid w:val="00B570B6"/>
    <w:rsid w:val="00B5711E"/>
    <w:rsid w:val="00B57932"/>
    <w:rsid w:val="00B60001"/>
    <w:rsid w:val="00B60207"/>
    <w:rsid w:val="00B61AA3"/>
    <w:rsid w:val="00B61B52"/>
    <w:rsid w:val="00B62159"/>
    <w:rsid w:val="00B622BE"/>
    <w:rsid w:val="00B62A41"/>
    <w:rsid w:val="00B639F7"/>
    <w:rsid w:val="00B64291"/>
    <w:rsid w:val="00B6439F"/>
    <w:rsid w:val="00B64B36"/>
    <w:rsid w:val="00B6503A"/>
    <w:rsid w:val="00B65195"/>
    <w:rsid w:val="00B658C4"/>
    <w:rsid w:val="00B65B01"/>
    <w:rsid w:val="00B65BDD"/>
    <w:rsid w:val="00B664ED"/>
    <w:rsid w:val="00B66797"/>
    <w:rsid w:val="00B67784"/>
    <w:rsid w:val="00B67EDA"/>
    <w:rsid w:val="00B70426"/>
    <w:rsid w:val="00B70E23"/>
    <w:rsid w:val="00B70F1C"/>
    <w:rsid w:val="00B717A6"/>
    <w:rsid w:val="00B71D71"/>
    <w:rsid w:val="00B71F89"/>
    <w:rsid w:val="00B7274D"/>
    <w:rsid w:val="00B72906"/>
    <w:rsid w:val="00B72B63"/>
    <w:rsid w:val="00B72F93"/>
    <w:rsid w:val="00B730B5"/>
    <w:rsid w:val="00B7340B"/>
    <w:rsid w:val="00B752F6"/>
    <w:rsid w:val="00B752F8"/>
    <w:rsid w:val="00B76391"/>
    <w:rsid w:val="00B764E4"/>
    <w:rsid w:val="00B77940"/>
    <w:rsid w:val="00B80037"/>
    <w:rsid w:val="00B81298"/>
    <w:rsid w:val="00B8144E"/>
    <w:rsid w:val="00B817D8"/>
    <w:rsid w:val="00B82754"/>
    <w:rsid w:val="00B833A6"/>
    <w:rsid w:val="00B837CD"/>
    <w:rsid w:val="00B83A7C"/>
    <w:rsid w:val="00B83AB7"/>
    <w:rsid w:val="00B83D6A"/>
    <w:rsid w:val="00B85271"/>
    <w:rsid w:val="00B852D0"/>
    <w:rsid w:val="00B85498"/>
    <w:rsid w:val="00B85A39"/>
    <w:rsid w:val="00B861FD"/>
    <w:rsid w:val="00B8681D"/>
    <w:rsid w:val="00B8691D"/>
    <w:rsid w:val="00B871A4"/>
    <w:rsid w:val="00B873AF"/>
    <w:rsid w:val="00B87560"/>
    <w:rsid w:val="00B9053F"/>
    <w:rsid w:val="00B91581"/>
    <w:rsid w:val="00B91C5D"/>
    <w:rsid w:val="00B91C85"/>
    <w:rsid w:val="00B925E5"/>
    <w:rsid w:val="00B925F2"/>
    <w:rsid w:val="00B926CC"/>
    <w:rsid w:val="00B92823"/>
    <w:rsid w:val="00B92A66"/>
    <w:rsid w:val="00B93322"/>
    <w:rsid w:val="00B93B02"/>
    <w:rsid w:val="00B93C00"/>
    <w:rsid w:val="00B93C9F"/>
    <w:rsid w:val="00B94581"/>
    <w:rsid w:val="00B95104"/>
    <w:rsid w:val="00B964B9"/>
    <w:rsid w:val="00B96876"/>
    <w:rsid w:val="00B96E0C"/>
    <w:rsid w:val="00B970C2"/>
    <w:rsid w:val="00BA07F2"/>
    <w:rsid w:val="00BA08FD"/>
    <w:rsid w:val="00BA0B0B"/>
    <w:rsid w:val="00BA0B4F"/>
    <w:rsid w:val="00BA16CA"/>
    <w:rsid w:val="00BA23D2"/>
    <w:rsid w:val="00BA243C"/>
    <w:rsid w:val="00BA28F6"/>
    <w:rsid w:val="00BA2BAF"/>
    <w:rsid w:val="00BA3373"/>
    <w:rsid w:val="00BA37BE"/>
    <w:rsid w:val="00BA3A16"/>
    <w:rsid w:val="00BA3A22"/>
    <w:rsid w:val="00BA3B43"/>
    <w:rsid w:val="00BA3ECB"/>
    <w:rsid w:val="00BA4694"/>
    <w:rsid w:val="00BA4703"/>
    <w:rsid w:val="00BA480F"/>
    <w:rsid w:val="00BA5264"/>
    <w:rsid w:val="00BA5B01"/>
    <w:rsid w:val="00BA5DA2"/>
    <w:rsid w:val="00BA604B"/>
    <w:rsid w:val="00BA60A8"/>
    <w:rsid w:val="00BA62C6"/>
    <w:rsid w:val="00BA66B9"/>
    <w:rsid w:val="00BA6990"/>
    <w:rsid w:val="00BA7094"/>
    <w:rsid w:val="00BA740E"/>
    <w:rsid w:val="00BB03A1"/>
    <w:rsid w:val="00BB0813"/>
    <w:rsid w:val="00BB0F5A"/>
    <w:rsid w:val="00BB186F"/>
    <w:rsid w:val="00BB20FE"/>
    <w:rsid w:val="00BB21D5"/>
    <w:rsid w:val="00BB2E14"/>
    <w:rsid w:val="00BB2E7D"/>
    <w:rsid w:val="00BB35C4"/>
    <w:rsid w:val="00BB362B"/>
    <w:rsid w:val="00BB562D"/>
    <w:rsid w:val="00BB5631"/>
    <w:rsid w:val="00BB68B4"/>
    <w:rsid w:val="00BC05A5"/>
    <w:rsid w:val="00BC08FE"/>
    <w:rsid w:val="00BC0E26"/>
    <w:rsid w:val="00BC0EDD"/>
    <w:rsid w:val="00BC1947"/>
    <w:rsid w:val="00BC1DA2"/>
    <w:rsid w:val="00BC1DBF"/>
    <w:rsid w:val="00BC2A81"/>
    <w:rsid w:val="00BC3CD5"/>
    <w:rsid w:val="00BC4643"/>
    <w:rsid w:val="00BC515B"/>
    <w:rsid w:val="00BC5627"/>
    <w:rsid w:val="00BC579F"/>
    <w:rsid w:val="00BC7819"/>
    <w:rsid w:val="00BD0E38"/>
    <w:rsid w:val="00BD1052"/>
    <w:rsid w:val="00BD174A"/>
    <w:rsid w:val="00BD3A7C"/>
    <w:rsid w:val="00BD5498"/>
    <w:rsid w:val="00BD6364"/>
    <w:rsid w:val="00BD74FD"/>
    <w:rsid w:val="00BE0238"/>
    <w:rsid w:val="00BE064E"/>
    <w:rsid w:val="00BE0863"/>
    <w:rsid w:val="00BE32BD"/>
    <w:rsid w:val="00BE3C46"/>
    <w:rsid w:val="00BE3F3B"/>
    <w:rsid w:val="00BE4154"/>
    <w:rsid w:val="00BE431E"/>
    <w:rsid w:val="00BE4456"/>
    <w:rsid w:val="00BE44CB"/>
    <w:rsid w:val="00BE4E3E"/>
    <w:rsid w:val="00BE5F99"/>
    <w:rsid w:val="00BE6230"/>
    <w:rsid w:val="00BE69BF"/>
    <w:rsid w:val="00BF0021"/>
    <w:rsid w:val="00BF00AE"/>
    <w:rsid w:val="00BF089B"/>
    <w:rsid w:val="00BF319D"/>
    <w:rsid w:val="00BF34EF"/>
    <w:rsid w:val="00BF3B19"/>
    <w:rsid w:val="00BF4A3B"/>
    <w:rsid w:val="00BF6D70"/>
    <w:rsid w:val="00BF6D92"/>
    <w:rsid w:val="00BF78AD"/>
    <w:rsid w:val="00C0167B"/>
    <w:rsid w:val="00C025B5"/>
    <w:rsid w:val="00C0383A"/>
    <w:rsid w:val="00C05404"/>
    <w:rsid w:val="00C05436"/>
    <w:rsid w:val="00C05B92"/>
    <w:rsid w:val="00C05CB1"/>
    <w:rsid w:val="00C06054"/>
    <w:rsid w:val="00C0770E"/>
    <w:rsid w:val="00C077C5"/>
    <w:rsid w:val="00C07AEE"/>
    <w:rsid w:val="00C07C60"/>
    <w:rsid w:val="00C07D01"/>
    <w:rsid w:val="00C10015"/>
    <w:rsid w:val="00C1025B"/>
    <w:rsid w:val="00C10427"/>
    <w:rsid w:val="00C11A36"/>
    <w:rsid w:val="00C11AB5"/>
    <w:rsid w:val="00C12C74"/>
    <w:rsid w:val="00C130FC"/>
    <w:rsid w:val="00C13F4A"/>
    <w:rsid w:val="00C1509B"/>
    <w:rsid w:val="00C17618"/>
    <w:rsid w:val="00C1798B"/>
    <w:rsid w:val="00C206BC"/>
    <w:rsid w:val="00C215A1"/>
    <w:rsid w:val="00C216E6"/>
    <w:rsid w:val="00C21AFE"/>
    <w:rsid w:val="00C227A9"/>
    <w:rsid w:val="00C22D71"/>
    <w:rsid w:val="00C22FEB"/>
    <w:rsid w:val="00C23977"/>
    <w:rsid w:val="00C23ABF"/>
    <w:rsid w:val="00C23CA5"/>
    <w:rsid w:val="00C256CE"/>
    <w:rsid w:val="00C258A5"/>
    <w:rsid w:val="00C25EBB"/>
    <w:rsid w:val="00C26D59"/>
    <w:rsid w:val="00C27297"/>
    <w:rsid w:val="00C303BB"/>
    <w:rsid w:val="00C309A3"/>
    <w:rsid w:val="00C30E79"/>
    <w:rsid w:val="00C31095"/>
    <w:rsid w:val="00C31459"/>
    <w:rsid w:val="00C31B9F"/>
    <w:rsid w:val="00C32300"/>
    <w:rsid w:val="00C339C3"/>
    <w:rsid w:val="00C3427A"/>
    <w:rsid w:val="00C3433C"/>
    <w:rsid w:val="00C3474C"/>
    <w:rsid w:val="00C34C10"/>
    <w:rsid w:val="00C352D1"/>
    <w:rsid w:val="00C35848"/>
    <w:rsid w:val="00C36619"/>
    <w:rsid w:val="00C36A6A"/>
    <w:rsid w:val="00C3715E"/>
    <w:rsid w:val="00C37DE2"/>
    <w:rsid w:val="00C40C29"/>
    <w:rsid w:val="00C4180C"/>
    <w:rsid w:val="00C422FD"/>
    <w:rsid w:val="00C42A36"/>
    <w:rsid w:val="00C43190"/>
    <w:rsid w:val="00C43DBC"/>
    <w:rsid w:val="00C43E0A"/>
    <w:rsid w:val="00C45C40"/>
    <w:rsid w:val="00C45CD3"/>
    <w:rsid w:val="00C47343"/>
    <w:rsid w:val="00C478C1"/>
    <w:rsid w:val="00C50349"/>
    <w:rsid w:val="00C50953"/>
    <w:rsid w:val="00C50D11"/>
    <w:rsid w:val="00C50D65"/>
    <w:rsid w:val="00C51B0D"/>
    <w:rsid w:val="00C51BCD"/>
    <w:rsid w:val="00C5203D"/>
    <w:rsid w:val="00C52602"/>
    <w:rsid w:val="00C52D9B"/>
    <w:rsid w:val="00C5319D"/>
    <w:rsid w:val="00C53426"/>
    <w:rsid w:val="00C538A1"/>
    <w:rsid w:val="00C546AD"/>
    <w:rsid w:val="00C54800"/>
    <w:rsid w:val="00C55840"/>
    <w:rsid w:val="00C60A3E"/>
    <w:rsid w:val="00C60D0E"/>
    <w:rsid w:val="00C628E9"/>
    <w:rsid w:val="00C62D59"/>
    <w:rsid w:val="00C631FE"/>
    <w:rsid w:val="00C63897"/>
    <w:rsid w:val="00C649ED"/>
    <w:rsid w:val="00C64D04"/>
    <w:rsid w:val="00C6512D"/>
    <w:rsid w:val="00C65E78"/>
    <w:rsid w:val="00C6662D"/>
    <w:rsid w:val="00C6681A"/>
    <w:rsid w:val="00C67606"/>
    <w:rsid w:val="00C70014"/>
    <w:rsid w:val="00C71AC5"/>
    <w:rsid w:val="00C72B62"/>
    <w:rsid w:val="00C72CC0"/>
    <w:rsid w:val="00C73C96"/>
    <w:rsid w:val="00C741EA"/>
    <w:rsid w:val="00C74EAE"/>
    <w:rsid w:val="00C75C90"/>
    <w:rsid w:val="00C80B55"/>
    <w:rsid w:val="00C80B92"/>
    <w:rsid w:val="00C80F26"/>
    <w:rsid w:val="00C81471"/>
    <w:rsid w:val="00C82B37"/>
    <w:rsid w:val="00C83CC9"/>
    <w:rsid w:val="00C83ECF"/>
    <w:rsid w:val="00C84674"/>
    <w:rsid w:val="00C84ED6"/>
    <w:rsid w:val="00C851EA"/>
    <w:rsid w:val="00C85206"/>
    <w:rsid w:val="00C85420"/>
    <w:rsid w:val="00C85B39"/>
    <w:rsid w:val="00C85F53"/>
    <w:rsid w:val="00C864C4"/>
    <w:rsid w:val="00C8673F"/>
    <w:rsid w:val="00C86F5C"/>
    <w:rsid w:val="00C87517"/>
    <w:rsid w:val="00C87537"/>
    <w:rsid w:val="00C90C7B"/>
    <w:rsid w:val="00C9276F"/>
    <w:rsid w:val="00C92996"/>
    <w:rsid w:val="00C92D60"/>
    <w:rsid w:val="00C933F0"/>
    <w:rsid w:val="00C93CFD"/>
    <w:rsid w:val="00C93D20"/>
    <w:rsid w:val="00C93FE4"/>
    <w:rsid w:val="00C940C9"/>
    <w:rsid w:val="00C9494C"/>
    <w:rsid w:val="00C94B96"/>
    <w:rsid w:val="00C9511E"/>
    <w:rsid w:val="00C9529D"/>
    <w:rsid w:val="00C954C5"/>
    <w:rsid w:val="00C9568B"/>
    <w:rsid w:val="00C95E8B"/>
    <w:rsid w:val="00C97A2B"/>
    <w:rsid w:val="00C97E0F"/>
    <w:rsid w:val="00CA0032"/>
    <w:rsid w:val="00CA05D1"/>
    <w:rsid w:val="00CA1381"/>
    <w:rsid w:val="00CA1435"/>
    <w:rsid w:val="00CA191C"/>
    <w:rsid w:val="00CA25DC"/>
    <w:rsid w:val="00CA3316"/>
    <w:rsid w:val="00CA33C9"/>
    <w:rsid w:val="00CA39F0"/>
    <w:rsid w:val="00CA3CDD"/>
    <w:rsid w:val="00CA3D6B"/>
    <w:rsid w:val="00CA44AF"/>
    <w:rsid w:val="00CA45BA"/>
    <w:rsid w:val="00CA46A7"/>
    <w:rsid w:val="00CA46DC"/>
    <w:rsid w:val="00CA56CA"/>
    <w:rsid w:val="00CA5A1C"/>
    <w:rsid w:val="00CA609B"/>
    <w:rsid w:val="00CA7CC2"/>
    <w:rsid w:val="00CA7D33"/>
    <w:rsid w:val="00CA7E4F"/>
    <w:rsid w:val="00CB0824"/>
    <w:rsid w:val="00CB1764"/>
    <w:rsid w:val="00CB1BEA"/>
    <w:rsid w:val="00CB1BF8"/>
    <w:rsid w:val="00CB1F3E"/>
    <w:rsid w:val="00CB27D2"/>
    <w:rsid w:val="00CB2A88"/>
    <w:rsid w:val="00CB2C56"/>
    <w:rsid w:val="00CB35EC"/>
    <w:rsid w:val="00CB4369"/>
    <w:rsid w:val="00CB4D27"/>
    <w:rsid w:val="00CB58E2"/>
    <w:rsid w:val="00CB7541"/>
    <w:rsid w:val="00CC0808"/>
    <w:rsid w:val="00CC1002"/>
    <w:rsid w:val="00CC101C"/>
    <w:rsid w:val="00CC11D8"/>
    <w:rsid w:val="00CC279A"/>
    <w:rsid w:val="00CC3A6D"/>
    <w:rsid w:val="00CC5BEF"/>
    <w:rsid w:val="00CC68EA"/>
    <w:rsid w:val="00CC6C83"/>
    <w:rsid w:val="00CC6DE0"/>
    <w:rsid w:val="00CC767F"/>
    <w:rsid w:val="00CC7DCA"/>
    <w:rsid w:val="00CD1D22"/>
    <w:rsid w:val="00CD2049"/>
    <w:rsid w:val="00CD2277"/>
    <w:rsid w:val="00CD2BDF"/>
    <w:rsid w:val="00CD2C6A"/>
    <w:rsid w:val="00CD3168"/>
    <w:rsid w:val="00CD4C56"/>
    <w:rsid w:val="00CD503D"/>
    <w:rsid w:val="00CD63F1"/>
    <w:rsid w:val="00CD6C57"/>
    <w:rsid w:val="00CD6F9E"/>
    <w:rsid w:val="00CD78E4"/>
    <w:rsid w:val="00CE1688"/>
    <w:rsid w:val="00CE188D"/>
    <w:rsid w:val="00CE1D3C"/>
    <w:rsid w:val="00CE1D59"/>
    <w:rsid w:val="00CE1D94"/>
    <w:rsid w:val="00CE209C"/>
    <w:rsid w:val="00CE37E4"/>
    <w:rsid w:val="00CE3E94"/>
    <w:rsid w:val="00CE4FDE"/>
    <w:rsid w:val="00CE6619"/>
    <w:rsid w:val="00CE6769"/>
    <w:rsid w:val="00CF07BB"/>
    <w:rsid w:val="00CF1126"/>
    <w:rsid w:val="00CF1129"/>
    <w:rsid w:val="00CF1148"/>
    <w:rsid w:val="00CF160C"/>
    <w:rsid w:val="00CF171C"/>
    <w:rsid w:val="00CF1CA0"/>
    <w:rsid w:val="00CF25C7"/>
    <w:rsid w:val="00CF28DA"/>
    <w:rsid w:val="00CF2BC1"/>
    <w:rsid w:val="00CF2C6D"/>
    <w:rsid w:val="00CF3165"/>
    <w:rsid w:val="00CF3362"/>
    <w:rsid w:val="00CF3E73"/>
    <w:rsid w:val="00CF4295"/>
    <w:rsid w:val="00CF463B"/>
    <w:rsid w:val="00CF4970"/>
    <w:rsid w:val="00CF5B5C"/>
    <w:rsid w:val="00CF6CCB"/>
    <w:rsid w:val="00CF6D50"/>
    <w:rsid w:val="00CF7F7D"/>
    <w:rsid w:val="00D0004E"/>
    <w:rsid w:val="00D0069D"/>
    <w:rsid w:val="00D01386"/>
    <w:rsid w:val="00D0221C"/>
    <w:rsid w:val="00D027A3"/>
    <w:rsid w:val="00D03644"/>
    <w:rsid w:val="00D03D2C"/>
    <w:rsid w:val="00D0414C"/>
    <w:rsid w:val="00D04CF5"/>
    <w:rsid w:val="00D05D77"/>
    <w:rsid w:val="00D06E79"/>
    <w:rsid w:val="00D070A2"/>
    <w:rsid w:val="00D0721D"/>
    <w:rsid w:val="00D072BD"/>
    <w:rsid w:val="00D1001C"/>
    <w:rsid w:val="00D10F6D"/>
    <w:rsid w:val="00D11AA0"/>
    <w:rsid w:val="00D12E75"/>
    <w:rsid w:val="00D13D2A"/>
    <w:rsid w:val="00D13F30"/>
    <w:rsid w:val="00D15C0D"/>
    <w:rsid w:val="00D15E82"/>
    <w:rsid w:val="00D16BF2"/>
    <w:rsid w:val="00D2139D"/>
    <w:rsid w:val="00D22275"/>
    <w:rsid w:val="00D22E05"/>
    <w:rsid w:val="00D22F13"/>
    <w:rsid w:val="00D23035"/>
    <w:rsid w:val="00D235B4"/>
    <w:rsid w:val="00D23A11"/>
    <w:rsid w:val="00D24579"/>
    <w:rsid w:val="00D24C70"/>
    <w:rsid w:val="00D24F5C"/>
    <w:rsid w:val="00D24FBD"/>
    <w:rsid w:val="00D25A86"/>
    <w:rsid w:val="00D25D23"/>
    <w:rsid w:val="00D25DE4"/>
    <w:rsid w:val="00D269F1"/>
    <w:rsid w:val="00D26CA5"/>
    <w:rsid w:val="00D26D5D"/>
    <w:rsid w:val="00D274BB"/>
    <w:rsid w:val="00D27B60"/>
    <w:rsid w:val="00D30B3F"/>
    <w:rsid w:val="00D314C2"/>
    <w:rsid w:val="00D32081"/>
    <w:rsid w:val="00D322E3"/>
    <w:rsid w:val="00D3247D"/>
    <w:rsid w:val="00D32955"/>
    <w:rsid w:val="00D330A9"/>
    <w:rsid w:val="00D334D9"/>
    <w:rsid w:val="00D33797"/>
    <w:rsid w:val="00D34194"/>
    <w:rsid w:val="00D360A6"/>
    <w:rsid w:val="00D36180"/>
    <w:rsid w:val="00D36235"/>
    <w:rsid w:val="00D3643C"/>
    <w:rsid w:val="00D36903"/>
    <w:rsid w:val="00D371DE"/>
    <w:rsid w:val="00D379A7"/>
    <w:rsid w:val="00D40591"/>
    <w:rsid w:val="00D408D3"/>
    <w:rsid w:val="00D40F57"/>
    <w:rsid w:val="00D416F0"/>
    <w:rsid w:val="00D41A22"/>
    <w:rsid w:val="00D43488"/>
    <w:rsid w:val="00D43E1E"/>
    <w:rsid w:val="00D43E2B"/>
    <w:rsid w:val="00D44C4A"/>
    <w:rsid w:val="00D4526C"/>
    <w:rsid w:val="00D4567E"/>
    <w:rsid w:val="00D45773"/>
    <w:rsid w:val="00D4584F"/>
    <w:rsid w:val="00D45E61"/>
    <w:rsid w:val="00D45F4C"/>
    <w:rsid w:val="00D46160"/>
    <w:rsid w:val="00D46860"/>
    <w:rsid w:val="00D46992"/>
    <w:rsid w:val="00D47779"/>
    <w:rsid w:val="00D519B4"/>
    <w:rsid w:val="00D51BF7"/>
    <w:rsid w:val="00D51D0D"/>
    <w:rsid w:val="00D52263"/>
    <w:rsid w:val="00D524F0"/>
    <w:rsid w:val="00D52516"/>
    <w:rsid w:val="00D536BF"/>
    <w:rsid w:val="00D536F6"/>
    <w:rsid w:val="00D53932"/>
    <w:rsid w:val="00D53979"/>
    <w:rsid w:val="00D54A7B"/>
    <w:rsid w:val="00D55026"/>
    <w:rsid w:val="00D55928"/>
    <w:rsid w:val="00D55B39"/>
    <w:rsid w:val="00D55D31"/>
    <w:rsid w:val="00D564EB"/>
    <w:rsid w:val="00D56716"/>
    <w:rsid w:val="00D57826"/>
    <w:rsid w:val="00D57DB3"/>
    <w:rsid w:val="00D602FF"/>
    <w:rsid w:val="00D6055F"/>
    <w:rsid w:val="00D61092"/>
    <w:rsid w:val="00D614F6"/>
    <w:rsid w:val="00D632B9"/>
    <w:rsid w:val="00D6338C"/>
    <w:rsid w:val="00D637A0"/>
    <w:rsid w:val="00D63BEE"/>
    <w:rsid w:val="00D647C3"/>
    <w:rsid w:val="00D64F62"/>
    <w:rsid w:val="00D6503A"/>
    <w:rsid w:val="00D653FE"/>
    <w:rsid w:val="00D65A2C"/>
    <w:rsid w:val="00D6615A"/>
    <w:rsid w:val="00D67DDE"/>
    <w:rsid w:val="00D708FA"/>
    <w:rsid w:val="00D70DF5"/>
    <w:rsid w:val="00D71851"/>
    <w:rsid w:val="00D7245C"/>
    <w:rsid w:val="00D72513"/>
    <w:rsid w:val="00D730AB"/>
    <w:rsid w:val="00D73567"/>
    <w:rsid w:val="00D741D9"/>
    <w:rsid w:val="00D745CB"/>
    <w:rsid w:val="00D745F6"/>
    <w:rsid w:val="00D77100"/>
    <w:rsid w:val="00D771FD"/>
    <w:rsid w:val="00D772E5"/>
    <w:rsid w:val="00D773C6"/>
    <w:rsid w:val="00D77691"/>
    <w:rsid w:val="00D77A09"/>
    <w:rsid w:val="00D77BE6"/>
    <w:rsid w:val="00D811FB"/>
    <w:rsid w:val="00D81269"/>
    <w:rsid w:val="00D81617"/>
    <w:rsid w:val="00D81F9F"/>
    <w:rsid w:val="00D82024"/>
    <w:rsid w:val="00D8202D"/>
    <w:rsid w:val="00D82573"/>
    <w:rsid w:val="00D8343E"/>
    <w:rsid w:val="00D834C5"/>
    <w:rsid w:val="00D85131"/>
    <w:rsid w:val="00D86693"/>
    <w:rsid w:val="00D86F6D"/>
    <w:rsid w:val="00D8752B"/>
    <w:rsid w:val="00D875B5"/>
    <w:rsid w:val="00D87728"/>
    <w:rsid w:val="00D9174A"/>
    <w:rsid w:val="00D9179F"/>
    <w:rsid w:val="00D948F6"/>
    <w:rsid w:val="00D94C00"/>
    <w:rsid w:val="00D96C92"/>
    <w:rsid w:val="00D96DBB"/>
    <w:rsid w:val="00D9757A"/>
    <w:rsid w:val="00D97705"/>
    <w:rsid w:val="00D979B3"/>
    <w:rsid w:val="00DA0814"/>
    <w:rsid w:val="00DA0C66"/>
    <w:rsid w:val="00DA133A"/>
    <w:rsid w:val="00DA19DC"/>
    <w:rsid w:val="00DA2ECA"/>
    <w:rsid w:val="00DA39BB"/>
    <w:rsid w:val="00DA3D2A"/>
    <w:rsid w:val="00DA404E"/>
    <w:rsid w:val="00DA40A0"/>
    <w:rsid w:val="00DA40AC"/>
    <w:rsid w:val="00DA4133"/>
    <w:rsid w:val="00DA551A"/>
    <w:rsid w:val="00DA5620"/>
    <w:rsid w:val="00DA5FD7"/>
    <w:rsid w:val="00DA745C"/>
    <w:rsid w:val="00DA7C51"/>
    <w:rsid w:val="00DB0C99"/>
    <w:rsid w:val="00DB12BC"/>
    <w:rsid w:val="00DB1D59"/>
    <w:rsid w:val="00DB2793"/>
    <w:rsid w:val="00DB2B42"/>
    <w:rsid w:val="00DB4809"/>
    <w:rsid w:val="00DB4EEE"/>
    <w:rsid w:val="00DB5D97"/>
    <w:rsid w:val="00DB68D1"/>
    <w:rsid w:val="00DB6B8D"/>
    <w:rsid w:val="00DB6BAF"/>
    <w:rsid w:val="00DB7B5B"/>
    <w:rsid w:val="00DB7E17"/>
    <w:rsid w:val="00DC0CAF"/>
    <w:rsid w:val="00DC0D5C"/>
    <w:rsid w:val="00DC23EF"/>
    <w:rsid w:val="00DC28AE"/>
    <w:rsid w:val="00DC3808"/>
    <w:rsid w:val="00DC3B6C"/>
    <w:rsid w:val="00DC3BD2"/>
    <w:rsid w:val="00DC408C"/>
    <w:rsid w:val="00DC4234"/>
    <w:rsid w:val="00DC482B"/>
    <w:rsid w:val="00DC6553"/>
    <w:rsid w:val="00DC69E0"/>
    <w:rsid w:val="00DC76A4"/>
    <w:rsid w:val="00DC7747"/>
    <w:rsid w:val="00DD099F"/>
    <w:rsid w:val="00DD0B19"/>
    <w:rsid w:val="00DD0F40"/>
    <w:rsid w:val="00DD105F"/>
    <w:rsid w:val="00DD178D"/>
    <w:rsid w:val="00DD1D38"/>
    <w:rsid w:val="00DD2208"/>
    <w:rsid w:val="00DD2378"/>
    <w:rsid w:val="00DD28E1"/>
    <w:rsid w:val="00DD477B"/>
    <w:rsid w:val="00DD4EC6"/>
    <w:rsid w:val="00DD55DB"/>
    <w:rsid w:val="00DD5EC2"/>
    <w:rsid w:val="00DD5FF8"/>
    <w:rsid w:val="00DD658A"/>
    <w:rsid w:val="00DD6681"/>
    <w:rsid w:val="00DD68E5"/>
    <w:rsid w:val="00DD7E4D"/>
    <w:rsid w:val="00DE0425"/>
    <w:rsid w:val="00DE06A1"/>
    <w:rsid w:val="00DE0857"/>
    <w:rsid w:val="00DE09C3"/>
    <w:rsid w:val="00DE28BA"/>
    <w:rsid w:val="00DE3946"/>
    <w:rsid w:val="00DE417C"/>
    <w:rsid w:val="00DE5032"/>
    <w:rsid w:val="00DE568C"/>
    <w:rsid w:val="00DE5CB3"/>
    <w:rsid w:val="00DE6471"/>
    <w:rsid w:val="00DE661C"/>
    <w:rsid w:val="00DE68E4"/>
    <w:rsid w:val="00DE6932"/>
    <w:rsid w:val="00DE7037"/>
    <w:rsid w:val="00DE72EE"/>
    <w:rsid w:val="00DE73FF"/>
    <w:rsid w:val="00DE7A9F"/>
    <w:rsid w:val="00DE7B44"/>
    <w:rsid w:val="00DF0483"/>
    <w:rsid w:val="00DF13CF"/>
    <w:rsid w:val="00DF1ECA"/>
    <w:rsid w:val="00DF2A2A"/>
    <w:rsid w:val="00DF2C6E"/>
    <w:rsid w:val="00DF301E"/>
    <w:rsid w:val="00DF324B"/>
    <w:rsid w:val="00DF3304"/>
    <w:rsid w:val="00DF3BA0"/>
    <w:rsid w:val="00DF3CB7"/>
    <w:rsid w:val="00DF545C"/>
    <w:rsid w:val="00DF6181"/>
    <w:rsid w:val="00DF6A5A"/>
    <w:rsid w:val="00DF70BD"/>
    <w:rsid w:val="00DF7156"/>
    <w:rsid w:val="00DF78F2"/>
    <w:rsid w:val="00DF79D4"/>
    <w:rsid w:val="00E00045"/>
    <w:rsid w:val="00E00075"/>
    <w:rsid w:val="00E00B10"/>
    <w:rsid w:val="00E00EC8"/>
    <w:rsid w:val="00E01C14"/>
    <w:rsid w:val="00E02814"/>
    <w:rsid w:val="00E02A7B"/>
    <w:rsid w:val="00E02E7D"/>
    <w:rsid w:val="00E03B0F"/>
    <w:rsid w:val="00E04665"/>
    <w:rsid w:val="00E04F28"/>
    <w:rsid w:val="00E06188"/>
    <w:rsid w:val="00E0654C"/>
    <w:rsid w:val="00E06D12"/>
    <w:rsid w:val="00E06D13"/>
    <w:rsid w:val="00E07085"/>
    <w:rsid w:val="00E0748E"/>
    <w:rsid w:val="00E07774"/>
    <w:rsid w:val="00E11636"/>
    <w:rsid w:val="00E122A8"/>
    <w:rsid w:val="00E13420"/>
    <w:rsid w:val="00E14BA7"/>
    <w:rsid w:val="00E14F01"/>
    <w:rsid w:val="00E1527B"/>
    <w:rsid w:val="00E154A4"/>
    <w:rsid w:val="00E1650E"/>
    <w:rsid w:val="00E16E6A"/>
    <w:rsid w:val="00E16F2B"/>
    <w:rsid w:val="00E17880"/>
    <w:rsid w:val="00E17A71"/>
    <w:rsid w:val="00E17DE0"/>
    <w:rsid w:val="00E21763"/>
    <w:rsid w:val="00E217EA"/>
    <w:rsid w:val="00E23386"/>
    <w:rsid w:val="00E23B9C"/>
    <w:rsid w:val="00E23EE6"/>
    <w:rsid w:val="00E26127"/>
    <w:rsid w:val="00E2714E"/>
    <w:rsid w:val="00E27298"/>
    <w:rsid w:val="00E27DC4"/>
    <w:rsid w:val="00E30F33"/>
    <w:rsid w:val="00E311CE"/>
    <w:rsid w:val="00E31EC2"/>
    <w:rsid w:val="00E339AD"/>
    <w:rsid w:val="00E34592"/>
    <w:rsid w:val="00E351AB"/>
    <w:rsid w:val="00E35518"/>
    <w:rsid w:val="00E357A3"/>
    <w:rsid w:val="00E36440"/>
    <w:rsid w:val="00E37074"/>
    <w:rsid w:val="00E409BB"/>
    <w:rsid w:val="00E4173F"/>
    <w:rsid w:val="00E42238"/>
    <w:rsid w:val="00E42298"/>
    <w:rsid w:val="00E42788"/>
    <w:rsid w:val="00E431F8"/>
    <w:rsid w:val="00E4341E"/>
    <w:rsid w:val="00E43E46"/>
    <w:rsid w:val="00E440FB"/>
    <w:rsid w:val="00E4481C"/>
    <w:rsid w:val="00E44EC5"/>
    <w:rsid w:val="00E450AF"/>
    <w:rsid w:val="00E4510C"/>
    <w:rsid w:val="00E452F4"/>
    <w:rsid w:val="00E45777"/>
    <w:rsid w:val="00E46062"/>
    <w:rsid w:val="00E46269"/>
    <w:rsid w:val="00E47400"/>
    <w:rsid w:val="00E47F74"/>
    <w:rsid w:val="00E50336"/>
    <w:rsid w:val="00E50F8F"/>
    <w:rsid w:val="00E51270"/>
    <w:rsid w:val="00E51601"/>
    <w:rsid w:val="00E52361"/>
    <w:rsid w:val="00E5242C"/>
    <w:rsid w:val="00E529AD"/>
    <w:rsid w:val="00E52D2C"/>
    <w:rsid w:val="00E52FAC"/>
    <w:rsid w:val="00E53459"/>
    <w:rsid w:val="00E53F68"/>
    <w:rsid w:val="00E540D3"/>
    <w:rsid w:val="00E54276"/>
    <w:rsid w:val="00E545A0"/>
    <w:rsid w:val="00E54B89"/>
    <w:rsid w:val="00E54E85"/>
    <w:rsid w:val="00E55761"/>
    <w:rsid w:val="00E55C4F"/>
    <w:rsid w:val="00E576DD"/>
    <w:rsid w:val="00E577F2"/>
    <w:rsid w:val="00E60275"/>
    <w:rsid w:val="00E60978"/>
    <w:rsid w:val="00E60E98"/>
    <w:rsid w:val="00E610DD"/>
    <w:rsid w:val="00E612DD"/>
    <w:rsid w:val="00E61439"/>
    <w:rsid w:val="00E6266B"/>
    <w:rsid w:val="00E6284D"/>
    <w:rsid w:val="00E62EE7"/>
    <w:rsid w:val="00E63869"/>
    <w:rsid w:val="00E6453E"/>
    <w:rsid w:val="00E648D9"/>
    <w:rsid w:val="00E6508A"/>
    <w:rsid w:val="00E657FD"/>
    <w:rsid w:val="00E66678"/>
    <w:rsid w:val="00E66D74"/>
    <w:rsid w:val="00E677A4"/>
    <w:rsid w:val="00E678BB"/>
    <w:rsid w:val="00E67C31"/>
    <w:rsid w:val="00E70010"/>
    <w:rsid w:val="00E70404"/>
    <w:rsid w:val="00E7043C"/>
    <w:rsid w:val="00E708F7"/>
    <w:rsid w:val="00E71D0C"/>
    <w:rsid w:val="00E72454"/>
    <w:rsid w:val="00E726F4"/>
    <w:rsid w:val="00E730EA"/>
    <w:rsid w:val="00E73607"/>
    <w:rsid w:val="00E73B1E"/>
    <w:rsid w:val="00E74199"/>
    <w:rsid w:val="00E742B7"/>
    <w:rsid w:val="00E74473"/>
    <w:rsid w:val="00E74FBE"/>
    <w:rsid w:val="00E75061"/>
    <w:rsid w:val="00E75105"/>
    <w:rsid w:val="00E760C6"/>
    <w:rsid w:val="00E761C8"/>
    <w:rsid w:val="00E76FA0"/>
    <w:rsid w:val="00E77B94"/>
    <w:rsid w:val="00E803D8"/>
    <w:rsid w:val="00E80D57"/>
    <w:rsid w:val="00E80D6E"/>
    <w:rsid w:val="00E8163B"/>
    <w:rsid w:val="00E81F7A"/>
    <w:rsid w:val="00E827D0"/>
    <w:rsid w:val="00E82891"/>
    <w:rsid w:val="00E82B7E"/>
    <w:rsid w:val="00E82D67"/>
    <w:rsid w:val="00E83291"/>
    <w:rsid w:val="00E84462"/>
    <w:rsid w:val="00E846A7"/>
    <w:rsid w:val="00E84B1D"/>
    <w:rsid w:val="00E84EBD"/>
    <w:rsid w:val="00E85037"/>
    <w:rsid w:val="00E85289"/>
    <w:rsid w:val="00E86173"/>
    <w:rsid w:val="00E87308"/>
    <w:rsid w:val="00E87C63"/>
    <w:rsid w:val="00E87EC5"/>
    <w:rsid w:val="00E90EC9"/>
    <w:rsid w:val="00E9204A"/>
    <w:rsid w:val="00E93319"/>
    <w:rsid w:val="00E9386D"/>
    <w:rsid w:val="00E94638"/>
    <w:rsid w:val="00E94682"/>
    <w:rsid w:val="00E94D64"/>
    <w:rsid w:val="00E94DC5"/>
    <w:rsid w:val="00E95331"/>
    <w:rsid w:val="00E9571F"/>
    <w:rsid w:val="00E95C62"/>
    <w:rsid w:val="00E962F4"/>
    <w:rsid w:val="00E96504"/>
    <w:rsid w:val="00E96621"/>
    <w:rsid w:val="00E96F5A"/>
    <w:rsid w:val="00E974BA"/>
    <w:rsid w:val="00E97A48"/>
    <w:rsid w:val="00E97ECC"/>
    <w:rsid w:val="00EA036F"/>
    <w:rsid w:val="00EA1FC4"/>
    <w:rsid w:val="00EA228B"/>
    <w:rsid w:val="00EA35FE"/>
    <w:rsid w:val="00EA3F5E"/>
    <w:rsid w:val="00EA5BBC"/>
    <w:rsid w:val="00EA667A"/>
    <w:rsid w:val="00EA6A61"/>
    <w:rsid w:val="00EA728D"/>
    <w:rsid w:val="00EA762F"/>
    <w:rsid w:val="00EA77A4"/>
    <w:rsid w:val="00EA7C1A"/>
    <w:rsid w:val="00EA7FD6"/>
    <w:rsid w:val="00EB044F"/>
    <w:rsid w:val="00EB0653"/>
    <w:rsid w:val="00EB0683"/>
    <w:rsid w:val="00EB1027"/>
    <w:rsid w:val="00EB11CF"/>
    <w:rsid w:val="00EB124E"/>
    <w:rsid w:val="00EB190A"/>
    <w:rsid w:val="00EB19E0"/>
    <w:rsid w:val="00EB263A"/>
    <w:rsid w:val="00EB2BC2"/>
    <w:rsid w:val="00EB41EE"/>
    <w:rsid w:val="00EB471A"/>
    <w:rsid w:val="00EB5659"/>
    <w:rsid w:val="00EB59E6"/>
    <w:rsid w:val="00EB647E"/>
    <w:rsid w:val="00EB6B78"/>
    <w:rsid w:val="00EB6D68"/>
    <w:rsid w:val="00EB70C5"/>
    <w:rsid w:val="00EB7CE4"/>
    <w:rsid w:val="00EC04DF"/>
    <w:rsid w:val="00EC08EB"/>
    <w:rsid w:val="00EC0B4F"/>
    <w:rsid w:val="00EC13B2"/>
    <w:rsid w:val="00EC1F66"/>
    <w:rsid w:val="00EC1FF9"/>
    <w:rsid w:val="00EC2CF3"/>
    <w:rsid w:val="00EC3B84"/>
    <w:rsid w:val="00EC3D04"/>
    <w:rsid w:val="00EC45F2"/>
    <w:rsid w:val="00EC52B3"/>
    <w:rsid w:val="00EC52DB"/>
    <w:rsid w:val="00EC5C30"/>
    <w:rsid w:val="00EC5C5E"/>
    <w:rsid w:val="00EC5FC5"/>
    <w:rsid w:val="00EC6064"/>
    <w:rsid w:val="00EC62A4"/>
    <w:rsid w:val="00EC7A8A"/>
    <w:rsid w:val="00ED00EB"/>
    <w:rsid w:val="00ED18AB"/>
    <w:rsid w:val="00ED1D8C"/>
    <w:rsid w:val="00ED4950"/>
    <w:rsid w:val="00ED4DEC"/>
    <w:rsid w:val="00ED55AB"/>
    <w:rsid w:val="00ED64AC"/>
    <w:rsid w:val="00ED6A3D"/>
    <w:rsid w:val="00ED7151"/>
    <w:rsid w:val="00ED750C"/>
    <w:rsid w:val="00ED7C8F"/>
    <w:rsid w:val="00EE16EA"/>
    <w:rsid w:val="00EE1C82"/>
    <w:rsid w:val="00EE1E84"/>
    <w:rsid w:val="00EE216B"/>
    <w:rsid w:val="00EE3920"/>
    <w:rsid w:val="00EE3B37"/>
    <w:rsid w:val="00EE474A"/>
    <w:rsid w:val="00EE4D14"/>
    <w:rsid w:val="00EE55D0"/>
    <w:rsid w:val="00EE57A9"/>
    <w:rsid w:val="00EE5E7A"/>
    <w:rsid w:val="00EE6C6C"/>
    <w:rsid w:val="00EE7795"/>
    <w:rsid w:val="00EF093F"/>
    <w:rsid w:val="00EF1688"/>
    <w:rsid w:val="00EF197D"/>
    <w:rsid w:val="00EF1C11"/>
    <w:rsid w:val="00EF2A02"/>
    <w:rsid w:val="00EF330F"/>
    <w:rsid w:val="00EF408D"/>
    <w:rsid w:val="00EF47BD"/>
    <w:rsid w:val="00EF534F"/>
    <w:rsid w:val="00EF5643"/>
    <w:rsid w:val="00EF5DB6"/>
    <w:rsid w:val="00EF66C9"/>
    <w:rsid w:val="00EF70BA"/>
    <w:rsid w:val="00EF7B53"/>
    <w:rsid w:val="00F00D54"/>
    <w:rsid w:val="00F01960"/>
    <w:rsid w:val="00F01CAA"/>
    <w:rsid w:val="00F02178"/>
    <w:rsid w:val="00F025B0"/>
    <w:rsid w:val="00F03784"/>
    <w:rsid w:val="00F06076"/>
    <w:rsid w:val="00F06160"/>
    <w:rsid w:val="00F0624B"/>
    <w:rsid w:val="00F0641A"/>
    <w:rsid w:val="00F076CE"/>
    <w:rsid w:val="00F1074A"/>
    <w:rsid w:val="00F1081D"/>
    <w:rsid w:val="00F1092A"/>
    <w:rsid w:val="00F10A7B"/>
    <w:rsid w:val="00F121EF"/>
    <w:rsid w:val="00F13419"/>
    <w:rsid w:val="00F138D5"/>
    <w:rsid w:val="00F13DEA"/>
    <w:rsid w:val="00F143F9"/>
    <w:rsid w:val="00F14842"/>
    <w:rsid w:val="00F1517D"/>
    <w:rsid w:val="00F15C18"/>
    <w:rsid w:val="00F165D5"/>
    <w:rsid w:val="00F166EC"/>
    <w:rsid w:val="00F16B81"/>
    <w:rsid w:val="00F16E13"/>
    <w:rsid w:val="00F20F4A"/>
    <w:rsid w:val="00F21933"/>
    <w:rsid w:val="00F2193A"/>
    <w:rsid w:val="00F21C11"/>
    <w:rsid w:val="00F223F5"/>
    <w:rsid w:val="00F22963"/>
    <w:rsid w:val="00F22E5A"/>
    <w:rsid w:val="00F23179"/>
    <w:rsid w:val="00F238A7"/>
    <w:rsid w:val="00F245EA"/>
    <w:rsid w:val="00F25D3E"/>
    <w:rsid w:val="00F265F2"/>
    <w:rsid w:val="00F273F6"/>
    <w:rsid w:val="00F27C6A"/>
    <w:rsid w:val="00F31018"/>
    <w:rsid w:val="00F311FA"/>
    <w:rsid w:val="00F313DE"/>
    <w:rsid w:val="00F31543"/>
    <w:rsid w:val="00F318E5"/>
    <w:rsid w:val="00F32482"/>
    <w:rsid w:val="00F32504"/>
    <w:rsid w:val="00F33737"/>
    <w:rsid w:val="00F35045"/>
    <w:rsid w:val="00F35946"/>
    <w:rsid w:val="00F35B0E"/>
    <w:rsid w:val="00F35F1A"/>
    <w:rsid w:val="00F360F2"/>
    <w:rsid w:val="00F40710"/>
    <w:rsid w:val="00F40B36"/>
    <w:rsid w:val="00F40F05"/>
    <w:rsid w:val="00F414DA"/>
    <w:rsid w:val="00F4174C"/>
    <w:rsid w:val="00F423AB"/>
    <w:rsid w:val="00F427C3"/>
    <w:rsid w:val="00F42897"/>
    <w:rsid w:val="00F428CC"/>
    <w:rsid w:val="00F42ECB"/>
    <w:rsid w:val="00F42FB2"/>
    <w:rsid w:val="00F43B30"/>
    <w:rsid w:val="00F43CA3"/>
    <w:rsid w:val="00F43F47"/>
    <w:rsid w:val="00F448A9"/>
    <w:rsid w:val="00F44967"/>
    <w:rsid w:val="00F459D9"/>
    <w:rsid w:val="00F466AB"/>
    <w:rsid w:val="00F46D3D"/>
    <w:rsid w:val="00F470BF"/>
    <w:rsid w:val="00F47870"/>
    <w:rsid w:val="00F51D0F"/>
    <w:rsid w:val="00F52005"/>
    <w:rsid w:val="00F52134"/>
    <w:rsid w:val="00F538F7"/>
    <w:rsid w:val="00F54A6E"/>
    <w:rsid w:val="00F54E1F"/>
    <w:rsid w:val="00F55C90"/>
    <w:rsid w:val="00F55D18"/>
    <w:rsid w:val="00F56958"/>
    <w:rsid w:val="00F56A2C"/>
    <w:rsid w:val="00F56D1F"/>
    <w:rsid w:val="00F56E6A"/>
    <w:rsid w:val="00F579D6"/>
    <w:rsid w:val="00F60E61"/>
    <w:rsid w:val="00F61DB8"/>
    <w:rsid w:val="00F61F8A"/>
    <w:rsid w:val="00F62317"/>
    <w:rsid w:val="00F6339A"/>
    <w:rsid w:val="00F636CF"/>
    <w:rsid w:val="00F63BAB"/>
    <w:rsid w:val="00F640EE"/>
    <w:rsid w:val="00F64F78"/>
    <w:rsid w:val="00F655E7"/>
    <w:rsid w:val="00F65C06"/>
    <w:rsid w:val="00F65EFD"/>
    <w:rsid w:val="00F6715F"/>
    <w:rsid w:val="00F70049"/>
    <w:rsid w:val="00F70213"/>
    <w:rsid w:val="00F70949"/>
    <w:rsid w:val="00F70C97"/>
    <w:rsid w:val="00F70ED2"/>
    <w:rsid w:val="00F71351"/>
    <w:rsid w:val="00F71518"/>
    <w:rsid w:val="00F7191E"/>
    <w:rsid w:val="00F722BF"/>
    <w:rsid w:val="00F7234A"/>
    <w:rsid w:val="00F7243D"/>
    <w:rsid w:val="00F724A2"/>
    <w:rsid w:val="00F736E1"/>
    <w:rsid w:val="00F73FD9"/>
    <w:rsid w:val="00F741F7"/>
    <w:rsid w:val="00F747BE"/>
    <w:rsid w:val="00F74896"/>
    <w:rsid w:val="00F75C26"/>
    <w:rsid w:val="00F76788"/>
    <w:rsid w:val="00F80145"/>
    <w:rsid w:val="00F80360"/>
    <w:rsid w:val="00F8073B"/>
    <w:rsid w:val="00F80E02"/>
    <w:rsid w:val="00F81145"/>
    <w:rsid w:val="00F820B2"/>
    <w:rsid w:val="00F82C41"/>
    <w:rsid w:val="00F83AEB"/>
    <w:rsid w:val="00F84143"/>
    <w:rsid w:val="00F84200"/>
    <w:rsid w:val="00F8478E"/>
    <w:rsid w:val="00F84D8C"/>
    <w:rsid w:val="00F854E0"/>
    <w:rsid w:val="00F859ED"/>
    <w:rsid w:val="00F8624F"/>
    <w:rsid w:val="00F86AA9"/>
    <w:rsid w:val="00F87A84"/>
    <w:rsid w:val="00F87E7E"/>
    <w:rsid w:val="00F87F98"/>
    <w:rsid w:val="00F9029E"/>
    <w:rsid w:val="00F91139"/>
    <w:rsid w:val="00F913BF"/>
    <w:rsid w:val="00F914F8"/>
    <w:rsid w:val="00F917F4"/>
    <w:rsid w:val="00F930A7"/>
    <w:rsid w:val="00F9312D"/>
    <w:rsid w:val="00F93BB0"/>
    <w:rsid w:val="00F93EDC"/>
    <w:rsid w:val="00F95422"/>
    <w:rsid w:val="00F954D9"/>
    <w:rsid w:val="00F95CDC"/>
    <w:rsid w:val="00F96DFF"/>
    <w:rsid w:val="00F971F2"/>
    <w:rsid w:val="00F97DAE"/>
    <w:rsid w:val="00FA0C6E"/>
    <w:rsid w:val="00FA23B5"/>
    <w:rsid w:val="00FA248E"/>
    <w:rsid w:val="00FA2680"/>
    <w:rsid w:val="00FA288D"/>
    <w:rsid w:val="00FA3837"/>
    <w:rsid w:val="00FA42D3"/>
    <w:rsid w:val="00FA4D54"/>
    <w:rsid w:val="00FA5136"/>
    <w:rsid w:val="00FA5EAA"/>
    <w:rsid w:val="00FA5F9C"/>
    <w:rsid w:val="00FA600A"/>
    <w:rsid w:val="00FA62FA"/>
    <w:rsid w:val="00FA66A0"/>
    <w:rsid w:val="00FA682C"/>
    <w:rsid w:val="00FA7447"/>
    <w:rsid w:val="00FA7689"/>
    <w:rsid w:val="00FA76FD"/>
    <w:rsid w:val="00FA77E7"/>
    <w:rsid w:val="00FB1D51"/>
    <w:rsid w:val="00FB29E1"/>
    <w:rsid w:val="00FB2ACC"/>
    <w:rsid w:val="00FB2C6E"/>
    <w:rsid w:val="00FB3E3C"/>
    <w:rsid w:val="00FB472E"/>
    <w:rsid w:val="00FB54EC"/>
    <w:rsid w:val="00FB5E7F"/>
    <w:rsid w:val="00FB6F23"/>
    <w:rsid w:val="00FB7D11"/>
    <w:rsid w:val="00FC103B"/>
    <w:rsid w:val="00FC11D7"/>
    <w:rsid w:val="00FC1297"/>
    <w:rsid w:val="00FC1F2D"/>
    <w:rsid w:val="00FC1F4A"/>
    <w:rsid w:val="00FC3140"/>
    <w:rsid w:val="00FC37EC"/>
    <w:rsid w:val="00FC3F09"/>
    <w:rsid w:val="00FC4005"/>
    <w:rsid w:val="00FC49F7"/>
    <w:rsid w:val="00FC4A6C"/>
    <w:rsid w:val="00FC4EF8"/>
    <w:rsid w:val="00FC4FA0"/>
    <w:rsid w:val="00FC51F8"/>
    <w:rsid w:val="00FC5569"/>
    <w:rsid w:val="00FC57A3"/>
    <w:rsid w:val="00FC5BA5"/>
    <w:rsid w:val="00FC617B"/>
    <w:rsid w:val="00FC718C"/>
    <w:rsid w:val="00FD0950"/>
    <w:rsid w:val="00FD0CE1"/>
    <w:rsid w:val="00FD183B"/>
    <w:rsid w:val="00FD1B26"/>
    <w:rsid w:val="00FD239D"/>
    <w:rsid w:val="00FD2478"/>
    <w:rsid w:val="00FD2A7B"/>
    <w:rsid w:val="00FD3822"/>
    <w:rsid w:val="00FD3CD9"/>
    <w:rsid w:val="00FD551D"/>
    <w:rsid w:val="00FD5569"/>
    <w:rsid w:val="00FD6560"/>
    <w:rsid w:val="00FD6796"/>
    <w:rsid w:val="00FD6F12"/>
    <w:rsid w:val="00FD71B8"/>
    <w:rsid w:val="00FD7F4E"/>
    <w:rsid w:val="00FE00CB"/>
    <w:rsid w:val="00FE017B"/>
    <w:rsid w:val="00FE05B2"/>
    <w:rsid w:val="00FE0616"/>
    <w:rsid w:val="00FE08B2"/>
    <w:rsid w:val="00FE1041"/>
    <w:rsid w:val="00FE165A"/>
    <w:rsid w:val="00FE17C8"/>
    <w:rsid w:val="00FE1F51"/>
    <w:rsid w:val="00FE2458"/>
    <w:rsid w:val="00FE2930"/>
    <w:rsid w:val="00FE2E8C"/>
    <w:rsid w:val="00FE2FF0"/>
    <w:rsid w:val="00FE30A3"/>
    <w:rsid w:val="00FE3E4D"/>
    <w:rsid w:val="00FE44DC"/>
    <w:rsid w:val="00FE45EA"/>
    <w:rsid w:val="00FE5394"/>
    <w:rsid w:val="00FE63B2"/>
    <w:rsid w:val="00FE6B23"/>
    <w:rsid w:val="00FE6CB8"/>
    <w:rsid w:val="00FE7368"/>
    <w:rsid w:val="00FE7979"/>
    <w:rsid w:val="00FE7C52"/>
    <w:rsid w:val="00FF0BBB"/>
    <w:rsid w:val="00FF0D59"/>
    <w:rsid w:val="00FF1315"/>
    <w:rsid w:val="00FF14E0"/>
    <w:rsid w:val="00FF2CBA"/>
    <w:rsid w:val="00FF3517"/>
    <w:rsid w:val="00FF3A10"/>
    <w:rsid w:val="00FF434F"/>
    <w:rsid w:val="00FF45F4"/>
    <w:rsid w:val="00FF4604"/>
    <w:rsid w:val="00FF53AE"/>
    <w:rsid w:val="00FF5660"/>
    <w:rsid w:val="00FF566D"/>
    <w:rsid w:val="00FF6675"/>
    <w:rsid w:val="00FF67D7"/>
    <w:rsid w:val="00FF714C"/>
    <w:rsid w:val="00FF72F9"/>
    <w:rsid w:val="00FF7A54"/>
    <w:rsid w:val="01EE997F"/>
    <w:rsid w:val="05F6FBF9"/>
    <w:rsid w:val="080927CA"/>
    <w:rsid w:val="0858B1E1"/>
    <w:rsid w:val="0A8A7CD3"/>
    <w:rsid w:val="0FE7ABA2"/>
    <w:rsid w:val="1B9091A1"/>
    <w:rsid w:val="21FB5947"/>
    <w:rsid w:val="28401812"/>
    <w:rsid w:val="28734DC5"/>
    <w:rsid w:val="2FF91998"/>
    <w:rsid w:val="30B8BAB5"/>
    <w:rsid w:val="3445ED8B"/>
    <w:rsid w:val="39F459BC"/>
    <w:rsid w:val="40668E1D"/>
    <w:rsid w:val="423C32C9"/>
    <w:rsid w:val="439914DC"/>
    <w:rsid w:val="4463DABF"/>
    <w:rsid w:val="48602603"/>
    <w:rsid w:val="4A68E621"/>
    <w:rsid w:val="4E246ACC"/>
    <w:rsid w:val="5018A9BA"/>
    <w:rsid w:val="5A950119"/>
    <w:rsid w:val="5BBFD5ED"/>
    <w:rsid w:val="5BE02112"/>
    <w:rsid w:val="617053D7"/>
    <w:rsid w:val="67DEC4F4"/>
    <w:rsid w:val="76728A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88B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186F"/>
    <w:pPr>
      <w:widowControl w:val="0"/>
      <w:autoSpaceDE w:val="0"/>
      <w:autoSpaceDN w:val="0"/>
      <w:adjustRightInd w:val="0"/>
    </w:pPr>
  </w:style>
  <w:style w:type="paragraph" w:styleId="Heading1">
    <w:name w:val="heading 1"/>
    <w:basedOn w:val="Normal"/>
    <w:next w:val="Normal"/>
    <w:link w:val="Heading1Char"/>
    <w:uiPriority w:val="9"/>
    <w:qFormat/>
    <w:rsid w:val="00450A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605"/>
    <w:pPr>
      <w:keepNext/>
      <w:keepLines/>
      <w:spacing w:before="40"/>
      <w:jc w:val="center"/>
      <w:outlineLvl w:val="1"/>
    </w:pPr>
    <w:rPr>
      <w:rFonts w:ascii="Times New Roman Bold" w:hAnsi="Times New Roman Bold" w:eastAsiaTheme="majorEastAsia" w:cstheme="majorBidi"/>
      <w:b/>
      <w:sz w:val="28"/>
      <w:szCs w:val="26"/>
    </w:rPr>
  </w:style>
  <w:style w:type="paragraph" w:styleId="Heading9">
    <w:name w:val="heading 9"/>
    <w:basedOn w:val="Normal"/>
    <w:next w:val="Normal"/>
    <w:link w:val="Heading9Char"/>
    <w:uiPriority w:val="9"/>
    <w:semiHidden/>
    <w:unhideWhenUsed/>
    <w:qFormat/>
    <w:rsid w:val="00AB3A1A"/>
    <w:pPr>
      <w:keepNext/>
      <w:keepLines/>
      <w:widowControl/>
      <w:autoSpaceDE/>
      <w:autoSpaceDN/>
      <w:adjustRightInd/>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9D4D55"/>
    <w:rPr>
      <w:color w:val="0000FF"/>
      <w:u w:val="single"/>
    </w:rPr>
  </w:style>
  <w:style w:type="paragraph" w:styleId="Footer">
    <w:name w:val="footer"/>
    <w:basedOn w:val="Normal"/>
    <w:link w:val="FooterChar"/>
    <w:uiPriority w:val="99"/>
    <w:rsid w:val="009D4D55"/>
    <w:pPr>
      <w:tabs>
        <w:tab w:val="center" w:pos="4320"/>
        <w:tab w:val="right" w:pos="8640"/>
      </w:tabs>
    </w:pPr>
  </w:style>
  <w:style w:type="character" w:styleId="PageNumber">
    <w:name w:val="page number"/>
    <w:basedOn w:val="DefaultParagraphFont"/>
    <w:rsid w:val="009D4D55"/>
  </w:style>
  <w:style w:type="character" w:styleId="Hyperlink">
    <w:name w:val="Hyperlink"/>
    <w:uiPriority w:val="99"/>
    <w:rsid w:val="004A1B23"/>
    <w:rPr>
      <w:color w:val="0000FF"/>
      <w:u w:val="single"/>
    </w:rPr>
  </w:style>
  <w:style w:type="paragraph" w:styleId="FootnoteText">
    <w:name w:val="footnote text"/>
    <w:aliases w:val=" Char, Char4,ALTS FOOTNOTE,C,Cha,Char,Char11,Char2,Char21,Char3,Char4,Footnote Text - Preamble,Footnote Text - Preamble1,Footnote Text Char Char,Footnote Text Char Char Char Char,Footnote Text Char Char1,Footnote Text Char1 Char Char,f,fn,ft"/>
    <w:basedOn w:val="Normal"/>
    <w:link w:val="FootnoteTextChar"/>
    <w:uiPriority w:val="99"/>
    <w:qFormat/>
    <w:rsid w:val="00552CF0"/>
  </w:style>
  <w:style w:type="character" w:styleId="FootnoteReference">
    <w:name w:val="footnote reference"/>
    <w:aliases w:val="(NECG) Footnote Reference,16 Point,FR,IEE Footnote,Styl,Style 12,Style 13,Style 15,Style 17,Style 18,Style 19,Style 20,Style 28,Style 7,Style 8,Style 9,Superscript 6 Point,fr,fr1,fr2,fr3,o,o1,o2,o3"/>
    <w:uiPriority w:val="99"/>
    <w:qFormat/>
    <w:rsid w:val="00552CF0"/>
    <w:rPr>
      <w:vertAlign w:val="superscript"/>
    </w:rPr>
  </w:style>
  <w:style w:type="character" w:styleId="FollowedHyperlink">
    <w:name w:val="FollowedHyperlink"/>
    <w:uiPriority w:val="99"/>
    <w:rsid w:val="00552CF0"/>
    <w:rPr>
      <w:color w:val="800080"/>
      <w:u w:val="single"/>
    </w:rPr>
  </w:style>
  <w:style w:type="paragraph" w:styleId="Header">
    <w:name w:val="header"/>
    <w:basedOn w:val="Normal"/>
    <w:link w:val="HeaderChar"/>
    <w:uiPriority w:val="99"/>
    <w:rsid w:val="00995BFD"/>
    <w:pPr>
      <w:tabs>
        <w:tab w:val="center" w:pos="4320"/>
        <w:tab w:val="right" w:pos="8640"/>
      </w:tabs>
    </w:pPr>
  </w:style>
  <w:style w:type="table" w:styleId="TableGrid">
    <w:name w:val="Table Grid"/>
    <w:basedOn w:val="TableNormal"/>
    <w:uiPriority w:val="59"/>
    <w:rsid w:val="004675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D3150"/>
    <w:rPr>
      <w:rFonts w:ascii="Tahoma" w:hAnsi="Tahoma" w:cs="Tahoma"/>
      <w:sz w:val="16"/>
      <w:szCs w:val="16"/>
    </w:rPr>
  </w:style>
  <w:style w:type="character" w:styleId="CommentReference">
    <w:name w:val="annotation reference"/>
    <w:uiPriority w:val="99"/>
    <w:rsid w:val="00907DE1"/>
    <w:rPr>
      <w:sz w:val="16"/>
      <w:szCs w:val="16"/>
    </w:rPr>
  </w:style>
  <w:style w:type="paragraph" w:styleId="CommentText">
    <w:name w:val="annotation text"/>
    <w:basedOn w:val="Normal"/>
    <w:link w:val="CommentTextChar"/>
    <w:uiPriority w:val="99"/>
    <w:rsid w:val="00907DE1"/>
  </w:style>
  <w:style w:type="paragraph" w:styleId="CommentSubject">
    <w:name w:val="annotation subject"/>
    <w:basedOn w:val="CommentText"/>
    <w:next w:val="CommentText"/>
    <w:link w:val="CommentSubjectChar"/>
    <w:uiPriority w:val="99"/>
    <w:semiHidden/>
    <w:rsid w:val="00907DE1"/>
    <w:rPr>
      <w:b/>
      <w:bCs/>
    </w:rPr>
  </w:style>
  <w:style w:type="paragraph" w:styleId="ListParagraph">
    <w:name w:val="List Paragraph"/>
    <w:basedOn w:val="Normal"/>
    <w:uiPriority w:val="99"/>
    <w:qFormat/>
    <w:rsid w:val="007B73F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noteTextChar">
    <w:name w:val="Footnote Text Char"/>
    <w:aliases w:val="ALTS FOOTNOTE Char,Char Char,Char2 Char,Char3 Char,Char4 Char,Footnote Text - Preamble Char,Footnote Text - Preamble1 Char,Footnote Text Char Char Char,Footnote Text Char Char1 Char,Footnote Text Char1 Char Char Char,f Char,fn Char"/>
    <w:basedOn w:val="DefaultParagraphFont"/>
    <w:link w:val="FootnoteText"/>
    <w:uiPriority w:val="99"/>
    <w:rsid w:val="00C3715E"/>
  </w:style>
  <w:style w:type="character" w:customStyle="1" w:styleId="eudoraheader">
    <w:name w:val="eudoraheader"/>
    <w:basedOn w:val="DefaultParagraphFont"/>
    <w:rsid w:val="005348E7"/>
  </w:style>
  <w:style w:type="character" w:customStyle="1" w:styleId="CommentTextChar">
    <w:name w:val="Comment Text Char"/>
    <w:basedOn w:val="DefaultParagraphFont"/>
    <w:link w:val="CommentText"/>
    <w:uiPriority w:val="99"/>
    <w:rsid w:val="009112ED"/>
  </w:style>
  <w:style w:type="character" w:customStyle="1" w:styleId="HeaderChar">
    <w:name w:val="Header Char"/>
    <w:basedOn w:val="DefaultParagraphFont"/>
    <w:link w:val="Header"/>
    <w:uiPriority w:val="99"/>
    <w:rsid w:val="0055093E"/>
  </w:style>
  <w:style w:type="character" w:customStyle="1" w:styleId="FooterChar">
    <w:name w:val="Footer Char"/>
    <w:link w:val="Footer"/>
    <w:uiPriority w:val="99"/>
    <w:rsid w:val="00A0300E"/>
  </w:style>
  <w:style w:type="character" w:styleId="UnresolvedMention">
    <w:name w:val="Unresolved Mention"/>
    <w:basedOn w:val="DefaultParagraphFont"/>
    <w:uiPriority w:val="99"/>
    <w:semiHidden/>
    <w:unhideWhenUsed/>
    <w:rsid w:val="00EC2CF3"/>
    <w:rPr>
      <w:color w:val="605E5C"/>
      <w:shd w:val="clear" w:color="auto" w:fill="E1DFDD"/>
    </w:rPr>
  </w:style>
  <w:style w:type="paragraph" w:styleId="Revision">
    <w:name w:val="Revision"/>
    <w:hidden/>
    <w:uiPriority w:val="99"/>
    <w:semiHidden/>
    <w:rsid w:val="00DA7C51"/>
  </w:style>
  <w:style w:type="character" w:customStyle="1" w:styleId="Heading2Char">
    <w:name w:val="Heading 2 Char"/>
    <w:basedOn w:val="DefaultParagraphFont"/>
    <w:link w:val="Heading2"/>
    <w:uiPriority w:val="9"/>
    <w:rsid w:val="00103605"/>
    <w:rPr>
      <w:rFonts w:ascii="Times New Roman Bold" w:hAnsi="Times New Roman Bold" w:eastAsiaTheme="majorEastAsia" w:cstheme="majorBidi"/>
      <w:b/>
      <w:sz w:val="28"/>
      <w:szCs w:val="26"/>
    </w:rPr>
  </w:style>
  <w:style w:type="paragraph" w:customStyle="1" w:styleId="05Bodytext">
    <w:name w:val="05 Body text"/>
    <w:basedOn w:val="Normal"/>
    <w:autoRedefine/>
    <w:qFormat/>
    <w:rsid w:val="00D41A22"/>
    <w:pPr>
      <w:widowControl/>
      <w:tabs>
        <w:tab w:val="left" w:pos="720"/>
      </w:tabs>
      <w:autoSpaceDE/>
      <w:autoSpaceDN/>
      <w:adjustRightInd/>
      <w:spacing w:before="240" w:after="240" w:line="360" w:lineRule="auto"/>
    </w:pPr>
    <w:rPr>
      <w:color w:val="000000" w:themeColor="text1"/>
      <w:sz w:val="24"/>
    </w:rPr>
  </w:style>
  <w:style w:type="character" w:styleId="Mention">
    <w:name w:val="Mention"/>
    <w:basedOn w:val="DefaultParagraphFont"/>
    <w:uiPriority w:val="99"/>
    <w:unhideWhenUsed/>
    <w:rsid w:val="00E540D3"/>
    <w:rPr>
      <w:color w:val="2B579A"/>
      <w:shd w:val="clear" w:color="auto" w:fill="E1DFDD"/>
    </w:rPr>
  </w:style>
  <w:style w:type="character" w:customStyle="1" w:styleId="GHGHeading1Char">
    <w:name w:val="__GHG Heading 1 Char"/>
    <w:basedOn w:val="DefaultParagraphFont"/>
    <w:link w:val="GHGHeading1"/>
    <w:locked/>
    <w:rsid w:val="00450A14"/>
    <w:rPr>
      <w:b/>
      <w:bCs/>
      <w:color w:val="2E74B5" w:themeColor="accent1" w:themeShade="BF"/>
      <w:kern w:val="36"/>
      <w:sz w:val="24"/>
    </w:rPr>
  </w:style>
  <w:style w:type="paragraph" w:customStyle="1" w:styleId="GHGHeading1">
    <w:name w:val="__GHG Heading 1"/>
    <w:basedOn w:val="Heading1"/>
    <w:link w:val="GHGHeading1Char"/>
    <w:qFormat/>
    <w:rsid w:val="00450A14"/>
    <w:pPr>
      <w:keepNext w:val="0"/>
      <w:keepLines w:val="0"/>
      <w:autoSpaceDE/>
      <w:autoSpaceDN/>
      <w:adjustRightInd/>
      <w:spacing w:before="0" w:line="480" w:lineRule="auto"/>
    </w:pPr>
    <w:rPr>
      <w:rFonts w:ascii="Times New Roman" w:eastAsia="Times New Roman" w:hAnsi="Times New Roman" w:cs="Times New Roman"/>
      <w:b/>
      <w:bCs/>
      <w:kern w:val="36"/>
      <w:sz w:val="24"/>
      <w:szCs w:val="20"/>
    </w:rPr>
  </w:style>
  <w:style w:type="character" w:customStyle="1" w:styleId="Heading1Char">
    <w:name w:val="Heading 1 Char"/>
    <w:basedOn w:val="DefaultParagraphFont"/>
    <w:link w:val="Heading1"/>
    <w:uiPriority w:val="9"/>
    <w:rsid w:val="00450A14"/>
    <w:rPr>
      <w:rFonts w:asciiTheme="majorHAnsi" w:eastAsiaTheme="majorEastAsia" w:hAnsiTheme="majorHAnsi" w:cstheme="majorBidi"/>
      <w:color w:val="2E74B5" w:themeColor="accent1" w:themeShade="BF"/>
      <w:sz w:val="32"/>
      <w:szCs w:val="32"/>
    </w:rPr>
  </w:style>
  <w:style w:type="character" w:customStyle="1" w:styleId="Heading9Char">
    <w:name w:val="Heading 9 Char"/>
    <w:basedOn w:val="DefaultParagraphFont"/>
    <w:link w:val="Heading9"/>
    <w:uiPriority w:val="9"/>
    <w:semiHidden/>
    <w:rsid w:val="00AB3A1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AB3A1A"/>
    <w:pPr>
      <w:widowControl/>
      <w:autoSpaceDE/>
      <w:autoSpaceDN/>
      <w:adjustRightInd/>
      <w:spacing w:before="180" w:after="60"/>
      <w:jc w:val="center"/>
      <w:outlineLvl w:val="0"/>
    </w:pPr>
    <w:rPr>
      <w:rFonts w:ascii="ZapfEllipt BT" w:hAnsi="ZapfEllipt BT"/>
      <w:b/>
      <w:bCs/>
      <w:kern w:val="28"/>
      <w:sz w:val="24"/>
      <w:szCs w:val="32"/>
    </w:rPr>
  </w:style>
  <w:style w:type="character" w:customStyle="1" w:styleId="TitleChar">
    <w:name w:val="Title Char"/>
    <w:basedOn w:val="DefaultParagraphFont"/>
    <w:link w:val="Title"/>
    <w:uiPriority w:val="10"/>
    <w:rsid w:val="00AB3A1A"/>
    <w:rPr>
      <w:rFonts w:ascii="ZapfEllipt BT" w:hAnsi="ZapfEllipt BT"/>
      <w:b/>
      <w:bCs/>
      <w:kern w:val="28"/>
      <w:sz w:val="24"/>
      <w:szCs w:val="32"/>
    </w:rPr>
  </w:style>
  <w:style w:type="paragraph" w:styleId="Subtitle">
    <w:name w:val="Subtitle"/>
    <w:basedOn w:val="Normal"/>
    <w:next w:val="Normal"/>
    <w:link w:val="SubtitleChar"/>
    <w:uiPriority w:val="11"/>
    <w:qFormat/>
    <w:rsid w:val="00AB3A1A"/>
    <w:pPr>
      <w:widowControl/>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AB3A1A"/>
    <w:rPr>
      <w:rFonts w:ascii="Cambria" w:hAnsi="Cambria"/>
      <w:sz w:val="24"/>
      <w:szCs w:val="24"/>
    </w:rPr>
  </w:style>
  <w:style w:type="paragraph" w:customStyle="1" w:styleId="Para">
    <w:name w:val="Para"/>
    <w:basedOn w:val="Normal"/>
    <w:qFormat/>
    <w:rsid w:val="00AB3A1A"/>
    <w:pPr>
      <w:widowControl/>
      <w:autoSpaceDE/>
      <w:autoSpaceDN/>
      <w:adjustRightInd/>
      <w:spacing w:after="120"/>
      <w:ind w:firstLine="720"/>
    </w:pPr>
    <w:rPr>
      <w:rFonts w:ascii="ZapfEllipt BT" w:eastAsia="Calibri" w:hAnsi="ZapfEllipt BT"/>
      <w:sz w:val="24"/>
    </w:rPr>
  </w:style>
  <w:style w:type="paragraph" w:customStyle="1" w:styleId="TableRow">
    <w:name w:val="Table_Row"/>
    <w:basedOn w:val="Normal"/>
    <w:qFormat/>
    <w:rsid w:val="00AB3A1A"/>
    <w:pPr>
      <w:widowControl/>
      <w:autoSpaceDE/>
      <w:autoSpaceDN/>
      <w:adjustRightInd/>
    </w:pPr>
    <w:rPr>
      <w:rFonts w:ascii="ZapfEllipt BT" w:eastAsia="Calibri" w:hAnsi="ZapfEllipt BT"/>
      <w:sz w:val="22"/>
    </w:rPr>
  </w:style>
  <w:style w:type="paragraph" w:customStyle="1" w:styleId="TableHeader">
    <w:name w:val="Table_Header"/>
    <w:basedOn w:val="TableRow"/>
    <w:qFormat/>
    <w:rsid w:val="00AB3A1A"/>
    <w:pPr>
      <w:jc w:val="center"/>
    </w:pPr>
    <w:rPr>
      <w:b/>
    </w:rPr>
  </w:style>
  <w:style w:type="paragraph" w:customStyle="1" w:styleId="ExhibitTitle">
    <w:name w:val="Exhibit_Title"/>
    <w:basedOn w:val="Normal"/>
    <w:qFormat/>
    <w:rsid w:val="00AB3A1A"/>
    <w:pPr>
      <w:widowControl/>
      <w:autoSpaceDE/>
      <w:autoSpaceDN/>
      <w:adjustRightInd/>
      <w:spacing w:after="60"/>
      <w:ind w:left="1170" w:hanging="1170"/>
    </w:pPr>
    <w:rPr>
      <w:rFonts w:ascii="ZapfEllipt BT" w:eastAsia="Calibri" w:hAnsi="ZapfEllipt BT"/>
      <w:b/>
      <w:sz w:val="24"/>
    </w:rPr>
  </w:style>
  <w:style w:type="paragraph" w:styleId="Quote">
    <w:name w:val="Quote"/>
    <w:basedOn w:val="Normal"/>
    <w:next w:val="Normal"/>
    <w:link w:val="QuoteChar"/>
    <w:uiPriority w:val="29"/>
    <w:rsid w:val="00AB3A1A"/>
    <w:pPr>
      <w:widowControl/>
      <w:autoSpaceDE/>
      <w:autoSpaceDN/>
      <w:adjustRightInd/>
    </w:pPr>
    <w:rPr>
      <w:rFonts w:ascii="ZapfEllipt BT" w:eastAsia="Calibri" w:hAnsi="ZapfEllipt BT"/>
      <w:i/>
      <w:iCs/>
      <w:color w:val="000000"/>
      <w:sz w:val="24"/>
    </w:rPr>
  </w:style>
  <w:style w:type="character" w:customStyle="1" w:styleId="QuoteChar">
    <w:name w:val="Quote Char"/>
    <w:basedOn w:val="DefaultParagraphFont"/>
    <w:link w:val="Quote"/>
    <w:uiPriority w:val="29"/>
    <w:rsid w:val="00AB3A1A"/>
    <w:rPr>
      <w:rFonts w:ascii="ZapfEllipt BT" w:eastAsia="Calibri" w:hAnsi="ZapfEllipt BT"/>
      <w:i/>
      <w:iCs/>
      <w:color w:val="000000"/>
      <w:sz w:val="24"/>
    </w:rPr>
  </w:style>
  <w:style w:type="character" w:styleId="Strong">
    <w:name w:val="Strong"/>
    <w:basedOn w:val="DefaultParagraphFont"/>
    <w:uiPriority w:val="22"/>
    <w:rsid w:val="00AB3A1A"/>
    <w:rPr>
      <w:b/>
      <w:bCs/>
    </w:rPr>
  </w:style>
  <w:style w:type="paragraph" w:customStyle="1" w:styleId="Quotation">
    <w:name w:val="Quotation"/>
    <w:basedOn w:val="Quote"/>
    <w:qFormat/>
    <w:rsid w:val="00AB3A1A"/>
    <w:pPr>
      <w:spacing w:after="120"/>
      <w:ind w:left="1440" w:right="1440"/>
    </w:pPr>
    <w:rPr>
      <w:i w:val="0"/>
    </w:rPr>
  </w:style>
  <w:style w:type="character" w:customStyle="1" w:styleId="CommentSubjectChar">
    <w:name w:val="Comment Subject Char"/>
    <w:basedOn w:val="CommentTextChar"/>
    <w:link w:val="CommentSubject"/>
    <w:uiPriority w:val="99"/>
    <w:semiHidden/>
    <w:rsid w:val="00AB3A1A"/>
    <w:rPr>
      <w:b/>
      <w:bCs/>
    </w:rPr>
  </w:style>
  <w:style w:type="character" w:customStyle="1" w:styleId="BalloonTextChar">
    <w:name w:val="Balloon Text Char"/>
    <w:basedOn w:val="DefaultParagraphFont"/>
    <w:link w:val="BalloonText"/>
    <w:uiPriority w:val="99"/>
    <w:semiHidden/>
    <w:rsid w:val="00AB3A1A"/>
    <w:rPr>
      <w:rFonts w:ascii="Tahoma" w:hAnsi="Tahoma" w:cs="Tahoma"/>
      <w:sz w:val="16"/>
      <w:szCs w:val="16"/>
    </w:rPr>
  </w:style>
  <w:style w:type="paragraph" w:customStyle="1" w:styleId="FRBodyTextDSIndent">
    <w:name w:val="FR Body Text DS Indent"/>
    <w:basedOn w:val="Normal"/>
    <w:uiPriority w:val="99"/>
    <w:rsid w:val="00AB3A1A"/>
    <w:pPr>
      <w:widowControl/>
      <w:autoSpaceDE/>
      <w:autoSpaceDN/>
      <w:adjustRightInd/>
      <w:spacing w:line="480" w:lineRule="auto"/>
      <w:ind w:firstLine="720"/>
    </w:pPr>
    <w:rPr>
      <w:rFonts w:ascii="Courier New" w:hAnsi="Courier New" w:cs="Courier New"/>
      <w:sz w:val="24"/>
      <w:szCs w:val="24"/>
    </w:rPr>
  </w:style>
  <w:style w:type="paragraph" w:customStyle="1" w:styleId="Default">
    <w:name w:val="Default"/>
    <w:uiPriority w:val="99"/>
    <w:rsid w:val="00AB3A1A"/>
    <w:pPr>
      <w:autoSpaceDE w:val="0"/>
      <w:autoSpaceDN w:val="0"/>
      <w:adjustRightInd w:val="0"/>
    </w:pPr>
    <w:rPr>
      <w:color w:val="000000"/>
      <w:sz w:val="24"/>
      <w:szCs w:val="24"/>
    </w:rPr>
  </w:style>
  <w:style w:type="paragraph" w:styleId="BodyText">
    <w:name w:val="Body Text"/>
    <w:basedOn w:val="Normal"/>
    <w:link w:val="BodyTextChar"/>
    <w:rsid w:val="00AB3A1A"/>
    <w:pPr>
      <w:widowControl/>
      <w:spacing w:after="120"/>
    </w:pPr>
    <w:rPr>
      <w:sz w:val="24"/>
    </w:rPr>
  </w:style>
  <w:style w:type="character" w:customStyle="1" w:styleId="BodyTextChar">
    <w:name w:val="Body Text Char"/>
    <w:basedOn w:val="DefaultParagraphFont"/>
    <w:link w:val="BodyText"/>
    <w:rsid w:val="00AB3A1A"/>
    <w:rPr>
      <w:sz w:val="24"/>
    </w:rPr>
  </w:style>
  <w:style w:type="character" w:customStyle="1" w:styleId="tabfigsourceChar">
    <w:name w:val="tab/fig source Char"/>
    <w:basedOn w:val="DefaultParagraphFont"/>
    <w:link w:val="tabfigsource"/>
    <w:uiPriority w:val="99"/>
    <w:locked/>
    <w:rsid w:val="00AB3A1A"/>
  </w:style>
  <w:style w:type="paragraph" w:customStyle="1" w:styleId="tabfigsource">
    <w:name w:val="tab/fig source"/>
    <w:basedOn w:val="Normal"/>
    <w:link w:val="tabfigsourceChar"/>
    <w:uiPriority w:val="99"/>
    <w:rsid w:val="00AB3A1A"/>
    <w:pPr>
      <w:keepLines/>
      <w:widowControl/>
      <w:autoSpaceDE/>
      <w:autoSpaceDN/>
      <w:adjustRightInd/>
      <w:spacing w:before="120" w:after="240"/>
      <w:ind w:left="187" w:hanging="187"/>
    </w:pPr>
  </w:style>
  <w:style w:type="paragraph" w:customStyle="1" w:styleId="FRBodyTextDS">
    <w:name w:val="FR Body Text DS"/>
    <w:basedOn w:val="Normal"/>
    <w:uiPriority w:val="99"/>
    <w:rsid w:val="00AB3A1A"/>
    <w:pPr>
      <w:widowControl/>
      <w:autoSpaceDE/>
      <w:autoSpaceDN/>
      <w:adjustRightInd/>
      <w:spacing w:line="480" w:lineRule="auto"/>
    </w:pPr>
    <w:rPr>
      <w:rFonts w:ascii="Courier New" w:hAnsi="Courier New" w:cs="Courier New"/>
      <w:sz w:val="24"/>
      <w:szCs w:val="24"/>
    </w:rPr>
  </w:style>
  <w:style w:type="character" w:customStyle="1" w:styleId="FootnoteTextChar3">
    <w:name w:val="Footnote Text Char3"/>
    <w:aliases w:val="ALTS FOOTNOTE Char2,Char Char2,Char2 Char2,Char4 Char2,Footnote Text - Preamble Char2,Footnote Text Char Char Char Char Char2,Footnote Text Char Char Char2,Footnote Text Char Char1 Char2,Footnote Text Char1 Char Char Char2,fn Char2"/>
    <w:basedOn w:val="DefaultParagraphFont"/>
    <w:uiPriority w:val="99"/>
    <w:rsid w:val="00AB3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image" Target="media/image9.emf" /><Relationship Id="rId2" Type="http://schemas.openxmlformats.org/officeDocument/2006/relationships/settings" Target="settings.xml" /><Relationship Id="rId20" Type="http://schemas.openxmlformats.org/officeDocument/2006/relationships/image" Target="media/image10.jpeg" /><Relationship Id="rId21" Type="http://schemas.openxmlformats.org/officeDocument/2006/relationships/footer" Target="footer4.xml" /><Relationship Id="rId22" Type="http://schemas.openxmlformats.org/officeDocument/2006/relationships/image" Target="media/image11.jpeg" /><Relationship Id="rId23" Type="http://schemas.openxmlformats.org/officeDocument/2006/relationships/footer" Target="footer5.xml" /><Relationship Id="rId24" Type="http://schemas.openxmlformats.org/officeDocument/2006/relationships/image" Target="media/image12.emf" /><Relationship Id="rId25" Type="http://schemas.openxmlformats.org/officeDocument/2006/relationships/image" Target="media/image13.emf" /><Relationship Id="rId26" Type="http://schemas.openxmlformats.org/officeDocument/2006/relationships/image" Target="media/image14.emf" /><Relationship Id="rId27" Type="http://schemas.openxmlformats.org/officeDocument/2006/relationships/image" Target="media/image15.emf" /><Relationship Id="rId28" Type="http://schemas.openxmlformats.org/officeDocument/2006/relationships/image" Target="media/image16.emf" /><Relationship Id="rId29" Type="http://schemas.openxmlformats.org/officeDocument/2006/relationships/image" Target="media/image17.emf" /><Relationship Id="rId3" Type="http://schemas.openxmlformats.org/officeDocument/2006/relationships/webSettings" Target="webSettings.xml" /><Relationship Id="rId30" Type="http://schemas.openxmlformats.org/officeDocument/2006/relationships/image" Target="media/image18.emf" /><Relationship Id="rId31" Type="http://schemas.openxmlformats.org/officeDocument/2006/relationships/footer" Target="footer6.xml" /><Relationship Id="rId32" Type="http://schemas.openxmlformats.org/officeDocument/2006/relationships/footer" Target="footer7.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0927B-504F-4F50-95B9-883F63EB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9924</Words>
  <Characters>54485</Characters>
  <Application>Microsoft Office Word</Application>
  <DocSecurity>0</DocSecurity>
  <Lines>1068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2024-02-29T00:44:00Z</dcterms:created>
  <dcterms:modified xsi:type="dcterms:W3CDTF">2024-02-29T00:44:00Z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5e626ae3b0f591a1129101b077c85bd393ca2ea81dc90e77401715d8b6919908</vt:lpwstr>
  </property>
</Properties>
</file>