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5B58" w:rsidP="007B5B58" w14:paraId="0DF4A537" w14:textId="77777777">
      <w:pPr>
        <w:rPr>
          <w:rFonts w:cstheme="minorHAnsi"/>
        </w:rPr>
      </w:pPr>
      <w:bookmarkStart w:id="0" w:name="_Toc93490039"/>
      <w:bookmarkStart w:id="1" w:name="_Toc94003382"/>
    </w:p>
    <w:p w:rsidR="007B5B58" w:rsidP="26C8B1F5" w14:paraId="7D72F017" w14:textId="70EABC65">
      <w:pPr>
        <w:pStyle w:val="Heading1"/>
        <w:rPr>
          <w:rFonts w:asciiTheme="minorHAnsi" w:hAnsiTheme="minorHAnsi" w:cstheme="minorBidi"/>
          <w:sz w:val="56"/>
          <w:szCs w:val="56"/>
        </w:rPr>
      </w:pPr>
      <w:r w:rsidRPr="26C8B1F5">
        <w:rPr>
          <w:rFonts w:asciiTheme="minorHAnsi" w:hAnsiTheme="minorHAnsi" w:cstheme="minorBidi"/>
          <w:sz w:val="56"/>
          <w:szCs w:val="56"/>
        </w:rPr>
        <w:t xml:space="preserve">Integrated Postsecondary Education Data System (IPEDS) </w:t>
      </w:r>
      <w:r w:rsidRPr="26C8B1F5" w:rsidR="002515CF">
        <w:rPr>
          <w:rFonts w:asciiTheme="minorHAnsi" w:hAnsiTheme="minorHAnsi" w:cstheme="minorBidi"/>
          <w:sz w:val="56"/>
          <w:szCs w:val="56"/>
        </w:rPr>
        <w:t>202</w:t>
      </w:r>
      <w:r w:rsidR="00BD47E6">
        <w:rPr>
          <w:rFonts w:asciiTheme="minorHAnsi" w:hAnsiTheme="minorHAnsi" w:cstheme="minorBidi"/>
          <w:sz w:val="56"/>
          <w:szCs w:val="56"/>
        </w:rPr>
        <w:t>4</w:t>
      </w:r>
      <w:r w:rsidRPr="26C8B1F5" w:rsidR="31395763">
        <w:rPr>
          <w:rFonts w:asciiTheme="minorHAnsi" w:hAnsiTheme="minorHAnsi" w:cstheme="minorBidi"/>
          <w:sz w:val="56"/>
          <w:szCs w:val="56"/>
        </w:rPr>
        <w:t>-2</w:t>
      </w:r>
      <w:r w:rsidR="00BD47E6">
        <w:rPr>
          <w:rFonts w:asciiTheme="minorHAnsi" w:hAnsiTheme="minorHAnsi" w:cstheme="minorBidi"/>
          <w:sz w:val="56"/>
          <w:szCs w:val="56"/>
        </w:rPr>
        <w:t>5</w:t>
      </w:r>
      <w:r w:rsidRPr="26C8B1F5" w:rsidR="002515CF">
        <w:rPr>
          <w:rFonts w:asciiTheme="minorHAnsi" w:hAnsiTheme="minorHAnsi" w:cstheme="minorBidi"/>
          <w:sz w:val="56"/>
          <w:szCs w:val="56"/>
        </w:rPr>
        <w:t xml:space="preserve"> through 202</w:t>
      </w:r>
      <w:r w:rsidR="00BD47E6">
        <w:rPr>
          <w:rFonts w:asciiTheme="minorHAnsi" w:hAnsiTheme="minorHAnsi" w:cstheme="minorBidi"/>
          <w:sz w:val="56"/>
          <w:szCs w:val="56"/>
        </w:rPr>
        <w:t>6</w:t>
      </w:r>
      <w:r w:rsidRPr="26C8B1F5" w:rsidR="11272E12">
        <w:rPr>
          <w:rFonts w:asciiTheme="minorHAnsi" w:hAnsiTheme="minorHAnsi" w:cstheme="minorBidi"/>
          <w:sz w:val="56"/>
          <w:szCs w:val="56"/>
        </w:rPr>
        <w:t>-2</w:t>
      </w:r>
      <w:r w:rsidR="00BD47E6">
        <w:rPr>
          <w:rFonts w:asciiTheme="minorHAnsi" w:hAnsiTheme="minorHAnsi" w:cstheme="minorBidi"/>
          <w:sz w:val="56"/>
          <w:szCs w:val="56"/>
        </w:rPr>
        <w:t>7</w:t>
      </w:r>
    </w:p>
    <w:p w:rsidR="007B5B58" w:rsidP="007B5B58" w14:paraId="3D719CA4" w14:textId="77777777">
      <w:pPr>
        <w:rPr>
          <w:rFonts w:cstheme="minorHAnsi"/>
          <w:sz w:val="24"/>
          <w:szCs w:val="24"/>
        </w:rPr>
      </w:pPr>
    </w:p>
    <w:p w:rsidR="007B5B58" w:rsidP="007B5B58" w14:paraId="4A9303D6" w14:textId="77777777">
      <w:pPr>
        <w:rPr>
          <w:rFonts w:cstheme="minorHAnsi"/>
        </w:rPr>
      </w:pPr>
    </w:p>
    <w:p w:rsidR="007B5B58" w:rsidP="007B5B58" w14:paraId="050714CB" w14:textId="015CC1D8">
      <w:pPr>
        <w:rPr>
          <w:rFonts w:cstheme="minorHAnsi"/>
          <w:b/>
          <w:bCs/>
          <w:sz w:val="56"/>
          <w:szCs w:val="56"/>
        </w:rPr>
      </w:pPr>
      <w:r>
        <w:rPr>
          <w:rFonts w:cstheme="minorHAnsi"/>
          <w:b/>
          <w:bCs/>
          <w:sz w:val="56"/>
          <w:szCs w:val="56"/>
        </w:rPr>
        <w:t>IPEDS Glossary</w:t>
      </w:r>
    </w:p>
    <w:p w:rsidR="007B5B58" w:rsidP="007B5B58" w14:paraId="7BB5605F" w14:textId="77777777">
      <w:pPr>
        <w:rPr>
          <w:rFonts w:cstheme="minorHAnsi"/>
          <w:sz w:val="24"/>
          <w:szCs w:val="24"/>
        </w:rPr>
      </w:pPr>
    </w:p>
    <w:p w:rsidR="007B5B58" w:rsidP="007B5B58" w14:paraId="2793D1C9" w14:textId="77777777">
      <w:pPr>
        <w:rPr>
          <w:rFonts w:cstheme="minorHAnsi"/>
        </w:rPr>
      </w:pPr>
    </w:p>
    <w:p w:rsidR="007B5B58" w:rsidP="00CE0FED" w14:paraId="6CE3CC15" w14:textId="3CAC6F2A">
      <w:pPr>
        <w:pStyle w:val="Volume"/>
        <w:rPr>
          <w:highlight w:val="yellow"/>
        </w:rPr>
      </w:pPr>
      <w:r>
        <w:t>OMB No. 1850-0582 v.</w:t>
      </w:r>
      <w:r w:rsidR="00CE0FED">
        <w:t xml:space="preserve"> 33</w:t>
      </w:r>
    </w:p>
    <w:p w:rsidR="007B5B58" w:rsidP="007B5B58" w14:paraId="7A192714" w14:textId="77777777">
      <w:pPr>
        <w:rPr>
          <w:rFonts w:cstheme="minorHAnsi"/>
        </w:rPr>
      </w:pPr>
    </w:p>
    <w:p w:rsidR="007B5B58" w:rsidP="007B5B58" w14:paraId="00F0CBF6" w14:textId="77777777">
      <w:pPr>
        <w:rPr>
          <w:rFonts w:cstheme="minorHAnsi"/>
          <w:b/>
          <w:bCs/>
          <w:i/>
          <w:iCs/>
          <w:sz w:val="32"/>
          <w:szCs w:val="32"/>
        </w:rPr>
      </w:pPr>
    </w:p>
    <w:p w:rsidR="007B5B58" w:rsidP="007B5B58" w14:paraId="30CD5670" w14:textId="77777777">
      <w:pPr>
        <w:rPr>
          <w:rFonts w:cstheme="minorHAnsi"/>
          <w:b/>
          <w:bCs/>
          <w:i/>
          <w:iCs/>
          <w:sz w:val="32"/>
          <w:szCs w:val="32"/>
        </w:rPr>
      </w:pPr>
      <w:r>
        <w:rPr>
          <w:rFonts w:cstheme="minorHAnsi"/>
          <w:b/>
          <w:bCs/>
          <w:i/>
          <w:iCs/>
          <w:sz w:val="32"/>
          <w:szCs w:val="32"/>
        </w:rPr>
        <w:t>Submitted by:</w:t>
      </w:r>
    </w:p>
    <w:p w:rsidR="007B5B58" w:rsidP="007B5B58" w14:paraId="5079D7C3" w14:textId="77777777">
      <w:pPr>
        <w:spacing w:after="0"/>
        <w:jc w:val="both"/>
        <w:rPr>
          <w:rFonts w:cstheme="minorHAnsi"/>
          <w:sz w:val="32"/>
          <w:szCs w:val="32"/>
        </w:rPr>
      </w:pPr>
      <w:r>
        <w:rPr>
          <w:rFonts w:cstheme="minorHAnsi"/>
          <w:sz w:val="32"/>
          <w:szCs w:val="32"/>
        </w:rPr>
        <w:t>National Center for Education Statistics (NCES)</w:t>
      </w:r>
    </w:p>
    <w:p w:rsidR="007B5B58" w:rsidP="007B5B58" w14:paraId="6D572758" w14:textId="77777777">
      <w:pPr>
        <w:spacing w:after="0"/>
        <w:jc w:val="both"/>
        <w:rPr>
          <w:rFonts w:cstheme="minorHAnsi"/>
          <w:sz w:val="32"/>
          <w:szCs w:val="32"/>
        </w:rPr>
      </w:pPr>
      <w:r>
        <w:rPr>
          <w:rFonts w:cstheme="minorHAnsi"/>
          <w:sz w:val="32"/>
          <w:szCs w:val="32"/>
        </w:rPr>
        <w:t>Institute of Education Sciences</w:t>
      </w:r>
    </w:p>
    <w:p w:rsidR="007B5B58" w:rsidP="007B5B58" w14:paraId="438D58D9" w14:textId="77777777">
      <w:pPr>
        <w:spacing w:after="0"/>
        <w:jc w:val="both"/>
        <w:rPr>
          <w:rFonts w:cstheme="minorHAnsi"/>
          <w:sz w:val="32"/>
          <w:szCs w:val="32"/>
        </w:rPr>
      </w:pPr>
      <w:r>
        <w:rPr>
          <w:rFonts w:cstheme="minorHAnsi"/>
          <w:sz w:val="32"/>
          <w:szCs w:val="32"/>
        </w:rPr>
        <w:t>U.S. Department of Education</w:t>
      </w:r>
    </w:p>
    <w:p w:rsidR="007B5B58" w:rsidP="007B5B58" w14:paraId="20965CAB" w14:textId="77777777">
      <w:pPr>
        <w:pStyle w:val="Text"/>
        <w:rPr>
          <w:rFonts w:cstheme="minorHAnsi"/>
          <w:sz w:val="32"/>
          <w:szCs w:val="32"/>
        </w:rPr>
      </w:pPr>
    </w:p>
    <w:p w:rsidR="007B5B58" w:rsidP="007B5B58" w14:paraId="436DCBCF" w14:textId="77777777">
      <w:pPr>
        <w:pStyle w:val="NoSpacing"/>
        <w:rPr>
          <w:rFonts w:cstheme="minorHAnsi"/>
          <w:sz w:val="32"/>
          <w:szCs w:val="32"/>
        </w:rPr>
      </w:pPr>
    </w:p>
    <w:p w:rsidR="004C63D2" w:rsidP="004C63D2" w14:paraId="34AE0C51" w14:textId="2DFA6056">
      <w:pPr>
        <w:rPr>
          <w:rFonts w:cstheme="minorHAnsi"/>
          <w:b/>
          <w:bCs/>
          <w:sz w:val="28"/>
          <w:szCs w:val="28"/>
        </w:rPr>
      </w:pPr>
      <w:r>
        <w:rPr>
          <w:rFonts w:cstheme="minorHAnsi"/>
          <w:b/>
          <w:bCs/>
          <w:sz w:val="28"/>
          <w:szCs w:val="28"/>
        </w:rPr>
        <w:t>February</w:t>
      </w:r>
      <w:r w:rsidRPr="007A0DD7">
        <w:rPr>
          <w:rFonts w:cstheme="minorHAnsi"/>
          <w:b/>
          <w:bCs/>
          <w:sz w:val="28"/>
          <w:szCs w:val="28"/>
        </w:rPr>
        <w:t xml:space="preserve"> 202</w:t>
      </w:r>
      <w:r w:rsidR="00BD47E6">
        <w:rPr>
          <w:rFonts w:cstheme="minorHAnsi"/>
          <w:b/>
          <w:bCs/>
          <w:sz w:val="28"/>
          <w:szCs w:val="28"/>
        </w:rPr>
        <w:t>4</w:t>
      </w:r>
    </w:p>
    <w:p w:rsidR="002515CF" w14:paraId="5C5432A7" w14:textId="77777777">
      <w:pPr>
        <w:rPr>
          <w:rFonts w:asciiTheme="majorHAnsi" w:eastAsiaTheme="majorEastAsia" w:hAnsiTheme="majorHAnsi" w:cstheme="majorBidi"/>
          <w:b/>
          <w:bCs/>
          <w:color w:val="2F5496" w:themeColor="accent1" w:themeShade="BF"/>
          <w:sz w:val="26"/>
          <w:szCs w:val="26"/>
        </w:rPr>
      </w:pPr>
      <w:r>
        <w:rPr>
          <w:b/>
          <w:bCs/>
        </w:rPr>
        <w:br w:type="page"/>
      </w:r>
    </w:p>
    <w:p w:rsidR="00FD12E5" w:rsidP="00FD12E5" w14:paraId="0D036A2B" w14:textId="32FD8F9F">
      <w:pPr>
        <w:pStyle w:val="Heading2"/>
        <w:jc w:val="center"/>
        <w:rPr>
          <w:b/>
          <w:bCs/>
        </w:rPr>
      </w:pPr>
      <w:r w:rsidRPr="26C8B1F5">
        <w:rPr>
          <w:b/>
          <w:bCs/>
        </w:rPr>
        <w:t xml:space="preserve">IPEDS Glossary </w:t>
      </w:r>
      <w:r w:rsidRPr="26C8B1F5" w:rsidR="002515CF">
        <w:rPr>
          <w:b/>
          <w:bCs/>
        </w:rPr>
        <w:t>202</w:t>
      </w:r>
      <w:r w:rsidRPr="26C8B1F5" w:rsidR="706E1DF4">
        <w:rPr>
          <w:b/>
          <w:bCs/>
        </w:rPr>
        <w:t>3-24</w:t>
      </w:r>
      <w:r w:rsidRPr="26C8B1F5" w:rsidR="002515CF">
        <w:rPr>
          <w:b/>
          <w:bCs/>
        </w:rPr>
        <w:t xml:space="preserve"> through 202</w:t>
      </w:r>
      <w:r w:rsidRPr="26C8B1F5" w:rsidR="50EA8883">
        <w:rPr>
          <w:b/>
          <w:bCs/>
        </w:rPr>
        <w:t>4-25</w:t>
      </w:r>
      <w:r w:rsidRPr="26C8B1F5">
        <w:rPr>
          <w:b/>
          <w:bCs/>
        </w:rPr>
        <w:t xml:space="preserve"> Data Collections</w:t>
      </w:r>
      <w:bookmarkEnd w:id="0"/>
      <w:bookmarkEnd w:id="1"/>
    </w:p>
    <w:p w:rsidR="00FD12E5" w14:paraId="31A6107C" w14:textId="77777777">
      <w:pPr>
        <w:rPr>
          <w:b/>
          <w:bCs/>
        </w:rPr>
      </w:pPr>
    </w:p>
    <w:p w:rsidR="00FD12E5" w:rsidRPr="008878BA" w:rsidP="008878BA" w14:paraId="3104193B" w14:textId="3B68A57D">
      <w:pPr>
        <w:pStyle w:val="Heading3"/>
        <w:rPr>
          <w:b/>
          <w:bCs/>
        </w:rPr>
      </w:pPr>
      <w:bookmarkStart w:id="2" w:name="_Toc94003383"/>
      <w:r w:rsidRPr="47E59BC4">
        <w:rPr>
          <w:b/>
          <w:bCs/>
        </w:rPr>
        <w:t>Changes</w:t>
      </w:r>
      <w:bookmarkEnd w:id="2"/>
    </w:p>
    <w:tbl>
      <w:tblPr>
        <w:tblStyle w:val="TableGrid"/>
        <w:tblW w:w="0" w:type="auto"/>
        <w:tblLook w:val="04A0"/>
      </w:tblPr>
      <w:tblGrid>
        <w:gridCol w:w="2030"/>
        <w:gridCol w:w="11606"/>
      </w:tblGrid>
      <w:tr w14:paraId="286A00C9" w14:textId="77777777" w:rsidTr="00E305F8">
        <w:tblPrEx>
          <w:tblW w:w="0" w:type="auto"/>
          <w:tblLook w:val="04A0"/>
        </w:tblPrEx>
        <w:trPr>
          <w:trHeight w:val="144"/>
        </w:trPr>
        <w:tc>
          <w:tcPr>
            <w:tcW w:w="13585" w:type="dxa"/>
            <w:gridSpan w:val="2"/>
            <w:shd w:val="clear" w:color="auto" w:fill="0070C0"/>
          </w:tcPr>
          <w:p w:rsidR="005B3FC4" w:rsidRPr="0020014C" w:rsidP="004A2F81" w14:paraId="0CF83084" w14:textId="1F798154">
            <w:pPr>
              <w:pStyle w:val="Heading3"/>
              <w:jc w:val="center"/>
              <w:rPr>
                <w:sz w:val="18"/>
                <w:szCs w:val="18"/>
              </w:rPr>
            </w:pPr>
            <w:bookmarkStart w:id="3" w:name="_Hlk94326581"/>
          </w:p>
        </w:tc>
      </w:tr>
      <w:tr w14:paraId="3FCC0E8A" w14:textId="77777777" w:rsidTr="00E305F8">
        <w:tblPrEx>
          <w:tblW w:w="0" w:type="auto"/>
          <w:tblLook w:val="04A0"/>
        </w:tblPrEx>
        <w:trPr>
          <w:trHeight w:val="144"/>
        </w:trPr>
        <w:tc>
          <w:tcPr>
            <w:tcW w:w="1979" w:type="dxa"/>
          </w:tcPr>
          <w:p w:rsidR="005B3FC4" w:rsidRPr="0020014C" w:rsidP="004A2F81" w14:paraId="05ACE7C7" w14:textId="38A192FD">
            <w:pPr>
              <w:rPr>
                <w:sz w:val="18"/>
                <w:szCs w:val="18"/>
              </w:rPr>
            </w:pPr>
            <w:r w:rsidRPr="0020014C">
              <w:rPr>
                <w:rFonts w:ascii="Calibri" w:eastAsia="Times New Roman" w:hAnsi="Calibri" w:cs="Calibri"/>
                <w:sz w:val="18"/>
                <w:szCs w:val="18"/>
              </w:rPr>
              <w:t>Transfer-in student </w:t>
            </w:r>
          </w:p>
        </w:tc>
        <w:tc>
          <w:tcPr>
            <w:tcW w:w="11606" w:type="dxa"/>
          </w:tcPr>
          <w:p w:rsidR="005B3FC4" w:rsidRPr="0020014C" w:rsidP="004A2F81" w14:paraId="55447F14" w14:textId="542D2E5A">
            <w:pPr>
              <w:rPr>
                <w:rFonts w:cstheme="minorHAnsi"/>
                <w:sz w:val="18"/>
                <w:szCs w:val="18"/>
              </w:rPr>
            </w:pPr>
            <w:r w:rsidRPr="0020014C">
              <w:rPr>
                <w:rFonts w:cstheme="minorHAnsi"/>
                <w:color w:val="000000" w:themeColor="text1"/>
                <w:sz w:val="18"/>
                <w:szCs w:val="18"/>
              </w:rPr>
              <w:t xml:space="preserve">Revised the </w:t>
            </w:r>
            <w:r w:rsidRPr="0020014C" w:rsidR="006252C9">
              <w:rPr>
                <w:rFonts w:cstheme="minorHAnsi"/>
                <w:color w:val="000000" w:themeColor="text1"/>
                <w:sz w:val="18"/>
                <w:szCs w:val="18"/>
              </w:rPr>
              <w:t>‘</w:t>
            </w:r>
            <w:r w:rsidRPr="0020014C" w:rsidR="00937262">
              <w:rPr>
                <w:rFonts w:cstheme="minorHAnsi"/>
                <w:color w:val="000000" w:themeColor="text1"/>
                <w:sz w:val="18"/>
                <w:szCs w:val="18"/>
              </w:rPr>
              <w:t>Transfer-in</w:t>
            </w:r>
            <w:r w:rsidRPr="0020014C" w:rsidR="006252C9">
              <w:rPr>
                <w:rFonts w:cstheme="minorHAnsi"/>
                <w:color w:val="000000" w:themeColor="text1"/>
                <w:sz w:val="18"/>
                <w:szCs w:val="18"/>
              </w:rPr>
              <w:t>’</w:t>
            </w:r>
            <w:r w:rsidRPr="0020014C">
              <w:rPr>
                <w:rFonts w:cstheme="minorHAnsi"/>
                <w:color w:val="000000" w:themeColor="text1"/>
                <w:sz w:val="18"/>
                <w:szCs w:val="18"/>
              </w:rPr>
              <w:t xml:space="preserve"> term for improved clarity and consistency with the su</w:t>
            </w:r>
            <w:r w:rsidRPr="0020014C" w:rsidR="00E305F8">
              <w:rPr>
                <w:rFonts w:cstheme="minorHAnsi"/>
                <w:color w:val="000000" w:themeColor="text1"/>
                <w:sz w:val="18"/>
                <w:szCs w:val="18"/>
              </w:rPr>
              <w:t xml:space="preserve">rvey </w:t>
            </w:r>
            <w:r w:rsidRPr="0020014C">
              <w:rPr>
                <w:rFonts w:cstheme="minorHAnsi"/>
                <w:color w:val="000000" w:themeColor="text1"/>
                <w:sz w:val="18"/>
                <w:szCs w:val="18"/>
              </w:rPr>
              <w:t>instructions.</w:t>
            </w:r>
            <w:r w:rsidR="004C4E89">
              <w:rPr>
                <w:rFonts w:cstheme="minorHAnsi"/>
                <w:color w:val="000000" w:themeColor="text1"/>
                <w:sz w:val="18"/>
                <w:szCs w:val="18"/>
              </w:rPr>
              <w:t xml:space="preserve"> Removed the reference to ‘non-first-time entering’</w:t>
            </w:r>
            <w:r w:rsidR="00D67368">
              <w:rPr>
                <w:rFonts w:cstheme="minorHAnsi"/>
                <w:color w:val="000000" w:themeColor="text1"/>
                <w:sz w:val="18"/>
                <w:szCs w:val="18"/>
              </w:rPr>
              <w:t xml:space="preserve"> per the suggestions at the Technical Review Panel meeting</w:t>
            </w:r>
            <w:r w:rsidR="00954F6E">
              <w:rPr>
                <w:rFonts w:cstheme="minorHAnsi"/>
                <w:color w:val="000000" w:themeColor="text1"/>
                <w:sz w:val="18"/>
                <w:szCs w:val="18"/>
              </w:rPr>
              <w:t xml:space="preserve"> #69</w:t>
            </w:r>
            <w:r w:rsidR="001C6CB2">
              <w:rPr>
                <w:rFonts w:cstheme="minorHAnsi"/>
                <w:color w:val="000000" w:themeColor="text1"/>
                <w:sz w:val="18"/>
                <w:szCs w:val="18"/>
              </w:rPr>
              <w:t xml:space="preserve">. </w:t>
            </w:r>
          </w:p>
        </w:tc>
      </w:tr>
      <w:tr w14:paraId="2BB45202" w14:textId="77777777" w:rsidTr="00E305F8">
        <w:tblPrEx>
          <w:tblW w:w="0" w:type="auto"/>
          <w:tblLook w:val="04A0"/>
        </w:tblPrEx>
        <w:trPr>
          <w:trHeight w:val="144"/>
        </w:trPr>
        <w:tc>
          <w:tcPr>
            <w:tcW w:w="1979" w:type="dxa"/>
          </w:tcPr>
          <w:p w:rsidR="00CB751F" w:rsidRPr="0020014C" w:rsidP="00CB751F" w14:paraId="125689AB" w14:textId="2990C0F0">
            <w:pPr>
              <w:rPr>
                <w:sz w:val="18"/>
                <w:szCs w:val="18"/>
              </w:rPr>
            </w:pPr>
            <w:r w:rsidRPr="0020014C">
              <w:rPr>
                <w:rFonts w:ascii="Calibri" w:eastAsia="Times New Roman" w:hAnsi="Calibri" w:cs="Calibri"/>
                <w:color w:val="000000"/>
                <w:sz w:val="18"/>
                <w:szCs w:val="18"/>
              </w:rPr>
              <w:t>Non-first-time student (undergraduate) </w:t>
            </w:r>
          </w:p>
        </w:tc>
        <w:tc>
          <w:tcPr>
            <w:tcW w:w="11606" w:type="dxa"/>
          </w:tcPr>
          <w:p w:rsidR="00CB751F" w:rsidRPr="0020014C" w:rsidP="00CB751F" w14:paraId="1CEC2E2E" w14:textId="78EBA91F">
            <w:pPr>
              <w:rPr>
                <w:rFonts w:cstheme="minorHAnsi"/>
                <w:sz w:val="18"/>
                <w:szCs w:val="18"/>
              </w:rPr>
            </w:pPr>
            <w:r w:rsidRPr="0020014C">
              <w:rPr>
                <w:rFonts w:cstheme="minorHAnsi"/>
                <w:color w:val="000000" w:themeColor="text1"/>
                <w:sz w:val="18"/>
                <w:szCs w:val="18"/>
              </w:rPr>
              <w:t>Revised the ‘Non-first-time student (undergraduate)’ term for improved clarity and consistency with the survey instructions.</w:t>
            </w:r>
          </w:p>
        </w:tc>
      </w:tr>
      <w:tr w14:paraId="678C3CE0" w14:textId="77777777" w:rsidTr="00E305F8">
        <w:tblPrEx>
          <w:tblW w:w="0" w:type="auto"/>
          <w:tblLook w:val="04A0"/>
        </w:tblPrEx>
        <w:trPr>
          <w:trHeight w:val="144"/>
        </w:trPr>
        <w:tc>
          <w:tcPr>
            <w:tcW w:w="1979" w:type="dxa"/>
          </w:tcPr>
          <w:p w:rsidR="00CB751F" w:rsidRPr="0020014C" w:rsidP="00CB751F" w14:paraId="3FBAF284" w14:textId="0AFABBD7">
            <w:pPr>
              <w:rPr>
                <w:sz w:val="18"/>
                <w:szCs w:val="18"/>
              </w:rPr>
            </w:pPr>
            <w:r w:rsidRPr="0020014C">
              <w:rPr>
                <w:rFonts w:ascii="Calibri" w:eastAsia="Times New Roman" w:hAnsi="Calibri" w:cs="Calibri"/>
                <w:sz w:val="18"/>
                <w:szCs w:val="18"/>
              </w:rPr>
              <w:t>Continuing/Returning student (undergraduate) </w:t>
            </w:r>
          </w:p>
        </w:tc>
        <w:tc>
          <w:tcPr>
            <w:tcW w:w="11606" w:type="dxa"/>
          </w:tcPr>
          <w:p w:rsidR="00CB751F" w:rsidRPr="0020014C" w:rsidP="00CB751F" w14:paraId="01F678FD" w14:textId="03C3F1E4">
            <w:pPr>
              <w:rPr>
                <w:rFonts w:cstheme="minorHAnsi"/>
                <w:sz w:val="18"/>
                <w:szCs w:val="18"/>
              </w:rPr>
            </w:pPr>
            <w:r w:rsidRPr="0020014C">
              <w:rPr>
                <w:rFonts w:cstheme="minorHAnsi"/>
                <w:color w:val="000000" w:themeColor="text1"/>
                <w:sz w:val="18"/>
                <w:szCs w:val="18"/>
              </w:rPr>
              <w:t>Revised the ‘Continuing/Returning student (undergraduate)’ term for improved clarity and consistency with the survey instructions.</w:t>
            </w:r>
          </w:p>
        </w:tc>
      </w:tr>
      <w:tr w14:paraId="7C4E076B" w14:textId="77777777" w:rsidTr="00E305F8">
        <w:tblPrEx>
          <w:tblW w:w="0" w:type="auto"/>
          <w:tblLook w:val="04A0"/>
        </w:tblPrEx>
        <w:trPr>
          <w:trHeight w:val="144"/>
        </w:trPr>
        <w:tc>
          <w:tcPr>
            <w:tcW w:w="1979" w:type="dxa"/>
          </w:tcPr>
          <w:p w:rsidR="002B609F" w:rsidRPr="0020014C" w:rsidP="00CB751F" w14:paraId="4A622E6C" w14:textId="3DC50DD2">
            <w:pPr>
              <w:rPr>
                <w:sz w:val="18"/>
                <w:szCs w:val="18"/>
              </w:rPr>
            </w:pPr>
            <w:r w:rsidRPr="0020014C">
              <w:rPr>
                <w:rFonts w:ascii="Calibri" w:eastAsia="Times New Roman" w:hAnsi="Calibri" w:cs="Calibri"/>
                <w:sz w:val="18"/>
                <w:szCs w:val="18"/>
              </w:rPr>
              <w:t>Entering students (undergraduate)</w:t>
            </w:r>
          </w:p>
        </w:tc>
        <w:tc>
          <w:tcPr>
            <w:tcW w:w="11606" w:type="dxa"/>
          </w:tcPr>
          <w:p w:rsidR="002B609F" w:rsidRPr="0020014C" w:rsidP="00CB751F" w14:paraId="339BD52E" w14:textId="0F237366">
            <w:pPr>
              <w:rPr>
                <w:rFonts w:cstheme="minorHAnsi"/>
                <w:color w:val="000000" w:themeColor="text1"/>
                <w:sz w:val="18"/>
                <w:szCs w:val="18"/>
              </w:rPr>
            </w:pPr>
            <w:r w:rsidRPr="0020014C">
              <w:rPr>
                <w:rFonts w:cstheme="minorHAnsi"/>
                <w:color w:val="000000" w:themeColor="text1"/>
                <w:sz w:val="18"/>
                <w:szCs w:val="18"/>
              </w:rPr>
              <w:t>Revised the ‘</w:t>
            </w:r>
            <w:r w:rsidRPr="0020014C" w:rsidR="00ED5ED5">
              <w:rPr>
                <w:rFonts w:cstheme="minorHAnsi"/>
                <w:color w:val="000000" w:themeColor="text1"/>
                <w:sz w:val="18"/>
                <w:szCs w:val="18"/>
              </w:rPr>
              <w:t>Entering students</w:t>
            </w:r>
            <w:r w:rsidRPr="0020014C">
              <w:rPr>
                <w:rFonts w:cstheme="minorHAnsi"/>
                <w:color w:val="000000" w:themeColor="text1"/>
                <w:sz w:val="18"/>
                <w:szCs w:val="18"/>
              </w:rPr>
              <w:t xml:space="preserve"> (undergraduate)’ term for improved clarity and consistency with the survey instructions.</w:t>
            </w:r>
          </w:p>
        </w:tc>
      </w:tr>
      <w:tr w14:paraId="5BB62B09" w14:textId="77777777" w:rsidTr="00E305F8">
        <w:tblPrEx>
          <w:tblW w:w="0" w:type="auto"/>
          <w:tblLook w:val="04A0"/>
        </w:tblPrEx>
        <w:trPr>
          <w:trHeight w:val="144"/>
        </w:trPr>
        <w:tc>
          <w:tcPr>
            <w:tcW w:w="1979" w:type="dxa"/>
          </w:tcPr>
          <w:p w:rsidR="00500072" w:rsidRPr="0020014C" w:rsidP="00ED5ED5" w14:paraId="6B0DB4B4" w14:textId="7351BD79">
            <w:pPr>
              <w:textAlignment w:val="baseline"/>
              <w:rPr>
                <w:rFonts w:ascii="Segoe UI" w:eastAsia="Times New Roman" w:hAnsi="Segoe UI" w:cs="Segoe UI"/>
                <w:sz w:val="18"/>
                <w:szCs w:val="18"/>
              </w:rPr>
            </w:pPr>
            <w:r w:rsidRPr="0020014C">
              <w:rPr>
                <w:rFonts w:ascii="Calibri" w:eastAsia="Times New Roman" w:hAnsi="Calibri" w:cs="Calibri"/>
                <w:sz w:val="18"/>
                <w:szCs w:val="18"/>
              </w:rPr>
              <w:t>Transfer-out student </w:t>
            </w:r>
          </w:p>
        </w:tc>
        <w:tc>
          <w:tcPr>
            <w:tcW w:w="11606" w:type="dxa"/>
          </w:tcPr>
          <w:p w:rsidR="00500072" w:rsidRPr="0020014C" w:rsidP="00CB751F" w14:paraId="07DA45D8" w14:textId="5E0ED30A">
            <w:pPr>
              <w:rPr>
                <w:rFonts w:cstheme="minorHAnsi"/>
                <w:color w:val="000000" w:themeColor="text1"/>
                <w:sz w:val="18"/>
                <w:szCs w:val="18"/>
              </w:rPr>
            </w:pPr>
            <w:r w:rsidRPr="0020014C">
              <w:rPr>
                <w:rFonts w:cstheme="minorHAnsi"/>
                <w:color w:val="000000" w:themeColor="text1"/>
                <w:sz w:val="18"/>
                <w:szCs w:val="18"/>
              </w:rPr>
              <w:t>Revised the ‘Transfer-out student’ term for improved clarity and consistency with the survey instructions.</w:t>
            </w:r>
          </w:p>
        </w:tc>
      </w:tr>
      <w:tr w14:paraId="1356148A" w14:textId="77777777" w:rsidTr="00E305F8">
        <w:tblPrEx>
          <w:tblW w:w="0" w:type="auto"/>
          <w:tblLook w:val="04A0"/>
        </w:tblPrEx>
        <w:trPr>
          <w:trHeight w:val="144"/>
        </w:trPr>
        <w:tc>
          <w:tcPr>
            <w:tcW w:w="1979" w:type="dxa"/>
          </w:tcPr>
          <w:p w:rsidR="00500072" w:rsidRPr="0020014C" w:rsidP="00CB751F" w14:paraId="10F23FCD" w14:textId="6A7039A3">
            <w:pPr>
              <w:rPr>
                <w:sz w:val="18"/>
                <w:szCs w:val="18"/>
              </w:rPr>
            </w:pPr>
            <w:r w:rsidRPr="0020014C">
              <w:rPr>
                <w:sz w:val="18"/>
                <w:szCs w:val="18"/>
              </w:rPr>
              <w:t>Undergraduate student</w:t>
            </w:r>
          </w:p>
        </w:tc>
        <w:tc>
          <w:tcPr>
            <w:tcW w:w="11606" w:type="dxa"/>
          </w:tcPr>
          <w:p w:rsidR="00500072" w:rsidRPr="0020014C" w:rsidP="00CB751F" w14:paraId="38864D73" w14:textId="0F2A1262">
            <w:pPr>
              <w:rPr>
                <w:rFonts w:cstheme="minorHAnsi"/>
                <w:color w:val="000000" w:themeColor="text1"/>
                <w:sz w:val="18"/>
                <w:szCs w:val="18"/>
              </w:rPr>
            </w:pPr>
            <w:r w:rsidRPr="0020014C">
              <w:rPr>
                <w:rFonts w:cstheme="minorHAnsi"/>
                <w:color w:val="000000" w:themeColor="text1"/>
                <w:sz w:val="18"/>
                <w:szCs w:val="18"/>
              </w:rPr>
              <w:t>Revised the ‘Undergraduate student’ term for improved clarity and consistency with the survey instructions.</w:t>
            </w:r>
          </w:p>
        </w:tc>
      </w:tr>
      <w:tr w14:paraId="577A6B1B" w14:textId="77777777" w:rsidTr="00E305F8">
        <w:tblPrEx>
          <w:tblW w:w="0" w:type="auto"/>
          <w:tblLook w:val="04A0"/>
        </w:tblPrEx>
        <w:trPr>
          <w:trHeight w:val="144"/>
        </w:trPr>
        <w:tc>
          <w:tcPr>
            <w:tcW w:w="1979" w:type="dxa"/>
          </w:tcPr>
          <w:p w:rsidR="00CB751F" w:rsidRPr="0020014C" w:rsidP="00CB751F" w14:paraId="0A085BB6" w14:textId="42BF6182">
            <w:pPr>
              <w:rPr>
                <w:sz w:val="18"/>
                <w:szCs w:val="18"/>
              </w:rPr>
            </w:pPr>
            <w:r w:rsidRPr="0020014C">
              <w:rPr>
                <w:sz w:val="18"/>
                <w:szCs w:val="18"/>
              </w:rPr>
              <w:t xml:space="preserve">New </w:t>
            </w:r>
            <w:r w:rsidRPr="0020014C" w:rsidR="00ED5ED5">
              <w:rPr>
                <w:sz w:val="18"/>
                <w:szCs w:val="18"/>
              </w:rPr>
              <w:t>t</w:t>
            </w:r>
            <w:r w:rsidRPr="0020014C">
              <w:rPr>
                <w:sz w:val="18"/>
                <w:szCs w:val="18"/>
              </w:rPr>
              <w:t>erm</w:t>
            </w:r>
          </w:p>
        </w:tc>
        <w:tc>
          <w:tcPr>
            <w:tcW w:w="11606" w:type="dxa"/>
          </w:tcPr>
          <w:p w:rsidR="00A20B87" w:rsidRPr="0020014C" w:rsidP="00CB751F" w14:paraId="7DB302AC" w14:textId="27F16321">
            <w:pPr>
              <w:rPr>
                <w:rFonts w:cstheme="minorHAnsi"/>
                <w:color w:val="000000" w:themeColor="text1"/>
                <w:sz w:val="18"/>
                <w:szCs w:val="18"/>
              </w:rPr>
            </w:pPr>
            <w:r w:rsidRPr="0020014C">
              <w:rPr>
                <w:rFonts w:cstheme="minorHAnsi"/>
                <w:color w:val="000000" w:themeColor="text1"/>
                <w:sz w:val="18"/>
                <w:szCs w:val="18"/>
              </w:rPr>
              <w:t>Added ‘</w:t>
            </w:r>
            <w:r w:rsidRPr="0020014C" w:rsidR="003F6B18">
              <w:rPr>
                <w:rFonts w:ascii="Calibri" w:eastAsia="Times New Roman" w:hAnsi="Calibri" w:cs="Calibri"/>
                <w:sz w:val="18"/>
                <w:szCs w:val="18"/>
              </w:rPr>
              <w:t xml:space="preserve">Student aid assets’ </w:t>
            </w:r>
            <w:r w:rsidRPr="0020014C">
              <w:rPr>
                <w:rFonts w:cstheme="minorHAnsi"/>
                <w:color w:val="000000" w:themeColor="text1"/>
                <w:sz w:val="18"/>
                <w:szCs w:val="18"/>
              </w:rPr>
              <w:t xml:space="preserve">term and definition </w:t>
            </w:r>
            <w:r w:rsidRPr="0020014C" w:rsidR="003F6B18">
              <w:rPr>
                <w:rFonts w:cstheme="minorHAnsi"/>
                <w:color w:val="000000" w:themeColor="text1"/>
                <w:sz w:val="18"/>
                <w:szCs w:val="18"/>
              </w:rPr>
              <w:t>for the new questions in the Cost survey component</w:t>
            </w:r>
            <w:r w:rsidRPr="0020014C" w:rsidR="00376614">
              <w:rPr>
                <w:rFonts w:cstheme="minorHAnsi"/>
                <w:color w:val="000000" w:themeColor="text1"/>
                <w:sz w:val="18"/>
                <w:szCs w:val="18"/>
              </w:rPr>
              <w:t xml:space="preserve">. </w:t>
            </w:r>
            <w:r w:rsidRPr="0020014C" w:rsidR="00973667">
              <w:rPr>
                <w:rFonts w:cstheme="minorHAnsi"/>
                <w:color w:val="000000" w:themeColor="text1"/>
                <w:sz w:val="18"/>
                <w:szCs w:val="18"/>
              </w:rPr>
              <w:t>The</w:t>
            </w:r>
            <w:r w:rsidRPr="0020014C" w:rsidR="00F4338C">
              <w:rPr>
                <w:rFonts w:cstheme="minorHAnsi"/>
                <w:color w:val="000000" w:themeColor="text1"/>
                <w:sz w:val="18"/>
                <w:szCs w:val="18"/>
              </w:rPr>
              <w:t xml:space="preserve">se questions allow </w:t>
            </w:r>
            <w:r w:rsidRPr="0020014C" w:rsidR="00E305F8">
              <w:rPr>
                <w:rFonts w:cstheme="minorHAnsi"/>
                <w:color w:val="000000" w:themeColor="text1"/>
                <w:sz w:val="18"/>
                <w:szCs w:val="18"/>
              </w:rPr>
              <w:t xml:space="preserve">the Department </w:t>
            </w:r>
            <w:r w:rsidRPr="0020014C" w:rsidR="00F4338C">
              <w:rPr>
                <w:rFonts w:cstheme="minorHAnsi"/>
                <w:color w:val="000000" w:themeColor="text1"/>
                <w:sz w:val="18"/>
                <w:szCs w:val="18"/>
              </w:rPr>
              <w:t xml:space="preserve">to collect the information that is required </w:t>
            </w:r>
            <w:r w:rsidRPr="0020014C" w:rsidR="00E305F8">
              <w:rPr>
                <w:rFonts w:cstheme="minorHAnsi"/>
                <w:color w:val="000000" w:themeColor="text1"/>
                <w:sz w:val="18"/>
                <w:szCs w:val="18"/>
              </w:rPr>
              <w:t>under FAF</w:t>
            </w:r>
            <w:r w:rsidRPr="0020014C">
              <w:rPr>
                <w:sz w:val="18"/>
                <w:szCs w:val="18"/>
              </w:rPr>
              <w:t>SA Simplification Act</w:t>
            </w:r>
          </w:p>
        </w:tc>
      </w:tr>
      <w:tr w14:paraId="05DF05D0" w14:textId="77777777" w:rsidTr="00E305F8">
        <w:tblPrEx>
          <w:tblW w:w="0" w:type="auto"/>
          <w:tblLook w:val="04A0"/>
        </w:tblPrEx>
        <w:trPr>
          <w:trHeight w:val="144"/>
        </w:trPr>
        <w:tc>
          <w:tcPr>
            <w:tcW w:w="1979" w:type="dxa"/>
          </w:tcPr>
          <w:p w:rsidR="00E90151" w:rsidRPr="0020014C" w:rsidP="00CB751F" w14:paraId="45A649EB" w14:textId="1AF40DCE">
            <w:pPr>
              <w:rPr>
                <w:sz w:val="18"/>
                <w:szCs w:val="18"/>
              </w:rPr>
            </w:pPr>
            <w:r>
              <w:rPr>
                <w:sz w:val="18"/>
                <w:szCs w:val="18"/>
              </w:rPr>
              <w:t>New term</w:t>
            </w:r>
          </w:p>
        </w:tc>
        <w:tc>
          <w:tcPr>
            <w:tcW w:w="11606" w:type="dxa"/>
          </w:tcPr>
          <w:p w:rsidR="00E90151" w:rsidRPr="0020014C" w:rsidP="00CB751F" w14:paraId="176E8488" w14:textId="5D109169">
            <w:pPr>
              <w:rPr>
                <w:rFonts w:cstheme="minorHAnsi"/>
                <w:color w:val="000000" w:themeColor="text1"/>
                <w:sz w:val="18"/>
                <w:szCs w:val="18"/>
              </w:rPr>
            </w:pPr>
            <w:r>
              <w:rPr>
                <w:rFonts w:cstheme="minorHAnsi"/>
                <w:color w:val="000000" w:themeColor="text1"/>
                <w:sz w:val="18"/>
                <w:szCs w:val="18"/>
              </w:rPr>
              <w:t>Added ‘Cost (CST</w:t>
            </w:r>
            <w:r w:rsidR="000242CA">
              <w:rPr>
                <w:rFonts w:cstheme="minorHAnsi"/>
                <w:color w:val="000000" w:themeColor="text1"/>
                <w:sz w:val="18"/>
                <w:szCs w:val="18"/>
              </w:rPr>
              <w:t>)</w:t>
            </w:r>
            <w:r>
              <w:rPr>
                <w:rFonts w:cstheme="minorHAnsi"/>
                <w:color w:val="000000" w:themeColor="text1"/>
                <w:sz w:val="18"/>
                <w:szCs w:val="18"/>
              </w:rPr>
              <w:t>’</w:t>
            </w:r>
            <w:r w:rsidR="000242CA">
              <w:rPr>
                <w:rFonts w:cstheme="minorHAnsi"/>
                <w:color w:val="000000" w:themeColor="text1"/>
                <w:sz w:val="18"/>
                <w:szCs w:val="18"/>
              </w:rPr>
              <w:t xml:space="preserve"> term and definition </w:t>
            </w:r>
            <w:r w:rsidR="00CD206D">
              <w:rPr>
                <w:rFonts w:cstheme="minorHAnsi"/>
                <w:color w:val="000000" w:themeColor="text1"/>
                <w:sz w:val="18"/>
                <w:szCs w:val="18"/>
              </w:rPr>
              <w:t>for</w:t>
            </w:r>
            <w:r w:rsidR="000242CA">
              <w:rPr>
                <w:rFonts w:cstheme="minorHAnsi"/>
                <w:color w:val="000000" w:themeColor="text1"/>
                <w:sz w:val="18"/>
                <w:szCs w:val="18"/>
              </w:rPr>
              <w:t xml:space="preserve"> the new survey component</w:t>
            </w:r>
            <w:r w:rsidR="00CD206D">
              <w:rPr>
                <w:rFonts w:cstheme="minorHAnsi"/>
                <w:color w:val="000000" w:themeColor="text1"/>
                <w:sz w:val="18"/>
                <w:szCs w:val="18"/>
              </w:rPr>
              <w:t xml:space="preserve">.  </w:t>
            </w:r>
            <w:r>
              <w:rPr>
                <w:rFonts w:cstheme="minorHAnsi"/>
                <w:color w:val="000000" w:themeColor="text1"/>
                <w:sz w:val="18"/>
                <w:szCs w:val="18"/>
              </w:rPr>
              <w:t xml:space="preserve"> </w:t>
            </w:r>
          </w:p>
        </w:tc>
      </w:tr>
      <w:tr w14:paraId="647F22BF" w14:textId="77777777" w:rsidTr="00E305F8">
        <w:tblPrEx>
          <w:tblW w:w="0" w:type="auto"/>
          <w:tblLook w:val="04A0"/>
        </w:tblPrEx>
        <w:trPr>
          <w:trHeight w:val="144"/>
        </w:trPr>
        <w:tc>
          <w:tcPr>
            <w:tcW w:w="1979" w:type="dxa"/>
          </w:tcPr>
          <w:p w:rsidR="00CC3199" w:rsidP="00CB751F" w14:paraId="326F8F6B" w14:textId="22BA8249">
            <w:pPr>
              <w:rPr>
                <w:sz w:val="18"/>
                <w:szCs w:val="18"/>
              </w:rPr>
            </w:pPr>
            <w:r>
              <w:rPr>
                <w:sz w:val="18"/>
                <w:szCs w:val="18"/>
              </w:rPr>
              <w:t>Abbreviations/Acronyms</w:t>
            </w:r>
          </w:p>
        </w:tc>
        <w:tc>
          <w:tcPr>
            <w:tcW w:w="11606" w:type="dxa"/>
          </w:tcPr>
          <w:p w:rsidR="00CC3199" w:rsidP="00CB751F" w14:paraId="7CDDCFF0" w14:textId="6ECA8D84">
            <w:pPr>
              <w:rPr>
                <w:rFonts w:cstheme="minorHAnsi"/>
                <w:color w:val="000000" w:themeColor="text1"/>
                <w:sz w:val="18"/>
                <w:szCs w:val="18"/>
              </w:rPr>
            </w:pPr>
            <w:r>
              <w:rPr>
                <w:rFonts w:cstheme="minorHAnsi"/>
                <w:color w:val="000000" w:themeColor="text1"/>
                <w:sz w:val="18"/>
                <w:szCs w:val="18"/>
              </w:rPr>
              <w:t xml:space="preserve">Added the missing abbreviations/acronyms </w:t>
            </w:r>
          </w:p>
        </w:tc>
      </w:tr>
      <w:tr w14:paraId="6411A4C3" w14:textId="77777777" w:rsidTr="00E305F8">
        <w:tblPrEx>
          <w:tblW w:w="0" w:type="auto"/>
          <w:tblLook w:val="04A0"/>
        </w:tblPrEx>
        <w:trPr>
          <w:trHeight w:val="144"/>
        </w:trPr>
        <w:tc>
          <w:tcPr>
            <w:tcW w:w="1979" w:type="dxa"/>
          </w:tcPr>
          <w:p w:rsidR="00CC3199" w:rsidP="00CB751F" w14:paraId="7C64DD43" w14:textId="02263010">
            <w:pPr>
              <w:rPr>
                <w:sz w:val="18"/>
                <w:szCs w:val="18"/>
              </w:rPr>
            </w:pPr>
            <w:r>
              <w:rPr>
                <w:sz w:val="18"/>
                <w:szCs w:val="18"/>
              </w:rPr>
              <w:t>New te</w:t>
            </w:r>
            <w:r w:rsidR="00EB67D7">
              <w:rPr>
                <w:sz w:val="18"/>
                <w:szCs w:val="18"/>
              </w:rPr>
              <w:t>r</w:t>
            </w:r>
            <w:r>
              <w:rPr>
                <w:sz w:val="18"/>
                <w:szCs w:val="18"/>
              </w:rPr>
              <w:t>m</w:t>
            </w:r>
          </w:p>
        </w:tc>
        <w:tc>
          <w:tcPr>
            <w:tcW w:w="11606" w:type="dxa"/>
          </w:tcPr>
          <w:p w:rsidR="00CC3199" w:rsidP="00CB751F" w14:paraId="4489586A" w14:textId="14138CA9">
            <w:pPr>
              <w:rPr>
                <w:rFonts w:cstheme="minorHAnsi"/>
                <w:color w:val="000000" w:themeColor="text1"/>
                <w:sz w:val="18"/>
                <w:szCs w:val="18"/>
              </w:rPr>
            </w:pPr>
            <w:r>
              <w:rPr>
                <w:rFonts w:cstheme="minorHAnsi"/>
                <w:color w:val="000000" w:themeColor="text1"/>
                <w:sz w:val="18"/>
                <w:szCs w:val="18"/>
              </w:rPr>
              <w:t>Added ‘Attendance status’ term and definition f</w:t>
            </w:r>
            <w:r w:rsidR="002D13A7">
              <w:rPr>
                <w:rFonts w:cstheme="minorHAnsi"/>
                <w:color w:val="000000" w:themeColor="text1"/>
                <w:sz w:val="18"/>
                <w:szCs w:val="18"/>
              </w:rPr>
              <w:t xml:space="preserve">or </w:t>
            </w:r>
            <w:r w:rsidR="00284BA2">
              <w:rPr>
                <w:rFonts w:cstheme="minorHAnsi"/>
                <w:color w:val="000000" w:themeColor="text1"/>
                <w:sz w:val="18"/>
                <w:szCs w:val="18"/>
              </w:rPr>
              <w:t xml:space="preserve">improved </w:t>
            </w:r>
            <w:r w:rsidR="002D13A7">
              <w:rPr>
                <w:rFonts w:cstheme="minorHAnsi"/>
                <w:color w:val="000000" w:themeColor="text1"/>
                <w:sz w:val="18"/>
                <w:szCs w:val="18"/>
              </w:rPr>
              <w:t>consistency across</w:t>
            </w:r>
            <w:r w:rsidR="008F0F5E">
              <w:rPr>
                <w:rFonts w:cstheme="minorHAnsi"/>
                <w:color w:val="000000" w:themeColor="text1"/>
                <w:sz w:val="18"/>
                <w:szCs w:val="18"/>
              </w:rPr>
              <w:t xml:space="preserve"> survey components and </w:t>
            </w:r>
            <w:r w:rsidR="00213B3D">
              <w:rPr>
                <w:rFonts w:cstheme="minorHAnsi"/>
                <w:color w:val="000000" w:themeColor="text1"/>
                <w:sz w:val="18"/>
                <w:szCs w:val="18"/>
              </w:rPr>
              <w:t xml:space="preserve">IPEDS data </w:t>
            </w:r>
            <w:r w:rsidR="008F0F5E">
              <w:rPr>
                <w:rFonts w:cstheme="minorHAnsi"/>
                <w:color w:val="000000" w:themeColor="text1"/>
                <w:sz w:val="18"/>
                <w:szCs w:val="18"/>
              </w:rPr>
              <w:t>products</w:t>
            </w:r>
            <w:r w:rsidR="00213B3D">
              <w:rPr>
                <w:rFonts w:cstheme="minorHAnsi"/>
                <w:color w:val="000000" w:themeColor="text1"/>
                <w:sz w:val="18"/>
                <w:szCs w:val="18"/>
              </w:rPr>
              <w:t xml:space="preserve"> and publications</w:t>
            </w:r>
            <w:r w:rsidR="008F0F5E">
              <w:rPr>
                <w:rFonts w:cstheme="minorHAnsi"/>
                <w:color w:val="000000" w:themeColor="text1"/>
                <w:sz w:val="18"/>
                <w:szCs w:val="18"/>
              </w:rPr>
              <w:t>.</w:t>
            </w:r>
            <w:r w:rsidR="002D13A7">
              <w:rPr>
                <w:rFonts w:cstheme="minorHAnsi"/>
                <w:color w:val="000000" w:themeColor="text1"/>
                <w:sz w:val="18"/>
                <w:szCs w:val="18"/>
              </w:rPr>
              <w:t xml:space="preserve"> </w:t>
            </w:r>
          </w:p>
        </w:tc>
      </w:tr>
      <w:tr w14:paraId="71D1C849" w14:textId="77777777" w:rsidTr="00E305F8">
        <w:tblPrEx>
          <w:tblW w:w="0" w:type="auto"/>
          <w:tblLook w:val="04A0"/>
        </w:tblPrEx>
        <w:trPr>
          <w:trHeight w:val="144"/>
        </w:trPr>
        <w:tc>
          <w:tcPr>
            <w:tcW w:w="1979" w:type="dxa"/>
          </w:tcPr>
          <w:p w:rsidR="00EB67D7" w:rsidP="00CB751F" w14:paraId="292C4BFB" w14:textId="08714645">
            <w:pPr>
              <w:rPr>
                <w:sz w:val="18"/>
                <w:szCs w:val="18"/>
              </w:rPr>
            </w:pPr>
            <w:r>
              <w:rPr>
                <w:sz w:val="18"/>
                <w:szCs w:val="18"/>
              </w:rPr>
              <w:t>New term</w:t>
            </w:r>
          </w:p>
        </w:tc>
        <w:tc>
          <w:tcPr>
            <w:tcW w:w="11606" w:type="dxa"/>
          </w:tcPr>
          <w:p w:rsidR="00EB67D7" w:rsidP="00CB751F" w14:paraId="236B98CD" w14:textId="2CAC6826">
            <w:pPr>
              <w:rPr>
                <w:rFonts w:cstheme="minorHAnsi"/>
                <w:color w:val="000000" w:themeColor="text1"/>
                <w:sz w:val="18"/>
                <w:szCs w:val="18"/>
              </w:rPr>
            </w:pPr>
            <w:r>
              <w:rPr>
                <w:rFonts w:cstheme="minorHAnsi"/>
                <w:color w:val="000000" w:themeColor="text1"/>
                <w:sz w:val="18"/>
                <w:szCs w:val="18"/>
              </w:rPr>
              <w:t xml:space="preserve">Added ‘Student level’ term and definition for improved consistency across survey components and IPEDS data products and publications. </w:t>
            </w:r>
          </w:p>
        </w:tc>
      </w:tr>
      <w:bookmarkEnd w:id="3"/>
    </w:tbl>
    <w:p w:rsidR="00DE514D" w:rsidRPr="00375DF2" w14:paraId="5C08B64C" w14:textId="77777777">
      <w:pPr>
        <w:rPr>
          <w:sz w:val="18"/>
          <w:szCs w:val="18"/>
        </w:rPr>
      </w:pPr>
    </w:p>
    <w:tbl>
      <w:tblPr>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61"/>
        <w:gridCol w:w="8558"/>
        <w:gridCol w:w="2097"/>
      </w:tblGrid>
      <w:tr w14:paraId="7B75F728" w14:textId="77777777" w:rsidTr="0036249A">
        <w:tblPrEx>
          <w:tblW w:w="136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961" w:type="dxa"/>
            <w:shd w:val="clear" w:color="auto" w:fill="auto"/>
            <w:vAlign w:val="center"/>
            <w:hideMark/>
          </w:tcPr>
          <w:p w:rsidR="00F7311D" w:rsidRPr="00FD12E5" w:rsidP="00F7311D" w14:paraId="066BC115" w14:textId="262AD3A4">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Term</w:t>
            </w:r>
          </w:p>
        </w:tc>
        <w:tc>
          <w:tcPr>
            <w:tcW w:w="8558" w:type="dxa"/>
            <w:shd w:val="clear" w:color="auto" w:fill="auto"/>
            <w:vAlign w:val="center"/>
            <w:hideMark/>
          </w:tcPr>
          <w:p w:rsidR="00F7311D" w:rsidRPr="00FD12E5" w:rsidP="00FD12E5" w14:paraId="6EDAF1FB" w14:textId="01297370">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Glossary Definition</w:t>
            </w:r>
            <w:r w:rsidRPr="00FD12E5">
              <w:rPr>
                <w:rFonts w:ascii="Calibri" w:eastAsia="Times New Roman" w:hAnsi="Calibri" w:cs="Calibri"/>
                <w:b/>
                <w:bCs/>
                <w:sz w:val="18"/>
                <w:szCs w:val="18"/>
              </w:rPr>
              <w:t xml:space="preserve"> </w:t>
            </w:r>
          </w:p>
        </w:tc>
        <w:tc>
          <w:tcPr>
            <w:tcW w:w="2097" w:type="dxa"/>
            <w:shd w:val="clear" w:color="auto" w:fill="auto"/>
            <w:vAlign w:val="center"/>
            <w:hideMark/>
          </w:tcPr>
          <w:p w:rsidR="00F7311D" w:rsidRPr="00FD12E5" w:rsidP="00F7311D" w14:paraId="60822297" w14:textId="77777777">
            <w:pPr>
              <w:spacing w:after="0" w:line="240" w:lineRule="auto"/>
              <w:rPr>
                <w:rFonts w:ascii="Calibri" w:eastAsia="Times New Roman" w:hAnsi="Calibri" w:cs="Calibri"/>
                <w:b/>
                <w:bCs/>
                <w:sz w:val="18"/>
                <w:szCs w:val="18"/>
              </w:rPr>
            </w:pPr>
            <w:r w:rsidRPr="00FD12E5">
              <w:rPr>
                <w:rFonts w:ascii="Calibri" w:eastAsia="Times New Roman" w:hAnsi="Calibri" w:cs="Calibri"/>
                <w:b/>
                <w:bCs/>
                <w:sz w:val="18"/>
                <w:szCs w:val="18"/>
              </w:rPr>
              <w:t>Related Item</w:t>
            </w:r>
          </w:p>
        </w:tc>
      </w:tr>
      <w:tr w14:paraId="5F5F0B19" w14:textId="77777777" w:rsidTr="0036249A">
        <w:tblPrEx>
          <w:tblW w:w="13616" w:type="dxa"/>
          <w:tblLook w:val="04A0"/>
        </w:tblPrEx>
        <w:trPr>
          <w:trHeight w:val="20"/>
        </w:trPr>
        <w:tc>
          <w:tcPr>
            <w:tcW w:w="2961" w:type="dxa"/>
            <w:shd w:val="clear" w:color="auto" w:fill="auto"/>
            <w:vAlign w:val="center"/>
            <w:hideMark/>
          </w:tcPr>
          <w:p w:rsidR="4035EC3D" w:rsidP="4035EC3D" w14:paraId="5BDAFEDF" w14:textId="1EDEA035">
            <w:pPr>
              <w:spacing w:line="240" w:lineRule="auto"/>
              <w:rPr>
                <w:rFonts w:ascii="Calibri" w:eastAsia="Times New Roman" w:hAnsi="Calibri" w:cs="Calibri"/>
                <w:b/>
                <w:bCs/>
                <w:sz w:val="18"/>
                <w:szCs w:val="18"/>
              </w:rPr>
            </w:pPr>
          </w:p>
        </w:tc>
        <w:tc>
          <w:tcPr>
            <w:tcW w:w="8558" w:type="dxa"/>
            <w:shd w:val="clear" w:color="auto" w:fill="auto"/>
            <w:vAlign w:val="center"/>
            <w:hideMark/>
          </w:tcPr>
          <w:p w:rsidR="4035EC3D" w:rsidP="4035EC3D" w14:paraId="64B55B83" w14:textId="0847C3B0">
            <w:pPr>
              <w:spacing w:line="240" w:lineRule="auto"/>
              <w:rPr>
                <w:rFonts w:ascii="Calibri" w:eastAsia="Times New Roman" w:hAnsi="Calibri" w:cs="Calibri"/>
                <w:b/>
                <w:bCs/>
                <w:sz w:val="18"/>
                <w:szCs w:val="18"/>
              </w:rPr>
            </w:pPr>
          </w:p>
        </w:tc>
        <w:tc>
          <w:tcPr>
            <w:tcW w:w="2097" w:type="dxa"/>
            <w:shd w:val="clear" w:color="auto" w:fill="auto"/>
            <w:vAlign w:val="center"/>
            <w:hideMark/>
          </w:tcPr>
          <w:p w:rsidR="4035EC3D" w:rsidP="4035EC3D" w14:paraId="52DD3E6B" w14:textId="1073BD5C">
            <w:pPr>
              <w:spacing w:line="240" w:lineRule="auto"/>
              <w:rPr>
                <w:rFonts w:ascii="Calibri" w:eastAsia="Times New Roman" w:hAnsi="Calibri" w:cs="Calibri"/>
                <w:b/>
                <w:bCs/>
                <w:sz w:val="18"/>
                <w:szCs w:val="18"/>
              </w:rPr>
            </w:pPr>
          </w:p>
        </w:tc>
      </w:tr>
      <w:tr w14:paraId="38ED4369"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7797C6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11/12 month salary contract/teaching period</w:t>
            </w:r>
          </w:p>
        </w:tc>
        <w:tc>
          <w:tcPr>
            <w:tcW w:w="8558" w:type="dxa"/>
            <w:shd w:val="clear" w:color="auto" w:fill="auto"/>
            <w:vAlign w:val="center"/>
            <w:hideMark/>
          </w:tcPr>
          <w:p w:rsidR="00F7311D" w:rsidRPr="00F7311D" w:rsidP="00F7311D" w14:paraId="14B43C7D" w14:textId="5D5706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the entire year, usually for a period of 11 or 12 months.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F7311D" w:rsidRPr="00F7311D" w:rsidP="00F7311D" w14:paraId="6181502A" w14:textId="77777777">
            <w:pPr>
              <w:spacing w:after="0" w:line="240" w:lineRule="auto"/>
              <w:rPr>
                <w:rFonts w:ascii="Calibri" w:eastAsia="Times New Roman" w:hAnsi="Calibri" w:cs="Calibri"/>
                <w:color w:val="000000"/>
                <w:sz w:val="18"/>
                <w:szCs w:val="18"/>
              </w:rPr>
            </w:pPr>
          </w:p>
        </w:tc>
      </w:tr>
      <w:tr w14:paraId="03FA7217"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013FD90F" w14:textId="0601B47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w:t>
            </w:r>
            <w:r w:rsidRPr="0020014C">
              <w:rPr>
                <w:rFonts w:ascii="Calibri" w:eastAsia="Times New Roman" w:hAnsi="Calibri" w:cs="Calibri"/>
                <w:color w:val="000000" w:themeColor="text1"/>
                <w:sz w:val="18"/>
                <w:szCs w:val="18"/>
              </w:rPr>
              <w:t xml:space="preserve">month </w:t>
            </w:r>
            <w:r w:rsidRPr="0020014C" w:rsidR="006C2015">
              <w:rPr>
                <w:rFonts w:ascii="Calibri" w:eastAsia="Times New Roman" w:hAnsi="Calibri" w:cs="Calibri"/>
                <w:color w:val="000000" w:themeColor="text1"/>
                <w:sz w:val="18"/>
                <w:szCs w:val="18"/>
              </w:rPr>
              <w:t>E</w:t>
            </w:r>
            <w:r w:rsidRPr="00F7311D">
              <w:rPr>
                <w:rFonts w:ascii="Calibri" w:eastAsia="Times New Roman" w:hAnsi="Calibri" w:cs="Calibri"/>
                <w:color w:val="000000"/>
                <w:sz w:val="18"/>
                <w:szCs w:val="18"/>
              </w:rPr>
              <w:t>nrollment (E12)</w:t>
            </w:r>
          </w:p>
        </w:tc>
        <w:tc>
          <w:tcPr>
            <w:tcW w:w="8558" w:type="dxa"/>
            <w:shd w:val="clear" w:color="auto" w:fill="auto"/>
            <w:vAlign w:val="center"/>
            <w:hideMark/>
          </w:tcPr>
          <w:p w:rsidR="00F7311D" w:rsidRPr="00F7311D" w:rsidP="00F7311D" w14:paraId="0976B3A0" w14:textId="529CF352">
            <w:pPr>
              <w:spacing w:after="0" w:line="240" w:lineRule="auto"/>
              <w:rPr>
                <w:rFonts w:ascii="Calibri" w:eastAsia="Times New Roman" w:hAnsi="Calibri" w:cs="Calibri"/>
                <w:color w:val="FF0000"/>
                <w:sz w:val="18"/>
                <w:szCs w:val="18"/>
              </w:rPr>
            </w:pPr>
            <w:r w:rsidRPr="0020014C">
              <w:rPr>
                <w:rFonts w:ascii="Calibri" w:eastAsia="Times New Roman" w:hAnsi="Calibri" w:cs="Calibri"/>
                <w:color w:val="000000" w:themeColor="text1"/>
                <w:sz w:val="18"/>
                <w:szCs w:val="18"/>
              </w:rPr>
              <w:t>This annual component of IPEDS collects</w:t>
            </w:r>
            <w:r w:rsidRPr="0020014C" w:rsidR="004D1851">
              <w:rPr>
                <w:rFonts w:ascii="Calibri" w:eastAsia="Times New Roman" w:hAnsi="Calibri" w:cs="Calibri"/>
                <w:color w:val="000000" w:themeColor="text1"/>
                <w:sz w:val="18"/>
                <w:szCs w:val="18"/>
              </w:rPr>
              <w:t xml:space="preserve"> unduplicated student enrollment counts and instructional activity data for an </w:t>
            </w:r>
            <w:r w:rsidRPr="0020014C" w:rsidR="00B649C9">
              <w:rPr>
                <w:rFonts w:ascii="Calibri" w:eastAsia="Times New Roman" w:hAnsi="Calibri" w:cs="Calibri"/>
                <w:color w:val="000000" w:themeColor="text1"/>
                <w:sz w:val="18"/>
                <w:szCs w:val="18"/>
              </w:rPr>
              <w:t>entire 12-month period.</w:t>
            </w:r>
            <w:r w:rsidRPr="0020014C">
              <w:rPr>
                <w:rFonts w:ascii="Calibri" w:eastAsia="Times New Roman" w:hAnsi="Calibri" w:cs="Calibri"/>
                <w:color w:val="000000" w:themeColor="text1"/>
                <w:sz w:val="18"/>
                <w:szCs w:val="18"/>
              </w:rPr>
              <w:t xml:space="preserve"> </w:t>
            </w:r>
            <w:r w:rsidRPr="0020014C">
              <w:rPr>
                <w:rFonts w:ascii="Calibri" w:eastAsia="Times New Roman" w:hAnsi="Calibri" w:cs="Calibri"/>
                <w:color w:val="000000" w:themeColor="text1"/>
                <w:sz w:val="18"/>
                <w:szCs w:val="18"/>
              </w:rPr>
              <w:t xml:space="preserve">These data were collected in the Enrollment component prior to the 2007 IPEDS </w:t>
            </w:r>
            <w:r w:rsidRPr="0020014C" w:rsidR="417545E7">
              <w:rPr>
                <w:rFonts w:ascii="Calibri" w:eastAsia="Times New Roman" w:hAnsi="Calibri" w:cs="Calibri"/>
                <w:color w:val="000000" w:themeColor="text1"/>
                <w:sz w:val="18"/>
                <w:szCs w:val="18"/>
              </w:rPr>
              <w:t xml:space="preserve">data </w:t>
            </w:r>
            <w:r w:rsidRPr="0020014C">
              <w:rPr>
                <w:rFonts w:ascii="Calibri" w:eastAsia="Times New Roman" w:hAnsi="Calibri" w:cs="Calibri"/>
                <w:color w:val="000000" w:themeColor="text1"/>
                <w:sz w:val="18"/>
                <w:szCs w:val="18"/>
              </w:rPr>
              <w:t>collection. Institutions report an unduplicated head count for the total number of students</w:t>
            </w:r>
            <w:r w:rsidRPr="0020014C" w:rsidR="00586992">
              <w:rPr>
                <w:rFonts w:ascii="Calibri" w:eastAsia="Times New Roman" w:hAnsi="Calibri" w:cs="Calibri"/>
                <w:color w:val="000000" w:themeColor="text1"/>
                <w:sz w:val="18"/>
                <w:szCs w:val="18"/>
              </w:rPr>
              <w:t>,</w:t>
            </w:r>
            <w:r w:rsidRPr="0020014C">
              <w:rPr>
                <w:rFonts w:ascii="Calibri" w:eastAsia="Times New Roman" w:hAnsi="Calibri" w:cs="Calibri"/>
                <w:color w:val="000000" w:themeColor="text1"/>
                <w:sz w:val="18"/>
                <w:szCs w:val="18"/>
              </w:rPr>
              <w:t xml:space="preserve"> by gender, attendance status (full-time, part-time), race/ethnicity, level (undergraduate</w:t>
            </w:r>
            <w:r w:rsidRPr="0020014C">
              <w:rPr>
                <w:rFonts w:ascii="Calibri" w:eastAsia="Times New Roman" w:hAnsi="Calibri" w:cs="Calibri"/>
                <w:strike/>
                <w:color w:val="000000" w:themeColor="text1"/>
                <w:sz w:val="18"/>
                <w:szCs w:val="18"/>
              </w:rPr>
              <w:t>,</w:t>
            </w:r>
            <w:r w:rsidRPr="0020014C" w:rsidR="00443ACE">
              <w:rPr>
                <w:rFonts w:ascii="Calibri" w:eastAsia="Times New Roman" w:hAnsi="Calibri" w:cs="Calibri"/>
                <w:color w:val="000000" w:themeColor="text1"/>
                <w:sz w:val="18"/>
                <w:szCs w:val="18"/>
              </w:rPr>
              <w:t xml:space="preserve"> and</w:t>
            </w:r>
            <w:r w:rsidRPr="0020014C">
              <w:rPr>
                <w:rFonts w:ascii="Calibri" w:eastAsia="Times New Roman" w:hAnsi="Calibri" w:cs="Calibri"/>
                <w:color w:val="000000" w:themeColor="text1"/>
                <w:sz w:val="18"/>
                <w:szCs w:val="18"/>
              </w:rPr>
              <w:t xml:space="preserve"> graduate</w:t>
            </w:r>
            <w:r w:rsidRPr="0020014C" w:rsidR="00A776A2">
              <w:rPr>
                <w:rFonts w:ascii="Calibri" w:eastAsia="Times New Roman" w:hAnsi="Calibri" w:cs="Calibri"/>
                <w:color w:val="000000" w:themeColor="text1"/>
                <w:sz w:val="18"/>
                <w:szCs w:val="18"/>
              </w:rPr>
              <w:t>,</w:t>
            </w:r>
            <w:r w:rsidRPr="0020014C" w:rsidR="00443ACE">
              <w:rPr>
                <w:rFonts w:ascii="Calibri" w:eastAsia="Times New Roman" w:hAnsi="Calibri" w:cs="Calibri"/>
                <w:color w:val="000000" w:themeColor="text1"/>
                <w:sz w:val="18"/>
                <w:szCs w:val="18"/>
              </w:rPr>
              <w:t xml:space="preserve"> including doctor’s </w:t>
            </w:r>
            <w:r w:rsidRPr="0020014C" w:rsidR="00E8510F">
              <w:rPr>
                <w:rFonts w:ascii="Calibri" w:eastAsia="Times New Roman" w:hAnsi="Calibri" w:cs="Calibri"/>
                <w:color w:val="000000" w:themeColor="text1"/>
                <w:sz w:val="18"/>
                <w:szCs w:val="18"/>
              </w:rPr>
              <w:t>– professional practice)</w:t>
            </w:r>
            <w:r w:rsidRPr="0020014C">
              <w:rPr>
                <w:rFonts w:ascii="Calibri" w:eastAsia="Times New Roman" w:hAnsi="Calibri" w:cs="Calibri"/>
                <w:color w:val="000000" w:themeColor="text1"/>
                <w:sz w:val="18"/>
                <w:szCs w:val="18"/>
              </w:rPr>
              <w:t>, first-time (entering), transfer-in, continuing/returning, and degree/certificate-seeking statuses</w:t>
            </w:r>
            <w:r w:rsidRPr="0020014C" w:rsidR="00586992">
              <w:rPr>
                <w:rFonts w:ascii="Calibri" w:eastAsia="Times New Roman" w:hAnsi="Calibri" w:cs="Calibri"/>
                <w:color w:val="000000" w:themeColor="text1"/>
                <w:sz w:val="18"/>
                <w:szCs w:val="18"/>
              </w:rPr>
              <w:t>,</w:t>
            </w:r>
            <w:r w:rsidRPr="0020014C">
              <w:rPr>
                <w:rFonts w:ascii="Calibri" w:eastAsia="Times New Roman" w:hAnsi="Calibri" w:cs="Calibri"/>
                <w:color w:val="000000" w:themeColor="text1"/>
                <w:sz w:val="18"/>
                <w:szCs w:val="18"/>
              </w:rPr>
              <w:t xml:space="preserve"> enrolled throughout the reporting period. Students included are those enrolled in any courses </w:t>
            </w:r>
            <w:r w:rsidRPr="0020014C" w:rsidR="00E43727">
              <w:rPr>
                <w:rFonts w:ascii="Calibri" w:eastAsia="Times New Roman" w:hAnsi="Calibri" w:cs="Calibri"/>
                <w:color w:val="000000" w:themeColor="text1"/>
                <w:sz w:val="18"/>
                <w:szCs w:val="18"/>
              </w:rPr>
              <w:t xml:space="preserve">for credit </w:t>
            </w:r>
            <w:r w:rsidRPr="0020014C">
              <w:rPr>
                <w:rFonts w:ascii="Calibri" w:eastAsia="Times New Roman" w:hAnsi="Calibri" w:cs="Calibri"/>
                <w:color w:val="000000" w:themeColor="text1"/>
                <w:sz w:val="18"/>
                <w:szCs w:val="18"/>
              </w:rPr>
              <w:t>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 Starting with the 2023-24 data collection, institutions also report data on dual enrollment</w:t>
            </w:r>
            <w:r w:rsidRPr="00372207" w:rsidR="7596381E">
              <w:rPr>
                <w:rFonts w:ascii="Calibri" w:eastAsia="Times New Roman" w:hAnsi="Calibri" w:cs="Calibri"/>
                <w:color w:val="7030A0"/>
                <w:sz w:val="18"/>
                <w:szCs w:val="18"/>
              </w:rPr>
              <w:t xml:space="preserve"> </w:t>
            </w:r>
            <w:r w:rsidRPr="008878BA" w:rsidR="7596381E">
              <w:rPr>
                <w:rFonts w:ascii="Calibri" w:eastAsia="Times New Roman" w:hAnsi="Calibri" w:cs="Calibri"/>
                <w:sz w:val="18"/>
                <w:szCs w:val="18"/>
              </w:rPr>
              <w:t>(i.e., the number of high school students enrolled at the postsecondary level)</w:t>
            </w:r>
            <w:r w:rsidRPr="2F8BA43F">
              <w:rPr>
                <w:rFonts w:ascii="Calibri" w:eastAsia="Times New Roman" w:hAnsi="Calibri" w:cs="Calibri"/>
                <w:color w:val="000000" w:themeColor="text1"/>
                <w:sz w:val="18"/>
                <w:szCs w:val="18"/>
              </w:rPr>
              <w:t>.</w:t>
            </w:r>
            <w:r w:rsidRPr="2F8BA43F" w:rsidR="000554E5">
              <w:rPr>
                <w:rFonts w:ascii="Calibri" w:eastAsia="Times New Roman" w:hAnsi="Calibri" w:cs="Calibri"/>
                <w:color w:val="000000" w:themeColor="text1"/>
                <w:sz w:val="18"/>
                <w:szCs w:val="18"/>
              </w:rPr>
              <w:t xml:space="preserve"> </w:t>
            </w:r>
          </w:p>
        </w:tc>
        <w:tc>
          <w:tcPr>
            <w:tcW w:w="2097" w:type="dxa"/>
            <w:shd w:val="clear" w:color="auto" w:fill="auto"/>
            <w:vAlign w:val="center"/>
            <w:hideMark/>
          </w:tcPr>
          <w:p w:rsidR="00F7311D" w:rsidRPr="00F7311D" w:rsidP="00F7311D" w14:paraId="29D5A3D2" w14:textId="77777777">
            <w:pPr>
              <w:spacing w:after="0" w:line="240" w:lineRule="auto"/>
              <w:rPr>
                <w:rFonts w:ascii="Calibri" w:eastAsia="Times New Roman" w:hAnsi="Calibri" w:cs="Calibri"/>
                <w:color w:val="000000"/>
                <w:sz w:val="18"/>
                <w:szCs w:val="18"/>
              </w:rPr>
            </w:pPr>
          </w:p>
        </w:tc>
      </w:tr>
      <w:tr w14:paraId="037667E4"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39F7A06E" w14:textId="75BEA6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12-month period</w:t>
            </w:r>
          </w:p>
        </w:tc>
        <w:tc>
          <w:tcPr>
            <w:tcW w:w="8558" w:type="dxa"/>
            <w:shd w:val="clear" w:color="auto" w:fill="auto"/>
            <w:vAlign w:val="center"/>
            <w:hideMark/>
          </w:tcPr>
          <w:p w:rsidR="00F7311D" w:rsidRPr="00F7311D" w:rsidP="00F7311D" w14:paraId="6BD26367" w14:textId="01174BAC">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A 12-month period defined by an institution for reporting a full year of activity (All institutions must use the July 1 - June 30 reporting period). This time period should be consistent across all IPEDS data collections and from year-to-year.</w:t>
            </w:r>
          </w:p>
        </w:tc>
        <w:tc>
          <w:tcPr>
            <w:tcW w:w="2097" w:type="dxa"/>
            <w:shd w:val="clear" w:color="auto" w:fill="auto"/>
            <w:vAlign w:val="center"/>
            <w:hideMark/>
          </w:tcPr>
          <w:p w:rsidR="00F7311D" w:rsidRPr="00F7311D" w:rsidP="00F7311D" w14:paraId="013C5ADC" w14:textId="77777777">
            <w:pPr>
              <w:spacing w:after="0" w:line="240" w:lineRule="auto"/>
              <w:rPr>
                <w:rFonts w:ascii="Calibri" w:eastAsia="Times New Roman" w:hAnsi="Calibri" w:cs="Calibri"/>
                <w:color w:val="000000"/>
                <w:sz w:val="18"/>
                <w:szCs w:val="18"/>
              </w:rPr>
            </w:pPr>
          </w:p>
        </w:tc>
      </w:tr>
      <w:tr w14:paraId="3B983E23"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707C51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25th percentile</w:t>
            </w:r>
          </w:p>
        </w:tc>
        <w:tc>
          <w:tcPr>
            <w:tcW w:w="8558" w:type="dxa"/>
            <w:shd w:val="clear" w:color="auto" w:fill="auto"/>
            <w:vAlign w:val="center"/>
            <w:hideMark/>
          </w:tcPr>
          <w:p w:rsidR="00F7311D" w:rsidRPr="00F7311D" w:rsidP="00F7311D" w14:paraId="6C5424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at or below which 25 percent of students submitting test scores to an institution scored.</w:t>
            </w:r>
          </w:p>
        </w:tc>
        <w:tc>
          <w:tcPr>
            <w:tcW w:w="2097" w:type="dxa"/>
            <w:shd w:val="clear" w:color="auto" w:fill="auto"/>
            <w:vAlign w:val="center"/>
            <w:hideMark/>
          </w:tcPr>
          <w:p w:rsidR="00F7311D" w:rsidRPr="00F7311D" w:rsidP="00F7311D" w14:paraId="72FBA93B" w14:textId="77777777">
            <w:pPr>
              <w:spacing w:after="0" w:line="240" w:lineRule="auto"/>
              <w:rPr>
                <w:rFonts w:ascii="Calibri" w:eastAsia="Times New Roman" w:hAnsi="Calibri" w:cs="Calibri"/>
                <w:color w:val="000000"/>
                <w:sz w:val="18"/>
                <w:szCs w:val="18"/>
              </w:rPr>
            </w:pPr>
          </w:p>
        </w:tc>
      </w:tr>
      <w:tr w14:paraId="3DC0885B" w14:textId="77777777" w:rsidTr="0036249A">
        <w:tblPrEx>
          <w:tblW w:w="13616" w:type="dxa"/>
          <w:tblLook w:val="04A0"/>
        </w:tblPrEx>
        <w:trPr>
          <w:trHeight w:val="20"/>
        </w:trPr>
        <w:tc>
          <w:tcPr>
            <w:tcW w:w="2961" w:type="dxa"/>
            <w:shd w:val="clear" w:color="auto" w:fill="auto"/>
            <w:vAlign w:val="center"/>
            <w:hideMark/>
          </w:tcPr>
          <w:p w:rsidR="00F7311D" w:rsidRPr="00F7311D" w:rsidP="00F7311D" w14:paraId="5A948860" w14:textId="3F6B85AB">
            <w:pPr>
              <w:spacing w:after="0" w:line="240" w:lineRule="auto"/>
              <w:rPr>
                <w:rFonts w:ascii="Calibri" w:eastAsia="Times New Roman" w:hAnsi="Calibri" w:cs="Calibri"/>
                <w:color w:val="000000"/>
                <w:sz w:val="18"/>
                <w:szCs w:val="18"/>
              </w:rPr>
            </w:pPr>
            <w:r w:rsidRPr="2F8BA43F">
              <w:rPr>
                <w:rFonts w:ascii="Calibri" w:eastAsia="Times New Roman" w:hAnsi="Calibri" w:cs="Calibri"/>
                <w:color w:val="000000" w:themeColor="text1"/>
                <w:sz w:val="18"/>
                <w:szCs w:val="18"/>
              </w:rPr>
              <w:t>3/2 program</w:t>
            </w:r>
          </w:p>
        </w:tc>
        <w:tc>
          <w:tcPr>
            <w:tcW w:w="8558" w:type="dxa"/>
            <w:shd w:val="clear" w:color="auto" w:fill="auto"/>
            <w:vAlign w:val="center"/>
            <w:hideMark/>
          </w:tcPr>
          <w:p w:rsidR="00F7311D" w:rsidRPr="00F7311D" w:rsidP="00F7311D" w14:paraId="0F40A5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of study that normally requires the first 3 years of undergraduate study at one institution and the last 2 years of study at another institution in order to attain a bachelor's degree. These programs are predefined by the institutions and are normally offered when an institution is unable to grant a degree in a particular field or program of study.</w:t>
            </w:r>
          </w:p>
        </w:tc>
        <w:tc>
          <w:tcPr>
            <w:tcW w:w="2097" w:type="dxa"/>
            <w:shd w:val="clear" w:color="auto" w:fill="auto"/>
            <w:vAlign w:val="center"/>
            <w:hideMark/>
          </w:tcPr>
          <w:p w:rsidR="00F7311D" w:rsidRPr="00F7311D" w:rsidP="00F7311D" w14:paraId="3E1B70BB" w14:textId="77777777">
            <w:pPr>
              <w:spacing w:after="0" w:line="240" w:lineRule="auto"/>
              <w:rPr>
                <w:rFonts w:ascii="Calibri" w:eastAsia="Times New Roman" w:hAnsi="Calibri" w:cs="Calibri"/>
                <w:color w:val="000000"/>
                <w:sz w:val="18"/>
                <w:szCs w:val="18"/>
              </w:rPr>
            </w:pPr>
          </w:p>
        </w:tc>
      </w:tr>
      <w:tr w14:paraId="5FEF0FE4" w14:textId="77777777" w:rsidTr="0036249A">
        <w:tblPrEx>
          <w:tblW w:w="13616" w:type="dxa"/>
          <w:tblLook w:val="04A0"/>
        </w:tblPrEx>
        <w:trPr>
          <w:trHeight w:val="20"/>
        </w:trPr>
        <w:tc>
          <w:tcPr>
            <w:tcW w:w="2961" w:type="dxa"/>
            <w:shd w:val="clear" w:color="auto" w:fill="auto"/>
            <w:vAlign w:val="center"/>
            <w:hideMark/>
          </w:tcPr>
          <w:p w:rsidR="00F7311D" w:rsidRPr="002515CF" w:rsidP="00F7311D" w14:paraId="1E3BDD68" w14:textId="40022BD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4-1-4 (calendar system)</w:t>
            </w:r>
          </w:p>
        </w:tc>
        <w:tc>
          <w:tcPr>
            <w:tcW w:w="8558" w:type="dxa"/>
            <w:shd w:val="clear" w:color="auto" w:fill="auto"/>
            <w:vAlign w:val="center"/>
            <w:hideMark/>
          </w:tcPr>
          <w:p w:rsidR="00F7311D" w:rsidRPr="002515CF" w:rsidP="00F7311D" w14:paraId="79A9AA28" w14:textId="62E914B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The 4-1-4 calendar usually consists of 4 courses taken for 4 months, 1 course taken for 1 month, and 4 courses taken for 4 months. There may be an additional </w:t>
            </w:r>
            <w:r w:rsidRPr="002515CF" w:rsidR="00AC778E">
              <w:rPr>
                <w:rFonts w:ascii="Calibri" w:eastAsia="Times New Roman" w:hAnsi="Calibri" w:cs="Calibri"/>
                <w:sz w:val="18"/>
                <w:szCs w:val="18"/>
              </w:rPr>
              <w:t>summer session</w:t>
            </w:r>
            <w:r w:rsidRPr="002515CF">
              <w:rPr>
                <w:rFonts w:ascii="Calibri" w:eastAsia="Times New Roman" w:hAnsi="Calibri" w:cs="Calibri"/>
                <w:sz w:val="18"/>
                <w:szCs w:val="18"/>
              </w:rPr>
              <w:t>.</w:t>
            </w:r>
          </w:p>
        </w:tc>
        <w:tc>
          <w:tcPr>
            <w:tcW w:w="2097" w:type="dxa"/>
            <w:shd w:val="clear" w:color="auto" w:fill="auto"/>
            <w:vAlign w:val="center"/>
            <w:hideMark/>
          </w:tcPr>
          <w:p w:rsidR="00F7311D" w:rsidRPr="00F7311D" w:rsidP="00F7311D" w14:paraId="7CF1B664" w14:textId="77777777">
            <w:pPr>
              <w:spacing w:after="0" w:line="240" w:lineRule="auto"/>
              <w:rPr>
                <w:rFonts w:ascii="Calibri" w:eastAsia="Times New Roman" w:hAnsi="Calibri" w:cs="Calibri"/>
                <w:color w:val="000000"/>
                <w:sz w:val="18"/>
                <w:szCs w:val="18"/>
              </w:rPr>
            </w:pPr>
          </w:p>
        </w:tc>
      </w:tr>
      <w:tr w14:paraId="514A899C" w14:textId="77777777" w:rsidTr="0036249A">
        <w:tblPrEx>
          <w:tblW w:w="13616" w:type="dxa"/>
          <w:tblLook w:val="04A0"/>
        </w:tblPrEx>
        <w:trPr>
          <w:trHeight w:val="20"/>
        </w:trPr>
        <w:tc>
          <w:tcPr>
            <w:tcW w:w="2961" w:type="dxa"/>
            <w:shd w:val="clear" w:color="auto" w:fill="auto"/>
            <w:vAlign w:val="center"/>
            <w:hideMark/>
          </w:tcPr>
          <w:p w:rsidR="00F7311D" w:rsidRPr="002515CF" w:rsidP="00F7311D" w14:paraId="71417784"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5-year program</w:t>
            </w:r>
          </w:p>
        </w:tc>
        <w:tc>
          <w:tcPr>
            <w:tcW w:w="8558" w:type="dxa"/>
            <w:shd w:val="clear" w:color="auto" w:fill="auto"/>
            <w:vAlign w:val="center"/>
            <w:hideMark/>
          </w:tcPr>
          <w:p w:rsidR="00F7311D" w:rsidRPr="002515CF" w:rsidP="00F7311D" w14:paraId="7792ED0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program offered by an institution that is defined in the catalog as requiring a student to take courses over a 5-year period in order to attain a bachelor's degree. These include, but are not limited to, 5-year cooperative programs which alternate class attendance with employment.</w:t>
            </w:r>
          </w:p>
        </w:tc>
        <w:tc>
          <w:tcPr>
            <w:tcW w:w="2097" w:type="dxa"/>
            <w:shd w:val="clear" w:color="auto" w:fill="auto"/>
            <w:vAlign w:val="center"/>
            <w:hideMark/>
          </w:tcPr>
          <w:p w:rsidR="00F7311D" w:rsidRPr="00F7311D" w:rsidP="00F7311D" w14:paraId="5A9CED5A" w14:textId="77777777">
            <w:pPr>
              <w:spacing w:after="0" w:line="240" w:lineRule="auto"/>
              <w:rPr>
                <w:rFonts w:ascii="Calibri" w:eastAsia="Times New Roman" w:hAnsi="Calibri" w:cs="Calibri"/>
                <w:color w:val="000000"/>
                <w:sz w:val="18"/>
                <w:szCs w:val="18"/>
              </w:rPr>
            </w:pPr>
          </w:p>
        </w:tc>
      </w:tr>
      <w:tr w14:paraId="2C4FC679" w14:textId="77777777" w:rsidTr="0036249A">
        <w:tblPrEx>
          <w:tblW w:w="13616" w:type="dxa"/>
          <w:tblLook w:val="04A0"/>
        </w:tblPrEx>
        <w:trPr>
          <w:trHeight w:val="20"/>
        </w:trPr>
        <w:tc>
          <w:tcPr>
            <w:tcW w:w="2961" w:type="dxa"/>
            <w:shd w:val="clear" w:color="auto" w:fill="auto"/>
            <w:vAlign w:val="center"/>
          </w:tcPr>
          <w:p w:rsidR="009F0CF5" w:rsidRPr="002515CF" w:rsidP="009F0CF5" w14:paraId="31D107E5" w14:textId="72F70BF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50th percentile (median)</w:t>
            </w:r>
          </w:p>
        </w:tc>
        <w:tc>
          <w:tcPr>
            <w:tcW w:w="8558" w:type="dxa"/>
            <w:shd w:val="clear" w:color="auto" w:fill="auto"/>
            <w:vAlign w:val="center"/>
          </w:tcPr>
          <w:p w:rsidR="009F0CF5" w:rsidRPr="002515CF" w:rsidP="009F0CF5" w14:paraId="3B289DD4" w14:textId="0B986E4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score at which 50 percent of students submitting test scores to an institution scored above and 50 percent scored below (i.e., midpoint of the test score distribution).</w:t>
            </w:r>
          </w:p>
        </w:tc>
        <w:tc>
          <w:tcPr>
            <w:tcW w:w="2097" w:type="dxa"/>
            <w:shd w:val="clear" w:color="auto" w:fill="auto"/>
            <w:vAlign w:val="center"/>
          </w:tcPr>
          <w:p w:rsidR="009F0CF5" w:rsidRPr="00F7311D" w:rsidP="009F0CF5" w14:paraId="203BAC5A" w14:textId="77777777">
            <w:pPr>
              <w:spacing w:after="0" w:line="240" w:lineRule="auto"/>
              <w:rPr>
                <w:rFonts w:ascii="Calibri" w:eastAsia="Times New Roman" w:hAnsi="Calibri" w:cs="Calibri"/>
                <w:color w:val="000000"/>
                <w:sz w:val="18"/>
                <w:szCs w:val="18"/>
              </w:rPr>
            </w:pPr>
          </w:p>
        </w:tc>
      </w:tr>
      <w:tr w14:paraId="013E40F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38DFF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75th percentile</w:t>
            </w:r>
          </w:p>
        </w:tc>
        <w:tc>
          <w:tcPr>
            <w:tcW w:w="8558" w:type="dxa"/>
            <w:shd w:val="clear" w:color="auto" w:fill="auto"/>
            <w:vAlign w:val="center"/>
            <w:hideMark/>
          </w:tcPr>
          <w:p w:rsidR="009F0CF5" w:rsidRPr="00F7311D" w:rsidP="009F0CF5" w14:paraId="698D3664" w14:textId="63FADF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score above which 25 percent of students submitting test scores to an institution scored.</w:t>
            </w:r>
          </w:p>
        </w:tc>
        <w:tc>
          <w:tcPr>
            <w:tcW w:w="2097" w:type="dxa"/>
            <w:shd w:val="clear" w:color="auto" w:fill="auto"/>
            <w:vAlign w:val="center"/>
            <w:hideMark/>
          </w:tcPr>
          <w:p w:rsidR="009F0CF5" w:rsidRPr="00F7311D" w:rsidP="009F0CF5" w14:paraId="696C77D6" w14:textId="77777777">
            <w:pPr>
              <w:spacing w:after="0" w:line="240" w:lineRule="auto"/>
              <w:rPr>
                <w:rFonts w:ascii="Calibri" w:eastAsia="Times New Roman" w:hAnsi="Calibri" w:cs="Calibri"/>
                <w:color w:val="000000"/>
                <w:sz w:val="18"/>
                <w:szCs w:val="18"/>
              </w:rPr>
            </w:pPr>
          </w:p>
        </w:tc>
      </w:tr>
      <w:tr w14:paraId="5997AF7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C4EC6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9/10-month salary contract/teaching period</w:t>
            </w:r>
          </w:p>
        </w:tc>
        <w:tc>
          <w:tcPr>
            <w:tcW w:w="8558" w:type="dxa"/>
            <w:shd w:val="clear" w:color="auto" w:fill="auto"/>
            <w:vAlign w:val="center"/>
            <w:hideMark/>
          </w:tcPr>
          <w:p w:rsidR="009F0CF5" w:rsidRPr="00F7311D" w:rsidP="009F0CF5" w14:paraId="05197261" w14:textId="6F968F4E">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The</w:t>
            </w:r>
            <w:r w:rsidRPr="00F7311D">
              <w:rPr>
                <w:rFonts w:ascii="Calibri" w:eastAsia="Times New Roman" w:hAnsi="Calibri" w:cs="Calibri"/>
                <w:color w:val="000000"/>
                <w:sz w:val="18"/>
                <w:szCs w:val="18"/>
              </w:rPr>
              <w:t xml:space="preserve"> contracted teaching period of faculty employed for 2 semesters, 3 quarters, 2 trimesters, 2 4-month sessions, or the equivalent.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9F0CF5" w:rsidRPr="00F7311D" w:rsidP="009F0CF5" w14:paraId="3C45B759" w14:textId="77777777">
            <w:pPr>
              <w:spacing w:after="0" w:line="240" w:lineRule="auto"/>
              <w:rPr>
                <w:rFonts w:ascii="Calibri" w:eastAsia="Times New Roman" w:hAnsi="Calibri" w:cs="Calibri"/>
                <w:color w:val="000000"/>
                <w:sz w:val="18"/>
                <w:szCs w:val="18"/>
              </w:rPr>
            </w:pPr>
          </w:p>
        </w:tc>
      </w:tr>
      <w:tr w14:paraId="6055B5A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B3261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Abroad</w:t>
            </w:r>
          </w:p>
        </w:tc>
        <w:tc>
          <w:tcPr>
            <w:tcW w:w="8558" w:type="dxa"/>
            <w:shd w:val="clear" w:color="auto" w:fill="auto"/>
            <w:vAlign w:val="center"/>
            <w:hideMark/>
          </w:tcPr>
          <w:p w:rsidR="009F0CF5" w:rsidRPr="00F7311D" w:rsidP="009F0CF5" w14:paraId="46CB0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geographic location not in the aggregate United States, which includes the 50 states, the District of Columbia, and the other areas.</w:t>
            </w:r>
          </w:p>
        </w:tc>
        <w:tc>
          <w:tcPr>
            <w:tcW w:w="2097" w:type="dxa"/>
            <w:shd w:val="clear" w:color="auto" w:fill="auto"/>
            <w:vAlign w:val="center"/>
            <w:hideMark/>
          </w:tcPr>
          <w:p w:rsidR="009F0CF5" w:rsidRPr="00F7311D" w:rsidP="009F0CF5" w14:paraId="751FCF04" w14:textId="77777777">
            <w:pPr>
              <w:spacing w:after="0" w:line="240" w:lineRule="auto"/>
              <w:rPr>
                <w:rFonts w:ascii="Calibri" w:eastAsia="Times New Roman" w:hAnsi="Calibri" w:cs="Calibri"/>
                <w:color w:val="000000"/>
                <w:sz w:val="18"/>
                <w:szCs w:val="18"/>
              </w:rPr>
            </w:pPr>
          </w:p>
        </w:tc>
      </w:tr>
      <w:tr w14:paraId="01D5B59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326A2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Libraries (AL)</w:t>
            </w:r>
          </w:p>
        </w:tc>
        <w:tc>
          <w:tcPr>
            <w:tcW w:w="8558" w:type="dxa"/>
            <w:shd w:val="clear" w:color="auto" w:fill="auto"/>
            <w:vAlign w:val="center"/>
            <w:hideMark/>
          </w:tcPr>
          <w:p w:rsidR="009F0CF5" w:rsidRPr="00F7311D" w:rsidP="009F0CF5" w14:paraId="0C3148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collects information on library collections, expenses, and services from degree-granting postsecondary institutions. Institutions with library expenses less than $100,000 annually report their collections and circulation or usage to IPEDS. Specific library collection items include physical and electronic/digital books, media, and databases (applicable to electronic only). Institutions with library expenses equal to or greater than $100,000 annually report both their collections and circulation or usage and details about their expenses to IPEDS. Detail expense categories include library salaries and wages, fringe benefits, materials and services costs, and operations and maintenance costs.</w:t>
            </w:r>
          </w:p>
        </w:tc>
        <w:tc>
          <w:tcPr>
            <w:tcW w:w="2097" w:type="dxa"/>
            <w:shd w:val="clear" w:color="auto" w:fill="auto"/>
            <w:vAlign w:val="center"/>
            <w:hideMark/>
          </w:tcPr>
          <w:p w:rsidR="009F0CF5" w:rsidRPr="00F7311D" w:rsidP="009F0CF5" w14:paraId="59B14CA1" w14:textId="77777777">
            <w:pPr>
              <w:spacing w:after="0" w:line="240" w:lineRule="auto"/>
              <w:rPr>
                <w:rFonts w:ascii="Calibri" w:eastAsia="Times New Roman" w:hAnsi="Calibri" w:cs="Calibri"/>
                <w:color w:val="000000"/>
                <w:sz w:val="18"/>
                <w:szCs w:val="18"/>
              </w:rPr>
            </w:pPr>
          </w:p>
        </w:tc>
      </w:tr>
      <w:tr w14:paraId="3323FE5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EA390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Library</w:t>
            </w:r>
          </w:p>
        </w:tc>
        <w:tc>
          <w:tcPr>
            <w:tcW w:w="8558" w:type="dxa"/>
            <w:shd w:val="clear" w:color="auto" w:fill="auto"/>
            <w:vAlign w:val="center"/>
            <w:hideMark/>
          </w:tcPr>
          <w:p w:rsidR="009F0CF5" w:rsidRPr="00F7311D" w:rsidP="009F0CF5" w14:paraId="63E2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entity in a postsecondary institution that provides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 established schedule in which services of the staff are available to the clientele; and the physical facilities necessary to support such a collection, staff, and schedule. This definition includes libraries that are part of learning resource centers.</w:t>
            </w:r>
          </w:p>
        </w:tc>
        <w:tc>
          <w:tcPr>
            <w:tcW w:w="2097" w:type="dxa"/>
            <w:shd w:val="clear" w:color="auto" w:fill="auto"/>
            <w:vAlign w:val="center"/>
            <w:hideMark/>
          </w:tcPr>
          <w:p w:rsidR="009F0CF5" w:rsidRPr="00F7311D" w:rsidP="009F0CF5" w14:paraId="735586DF" w14:textId="77777777">
            <w:pPr>
              <w:spacing w:after="0" w:line="240" w:lineRule="auto"/>
              <w:rPr>
                <w:rFonts w:ascii="Calibri" w:eastAsia="Times New Roman" w:hAnsi="Calibri" w:cs="Calibri"/>
                <w:color w:val="000000"/>
                <w:sz w:val="18"/>
                <w:szCs w:val="18"/>
              </w:rPr>
            </w:pPr>
          </w:p>
        </w:tc>
      </w:tr>
      <w:tr w14:paraId="05C4002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6E033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program</w:t>
            </w:r>
          </w:p>
        </w:tc>
        <w:tc>
          <w:tcPr>
            <w:tcW w:w="8558" w:type="dxa"/>
            <w:shd w:val="clear" w:color="auto" w:fill="auto"/>
            <w:vAlign w:val="center"/>
            <w:hideMark/>
          </w:tcPr>
          <w:p w:rsidR="009F0CF5" w:rsidRPr="00F7311D" w:rsidP="009F0CF5" w14:paraId="6214754F" w14:textId="735B2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instructional program leading toward an associate's, bachelor's, master's, doctor's, or resulting in credits that can be applied to one of these degrees.</w:t>
            </w:r>
          </w:p>
        </w:tc>
        <w:tc>
          <w:tcPr>
            <w:tcW w:w="2097" w:type="dxa"/>
            <w:shd w:val="clear" w:color="auto" w:fill="auto"/>
            <w:vAlign w:val="center"/>
            <w:hideMark/>
          </w:tcPr>
          <w:p w:rsidR="009F0CF5" w:rsidRPr="00F7311D" w:rsidP="009F0CF5" w14:paraId="45E538E2" w14:textId="77777777">
            <w:pPr>
              <w:spacing w:after="0" w:line="240" w:lineRule="auto"/>
              <w:rPr>
                <w:rFonts w:ascii="Calibri" w:eastAsia="Times New Roman" w:hAnsi="Calibri" w:cs="Calibri"/>
                <w:color w:val="000000"/>
                <w:sz w:val="18"/>
                <w:szCs w:val="18"/>
              </w:rPr>
            </w:pPr>
          </w:p>
        </w:tc>
      </w:tr>
      <w:tr w14:paraId="4FDDC69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B45DD83" w14:textId="1DE03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Academic </w:t>
            </w:r>
            <w:r w:rsidR="00A728C2">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ank</w:t>
            </w:r>
          </w:p>
        </w:tc>
        <w:tc>
          <w:tcPr>
            <w:tcW w:w="8558" w:type="dxa"/>
            <w:shd w:val="clear" w:color="auto" w:fill="auto"/>
            <w:vAlign w:val="center"/>
            <w:hideMark/>
          </w:tcPr>
          <w:p w:rsidR="009F0CF5" w:rsidRPr="00F7311D" w:rsidP="009F0CF5" w14:paraId="524FB72A" w14:textId="192E2DF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The IPEDS HR survey</w:t>
            </w:r>
            <w:r w:rsidR="00005DA5">
              <w:rPr>
                <w:rFonts w:ascii="Calibri" w:eastAsia="Times New Roman" w:hAnsi="Calibri" w:cs="Calibri"/>
                <w:color w:val="000000"/>
                <w:sz w:val="18"/>
                <w:szCs w:val="18"/>
              </w:rPr>
              <w:t xml:space="preserve"> </w:t>
            </w:r>
            <w:r w:rsidRPr="00781FB0" w:rsidR="00005DA5">
              <w:rPr>
                <w:rFonts w:ascii="Calibri" w:eastAsia="Times New Roman" w:hAnsi="Calibri" w:cs="Calibri"/>
                <w:color w:val="000000" w:themeColor="text1"/>
                <w:sz w:val="18"/>
                <w:szCs w:val="18"/>
              </w:rPr>
              <w:t>component</w:t>
            </w:r>
            <w:r w:rsidRPr="00781FB0">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includes the ranks of Professor, Associate Professor, Assistant Professor, Instructor, and Lecturer.</w:t>
            </w:r>
          </w:p>
        </w:tc>
        <w:tc>
          <w:tcPr>
            <w:tcW w:w="2097" w:type="dxa"/>
            <w:shd w:val="clear" w:color="auto" w:fill="auto"/>
            <w:vAlign w:val="center"/>
            <w:hideMark/>
          </w:tcPr>
          <w:p w:rsidR="009F0CF5" w:rsidRPr="00F7311D" w:rsidP="009F0CF5" w14:paraId="5732B886" w14:textId="77777777">
            <w:pPr>
              <w:spacing w:after="0" w:line="240" w:lineRule="auto"/>
              <w:rPr>
                <w:rFonts w:ascii="Calibri" w:eastAsia="Times New Roman" w:hAnsi="Calibri" w:cs="Calibri"/>
                <w:color w:val="000000"/>
                <w:sz w:val="18"/>
                <w:szCs w:val="18"/>
              </w:rPr>
            </w:pPr>
          </w:p>
        </w:tc>
      </w:tr>
      <w:tr w14:paraId="2103BBB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A188D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support</w:t>
            </w:r>
          </w:p>
        </w:tc>
        <w:tc>
          <w:tcPr>
            <w:tcW w:w="8558" w:type="dxa"/>
            <w:shd w:val="clear" w:color="auto" w:fill="auto"/>
            <w:vAlign w:val="center"/>
            <w:hideMark/>
          </w:tcPr>
          <w:p w:rsidR="009F0CF5" w:rsidRPr="00F7311D" w:rsidP="009F0CF5" w14:paraId="6B070630" w14:textId="7E7851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w:t>
            </w:r>
            <w:r w:rsidRPr="00AA25C8">
              <w:rPr>
                <w:rFonts w:ascii="Calibri" w:eastAsia="Times New Roman" w:hAnsi="Calibri" w:cs="Calibri"/>
                <w:color w:val="000000" w:themeColor="text1"/>
                <w:sz w:val="18"/>
                <w:szCs w:val="18"/>
              </w:rPr>
              <w:t>organized and</w:t>
            </w:r>
            <w:r w:rsidRPr="00AA25C8" w:rsidR="00C35A9B">
              <w:rPr>
                <w:rFonts w:ascii="Calibri" w:eastAsia="Times New Roman" w:hAnsi="Calibri" w:cs="Calibri"/>
                <w:color w:val="000000" w:themeColor="text1"/>
                <w:sz w:val="18"/>
                <w:szCs w:val="18"/>
              </w:rPr>
              <w:t>/or</w:t>
            </w:r>
            <w:r w:rsidRPr="00AA25C8">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Institutions include actual or allocated costs for operation and maintenance of plant, interest, and depreciation.</w:t>
            </w:r>
          </w:p>
        </w:tc>
        <w:tc>
          <w:tcPr>
            <w:tcW w:w="2097" w:type="dxa"/>
            <w:shd w:val="clear" w:color="auto" w:fill="auto"/>
            <w:vAlign w:val="center"/>
            <w:hideMark/>
          </w:tcPr>
          <w:p w:rsidR="009F0CF5" w:rsidRPr="00F7311D" w:rsidP="009F0CF5" w14:paraId="07855468" w14:textId="77777777">
            <w:pPr>
              <w:spacing w:after="0" w:line="240" w:lineRule="auto"/>
              <w:rPr>
                <w:rFonts w:ascii="Calibri" w:eastAsia="Times New Roman" w:hAnsi="Calibri" w:cs="Calibri"/>
                <w:color w:val="000000"/>
                <w:sz w:val="18"/>
                <w:szCs w:val="18"/>
              </w:rPr>
            </w:pPr>
          </w:p>
        </w:tc>
      </w:tr>
      <w:tr w14:paraId="7BA67E3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0004B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Academic year</w:t>
            </w:r>
          </w:p>
        </w:tc>
        <w:tc>
          <w:tcPr>
            <w:tcW w:w="8558" w:type="dxa"/>
            <w:shd w:val="clear" w:color="auto" w:fill="auto"/>
            <w:vAlign w:val="center"/>
            <w:hideMark/>
          </w:tcPr>
          <w:p w:rsidR="009F0CF5" w:rsidRPr="00F7311D" w:rsidP="009F0CF5" w14:paraId="364A0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period of time generally extending from September to June; usually equated to 2 semesters or trimesters, 3 quarters, or the period covered by a 4-1-4 calendar system.</w:t>
            </w:r>
          </w:p>
        </w:tc>
        <w:tc>
          <w:tcPr>
            <w:tcW w:w="2097" w:type="dxa"/>
            <w:shd w:val="clear" w:color="auto" w:fill="auto"/>
            <w:vAlign w:val="center"/>
            <w:hideMark/>
          </w:tcPr>
          <w:p w:rsidR="009F0CF5" w:rsidRPr="00F7311D" w:rsidP="009F0CF5" w14:paraId="524351D0" w14:textId="77777777">
            <w:pPr>
              <w:spacing w:after="0" w:line="240" w:lineRule="auto"/>
              <w:rPr>
                <w:rFonts w:ascii="Calibri" w:eastAsia="Times New Roman" w:hAnsi="Calibri" w:cs="Calibri"/>
                <w:color w:val="000000"/>
                <w:sz w:val="18"/>
                <w:szCs w:val="18"/>
              </w:rPr>
            </w:pPr>
          </w:p>
        </w:tc>
      </w:tr>
      <w:tr w14:paraId="4AE4121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D45D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Accelerated programs</w:t>
            </w:r>
          </w:p>
        </w:tc>
        <w:tc>
          <w:tcPr>
            <w:tcW w:w="8558" w:type="dxa"/>
            <w:shd w:val="clear" w:color="auto" w:fill="auto"/>
            <w:vAlign w:val="center"/>
            <w:hideMark/>
          </w:tcPr>
          <w:p w:rsidR="009F0CF5" w:rsidRPr="002515CF" w:rsidP="009F0CF5" w14:paraId="3B48C578" w14:textId="0173483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Completion of a college program of study in fewer than the usual number of years, most often by attending </w:t>
            </w:r>
            <w:r w:rsidRPr="002515CF" w:rsidR="00AC778E">
              <w:rPr>
                <w:rFonts w:ascii="Calibri" w:eastAsia="Times New Roman" w:hAnsi="Calibri" w:cs="Calibri"/>
                <w:sz w:val="18"/>
                <w:szCs w:val="18"/>
              </w:rPr>
              <w:t xml:space="preserve">summer session </w:t>
            </w:r>
            <w:r w:rsidRPr="002515CF" w:rsidR="00FE3923">
              <w:rPr>
                <w:rFonts w:ascii="Calibri" w:eastAsia="Times New Roman" w:hAnsi="Calibri" w:cs="Calibri"/>
                <w:sz w:val="18"/>
                <w:szCs w:val="18"/>
              </w:rPr>
              <w:t>and</w:t>
            </w:r>
            <w:r w:rsidRPr="002515CF">
              <w:rPr>
                <w:rFonts w:ascii="Calibri" w:eastAsia="Times New Roman" w:hAnsi="Calibri" w:cs="Calibri"/>
                <w:sz w:val="18"/>
                <w:szCs w:val="18"/>
              </w:rPr>
              <w:t xml:space="preserve"> carrying extra courses during the</w:t>
            </w:r>
            <w:r w:rsidRPr="002515CF" w:rsidR="002515CF">
              <w:rPr>
                <w:rFonts w:ascii="Calibri" w:eastAsia="Times New Roman" w:hAnsi="Calibri" w:cs="Calibri"/>
                <w:sz w:val="18"/>
                <w:szCs w:val="18"/>
              </w:rPr>
              <w:t xml:space="preserve"> </w:t>
            </w:r>
            <w:r w:rsidRPr="002515CF" w:rsidR="00431B15">
              <w:rPr>
                <w:rFonts w:ascii="Calibri" w:eastAsia="Times New Roman" w:hAnsi="Calibri" w:cs="Calibri"/>
                <w:sz w:val="18"/>
                <w:szCs w:val="18"/>
              </w:rPr>
              <w:t xml:space="preserve">full </w:t>
            </w:r>
            <w:r w:rsidRPr="002515CF">
              <w:rPr>
                <w:rFonts w:ascii="Calibri" w:eastAsia="Times New Roman" w:hAnsi="Calibri" w:cs="Calibri"/>
                <w:sz w:val="18"/>
                <w:szCs w:val="18"/>
              </w:rPr>
              <w:t>academic term.</w:t>
            </w:r>
          </w:p>
        </w:tc>
        <w:tc>
          <w:tcPr>
            <w:tcW w:w="2097" w:type="dxa"/>
            <w:shd w:val="clear" w:color="auto" w:fill="auto"/>
            <w:vAlign w:val="center"/>
            <w:hideMark/>
          </w:tcPr>
          <w:p w:rsidR="009F0CF5" w:rsidRPr="00F7311D" w:rsidP="009F0CF5" w14:paraId="71CC6FA5" w14:textId="77777777">
            <w:pPr>
              <w:spacing w:after="0" w:line="240" w:lineRule="auto"/>
              <w:rPr>
                <w:rFonts w:ascii="Calibri" w:eastAsia="Times New Roman" w:hAnsi="Calibri" w:cs="Calibri"/>
                <w:color w:val="000000"/>
                <w:sz w:val="18"/>
                <w:szCs w:val="18"/>
              </w:rPr>
            </w:pPr>
          </w:p>
        </w:tc>
      </w:tr>
      <w:tr w14:paraId="6DB0C38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A96CD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Access rights</w:t>
            </w:r>
          </w:p>
        </w:tc>
        <w:tc>
          <w:tcPr>
            <w:tcW w:w="8558" w:type="dxa"/>
            <w:shd w:val="clear" w:color="auto" w:fill="auto"/>
            <w:vAlign w:val="center"/>
            <w:hideMark/>
          </w:tcPr>
          <w:p w:rsidR="009F0CF5" w:rsidRPr="002515CF" w:rsidP="009F0CF5" w14:paraId="765C5C93"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Access rights may be acquired by the library itself, by a consortium and/or through external funding. Acquisition is to be understood as deliberately selecting a document, securing access rights and including it in the OPAC (online public access catalog) or other databases of the library. Interlibrary lending and document delivery are excluded.</w:t>
            </w:r>
          </w:p>
        </w:tc>
        <w:tc>
          <w:tcPr>
            <w:tcW w:w="2097" w:type="dxa"/>
            <w:shd w:val="clear" w:color="auto" w:fill="auto"/>
            <w:vAlign w:val="center"/>
            <w:hideMark/>
          </w:tcPr>
          <w:p w:rsidR="009F0CF5" w:rsidRPr="00F7311D" w:rsidP="009F0CF5" w14:paraId="50587C98" w14:textId="77777777">
            <w:pPr>
              <w:spacing w:after="0" w:line="240" w:lineRule="auto"/>
              <w:rPr>
                <w:rFonts w:ascii="Calibri" w:eastAsia="Times New Roman" w:hAnsi="Calibri" w:cs="Calibri"/>
                <w:color w:val="000000"/>
                <w:sz w:val="18"/>
                <w:szCs w:val="18"/>
              </w:rPr>
            </w:pPr>
          </w:p>
        </w:tc>
      </w:tr>
      <w:tr w14:paraId="759BD76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14A43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c>
          <w:tcPr>
            <w:tcW w:w="8558" w:type="dxa"/>
            <w:shd w:val="clear" w:color="auto" w:fill="auto"/>
            <w:vAlign w:val="center"/>
            <w:hideMark/>
          </w:tcPr>
          <w:p w:rsidR="009F0CF5" w:rsidRPr="002515CF" w:rsidP="009F0CF5" w14:paraId="09059801"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Organizations (or bodies) that establish operating standards for educational or professional institutions and programs, determine the extent to which the standards are met, and publicly announce their findings.</w:t>
            </w:r>
          </w:p>
        </w:tc>
        <w:tc>
          <w:tcPr>
            <w:tcW w:w="2097" w:type="dxa"/>
            <w:shd w:val="clear" w:color="auto" w:fill="auto"/>
            <w:vAlign w:val="center"/>
            <w:hideMark/>
          </w:tcPr>
          <w:p w:rsidR="009F0CF5" w:rsidRPr="00F7311D" w:rsidP="009F0CF5" w14:paraId="36A51177" w14:textId="77777777">
            <w:pPr>
              <w:spacing w:after="0" w:line="240" w:lineRule="auto"/>
              <w:rPr>
                <w:rFonts w:ascii="Calibri" w:eastAsia="Times New Roman" w:hAnsi="Calibri" w:cs="Calibri"/>
                <w:color w:val="000000"/>
                <w:sz w:val="18"/>
                <w:szCs w:val="18"/>
              </w:rPr>
            </w:pPr>
          </w:p>
        </w:tc>
      </w:tr>
      <w:tr w14:paraId="7A6CEE6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6A438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bodies</w:t>
            </w:r>
          </w:p>
        </w:tc>
        <w:tc>
          <w:tcPr>
            <w:tcW w:w="8558" w:type="dxa"/>
            <w:shd w:val="clear" w:color="auto" w:fill="auto"/>
            <w:vAlign w:val="center"/>
            <w:hideMark/>
          </w:tcPr>
          <w:p w:rsidR="009F0CF5" w:rsidRPr="00F7311D" w:rsidP="009F0CF5" w14:paraId="150DFB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accrediting agencies</w:t>
            </w:r>
          </w:p>
        </w:tc>
        <w:tc>
          <w:tcPr>
            <w:tcW w:w="2097" w:type="dxa"/>
            <w:shd w:val="clear" w:color="auto" w:fill="auto"/>
            <w:vAlign w:val="center"/>
            <w:hideMark/>
          </w:tcPr>
          <w:p w:rsidR="009F0CF5" w:rsidRPr="00F7311D" w:rsidP="009F0CF5" w14:paraId="54812B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p>
        </w:tc>
      </w:tr>
      <w:tr w14:paraId="672E611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021F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Accumulated depreciation</w:t>
            </w:r>
          </w:p>
        </w:tc>
        <w:tc>
          <w:tcPr>
            <w:tcW w:w="8558" w:type="dxa"/>
            <w:shd w:val="clear" w:color="auto" w:fill="auto"/>
            <w:vAlign w:val="center"/>
            <w:hideMark/>
          </w:tcPr>
          <w:p w:rsidR="009F0CF5" w:rsidRPr="00F7311D" w:rsidP="009F0CF5" w14:paraId="2C79E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depreciation charged as expenses as of the reporting date (in the current year and in prior years) on the capital assets of the institution. FASB Statement No. 117 and GASB Statement No. 34 require that accumulated depreciation to date be recognized.</w:t>
            </w:r>
          </w:p>
        </w:tc>
        <w:tc>
          <w:tcPr>
            <w:tcW w:w="2097" w:type="dxa"/>
            <w:shd w:val="clear" w:color="auto" w:fill="auto"/>
            <w:vAlign w:val="center"/>
            <w:hideMark/>
          </w:tcPr>
          <w:p w:rsidR="009F0CF5" w:rsidRPr="00F7311D" w:rsidP="009F0CF5" w14:paraId="5C7A9EE3" w14:textId="77777777">
            <w:pPr>
              <w:spacing w:after="0" w:line="240" w:lineRule="auto"/>
              <w:rPr>
                <w:rFonts w:ascii="Calibri" w:eastAsia="Times New Roman" w:hAnsi="Calibri" w:cs="Calibri"/>
                <w:color w:val="000000"/>
                <w:sz w:val="18"/>
                <w:szCs w:val="18"/>
              </w:rPr>
            </w:pPr>
          </w:p>
        </w:tc>
      </w:tr>
      <w:tr w14:paraId="6C9B61F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94F04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w:t>
            </w:r>
          </w:p>
        </w:tc>
        <w:tc>
          <w:tcPr>
            <w:tcW w:w="8558" w:type="dxa"/>
            <w:shd w:val="clear" w:color="auto" w:fill="auto"/>
            <w:vAlign w:val="center"/>
            <w:hideMark/>
          </w:tcPr>
          <w:p w:rsidR="009F0CF5" w:rsidRPr="00F7311D" w:rsidP="009F0CF5" w14:paraId="67669A21" w14:textId="51158F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ACT, previously known as the American College Testing </w:t>
            </w:r>
            <w:r w:rsidRPr="00F7311D" w:rsidR="00FE3923">
              <w:rPr>
                <w:rFonts w:ascii="Calibri" w:eastAsia="Times New Roman" w:hAnsi="Calibri" w:cs="Calibri"/>
                <w:color w:val="000000"/>
                <w:sz w:val="18"/>
                <w:szCs w:val="18"/>
              </w:rPr>
              <w:t>program, measures</w:t>
            </w:r>
            <w:r w:rsidRPr="00F7311D">
              <w:rPr>
                <w:rFonts w:ascii="Calibri" w:eastAsia="Times New Roman" w:hAnsi="Calibri" w:cs="Calibri"/>
                <w:color w:val="000000"/>
                <w:sz w:val="18"/>
                <w:szCs w:val="18"/>
              </w:rPr>
              <w:t xml:space="preserve"> educational development and readiness to pursue college-level coursework in English, mathematics, natural science, and social studies. Student performance does not reflect innate ability and is influenced by a student's educational preparedness.</w:t>
            </w:r>
          </w:p>
        </w:tc>
        <w:tc>
          <w:tcPr>
            <w:tcW w:w="2097" w:type="dxa"/>
            <w:shd w:val="clear" w:color="auto" w:fill="auto"/>
            <w:vAlign w:val="center"/>
            <w:hideMark/>
          </w:tcPr>
          <w:p w:rsidR="009F0CF5" w:rsidRPr="00F7311D" w:rsidP="009F0CF5" w14:paraId="6633CF0F" w14:textId="77777777">
            <w:pPr>
              <w:spacing w:after="0" w:line="240" w:lineRule="auto"/>
              <w:rPr>
                <w:rFonts w:ascii="Calibri" w:eastAsia="Times New Roman" w:hAnsi="Calibri" w:cs="Calibri"/>
                <w:color w:val="000000"/>
                <w:sz w:val="18"/>
                <w:szCs w:val="18"/>
              </w:rPr>
            </w:pPr>
          </w:p>
        </w:tc>
      </w:tr>
      <w:tr w14:paraId="4EE8E8A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0093F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permanent endowments</w:t>
            </w:r>
          </w:p>
        </w:tc>
        <w:tc>
          <w:tcPr>
            <w:tcW w:w="8558" w:type="dxa"/>
            <w:shd w:val="clear" w:color="auto" w:fill="auto"/>
            <w:vAlign w:val="center"/>
            <w:hideMark/>
          </w:tcPr>
          <w:p w:rsidR="009F0CF5" w:rsidRPr="00F7311D" w:rsidP="009F0CF5" w14:paraId="1DC99F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 or grants received by a GASB institution that are restricted to a permanent endowment (institutions often have endowment funds that are classified as permanent endowments). Funds must be held in perpetuity with only the income generally available for use.</w:t>
            </w:r>
          </w:p>
        </w:tc>
        <w:tc>
          <w:tcPr>
            <w:tcW w:w="2097" w:type="dxa"/>
            <w:shd w:val="clear" w:color="auto" w:fill="auto"/>
            <w:vAlign w:val="center"/>
            <w:hideMark/>
          </w:tcPr>
          <w:p w:rsidR="009F0CF5" w:rsidRPr="00F7311D" w:rsidP="009F0CF5" w14:paraId="5AF6F384" w14:textId="77777777">
            <w:pPr>
              <w:spacing w:after="0" w:line="240" w:lineRule="auto"/>
              <w:rPr>
                <w:rFonts w:ascii="Calibri" w:eastAsia="Times New Roman" w:hAnsi="Calibri" w:cs="Calibri"/>
                <w:color w:val="000000"/>
                <w:sz w:val="18"/>
                <w:szCs w:val="18"/>
              </w:rPr>
            </w:pPr>
          </w:p>
        </w:tc>
      </w:tr>
      <w:tr w14:paraId="3BC25AB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831C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Additions to physical plant assets</w:t>
            </w:r>
          </w:p>
        </w:tc>
        <w:tc>
          <w:tcPr>
            <w:tcW w:w="8558" w:type="dxa"/>
            <w:shd w:val="clear" w:color="auto" w:fill="auto"/>
            <w:vAlign w:val="center"/>
            <w:hideMark/>
          </w:tcPr>
          <w:p w:rsidR="009F0CF5" w:rsidRPr="00F7311D" w:rsidP="009F0CF5" w14:paraId="08795F7C" w14:textId="4D7E441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Land, </w:t>
            </w:r>
            <w:r w:rsidRPr="00F7311D" w:rsidR="00FE3923">
              <w:rPr>
                <w:rFonts w:ascii="Calibri" w:eastAsia="Times New Roman" w:hAnsi="Calibri" w:cs="Calibri"/>
                <w:color w:val="000000"/>
                <w:sz w:val="18"/>
                <w:szCs w:val="18"/>
              </w:rPr>
              <w:t>buildings, improvements</w:t>
            </w:r>
            <w:r w:rsidRPr="00F7311D">
              <w:rPr>
                <w:rFonts w:ascii="Calibri" w:eastAsia="Times New Roman" w:hAnsi="Calibri" w:cs="Calibri"/>
                <w:color w:val="000000"/>
                <w:sz w:val="18"/>
                <w:szCs w:val="18"/>
              </w:rPr>
              <w:t xml:space="preserve"> other than buildings, equipment, and library books that are added during the fiscal year through purchases, by gifts-in-kind from donors, and from other additions; excludes construction in progress.</w:t>
            </w:r>
          </w:p>
        </w:tc>
        <w:tc>
          <w:tcPr>
            <w:tcW w:w="2097" w:type="dxa"/>
            <w:shd w:val="clear" w:color="auto" w:fill="auto"/>
            <w:vAlign w:val="center"/>
            <w:hideMark/>
          </w:tcPr>
          <w:p w:rsidR="009F0CF5" w:rsidRPr="00F7311D" w:rsidP="009F0CF5" w14:paraId="3350BF29" w14:textId="77777777">
            <w:pPr>
              <w:spacing w:after="0" w:line="240" w:lineRule="auto"/>
              <w:rPr>
                <w:rFonts w:ascii="Calibri" w:eastAsia="Times New Roman" w:hAnsi="Calibri" w:cs="Calibri"/>
                <w:color w:val="000000"/>
                <w:sz w:val="18"/>
                <w:szCs w:val="18"/>
              </w:rPr>
            </w:pPr>
          </w:p>
        </w:tc>
      </w:tr>
      <w:tr w14:paraId="65C9A87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A1E0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Adjunct instructional staff</w:t>
            </w:r>
          </w:p>
        </w:tc>
        <w:tc>
          <w:tcPr>
            <w:tcW w:w="8558" w:type="dxa"/>
            <w:shd w:val="clear" w:color="auto" w:fill="auto"/>
            <w:vAlign w:val="center"/>
            <w:hideMark/>
          </w:tcPr>
          <w:p w:rsidR="009F0CF5" w:rsidRPr="00F7311D" w:rsidP="009F0CF5" w14:paraId="5D0433C2" w14:textId="219E5B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Non-tenure </w:t>
            </w:r>
            <w:r w:rsidRPr="00F7311D" w:rsidR="00FE3923">
              <w:rPr>
                <w:rFonts w:ascii="Calibri" w:eastAsia="Times New Roman" w:hAnsi="Calibri" w:cs="Calibri"/>
                <w:color w:val="000000"/>
                <w:sz w:val="18"/>
                <w:szCs w:val="18"/>
              </w:rPr>
              <w:t>track instructional</w:t>
            </w:r>
            <w:r w:rsidRPr="00F7311D">
              <w:rPr>
                <w:rFonts w:ascii="Calibri" w:eastAsia="Times New Roman" w:hAnsi="Calibri" w:cs="Calibri"/>
                <w:color w:val="000000"/>
                <w:sz w:val="18"/>
                <w:szCs w:val="18"/>
              </w:rPr>
              <w:t xml:space="preserve"> staff serving in a temporary or auxiliary capacity to teach specific courses on a course-by-course basis. Includes both instructional staff who are hired to teach an academic degree-credit course and those hired to teach a</w:t>
            </w:r>
            <w:r w:rsidRPr="00EE7111">
              <w:rPr>
                <w:rFonts w:ascii="Calibri" w:eastAsia="Times New Roman" w:hAnsi="Calibri" w:cs="Calibri"/>
                <w:color w:val="FF0000"/>
                <w:sz w:val="18"/>
                <w:szCs w:val="18"/>
              </w:rPr>
              <w:t xml:space="preserve"> </w:t>
            </w:r>
            <w:r w:rsidRPr="00F7311D">
              <w:rPr>
                <w:rFonts w:ascii="Calibri" w:eastAsia="Times New Roman" w:hAnsi="Calibri" w:cs="Calibri"/>
                <w:color w:val="000000"/>
                <w:sz w:val="18"/>
                <w:szCs w:val="18"/>
              </w:rPr>
              <w:t xml:space="preserve">developmental or ESL course; whether the latter three categories earn college credit is immaterial. Excludes regular part-time instructional staff (who, unlike adjuncts are not paid on a course-by-course basis), graduate assistants, full-time professional staff of the institution who may teach individual courses (such as a dean or academic advisor), and </w:t>
            </w:r>
            <w:r w:rsidRPr="002515CF">
              <w:rPr>
                <w:rFonts w:ascii="Calibri" w:eastAsia="Times New Roman" w:hAnsi="Calibri" w:cs="Calibri"/>
                <w:sz w:val="18"/>
                <w:szCs w:val="18"/>
              </w:rPr>
              <w:t xml:space="preserve">appointees who teach </w:t>
            </w:r>
            <w:r w:rsidRPr="002515CF" w:rsidR="00D008F5">
              <w:rPr>
                <w:rFonts w:ascii="Calibri" w:eastAsia="Times New Roman" w:hAnsi="Calibri" w:cs="Calibri"/>
                <w:sz w:val="18"/>
                <w:szCs w:val="18"/>
              </w:rPr>
              <w:t xml:space="preserve">noncredit </w:t>
            </w:r>
            <w:r w:rsidRPr="002515CF">
              <w:rPr>
                <w:rFonts w:ascii="Calibri" w:eastAsia="Times New Roman" w:hAnsi="Calibri" w:cs="Calibri"/>
                <w:sz w:val="18"/>
                <w:szCs w:val="18"/>
              </w:rPr>
              <w:t xml:space="preserve">courses </w:t>
            </w:r>
            <w:r w:rsidRPr="00F7311D">
              <w:rPr>
                <w:rFonts w:ascii="Calibri" w:eastAsia="Times New Roman" w:hAnsi="Calibri" w:cs="Calibri"/>
                <w:color w:val="000000"/>
                <w:sz w:val="18"/>
                <w:szCs w:val="18"/>
              </w:rPr>
              <w:t>exclusively.</w:t>
            </w:r>
          </w:p>
        </w:tc>
        <w:tc>
          <w:tcPr>
            <w:tcW w:w="2097" w:type="dxa"/>
            <w:shd w:val="clear" w:color="auto" w:fill="auto"/>
            <w:vAlign w:val="center"/>
            <w:hideMark/>
          </w:tcPr>
          <w:p w:rsidR="009F0CF5" w:rsidRPr="00F7311D" w:rsidP="009F0CF5" w14:paraId="05429137" w14:textId="77777777">
            <w:pPr>
              <w:spacing w:after="0" w:line="240" w:lineRule="auto"/>
              <w:rPr>
                <w:rFonts w:ascii="Calibri" w:eastAsia="Times New Roman" w:hAnsi="Calibri" w:cs="Calibri"/>
                <w:color w:val="000000"/>
                <w:sz w:val="18"/>
                <w:szCs w:val="18"/>
              </w:rPr>
            </w:pPr>
          </w:p>
        </w:tc>
      </w:tr>
      <w:tr w14:paraId="52007AA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451E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Adjusted cohort</w:t>
            </w:r>
          </w:p>
        </w:tc>
        <w:tc>
          <w:tcPr>
            <w:tcW w:w="8558" w:type="dxa"/>
            <w:shd w:val="clear" w:color="auto" w:fill="auto"/>
            <w:vAlign w:val="center"/>
            <w:hideMark/>
          </w:tcPr>
          <w:p w:rsidR="009F0CF5" w:rsidRPr="00F7311D" w:rsidP="009F0CF5" w14:paraId="5644C516" w14:textId="2947262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result of removing any allowable exclusions from a cohort (or </w:t>
            </w:r>
            <w:r w:rsidRPr="00F7311D">
              <w:rPr>
                <w:rFonts w:ascii="Calibri" w:eastAsia="Times New Roman" w:hAnsi="Calibri" w:cs="Calibri"/>
                <w:color w:val="000000"/>
                <w:sz w:val="18"/>
                <w:szCs w:val="18"/>
              </w:rPr>
              <w:t>subcohort</w:t>
            </w:r>
            <w:r w:rsidRPr="00F7311D">
              <w:rPr>
                <w:rFonts w:ascii="Calibri" w:eastAsia="Times New Roman" w:hAnsi="Calibri" w:cs="Calibri"/>
                <w:color w:val="000000"/>
                <w:sz w:val="18"/>
                <w:szCs w:val="18"/>
              </w:rPr>
              <w:t xml:space="preserve">). For </w:t>
            </w:r>
            <w:r w:rsidRPr="00F7311D" w:rsidR="00FE3923">
              <w:rPr>
                <w:rFonts w:ascii="Calibri" w:eastAsia="Times New Roman" w:hAnsi="Calibri" w:cs="Calibri"/>
                <w:color w:val="000000"/>
                <w:sz w:val="18"/>
                <w:szCs w:val="18"/>
              </w:rPr>
              <w:t>the Fall</w:t>
            </w:r>
            <w:r w:rsidRPr="00F7311D">
              <w:rPr>
                <w:rFonts w:ascii="Calibri" w:eastAsia="Times New Roman" w:hAnsi="Calibri" w:cs="Calibri"/>
                <w:color w:val="000000"/>
                <w:sz w:val="18"/>
                <w:szCs w:val="18"/>
              </w:rPr>
              <w:t xml:space="preserve"> Enrollment&lt;span&gt;component, it is the cohort for calculating retention rate; </w:t>
            </w:r>
            <w:r w:rsidRPr="00F7311D" w:rsidR="00FE3923">
              <w:rPr>
                <w:rFonts w:ascii="Calibri" w:eastAsia="Times New Roman" w:hAnsi="Calibri" w:cs="Calibri"/>
                <w:color w:val="000000"/>
                <w:sz w:val="18"/>
                <w:szCs w:val="18"/>
              </w:rPr>
              <w:t>for</w:t>
            </w:r>
            <w:r w:rsidR="00FE3923">
              <w:rPr>
                <w:rFonts w:ascii="Calibri" w:eastAsia="Times New Roman" w:hAnsi="Calibri" w:cs="Calibri"/>
                <w:color w:val="000000"/>
                <w:sz w:val="18"/>
                <w:szCs w:val="18"/>
              </w:rPr>
              <w:t xml:space="preserve"> the </w:t>
            </w:r>
            <w:r w:rsidRPr="00F7311D">
              <w:rPr>
                <w:rFonts w:ascii="Calibri" w:eastAsia="Times New Roman" w:hAnsi="Calibri" w:cs="Calibri"/>
                <w:color w:val="000000"/>
                <w:sz w:val="18"/>
                <w:szCs w:val="18"/>
              </w:rPr>
              <w:t xml:space="preserve">Graduation Rates component, this is the cohort from which graduation and transfer-out rates are calculated; and for the Outcome Measures component, these are the four cohorts (first-time, </w:t>
            </w:r>
            <w:r w:rsidRPr="00F7311D" w:rsidR="00FE3923">
              <w:rPr>
                <w:rFonts w:ascii="Calibri" w:eastAsia="Times New Roman" w:hAnsi="Calibri" w:cs="Calibri"/>
                <w:color w:val="000000"/>
                <w:sz w:val="18"/>
                <w:szCs w:val="18"/>
              </w:rPr>
              <w:t>full-time; first-time</w:t>
            </w:r>
            <w:r w:rsidRPr="00F7311D">
              <w:rPr>
                <w:rFonts w:ascii="Calibri" w:eastAsia="Times New Roman" w:hAnsi="Calibri" w:cs="Calibri"/>
                <w:color w:val="000000"/>
                <w:sz w:val="18"/>
                <w:szCs w:val="18"/>
              </w:rPr>
              <w:t>, part-time; non-first-time, full-time; or non-first-time, part-time) for which outcomes rates are calculated at 4,6, and 8 years.</w:t>
            </w:r>
          </w:p>
        </w:tc>
        <w:tc>
          <w:tcPr>
            <w:tcW w:w="2097" w:type="dxa"/>
            <w:shd w:val="clear" w:color="auto" w:fill="auto"/>
            <w:vAlign w:val="center"/>
            <w:hideMark/>
          </w:tcPr>
          <w:p w:rsidR="009F0CF5" w:rsidRPr="00F7311D" w:rsidP="009F0CF5" w14:paraId="2749B70F" w14:textId="77777777">
            <w:pPr>
              <w:spacing w:after="0" w:line="240" w:lineRule="auto"/>
              <w:rPr>
                <w:rFonts w:ascii="Calibri" w:eastAsia="Times New Roman" w:hAnsi="Calibri" w:cs="Calibri"/>
                <w:color w:val="000000"/>
                <w:sz w:val="18"/>
                <w:szCs w:val="18"/>
              </w:rPr>
            </w:pPr>
          </w:p>
        </w:tc>
      </w:tr>
      <w:tr w14:paraId="11DA4CC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76E9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assets</w:t>
            </w:r>
          </w:p>
        </w:tc>
        <w:tc>
          <w:tcPr>
            <w:tcW w:w="8558" w:type="dxa"/>
            <w:shd w:val="clear" w:color="auto" w:fill="auto"/>
            <w:vAlign w:val="center"/>
            <w:hideMark/>
          </w:tcPr>
          <w:p w:rsidR="009F0CF5" w:rsidRPr="00F7311D" w:rsidP="009F0CF5" w14:paraId="68E826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shd w:val="clear" w:color="auto" w:fill="auto"/>
            <w:vAlign w:val="center"/>
            <w:hideMark/>
          </w:tcPr>
          <w:p w:rsidR="009F0CF5" w:rsidRPr="00F7311D" w:rsidP="009F0CF5" w14:paraId="2D14CBC7" w14:textId="77777777">
            <w:pPr>
              <w:spacing w:after="0" w:line="240" w:lineRule="auto"/>
              <w:rPr>
                <w:rFonts w:ascii="Calibri" w:eastAsia="Times New Roman" w:hAnsi="Calibri" w:cs="Calibri"/>
                <w:color w:val="000000"/>
                <w:sz w:val="18"/>
                <w:szCs w:val="18"/>
              </w:rPr>
            </w:pPr>
          </w:p>
        </w:tc>
      </w:tr>
      <w:tr w14:paraId="3D8BBB0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EC09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Adjustments to beginning net position</w:t>
            </w:r>
          </w:p>
        </w:tc>
        <w:tc>
          <w:tcPr>
            <w:tcW w:w="8558" w:type="dxa"/>
            <w:shd w:val="clear" w:color="auto" w:fill="auto"/>
            <w:vAlign w:val="center"/>
            <w:hideMark/>
          </w:tcPr>
          <w:p w:rsidR="009F0CF5" w:rsidRPr="00F7311D" w:rsidP="009F0CF5" w14:paraId="3E633E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097" w:type="dxa"/>
            <w:shd w:val="clear" w:color="auto" w:fill="auto"/>
            <w:vAlign w:val="center"/>
            <w:hideMark/>
          </w:tcPr>
          <w:p w:rsidR="009F0CF5" w:rsidRPr="00F7311D" w:rsidP="009F0CF5" w14:paraId="006F0126" w14:textId="77777777">
            <w:pPr>
              <w:spacing w:after="0" w:line="240" w:lineRule="auto"/>
              <w:rPr>
                <w:rFonts w:ascii="Calibri" w:eastAsia="Times New Roman" w:hAnsi="Calibri" w:cs="Calibri"/>
                <w:color w:val="000000"/>
                <w:sz w:val="18"/>
                <w:szCs w:val="18"/>
              </w:rPr>
            </w:pPr>
          </w:p>
        </w:tc>
      </w:tr>
      <w:tr w14:paraId="2CBC91F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49242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Administrative unit</w:t>
            </w:r>
          </w:p>
        </w:tc>
        <w:tc>
          <w:tcPr>
            <w:tcW w:w="8558" w:type="dxa"/>
            <w:shd w:val="clear" w:color="auto" w:fill="auto"/>
            <w:vAlign w:val="center"/>
            <w:hideMark/>
          </w:tcPr>
          <w:p w:rsidR="009F0CF5" w:rsidRPr="00F7311D" w:rsidP="009F0CF5" w14:paraId="6A092B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system or central office in a multi-campus environment.</w:t>
            </w:r>
          </w:p>
        </w:tc>
        <w:tc>
          <w:tcPr>
            <w:tcW w:w="2097" w:type="dxa"/>
            <w:shd w:val="clear" w:color="auto" w:fill="auto"/>
            <w:vAlign w:val="center"/>
            <w:hideMark/>
          </w:tcPr>
          <w:p w:rsidR="009F0CF5" w:rsidRPr="00F7311D" w:rsidP="009F0CF5" w14:paraId="7CD5AF8C" w14:textId="77777777">
            <w:pPr>
              <w:spacing w:after="0" w:line="240" w:lineRule="auto"/>
              <w:rPr>
                <w:rFonts w:ascii="Calibri" w:eastAsia="Times New Roman" w:hAnsi="Calibri" w:cs="Calibri"/>
                <w:color w:val="000000"/>
                <w:sz w:val="18"/>
                <w:szCs w:val="18"/>
              </w:rPr>
            </w:pPr>
          </w:p>
        </w:tc>
      </w:tr>
      <w:tr w14:paraId="2964C92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93846D5" w14:textId="18437ED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Admissions</w:t>
            </w:r>
            <w:r w:rsidRPr="008878BA" w:rsidR="002C22C0">
              <w:rPr>
                <w:rFonts w:ascii="Calibri" w:eastAsia="Times New Roman" w:hAnsi="Calibri" w:cs="Calibri"/>
                <w:sz w:val="18"/>
                <w:szCs w:val="18"/>
              </w:rPr>
              <w:t xml:space="preserve"> (ADM)</w:t>
            </w:r>
          </w:p>
        </w:tc>
        <w:tc>
          <w:tcPr>
            <w:tcW w:w="8558" w:type="dxa"/>
            <w:shd w:val="clear" w:color="auto" w:fill="auto"/>
            <w:vAlign w:val="center"/>
            <w:hideMark/>
          </w:tcPr>
          <w:p w:rsidR="009F0CF5" w:rsidRPr="00F7311D" w:rsidP="009F0CF5" w14:paraId="5F02499F" w14:textId="6A2F727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is required of all currently operating Title IV postsecondary institutions in the United States and other areas that do not have an open admissions policy. Eligibility for Admissions is determined using a screening question in the Institutional Characteristics component and open admissions institutions will not see the component. Admissions data are collected for the current fall reporting period. Data are collected on admissions requirements, the number of applicants, admitted students, the number of admitted students that subsequently enrolled, and percentiles for ACT and SAT test scores. The number of applicants, admitted, and enrolled students is disaggregated by gender; enrolled students are further disaggregated by part-time and full-time </w:t>
            </w:r>
            <w:r w:rsidRPr="00F7311D" w:rsidR="00FE3923">
              <w:rPr>
                <w:rFonts w:ascii="Calibri" w:eastAsia="Times New Roman" w:hAnsi="Calibri" w:cs="Calibri"/>
                <w:color w:val="000000"/>
                <w:sz w:val="18"/>
                <w:szCs w:val="18"/>
              </w:rPr>
              <w:t>status. Prior</w:t>
            </w:r>
            <w:r w:rsidRPr="00F7311D">
              <w:rPr>
                <w:rFonts w:ascii="Calibri" w:eastAsia="Times New Roman" w:hAnsi="Calibri" w:cs="Calibri"/>
                <w:color w:val="000000"/>
                <w:sz w:val="18"/>
                <w:szCs w:val="18"/>
              </w:rPr>
              <w:t xml:space="preserve"> to the 2014-15 data collection cycle, Admissions was part of the Institutional Characteristics components. In 2014-15, it became part of the Winter data collection.</w:t>
            </w:r>
          </w:p>
        </w:tc>
        <w:tc>
          <w:tcPr>
            <w:tcW w:w="2097" w:type="dxa"/>
            <w:shd w:val="clear" w:color="auto" w:fill="auto"/>
            <w:vAlign w:val="center"/>
            <w:hideMark/>
          </w:tcPr>
          <w:p w:rsidR="009F0CF5" w:rsidRPr="00F7311D" w:rsidP="009F0CF5" w14:paraId="75CF3658" w14:textId="77777777">
            <w:pPr>
              <w:spacing w:after="0" w:line="240" w:lineRule="auto"/>
              <w:rPr>
                <w:rFonts w:ascii="Calibri" w:eastAsia="Times New Roman" w:hAnsi="Calibri" w:cs="Calibri"/>
                <w:color w:val="000000"/>
                <w:sz w:val="18"/>
                <w:szCs w:val="18"/>
              </w:rPr>
            </w:pPr>
          </w:p>
        </w:tc>
      </w:tr>
      <w:tr w14:paraId="39FBF6E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A85A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Admissions test scores</w:t>
            </w:r>
          </w:p>
        </w:tc>
        <w:tc>
          <w:tcPr>
            <w:tcW w:w="8558" w:type="dxa"/>
            <w:shd w:val="clear" w:color="auto" w:fill="auto"/>
            <w:vAlign w:val="center"/>
            <w:hideMark/>
          </w:tcPr>
          <w:p w:rsidR="009F0CF5" w:rsidRPr="00F7311D" w:rsidP="009F0CF5" w14:paraId="149732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Scores on standardized admissions tests or special admissions tests.</w:t>
            </w:r>
          </w:p>
        </w:tc>
        <w:tc>
          <w:tcPr>
            <w:tcW w:w="2097" w:type="dxa"/>
            <w:shd w:val="clear" w:color="auto" w:fill="auto"/>
            <w:vAlign w:val="center"/>
            <w:hideMark/>
          </w:tcPr>
          <w:p w:rsidR="009F0CF5" w:rsidRPr="00F7311D" w:rsidP="009F0CF5" w14:paraId="0782A4E1" w14:textId="77777777">
            <w:pPr>
              <w:spacing w:after="0" w:line="240" w:lineRule="auto"/>
              <w:rPr>
                <w:rFonts w:ascii="Calibri" w:eastAsia="Times New Roman" w:hAnsi="Calibri" w:cs="Calibri"/>
                <w:color w:val="000000"/>
                <w:sz w:val="18"/>
                <w:szCs w:val="18"/>
              </w:rPr>
            </w:pPr>
          </w:p>
        </w:tc>
      </w:tr>
      <w:tr w14:paraId="256169A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23BA1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Admitted students</w:t>
            </w:r>
          </w:p>
        </w:tc>
        <w:tc>
          <w:tcPr>
            <w:tcW w:w="8558" w:type="dxa"/>
            <w:shd w:val="clear" w:color="auto" w:fill="auto"/>
            <w:vAlign w:val="center"/>
            <w:hideMark/>
          </w:tcPr>
          <w:p w:rsidR="009F0CF5" w:rsidRPr="00F7311D" w:rsidP="009F0CF5" w14:paraId="149CA0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Applicants that have been granted an official offer to enroll in a postsecondary institution.</w:t>
            </w:r>
          </w:p>
        </w:tc>
        <w:tc>
          <w:tcPr>
            <w:tcW w:w="2097" w:type="dxa"/>
            <w:shd w:val="clear" w:color="auto" w:fill="auto"/>
            <w:vAlign w:val="center"/>
            <w:hideMark/>
          </w:tcPr>
          <w:p w:rsidR="009F0CF5" w:rsidRPr="00F7311D" w:rsidP="009F0CF5" w14:paraId="57BA692B" w14:textId="77777777">
            <w:pPr>
              <w:spacing w:after="0" w:line="240" w:lineRule="auto"/>
              <w:rPr>
                <w:rFonts w:ascii="Calibri" w:eastAsia="Times New Roman" w:hAnsi="Calibri" w:cs="Calibri"/>
                <w:color w:val="000000"/>
                <w:sz w:val="18"/>
                <w:szCs w:val="18"/>
              </w:rPr>
            </w:pPr>
          </w:p>
        </w:tc>
      </w:tr>
      <w:tr w14:paraId="57B40A7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51E9C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Adult basic education</w:t>
            </w:r>
          </w:p>
        </w:tc>
        <w:tc>
          <w:tcPr>
            <w:tcW w:w="8558" w:type="dxa"/>
            <w:shd w:val="clear" w:color="auto" w:fill="auto"/>
            <w:vAlign w:val="center"/>
            <w:hideMark/>
          </w:tcPr>
          <w:p w:rsidR="009F0CF5" w:rsidRPr="00F7311D" w:rsidP="009F0CF5" w14:paraId="225F5379" w14:textId="78C64A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Courses designed primarily for students 16 years of age and older to improve basic skills in reading, writing, and arithmetic. These courses are not intended to be part of a program leading to a high school </w:t>
            </w:r>
            <w:r w:rsidRPr="00F7311D" w:rsidR="00FE3923">
              <w:rPr>
                <w:rFonts w:ascii="Calibri" w:eastAsia="Times New Roman" w:hAnsi="Calibri" w:cs="Calibri"/>
                <w:color w:val="000000"/>
                <w:sz w:val="18"/>
                <w:szCs w:val="18"/>
              </w:rPr>
              <w:t>credential, nor</w:t>
            </w:r>
            <w:r w:rsidRPr="00F7311D">
              <w:rPr>
                <w:rFonts w:ascii="Calibri" w:eastAsia="Times New Roman" w:hAnsi="Calibri" w:cs="Calibri"/>
                <w:color w:val="000000"/>
                <w:sz w:val="18"/>
                <w:szCs w:val="18"/>
              </w:rPr>
              <w:t xml:space="preserve"> are they part of any academic, occupational, or vocational program at the postsecondary level.</w:t>
            </w:r>
          </w:p>
        </w:tc>
        <w:tc>
          <w:tcPr>
            <w:tcW w:w="2097" w:type="dxa"/>
            <w:shd w:val="clear" w:color="auto" w:fill="auto"/>
            <w:vAlign w:val="center"/>
            <w:hideMark/>
          </w:tcPr>
          <w:p w:rsidR="009F0CF5" w:rsidRPr="00F7311D" w:rsidP="009F0CF5" w14:paraId="3E121B74" w14:textId="77777777">
            <w:pPr>
              <w:spacing w:after="0" w:line="240" w:lineRule="auto"/>
              <w:rPr>
                <w:rFonts w:ascii="Calibri" w:eastAsia="Times New Roman" w:hAnsi="Calibri" w:cs="Calibri"/>
                <w:color w:val="000000"/>
                <w:sz w:val="18"/>
                <w:szCs w:val="18"/>
              </w:rPr>
            </w:pPr>
          </w:p>
        </w:tc>
      </w:tr>
      <w:tr w14:paraId="61365F0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101F1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Advanced placement (AP) courses</w:t>
            </w:r>
          </w:p>
        </w:tc>
        <w:tc>
          <w:tcPr>
            <w:tcW w:w="8558" w:type="dxa"/>
            <w:shd w:val="clear" w:color="auto" w:fill="auto"/>
            <w:vAlign w:val="center"/>
            <w:hideMark/>
          </w:tcPr>
          <w:p w:rsidR="009F0CF5" w:rsidRPr="00F7311D" w:rsidP="009F0CF5" w14:paraId="32A495B7" w14:textId="54786D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College-level courses taught in high school. Students may take an examination at the completion of the course; acceptable scores allow students to earn college credit toward a degree, certificate, or other recognized postsecondary credential.</w:t>
            </w:r>
          </w:p>
        </w:tc>
        <w:tc>
          <w:tcPr>
            <w:tcW w:w="2097" w:type="dxa"/>
            <w:shd w:val="clear" w:color="auto" w:fill="auto"/>
            <w:vAlign w:val="center"/>
            <w:hideMark/>
          </w:tcPr>
          <w:p w:rsidR="009F0CF5" w:rsidRPr="00F7311D" w:rsidP="009F0CF5" w14:paraId="6F105915" w14:textId="77777777">
            <w:pPr>
              <w:spacing w:after="0" w:line="240" w:lineRule="auto"/>
              <w:rPr>
                <w:rFonts w:ascii="Calibri" w:eastAsia="Times New Roman" w:hAnsi="Calibri" w:cs="Calibri"/>
                <w:color w:val="000000"/>
                <w:sz w:val="18"/>
                <w:szCs w:val="18"/>
              </w:rPr>
            </w:pPr>
          </w:p>
        </w:tc>
      </w:tr>
      <w:tr w14:paraId="0B47EB7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DE89F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Affiliated organizations</w:t>
            </w:r>
          </w:p>
        </w:tc>
        <w:tc>
          <w:tcPr>
            <w:tcW w:w="8558" w:type="dxa"/>
            <w:shd w:val="clear" w:color="auto" w:fill="auto"/>
            <w:vAlign w:val="center"/>
            <w:hideMark/>
          </w:tcPr>
          <w:p w:rsidR="009F0CF5" w:rsidRPr="00F7311D" w:rsidP="009F0CF5" w14:paraId="6029C9AD" w14:textId="2B17B1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Legally separate organizations that are affiliated or associated with a primary GASB institution. These organizations are created for the primary purpose of assisting a primary institution to accomplish its mission but are not subject to the institution's organizational or procedural oversight. Fund-raising foundations, athletic associations, alumni associations, and research foundations are some examples of affiliated organizations. Depending on the organizational structure and other factors, some affiliated organizations may be considered component units and thus their financial activity must be reported separately by the primary institution.</w:t>
            </w:r>
          </w:p>
        </w:tc>
        <w:tc>
          <w:tcPr>
            <w:tcW w:w="2097" w:type="dxa"/>
            <w:shd w:val="clear" w:color="auto" w:fill="auto"/>
            <w:vAlign w:val="center"/>
            <w:hideMark/>
          </w:tcPr>
          <w:p w:rsidR="009F0CF5" w:rsidRPr="00F7311D" w:rsidP="009F0CF5" w14:paraId="3E2ACEAF" w14:textId="77777777">
            <w:pPr>
              <w:spacing w:after="0" w:line="240" w:lineRule="auto"/>
              <w:rPr>
                <w:rFonts w:ascii="Calibri" w:eastAsia="Times New Roman" w:hAnsi="Calibri" w:cs="Calibri"/>
                <w:color w:val="000000"/>
                <w:sz w:val="18"/>
                <w:szCs w:val="18"/>
              </w:rPr>
            </w:pPr>
          </w:p>
        </w:tc>
      </w:tr>
      <w:tr w14:paraId="4A2A3B3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11FF5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w:t>
            </w:r>
          </w:p>
        </w:tc>
        <w:tc>
          <w:tcPr>
            <w:tcW w:w="8558" w:type="dxa"/>
            <w:shd w:val="clear" w:color="auto" w:fill="auto"/>
            <w:vAlign w:val="center"/>
            <w:hideMark/>
          </w:tcPr>
          <w:p w:rsidR="009F0CF5" w:rsidRPr="002F5E14" w:rsidP="009F0CF5" w14:paraId="22213E27" w14:textId="4B9F7ACD">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The American Institute of Certified Public Accountants.</w:t>
            </w:r>
            <w:r w:rsidR="002F5E14">
              <w:rPr>
                <w:rFonts w:ascii="Calibri" w:eastAsia="Times New Roman" w:hAnsi="Calibri" w:cs="Calibri"/>
                <w:color w:val="000000"/>
                <w:sz w:val="18"/>
                <w:szCs w:val="18"/>
              </w:rPr>
              <w:t xml:space="preserve"> </w:t>
            </w:r>
          </w:p>
        </w:tc>
        <w:tc>
          <w:tcPr>
            <w:tcW w:w="2097" w:type="dxa"/>
            <w:shd w:val="clear" w:color="auto" w:fill="auto"/>
            <w:vAlign w:val="center"/>
            <w:hideMark/>
          </w:tcPr>
          <w:p w:rsidR="009F0CF5" w:rsidRPr="00F7311D" w:rsidP="009F0CF5" w14:paraId="705A1024" w14:textId="77777777">
            <w:pPr>
              <w:spacing w:after="0" w:line="240" w:lineRule="auto"/>
              <w:rPr>
                <w:rFonts w:ascii="Calibri" w:eastAsia="Times New Roman" w:hAnsi="Calibri" w:cs="Calibri"/>
                <w:color w:val="000000"/>
                <w:sz w:val="18"/>
                <w:szCs w:val="18"/>
              </w:rPr>
            </w:pPr>
          </w:p>
        </w:tc>
      </w:tr>
      <w:tr w14:paraId="4774DD1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12DF2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AICPA College and University Audit Guide Model</w:t>
            </w:r>
          </w:p>
        </w:tc>
        <w:tc>
          <w:tcPr>
            <w:tcW w:w="8558" w:type="dxa"/>
            <w:shd w:val="clear" w:color="auto" w:fill="auto"/>
            <w:vAlign w:val="center"/>
            <w:hideMark/>
          </w:tcPr>
          <w:p w:rsidR="009F0CF5" w:rsidRPr="00F7311D" w:rsidP="009F0CF5" w14:paraId="6AC6F7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financial reporting model defined by AICPA. The audit guide contains the primary standards for financial reports of public colleges and universities prior to the effective date of GASB Statements 34 and 35. Standards of this Guide were permitted as one alternative by GASB Statement No. 15 for public institutions.</w:t>
            </w:r>
          </w:p>
        </w:tc>
        <w:tc>
          <w:tcPr>
            <w:tcW w:w="2097" w:type="dxa"/>
            <w:shd w:val="clear" w:color="auto" w:fill="auto"/>
            <w:vAlign w:val="center"/>
            <w:hideMark/>
          </w:tcPr>
          <w:p w:rsidR="009F0CF5" w:rsidRPr="00F7311D" w:rsidP="009F0CF5" w14:paraId="6E1219CE" w14:textId="77777777">
            <w:pPr>
              <w:spacing w:after="0" w:line="240" w:lineRule="auto"/>
              <w:rPr>
                <w:rFonts w:ascii="Calibri" w:eastAsia="Times New Roman" w:hAnsi="Calibri" w:cs="Calibri"/>
                <w:color w:val="000000"/>
                <w:sz w:val="18"/>
                <w:szCs w:val="18"/>
              </w:rPr>
            </w:pPr>
          </w:p>
        </w:tc>
      </w:tr>
      <w:tr w14:paraId="124A722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9535C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Aid received</w:t>
            </w:r>
          </w:p>
        </w:tc>
        <w:tc>
          <w:tcPr>
            <w:tcW w:w="8558" w:type="dxa"/>
            <w:shd w:val="clear" w:color="auto" w:fill="auto"/>
            <w:vAlign w:val="center"/>
            <w:hideMark/>
          </w:tcPr>
          <w:p w:rsidR="009F0CF5" w:rsidRPr="00F7311D" w:rsidP="009F0CF5" w14:paraId="3E21D80E" w14:textId="1EB4FA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shd w:val="clear" w:color="auto" w:fill="auto"/>
            <w:vAlign w:val="center"/>
            <w:hideMark/>
          </w:tcPr>
          <w:p w:rsidR="009F0CF5" w:rsidRPr="00F7311D" w:rsidP="009F0CF5" w14:paraId="336A5BA4" w14:textId="77777777">
            <w:pPr>
              <w:spacing w:after="0" w:line="240" w:lineRule="auto"/>
              <w:rPr>
                <w:rFonts w:ascii="Calibri" w:eastAsia="Times New Roman" w:hAnsi="Calibri" w:cs="Calibri"/>
                <w:color w:val="000000"/>
                <w:sz w:val="18"/>
                <w:szCs w:val="18"/>
              </w:rPr>
            </w:pPr>
          </w:p>
        </w:tc>
      </w:tr>
      <w:tr w14:paraId="45FFAD8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D0A18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other sports combined</w:t>
            </w:r>
          </w:p>
        </w:tc>
        <w:tc>
          <w:tcPr>
            <w:tcW w:w="8558" w:type="dxa"/>
            <w:shd w:val="clear" w:color="auto" w:fill="auto"/>
            <w:vAlign w:val="center"/>
            <w:hideMark/>
          </w:tcPr>
          <w:p w:rsidR="009F0CF5" w:rsidP="009F0CF5" w14:paraId="1C9862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sport not specified separately in the collection of Graduation Rates (GRS) data. This includes sports such as golf, tennis, lacrosse or field hockey where teams participate in intercollegiate athletics competition. It does not include cheerleading or dance teams even though the institution might award aid to students participating in these activities under the auspices of the athletic department.</w:t>
            </w:r>
          </w:p>
          <w:p w:rsidR="002515CF" w:rsidRPr="00F7311D" w:rsidP="009F0CF5" w14:paraId="175190DE" w14:textId="7715DBA6">
            <w:pPr>
              <w:spacing w:after="0" w:line="240" w:lineRule="auto"/>
              <w:rPr>
                <w:rFonts w:ascii="Calibri" w:eastAsia="Times New Roman" w:hAnsi="Calibri" w:cs="Calibri"/>
                <w:color w:val="000000"/>
                <w:sz w:val="18"/>
                <w:szCs w:val="18"/>
              </w:rPr>
            </w:pPr>
          </w:p>
        </w:tc>
        <w:tc>
          <w:tcPr>
            <w:tcW w:w="2097" w:type="dxa"/>
            <w:shd w:val="clear" w:color="auto" w:fill="auto"/>
            <w:vAlign w:val="center"/>
            <w:hideMark/>
          </w:tcPr>
          <w:p w:rsidR="009F0CF5" w:rsidRPr="00F7311D" w:rsidP="009F0CF5" w14:paraId="2F2F55EA" w14:textId="77777777">
            <w:pPr>
              <w:spacing w:after="0" w:line="240" w:lineRule="auto"/>
              <w:rPr>
                <w:rFonts w:ascii="Calibri" w:eastAsia="Times New Roman" w:hAnsi="Calibri" w:cs="Calibri"/>
                <w:color w:val="000000"/>
                <w:sz w:val="18"/>
                <w:szCs w:val="18"/>
              </w:rPr>
            </w:pPr>
          </w:p>
        </w:tc>
      </w:tr>
      <w:tr w14:paraId="1627B7FF" w14:textId="77777777" w:rsidTr="0036249A">
        <w:tblPrEx>
          <w:tblW w:w="13616" w:type="dxa"/>
          <w:tblLook w:val="04A0"/>
        </w:tblPrEx>
        <w:trPr>
          <w:trHeight w:val="20"/>
        </w:trPr>
        <w:tc>
          <w:tcPr>
            <w:tcW w:w="2961" w:type="dxa"/>
            <w:shd w:val="clear" w:color="auto" w:fill="auto"/>
            <w:vAlign w:val="center"/>
          </w:tcPr>
          <w:p w:rsidR="00A3238E" w:rsidRPr="002515CF" w:rsidP="002515CF" w14:paraId="07FBCB04" w14:textId="424DA3C7">
            <w:pPr>
              <w:spacing w:after="0" w:line="240" w:lineRule="auto"/>
              <w:rPr>
                <w:rFonts w:eastAsia="Times New Roman" w:cstheme="minorHAnsi"/>
                <w:sz w:val="18"/>
                <w:szCs w:val="18"/>
              </w:rPr>
            </w:pPr>
            <w:r w:rsidRPr="002515CF">
              <w:rPr>
                <w:rFonts w:cstheme="minorHAnsi"/>
                <w:sz w:val="18"/>
                <w:szCs w:val="18"/>
              </w:rPr>
              <w:t>Allowable costs</w:t>
            </w:r>
          </w:p>
        </w:tc>
        <w:tc>
          <w:tcPr>
            <w:tcW w:w="8558" w:type="dxa"/>
            <w:shd w:val="clear" w:color="auto" w:fill="auto"/>
          </w:tcPr>
          <w:p w:rsidR="00A3238E" w:rsidRPr="002515CF" w:rsidP="47E59BC4" w14:paraId="72B688A0" w14:textId="48B62F7B">
            <w:pPr>
              <w:spacing w:after="0" w:line="228" w:lineRule="auto"/>
            </w:pPr>
            <w:r w:rsidRPr="47E59BC4">
              <w:rPr>
                <w:rFonts w:ascii="Calibri" w:eastAsia="Calibri" w:hAnsi="Calibri" w:cs="Calibri"/>
                <w:sz w:val="18"/>
                <w:szCs w:val="18"/>
              </w:rPr>
              <w:t xml:space="preserve">Except in the case of </w:t>
            </w:r>
            <w:r w:rsidRPr="00A70B0D">
              <w:rPr>
                <w:rFonts w:ascii="Calibri" w:eastAsia="Calibri" w:hAnsi="Calibri" w:cs="Calibri"/>
                <w:color w:val="000000" w:themeColor="text1"/>
                <w:sz w:val="18"/>
                <w:szCs w:val="18"/>
              </w:rPr>
              <w:t xml:space="preserve">correspondence and </w:t>
            </w:r>
            <w:r w:rsidRPr="47E59BC4">
              <w:rPr>
                <w:rFonts w:ascii="Calibri" w:eastAsia="Calibri" w:hAnsi="Calibri" w:cs="Calibri"/>
                <w:sz w:val="18"/>
                <w:szCs w:val="18"/>
              </w:rPr>
              <w:t>incarcerated students, allowable costs for the cost of attendance typically include:</w:t>
            </w:r>
          </w:p>
          <w:p w:rsidR="00A3238E" w:rsidRPr="00A65D4C" w:rsidP="47E59BC4" w14:paraId="375CC317" w14:textId="692F74CF">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Tuition and fees;</w:t>
            </w:r>
          </w:p>
          <w:p w:rsidR="00A3238E" w:rsidRPr="00A65D4C" w:rsidP="47E59BC4" w14:paraId="17787FB7" w14:textId="23366212">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Food and housing;</w:t>
            </w:r>
          </w:p>
          <w:p w:rsidR="00A3238E" w:rsidRPr="00A65D4C" w:rsidP="47E59BC4" w14:paraId="682DD955" w14:textId="0255D319">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Books, materials, supplies, and equipment, which may include the rental or purchase of a personal computer;</w:t>
            </w:r>
          </w:p>
          <w:p w:rsidR="00A3238E" w:rsidRPr="00A65D4C" w:rsidP="47E59BC4" w14:paraId="3569B2CC" w14:textId="0A210B96">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Transportation, which may include, but is not limited to, vehicle maintenance and/or travel costs between campus, residences, and the student’s place of work; and</w:t>
            </w:r>
          </w:p>
          <w:p w:rsidR="00A3238E" w:rsidRPr="00A65D4C" w:rsidP="47E59BC4" w14:paraId="084AD57F" w14:textId="62E99360">
            <w:pPr>
              <w:pStyle w:val="ListParagraph"/>
              <w:numPr>
                <w:ilvl w:val="0"/>
                <w:numId w:val="3"/>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Miscellaneous expenses, which may include other costs and allowances under the law and/or as determined by the institution for a student attending at least half-time such as an allowance for:</w:t>
            </w:r>
          </w:p>
          <w:p w:rsidR="00A3238E" w:rsidRPr="00A65D4C" w:rsidP="47E59BC4" w14:paraId="6CD3388B" w14:textId="5243AAF9">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Dependent care;</w:t>
            </w:r>
          </w:p>
          <w:p w:rsidR="00A3238E" w:rsidRPr="00A65D4C" w:rsidP="47E59BC4" w14:paraId="4BC4FFD8" w14:textId="4181857E">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Study abroad expenses;</w:t>
            </w:r>
          </w:p>
          <w:p w:rsidR="00A3238E" w:rsidRPr="00A65D4C" w:rsidP="47E59BC4" w14:paraId="1EC00635" w14:textId="3036E524">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Disability-related expenses;</w:t>
            </w:r>
          </w:p>
          <w:p w:rsidR="00A3238E" w:rsidRPr="00A65D4C" w:rsidP="47E59BC4" w14:paraId="34708BDD" w14:textId="6E1B1DD3">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Cooperative education costs;</w:t>
            </w:r>
          </w:p>
          <w:p w:rsidR="00A3238E" w:rsidRPr="00A65D4C" w:rsidP="47E59BC4" w14:paraId="41A2C695" w14:textId="52914467">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Professional licensure, certification, or first professional credential costs; and</w:t>
            </w:r>
          </w:p>
          <w:p w:rsidR="00A3238E" w:rsidRPr="00A65D4C" w:rsidP="47E59BC4" w14:paraId="25A02EAD" w14:textId="21542A7B">
            <w:pPr>
              <w:pStyle w:val="ListParagraph"/>
              <w:numPr>
                <w:ilvl w:val="0"/>
                <w:numId w:val="1"/>
              </w:numPr>
              <w:spacing w:after="0" w:line="228"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Federal student loan fees.</w:t>
            </w:r>
          </w:p>
          <w:p w:rsidR="00A3238E" w:rsidRPr="002515CF" w:rsidP="00A3238E" w14:paraId="5149E4EB" w14:textId="39EA7FBD">
            <w:pPr>
              <w:spacing w:after="0" w:line="240" w:lineRule="auto"/>
            </w:pPr>
            <w:r w:rsidRPr="47E59BC4">
              <w:rPr>
                <w:rFonts w:ascii="Calibri" w:eastAsia="Calibri" w:hAnsi="Calibri" w:cs="Calibri"/>
                <w:sz w:val="18"/>
                <w:szCs w:val="18"/>
              </w:rPr>
              <w:t xml:space="preserve"> </w:t>
            </w:r>
          </w:p>
          <w:p w:rsidR="00A3238E" w:rsidRPr="002515CF" w:rsidP="47E59BC4" w14:paraId="61A811EC" w14:textId="250B2E14">
            <w:pPr>
              <w:spacing w:after="0" w:line="240" w:lineRule="auto"/>
            </w:pPr>
            <w:r w:rsidRPr="47E59BC4">
              <w:rPr>
                <w:rFonts w:ascii="Calibri" w:eastAsia="Calibri" w:hAnsi="Calibri" w:cs="Calibri"/>
                <w:sz w:val="18"/>
                <w:szCs w:val="18"/>
              </w:rPr>
              <w:t xml:space="preserve">Note: </w:t>
            </w:r>
            <w:r w:rsidRPr="00A65D4C">
              <w:rPr>
                <w:rFonts w:ascii="Calibri" w:eastAsia="Calibri" w:hAnsi="Calibri" w:cs="Calibri"/>
                <w:color w:val="000000" w:themeColor="text1"/>
                <w:sz w:val="18"/>
                <w:szCs w:val="18"/>
              </w:rPr>
              <w:t xml:space="preserve">Other </w:t>
            </w:r>
            <w:r w:rsidRPr="47E59BC4">
              <w:rPr>
                <w:rFonts w:ascii="Calibri" w:eastAsia="Calibri" w:hAnsi="Calibri" w:cs="Calibri"/>
                <w:sz w:val="18"/>
                <w:szCs w:val="18"/>
              </w:rPr>
              <w:t>restrictions and limitations may apply to the cost components and allowances, especially for less-than-full-time, correspondence, and incarcerated students.</w:t>
            </w:r>
          </w:p>
        </w:tc>
        <w:tc>
          <w:tcPr>
            <w:tcW w:w="2097" w:type="dxa"/>
            <w:shd w:val="clear" w:color="auto" w:fill="auto"/>
          </w:tcPr>
          <w:p w:rsidR="00A3238E" w:rsidRPr="002515CF" w:rsidP="00A3238E" w14:paraId="79443C73"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Average cost of attendance</w:t>
            </w:r>
          </w:p>
          <w:p w:rsidR="00A3238E" w:rsidRPr="002515CF" w:rsidP="00A3238E" w14:paraId="49CFF8FE"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Cost of attendance</w:t>
            </w:r>
          </w:p>
          <w:p w:rsidR="00A3238E" w:rsidRPr="002515CF" w:rsidP="00A3238E" w14:paraId="07C470CA" w14:textId="4A9013CC">
            <w:pPr>
              <w:spacing w:after="0" w:line="240" w:lineRule="auto"/>
              <w:rPr>
                <w:rFonts w:eastAsia="Times New Roman" w:cstheme="minorHAnsi"/>
                <w:sz w:val="18"/>
                <w:szCs w:val="18"/>
              </w:rPr>
            </w:pPr>
            <w:r w:rsidRPr="002515CF">
              <w:rPr>
                <w:rFonts w:cstheme="minorHAnsi"/>
                <w:sz w:val="18"/>
                <w:szCs w:val="18"/>
              </w:rPr>
              <w:t>Total cost of attendance</w:t>
            </w:r>
          </w:p>
        </w:tc>
      </w:tr>
      <w:tr w14:paraId="7459516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CAFE9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Allowances</w:t>
            </w:r>
          </w:p>
        </w:tc>
        <w:tc>
          <w:tcPr>
            <w:tcW w:w="8558" w:type="dxa"/>
            <w:shd w:val="clear" w:color="auto" w:fill="auto"/>
            <w:vAlign w:val="center"/>
            <w:hideMark/>
          </w:tcPr>
          <w:p w:rsidR="009F0CF5" w:rsidRPr="00F7311D" w:rsidP="47E59BC4" w14:paraId="03AC498A" w14:textId="0BAE61CD">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That part of a scholarship or fellowship that is used to pay institutional charges such as tuition and fees or </w:t>
            </w:r>
            <w:r w:rsidRPr="00A65D4C" w:rsidR="0ECE2B3D">
              <w:rPr>
                <w:rFonts w:ascii="Calibri" w:eastAsia="Calibri" w:hAnsi="Calibri" w:cs="Calibri"/>
                <w:color w:val="000000" w:themeColor="text1"/>
                <w:sz w:val="18"/>
                <w:szCs w:val="18"/>
              </w:rPr>
              <w:t>food and housing</w:t>
            </w:r>
            <w:r w:rsidRPr="00A65D4C">
              <w:rPr>
                <w:rFonts w:ascii="Calibri" w:eastAsia="Times New Roman" w:hAnsi="Calibri" w:cs="Calibri"/>
                <w:color w:val="000000" w:themeColor="text1"/>
                <w:sz w:val="18"/>
                <w:szCs w:val="18"/>
              </w:rPr>
              <w:t xml:space="preserve"> charges.</w:t>
            </w:r>
          </w:p>
        </w:tc>
        <w:tc>
          <w:tcPr>
            <w:tcW w:w="2097" w:type="dxa"/>
            <w:shd w:val="clear" w:color="auto" w:fill="auto"/>
            <w:vAlign w:val="center"/>
            <w:hideMark/>
          </w:tcPr>
          <w:p w:rsidR="009F0CF5" w:rsidRPr="00F7311D" w:rsidP="009F0CF5" w14:paraId="038DDCB9" w14:textId="77777777">
            <w:pPr>
              <w:spacing w:after="0" w:line="240" w:lineRule="auto"/>
              <w:rPr>
                <w:rFonts w:ascii="Calibri" w:eastAsia="Times New Roman" w:hAnsi="Calibri" w:cs="Calibri"/>
                <w:color w:val="000000"/>
                <w:sz w:val="18"/>
                <w:szCs w:val="18"/>
              </w:rPr>
            </w:pPr>
          </w:p>
        </w:tc>
      </w:tr>
      <w:tr w14:paraId="50A8EDA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952F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w:t>
            </w:r>
          </w:p>
        </w:tc>
        <w:tc>
          <w:tcPr>
            <w:tcW w:w="8558" w:type="dxa"/>
            <w:shd w:val="clear" w:color="auto" w:fill="auto"/>
            <w:vAlign w:val="center"/>
            <w:hideMark/>
          </w:tcPr>
          <w:p w:rsidR="009F0CF5" w:rsidRPr="00F7311D" w:rsidP="009F0CF5" w14:paraId="735741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and South America (including Central America) who maintains cultural identification through tribal affiliation or community attachment.</w:t>
            </w:r>
          </w:p>
        </w:tc>
        <w:tc>
          <w:tcPr>
            <w:tcW w:w="2097" w:type="dxa"/>
            <w:shd w:val="clear" w:color="auto" w:fill="auto"/>
            <w:vAlign w:val="center"/>
            <w:hideMark/>
          </w:tcPr>
          <w:p w:rsidR="009F0CF5" w:rsidRPr="00F7311D" w:rsidP="009F0CF5" w14:paraId="758A2B38" w14:textId="77777777">
            <w:pPr>
              <w:spacing w:after="0" w:line="240" w:lineRule="auto"/>
              <w:rPr>
                <w:rFonts w:ascii="Calibri" w:eastAsia="Times New Roman" w:hAnsi="Calibri" w:cs="Calibri"/>
                <w:color w:val="000000"/>
                <w:sz w:val="18"/>
                <w:szCs w:val="18"/>
              </w:rPr>
            </w:pPr>
          </w:p>
        </w:tc>
      </w:tr>
      <w:tr w14:paraId="4619F03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BB289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American Indian or Alaska Native (old definition)</w:t>
            </w:r>
          </w:p>
        </w:tc>
        <w:tc>
          <w:tcPr>
            <w:tcW w:w="8558" w:type="dxa"/>
            <w:shd w:val="clear" w:color="auto" w:fill="auto"/>
            <w:vAlign w:val="center"/>
            <w:hideMark/>
          </w:tcPr>
          <w:p w:rsidR="009F0CF5" w:rsidRPr="00F7311D" w:rsidP="009F0CF5" w14:paraId="0B4CC9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North America and who maintains cultural identification through tribal affiliation or community recognition.</w:t>
            </w:r>
          </w:p>
        </w:tc>
        <w:tc>
          <w:tcPr>
            <w:tcW w:w="2097" w:type="dxa"/>
            <w:shd w:val="clear" w:color="auto" w:fill="auto"/>
            <w:vAlign w:val="center"/>
            <w:hideMark/>
          </w:tcPr>
          <w:p w:rsidR="009F0CF5" w:rsidRPr="00F7311D" w:rsidP="009F0CF5" w14:paraId="1BDE9C2B" w14:textId="77777777">
            <w:pPr>
              <w:spacing w:after="0" w:line="240" w:lineRule="auto"/>
              <w:rPr>
                <w:rFonts w:ascii="Calibri" w:eastAsia="Times New Roman" w:hAnsi="Calibri" w:cs="Calibri"/>
                <w:color w:val="000000"/>
                <w:sz w:val="18"/>
                <w:szCs w:val="18"/>
              </w:rPr>
            </w:pPr>
          </w:p>
        </w:tc>
      </w:tr>
      <w:tr w14:paraId="04E6353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C2068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Annual contract or employment agreement</w:t>
            </w:r>
          </w:p>
        </w:tc>
        <w:tc>
          <w:tcPr>
            <w:tcW w:w="8558" w:type="dxa"/>
            <w:shd w:val="clear" w:color="auto" w:fill="auto"/>
            <w:vAlign w:val="center"/>
            <w:hideMark/>
          </w:tcPr>
          <w:p w:rsidR="009F0CF5" w:rsidRPr="00F7311D" w:rsidP="009F0CF5" w14:paraId="3245D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annually-renewable contract or employment agreement that is in effect for a stated annual period within one year of execution, and may be equal to a period of 365 days, or a standard academic year, or the equivalent. Does not include contracts for partial year periods such as a single semester, quarter, term, block, or course.</w:t>
            </w:r>
          </w:p>
        </w:tc>
        <w:tc>
          <w:tcPr>
            <w:tcW w:w="2097" w:type="dxa"/>
            <w:shd w:val="clear" w:color="auto" w:fill="auto"/>
            <w:vAlign w:val="center"/>
            <w:hideMark/>
          </w:tcPr>
          <w:p w:rsidR="009F0CF5" w:rsidRPr="00F7311D" w:rsidP="009F0CF5" w14:paraId="3C5ADD3D" w14:textId="77777777">
            <w:pPr>
              <w:spacing w:after="0" w:line="240" w:lineRule="auto"/>
              <w:rPr>
                <w:rFonts w:ascii="Calibri" w:eastAsia="Times New Roman" w:hAnsi="Calibri" w:cs="Calibri"/>
                <w:color w:val="000000"/>
                <w:sz w:val="18"/>
                <w:szCs w:val="18"/>
              </w:rPr>
            </w:pPr>
          </w:p>
        </w:tc>
      </w:tr>
      <w:tr w14:paraId="03FDE34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E955B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Annuity and life income funds</w:t>
            </w:r>
          </w:p>
        </w:tc>
        <w:tc>
          <w:tcPr>
            <w:tcW w:w="8558" w:type="dxa"/>
            <w:shd w:val="clear" w:color="auto" w:fill="auto"/>
            <w:vAlign w:val="center"/>
            <w:hideMark/>
          </w:tcPr>
          <w:p w:rsidR="009F0CF5" w:rsidRPr="00F7311D" w:rsidP="009F0CF5" w14:paraId="12DD43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carrying a stipulation that the institution make payments to one or more specific beneficiaries.</w:t>
            </w:r>
          </w:p>
        </w:tc>
        <w:tc>
          <w:tcPr>
            <w:tcW w:w="2097" w:type="dxa"/>
            <w:shd w:val="clear" w:color="auto" w:fill="auto"/>
            <w:vAlign w:val="center"/>
            <w:hideMark/>
          </w:tcPr>
          <w:p w:rsidR="009F0CF5" w:rsidRPr="00F7311D" w:rsidP="009F0CF5" w14:paraId="4D7E5E8B" w14:textId="77777777">
            <w:pPr>
              <w:spacing w:after="0" w:line="240" w:lineRule="auto"/>
              <w:rPr>
                <w:rFonts w:ascii="Calibri" w:eastAsia="Times New Roman" w:hAnsi="Calibri" w:cs="Calibri"/>
                <w:color w:val="000000"/>
                <w:sz w:val="18"/>
                <w:szCs w:val="18"/>
              </w:rPr>
            </w:pPr>
          </w:p>
        </w:tc>
      </w:tr>
      <w:tr w14:paraId="6FC4AD5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E03BF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Applicant</w:t>
            </w:r>
          </w:p>
        </w:tc>
        <w:tc>
          <w:tcPr>
            <w:tcW w:w="8558" w:type="dxa"/>
            <w:shd w:val="clear" w:color="auto" w:fill="auto"/>
            <w:vAlign w:val="center"/>
            <w:hideMark/>
          </w:tcPr>
          <w:p w:rsidR="009F0CF5" w:rsidRPr="00F7311D" w:rsidP="009F0CF5" w14:paraId="30CA12A4" w14:textId="7A0A6DD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individual who has fulfilled the institution's requirements to be considered for admission (including payment or waiving of the application </w:t>
            </w:r>
            <w:r w:rsidRPr="00F7311D" w:rsidR="00FE3923">
              <w:rPr>
                <w:rFonts w:ascii="Calibri" w:eastAsia="Times New Roman" w:hAnsi="Calibri" w:cs="Calibri"/>
                <w:color w:val="000000"/>
                <w:sz w:val="18"/>
                <w:szCs w:val="18"/>
              </w:rPr>
              <w:t>fee, if</w:t>
            </w:r>
            <w:r w:rsidRPr="00F7311D">
              <w:rPr>
                <w:rFonts w:ascii="Calibri" w:eastAsia="Times New Roman" w:hAnsi="Calibri" w:cs="Calibri"/>
                <w:color w:val="000000"/>
                <w:sz w:val="18"/>
                <w:szCs w:val="18"/>
              </w:rPr>
              <w:t xml:space="preserve"> any) and who has been notified of one of the following actions: admission, </w:t>
            </w:r>
            <w:r w:rsidRPr="00F7311D">
              <w:rPr>
                <w:rFonts w:ascii="Calibri" w:eastAsia="Times New Roman" w:hAnsi="Calibri" w:cs="Calibri"/>
                <w:color w:val="000000"/>
                <w:sz w:val="18"/>
                <w:szCs w:val="18"/>
              </w:rPr>
              <w:t>nonadmission</w:t>
            </w:r>
            <w:r w:rsidRPr="00F7311D">
              <w:rPr>
                <w:rFonts w:ascii="Calibri" w:eastAsia="Times New Roman" w:hAnsi="Calibri" w:cs="Calibri"/>
                <w:color w:val="000000"/>
                <w:sz w:val="18"/>
                <w:szCs w:val="18"/>
              </w:rPr>
              <w:t>, placement on waiting list, or application withdrawn by applicant or institution.</w:t>
            </w:r>
          </w:p>
        </w:tc>
        <w:tc>
          <w:tcPr>
            <w:tcW w:w="2097" w:type="dxa"/>
            <w:shd w:val="clear" w:color="auto" w:fill="auto"/>
            <w:vAlign w:val="center"/>
            <w:hideMark/>
          </w:tcPr>
          <w:p w:rsidR="009F0CF5" w:rsidRPr="00F7311D" w:rsidP="009F0CF5" w14:paraId="5339E9A1" w14:textId="77777777">
            <w:pPr>
              <w:spacing w:after="0" w:line="240" w:lineRule="auto"/>
              <w:rPr>
                <w:rFonts w:ascii="Calibri" w:eastAsia="Times New Roman" w:hAnsi="Calibri" w:cs="Calibri"/>
                <w:color w:val="000000"/>
                <w:sz w:val="18"/>
                <w:szCs w:val="18"/>
              </w:rPr>
            </w:pPr>
          </w:p>
        </w:tc>
      </w:tr>
      <w:tr w14:paraId="3638EA2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73AB3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Application fee</w:t>
            </w:r>
          </w:p>
        </w:tc>
        <w:tc>
          <w:tcPr>
            <w:tcW w:w="8558" w:type="dxa"/>
            <w:shd w:val="clear" w:color="auto" w:fill="auto"/>
            <w:vAlign w:val="center"/>
            <w:hideMark/>
          </w:tcPr>
          <w:p w:rsidR="009F0CF5" w:rsidRPr="00F7311D" w:rsidP="009F0CF5" w14:paraId="51F20375" w14:textId="5E6F81D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That amount of money that an institution charges for processing a student's application for admittance to the institution. This amount is not creditable toward tuition or required fees, nor is it refundable if the student is not admitted to the institution.</w:t>
            </w:r>
          </w:p>
        </w:tc>
        <w:tc>
          <w:tcPr>
            <w:tcW w:w="2097" w:type="dxa"/>
            <w:shd w:val="clear" w:color="auto" w:fill="auto"/>
            <w:vAlign w:val="center"/>
            <w:hideMark/>
          </w:tcPr>
          <w:p w:rsidR="009F0CF5" w:rsidRPr="00F7311D" w:rsidP="009F0CF5" w14:paraId="4C7B6E07" w14:textId="77777777">
            <w:pPr>
              <w:spacing w:after="0" w:line="240" w:lineRule="auto"/>
              <w:rPr>
                <w:rFonts w:ascii="Calibri" w:eastAsia="Times New Roman" w:hAnsi="Calibri" w:cs="Calibri"/>
                <w:color w:val="000000"/>
                <w:sz w:val="18"/>
                <w:szCs w:val="18"/>
              </w:rPr>
            </w:pPr>
          </w:p>
        </w:tc>
      </w:tr>
      <w:tr w14:paraId="7646749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7C55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Archivists, Curators, and Museum Technicians</w:t>
            </w:r>
          </w:p>
        </w:tc>
        <w:tc>
          <w:tcPr>
            <w:tcW w:w="8558" w:type="dxa"/>
            <w:shd w:val="clear" w:color="auto" w:fill="auto"/>
            <w:vAlign w:val="center"/>
            <w:hideMark/>
          </w:tcPr>
          <w:p w:rsidR="009F0CF5" w:rsidRPr="00F7311D" w:rsidP="009F0CF5" w14:paraId="7CE80BB3" w14:textId="722CEB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'Archivists, Curators, and Museum Technicians' (SOC code 25-4010). For detailed information, refer to the following website: https://www.bls.gov/soc/2018/major_groups.htm#25-0000.</w:t>
            </w:r>
          </w:p>
        </w:tc>
        <w:tc>
          <w:tcPr>
            <w:tcW w:w="2097" w:type="dxa"/>
            <w:shd w:val="clear" w:color="auto" w:fill="auto"/>
            <w:vAlign w:val="center"/>
            <w:hideMark/>
          </w:tcPr>
          <w:p w:rsidR="009F0CF5" w:rsidRPr="00F7311D" w:rsidP="009F0CF5" w14:paraId="6D15BED2" w14:textId="77777777">
            <w:pPr>
              <w:spacing w:after="0" w:line="240" w:lineRule="auto"/>
              <w:rPr>
                <w:rFonts w:ascii="Calibri" w:eastAsia="Times New Roman" w:hAnsi="Calibri" w:cs="Calibri"/>
                <w:color w:val="000000"/>
                <w:sz w:val="18"/>
                <w:szCs w:val="18"/>
              </w:rPr>
            </w:pPr>
          </w:p>
        </w:tc>
      </w:tr>
      <w:tr w14:paraId="7229F2F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7F40A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w:t>
            </w:r>
          </w:p>
        </w:tc>
        <w:tc>
          <w:tcPr>
            <w:tcW w:w="8558" w:type="dxa"/>
            <w:shd w:val="clear" w:color="auto" w:fill="auto"/>
            <w:vAlign w:val="center"/>
            <w:hideMark/>
          </w:tcPr>
          <w:p w:rsidR="009F0CF5" w:rsidRPr="00F7311D" w:rsidP="009F0CF5" w14:paraId="38472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or the Indian Subcontinent, including, for example, Cambodia, China, India, Japan, Korea, Malaysia, Pakistan, the Philippine Islands, Thailand, and Vietnam.</w:t>
            </w:r>
          </w:p>
        </w:tc>
        <w:tc>
          <w:tcPr>
            <w:tcW w:w="2097" w:type="dxa"/>
            <w:shd w:val="clear" w:color="auto" w:fill="auto"/>
            <w:vAlign w:val="center"/>
            <w:hideMark/>
          </w:tcPr>
          <w:p w:rsidR="009F0CF5" w:rsidRPr="00F7311D" w:rsidP="009F0CF5" w14:paraId="1D2A130F" w14:textId="77777777">
            <w:pPr>
              <w:spacing w:after="0" w:line="240" w:lineRule="auto"/>
              <w:rPr>
                <w:rFonts w:ascii="Calibri" w:eastAsia="Times New Roman" w:hAnsi="Calibri" w:cs="Calibri"/>
                <w:color w:val="000000"/>
                <w:sz w:val="18"/>
                <w:szCs w:val="18"/>
              </w:rPr>
            </w:pPr>
          </w:p>
        </w:tc>
      </w:tr>
      <w:tr w14:paraId="3D26919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E5A3F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Asian/Pacific Islander (old definition)</w:t>
            </w:r>
          </w:p>
        </w:tc>
        <w:tc>
          <w:tcPr>
            <w:tcW w:w="8558" w:type="dxa"/>
            <w:shd w:val="clear" w:color="auto" w:fill="auto"/>
            <w:vAlign w:val="center"/>
            <w:hideMark/>
          </w:tcPr>
          <w:p w:rsidR="009F0CF5" w:rsidRPr="00F7311D" w:rsidP="009F0CF5" w14:paraId="7745C8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the Far East, Southeast Asia, the Indian Subcontinent, and Pacific Islands. This includes people from China, Japan, Korea, the Philippine Islands, American Samoa, India, and Vietnam.</w:t>
            </w:r>
          </w:p>
        </w:tc>
        <w:tc>
          <w:tcPr>
            <w:tcW w:w="2097" w:type="dxa"/>
            <w:shd w:val="clear" w:color="auto" w:fill="auto"/>
            <w:vAlign w:val="center"/>
            <w:hideMark/>
          </w:tcPr>
          <w:p w:rsidR="009F0CF5" w:rsidRPr="00F7311D" w:rsidP="009F0CF5" w14:paraId="4B2748F4" w14:textId="77777777">
            <w:pPr>
              <w:spacing w:after="0" w:line="240" w:lineRule="auto"/>
              <w:rPr>
                <w:rFonts w:ascii="Calibri" w:eastAsia="Times New Roman" w:hAnsi="Calibri" w:cs="Calibri"/>
                <w:color w:val="000000"/>
                <w:sz w:val="18"/>
                <w:szCs w:val="18"/>
              </w:rPr>
            </w:pPr>
          </w:p>
        </w:tc>
      </w:tr>
      <w:tr w14:paraId="571749B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BABCB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w:t>
            </w:r>
          </w:p>
        </w:tc>
        <w:tc>
          <w:tcPr>
            <w:tcW w:w="8558" w:type="dxa"/>
            <w:shd w:val="clear" w:color="auto" w:fill="auto"/>
            <w:vAlign w:val="center"/>
            <w:hideMark/>
          </w:tcPr>
          <w:p w:rsidR="009F0CF5" w:rsidRPr="00F7311D" w:rsidP="009F0CF5" w14:paraId="58BA67C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items (tangible) or rights (intangible) that have value and that are owned by the institution. Assets are useful to the institution because they are a source of future services or because they can be used to secure future benefits.</w:t>
            </w:r>
          </w:p>
        </w:tc>
        <w:tc>
          <w:tcPr>
            <w:tcW w:w="2097" w:type="dxa"/>
            <w:shd w:val="clear" w:color="auto" w:fill="auto"/>
            <w:vAlign w:val="center"/>
            <w:hideMark/>
          </w:tcPr>
          <w:p w:rsidR="009F0CF5" w:rsidRPr="00F7311D" w:rsidP="009F0CF5" w14:paraId="022B6D93" w14:textId="7BC76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Current </w:t>
            </w:r>
            <w:r w:rsidRPr="00F7311D" w:rsidR="00FE3923">
              <w:rPr>
                <w:rFonts w:ascii="Calibri" w:eastAsia="Times New Roman" w:hAnsi="Calibri" w:cs="Calibri"/>
                <w:color w:val="000000"/>
                <w:sz w:val="18"/>
                <w:szCs w:val="18"/>
              </w:rPr>
              <w:t>assets, Noncurrent</w:t>
            </w:r>
            <w:r w:rsidRPr="00F7311D">
              <w:rPr>
                <w:rFonts w:ascii="Calibri" w:eastAsia="Times New Roman" w:hAnsi="Calibri" w:cs="Calibri"/>
                <w:color w:val="000000"/>
                <w:sz w:val="18"/>
                <w:szCs w:val="18"/>
              </w:rPr>
              <w:t xml:space="preserve"> assets,</w:t>
            </w:r>
            <w:r w:rsidR="00014CD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Fixed assets</w:t>
            </w:r>
          </w:p>
        </w:tc>
      </w:tr>
      <w:tr w14:paraId="5ABDE2A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372C2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Colleges (Carnegie)</w:t>
            </w:r>
          </w:p>
        </w:tc>
        <w:tc>
          <w:tcPr>
            <w:tcW w:w="8558" w:type="dxa"/>
            <w:shd w:val="clear" w:color="auto" w:fill="auto"/>
            <w:vAlign w:val="center"/>
            <w:hideMark/>
          </w:tcPr>
          <w:p w:rsidR="009F0CF5" w:rsidRPr="00F7311D" w:rsidP="009F0CF5" w14:paraId="54895B68" w14:textId="2C38BF4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developed by the Andrew W. Carnegie Foundation for the Advancement of Teaching. Associate's Colleges offer associate's degree and certificate </w:t>
            </w:r>
            <w:r w:rsidRPr="00F7311D" w:rsidR="002515CF">
              <w:rPr>
                <w:rFonts w:ascii="Calibri" w:eastAsia="Times New Roman" w:hAnsi="Calibri" w:cs="Calibri"/>
                <w:color w:val="000000"/>
                <w:sz w:val="18"/>
                <w:szCs w:val="18"/>
              </w:rPr>
              <w:t>programs but</w:t>
            </w:r>
            <w:r w:rsidRPr="00F7311D">
              <w:rPr>
                <w:rFonts w:ascii="Calibri" w:eastAsia="Times New Roman" w:hAnsi="Calibri" w:cs="Calibri"/>
                <w:color w:val="000000"/>
                <w:sz w:val="18"/>
                <w:szCs w:val="18"/>
              </w:rPr>
              <w:t>, with few exceptions, award no baccalaureate degrees. This group includes institutions where, during the period studied, bachelor's degrees represented less than 10 percent of all undergraduate awards.</w:t>
            </w:r>
          </w:p>
        </w:tc>
        <w:tc>
          <w:tcPr>
            <w:tcW w:w="2097" w:type="dxa"/>
            <w:shd w:val="clear" w:color="auto" w:fill="auto"/>
            <w:vAlign w:val="center"/>
            <w:hideMark/>
          </w:tcPr>
          <w:p w:rsidR="009F0CF5" w:rsidRPr="00F7311D" w:rsidP="009F0CF5" w14:paraId="348483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733DB7D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1AC7B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Associate's degree</w:t>
            </w:r>
          </w:p>
        </w:tc>
        <w:tc>
          <w:tcPr>
            <w:tcW w:w="8558" w:type="dxa"/>
            <w:shd w:val="clear" w:color="auto" w:fill="auto"/>
            <w:vAlign w:val="center"/>
            <w:hideMark/>
          </w:tcPr>
          <w:p w:rsidR="009F0CF5" w:rsidRPr="00F7311D" w:rsidP="009F0CF5" w14:paraId="11023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normally requires at least 2 but less than 4 years of full-time equivalent college work.</w:t>
            </w:r>
          </w:p>
        </w:tc>
        <w:tc>
          <w:tcPr>
            <w:tcW w:w="2097" w:type="dxa"/>
            <w:shd w:val="clear" w:color="auto" w:fill="auto"/>
            <w:vAlign w:val="center"/>
            <w:hideMark/>
          </w:tcPr>
          <w:p w:rsidR="009F0CF5" w:rsidRPr="00F7311D" w:rsidP="009F0CF5" w14:paraId="1D8ADC9A" w14:textId="77777777">
            <w:pPr>
              <w:spacing w:after="0" w:line="240" w:lineRule="auto"/>
              <w:rPr>
                <w:rFonts w:ascii="Calibri" w:eastAsia="Times New Roman" w:hAnsi="Calibri" w:cs="Calibri"/>
                <w:color w:val="000000"/>
                <w:sz w:val="18"/>
                <w:szCs w:val="18"/>
              </w:rPr>
            </w:pPr>
          </w:p>
        </w:tc>
      </w:tr>
      <w:tr w14:paraId="4D9CD9CD" w14:textId="77777777" w:rsidTr="0036249A">
        <w:tblPrEx>
          <w:tblW w:w="13616" w:type="dxa"/>
          <w:tblLook w:val="04A0"/>
        </w:tblPrEx>
        <w:trPr>
          <w:trHeight w:val="20"/>
        </w:trPr>
        <w:tc>
          <w:tcPr>
            <w:tcW w:w="2961" w:type="dxa"/>
            <w:shd w:val="clear" w:color="auto" w:fill="auto"/>
            <w:vAlign w:val="center"/>
          </w:tcPr>
          <w:p w:rsidR="00266C07" w:rsidRPr="008878BA" w:rsidP="009F0CF5" w14:paraId="532D4167" w14:textId="7DB25A9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Attendance status</w:t>
            </w:r>
          </w:p>
        </w:tc>
        <w:tc>
          <w:tcPr>
            <w:tcW w:w="8558" w:type="dxa"/>
            <w:shd w:val="clear" w:color="auto" w:fill="auto"/>
            <w:vAlign w:val="center"/>
          </w:tcPr>
          <w:p w:rsidR="00266C07" w:rsidRPr="008878BA" w:rsidP="009F0CF5" w14:paraId="0A32EBE1" w14:textId="386D9D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w:t>
            </w:r>
            <w:r w:rsidRPr="008878BA" w:rsidR="536CC0F3">
              <w:rPr>
                <w:rFonts w:ascii="Calibri" w:eastAsia="Times New Roman" w:hAnsi="Calibri" w:cs="Calibri"/>
                <w:sz w:val="18"/>
                <w:szCs w:val="18"/>
              </w:rPr>
              <w:t xml:space="preserve"> </w:t>
            </w:r>
            <w:r w:rsidRPr="008878BA">
              <w:rPr>
                <w:rFonts w:ascii="Calibri" w:eastAsia="Times New Roman" w:hAnsi="Calibri" w:cs="Calibri"/>
                <w:sz w:val="18"/>
                <w:szCs w:val="18"/>
              </w:rPr>
              <w:t xml:space="preserve">classification of students’ enrollment based on the </w:t>
            </w:r>
            <w:r w:rsidRPr="008878BA" w:rsidR="674D2192">
              <w:rPr>
                <w:rFonts w:ascii="Calibri" w:eastAsia="Times New Roman" w:hAnsi="Calibri" w:cs="Calibri"/>
                <w:sz w:val="18"/>
                <w:szCs w:val="18"/>
              </w:rPr>
              <w:t xml:space="preserve">number of credit or clock </w:t>
            </w:r>
            <w:r w:rsidRPr="008878BA" w:rsidR="4D062A8F">
              <w:rPr>
                <w:rFonts w:ascii="Calibri" w:eastAsia="Times New Roman" w:hAnsi="Calibri" w:cs="Calibri"/>
                <w:sz w:val="18"/>
                <w:szCs w:val="18"/>
              </w:rPr>
              <w:t xml:space="preserve">hours in which they are enrolled, </w:t>
            </w:r>
            <w:r w:rsidRPr="008878BA" w:rsidR="001EDE4A">
              <w:rPr>
                <w:rFonts w:ascii="Calibri" w:eastAsia="Times New Roman" w:hAnsi="Calibri" w:cs="Calibri"/>
                <w:sz w:val="18"/>
                <w:szCs w:val="18"/>
              </w:rPr>
              <w:t xml:space="preserve">either </w:t>
            </w:r>
            <w:r w:rsidRPr="008878BA" w:rsidR="4D062A8F">
              <w:rPr>
                <w:rFonts w:ascii="Calibri" w:eastAsia="Times New Roman" w:hAnsi="Calibri" w:cs="Calibri"/>
                <w:sz w:val="18"/>
                <w:szCs w:val="18"/>
              </w:rPr>
              <w:t>full-time or part-time.</w:t>
            </w:r>
          </w:p>
        </w:tc>
        <w:tc>
          <w:tcPr>
            <w:tcW w:w="2097" w:type="dxa"/>
            <w:shd w:val="clear" w:color="auto" w:fill="auto"/>
            <w:vAlign w:val="center"/>
          </w:tcPr>
          <w:p w:rsidR="00266C07" w:rsidRPr="008878BA" w:rsidP="009F0CF5" w14:paraId="5E8FD9F3" w14:textId="70B776B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 Part-time student</w:t>
            </w:r>
          </w:p>
        </w:tc>
      </w:tr>
      <w:tr w14:paraId="41BC4A8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C2A0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At-will contract or employment agreement</w:t>
            </w:r>
          </w:p>
        </w:tc>
        <w:tc>
          <w:tcPr>
            <w:tcW w:w="8558" w:type="dxa"/>
            <w:shd w:val="clear" w:color="auto" w:fill="auto"/>
            <w:vAlign w:val="center"/>
            <w:hideMark/>
          </w:tcPr>
          <w:p w:rsidR="009F0CF5" w:rsidRPr="00F7311D" w:rsidP="009F0CF5" w14:paraId="428B90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can be terminated by the employer or employee at any time, for any or no reason.</w:t>
            </w:r>
          </w:p>
        </w:tc>
        <w:tc>
          <w:tcPr>
            <w:tcW w:w="2097" w:type="dxa"/>
            <w:shd w:val="clear" w:color="auto" w:fill="auto"/>
            <w:vAlign w:val="center"/>
            <w:hideMark/>
          </w:tcPr>
          <w:p w:rsidR="009F0CF5" w:rsidRPr="00F7311D" w:rsidP="009F0CF5" w14:paraId="7F2B788A" w14:textId="77777777">
            <w:pPr>
              <w:spacing w:after="0" w:line="240" w:lineRule="auto"/>
              <w:rPr>
                <w:rFonts w:ascii="Calibri" w:eastAsia="Times New Roman" w:hAnsi="Calibri" w:cs="Calibri"/>
                <w:color w:val="000000"/>
                <w:sz w:val="18"/>
                <w:szCs w:val="18"/>
              </w:rPr>
            </w:pPr>
          </w:p>
        </w:tc>
      </w:tr>
      <w:tr w14:paraId="0797818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F841BBE" w14:textId="3C649F0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Audiovisual </w:t>
            </w:r>
            <w:r w:rsidR="001F3EAC">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aterials</w:t>
            </w:r>
          </w:p>
        </w:tc>
        <w:tc>
          <w:tcPr>
            <w:tcW w:w="8558" w:type="dxa"/>
            <w:shd w:val="clear" w:color="auto" w:fill="auto"/>
            <w:vAlign w:val="center"/>
            <w:hideMark/>
          </w:tcPr>
          <w:p w:rsidR="009F0CF5" w:rsidRPr="00F7311D" w:rsidP="009F0CF5" w14:paraId="3A294E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are displayed by visual projection or magnification, or through sound reproduction, or both, including sound recordings, motion pictures and video recordings, and graphic materials. Also included in this category are special visual materials such as three-dimensional artifacts and realia, and web-based audiovisual resources. This includes audio documents such as records, tapes, cassettes, audio compact discs, files of digital audio recordings; visual documents such as slides, transparencies, and combined audiovisual documents such as motion pictures, video recordings, etc. Microforms are excluded.</w:t>
            </w:r>
          </w:p>
        </w:tc>
        <w:tc>
          <w:tcPr>
            <w:tcW w:w="2097" w:type="dxa"/>
            <w:shd w:val="clear" w:color="auto" w:fill="auto"/>
            <w:vAlign w:val="center"/>
            <w:hideMark/>
          </w:tcPr>
          <w:p w:rsidR="009F0CF5" w:rsidRPr="00F7311D" w:rsidP="009F0CF5" w14:paraId="5DA7C0AC" w14:textId="77777777">
            <w:pPr>
              <w:spacing w:after="0" w:line="240" w:lineRule="auto"/>
              <w:rPr>
                <w:rFonts w:ascii="Calibri" w:eastAsia="Times New Roman" w:hAnsi="Calibri" w:cs="Calibri"/>
                <w:color w:val="000000"/>
                <w:sz w:val="18"/>
                <w:szCs w:val="18"/>
              </w:rPr>
            </w:pPr>
          </w:p>
        </w:tc>
      </w:tr>
      <w:tr w14:paraId="2EE007E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A5088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 opinion</w:t>
            </w:r>
          </w:p>
        </w:tc>
        <w:tc>
          <w:tcPr>
            <w:tcW w:w="8558" w:type="dxa"/>
            <w:shd w:val="clear" w:color="auto" w:fill="auto"/>
            <w:vAlign w:val="center"/>
            <w:hideMark/>
          </w:tcPr>
          <w:p w:rsidR="009F0CF5" w:rsidRPr="00F7311D" w:rsidP="009F0CF5" w14:paraId="5E92B2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audit, performed by external (or outside) auditors, that usually consists of a one-page 'opinion' letter on the general-purpose financial statements. The 'opinion' paragraph of the letter usually states that 'In our opinion, the financial statements present fairly, in all material respects, the financial position as of (date) and the results of operations for the year then ended, in conformity with accounting standards generally accepted in the United States.'  If the auditor cannot state completely the substance of the previous 'opinion' sentence, then the auditor will add a phrase such as '...except for...' and state the basis for the exception. When the auditor includes exceptions to the opinion, the opinion is considered to be a 'qualified opinion;' when no such exceptions are included, the opinion is considered to be an 'unqualified opinion.'</w:t>
            </w:r>
          </w:p>
        </w:tc>
        <w:tc>
          <w:tcPr>
            <w:tcW w:w="2097" w:type="dxa"/>
            <w:shd w:val="clear" w:color="auto" w:fill="auto"/>
            <w:vAlign w:val="center"/>
            <w:hideMark/>
          </w:tcPr>
          <w:p w:rsidR="009F0CF5" w:rsidRPr="00F7311D" w:rsidP="009F0CF5" w14:paraId="3CDABF0C" w14:textId="77777777">
            <w:pPr>
              <w:spacing w:after="0" w:line="240" w:lineRule="auto"/>
              <w:rPr>
                <w:rFonts w:ascii="Calibri" w:eastAsia="Times New Roman" w:hAnsi="Calibri" w:cs="Calibri"/>
                <w:color w:val="000000"/>
                <w:sz w:val="18"/>
                <w:szCs w:val="18"/>
              </w:rPr>
            </w:pPr>
          </w:p>
        </w:tc>
      </w:tr>
      <w:tr w14:paraId="2021091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39CD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Audit/auditing (a class)</w:t>
            </w:r>
          </w:p>
        </w:tc>
        <w:tc>
          <w:tcPr>
            <w:tcW w:w="8558" w:type="dxa"/>
            <w:shd w:val="clear" w:color="auto" w:fill="auto"/>
            <w:vAlign w:val="center"/>
            <w:hideMark/>
          </w:tcPr>
          <w:p w:rsidR="009F0CF5" w:rsidRPr="00F7311D" w:rsidP="009F0CF5" w14:paraId="13E664C7" w14:textId="5D210EB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Term used when a student elects to take a </w:t>
            </w:r>
            <w:r w:rsidRPr="00F7311D" w:rsidR="00FE3923">
              <w:rPr>
                <w:rFonts w:ascii="Calibri" w:eastAsia="Times New Roman" w:hAnsi="Calibri" w:cs="Calibri"/>
                <w:color w:val="000000"/>
                <w:sz w:val="18"/>
                <w:szCs w:val="18"/>
              </w:rPr>
              <w:t>course but</w:t>
            </w:r>
            <w:r w:rsidRPr="00F7311D">
              <w:rPr>
                <w:rFonts w:ascii="Calibri" w:eastAsia="Times New Roman" w:hAnsi="Calibri" w:cs="Calibri"/>
                <w:color w:val="000000"/>
                <w:sz w:val="18"/>
                <w:szCs w:val="18"/>
              </w:rPr>
              <w:t xml:space="preserve"> does not wish to receive credit for the course toward a degree or other recognized postsecondary credential.</w:t>
            </w:r>
          </w:p>
        </w:tc>
        <w:tc>
          <w:tcPr>
            <w:tcW w:w="2097" w:type="dxa"/>
            <w:shd w:val="clear" w:color="auto" w:fill="auto"/>
            <w:vAlign w:val="center"/>
            <w:hideMark/>
          </w:tcPr>
          <w:p w:rsidR="009F0CF5" w:rsidRPr="00F7311D" w:rsidP="009F0CF5" w14:paraId="08B4EE27" w14:textId="77777777">
            <w:pPr>
              <w:spacing w:after="0" w:line="240" w:lineRule="auto"/>
              <w:rPr>
                <w:rFonts w:ascii="Calibri" w:eastAsia="Times New Roman" w:hAnsi="Calibri" w:cs="Calibri"/>
                <w:color w:val="000000"/>
                <w:sz w:val="18"/>
                <w:szCs w:val="18"/>
              </w:rPr>
            </w:pPr>
          </w:p>
        </w:tc>
      </w:tr>
      <w:tr w14:paraId="324352F0"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E657B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expenses</w:t>
            </w:r>
          </w:p>
        </w:tc>
        <w:tc>
          <w:tcPr>
            <w:tcW w:w="8558" w:type="dxa"/>
            <w:shd w:val="clear" w:color="auto" w:fill="auto"/>
            <w:vAlign w:val="center"/>
            <w:hideMark/>
          </w:tcPr>
          <w:p w:rsidR="009F0CF5" w:rsidRPr="00F7311D" w:rsidP="009F0CF5" w14:paraId="064B9B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for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Institutions include actual or allocated costs for operation and maintenance of plant, interest and depreciation.</w:t>
            </w:r>
          </w:p>
        </w:tc>
        <w:tc>
          <w:tcPr>
            <w:tcW w:w="2097" w:type="dxa"/>
            <w:shd w:val="clear" w:color="auto" w:fill="auto"/>
            <w:vAlign w:val="center"/>
            <w:hideMark/>
          </w:tcPr>
          <w:p w:rsidR="009F0CF5" w:rsidRPr="00F7311D" w:rsidP="009F0CF5" w14:paraId="1D9D2FE6" w14:textId="77777777">
            <w:pPr>
              <w:spacing w:after="0" w:line="240" w:lineRule="auto"/>
              <w:rPr>
                <w:rFonts w:ascii="Calibri" w:eastAsia="Times New Roman" w:hAnsi="Calibri" w:cs="Calibri"/>
                <w:color w:val="000000"/>
                <w:sz w:val="18"/>
                <w:szCs w:val="18"/>
              </w:rPr>
            </w:pPr>
          </w:p>
        </w:tc>
      </w:tr>
      <w:tr w14:paraId="7579E32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BD186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enterprises revenues</w:t>
            </w:r>
          </w:p>
        </w:tc>
        <w:tc>
          <w:tcPr>
            <w:tcW w:w="8558" w:type="dxa"/>
            <w:shd w:val="clear" w:color="auto" w:fill="auto"/>
            <w:vAlign w:val="center"/>
            <w:hideMark/>
          </w:tcPr>
          <w:p w:rsidR="009F0CF5" w:rsidRPr="00F7311D" w:rsidP="009F0CF5" w14:paraId="102190A7" w14:textId="46ECCC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generated by or collected from the auxiliary enterprise operations of the institution that exist to furnish a service to students, </w:t>
            </w:r>
            <w:r w:rsidRPr="00F7311D" w:rsidR="00FE3923">
              <w:rPr>
                <w:rFonts w:ascii="Calibri" w:eastAsia="Times New Roman" w:hAnsi="Calibri" w:cs="Calibri"/>
                <w:color w:val="000000"/>
                <w:sz w:val="18"/>
                <w:szCs w:val="18"/>
              </w:rPr>
              <w:t>faculty, or</w:t>
            </w:r>
            <w:r w:rsidRPr="00F7311D">
              <w:rPr>
                <w:rFonts w:ascii="Calibri" w:eastAsia="Times New Roman" w:hAnsi="Calibri" w:cs="Calibri"/>
                <w:color w:val="000000"/>
                <w:sz w:val="18"/>
                <w:szCs w:val="18"/>
              </w:rPr>
              <w:t xml:space="preserve"> staff, and that charge a fee that is directly related to, although not necessarily equal to, the cost of the service. Auxiliary enterprises are managed as essentially self-supporting activities. Examples are residence halls, food services, student health services, intercollegiate athletics, college unions, college stores, and movie theaters.</w:t>
            </w:r>
          </w:p>
        </w:tc>
        <w:tc>
          <w:tcPr>
            <w:tcW w:w="2097" w:type="dxa"/>
            <w:shd w:val="clear" w:color="auto" w:fill="auto"/>
            <w:vAlign w:val="center"/>
            <w:hideMark/>
          </w:tcPr>
          <w:p w:rsidR="009F0CF5" w:rsidRPr="00F7311D" w:rsidP="009F0CF5" w14:paraId="72B71A53" w14:textId="77777777">
            <w:pPr>
              <w:spacing w:after="0" w:line="240" w:lineRule="auto"/>
              <w:rPr>
                <w:rFonts w:ascii="Calibri" w:eastAsia="Times New Roman" w:hAnsi="Calibri" w:cs="Calibri"/>
                <w:color w:val="000000"/>
                <w:sz w:val="18"/>
                <w:szCs w:val="18"/>
              </w:rPr>
            </w:pPr>
          </w:p>
        </w:tc>
      </w:tr>
      <w:tr w14:paraId="33513F2C" w14:textId="77777777" w:rsidTr="0036249A">
        <w:tblPrEx>
          <w:tblW w:w="13616" w:type="dxa"/>
          <w:tblLook w:val="04A0"/>
        </w:tblPrEx>
        <w:trPr>
          <w:trHeight w:val="20"/>
        </w:trPr>
        <w:tc>
          <w:tcPr>
            <w:tcW w:w="2961" w:type="dxa"/>
            <w:shd w:val="clear" w:color="auto" w:fill="auto"/>
          </w:tcPr>
          <w:p w:rsidR="00A3238E" w:rsidRPr="002515CF" w:rsidP="00A3238E" w14:paraId="3E754CEB" w14:textId="7B2919BB">
            <w:pPr>
              <w:spacing w:after="0" w:line="240" w:lineRule="auto"/>
              <w:rPr>
                <w:rFonts w:eastAsia="Times New Roman" w:cstheme="minorHAnsi"/>
                <w:sz w:val="18"/>
                <w:szCs w:val="18"/>
              </w:rPr>
            </w:pPr>
            <w:r w:rsidRPr="002515CF">
              <w:rPr>
                <w:rFonts w:cstheme="minorHAnsi"/>
                <w:sz w:val="18"/>
                <w:szCs w:val="18"/>
              </w:rPr>
              <w:t>Average cost of attendance</w:t>
            </w:r>
          </w:p>
        </w:tc>
        <w:tc>
          <w:tcPr>
            <w:tcW w:w="8558" w:type="dxa"/>
            <w:shd w:val="clear" w:color="auto" w:fill="auto"/>
          </w:tcPr>
          <w:p w:rsidR="00A3238E" w:rsidRPr="002515CF" w:rsidP="00A3238E" w14:paraId="3514BBAC" w14:textId="35AD00AD">
            <w:pPr>
              <w:pStyle w:val="TableParagraph"/>
              <w:kinsoku w:val="0"/>
              <w:overflowPunct w:val="0"/>
              <w:spacing w:before="70" w:line="230" w:lineRule="auto"/>
              <w:ind w:left="69" w:right="74"/>
              <w:rPr>
                <w:rFonts w:asciiTheme="minorHAnsi" w:hAnsiTheme="minorHAnsi" w:cstheme="minorHAnsi"/>
                <w:sz w:val="18"/>
                <w:szCs w:val="18"/>
              </w:rPr>
            </w:pPr>
            <w:r w:rsidRPr="002515CF">
              <w:rPr>
                <w:rFonts w:asciiTheme="minorHAnsi" w:hAnsiTheme="minorHAnsi" w:cstheme="minorHAnsi"/>
                <w:sz w:val="18"/>
                <w:szCs w:val="18"/>
              </w:rPr>
              <w:t xml:space="preserve">The average of the actual or average allowable costs as defined by the Higher Education Act of 1965, as amended, used to determine a student’s eligibility for Title IV and other financial aid programs. The average may be based on all students or different categories of students such as undergraduates or graduates. Other student categories may include enrollment status, academic program, or residency. </w:t>
            </w:r>
            <w:r w:rsidRPr="002515CF">
              <w:rPr>
                <w:rFonts w:asciiTheme="minorHAnsi" w:hAnsiTheme="minorHAnsi" w:cstheme="minorHAnsi"/>
                <w:b/>
                <w:bCs/>
                <w:sz w:val="18"/>
                <w:szCs w:val="18"/>
              </w:rPr>
              <w:t>For IPEDS reporting purposes, cost of attendance is only reported for full-time, first-time students.</w:t>
            </w:r>
          </w:p>
        </w:tc>
        <w:tc>
          <w:tcPr>
            <w:tcW w:w="2097" w:type="dxa"/>
            <w:shd w:val="clear" w:color="auto" w:fill="auto"/>
          </w:tcPr>
          <w:p w:rsidR="00A3238E" w:rsidRPr="002515CF" w:rsidP="00A3238E" w14:paraId="3EC2800D"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Allowable costs</w:t>
            </w:r>
          </w:p>
          <w:p w:rsidR="00A3238E" w:rsidRPr="002515CF" w:rsidP="00A3238E" w14:paraId="46B755DA" w14:textId="0627484C">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 xml:space="preserve">Cost of </w:t>
            </w:r>
            <w:r w:rsidRPr="008878BA" w:rsidR="001F3EAC">
              <w:rPr>
                <w:rFonts w:asciiTheme="minorHAnsi" w:hAnsiTheme="minorHAnsi" w:cstheme="minorHAnsi"/>
                <w:sz w:val="18"/>
                <w:szCs w:val="18"/>
              </w:rPr>
              <w:t>A</w:t>
            </w:r>
            <w:r w:rsidRPr="008878BA">
              <w:rPr>
                <w:rFonts w:asciiTheme="minorHAnsi" w:hAnsiTheme="minorHAnsi" w:cstheme="minorHAnsi"/>
                <w:sz w:val="18"/>
                <w:szCs w:val="18"/>
              </w:rPr>
              <w:t>ttendance</w:t>
            </w:r>
            <w:r w:rsidRPr="008878BA" w:rsidR="001F3EAC">
              <w:rPr>
                <w:rFonts w:asciiTheme="minorHAnsi" w:hAnsiTheme="minorHAnsi" w:cstheme="minorHAnsi"/>
                <w:sz w:val="18"/>
                <w:szCs w:val="18"/>
              </w:rPr>
              <w:t xml:space="preserve"> (COA)</w:t>
            </w:r>
          </w:p>
          <w:p w:rsidR="00A3238E" w:rsidRPr="002515CF" w:rsidP="00A3238E" w14:paraId="77708953" w14:textId="026571F4">
            <w:pPr>
              <w:spacing w:after="0" w:line="240" w:lineRule="auto"/>
              <w:rPr>
                <w:rFonts w:eastAsia="Times New Roman" w:cstheme="minorHAnsi"/>
                <w:sz w:val="18"/>
                <w:szCs w:val="18"/>
              </w:rPr>
            </w:pPr>
            <w:r w:rsidRPr="002515CF">
              <w:rPr>
                <w:rFonts w:cstheme="minorHAnsi"/>
                <w:sz w:val="18"/>
                <w:szCs w:val="18"/>
              </w:rPr>
              <w:t>Total cost of attendance</w:t>
            </w:r>
          </w:p>
        </w:tc>
      </w:tr>
      <w:tr w14:paraId="55E1BA7A" w14:textId="77777777" w:rsidTr="0036249A">
        <w:tblPrEx>
          <w:tblW w:w="13616" w:type="dxa"/>
          <w:tblLook w:val="04A0"/>
        </w:tblPrEx>
        <w:trPr>
          <w:trHeight w:val="20"/>
        </w:trPr>
        <w:tc>
          <w:tcPr>
            <w:tcW w:w="2961" w:type="dxa"/>
            <w:shd w:val="clear" w:color="auto" w:fill="auto"/>
            <w:vAlign w:val="center"/>
          </w:tcPr>
          <w:p w:rsidR="00DE23F3" w:rsidRPr="002515CF" w:rsidP="00DE23F3" w14:paraId="3CDDCCBE" w14:textId="40F87634">
            <w:pPr>
              <w:spacing w:after="0" w:line="240" w:lineRule="auto"/>
              <w:rPr>
                <w:rFonts w:cstheme="minorHAnsi"/>
                <w:sz w:val="18"/>
                <w:szCs w:val="18"/>
              </w:rPr>
            </w:pPr>
            <w:r w:rsidRPr="002515CF">
              <w:rPr>
                <w:rFonts w:ascii="Calibri" w:eastAsia="Times New Roman" w:hAnsi="Calibri" w:cs="Calibri"/>
                <w:sz w:val="18"/>
                <w:szCs w:val="18"/>
              </w:rPr>
              <w:t xml:space="preserve">Average Net </w:t>
            </w:r>
            <w:r w:rsidRPr="008878BA" w:rsidR="001B524C">
              <w:rPr>
                <w:rFonts w:ascii="Calibri" w:eastAsia="Times New Roman" w:hAnsi="Calibri" w:cs="Calibri"/>
                <w:sz w:val="18"/>
                <w:szCs w:val="18"/>
              </w:rPr>
              <w:t>P</w:t>
            </w:r>
            <w:r w:rsidRPr="008878BA">
              <w:rPr>
                <w:rFonts w:ascii="Calibri" w:eastAsia="Times New Roman" w:hAnsi="Calibri" w:cs="Calibri"/>
                <w:sz w:val="18"/>
                <w:szCs w:val="18"/>
              </w:rPr>
              <w:t>rice</w:t>
            </w:r>
            <w:r w:rsidRPr="008878BA" w:rsidR="001B524C">
              <w:rPr>
                <w:rFonts w:ascii="Calibri" w:eastAsia="Times New Roman" w:hAnsi="Calibri" w:cs="Calibri"/>
                <w:sz w:val="18"/>
                <w:szCs w:val="18"/>
              </w:rPr>
              <w:t xml:space="preserve"> (ANP)</w:t>
            </w:r>
          </w:p>
        </w:tc>
        <w:tc>
          <w:tcPr>
            <w:tcW w:w="8558" w:type="dxa"/>
            <w:shd w:val="clear" w:color="auto" w:fill="auto"/>
            <w:vAlign w:val="center"/>
          </w:tcPr>
          <w:p w:rsidR="00DE23F3" w:rsidRPr="002515CF" w:rsidP="47E59BC4" w14:paraId="24045AEF" w14:textId="39484695">
            <w:pPr>
              <w:pStyle w:val="TableParagraph"/>
              <w:kinsoku w:val="0"/>
              <w:overflowPunct w:val="0"/>
              <w:spacing w:before="70" w:line="230" w:lineRule="auto"/>
              <w:ind w:left="69" w:right="74"/>
              <w:rPr>
                <w:rFonts w:asciiTheme="minorHAnsi" w:hAnsiTheme="minorHAnsi" w:cstheme="minorBidi"/>
                <w:sz w:val="18"/>
                <w:szCs w:val="18"/>
              </w:rPr>
            </w:pPr>
            <w:r w:rsidRPr="47E59BC4">
              <w:rPr>
                <w:rFonts w:ascii="Calibri" w:hAnsi="Calibri" w:cs="Calibri"/>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w:t>
            </w:r>
            <w:r w:rsidRPr="00A65D4C" w:rsidR="3F54B433">
              <w:rPr>
                <w:rFonts w:ascii="Calibri" w:eastAsia="Calibri" w:hAnsi="Calibri" w:cs="Calibri"/>
                <w:color w:val="000000" w:themeColor="text1"/>
                <w:sz w:val="18"/>
                <w:szCs w:val="18"/>
              </w:rPr>
              <w:t>food and housing</w:t>
            </w:r>
            <w:r w:rsidRPr="00A65D4C">
              <w:rPr>
                <w:rFonts w:ascii="Calibri" w:hAnsi="Calibri" w:cs="Calibri"/>
                <w:color w:val="000000" w:themeColor="text1"/>
                <w:sz w:val="18"/>
                <w:szCs w:val="18"/>
              </w:rPr>
              <w:t xml:space="preserve"> </w:t>
            </w:r>
            <w:r w:rsidRPr="47E59BC4">
              <w:rPr>
                <w:rFonts w:ascii="Calibri" w:hAnsi="Calibri" w:cs="Calibri"/>
                <w:sz w:val="18"/>
                <w:szCs w:val="18"/>
              </w:rPr>
              <w:t xml:space="preserve">and other expenses. </w:t>
            </w:r>
          </w:p>
        </w:tc>
        <w:tc>
          <w:tcPr>
            <w:tcW w:w="2097" w:type="dxa"/>
            <w:shd w:val="clear" w:color="auto" w:fill="auto"/>
            <w:vAlign w:val="center"/>
          </w:tcPr>
          <w:p w:rsidR="00DE23F3" w:rsidP="00DE23F3" w14:paraId="6E299811" w14:textId="77777777">
            <w:pPr>
              <w:pStyle w:val="TableParagraph"/>
              <w:kinsoku w:val="0"/>
              <w:overflowPunct w:val="0"/>
              <w:rPr>
                <w:rFonts w:asciiTheme="minorHAnsi" w:hAnsiTheme="minorHAnsi" w:cstheme="minorHAnsi"/>
                <w:sz w:val="18"/>
                <w:szCs w:val="18"/>
              </w:rPr>
            </w:pPr>
            <w:r w:rsidRPr="002515CF">
              <w:rPr>
                <w:rFonts w:asciiTheme="minorHAnsi" w:hAnsiTheme="minorHAnsi" w:cstheme="minorHAnsi"/>
                <w:sz w:val="18"/>
                <w:szCs w:val="18"/>
              </w:rPr>
              <w:t>Total cost of attendance</w:t>
            </w:r>
          </w:p>
          <w:p w:rsidR="009955EC" w:rsidRPr="002515CF" w:rsidP="00DE23F3" w14:paraId="5621485B" w14:textId="44CE7C7E">
            <w:pPr>
              <w:pStyle w:val="TableParagraph"/>
              <w:kinsoku w:val="0"/>
              <w:overflowPunct w:val="0"/>
              <w:rPr>
                <w:rFonts w:asciiTheme="minorHAnsi" w:hAnsiTheme="minorHAnsi" w:cstheme="minorHAnsi"/>
                <w:sz w:val="18"/>
                <w:szCs w:val="18"/>
              </w:rPr>
            </w:pPr>
            <w:r>
              <w:rPr>
                <w:rFonts w:asciiTheme="minorHAnsi" w:hAnsiTheme="minorHAnsi" w:cstheme="minorHAnsi"/>
                <w:sz w:val="18"/>
                <w:szCs w:val="18"/>
              </w:rPr>
              <w:t>Net price</w:t>
            </w:r>
          </w:p>
        </w:tc>
      </w:tr>
      <w:tr w14:paraId="5191037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00D2D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Avocational programs</w:t>
            </w:r>
          </w:p>
        </w:tc>
        <w:tc>
          <w:tcPr>
            <w:tcW w:w="8558" w:type="dxa"/>
            <w:shd w:val="clear" w:color="auto" w:fill="auto"/>
            <w:vAlign w:val="center"/>
            <w:hideMark/>
          </w:tcPr>
          <w:p w:rsidR="009F0CF5" w:rsidRPr="00F7311D" w:rsidP="009F0CF5" w14:paraId="7495C1EF" w14:textId="32CE351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Instructional </w:t>
            </w:r>
            <w:r w:rsidRPr="00F7311D" w:rsidR="00FE3923">
              <w:rPr>
                <w:rFonts w:ascii="Calibri" w:eastAsia="Times New Roman" w:hAnsi="Calibri" w:cs="Calibri"/>
                <w:color w:val="000000"/>
                <w:sz w:val="18"/>
                <w:szCs w:val="18"/>
              </w:rPr>
              <w:t>programs in</w:t>
            </w:r>
            <w:r w:rsidRPr="00F7311D">
              <w:rPr>
                <w:rFonts w:ascii="Calibri" w:eastAsia="Times New Roman" w:hAnsi="Calibri" w:cs="Calibri"/>
                <w:color w:val="000000"/>
                <w:sz w:val="18"/>
                <w:szCs w:val="18"/>
              </w:rPr>
              <w:t xml:space="preserve"> personal interest and leisure categories whose expressed intent is not to produce postsecondary credits, nor to lead to a recognized postsecondary credential or an academic degree,  nor result in occupationally specific skills.</w:t>
            </w:r>
          </w:p>
        </w:tc>
        <w:tc>
          <w:tcPr>
            <w:tcW w:w="2097" w:type="dxa"/>
            <w:shd w:val="clear" w:color="auto" w:fill="auto"/>
            <w:vAlign w:val="center"/>
            <w:hideMark/>
          </w:tcPr>
          <w:p w:rsidR="009F0CF5" w:rsidRPr="00F7311D" w:rsidP="009F0CF5" w14:paraId="303DE543" w14:textId="77777777">
            <w:pPr>
              <w:spacing w:after="0" w:line="240" w:lineRule="auto"/>
              <w:rPr>
                <w:rFonts w:ascii="Calibri" w:eastAsia="Times New Roman" w:hAnsi="Calibri" w:cs="Calibri"/>
                <w:color w:val="000000"/>
                <w:sz w:val="18"/>
                <w:szCs w:val="18"/>
              </w:rPr>
            </w:pPr>
          </w:p>
        </w:tc>
      </w:tr>
      <w:tr w14:paraId="07C5902C"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33FF5E7" w14:textId="08477D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General (Carnegie)</w:t>
            </w:r>
          </w:p>
        </w:tc>
        <w:tc>
          <w:tcPr>
            <w:tcW w:w="8558" w:type="dxa"/>
            <w:shd w:val="clear" w:color="auto" w:fill="auto"/>
            <w:vAlign w:val="center"/>
            <w:hideMark/>
          </w:tcPr>
          <w:p w:rsidR="009F0CF5" w:rsidRPr="00F7311D" w:rsidP="009F0CF5" w14:paraId="07C985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General are primarily undergraduate colleges with major emphasis on baccalaureate programs. During the period studied, they awarded less than half of their baccalaureate degrees in liberal arts fields.</w:t>
            </w:r>
          </w:p>
        </w:tc>
        <w:tc>
          <w:tcPr>
            <w:tcW w:w="2097" w:type="dxa"/>
            <w:shd w:val="clear" w:color="auto" w:fill="auto"/>
            <w:vAlign w:val="center"/>
            <w:hideMark/>
          </w:tcPr>
          <w:p w:rsidR="009F0CF5" w:rsidRPr="00F7311D" w:rsidP="009F0CF5" w14:paraId="591EA5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1D820E1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138AA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 Colleges - Liberal Arts (Carnegie)</w:t>
            </w:r>
          </w:p>
        </w:tc>
        <w:tc>
          <w:tcPr>
            <w:tcW w:w="8558" w:type="dxa"/>
            <w:shd w:val="clear" w:color="auto" w:fill="auto"/>
            <w:vAlign w:val="center"/>
            <w:hideMark/>
          </w:tcPr>
          <w:p w:rsidR="009F0CF5" w:rsidRPr="00F7311D" w:rsidP="009F0CF5" w14:paraId="35F855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Baccalaureate Colleges - Liberal Arts are primarily undergraduate colleges with major emphasis on baccalaureate programs. During the period studied, they awarded at least half of their baccalaureate degrees in liberal arts fields.</w:t>
            </w:r>
          </w:p>
        </w:tc>
        <w:tc>
          <w:tcPr>
            <w:tcW w:w="2097" w:type="dxa"/>
            <w:shd w:val="clear" w:color="auto" w:fill="auto"/>
            <w:vAlign w:val="center"/>
            <w:hideMark/>
          </w:tcPr>
          <w:p w:rsidR="009F0CF5" w:rsidRPr="00F7311D" w:rsidP="009F0CF5" w14:paraId="12ECB2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1FC777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1627B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Baccalaureate/Associate's Colleges (Carnegie)</w:t>
            </w:r>
          </w:p>
        </w:tc>
        <w:tc>
          <w:tcPr>
            <w:tcW w:w="8558" w:type="dxa"/>
            <w:shd w:val="clear" w:color="auto" w:fill="auto"/>
            <w:vAlign w:val="center"/>
            <w:hideMark/>
          </w:tcPr>
          <w:p w:rsidR="009F0CF5" w:rsidRPr="00F7311D" w:rsidP="009F0CF5" w14:paraId="5A399741" w14:textId="01F2F3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developed by the Andrew W. Carnegie Foundation for the Advancement of Teaching. Baccalaureate/Associate's Colleges are undergraduate colleges where the majority of conferrals are below the baccalaureate level (associate's </w:t>
            </w:r>
            <w:r w:rsidRPr="00F7311D" w:rsidR="00FE3923">
              <w:rPr>
                <w:rFonts w:ascii="Calibri" w:eastAsia="Times New Roman" w:hAnsi="Calibri" w:cs="Calibri"/>
                <w:color w:val="000000"/>
                <w:sz w:val="18"/>
                <w:szCs w:val="18"/>
              </w:rPr>
              <w:t>degrees and</w:t>
            </w:r>
            <w:r w:rsidRPr="00F7311D">
              <w:rPr>
                <w:rFonts w:ascii="Calibri" w:eastAsia="Times New Roman" w:hAnsi="Calibri" w:cs="Calibri"/>
                <w:color w:val="000000"/>
                <w:sz w:val="18"/>
                <w:szCs w:val="18"/>
              </w:rPr>
              <w:t xml:space="preserve"> certificates). During the period studied, bachelor's </w:t>
            </w:r>
            <w:r w:rsidRPr="00F7311D" w:rsidR="00FE3923">
              <w:rPr>
                <w:rFonts w:ascii="Calibri" w:eastAsia="Times New Roman" w:hAnsi="Calibri" w:cs="Calibri"/>
                <w:color w:val="000000"/>
                <w:sz w:val="18"/>
                <w:szCs w:val="18"/>
              </w:rPr>
              <w:t>degrees accounted</w:t>
            </w:r>
            <w:r w:rsidRPr="00F7311D">
              <w:rPr>
                <w:rFonts w:ascii="Calibri" w:eastAsia="Times New Roman" w:hAnsi="Calibri" w:cs="Calibri"/>
                <w:color w:val="000000"/>
                <w:sz w:val="18"/>
                <w:szCs w:val="18"/>
              </w:rPr>
              <w:t xml:space="preserve"> for at least ten percent of undergraduate awards.</w:t>
            </w:r>
          </w:p>
        </w:tc>
        <w:tc>
          <w:tcPr>
            <w:tcW w:w="2097" w:type="dxa"/>
            <w:shd w:val="clear" w:color="auto" w:fill="auto"/>
            <w:vAlign w:val="center"/>
            <w:hideMark/>
          </w:tcPr>
          <w:p w:rsidR="009F0CF5" w:rsidRPr="00F7311D" w:rsidP="009F0CF5" w14:paraId="6E6C76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9863903"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D8052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Bachelor's degree</w:t>
            </w:r>
          </w:p>
        </w:tc>
        <w:tc>
          <w:tcPr>
            <w:tcW w:w="8558" w:type="dxa"/>
            <w:shd w:val="clear" w:color="auto" w:fill="auto"/>
            <w:vAlign w:val="center"/>
            <w:hideMark/>
          </w:tcPr>
          <w:p w:rsidR="009F0CF5" w:rsidRPr="00F7311D" w:rsidP="009F0CF5" w14:paraId="1EF051AD" w14:textId="2985A9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(baccalaureate or equivalent degree, as determined by the Secretary, U.S. Department of Education) that normally requires at least 4 but not more than 5 years of full-time equivalent college-level work. This includes all bachelor's </w:t>
            </w:r>
            <w:r w:rsidRPr="00F7311D" w:rsidR="00FE3923">
              <w:rPr>
                <w:rFonts w:ascii="Calibri" w:eastAsia="Times New Roman" w:hAnsi="Calibri" w:cs="Calibri"/>
                <w:color w:val="000000"/>
                <w:sz w:val="18"/>
                <w:szCs w:val="18"/>
              </w:rPr>
              <w:t>degrees conferred</w:t>
            </w:r>
            <w:r w:rsidRPr="00F7311D">
              <w:rPr>
                <w:rFonts w:ascii="Calibri" w:eastAsia="Times New Roman" w:hAnsi="Calibri" w:cs="Calibri"/>
                <w:color w:val="000000"/>
                <w:sz w:val="18"/>
                <w:szCs w:val="18"/>
              </w:rPr>
              <w:t xml:space="preserve"> in a 5-year cooperative (work-study) program. A cooperative plan provides for alternate class attendance and employment in business, industry, or government; thus, it allows students to combine actual work experience with their college studies. Also includes bachelor's degrees in which the normal 4 years of work are completed in 3 years.</w:t>
            </w:r>
          </w:p>
        </w:tc>
        <w:tc>
          <w:tcPr>
            <w:tcW w:w="2097" w:type="dxa"/>
            <w:shd w:val="clear" w:color="auto" w:fill="auto"/>
            <w:vAlign w:val="center"/>
            <w:hideMark/>
          </w:tcPr>
          <w:p w:rsidR="009F0CF5" w:rsidRPr="00F7311D" w:rsidP="009F0CF5" w14:paraId="047A0E60" w14:textId="77777777">
            <w:pPr>
              <w:spacing w:after="0" w:line="240" w:lineRule="auto"/>
              <w:rPr>
                <w:rFonts w:ascii="Calibri" w:eastAsia="Times New Roman" w:hAnsi="Calibri" w:cs="Calibri"/>
                <w:color w:val="000000"/>
                <w:sz w:val="18"/>
                <w:szCs w:val="18"/>
              </w:rPr>
            </w:pPr>
          </w:p>
        </w:tc>
      </w:tr>
      <w:tr w14:paraId="3B24E78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D4614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Bachelor's or equivalent degree-seeking </w:t>
            </w:r>
            <w:r w:rsidRPr="00F7311D">
              <w:rPr>
                <w:rFonts w:ascii="Calibri" w:eastAsia="Times New Roman" w:hAnsi="Calibri" w:cs="Calibri"/>
                <w:color w:val="000000"/>
                <w:sz w:val="18"/>
                <w:szCs w:val="18"/>
              </w:rPr>
              <w:t>subcohort</w:t>
            </w:r>
          </w:p>
        </w:tc>
        <w:tc>
          <w:tcPr>
            <w:tcW w:w="8558" w:type="dxa"/>
            <w:shd w:val="clear" w:color="auto" w:fill="auto"/>
            <w:vAlign w:val="center"/>
            <w:hideMark/>
          </w:tcPr>
          <w:p w:rsidR="009F0CF5" w:rsidRPr="00F7311D" w:rsidP="009F0CF5" w14:paraId="548DB9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GR component of IPEDS, a cohort of students who were seeking a bachelor's or equivalent degree upon entry.</w:t>
            </w:r>
          </w:p>
        </w:tc>
        <w:tc>
          <w:tcPr>
            <w:tcW w:w="2097" w:type="dxa"/>
            <w:shd w:val="clear" w:color="auto" w:fill="auto"/>
            <w:vAlign w:val="center"/>
            <w:hideMark/>
          </w:tcPr>
          <w:p w:rsidR="009F0CF5" w:rsidRPr="00F7311D" w:rsidP="009F0CF5" w14:paraId="5C015BA0" w14:textId="77777777">
            <w:pPr>
              <w:spacing w:after="0" w:line="240" w:lineRule="auto"/>
              <w:rPr>
                <w:rFonts w:ascii="Calibri" w:eastAsia="Times New Roman" w:hAnsi="Calibri" w:cs="Calibri"/>
                <w:color w:val="000000"/>
                <w:sz w:val="18"/>
                <w:szCs w:val="18"/>
              </w:rPr>
            </w:pPr>
          </w:p>
        </w:tc>
      </w:tr>
      <w:tr w14:paraId="57764CE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1D347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owed on principal</w:t>
            </w:r>
          </w:p>
        </w:tc>
        <w:tc>
          <w:tcPr>
            <w:tcW w:w="8558" w:type="dxa"/>
            <w:shd w:val="clear" w:color="auto" w:fill="auto"/>
            <w:vAlign w:val="center"/>
            <w:hideMark/>
          </w:tcPr>
          <w:p w:rsidR="009F0CF5" w:rsidRPr="00F7311D" w:rsidP="009F0CF5" w14:paraId="716B5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Outstanding balance owed on indebtedness principal (at the beginning/end of the year) as shown in the liability section of the balance sheet.</w:t>
            </w:r>
          </w:p>
        </w:tc>
        <w:tc>
          <w:tcPr>
            <w:tcW w:w="2097" w:type="dxa"/>
            <w:shd w:val="clear" w:color="auto" w:fill="auto"/>
            <w:vAlign w:val="center"/>
            <w:hideMark/>
          </w:tcPr>
          <w:p w:rsidR="009F0CF5" w:rsidRPr="00F7311D" w:rsidP="009F0CF5" w14:paraId="3DFABECB" w14:textId="77777777">
            <w:pPr>
              <w:spacing w:after="0" w:line="240" w:lineRule="auto"/>
              <w:rPr>
                <w:rFonts w:ascii="Calibri" w:eastAsia="Times New Roman" w:hAnsi="Calibri" w:cs="Calibri"/>
                <w:color w:val="000000"/>
                <w:sz w:val="18"/>
                <w:szCs w:val="18"/>
              </w:rPr>
            </w:pPr>
          </w:p>
        </w:tc>
      </w:tr>
      <w:tr w14:paraId="656362BF"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07248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Balance sheet</w:t>
            </w:r>
          </w:p>
        </w:tc>
        <w:tc>
          <w:tcPr>
            <w:tcW w:w="8558" w:type="dxa"/>
            <w:shd w:val="clear" w:color="auto" w:fill="auto"/>
            <w:vAlign w:val="center"/>
            <w:hideMark/>
          </w:tcPr>
          <w:p w:rsidR="009F0CF5" w:rsidRPr="00F7311D" w:rsidP="009F0CF5" w14:paraId="6B6115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financial statement that lists a postsecondary institution's assets and liabilities as of a specified date.</w:t>
            </w:r>
          </w:p>
        </w:tc>
        <w:tc>
          <w:tcPr>
            <w:tcW w:w="2097" w:type="dxa"/>
            <w:shd w:val="clear" w:color="auto" w:fill="auto"/>
            <w:vAlign w:val="center"/>
            <w:hideMark/>
          </w:tcPr>
          <w:p w:rsidR="009F0CF5" w:rsidRPr="00F7311D" w:rsidP="009F0CF5" w14:paraId="06898942" w14:textId="77777777">
            <w:pPr>
              <w:spacing w:after="0" w:line="240" w:lineRule="auto"/>
              <w:rPr>
                <w:rFonts w:ascii="Calibri" w:eastAsia="Times New Roman" w:hAnsi="Calibri" w:cs="Calibri"/>
                <w:color w:val="000000"/>
                <w:sz w:val="18"/>
                <w:szCs w:val="18"/>
              </w:rPr>
            </w:pPr>
          </w:p>
        </w:tc>
      </w:tr>
      <w:tr w14:paraId="35EC206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0D01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Basic Principles for Income Tax Accounting</w:t>
            </w:r>
          </w:p>
        </w:tc>
        <w:tc>
          <w:tcPr>
            <w:tcW w:w="8558" w:type="dxa"/>
            <w:shd w:val="clear" w:color="auto" w:fill="auto"/>
            <w:vAlign w:val="center"/>
            <w:hideMark/>
          </w:tcPr>
          <w:p w:rsidR="009F0CF5" w:rsidRPr="00F7311D" w:rsidP="009F0CF5" w14:paraId="39C086C5" w14:textId="5D21B3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following basic principles are applied in accounting for income taxes at the date of the financial statements: A current tax liability or asset is recognized for the estimated taxes payable or refundable on tax returns for the current year.  A deferred tax liability or asset is recognized for the estimated future tax effects attributable to temporary differences and carry forwards.</w:t>
            </w:r>
            <w:r w:rsidR="00FE392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     The measurement of current and deferred tax liabilities and assets is based on provisions of the enacted tax law; the effects of future changes in tax laws or rates are not anticipated.</w:t>
            </w:r>
            <w:r w:rsidR="00FE3923">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d)    The measurement of deferred tax assets is reduced, if necessary, by the amount of any tax benefits that, based on available evidence, are not expected to be realized.</w:t>
            </w:r>
          </w:p>
        </w:tc>
        <w:tc>
          <w:tcPr>
            <w:tcW w:w="2097" w:type="dxa"/>
            <w:shd w:val="clear" w:color="auto" w:fill="auto"/>
            <w:vAlign w:val="center"/>
            <w:hideMark/>
          </w:tcPr>
          <w:p w:rsidR="009F0CF5" w:rsidRPr="00F7311D" w:rsidP="009F0CF5" w14:paraId="29FEFAE6" w14:textId="77777777">
            <w:pPr>
              <w:spacing w:after="0" w:line="240" w:lineRule="auto"/>
              <w:rPr>
                <w:rFonts w:ascii="Calibri" w:eastAsia="Times New Roman" w:hAnsi="Calibri" w:cs="Calibri"/>
                <w:color w:val="000000"/>
                <w:sz w:val="18"/>
                <w:szCs w:val="18"/>
              </w:rPr>
            </w:pPr>
          </w:p>
        </w:tc>
      </w:tr>
      <w:tr w14:paraId="3659306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EA3B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Bibliographic utilities, networks and consortia</w:t>
            </w:r>
          </w:p>
        </w:tc>
        <w:tc>
          <w:tcPr>
            <w:tcW w:w="8558" w:type="dxa"/>
            <w:shd w:val="clear" w:color="auto" w:fill="auto"/>
            <w:vAlign w:val="center"/>
            <w:hideMark/>
          </w:tcPr>
          <w:p w:rsidR="009F0CF5" w:rsidRPr="00F7311D" w:rsidP="009F0CF5" w14:paraId="28B85C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Services provided by national, regional, and local bibliographic utilities networks, and consortia.</w:t>
            </w:r>
          </w:p>
        </w:tc>
        <w:tc>
          <w:tcPr>
            <w:tcW w:w="2097" w:type="dxa"/>
            <w:shd w:val="clear" w:color="auto" w:fill="auto"/>
            <w:vAlign w:val="center"/>
            <w:hideMark/>
          </w:tcPr>
          <w:p w:rsidR="009F0CF5" w:rsidRPr="00F7311D" w:rsidP="009F0CF5" w14:paraId="43C34C76" w14:textId="77777777">
            <w:pPr>
              <w:spacing w:after="0" w:line="240" w:lineRule="auto"/>
              <w:rPr>
                <w:rFonts w:ascii="Calibri" w:eastAsia="Times New Roman" w:hAnsi="Calibri" w:cs="Calibri"/>
                <w:color w:val="000000"/>
                <w:sz w:val="18"/>
                <w:szCs w:val="18"/>
              </w:rPr>
            </w:pPr>
          </w:p>
        </w:tc>
      </w:tr>
      <w:tr w14:paraId="5003570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6A271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or African American</w:t>
            </w:r>
          </w:p>
        </w:tc>
        <w:tc>
          <w:tcPr>
            <w:tcW w:w="8558" w:type="dxa"/>
            <w:shd w:val="clear" w:color="auto" w:fill="auto"/>
            <w:vAlign w:val="center"/>
            <w:hideMark/>
          </w:tcPr>
          <w:p w:rsidR="009F0CF5" w:rsidRPr="00F7311D" w:rsidP="009F0CF5" w14:paraId="70DF86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w:t>
            </w:r>
          </w:p>
        </w:tc>
        <w:tc>
          <w:tcPr>
            <w:tcW w:w="2097" w:type="dxa"/>
            <w:shd w:val="clear" w:color="auto" w:fill="auto"/>
            <w:vAlign w:val="center"/>
            <w:hideMark/>
          </w:tcPr>
          <w:p w:rsidR="009F0CF5" w:rsidRPr="00F7311D" w:rsidP="009F0CF5" w14:paraId="4A483AC4" w14:textId="77777777">
            <w:pPr>
              <w:spacing w:after="0" w:line="240" w:lineRule="auto"/>
              <w:rPr>
                <w:rFonts w:ascii="Calibri" w:eastAsia="Times New Roman" w:hAnsi="Calibri" w:cs="Calibri"/>
                <w:color w:val="000000"/>
                <w:sz w:val="18"/>
                <w:szCs w:val="18"/>
              </w:rPr>
            </w:pPr>
          </w:p>
        </w:tc>
      </w:tr>
      <w:tr w14:paraId="599C9AB7"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B2EA1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Black, non-Hispanic (old definition)</w:t>
            </w:r>
          </w:p>
        </w:tc>
        <w:tc>
          <w:tcPr>
            <w:tcW w:w="8558" w:type="dxa"/>
            <w:shd w:val="clear" w:color="auto" w:fill="auto"/>
            <w:vAlign w:val="center"/>
            <w:hideMark/>
          </w:tcPr>
          <w:p w:rsidR="009F0CF5" w:rsidRPr="00F7311D" w:rsidP="009F0CF5" w14:paraId="3708C6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black racial groups of Africa (except those of Hispanic origin).</w:t>
            </w:r>
          </w:p>
        </w:tc>
        <w:tc>
          <w:tcPr>
            <w:tcW w:w="2097" w:type="dxa"/>
            <w:shd w:val="clear" w:color="auto" w:fill="auto"/>
            <w:vAlign w:val="center"/>
            <w:hideMark/>
          </w:tcPr>
          <w:p w:rsidR="009F0CF5" w:rsidRPr="00F7311D" w:rsidP="009F0CF5" w14:paraId="66A16B41" w14:textId="77777777">
            <w:pPr>
              <w:spacing w:after="0" w:line="240" w:lineRule="auto"/>
              <w:rPr>
                <w:rFonts w:ascii="Calibri" w:eastAsia="Times New Roman" w:hAnsi="Calibri" w:cs="Calibri"/>
                <w:color w:val="000000"/>
                <w:sz w:val="18"/>
                <w:szCs w:val="18"/>
              </w:rPr>
            </w:pPr>
          </w:p>
        </w:tc>
      </w:tr>
      <w:tr w14:paraId="2D50DDFF" w14:textId="77777777" w:rsidTr="0036249A">
        <w:tblPrEx>
          <w:tblW w:w="13616" w:type="dxa"/>
          <w:tblLook w:val="04A0"/>
        </w:tblPrEx>
        <w:trPr>
          <w:trHeight w:val="20"/>
        </w:trPr>
        <w:tc>
          <w:tcPr>
            <w:tcW w:w="2961" w:type="dxa"/>
            <w:shd w:val="clear" w:color="auto" w:fill="auto"/>
            <w:vAlign w:val="center"/>
            <w:hideMark/>
          </w:tcPr>
          <w:p w:rsidR="009F0CF5" w:rsidRPr="00A65D4C" w:rsidP="009F0CF5" w14:paraId="67E85337" w14:textId="555CC840">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Food</w:t>
            </w:r>
            <w:r w:rsidRPr="00A65D4C" w:rsidR="2D8B7569">
              <w:rPr>
                <w:rFonts w:ascii="Calibri" w:eastAsia="Times New Roman" w:hAnsi="Calibri" w:cs="Calibri"/>
                <w:color w:val="000000" w:themeColor="text1"/>
                <w:sz w:val="18"/>
                <w:szCs w:val="18"/>
              </w:rPr>
              <w:t xml:space="preserve"> </w:t>
            </w:r>
            <w:r w:rsidRPr="00A65D4C" w:rsidR="2EA8C1B9">
              <w:rPr>
                <w:rFonts w:ascii="Calibri" w:eastAsia="Times New Roman" w:hAnsi="Calibri" w:cs="Calibri"/>
                <w:color w:val="000000" w:themeColor="text1"/>
                <w:sz w:val="18"/>
                <w:szCs w:val="18"/>
              </w:rPr>
              <w:t>charges (formerly</w:t>
            </w:r>
            <w:r w:rsidRPr="00A65D4C" w:rsidR="3E2768B1">
              <w:rPr>
                <w:rFonts w:ascii="Calibri" w:eastAsia="Times New Roman" w:hAnsi="Calibri" w:cs="Calibri"/>
                <w:color w:val="000000" w:themeColor="text1"/>
                <w:sz w:val="18"/>
                <w:szCs w:val="18"/>
              </w:rPr>
              <w:t xml:space="preserve"> </w:t>
            </w:r>
            <w:r w:rsidRPr="00A65D4C" w:rsidR="16DFE93C">
              <w:rPr>
                <w:rFonts w:ascii="Calibri" w:eastAsia="Times New Roman" w:hAnsi="Calibri" w:cs="Calibri"/>
                <w:color w:val="000000" w:themeColor="text1"/>
                <w:sz w:val="18"/>
                <w:szCs w:val="18"/>
              </w:rPr>
              <w:t>b</w:t>
            </w:r>
            <w:r w:rsidRPr="00A65D4C" w:rsidR="5BB26871">
              <w:rPr>
                <w:rFonts w:ascii="Calibri" w:eastAsia="Times New Roman" w:hAnsi="Calibri" w:cs="Calibri"/>
                <w:color w:val="000000" w:themeColor="text1"/>
                <w:sz w:val="18"/>
                <w:szCs w:val="18"/>
              </w:rPr>
              <w:t>oard charges</w:t>
            </w:r>
            <w:r w:rsidRPr="00A65D4C" w:rsidR="3995429A">
              <w:rPr>
                <w:rFonts w:ascii="Calibri" w:eastAsia="Times New Roman" w:hAnsi="Calibri" w:cs="Calibri"/>
                <w:color w:val="000000" w:themeColor="text1"/>
                <w:sz w:val="18"/>
                <w:szCs w:val="18"/>
              </w:rPr>
              <w:t>)</w:t>
            </w:r>
          </w:p>
        </w:tc>
        <w:tc>
          <w:tcPr>
            <w:tcW w:w="8558" w:type="dxa"/>
            <w:shd w:val="clear" w:color="auto" w:fill="auto"/>
            <w:vAlign w:val="center"/>
            <w:hideMark/>
          </w:tcPr>
          <w:p w:rsidR="009F0CF5" w:rsidRPr="00F7311D" w:rsidP="009F0CF5" w14:paraId="56CD6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Charges assessed students for an academic year for meals.</w:t>
            </w:r>
          </w:p>
        </w:tc>
        <w:tc>
          <w:tcPr>
            <w:tcW w:w="2097" w:type="dxa"/>
            <w:shd w:val="clear" w:color="auto" w:fill="auto"/>
            <w:vAlign w:val="center"/>
            <w:hideMark/>
          </w:tcPr>
          <w:p w:rsidR="009F0CF5" w:rsidRPr="00F7311D" w:rsidP="009F0CF5" w14:paraId="20A9CE02" w14:textId="77777777">
            <w:pPr>
              <w:spacing w:after="0" w:line="240" w:lineRule="auto"/>
              <w:rPr>
                <w:rFonts w:ascii="Calibri" w:eastAsia="Times New Roman" w:hAnsi="Calibri" w:cs="Calibri"/>
                <w:color w:val="000000"/>
                <w:sz w:val="18"/>
                <w:szCs w:val="18"/>
              </w:rPr>
            </w:pPr>
          </w:p>
        </w:tc>
      </w:tr>
      <w:tr w14:paraId="17599988" w14:textId="77777777" w:rsidTr="0036249A">
        <w:tblPrEx>
          <w:tblW w:w="13616" w:type="dxa"/>
          <w:tblLook w:val="04A0"/>
        </w:tblPrEx>
        <w:trPr>
          <w:trHeight w:val="20"/>
        </w:trPr>
        <w:tc>
          <w:tcPr>
            <w:tcW w:w="2961" w:type="dxa"/>
            <w:shd w:val="clear" w:color="auto" w:fill="auto"/>
            <w:vAlign w:val="center"/>
            <w:hideMark/>
          </w:tcPr>
          <w:p w:rsidR="009F0CF5" w:rsidRPr="00A65D4C" w:rsidP="009F0CF5" w14:paraId="12614D1E" w14:textId="6C9E6123">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 xml:space="preserve">Food </w:t>
            </w:r>
            <w:r w:rsidRPr="00A65D4C" w:rsidR="1BB99323">
              <w:rPr>
                <w:rFonts w:ascii="Calibri" w:eastAsia="Times New Roman" w:hAnsi="Calibri" w:cs="Calibri"/>
                <w:color w:val="000000" w:themeColor="text1"/>
                <w:sz w:val="18"/>
                <w:szCs w:val="18"/>
              </w:rPr>
              <w:t>plan</w:t>
            </w:r>
            <w:r w:rsidRPr="00A65D4C" w:rsidR="0E514AC3">
              <w:rPr>
                <w:rFonts w:ascii="Calibri" w:eastAsia="Times New Roman" w:hAnsi="Calibri" w:cs="Calibri"/>
                <w:color w:val="000000" w:themeColor="text1"/>
                <w:sz w:val="18"/>
                <w:szCs w:val="18"/>
              </w:rPr>
              <w:t xml:space="preserve"> (f</w:t>
            </w:r>
            <w:r w:rsidRPr="00A65D4C" w:rsidR="1D79DB4A">
              <w:rPr>
                <w:rFonts w:ascii="Calibri" w:eastAsia="Times New Roman" w:hAnsi="Calibri" w:cs="Calibri"/>
                <w:color w:val="000000" w:themeColor="text1"/>
                <w:sz w:val="18"/>
                <w:szCs w:val="18"/>
              </w:rPr>
              <w:t>or</w:t>
            </w:r>
            <w:r w:rsidRPr="00A65D4C" w:rsidR="57A5500D">
              <w:rPr>
                <w:rFonts w:ascii="Calibri" w:eastAsia="Times New Roman" w:hAnsi="Calibri" w:cs="Calibri"/>
                <w:color w:val="000000" w:themeColor="text1"/>
                <w:sz w:val="18"/>
                <w:szCs w:val="18"/>
              </w:rPr>
              <w:t>merly</w:t>
            </w:r>
            <w:r w:rsidRPr="00A65D4C" w:rsidR="3995429A">
              <w:rPr>
                <w:rFonts w:ascii="Calibri" w:eastAsia="Times New Roman" w:hAnsi="Calibri" w:cs="Calibri"/>
                <w:color w:val="000000" w:themeColor="text1"/>
                <w:sz w:val="18"/>
                <w:szCs w:val="18"/>
              </w:rPr>
              <w:t xml:space="preserve"> b</w:t>
            </w:r>
            <w:r w:rsidRPr="00A65D4C" w:rsidR="5BB26871">
              <w:rPr>
                <w:rFonts w:ascii="Calibri" w:eastAsia="Times New Roman" w:hAnsi="Calibri" w:cs="Calibri"/>
                <w:color w:val="000000" w:themeColor="text1"/>
                <w:sz w:val="18"/>
                <w:szCs w:val="18"/>
              </w:rPr>
              <w:t>oard plan</w:t>
            </w:r>
            <w:r w:rsidRPr="00A65D4C" w:rsidR="3995429A">
              <w:rPr>
                <w:rFonts w:ascii="Calibri" w:eastAsia="Times New Roman" w:hAnsi="Calibri" w:cs="Calibri"/>
                <w:color w:val="000000" w:themeColor="text1"/>
                <w:sz w:val="18"/>
                <w:szCs w:val="18"/>
              </w:rPr>
              <w:t>)</w:t>
            </w:r>
          </w:p>
        </w:tc>
        <w:tc>
          <w:tcPr>
            <w:tcW w:w="8558" w:type="dxa"/>
            <w:shd w:val="clear" w:color="auto" w:fill="auto"/>
            <w:vAlign w:val="center"/>
            <w:hideMark/>
          </w:tcPr>
          <w:p w:rsidR="009F0CF5" w:rsidRPr="00F7311D" w:rsidP="009F0CF5" w14:paraId="39D824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for providing meals to students during an academic year. Plans may include a specific charge for a specified number of meals per week or a specified amount against which students may charge their meals.</w:t>
            </w:r>
          </w:p>
        </w:tc>
        <w:tc>
          <w:tcPr>
            <w:tcW w:w="2097" w:type="dxa"/>
            <w:shd w:val="clear" w:color="auto" w:fill="auto"/>
            <w:vAlign w:val="center"/>
            <w:hideMark/>
          </w:tcPr>
          <w:p w:rsidR="009F0CF5" w:rsidRPr="00F7311D" w:rsidP="009F0CF5" w14:paraId="33F69FB4" w14:textId="77777777">
            <w:pPr>
              <w:spacing w:after="0" w:line="240" w:lineRule="auto"/>
              <w:rPr>
                <w:rFonts w:ascii="Calibri" w:eastAsia="Times New Roman" w:hAnsi="Calibri" w:cs="Calibri"/>
                <w:color w:val="000000"/>
                <w:sz w:val="18"/>
                <w:szCs w:val="18"/>
              </w:rPr>
            </w:pPr>
          </w:p>
        </w:tc>
      </w:tr>
      <w:tr w14:paraId="4C6EB61A"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6363A1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 value</w:t>
            </w:r>
          </w:p>
        </w:tc>
        <w:tc>
          <w:tcPr>
            <w:tcW w:w="8558" w:type="dxa"/>
            <w:shd w:val="clear" w:color="auto" w:fill="auto"/>
            <w:vAlign w:val="center"/>
            <w:hideMark/>
          </w:tcPr>
          <w:p w:rsidR="009F0CF5" w:rsidRPr="00F7311D" w:rsidP="009F0CF5" w14:paraId="0034436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dollar value of the physical asset at the time of construction or purchase of that asset, or, if the asset is a gift, the market value of the asset at the time of the gift. It may also be the difference between the balance of a physical plant asset account and its related accumulated depreciation account.</w:t>
            </w:r>
          </w:p>
        </w:tc>
        <w:tc>
          <w:tcPr>
            <w:tcW w:w="2097" w:type="dxa"/>
            <w:shd w:val="clear" w:color="auto" w:fill="auto"/>
            <w:vAlign w:val="center"/>
            <w:hideMark/>
          </w:tcPr>
          <w:p w:rsidR="009F0CF5" w:rsidRPr="00F7311D" w:rsidP="009F0CF5" w14:paraId="700A0BAC" w14:textId="77777777">
            <w:pPr>
              <w:spacing w:after="0" w:line="240" w:lineRule="auto"/>
              <w:rPr>
                <w:rFonts w:ascii="Calibri" w:eastAsia="Times New Roman" w:hAnsi="Calibri" w:cs="Calibri"/>
                <w:color w:val="000000"/>
                <w:sz w:val="18"/>
                <w:szCs w:val="18"/>
              </w:rPr>
            </w:pPr>
          </w:p>
        </w:tc>
      </w:tr>
      <w:tr w14:paraId="4026FDD8"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E4C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w:t>
            </w:r>
          </w:p>
        </w:tc>
        <w:tc>
          <w:tcPr>
            <w:tcW w:w="8558" w:type="dxa"/>
            <w:shd w:val="clear" w:color="auto" w:fill="auto"/>
            <w:vAlign w:val="center"/>
            <w:hideMark/>
          </w:tcPr>
          <w:p w:rsidR="009F0CF5" w:rsidRPr="00F7311D" w:rsidP="009F0CF5" w14:paraId="780571D7" w14:textId="00A2225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Books are non-serial printed publications, including music, </w:t>
            </w:r>
            <w:r w:rsidRPr="00F7311D" w:rsidR="00FE3923">
              <w:rPr>
                <w:rFonts w:ascii="Calibri" w:eastAsia="Times New Roman" w:hAnsi="Calibri" w:cs="Calibri"/>
                <w:color w:val="000000"/>
                <w:sz w:val="18"/>
                <w:szCs w:val="18"/>
              </w:rPr>
              <w:t>that have</w:t>
            </w:r>
            <w:r w:rsidRPr="00F7311D">
              <w:rPr>
                <w:rFonts w:ascii="Calibri" w:eastAsia="Times New Roman" w:hAnsi="Calibri" w:cs="Calibri"/>
                <w:color w:val="000000"/>
                <w:sz w:val="18"/>
                <w:szCs w:val="18"/>
              </w:rPr>
              <w:t xml:space="preserve"> hard or soft covers or </w:t>
            </w:r>
            <w:r w:rsidRPr="00F7311D" w:rsidR="00FE3923">
              <w:rPr>
                <w:rFonts w:ascii="Calibri" w:eastAsia="Times New Roman" w:hAnsi="Calibri" w:cs="Calibri"/>
                <w:color w:val="000000"/>
                <w:sz w:val="18"/>
                <w:szCs w:val="18"/>
              </w:rPr>
              <w:t>are in</w:t>
            </w:r>
            <w:r w:rsidRPr="00F7311D">
              <w:rPr>
                <w:rFonts w:ascii="Calibri" w:eastAsia="Times New Roman" w:hAnsi="Calibri" w:cs="Calibri"/>
                <w:color w:val="000000"/>
                <w:sz w:val="18"/>
                <w:szCs w:val="18"/>
              </w:rPr>
              <w:t xml:space="preserve"> loose-leaf format.</w:t>
            </w:r>
          </w:p>
        </w:tc>
        <w:tc>
          <w:tcPr>
            <w:tcW w:w="2097" w:type="dxa"/>
            <w:shd w:val="clear" w:color="auto" w:fill="auto"/>
            <w:vAlign w:val="center"/>
            <w:hideMark/>
          </w:tcPr>
          <w:p w:rsidR="009F0CF5" w:rsidRPr="00F7311D" w:rsidP="009F0CF5" w14:paraId="03ED42C4" w14:textId="77777777">
            <w:pPr>
              <w:spacing w:after="0" w:line="240" w:lineRule="auto"/>
              <w:rPr>
                <w:rFonts w:ascii="Calibri" w:eastAsia="Times New Roman" w:hAnsi="Calibri" w:cs="Calibri"/>
                <w:color w:val="000000"/>
                <w:sz w:val="18"/>
                <w:szCs w:val="18"/>
              </w:rPr>
            </w:pPr>
          </w:p>
        </w:tc>
      </w:tr>
      <w:tr w14:paraId="52A917B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2E51A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Books and supplies</w:t>
            </w:r>
          </w:p>
        </w:tc>
        <w:tc>
          <w:tcPr>
            <w:tcW w:w="8558" w:type="dxa"/>
            <w:shd w:val="clear" w:color="auto" w:fill="auto"/>
            <w:vAlign w:val="center"/>
            <w:hideMark/>
          </w:tcPr>
          <w:p w:rsidR="009F0CF5" w:rsidRPr="00A65D4C" w:rsidP="47E59BC4" w14:paraId="1A361124" w14:textId="364A0502">
            <w:pPr>
              <w:spacing w:after="0" w:line="240" w:lineRule="auto"/>
              <w:rPr>
                <w:rFonts w:ascii="Calibri" w:eastAsia="Times New Roman" w:hAnsi="Calibri" w:cs="Calibri"/>
                <w:color w:val="000000" w:themeColor="text1"/>
                <w:sz w:val="18"/>
                <w:szCs w:val="18"/>
              </w:rPr>
            </w:pPr>
            <w:r w:rsidRPr="00A65D4C">
              <w:rPr>
                <w:rFonts w:ascii="Calibri" w:eastAsia="Times New Roman" w:hAnsi="Calibri" w:cs="Calibri"/>
                <w:color w:val="000000" w:themeColor="text1"/>
                <w:sz w:val="18"/>
                <w:szCs w:val="18"/>
              </w:rPr>
              <w:t>The average cost of books</w:t>
            </w:r>
            <w:r w:rsidRPr="00A65D4C" w:rsidR="75B8640D">
              <w:rPr>
                <w:rFonts w:ascii="Calibri" w:eastAsia="Calibri" w:hAnsi="Calibri" w:cs="Calibri"/>
                <w:color w:val="000000" w:themeColor="text1"/>
                <w:sz w:val="18"/>
                <w:szCs w:val="18"/>
              </w:rPr>
              <w:t xml:space="preserve">, course materials, supplies, and equipment </w:t>
            </w:r>
            <w:r w:rsidRPr="00A65D4C">
              <w:rPr>
                <w:rFonts w:ascii="Calibri" w:eastAsia="Times New Roman" w:hAnsi="Calibri" w:cs="Calibri"/>
                <w:color w:val="000000" w:themeColor="text1"/>
                <w:sz w:val="18"/>
                <w:szCs w:val="18"/>
              </w:rPr>
              <w:t>for a typical student for an entire academic year (or program). Does not include unusual costs for special groups of students (e.g., engineering or art majors), unless they constitute the majority of students at an institution.</w:t>
            </w:r>
          </w:p>
        </w:tc>
        <w:tc>
          <w:tcPr>
            <w:tcW w:w="2097" w:type="dxa"/>
            <w:shd w:val="clear" w:color="auto" w:fill="auto"/>
            <w:vAlign w:val="center"/>
            <w:hideMark/>
          </w:tcPr>
          <w:p w:rsidR="009F0CF5" w:rsidRPr="00F7311D" w:rsidP="009F0CF5" w14:paraId="273C62DA" w14:textId="77777777">
            <w:pPr>
              <w:spacing w:after="0" w:line="240" w:lineRule="auto"/>
              <w:rPr>
                <w:rFonts w:ascii="Calibri" w:eastAsia="Times New Roman" w:hAnsi="Calibri" w:cs="Calibri"/>
                <w:color w:val="000000"/>
                <w:sz w:val="18"/>
                <w:szCs w:val="18"/>
              </w:rPr>
            </w:pPr>
          </w:p>
        </w:tc>
      </w:tr>
      <w:tr w14:paraId="5BF0D1E2"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3BFEBA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and independent libraries</w:t>
            </w:r>
          </w:p>
        </w:tc>
        <w:tc>
          <w:tcPr>
            <w:tcW w:w="8558" w:type="dxa"/>
            <w:shd w:val="clear" w:color="auto" w:fill="auto"/>
            <w:vAlign w:val="center"/>
            <w:hideMark/>
          </w:tcPr>
          <w:p w:rsidR="009F0CF5" w:rsidRPr="00F7311D" w:rsidP="009F0CF5" w14:paraId="364A06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Auxiliary library service outlets with quarters separate from the central library that houses the basic collection. The central library administers the branches. Libraries on branch campuses that have separate NCES identification numbers are reported as separate libraries.</w:t>
            </w:r>
          </w:p>
        </w:tc>
        <w:tc>
          <w:tcPr>
            <w:tcW w:w="2097" w:type="dxa"/>
            <w:shd w:val="clear" w:color="auto" w:fill="auto"/>
            <w:vAlign w:val="center"/>
            <w:hideMark/>
          </w:tcPr>
          <w:p w:rsidR="009F0CF5" w:rsidRPr="00F7311D" w:rsidP="009F0CF5" w14:paraId="50EE2AE7" w14:textId="77777777">
            <w:pPr>
              <w:spacing w:after="0" w:line="240" w:lineRule="auto"/>
              <w:rPr>
                <w:rFonts w:ascii="Calibri" w:eastAsia="Times New Roman" w:hAnsi="Calibri" w:cs="Calibri"/>
                <w:color w:val="000000"/>
                <w:sz w:val="18"/>
                <w:szCs w:val="18"/>
              </w:rPr>
            </w:pPr>
          </w:p>
        </w:tc>
      </w:tr>
      <w:tr w14:paraId="2A27E8E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40B0AF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Branch institution</w:t>
            </w:r>
          </w:p>
        </w:tc>
        <w:tc>
          <w:tcPr>
            <w:tcW w:w="8558" w:type="dxa"/>
            <w:shd w:val="clear" w:color="auto" w:fill="auto"/>
            <w:vAlign w:val="center"/>
            <w:hideMark/>
          </w:tcPr>
          <w:p w:rsidR="009F0CF5" w:rsidRPr="00F7311D" w:rsidP="009F0CF5" w14:paraId="5549D0FD" w14:textId="5D313A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campus or site of an educational institution that is not temporary, is located in a community beyond a reasonable commuting distance from its parent institution, and offers full </w:t>
            </w:r>
            <w:r w:rsidRPr="00F7311D" w:rsidR="00FE3923">
              <w:rPr>
                <w:rFonts w:ascii="Calibri" w:eastAsia="Times New Roman" w:hAnsi="Calibri" w:cs="Calibri"/>
                <w:color w:val="000000"/>
                <w:sz w:val="18"/>
                <w:szCs w:val="18"/>
              </w:rPr>
              <w:t>programs of</w:t>
            </w:r>
            <w:r w:rsidRPr="00F7311D">
              <w:rPr>
                <w:rFonts w:ascii="Calibri" w:eastAsia="Times New Roman" w:hAnsi="Calibri" w:cs="Calibri"/>
                <w:color w:val="000000"/>
                <w:sz w:val="18"/>
                <w:szCs w:val="18"/>
              </w:rPr>
              <w:t xml:space="preserve"> study, not just courses.</w:t>
            </w:r>
          </w:p>
        </w:tc>
        <w:tc>
          <w:tcPr>
            <w:tcW w:w="2097" w:type="dxa"/>
            <w:shd w:val="clear" w:color="auto" w:fill="auto"/>
            <w:vAlign w:val="center"/>
            <w:hideMark/>
          </w:tcPr>
          <w:p w:rsidR="009F0CF5" w:rsidRPr="00F7311D" w:rsidP="009F0CF5" w14:paraId="0BE34DAF" w14:textId="77777777">
            <w:pPr>
              <w:spacing w:after="0" w:line="240" w:lineRule="auto"/>
              <w:rPr>
                <w:rFonts w:ascii="Calibri" w:eastAsia="Times New Roman" w:hAnsi="Calibri" w:cs="Calibri"/>
                <w:color w:val="000000"/>
                <w:sz w:val="18"/>
                <w:szCs w:val="18"/>
              </w:rPr>
            </w:pPr>
          </w:p>
        </w:tc>
      </w:tr>
      <w:tr w14:paraId="14765256"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581E8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Buildings</w:t>
            </w:r>
          </w:p>
        </w:tc>
        <w:tc>
          <w:tcPr>
            <w:tcW w:w="8558" w:type="dxa"/>
            <w:shd w:val="clear" w:color="auto" w:fill="auto"/>
            <w:vAlign w:val="center"/>
            <w:hideMark/>
          </w:tcPr>
          <w:p w:rsidR="009F0CF5" w:rsidRPr="00F7311D" w:rsidP="009F0CF5" w14:paraId="27267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built or acquired for occupancy and use by the entity. These are structures such as classrooms, research facilities, administrative offices, and storage. Includes built-in fixtures and equipment that are essentially part of the permanent structure. Buildings held for the production of revenue are classified as investments.</w:t>
            </w:r>
          </w:p>
        </w:tc>
        <w:tc>
          <w:tcPr>
            <w:tcW w:w="2097" w:type="dxa"/>
            <w:shd w:val="clear" w:color="auto" w:fill="auto"/>
            <w:vAlign w:val="center"/>
            <w:hideMark/>
          </w:tcPr>
          <w:p w:rsidR="009F0CF5" w:rsidRPr="00F7311D" w:rsidP="009F0CF5" w14:paraId="0AB9C990" w14:textId="77777777">
            <w:pPr>
              <w:spacing w:after="0" w:line="240" w:lineRule="auto"/>
              <w:rPr>
                <w:rFonts w:ascii="Calibri" w:eastAsia="Times New Roman" w:hAnsi="Calibri" w:cs="Calibri"/>
                <w:color w:val="000000"/>
                <w:sz w:val="18"/>
                <w:szCs w:val="18"/>
              </w:rPr>
            </w:pPr>
          </w:p>
        </w:tc>
      </w:tr>
      <w:tr w14:paraId="468C86EB"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A416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 and Financial Operations Occupations</w:t>
            </w:r>
          </w:p>
        </w:tc>
        <w:tc>
          <w:tcPr>
            <w:tcW w:w="8558" w:type="dxa"/>
            <w:shd w:val="clear" w:color="auto" w:fill="auto"/>
            <w:vAlign w:val="center"/>
            <w:hideMark/>
          </w:tcPr>
          <w:p w:rsidR="009F0CF5" w:rsidRPr="00F7311D" w:rsidP="009F0CF5" w14:paraId="5A7895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'Business and Financial Operations Occupations.' For detailed information refer to the following website: https://www.bls.gov/soc/2018/major_groups.htm#13-0000.</w:t>
            </w:r>
          </w:p>
        </w:tc>
        <w:tc>
          <w:tcPr>
            <w:tcW w:w="2097" w:type="dxa"/>
            <w:shd w:val="clear" w:color="auto" w:fill="auto"/>
            <w:vAlign w:val="center"/>
            <w:hideMark/>
          </w:tcPr>
          <w:p w:rsidR="009F0CF5" w:rsidRPr="00F7311D" w:rsidP="009F0CF5" w14:paraId="5F07BA8C" w14:textId="77777777">
            <w:pPr>
              <w:spacing w:after="0" w:line="240" w:lineRule="auto"/>
              <w:rPr>
                <w:rFonts w:ascii="Calibri" w:eastAsia="Times New Roman" w:hAnsi="Calibri" w:cs="Calibri"/>
                <w:color w:val="000000"/>
                <w:sz w:val="18"/>
                <w:szCs w:val="18"/>
              </w:rPr>
            </w:pPr>
          </w:p>
        </w:tc>
      </w:tr>
      <w:tr w14:paraId="504FEC81"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820BB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Business-type activities</w:t>
            </w:r>
          </w:p>
        </w:tc>
        <w:tc>
          <w:tcPr>
            <w:tcW w:w="8558" w:type="dxa"/>
            <w:shd w:val="clear" w:color="auto" w:fill="auto"/>
            <w:vAlign w:val="center"/>
            <w:hideMark/>
          </w:tcPr>
          <w:p w:rsidR="009F0CF5" w:rsidRPr="00F7311D" w:rsidP="009F0CF5" w14:paraId="3AB633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for which fees are charged to external parties for goods or services. GASB Statement 34 specifies the reporting format to be used by this type of governmental entity.</w:t>
            </w:r>
          </w:p>
        </w:tc>
        <w:tc>
          <w:tcPr>
            <w:tcW w:w="2097" w:type="dxa"/>
            <w:shd w:val="clear" w:color="auto" w:fill="auto"/>
            <w:vAlign w:val="center"/>
            <w:hideMark/>
          </w:tcPr>
          <w:p w:rsidR="009F0CF5" w:rsidRPr="00F7311D" w:rsidP="009F0CF5" w14:paraId="7ADECC48" w14:textId="77777777">
            <w:pPr>
              <w:spacing w:after="0" w:line="240" w:lineRule="auto"/>
              <w:rPr>
                <w:rFonts w:ascii="Calibri" w:eastAsia="Times New Roman" w:hAnsi="Calibri" w:cs="Calibri"/>
                <w:color w:val="000000"/>
                <w:sz w:val="18"/>
                <w:szCs w:val="18"/>
              </w:rPr>
            </w:pPr>
          </w:p>
        </w:tc>
      </w:tr>
      <w:tr w14:paraId="138FB045"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2530DE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Cafeteria plan</w:t>
            </w:r>
          </w:p>
        </w:tc>
        <w:tc>
          <w:tcPr>
            <w:tcW w:w="8558" w:type="dxa"/>
            <w:shd w:val="clear" w:color="auto" w:fill="auto"/>
            <w:vAlign w:val="center"/>
            <w:hideMark/>
          </w:tcPr>
          <w:p w:rsidR="009F0CF5" w:rsidRPr="00F7311D" w:rsidP="009F0CF5" w14:paraId="5ED72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insurance plan that gives an employee the option of selecting a combination of health care and insurance benefits (e.g. hospital, medical, surgical, dental care, and group life insurance).</w:t>
            </w:r>
          </w:p>
        </w:tc>
        <w:tc>
          <w:tcPr>
            <w:tcW w:w="2097" w:type="dxa"/>
            <w:shd w:val="clear" w:color="auto" w:fill="auto"/>
            <w:vAlign w:val="center"/>
            <w:hideMark/>
          </w:tcPr>
          <w:p w:rsidR="009F0CF5" w:rsidRPr="00F7311D" w:rsidP="009F0CF5" w14:paraId="7E40B5E9" w14:textId="77777777">
            <w:pPr>
              <w:spacing w:after="0" w:line="240" w:lineRule="auto"/>
              <w:rPr>
                <w:rFonts w:ascii="Calibri" w:eastAsia="Times New Roman" w:hAnsi="Calibri" w:cs="Calibri"/>
                <w:color w:val="000000"/>
                <w:sz w:val="18"/>
                <w:szCs w:val="18"/>
              </w:rPr>
            </w:pPr>
          </w:p>
        </w:tc>
      </w:tr>
      <w:tr w14:paraId="340E2D09"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0A6A0E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w:t>
            </w:r>
          </w:p>
        </w:tc>
        <w:tc>
          <w:tcPr>
            <w:tcW w:w="8558" w:type="dxa"/>
            <w:shd w:val="clear" w:color="auto" w:fill="auto"/>
            <w:vAlign w:val="center"/>
            <w:hideMark/>
          </w:tcPr>
          <w:p w:rsidR="009F0CF5" w:rsidRPr="00F7311D" w:rsidP="009F0CF5" w14:paraId="21A8D6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Calculated value (CV) is used to designate fields that are generated (or calculated) based on data provided on other lines within the same part of a survey component. For example, a 'balance' line or 'other (detail)' line will be calculated as the difference between the total line and the sum of the remaining detail.</w:t>
            </w:r>
          </w:p>
        </w:tc>
        <w:tc>
          <w:tcPr>
            <w:tcW w:w="2097" w:type="dxa"/>
            <w:shd w:val="clear" w:color="auto" w:fill="auto"/>
            <w:vAlign w:val="center"/>
            <w:hideMark/>
          </w:tcPr>
          <w:p w:rsidR="009F0CF5" w:rsidRPr="00F7311D" w:rsidP="009F0CF5" w14:paraId="653B6E95" w14:textId="77777777">
            <w:pPr>
              <w:spacing w:after="0" w:line="240" w:lineRule="auto"/>
              <w:rPr>
                <w:rFonts w:ascii="Calibri" w:eastAsia="Times New Roman" w:hAnsi="Calibri" w:cs="Calibri"/>
                <w:color w:val="000000"/>
                <w:sz w:val="18"/>
                <w:szCs w:val="18"/>
              </w:rPr>
            </w:pPr>
          </w:p>
        </w:tc>
      </w:tr>
      <w:tr w14:paraId="2D5E3FE4"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EE283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fall student headcounts)</w:t>
            </w:r>
          </w:p>
        </w:tc>
        <w:tc>
          <w:tcPr>
            <w:tcW w:w="8558" w:type="dxa"/>
            <w:shd w:val="clear" w:color="auto" w:fill="auto"/>
            <w:vAlign w:val="center"/>
            <w:hideMark/>
          </w:tcPr>
          <w:p w:rsidR="00431B15" w:rsidP="009F0CF5" w14:paraId="378599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fall student headcounts as reported by the institution on the IPEDS Enrollment (EF) component (Part A). The full-time equivalent (headcount) of the institution's part-time enrollment is estimated by multiplying the factors noted below times the part-time headcount. These are then </w:t>
            </w:r>
            <w:r w:rsidRPr="00F7311D">
              <w:rPr>
                <w:rFonts w:ascii="Calibri" w:eastAsia="Times New Roman" w:hAnsi="Calibri" w:cs="Calibri"/>
                <w:color w:val="000000"/>
                <w:sz w:val="18"/>
                <w:szCs w:val="18"/>
              </w:rPr>
              <w:t xml:space="preserve">added to the full-time enrollment headcounts to obtain an FTE for all students enrolled in the fall. This formula is used to produce an FTE that is used annually in the Digest of Education Statistics. </w:t>
            </w:r>
          </w:p>
          <w:p w:rsidR="00431B15" w:rsidRPr="00431B15" w:rsidP="00431B15" w14:paraId="6D8271DF"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Part-time undergraduate enrollment</w:t>
            </w:r>
            <w:r w:rsidRPr="00431B15" w:rsidR="00FE3923">
              <w:rPr>
                <w:rFonts w:ascii="Calibri" w:eastAsia="Times New Roman" w:hAnsi="Calibri" w:cs="Calibri"/>
                <w:color w:val="000000"/>
                <w:sz w:val="18"/>
                <w:szCs w:val="18"/>
              </w:rPr>
              <w:t xml:space="preserve"> </w:t>
            </w:r>
          </w:p>
          <w:p w:rsidR="00431B15" w:rsidRPr="00431B15" w:rsidP="00431B15" w14:paraId="76EDC4D3"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Public 4-year (.403543)</w:t>
            </w:r>
            <w:r w:rsidRPr="00431B15" w:rsidR="00FE3923">
              <w:rPr>
                <w:rFonts w:ascii="Calibri" w:eastAsia="Times New Roman" w:hAnsi="Calibri" w:cs="Calibri"/>
                <w:color w:val="000000"/>
                <w:sz w:val="18"/>
                <w:szCs w:val="18"/>
              </w:rPr>
              <w:t xml:space="preserve"> </w:t>
            </w:r>
          </w:p>
          <w:p w:rsidR="00431B15" w:rsidRPr="00431B15" w:rsidP="00431B15" w14:paraId="3F8A9545"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(.392857)</w:t>
            </w:r>
          </w:p>
          <w:p w:rsidR="00431B15" w:rsidRPr="00431B15" w:rsidP="00431B15" w14:paraId="4B022A60"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 xml:space="preserve">Public 2-year and </w:t>
            </w:r>
            <w:r w:rsidRPr="00431B15">
              <w:rPr>
                <w:rFonts w:ascii="Calibri" w:eastAsia="Times New Roman" w:hAnsi="Calibri" w:cs="Calibri"/>
                <w:color w:val="000000"/>
                <w:sz w:val="18"/>
                <w:szCs w:val="18"/>
              </w:rPr>
              <w:t>&lt;</w:t>
            </w:r>
            <w:r w:rsidRPr="00431B15">
              <w:rPr>
                <w:rFonts w:ascii="Calibri" w:eastAsia="Times New Roman" w:hAnsi="Calibri" w:cs="Calibri"/>
                <w:color w:val="000000"/>
                <w:sz w:val="18"/>
                <w:szCs w:val="18"/>
              </w:rPr>
              <w:t>2-year (.335737)</w:t>
            </w:r>
          </w:p>
          <w:p w:rsidR="00431B15" w:rsidRPr="00431B15" w:rsidP="00431B15" w14:paraId="51179642" w14:textId="77777777">
            <w:pPr>
              <w:pStyle w:val="ListParagraph"/>
              <w:numPr>
                <w:ilvl w:val="0"/>
                <w:numId w:val="5"/>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All other institutions (.397058)</w:t>
            </w:r>
            <w:r w:rsidRPr="00431B15" w:rsidR="00FE3923">
              <w:rPr>
                <w:rFonts w:ascii="Calibri" w:eastAsia="Times New Roman" w:hAnsi="Calibri" w:cs="Calibri"/>
                <w:color w:val="000000"/>
                <w:sz w:val="18"/>
                <w:szCs w:val="18"/>
              </w:rPr>
              <w:t xml:space="preserve"> </w:t>
            </w:r>
          </w:p>
          <w:p w:rsidR="00431B15" w:rsidRPr="00431B15" w:rsidP="00431B15" w14:paraId="51E7D0C9" w14:textId="77777777">
            <w:pPr>
              <w:pStyle w:val="ListParagraph"/>
              <w:numPr>
                <w:ilvl w:val="0"/>
                <w:numId w:val="4"/>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Part-time graduate enrollment</w:t>
            </w:r>
            <w:r w:rsidRPr="00431B15" w:rsidR="00FE3923">
              <w:rPr>
                <w:rFonts w:ascii="Calibri" w:eastAsia="Times New Roman" w:hAnsi="Calibri" w:cs="Calibri"/>
                <w:color w:val="000000"/>
                <w:sz w:val="18"/>
                <w:szCs w:val="18"/>
              </w:rPr>
              <w:t xml:space="preserve"> </w:t>
            </w:r>
          </w:p>
          <w:p w:rsidR="00431B15" w:rsidRPr="00431B15" w:rsidP="00431B15" w14:paraId="00F51186" w14:textId="77777777">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Public 4-year (.361702)</w:t>
            </w:r>
            <w:r w:rsidRPr="00431B15" w:rsidR="00FE3923">
              <w:rPr>
                <w:rFonts w:ascii="Calibri" w:eastAsia="Times New Roman" w:hAnsi="Calibri" w:cs="Calibri"/>
                <w:color w:val="000000"/>
                <w:sz w:val="18"/>
                <w:szCs w:val="18"/>
              </w:rPr>
              <w:t xml:space="preserve"> </w:t>
            </w:r>
          </w:p>
          <w:p w:rsidR="009F0CF5" w:rsidRPr="00431B15" w:rsidP="00431B15" w14:paraId="72CCEF5C" w14:textId="45419B71">
            <w:pPr>
              <w:pStyle w:val="ListParagraph"/>
              <w:numPr>
                <w:ilvl w:val="0"/>
                <w:numId w:val="6"/>
              </w:numPr>
              <w:spacing w:after="0" w:line="240" w:lineRule="auto"/>
              <w:rPr>
                <w:rFonts w:ascii="Calibri" w:eastAsia="Times New Roman" w:hAnsi="Calibri" w:cs="Calibri"/>
                <w:color w:val="000000"/>
                <w:sz w:val="18"/>
                <w:szCs w:val="18"/>
              </w:rPr>
            </w:pPr>
            <w:r w:rsidRPr="00431B15">
              <w:rPr>
                <w:rFonts w:ascii="Calibri" w:eastAsia="Times New Roman" w:hAnsi="Calibri" w:cs="Calibri"/>
                <w:color w:val="000000"/>
                <w:sz w:val="18"/>
                <w:szCs w:val="18"/>
              </w:rPr>
              <w:t>Private (not-for-profit and for-profit) 4-year (.382059</w:t>
            </w:r>
            <w:r w:rsidRPr="00431B15" w:rsidR="00FE3923">
              <w:rPr>
                <w:rFonts w:ascii="Calibri" w:eastAsia="Times New Roman" w:hAnsi="Calibri" w:cs="Calibri"/>
                <w:color w:val="000000"/>
                <w:sz w:val="18"/>
                <w:szCs w:val="18"/>
              </w:rPr>
              <w:t>)</w:t>
            </w:r>
          </w:p>
        </w:tc>
        <w:tc>
          <w:tcPr>
            <w:tcW w:w="2097" w:type="dxa"/>
            <w:shd w:val="clear" w:color="auto" w:fill="auto"/>
            <w:vAlign w:val="center"/>
            <w:hideMark/>
          </w:tcPr>
          <w:p w:rsidR="009F0CF5" w:rsidRPr="00F7311D" w:rsidP="009F0CF5" w14:paraId="3B0797FB" w14:textId="77777777">
            <w:pPr>
              <w:spacing w:after="0" w:line="240" w:lineRule="auto"/>
              <w:rPr>
                <w:rFonts w:ascii="Calibri" w:eastAsia="Times New Roman" w:hAnsi="Calibri" w:cs="Calibri"/>
                <w:color w:val="000000"/>
                <w:sz w:val="18"/>
                <w:szCs w:val="18"/>
              </w:rPr>
            </w:pPr>
          </w:p>
        </w:tc>
      </w:tr>
      <w:tr w14:paraId="2D0A184D"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13C5E1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Calculation of FTE students (using instructional activity)</w:t>
            </w:r>
          </w:p>
        </w:tc>
        <w:tc>
          <w:tcPr>
            <w:tcW w:w="8558" w:type="dxa"/>
            <w:shd w:val="clear" w:color="auto" w:fill="auto"/>
            <w:vAlign w:val="center"/>
            <w:hideMark/>
          </w:tcPr>
          <w:p w:rsidR="001B1F03" w:rsidP="009F0CF5" w14:paraId="7B18C0CB" w14:textId="237600F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number of FTE students is calculated based on the credit and/or clock hours reported by the institution on the IPEDS 12-month enrollment (E12) component and the institution's calendar system, as reported on the IC </w:t>
            </w:r>
            <w:r w:rsidRPr="00E47C5A">
              <w:rPr>
                <w:rFonts w:ascii="Calibri" w:eastAsia="Times New Roman" w:hAnsi="Calibri" w:cs="Calibri"/>
                <w:strike/>
                <w:color w:val="7030A0"/>
                <w:sz w:val="18"/>
                <w:szCs w:val="18"/>
              </w:rPr>
              <w:t xml:space="preserve">Header </w:t>
            </w:r>
            <w:r w:rsidRPr="00F7311D">
              <w:rPr>
                <w:rFonts w:ascii="Calibri" w:eastAsia="Times New Roman" w:hAnsi="Calibri" w:cs="Calibri"/>
                <w:color w:val="000000"/>
                <w:sz w:val="18"/>
                <w:szCs w:val="18"/>
              </w:rPr>
              <w:t xml:space="preserve">component. The following table indicates the level of instructional activity used to convert the credit and/or clock hours reported to an indicator of full-time equivalents (FTE students): </w:t>
            </w:r>
          </w:p>
          <w:p w:rsidR="001B1F03" w:rsidRPr="001B1F03" w:rsidP="001B1F03" w14:paraId="16C5E983"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Quarter calendar system </w:t>
            </w:r>
          </w:p>
          <w:p w:rsidR="001B1F03" w:rsidRPr="001B1F03" w:rsidP="001B1F03" w14:paraId="19002267" w14:textId="77777777">
            <w:pPr>
              <w:pStyle w:val="ListParagraph"/>
              <w:numPr>
                <w:ilvl w:val="0"/>
                <w:numId w:val="8"/>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 level (One FTE over 12-month period)</w:t>
            </w:r>
          </w:p>
          <w:p w:rsidR="001B1F03" w:rsidRPr="001B1F03" w:rsidP="001B1F03" w14:paraId="3899FB05"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45 credit hours, 900 clock </w:t>
            </w:r>
            <w:r w:rsidRPr="001B1F03" w:rsidR="00FE3923">
              <w:rPr>
                <w:rFonts w:ascii="Calibri" w:eastAsia="Times New Roman" w:hAnsi="Calibri" w:cs="Calibri"/>
                <w:color w:val="000000"/>
                <w:sz w:val="18"/>
                <w:szCs w:val="18"/>
              </w:rPr>
              <w:t xml:space="preserve">hours </w:t>
            </w:r>
          </w:p>
          <w:p w:rsidR="001B1F03" w:rsidRPr="001B1F03" w:rsidP="001B1F03" w14:paraId="58802103" w14:textId="77777777">
            <w:pPr>
              <w:pStyle w:val="ListParagraph"/>
              <w:numPr>
                <w:ilvl w:val="0"/>
                <w:numId w:val="9"/>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Graduate</w:t>
            </w:r>
            <w:r w:rsidRPr="001B1F03" w:rsidR="009F0CF5">
              <w:rPr>
                <w:rFonts w:ascii="Calibri" w:eastAsia="Times New Roman" w:hAnsi="Calibri" w:cs="Calibri"/>
                <w:color w:val="000000"/>
                <w:sz w:val="18"/>
                <w:szCs w:val="18"/>
              </w:rPr>
              <w:t xml:space="preserve"> 36 credit hours </w:t>
            </w:r>
          </w:p>
          <w:p w:rsidR="001B1F03" w:rsidRPr="001B1F03" w:rsidP="001B1F03" w14:paraId="1DC52FCE" w14:textId="77777777">
            <w:pPr>
              <w:pStyle w:val="ListParagraph"/>
              <w:numPr>
                <w:ilvl w:val="0"/>
                <w:numId w:val="7"/>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Semester/trimester/4-1-4 plan/other calendar </w:t>
            </w:r>
            <w:r w:rsidRPr="001B1F03" w:rsidR="00FE3923">
              <w:rPr>
                <w:rFonts w:ascii="Calibri" w:eastAsia="Times New Roman" w:hAnsi="Calibri" w:cs="Calibri"/>
                <w:color w:val="000000"/>
                <w:sz w:val="18"/>
                <w:szCs w:val="18"/>
              </w:rPr>
              <w:t xml:space="preserve">system </w:t>
            </w:r>
          </w:p>
          <w:p w:rsidR="001B1F03" w:rsidRPr="001B1F03" w:rsidP="001B1F03" w14:paraId="7987986B" w14:textId="77777777">
            <w:pPr>
              <w:pStyle w:val="ListParagraph"/>
              <w:numPr>
                <w:ilvl w:val="0"/>
                <w:numId w:val="13"/>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Enrollment</w:t>
            </w:r>
            <w:r w:rsidRPr="001B1F03" w:rsidR="009F0CF5">
              <w:rPr>
                <w:rFonts w:ascii="Calibri" w:eastAsia="Times New Roman" w:hAnsi="Calibri" w:cs="Calibri"/>
                <w:color w:val="000000"/>
                <w:sz w:val="18"/>
                <w:szCs w:val="18"/>
              </w:rPr>
              <w:t xml:space="preserve"> level (one FTE over 12-month period)</w:t>
            </w:r>
          </w:p>
          <w:p w:rsidR="001B1F03" w:rsidRPr="001B1F03" w:rsidP="001B1F03" w14:paraId="2EC933E1"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 xml:space="preserve">Undergraduate 30 credit hours 900 clock </w:t>
            </w:r>
            <w:r w:rsidRPr="001B1F03" w:rsidR="00FE3923">
              <w:rPr>
                <w:rFonts w:ascii="Calibri" w:eastAsia="Times New Roman" w:hAnsi="Calibri" w:cs="Calibri"/>
                <w:color w:val="000000"/>
                <w:sz w:val="18"/>
                <w:szCs w:val="18"/>
              </w:rPr>
              <w:t xml:space="preserve">hours </w:t>
            </w:r>
          </w:p>
          <w:p w:rsidR="001B1F03" w:rsidRPr="001B1F03" w:rsidP="001B1F03" w14:paraId="37AC9D84" w14:textId="77777777">
            <w:pPr>
              <w:pStyle w:val="ListParagraph"/>
              <w:numPr>
                <w:ilvl w:val="0"/>
                <w:numId w:val="14"/>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Graduate</w:t>
            </w:r>
            <w:r w:rsidRPr="001B1F03" w:rsidR="009F0CF5">
              <w:rPr>
                <w:rFonts w:ascii="Calibri" w:eastAsia="Times New Roman" w:hAnsi="Calibri" w:cs="Calibri"/>
                <w:color w:val="000000"/>
                <w:sz w:val="18"/>
                <w:szCs w:val="18"/>
              </w:rPr>
              <w:t xml:space="preserve"> 24 credit </w:t>
            </w:r>
            <w:r w:rsidRPr="001B1F03">
              <w:rPr>
                <w:rFonts w:ascii="Calibri" w:eastAsia="Times New Roman" w:hAnsi="Calibri" w:cs="Calibri"/>
                <w:color w:val="000000"/>
                <w:sz w:val="18"/>
                <w:szCs w:val="18"/>
              </w:rPr>
              <w:t xml:space="preserve">hours </w:t>
            </w:r>
          </w:p>
          <w:p w:rsidR="009F0CF5" w:rsidRPr="00F7311D" w:rsidP="009F0CF5" w14:paraId="295B480C" w14:textId="77D815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w:t>
            </w:r>
            <w:r w:rsidRPr="00F7311D">
              <w:rPr>
                <w:rFonts w:ascii="Calibri" w:eastAsia="Times New Roman" w:hAnsi="Calibri" w:cs="Calibri"/>
                <w:color w:val="000000"/>
                <w:sz w:val="18"/>
                <w:szCs w:val="18"/>
              </w:rPr>
              <w:t xml:space="preserve"> institutions with continuous enrollment programs, FTE is determined by dividing the number of clock hours attempted by 900.The total 12-month FTE is generated by summing the estimated or reported undergraduate FTE and the estimated or reported graduate FTE and reported Doctor's Professional Practice FTE.</w:t>
            </w:r>
          </w:p>
        </w:tc>
        <w:tc>
          <w:tcPr>
            <w:tcW w:w="2097" w:type="dxa"/>
            <w:shd w:val="clear" w:color="auto" w:fill="auto"/>
            <w:vAlign w:val="center"/>
            <w:hideMark/>
          </w:tcPr>
          <w:p w:rsidR="009F0CF5" w:rsidRPr="00F7311D" w:rsidP="009F0CF5" w14:paraId="2DE7B4A6" w14:textId="77777777">
            <w:pPr>
              <w:spacing w:after="0" w:line="240" w:lineRule="auto"/>
              <w:rPr>
                <w:rFonts w:ascii="Calibri" w:eastAsia="Times New Roman" w:hAnsi="Calibri" w:cs="Calibri"/>
                <w:color w:val="000000"/>
                <w:sz w:val="18"/>
                <w:szCs w:val="18"/>
              </w:rPr>
            </w:pPr>
          </w:p>
        </w:tc>
      </w:tr>
      <w:tr w14:paraId="41D90EFE" w14:textId="77777777" w:rsidTr="0036249A">
        <w:tblPrEx>
          <w:tblW w:w="13616" w:type="dxa"/>
          <w:tblLook w:val="04A0"/>
        </w:tblPrEx>
        <w:trPr>
          <w:trHeight w:val="20"/>
        </w:trPr>
        <w:tc>
          <w:tcPr>
            <w:tcW w:w="2961" w:type="dxa"/>
            <w:shd w:val="clear" w:color="auto" w:fill="auto"/>
            <w:vAlign w:val="center"/>
            <w:hideMark/>
          </w:tcPr>
          <w:p w:rsidR="009F0CF5" w:rsidRPr="00F7311D" w:rsidP="009F0CF5" w14:paraId="77530D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Calendar system</w:t>
            </w:r>
          </w:p>
        </w:tc>
        <w:tc>
          <w:tcPr>
            <w:tcW w:w="8558" w:type="dxa"/>
            <w:shd w:val="clear" w:color="auto" w:fill="auto"/>
            <w:vAlign w:val="center"/>
            <w:hideMark/>
          </w:tcPr>
          <w:p w:rsidR="009F0CF5" w:rsidRPr="00F7311D" w:rsidP="009F0CF5" w14:paraId="482E457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shd w:val="clear" w:color="auto" w:fill="auto"/>
            <w:vAlign w:val="center"/>
            <w:hideMark/>
          </w:tcPr>
          <w:p w:rsidR="009F0CF5" w:rsidRPr="00F7311D" w:rsidP="009F0CF5" w14:paraId="322B4A95" w14:textId="77777777">
            <w:pPr>
              <w:spacing w:after="0" w:line="240" w:lineRule="auto"/>
              <w:rPr>
                <w:rFonts w:ascii="Calibri" w:eastAsia="Times New Roman" w:hAnsi="Calibri" w:cs="Calibri"/>
                <w:color w:val="000000"/>
                <w:sz w:val="18"/>
                <w:szCs w:val="18"/>
              </w:rPr>
            </w:pPr>
          </w:p>
        </w:tc>
      </w:tr>
      <w:tr w14:paraId="3994C30A" w14:textId="77777777" w:rsidTr="0036249A">
        <w:tblPrEx>
          <w:tblW w:w="13616" w:type="dxa"/>
          <w:tblLook w:val="04A0"/>
        </w:tblPrEx>
        <w:trPr>
          <w:trHeight w:val="20"/>
        </w:trPr>
        <w:tc>
          <w:tcPr>
            <w:tcW w:w="2961" w:type="dxa"/>
            <w:shd w:val="clear" w:color="auto" w:fill="auto"/>
            <w:vAlign w:val="center"/>
          </w:tcPr>
          <w:p w:rsidR="00EA2492" w:rsidRPr="002515CF" w:rsidP="00EA2492" w14:paraId="590D9327" w14:textId="7B019E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Cambridge Certificate of Advanced English (CAE)</w:t>
            </w:r>
          </w:p>
        </w:tc>
        <w:tc>
          <w:tcPr>
            <w:tcW w:w="8558" w:type="dxa"/>
            <w:shd w:val="clear" w:color="auto" w:fill="auto"/>
            <w:vAlign w:val="center"/>
          </w:tcPr>
          <w:p w:rsidR="00EA2492" w:rsidRPr="002515CF" w:rsidP="00EA2492" w14:paraId="78D31AA7" w14:textId="14A8CB9B">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55B2708D" w14:textId="0FA75EF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1CCC307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21107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appropriations</w:t>
            </w:r>
          </w:p>
        </w:tc>
        <w:tc>
          <w:tcPr>
            <w:tcW w:w="8558" w:type="dxa"/>
            <w:shd w:val="clear" w:color="auto" w:fill="auto"/>
            <w:vAlign w:val="center"/>
            <w:hideMark/>
          </w:tcPr>
          <w:p w:rsidR="00EA2492" w:rsidRPr="00F7311D" w:rsidP="00EA2492" w14:paraId="7280CE03" w14:textId="3E2EAE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 revenues appropriated to a GASB institution by a government with the requirement that the funds be used primarily to acquire, construct, or improve capital assets, including buildings, land, equipment, and similar capital assets.</w:t>
            </w:r>
          </w:p>
        </w:tc>
        <w:tc>
          <w:tcPr>
            <w:tcW w:w="2097" w:type="dxa"/>
            <w:shd w:val="clear" w:color="auto" w:fill="auto"/>
            <w:vAlign w:val="center"/>
            <w:hideMark/>
          </w:tcPr>
          <w:p w:rsidR="00EA2492" w:rsidRPr="00F7311D" w:rsidP="00EA2492" w14:paraId="526C38CF" w14:textId="77777777">
            <w:pPr>
              <w:spacing w:after="0" w:line="240" w:lineRule="auto"/>
              <w:rPr>
                <w:rFonts w:ascii="Calibri" w:eastAsia="Times New Roman" w:hAnsi="Calibri" w:cs="Calibri"/>
                <w:color w:val="000000"/>
                <w:sz w:val="18"/>
                <w:szCs w:val="18"/>
              </w:rPr>
            </w:pPr>
          </w:p>
        </w:tc>
      </w:tr>
      <w:tr w14:paraId="5C283B6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6B57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w:t>
            </w:r>
          </w:p>
        </w:tc>
        <w:tc>
          <w:tcPr>
            <w:tcW w:w="8558" w:type="dxa"/>
            <w:shd w:val="clear" w:color="auto" w:fill="auto"/>
            <w:vAlign w:val="center"/>
            <w:hideMark/>
          </w:tcPr>
          <w:p w:rsidR="00EA2492" w:rsidRPr="00F7311D" w:rsidP="00EA2492" w14:paraId="110FBF5A" w14:textId="0ADF81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Tangible or intangible assets that are capitalized under an institution's capitalization policy; some of these assets are subject to depreciation and some are not. These assets consist of land and land improvements, buildings, building improvements, machinery, equipment, infrastructure, and all other assets that are used in operations and that have initial useful lives extending beyond one year. Capital assets also include collections of works of art and historical treasure and library collections; however, under certain conditions such collections may not be capitalized. They also include property acquired under capital leases and intangible assets such as patents, copyrights, trademarks, goodwill, and software. Excluded are assets that are part of endowment funds or other capital fund investments in real estate.</w:t>
            </w:r>
          </w:p>
        </w:tc>
        <w:tc>
          <w:tcPr>
            <w:tcW w:w="2097" w:type="dxa"/>
            <w:shd w:val="clear" w:color="auto" w:fill="auto"/>
            <w:vAlign w:val="center"/>
            <w:hideMark/>
          </w:tcPr>
          <w:p w:rsidR="00EA2492" w:rsidRPr="00F7311D" w:rsidP="00EA2492" w14:paraId="242C8CF4" w14:textId="77777777">
            <w:pPr>
              <w:spacing w:after="0" w:line="240" w:lineRule="auto"/>
              <w:rPr>
                <w:rFonts w:ascii="Calibri" w:eastAsia="Times New Roman" w:hAnsi="Calibri" w:cs="Calibri"/>
                <w:color w:val="000000"/>
                <w:sz w:val="18"/>
                <w:szCs w:val="18"/>
              </w:rPr>
            </w:pPr>
          </w:p>
        </w:tc>
      </w:tr>
      <w:tr w14:paraId="5174D38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7B41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grants and gifts</w:t>
            </w:r>
          </w:p>
        </w:tc>
        <w:tc>
          <w:tcPr>
            <w:tcW w:w="8558" w:type="dxa"/>
            <w:shd w:val="clear" w:color="auto" w:fill="auto"/>
            <w:vAlign w:val="center"/>
            <w:hideMark/>
          </w:tcPr>
          <w:p w:rsidR="00EA2492" w:rsidRPr="00F7311D" w:rsidP="00EA2492" w14:paraId="298C7AA2" w14:textId="16F19E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of a GASB institution, other than capital appropriations, where a funding source external to the institution specifies that they be used primarily to acquire, construct, or improve capital assets. Includes gifts designated for a capital project.</w:t>
            </w:r>
          </w:p>
        </w:tc>
        <w:tc>
          <w:tcPr>
            <w:tcW w:w="2097" w:type="dxa"/>
            <w:shd w:val="clear" w:color="auto" w:fill="auto"/>
            <w:vAlign w:val="center"/>
            <w:hideMark/>
          </w:tcPr>
          <w:p w:rsidR="00EA2492" w:rsidRPr="00F7311D" w:rsidP="00EA2492" w14:paraId="0D4955FF" w14:textId="77777777">
            <w:pPr>
              <w:spacing w:after="0" w:line="240" w:lineRule="auto"/>
              <w:rPr>
                <w:rFonts w:ascii="Calibri" w:eastAsia="Times New Roman" w:hAnsi="Calibri" w:cs="Calibri"/>
                <w:color w:val="000000"/>
                <w:sz w:val="18"/>
                <w:szCs w:val="18"/>
              </w:rPr>
            </w:pPr>
          </w:p>
        </w:tc>
      </w:tr>
      <w:tr w14:paraId="2EE505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E2DA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leases</w:t>
            </w:r>
          </w:p>
        </w:tc>
        <w:tc>
          <w:tcPr>
            <w:tcW w:w="8558" w:type="dxa"/>
            <w:shd w:val="clear" w:color="auto" w:fill="auto"/>
            <w:vAlign w:val="center"/>
            <w:hideMark/>
          </w:tcPr>
          <w:p w:rsidR="00EA2492" w:rsidRPr="00F7311D" w:rsidP="00EA2492" w14:paraId="5EED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acquired under lease arrangement, as provided in FASB Statement No. 13 (applicable to both FASB and GASB institutions). These are leases where the institution in substance acquires the capital asset or the right to use it for most or all of its economic life through a lease arrangement. FASB standards require institutions to recognize such assets in their financial statements and also to recognize the lease payment obligations as liabilities. The lease is basically considered a form of financing used to acquire the capital asset.</w:t>
            </w:r>
          </w:p>
        </w:tc>
        <w:tc>
          <w:tcPr>
            <w:tcW w:w="2097" w:type="dxa"/>
            <w:shd w:val="clear" w:color="auto" w:fill="auto"/>
            <w:vAlign w:val="center"/>
            <w:hideMark/>
          </w:tcPr>
          <w:p w:rsidR="00EA2492" w:rsidRPr="00F7311D" w:rsidP="00EA2492" w14:paraId="626DF1E0" w14:textId="77777777">
            <w:pPr>
              <w:spacing w:after="0" w:line="240" w:lineRule="auto"/>
              <w:rPr>
                <w:rFonts w:ascii="Calibri" w:eastAsia="Times New Roman" w:hAnsi="Calibri" w:cs="Calibri"/>
                <w:color w:val="000000"/>
                <w:sz w:val="18"/>
                <w:szCs w:val="18"/>
              </w:rPr>
            </w:pPr>
          </w:p>
        </w:tc>
      </w:tr>
      <w:tr w14:paraId="7C9883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1890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outlay</w:t>
            </w:r>
          </w:p>
        </w:tc>
        <w:tc>
          <w:tcPr>
            <w:tcW w:w="8558" w:type="dxa"/>
            <w:shd w:val="clear" w:color="auto" w:fill="auto"/>
            <w:vAlign w:val="center"/>
            <w:hideMark/>
          </w:tcPr>
          <w:p w:rsidR="00EA2492" w:rsidRPr="00F7311D" w:rsidP="00EA2492" w14:paraId="00677F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cost of acquiring plant assets, adding to plant assets, and adding utility to plant assets for more than one accounting period.</w:t>
            </w:r>
          </w:p>
        </w:tc>
        <w:tc>
          <w:tcPr>
            <w:tcW w:w="2097" w:type="dxa"/>
            <w:shd w:val="clear" w:color="auto" w:fill="auto"/>
            <w:vAlign w:val="center"/>
            <w:hideMark/>
          </w:tcPr>
          <w:p w:rsidR="00EA2492" w:rsidRPr="00F7311D" w:rsidP="00EA2492" w14:paraId="1D8E712D" w14:textId="77777777">
            <w:pPr>
              <w:spacing w:after="0" w:line="240" w:lineRule="auto"/>
              <w:rPr>
                <w:rFonts w:ascii="Calibri" w:eastAsia="Times New Roman" w:hAnsi="Calibri" w:cs="Calibri"/>
                <w:color w:val="000000"/>
                <w:sz w:val="18"/>
                <w:szCs w:val="18"/>
              </w:rPr>
            </w:pPr>
          </w:p>
        </w:tc>
      </w:tr>
      <w:tr w14:paraId="08B2EC5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E7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Capitalize</w:t>
            </w:r>
          </w:p>
        </w:tc>
        <w:tc>
          <w:tcPr>
            <w:tcW w:w="8558" w:type="dxa"/>
            <w:shd w:val="clear" w:color="auto" w:fill="auto"/>
            <w:vAlign w:val="center"/>
            <w:hideMark/>
          </w:tcPr>
          <w:p w:rsidR="00EA2492" w:rsidRPr="00F7311D" w:rsidP="00EA2492" w14:paraId="1F2DF8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 place in service as a long-term asset.  These assets are expected to be used by the institution for a period in excess of one year (e.g., land, buildings or patents).</w:t>
            </w:r>
          </w:p>
        </w:tc>
        <w:tc>
          <w:tcPr>
            <w:tcW w:w="2097" w:type="dxa"/>
            <w:shd w:val="clear" w:color="auto" w:fill="auto"/>
            <w:vAlign w:val="center"/>
            <w:hideMark/>
          </w:tcPr>
          <w:p w:rsidR="00EA2492" w:rsidRPr="00F7311D" w:rsidP="00EA2492" w14:paraId="41AC43D4" w14:textId="77777777">
            <w:pPr>
              <w:spacing w:after="0" w:line="240" w:lineRule="auto"/>
              <w:rPr>
                <w:rFonts w:ascii="Calibri" w:eastAsia="Times New Roman" w:hAnsi="Calibri" w:cs="Calibri"/>
                <w:color w:val="000000"/>
                <w:sz w:val="18"/>
                <w:szCs w:val="18"/>
              </w:rPr>
            </w:pPr>
          </w:p>
        </w:tc>
      </w:tr>
      <w:tr w14:paraId="226F4BA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2194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Carl D. Perkins Vocational and Technical Education Act</w:t>
            </w:r>
          </w:p>
        </w:tc>
        <w:tc>
          <w:tcPr>
            <w:tcW w:w="8558" w:type="dxa"/>
            <w:shd w:val="clear" w:color="auto" w:fill="auto"/>
            <w:vAlign w:val="center"/>
            <w:hideMark/>
          </w:tcPr>
          <w:p w:rsidR="00EA2492" w:rsidRPr="00F7311D" w:rsidP="00EA2492" w14:paraId="4A50BC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Carl D. Perkins Vocational and Technical Education Act of 1998 (P.L. 105-332) was signed into law on October 31, 1998 and became effective on July 1, 1999. Its purpose is to improve vocational and technical education programs. The primary focus is to develop challenging academic standards and promote the development of activities that integrate academic and vocational and technical instruction. The Act also outlines various opportunities for states and local areas to integrate vocational education and workforce investment systems. However, new and strict barriers are placed on linkages between vocational education and School-to-Work programs.</w:t>
            </w:r>
          </w:p>
        </w:tc>
        <w:tc>
          <w:tcPr>
            <w:tcW w:w="2097" w:type="dxa"/>
            <w:shd w:val="clear" w:color="auto" w:fill="auto"/>
            <w:vAlign w:val="center"/>
            <w:hideMark/>
          </w:tcPr>
          <w:p w:rsidR="00EA2492" w:rsidRPr="00F7311D" w:rsidP="00EA2492" w14:paraId="16645721" w14:textId="77777777">
            <w:pPr>
              <w:spacing w:after="0" w:line="240" w:lineRule="auto"/>
              <w:rPr>
                <w:rFonts w:ascii="Calibri" w:eastAsia="Times New Roman" w:hAnsi="Calibri" w:cs="Calibri"/>
                <w:color w:val="000000"/>
                <w:sz w:val="18"/>
                <w:szCs w:val="18"/>
              </w:rPr>
            </w:pPr>
          </w:p>
        </w:tc>
      </w:tr>
      <w:tr w14:paraId="4E152AD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B533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c>
          <w:tcPr>
            <w:tcW w:w="8558" w:type="dxa"/>
            <w:shd w:val="clear" w:color="auto" w:fill="auto"/>
            <w:vAlign w:val="center"/>
            <w:hideMark/>
          </w:tcPr>
          <w:p w:rsidR="00EA2492" w:rsidRPr="001B1F03" w:rsidP="00EA2492" w14:paraId="07AF9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institutional classification coding structure developed by the Andrew W. Carnegie Foundation for the Advancement of Teaching. The 2000 Carnegie Classification categorizes selected institutions as: </w:t>
            </w:r>
            <w:r w:rsidRPr="001B1F03">
              <w:rPr>
                <w:rFonts w:ascii="Calibri" w:eastAsia="Times New Roman" w:hAnsi="Calibri" w:cs="Calibri"/>
                <w:color w:val="000000"/>
                <w:sz w:val="18"/>
                <w:szCs w:val="18"/>
              </w:rPr>
              <w:t>Doctoral/Research Universities-Extensive</w:t>
            </w:r>
          </w:p>
          <w:p w:rsidR="00EA2492" w:rsidRPr="001B1F03" w:rsidP="00EA2492" w14:paraId="76C6A36B"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Doctoral/Research Universities-Intensive</w:t>
            </w:r>
          </w:p>
          <w:p w:rsidR="00EA2492" w:rsidRPr="001B1F03" w:rsidP="00EA2492" w14:paraId="3D78434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w:t>
            </w:r>
          </w:p>
          <w:p w:rsidR="00EA2492" w:rsidRPr="001B1F03" w:rsidP="00EA2492" w14:paraId="49BA852A"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Master's Colleges and Universities II</w:t>
            </w:r>
          </w:p>
          <w:p w:rsidR="00EA2492" w:rsidRPr="001B1F03" w:rsidP="00EA2492" w14:paraId="13936BD6"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Colleges-Liberal Arts</w:t>
            </w:r>
          </w:p>
          <w:p w:rsidR="00EA2492" w:rsidRPr="001B1F03" w:rsidP="00EA2492" w14:paraId="199CA079"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 Colleges-General</w:t>
            </w:r>
          </w:p>
          <w:p w:rsidR="00EA2492" w:rsidRPr="001B1F03" w:rsidP="00EA2492" w14:paraId="28C5107C"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Baccalaureate/Associate's Colleges</w:t>
            </w:r>
          </w:p>
          <w:p w:rsidR="00EA2492" w:rsidRPr="001B1F03" w:rsidP="00EA2492" w14:paraId="2B162650"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Associate's Colleges</w:t>
            </w:r>
          </w:p>
          <w:p w:rsidR="00EA2492" w:rsidRPr="001B1F03" w:rsidP="00EA2492" w14:paraId="0BC8868F" w14:textId="77777777">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Specialized Institutions:</w:t>
            </w:r>
          </w:p>
          <w:p w:rsidR="00EA2492" w:rsidRPr="001B1F03" w:rsidP="00EA2492" w14:paraId="26DED7F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Theological seminaries and other specialized faith-related institutions</w:t>
            </w:r>
          </w:p>
          <w:p w:rsidR="00EA2492" w:rsidRPr="001B1F03" w:rsidP="00EA2492" w14:paraId="4E100B87"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Medical schools and medical centers</w:t>
            </w:r>
          </w:p>
          <w:p w:rsidR="00EA2492" w:rsidRPr="001B1F03" w:rsidP="00EA2492" w14:paraId="589709FE"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separate health profession schools</w:t>
            </w:r>
          </w:p>
          <w:p w:rsidR="00EA2492" w:rsidRPr="001B1F03" w:rsidP="00EA2492" w14:paraId="356727D8"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engineering and technology</w:t>
            </w:r>
          </w:p>
          <w:p w:rsidR="00EA2492" w:rsidRPr="001B1F03" w:rsidP="00EA2492" w14:paraId="517069C0"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business and management</w:t>
            </w:r>
          </w:p>
          <w:p w:rsidR="00EA2492" w:rsidRPr="001B1F03" w:rsidP="00EA2492" w14:paraId="6095D43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art, music, and design</w:t>
            </w:r>
          </w:p>
          <w:p w:rsidR="00EA2492" w:rsidRPr="001B1F03" w:rsidP="00EA2492" w14:paraId="6EFC6B7F"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Schools of law</w:t>
            </w:r>
          </w:p>
          <w:p w:rsidR="00EA2492" w:rsidRPr="001B1F03" w:rsidP="00EA2492" w14:paraId="64B4D594"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Teachers colleges</w:t>
            </w:r>
          </w:p>
          <w:p w:rsidR="00EA2492" w:rsidRPr="001B1F03" w:rsidP="00EA2492" w14:paraId="08728515" w14:textId="77777777">
            <w:pPr>
              <w:numPr>
                <w:ilvl w:val="1"/>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Other specialized institutions</w:t>
            </w:r>
          </w:p>
          <w:p w:rsidR="00EA2492" w:rsidRPr="00F7311D" w:rsidP="00EA2492" w14:paraId="1C8AA705" w14:textId="6537C2DF">
            <w:pPr>
              <w:numPr>
                <w:ilvl w:val="0"/>
                <w:numId w:val="15"/>
              </w:numPr>
              <w:spacing w:after="0" w:line="240" w:lineRule="auto"/>
              <w:rPr>
                <w:rFonts w:ascii="Calibri" w:eastAsia="Times New Roman" w:hAnsi="Calibri" w:cs="Calibri"/>
                <w:color w:val="000000"/>
                <w:sz w:val="18"/>
                <w:szCs w:val="18"/>
              </w:rPr>
            </w:pPr>
            <w:r w:rsidRPr="001B1F03">
              <w:rPr>
                <w:rFonts w:ascii="Calibri" w:eastAsia="Times New Roman" w:hAnsi="Calibri" w:cs="Calibri"/>
                <w:color w:val="000000"/>
                <w:sz w:val="18"/>
                <w:szCs w:val="18"/>
              </w:rPr>
              <w:t>Tribal Colleges and Universities</w:t>
            </w:r>
          </w:p>
        </w:tc>
        <w:tc>
          <w:tcPr>
            <w:tcW w:w="2097" w:type="dxa"/>
            <w:shd w:val="clear" w:color="auto" w:fill="auto"/>
            <w:vAlign w:val="center"/>
            <w:hideMark/>
          </w:tcPr>
          <w:p w:rsidR="00EA2492" w:rsidRPr="00F7311D" w:rsidP="00EA2492" w14:paraId="0E362424" w14:textId="77777777">
            <w:pPr>
              <w:spacing w:after="0" w:line="240" w:lineRule="auto"/>
              <w:rPr>
                <w:rFonts w:ascii="Calibri" w:eastAsia="Times New Roman" w:hAnsi="Calibri" w:cs="Calibri"/>
                <w:color w:val="000000"/>
                <w:sz w:val="18"/>
                <w:szCs w:val="18"/>
              </w:rPr>
            </w:pPr>
          </w:p>
        </w:tc>
      </w:tr>
      <w:tr w14:paraId="74D7772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18F8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Basic classification</w:t>
            </w:r>
          </w:p>
        </w:tc>
        <w:tc>
          <w:tcPr>
            <w:tcW w:w="8558" w:type="dxa"/>
            <w:shd w:val="clear" w:color="auto" w:fill="auto"/>
            <w:vAlign w:val="center"/>
            <w:hideMark/>
          </w:tcPr>
          <w:p w:rsidR="00EA2492" w:rsidRPr="00F7311D" w:rsidP="00EA2492" w14:paraId="61F7DA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Basic Classification is an update of the traditional classification framework developed by the Carnegie Commission on Higher Education in 1970 to support its research program, and later published in 1973 for use by other researchers. Although this classification has undergone many changes over the years, the current release involves some significant changes from previous editions.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7C94D5B5" w14:textId="77777777">
            <w:pPr>
              <w:spacing w:after="0" w:line="240" w:lineRule="auto"/>
              <w:rPr>
                <w:rFonts w:ascii="Calibri" w:eastAsia="Times New Roman" w:hAnsi="Calibri" w:cs="Calibri"/>
                <w:color w:val="000000"/>
                <w:sz w:val="18"/>
                <w:szCs w:val="18"/>
              </w:rPr>
            </w:pPr>
          </w:p>
        </w:tc>
      </w:tr>
      <w:tr w14:paraId="543F5E4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0279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Enrollment profile classification</w:t>
            </w:r>
          </w:p>
        </w:tc>
        <w:tc>
          <w:tcPr>
            <w:tcW w:w="8558" w:type="dxa"/>
            <w:shd w:val="clear" w:color="auto" w:fill="auto"/>
            <w:vAlign w:val="center"/>
            <w:hideMark/>
          </w:tcPr>
          <w:p w:rsidR="00EA2492" w:rsidRPr="00F7311D" w:rsidP="00EA2492" w14:paraId="3F007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the overall student population, by grouping institutions according to the mix of students enrolled at the undergraduate and graduate/professional levels. Exclusively undergraduate institutions are further broken down by level (two-year and four-year). For institutions with both undergraduate and graduate/professional students, institutions are grouped according to the distribution of full-time equivalent students across the two levels, giving an approximate measure of the student population's 'center of gravity.' As a result, it reflects important differences with respect to educational mission as well as institutional climate and culture-differences that can have implications for infrastructure, services, and resource allocation.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1106FDB2" w14:textId="77777777">
            <w:pPr>
              <w:spacing w:after="0" w:line="240" w:lineRule="auto"/>
              <w:rPr>
                <w:rFonts w:ascii="Calibri" w:eastAsia="Times New Roman" w:hAnsi="Calibri" w:cs="Calibri"/>
                <w:color w:val="000000"/>
                <w:sz w:val="18"/>
                <w:szCs w:val="18"/>
              </w:rPr>
            </w:pPr>
          </w:p>
        </w:tc>
      </w:tr>
      <w:tr w14:paraId="4219BF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E1057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Graduate instructional program</w:t>
            </w:r>
          </w:p>
        </w:tc>
        <w:tc>
          <w:tcPr>
            <w:tcW w:w="8558" w:type="dxa"/>
            <w:shd w:val="clear" w:color="auto" w:fill="auto"/>
            <w:vAlign w:val="center"/>
            <w:hideMark/>
          </w:tcPr>
          <w:p w:rsidR="00EA2492" w:rsidRPr="00F7311D" w:rsidP="00EA2492" w14:paraId="73F1334E" w14:textId="3FAAC4E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a companion to the Undergraduate Instructional Program classification, this classification examines the nature of graduate education, with a special focus on the mix of graduate programs. In this classification, a single graduate-level degree qualifies an institution for inclusion. The classification is based on the level of graduate degrees awarded master's/professional or doctoral), the number of fields represented by the degrees awarded, and the mix or concentration of degrees by broad disciplinary domain. The classification has two parts: one for institutions that do not award the doctorate, and one for doctoral-level institutions (based on the record of degree conferrals, not program offerings). Within each group, institutions are then classified with respect to the breadth of graduate offerings and the concentration of degrees in certain fields or combinations of fields.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074A227D" w14:textId="77777777">
            <w:pPr>
              <w:spacing w:after="0" w:line="240" w:lineRule="auto"/>
              <w:rPr>
                <w:rFonts w:ascii="Calibri" w:eastAsia="Times New Roman" w:hAnsi="Calibri" w:cs="Calibri"/>
                <w:color w:val="000000"/>
                <w:sz w:val="18"/>
                <w:szCs w:val="18"/>
              </w:rPr>
            </w:pPr>
          </w:p>
        </w:tc>
      </w:tr>
      <w:tr w14:paraId="7CABD5B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CC8E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Size and setting classification</w:t>
            </w:r>
          </w:p>
        </w:tc>
        <w:tc>
          <w:tcPr>
            <w:tcW w:w="8558" w:type="dxa"/>
            <w:shd w:val="clear" w:color="auto" w:fill="auto"/>
            <w:vAlign w:val="center"/>
            <w:hideMark/>
          </w:tcPr>
          <w:p w:rsidR="00EA2492" w:rsidRPr="00F7311D" w:rsidP="00EA2492" w14:paraId="728AEC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institutions' size and residential character. Because residential character applies to the undergraduate student body, exclusively graduate/professional institutions are not included.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56906627" w14:textId="77777777">
            <w:pPr>
              <w:spacing w:after="0" w:line="240" w:lineRule="auto"/>
              <w:rPr>
                <w:rFonts w:ascii="Calibri" w:eastAsia="Times New Roman" w:hAnsi="Calibri" w:cs="Calibri"/>
                <w:color w:val="000000"/>
                <w:sz w:val="18"/>
                <w:szCs w:val="18"/>
              </w:rPr>
            </w:pPr>
          </w:p>
        </w:tc>
      </w:tr>
      <w:tr w14:paraId="3640D75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3378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instructional program</w:t>
            </w:r>
          </w:p>
        </w:tc>
        <w:tc>
          <w:tcPr>
            <w:tcW w:w="8558" w:type="dxa"/>
            <w:shd w:val="clear" w:color="auto" w:fill="auto"/>
            <w:vAlign w:val="center"/>
            <w:hideMark/>
          </w:tcPr>
          <w:p w:rsidR="00EA2492" w:rsidRPr="00F7311D" w:rsidP="00EA2492" w14:paraId="3CB1BCB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instructional program classification is based on three pieces of information: the level of undergraduate degrees awarded (associate's or bachelor's), the proportion of bachelor's degree majors in the arts and sciences and in professional fields, and the extent to which an institution awards graduate degrees in the same fields in which it awards undergraduate degrees. The distinction between arts and sciences and professional undergraduate majors is one that has been made in the Classification since 1987 (but only for undergraduate colleges), and researchers and others in the higher education community have made similar distinctions. The previous analysis has been extended and elaborated by (1) applying it to almost all baccalaureate-level institutions, (2) making finer distinctions along the arts and sciences - professions continuum, and (3) recognizing a 'middle ground' where the two domains exist in relative balance with respect to graduating students' major concentrations.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09A26672" w14:textId="77777777">
            <w:pPr>
              <w:spacing w:after="0" w:line="240" w:lineRule="auto"/>
              <w:rPr>
                <w:rFonts w:ascii="Calibri" w:eastAsia="Times New Roman" w:hAnsi="Calibri" w:cs="Calibri"/>
                <w:color w:val="000000"/>
                <w:sz w:val="18"/>
                <w:szCs w:val="18"/>
              </w:rPr>
            </w:pPr>
          </w:p>
        </w:tc>
      </w:tr>
      <w:tr w14:paraId="580166E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91F9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2005: Undergraduate profile</w:t>
            </w:r>
          </w:p>
        </w:tc>
        <w:tc>
          <w:tcPr>
            <w:tcW w:w="8558" w:type="dxa"/>
            <w:shd w:val="clear" w:color="auto" w:fill="auto"/>
            <w:vAlign w:val="center"/>
            <w:hideMark/>
          </w:tcPr>
          <w:p w:rsidR="00EA2492" w:rsidRPr="00F7311D" w:rsidP="00EA2492" w14:paraId="2B2615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classification describes the undergraduate population with respect to three characteristics: the proportion who attend part- or full-time; achievement characteristics of first-year students; and the proportion of entering students who transfer in from another institution. Each of these captures important differences in the nature of the undergraduate population. They do not imply differences in the quality of undergraduate education, but they have implications for how an institution serves its students.  For a complete description and technical details visit the Carnegie Foundation Website at http://www.carnegiefoundation.org/classifications</w:t>
            </w:r>
          </w:p>
        </w:tc>
        <w:tc>
          <w:tcPr>
            <w:tcW w:w="2097" w:type="dxa"/>
            <w:shd w:val="clear" w:color="auto" w:fill="auto"/>
            <w:vAlign w:val="center"/>
            <w:hideMark/>
          </w:tcPr>
          <w:p w:rsidR="00EA2492" w:rsidRPr="00F7311D" w:rsidP="00EA2492" w14:paraId="6F096F58" w14:textId="77777777">
            <w:pPr>
              <w:spacing w:after="0" w:line="240" w:lineRule="auto"/>
              <w:rPr>
                <w:rFonts w:ascii="Calibri" w:eastAsia="Times New Roman" w:hAnsi="Calibri" w:cs="Calibri"/>
                <w:color w:val="000000"/>
                <w:sz w:val="18"/>
                <w:szCs w:val="18"/>
              </w:rPr>
            </w:pPr>
          </w:p>
        </w:tc>
      </w:tr>
      <w:tr w14:paraId="74928F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D65190" w14:textId="67C862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Cartographic </w:t>
            </w:r>
            <w:r w:rsidR="00C05FA1">
              <w:rPr>
                <w:rFonts w:ascii="Calibri" w:eastAsia="Times New Roman" w:hAnsi="Calibri" w:cs="Calibri"/>
                <w:color w:val="000000"/>
                <w:sz w:val="18"/>
                <w:szCs w:val="18"/>
              </w:rPr>
              <w:t>m</w:t>
            </w:r>
            <w:r w:rsidRPr="00F7311D">
              <w:rPr>
                <w:rFonts w:ascii="Calibri" w:eastAsia="Times New Roman" w:hAnsi="Calibri" w:cs="Calibri"/>
                <w:color w:val="000000"/>
                <w:sz w:val="18"/>
                <w:szCs w:val="18"/>
              </w:rPr>
              <w:t>aterial</w:t>
            </w:r>
          </w:p>
        </w:tc>
        <w:tc>
          <w:tcPr>
            <w:tcW w:w="8558" w:type="dxa"/>
            <w:shd w:val="clear" w:color="auto" w:fill="auto"/>
            <w:vAlign w:val="center"/>
            <w:hideMark/>
          </w:tcPr>
          <w:p w:rsidR="00EA2492" w:rsidRPr="00F7311D" w:rsidP="00EA2492" w14:paraId="6103D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representing in whole or in part the earth or any celestial body at any scale (e.g., maps and charts)</w:t>
            </w:r>
          </w:p>
        </w:tc>
        <w:tc>
          <w:tcPr>
            <w:tcW w:w="2097" w:type="dxa"/>
            <w:shd w:val="clear" w:color="auto" w:fill="auto"/>
            <w:vAlign w:val="center"/>
            <w:hideMark/>
          </w:tcPr>
          <w:p w:rsidR="00EA2492" w:rsidRPr="00F7311D" w:rsidP="00EA2492" w14:paraId="6B1DE2CC" w14:textId="77777777">
            <w:pPr>
              <w:spacing w:after="0" w:line="240" w:lineRule="auto"/>
              <w:rPr>
                <w:rFonts w:ascii="Calibri" w:eastAsia="Times New Roman" w:hAnsi="Calibri" w:cs="Calibri"/>
                <w:color w:val="000000"/>
                <w:sz w:val="18"/>
                <w:szCs w:val="18"/>
              </w:rPr>
            </w:pPr>
          </w:p>
        </w:tc>
      </w:tr>
      <w:tr w14:paraId="1F8EBD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A7DB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Casual employees</w:t>
            </w:r>
          </w:p>
        </w:tc>
        <w:tc>
          <w:tcPr>
            <w:tcW w:w="8558" w:type="dxa"/>
            <w:shd w:val="clear" w:color="auto" w:fill="auto"/>
            <w:vAlign w:val="center"/>
            <w:hideMark/>
          </w:tcPr>
          <w:p w:rsidR="00EA2492" w:rsidRPr="00F7311D" w:rsidP="00EA2492" w14:paraId="03A62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who are hired to work during peak times such as those that help at registration time or those that work in the bookstore for a day or two at the start of a session.</w:t>
            </w:r>
          </w:p>
        </w:tc>
        <w:tc>
          <w:tcPr>
            <w:tcW w:w="2097" w:type="dxa"/>
            <w:shd w:val="clear" w:color="auto" w:fill="auto"/>
            <w:vAlign w:val="center"/>
            <w:hideMark/>
          </w:tcPr>
          <w:p w:rsidR="00EA2492" w:rsidRPr="00F7311D" w:rsidP="00EA2492" w14:paraId="17A13C30" w14:textId="77777777">
            <w:pPr>
              <w:spacing w:after="0" w:line="240" w:lineRule="auto"/>
              <w:rPr>
                <w:rFonts w:ascii="Calibri" w:eastAsia="Times New Roman" w:hAnsi="Calibri" w:cs="Calibri"/>
                <w:color w:val="000000"/>
                <w:sz w:val="18"/>
                <w:szCs w:val="18"/>
              </w:rPr>
            </w:pPr>
          </w:p>
        </w:tc>
      </w:tr>
      <w:tr w14:paraId="01092D8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1F77D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Certificate</w:t>
            </w:r>
          </w:p>
        </w:tc>
        <w:tc>
          <w:tcPr>
            <w:tcW w:w="8558" w:type="dxa"/>
            <w:shd w:val="clear" w:color="auto" w:fill="auto"/>
            <w:vAlign w:val="center"/>
            <w:hideMark/>
          </w:tcPr>
          <w:p w:rsidR="00EA2492" w:rsidRPr="00F7311D" w:rsidP="00EA2492" w14:paraId="4E9F38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recognized postsecondary credential that is conferred upon the satisfactory completion of a postsecondary education program.</w:t>
            </w:r>
          </w:p>
        </w:tc>
        <w:tc>
          <w:tcPr>
            <w:tcW w:w="2097" w:type="dxa"/>
            <w:shd w:val="clear" w:color="auto" w:fill="auto"/>
            <w:vAlign w:val="center"/>
            <w:hideMark/>
          </w:tcPr>
          <w:p w:rsidR="00EA2492" w:rsidRPr="00F7311D" w:rsidP="00EA2492" w14:paraId="4D564105" w14:textId="77777777">
            <w:pPr>
              <w:spacing w:after="0" w:line="240" w:lineRule="auto"/>
              <w:rPr>
                <w:rFonts w:ascii="Calibri" w:eastAsia="Times New Roman" w:hAnsi="Calibri" w:cs="Calibri"/>
                <w:color w:val="000000"/>
                <w:sz w:val="18"/>
                <w:szCs w:val="18"/>
              </w:rPr>
            </w:pPr>
          </w:p>
        </w:tc>
      </w:tr>
      <w:tr w14:paraId="6FE8AF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823EC7B" w14:textId="06BB8F0A">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Continuing Education Unit (</w:t>
            </w:r>
            <w:r w:rsidRPr="008878BA">
              <w:rPr>
                <w:rFonts w:ascii="Calibri" w:eastAsia="Times New Roman" w:hAnsi="Calibri" w:cs="Calibri"/>
                <w:sz w:val="18"/>
                <w:szCs w:val="18"/>
              </w:rPr>
              <w:t>CEU</w:t>
            </w:r>
            <w:r w:rsidRPr="008878BA">
              <w:rPr>
                <w:rFonts w:ascii="Calibri" w:eastAsia="Times New Roman" w:hAnsi="Calibri" w:cs="Calibri"/>
                <w:sz w:val="18"/>
                <w:szCs w:val="18"/>
              </w:rPr>
              <w:t>)</w:t>
            </w:r>
          </w:p>
        </w:tc>
        <w:tc>
          <w:tcPr>
            <w:tcW w:w="8558" w:type="dxa"/>
            <w:shd w:val="clear" w:color="auto" w:fill="auto"/>
            <w:vAlign w:val="center"/>
            <w:hideMark/>
          </w:tcPr>
          <w:p w:rsidR="00EA2492" w:rsidRPr="00F7311D" w:rsidP="00EA2492" w14:paraId="7534081E" w14:textId="3E3F123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One Continuing Education </w:t>
            </w:r>
            <w:r w:rsidRPr="008878BA">
              <w:rPr>
                <w:rFonts w:ascii="Calibri" w:eastAsia="Times New Roman" w:hAnsi="Calibri" w:cs="Calibri"/>
                <w:sz w:val="18"/>
                <w:szCs w:val="18"/>
              </w:rPr>
              <w:t>Unit</w:t>
            </w:r>
            <w:r w:rsidRPr="008878BA" w:rsidR="00C05FA1">
              <w:rPr>
                <w:rFonts w:ascii="Calibri" w:eastAsia="Times New Roman" w:hAnsi="Calibri" w:cs="Calibri"/>
                <w:sz w:val="18"/>
                <w:szCs w:val="18"/>
              </w:rPr>
              <w:t xml:space="preserve"> (CEU)</w:t>
            </w:r>
            <w:r w:rsidRPr="008878BA">
              <w:rPr>
                <w:rFonts w:ascii="Calibri" w:eastAsia="Times New Roman" w:hAnsi="Calibri" w:cs="Calibri"/>
                <w:sz w:val="18"/>
                <w:szCs w:val="18"/>
              </w:rPr>
              <w:t xml:space="preserve"> is </w:t>
            </w:r>
            <w:r w:rsidRPr="00F7311D">
              <w:rPr>
                <w:rFonts w:ascii="Calibri" w:eastAsia="Times New Roman" w:hAnsi="Calibri" w:cs="Calibri"/>
                <w:color w:val="000000"/>
                <w:sz w:val="18"/>
                <w:szCs w:val="18"/>
              </w:rPr>
              <w:t>normally defined as 10 clock hours of participation in an organized continuing education experience under responsible sponsorship, capable direction, and qualified instruction.</w:t>
            </w:r>
          </w:p>
        </w:tc>
        <w:tc>
          <w:tcPr>
            <w:tcW w:w="2097" w:type="dxa"/>
            <w:shd w:val="clear" w:color="auto" w:fill="auto"/>
            <w:vAlign w:val="center"/>
            <w:hideMark/>
          </w:tcPr>
          <w:p w:rsidR="00EA2492" w:rsidRPr="00F7311D" w:rsidP="00EA2492" w14:paraId="68285F9B" w14:textId="77777777">
            <w:pPr>
              <w:spacing w:after="0" w:line="240" w:lineRule="auto"/>
              <w:rPr>
                <w:rFonts w:ascii="Calibri" w:eastAsia="Times New Roman" w:hAnsi="Calibri" w:cs="Calibri"/>
                <w:color w:val="000000"/>
                <w:sz w:val="18"/>
                <w:szCs w:val="18"/>
              </w:rPr>
            </w:pPr>
          </w:p>
        </w:tc>
      </w:tr>
      <w:tr w14:paraId="3F62089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933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Change in net assets</w:t>
            </w:r>
          </w:p>
        </w:tc>
        <w:tc>
          <w:tcPr>
            <w:tcW w:w="8558" w:type="dxa"/>
            <w:shd w:val="clear" w:color="auto" w:fill="auto"/>
            <w:vAlign w:val="center"/>
            <w:hideMark/>
          </w:tcPr>
          <w:p w:rsidR="00EA2492" w:rsidRPr="00F7311D" w:rsidP="00EA2492" w14:paraId="4668A4DF" w14:textId="24966F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used to describe the net amount of revenues, expenses, gains, and losses for the reporting period. This appears on the Statement of Revenues, Expenses, and Changes in Net Assets for GASB organizations and on the Statement of Activities for FASB organizations.</w:t>
            </w:r>
          </w:p>
        </w:tc>
        <w:tc>
          <w:tcPr>
            <w:tcW w:w="2097" w:type="dxa"/>
            <w:shd w:val="clear" w:color="auto" w:fill="auto"/>
            <w:vAlign w:val="center"/>
            <w:hideMark/>
          </w:tcPr>
          <w:p w:rsidR="00EA2492" w:rsidRPr="00F7311D" w:rsidP="00EA2492" w14:paraId="3789DFF8" w14:textId="77777777">
            <w:pPr>
              <w:spacing w:after="0" w:line="240" w:lineRule="auto"/>
              <w:rPr>
                <w:rFonts w:ascii="Calibri" w:eastAsia="Times New Roman" w:hAnsi="Calibri" w:cs="Calibri"/>
                <w:color w:val="000000"/>
                <w:sz w:val="18"/>
                <w:szCs w:val="18"/>
              </w:rPr>
            </w:pPr>
          </w:p>
        </w:tc>
      </w:tr>
      <w:tr w14:paraId="1F58A2F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F00D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Chief administrator</w:t>
            </w:r>
          </w:p>
        </w:tc>
        <w:tc>
          <w:tcPr>
            <w:tcW w:w="8558" w:type="dxa"/>
            <w:shd w:val="clear" w:color="auto" w:fill="auto"/>
            <w:vAlign w:val="center"/>
            <w:hideMark/>
          </w:tcPr>
          <w:p w:rsidR="00EA2492" w:rsidRPr="00F7311D" w:rsidP="00EA2492" w14:paraId="4A488B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administrative official, or chief executive officer, responsible for the direction of all affairs and operations of a postsecondary education institution, or that component of an organization that conducts postsecondary education, but who may report to a governing board.</w:t>
            </w:r>
          </w:p>
        </w:tc>
        <w:tc>
          <w:tcPr>
            <w:tcW w:w="2097" w:type="dxa"/>
            <w:shd w:val="clear" w:color="auto" w:fill="auto"/>
            <w:vAlign w:val="center"/>
            <w:hideMark/>
          </w:tcPr>
          <w:p w:rsidR="00EA2492" w:rsidRPr="00F7311D" w:rsidP="00EA2492" w14:paraId="5C0DFABA" w14:textId="77777777">
            <w:pPr>
              <w:spacing w:after="0" w:line="240" w:lineRule="auto"/>
              <w:rPr>
                <w:rFonts w:ascii="Calibri" w:eastAsia="Times New Roman" w:hAnsi="Calibri" w:cs="Calibri"/>
                <w:color w:val="000000"/>
                <w:sz w:val="18"/>
                <w:szCs w:val="18"/>
              </w:rPr>
            </w:pPr>
          </w:p>
        </w:tc>
      </w:tr>
      <w:tr w14:paraId="729D884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6FA4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c>
          <w:tcPr>
            <w:tcW w:w="8558" w:type="dxa"/>
            <w:shd w:val="clear" w:color="auto" w:fill="auto"/>
            <w:vAlign w:val="center"/>
            <w:hideMark/>
          </w:tcPr>
          <w:p w:rsidR="00EA2492" w:rsidRPr="00F7311D" w:rsidP="00EA2492" w14:paraId="23FB68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that has some or all of its data reported by another institution, known as the parent institution.</w:t>
            </w:r>
          </w:p>
        </w:tc>
        <w:tc>
          <w:tcPr>
            <w:tcW w:w="2097" w:type="dxa"/>
            <w:shd w:val="clear" w:color="auto" w:fill="auto"/>
            <w:vAlign w:val="center"/>
            <w:hideMark/>
          </w:tcPr>
          <w:p w:rsidR="00EA2492" w:rsidRPr="00F7311D" w:rsidP="00EA2492" w14:paraId="7EF75C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r>
      <w:tr w14:paraId="5C60A01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8231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CIP code</w:t>
            </w:r>
          </w:p>
        </w:tc>
        <w:tc>
          <w:tcPr>
            <w:tcW w:w="8558" w:type="dxa"/>
            <w:shd w:val="clear" w:color="auto" w:fill="auto"/>
            <w:vAlign w:val="center"/>
            <w:hideMark/>
          </w:tcPr>
          <w:p w:rsidR="00EA2492" w:rsidRPr="00F7311D" w:rsidP="00EA2492" w14:paraId="3DC185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six-digit code in the form </w:t>
            </w:r>
            <w:r w:rsidRPr="00F7311D">
              <w:rPr>
                <w:rFonts w:ascii="Calibri" w:eastAsia="Times New Roman" w:hAnsi="Calibri" w:cs="Calibri"/>
                <w:color w:val="000000"/>
                <w:sz w:val="18"/>
                <w:szCs w:val="18"/>
              </w:rPr>
              <w:t>xx.xxxx</w:t>
            </w:r>
            <w:r w:rsidRPr="00F7311D">
              <w:rPr>
                <w:rFonts w:ascii="Calibri" w:eastAsia="Times New Roman" w:hAnsi="Calibri" w:cs="Calibri"/>
                <w:color w:val="000000"/>
                <w:sz w:val="18"/>
                <w:szCs w:val="18"/>
              </w:rPr>
              <w:t xml:space="preserve"> that identifies instructional program specialties within educational institutions.</w:t>
            </w:r>
          </w:p>
        </w:tc>
        <w:tc>
          <w:tcPr>
            <w:tcW w:w="2097" w:type="dxa"/>
            <w:shd w:val="clear" w:color="auto" w:fill="auto"/>
            <w:vAlign w:val="center"/>
            <w:hideMark/>
          </w:tcPr>
          <w:p w:rsidR="00EA2492" w:rsidRPr="00F7311D" w:rsidP="00EA2492" w14:paraId="443C67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r>
      <w:tr w14:paraId="54DF7C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E9B3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Classification of Instructional Programs (CIP)</w:t>
            </w:r>
          </w:p>
        </w:tc>
        <w:tc>
          <w:tcPr>
            <w:tcW w:w="8558" w:type="dxa"/>
            <w:shd w:val="clear" w:color="auto" w:fill="auto"/>
            <w:vAlign w:val="center"/>
            <w:hideMark/>
          </w:tcPr>
          <w:p w:rsidR="00EA2492" w:rsidRPr="00F7311D" w:rsidP="00EA2492" w14:paraId="7DA36A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taxonomic coding scheme for secondary and postsecondary instructional programs. It is intended to facilitate the organization, collection, and reporting of program data using classifications that capture the majority of reportable data. The CIP is the accepted federal government statistical standard on instructional program classifications and is used in a variety of education information surveys and databases.</w:t>
            </w:r>
          </w:p>
        </w:tc>
        <w:tc>
          <w:tcPr>
            <w:tcW w:w="2097" w:type="dxa"/>
            <w:shd w:val="clear" w:color="auto" w:fill="auto"/>
            <w:vAlign w:val="center"/>
            <w:hideMark/>
          </w:tcPr>
          <w:p w:rsidR="00EA2492" w:rsidRPr="00F7311D" w:rsidP="00EA2492" w14:paraId="012A7537" w14:textId="77777777">
            <w:pPr>
              <w:spacing w:after="0" w:line="240" w:lineRule="auto"/>
              <w:rPr>
                <w:rFonts w:ascii="Calibri" w:eastAsia="Times New Roman" w:hAnsi="Calibri" w:cs="Calibri"/>
                <w:color w:val="000000"/>
                <w:sz w:val="18"/>
                <w:szCs w:val="18"/>
              </w:rPr>
            </w:pPr>
          </w:p>
        </w:tc>
      </w:tr>
      <w:tr w14:paraId="407586A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BDB2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Clerical and secretarial</w:t>
            </w:r>
          </w:p>
        </w:tc>
        <w:tc>
          <w:tcPr>
            <w:tcW w:w="8558" w:type="dxa"/>
            <w:shd w:val="clear" w:color="auto" w:fill="auto"/>
            <w:vAlign w:val="center"/>
            <w:hideMark/>
          </w:tcPr>
          <w:p w:rsidR="00EA2492" w:rsidRPr="00F7311D" w:rsidP="00EA2492" w14:paraId="34791855" w14:textId="44D02F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typically are associated with clerical activities or are specifically of a secretarial nature. Includes personnel who are responsible for internal and external communications, recording and retrieval of data (other than computer programmer) and/or information and other paperwork required in an office. Also includes such occupational titles such as switchboard operators, including answering service; telephone operators; bill and account collectors; billing and posting clerks and machine operators; bookkeeping, accounting, and auditing clerks; payroll and timekeeping clerks; procurement clerks; file clerks; clerical library assistants; human resources assistants, except payroll and timekeeping; shipping, receiving, and traffic clerks; secretaries and administrative assistants; computer operators; data entry and information processing workers; desktop publishers; mail clerks and mail machine operators (except postal service); office clerks (general); office machine operators (except computer); and proofreaders and copy markers.</w:t>
            </w:r>
            <w:r w:rsidR="00921762">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the IPEDS HR survey component prior to 2012-13)</w:t>
            </w:r>
          </w:p>
        </w:tc>
        <w:tc>
          <w:tcPr>
            <w:tcW w:w="2097" w:type="dxa"/>
            <w:shd w:val="clear" w:color="auto" w:fill="auto"/>
            <w:vAlign w:val="center"/>
            <w:hideMark/>
          </w:tcPr>
          <w:p w:rsidR="00EA2492" w:rsidRPr="00F7311D" w:rsidP="00EA2492" w14:paraId="24A747AD" w14:textId="77777777">
            <w:pPr>
              <w:spacing w:after="0" w:line="240" w:lineRule="auto"/>
              <w:rPr>
                <w:rFonts w:ascii="Calibri" w:eastAsia="Times New Roman" w:hAnsi="Calibri" w:cs="Calibri"/>
                <w:color w:val="000000"/>
                <w:sz w:val="18"/>
                <w:szCs w:val="18"/>
              </w:rPr>
            </w:pPr>
          </w:p>
        </w:tc>
      </w:tr>
      <w:tr w14:paraId="4D9823E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BC51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c>
          <w:tcPr>
            <w:tcW w:w="8558" w:type="dxa"/>
            <w:shd w:val="clear" w:color="auto" w:fill="auto"/>
            <w:vAlign w:val="center"/>
            <w:hideMark/>
          </w:tcPr>
          <w:p w:rsidR="00EA2492" w:rsidRPr="00F7311D" w:rsidP="00EA2492" w14:paraId="0E9412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period of time consisting of (1) A 50- to 60-minute class, lecture, or recitation in a 60-minute period; (2) A 50- to 60-minute faculty-supervised laboratory, shop training, or internship in a 60-minute period; or (3) Sixty minutes of preparation in a correspondence course.</w:t>
            </w:r>
          </w:p>
        </w:tc>
        <w:tc>
          <w:tcPr>
            <w:tcW w:w="2097" w:type="dxa"/>
            <w:shd w:val="clear" w:color="auto" w:fill="auto"/>
            <w:vAlign w:val="center"/>
            <w:hideMark/>
          </w:tcPr>
          <w:p w:rsidR="00EA2492" w:rsidRPr="00F7311D" w:rsidP="00EA2492" w14:paraId="61888661" w14:textId="77777777">
            <w:pPr>
              <w:spacing w:after="0" w:line="240" w:lineRule="auto"/>
              <w:rPr>
                <w:rFonts w:ascii="Calibri" w:eastAsia="Times New Roman" w:hAnsi="Calibri" w:cs="Calibri"/>
                <w:color w:val="000000"/>
                <w:sz w:val="18"/>
                <w:szCs w:val="18"/>
              </w:rPr>
            </w:pPr>
          </w:p>
        </w:tc>
      </w:tr>
      <w:tr w14:paraId="348C75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A57D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 activity</w:t>
            </w:r>
          </w:p>
        </w:tc>
        <w:tc>
          <w:tcPr>
            <w:tcW w:w="8558" w:type="dxa"/>
            <w:shd w:val="clear" w:color="auto" w:fill="auto"/>
            <w:vAlign w:val="center"/>
            <w:hideMark/>
          </w:tcPr>
          <w:p w:rsidR="00EA2492" w:rsidRPr="00F7311D" w:rsidP="00EA2492" w14:paraId="47CB8C2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clock hours.</w:t>
            </w:r>
          </w:p>
        </w:tc>
        <w:tc>
          <w:tcPr>
            <w:tcW w:w="2097" w:type="dxa"/>
            <w:shd w:val="clear" w:color="auto" w:fill="auto"/>
            <w:vAlign w:val="center"/>
            <w:hideMark/>
          </w:tcPr>
          <w:p w:rsidR="00EA2492" w:rsidRPr="00F7311D" w:rsidP="00EA2492" w14:paraId="66CBD3E2" w14:textId="77777777">
            <w:pPr>
              <w:spacing w:after="0" w:line="240" w:lineRule="auto"/>
              <w:rPr>
                <w:rFonts w:ascii="Calibri" w:eastAsia="Times New Roman" w:hAnsi="Calibri" w:cs="Calibri"/>
                <w:color w:val="000000"/>
                <w:sz w:val="18"/>
                <w:szCs w:val="18"/>
              </w:rPr>
            </w:pPr>
          </w:p>
        </w:tc>
      </w:tr>
      <w:tr w14:paraId="481FB1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8A0E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w:t>
            </w:r>
          </w:p>
        </w:tc>
        <w:tc>
          <w:tcPr>
            <w:tcW w:w="8558" w:type="dxa"/>
            <w:shd w:val="clear" w:color="auto" w:fill="auto"/>
            <w:vAlign w:val="center"/>
            <w:hideMark/>
          </w:tcPr>
          <w:p w:rsidR="00EA2492" w:rsidRPr="00F7311D" w:rsidP="00EA2492" w14:paraId="4A4959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students established for tracking purposes.</w:t>
            </w:r>
          </w:p>
        </w:tc>
        <w:tc>
          <w:tcPr>
            <w:tcW w:w="2097" w:type="dxa"/>
            <w:shd w:val="clear" w:color="auto" w:fill="auto"/>
            <w:vAlign w:val="center"/>
            <w:hideMark/>
          </w:tcPr>
          <w:p w:rsidR="00EA2492" w:rsidRPr="00F7311D" w:rsidP="00EA2492" w14:paraId="7B0D4BBE" w14:textId="77777777">
            <w:pPr>
              <w:spacing w:after="0" w:line="240" w:lineRule="auto"/>
              <w:rPr>
                <w:rFonts w:ascii="Calibri" w:eastAsia="Times New Roman" w:hAnsi="Calibri" w:cs="Calibri"/>
                <w:color w:val="000000"/>
                <w:sz w:val="18"/>
                <w:szCs w:val="18"/>
              </w:rPr>
            </w:pPr>
          </w:p>
        </w:tc>
      </w:tr>
      <w:tr w14:paraId="77C3862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E00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Cohort year</w:t>
            </w:r>
          </w:p>
        </w:tc>
        <w:tc>
          <w:tcPr>
            <w:tcW w:w="8558" w:type="dxa"/>
            <w:shd w:val="clear" w:color="auto" w:fill="auto"/>
            <w:vAlign w:val="center"/>
            <w:hideMark/>
          </w:tcPr>
          <w:p w:rsidR="00EA2492" w:rsidRPr="00F7311D" w:rsidP="00EA2492" w14:paraId="67764C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that a cohort of students begins attending college.</w:t>
            </w:r>
          </w:p>
        </w:tc>
        <w:tc>
          <w:tcPr>
            <w:tcW w:w="2097" w:type="dxa"/>
            <w:shd w:val="clear" w:color="auto" w:fill="auto"/>
            <w:vAlign w:val="center"/>
            <w:hideMark/>
          </w:tcPr>
          <w:p w:rsidR="00EA2492" w:rsidRPr="00F7311D" w:rsidP="00EA2492" w14:paraId="405AD5A9" w14:textId="77777777">
            <w:pPr>
              <w:spacing w:after="0" w:line="240" w:lineRule="auto"/>
              <w:rPr>
                <w:rFonts w:ascii="Calibri" w:eastAsia="Times New Roman" w:hAnsi="Calibri" w:cs="Calibri"/>
                <w:color w:val="000000"/>
                <w:sz w:val="18"/>
                <w:szCs w:val="18"/>
              </w:rPr>
            </w:pPr>
          </w:p>
        </w:tc>
      </w:tr>
      <w:tr w14:paraId="2B6789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FDF3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year</w:t>
            </w:r>
          </w:p>
        </w:tc>
        <w:tc>
          <w:tcPr>
            <w:tcW w:w="8558" w:type="dxa"/>
            <w:shd w:val="clear" w:color="auto" w:fill="auto"/>
            <w:vAlign w:val="center"/>
            <w:hideMark/>
          </w:tcPr>
          <w:p w:rsidR="00EA2492" w:rsidRPr="00F7311D" w:rsidP="00EA2492" w14:paraId="0370D9F2" w14:textId="5BCBC3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academic year in which IPEDS data were collected. Most Institutional Characteristics, Human Resources, Fall Enrollment, and Admissions data are collected for the current year; Completions, 12-Month Enrollment, Student Financial Aid, Academic Libraries and Finance data collections cover the prior year. Graduation Rates and Outcome Measures cover cohorts from prior years that completed college by August 31 of the most recent fall.</w:t>
            </w:r>
          </w:p>
        </w:tc>
        <w:tc>
          <w:tcPr>
            <w:tcW w:w="2097" w:type="dxa"/>
            <w:shd w:val="clear" w:color="auto" w:fill="auto"/>
            <w:vAlign w:val="center"/>
            <w:hideMark/>
          </w:tcPr>
          <w:p w:rsidR="00EA2492" w:rsidRPr="00F7311D" w:rsidP="00EA2492" w14:paraId="1B65C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r>
      <w:tr w14:paraId="25DE66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171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College Navigator</w:t>
            </w:r>
          </w:p>
        </w:tc>
        <w:tc>
          <w:tcPr>
            <w:tcW w:w="8558" w:type="dxa"/>
            <w:shd w:val="clear" w:color="auto" w:fill="auto"/>
            <w:vAlign w:val="center"/>
            <w:hideMark/>
          </w:tcPr>
          <w:p w:rsidR="00EA2492" w:rsidRPr="00F7311D" w:rsidP="00EA2492" w14:paraId="17294A2A" w14:textId="162A192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web tool accessed through </w:t>
            </w:r>
            <w:r w:rsidRPr="00A65D4C">
              <w:rPr>
                <w:rFonts w:ascii="Calibri" w:eastAsia="Times New Roman" w:hAnsi="Calibri" w:cs="Calibri"/>
                <w:color w:val="000000" w:themeColor="text1"/>
                <w:sz w:val="18"/>
                <w:szCs w:val="18"/>
              </w:rPr>
              <w:t>http</w:t>
            </w:r>
            <w:r w:rsidRPr="00A65D4C" w:rsidR="00FD4FB0">
              <w:rPr>
                <w:rFonts w:ascii="Calibri" w:eastAsia="Times New Roman" w:hAnsi="Calibri" w:cs="Calibri"/>
                <w:color w:val="000000" w:themeColor="text1"/>
                <w:sz w:val="18"/>
                <w:szCs w:val="18"/>
              </w:rPr>
              <w:t>s</w:t>
            </w:r>
            <w:r w:rsidRPr="00A65D4C">
              <w:rPr>
                <w:rFonts w:ascii="Calibri" w:eastAsia="Times New Roman" w:hAnsi="Calibri" w:cs="Calibri"/>
                <w:color w:val="000000" w:themeColor="text1"/>
                <w:sz w:val="18"/>
                <w:szCs w:val="18"/>
              </w:rPr>
              <w:t>://</w:t>
            </w:r>
            <w:r w:rsidRPr="00F7311D">
              <w:rPr>
                <w:rFonts w:ascii="Calibri" w:eastAsia="Times New Roman" w:hAnsi="Calibri" w:cs="Calibri"/>
                <w:color w:val="000000"/>
                <w:sz w:val="18"/>
                <w:szCs w:val="18"/>
              </w:rPr>
              <w:t xml:space="preserve">nces.ed.gov/collegenavigator that provides selected IPEDS data to assist students, parents, high school counselors, and others obtain information about </w:t>
            </w:r>
            <w:r w:rsidRPr="00A65D4C" w:rsidR="00996828">
              <w:rPr>
                <w:rFonts w:ascii="Calibri" w:eastAsia="Times New Roman" w:hAnsi="Calibri" w:cs="Calibri"/>
                <w:color w:val="000000" w:themeColor="text1"/>
                <w:sz w:val="18"/>
                <w:szCs w:val="18"/>
              </w:rPr>
              <w:t>over 6,000</w:t>
            </w:r>
            <w:r w:rsidR="00A65D4C">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postsecondary institutions in the United States and other areas.  It offers a wide range of information including programs offered, retention and graduation rates, aid available, campus safety, accreditation, and estimated student expenses.   NOTE:  Replaces the College Opportunities Online Locator (IPEDS COOL).</w:t>
            </w:r>
          </w:p>
        </w:tc>
        <w:tc>
          <w:tcPr>
            <w:tcW w:w="2097" w:type="dxa"/>
            <w:shd w:val="clear" w:color="auto" w:fill="auto"/>
            <w:vAlign w:val="center"/>
            <w:hideMark/>
          </w:tcPr>
          <w:p w:rsidR="00EA2492" w:rsidRPr="00F7311D" w:rsidP="00EA2492" w14:paraId="260EEE73" w14:textId="77777777">
            <w:pPr>
              <w:spacing w:after="0" w:line="240" w:lineRule="auto"/>
              <w:rPr>
                <w:rFonts w:ascii="Calibri" w:eastAsia="Times New Roman" w:hAnsi="Calibri" w:cs="Calibri"/>
                <w:color w:val="000000"/>
                <w:sz w:val="18"/>
                <w:szCs w:val="18"/>
              </w:rPr>
            </w:pPr>
          </w:p>
        </w:tc>
      </w:tr>
      <w:tr w14:paraId="430DE6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77E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Community, Social Service, Legal, Arts, Design, Entertainment, Sports, and Media Occupations</w:t>
            </w:r>
          </w:p>
        </w:tc>
        <w:tc>
          <w:tcPr>
            <w:tcW w:w="8558" w:type="dxa"/>
            <w:shd w:val="clear" w:color="auto" w:fill="auto"/>
            <w:vAlign w:val="center"/>
            <w:hideMark/>
          </w:tcPr>
          <w:p w:rsidR="00EA2492" w:rsidRPr="00F7311D" w:rsidP="00EA2492" w14:paraId="1A8BD462" w14:textId="73253A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Community and Social Service Occupations (https://www.bls.gov/soc/2018/major_groups.htm#21-0000); 2) Legal Occupations (https://www.bls.gov/soc/2018/major_groups.htm#23-0000); and 3) Arts, Design, Entertainment, Sports, and Media Occupations (https://www.bls.gov/soc/2018/major_groups.htm#27-0000).</w:t>
            </w:r>
          </w:p>
        </w:tc>
        <w:tc>
          <w:tcPr>
            <w:tcW w:w="2097" w:type="dxa"/>
            <w:shd w:val="clear" w:color="auto" w:fill="auto"/>
            <w:vAlign w:val="center"/>
            <w:hideMark/>
          </w:tcPr>
          <w:p w:rsidR="00EA2492" w:rsidRPr="00F7311D" w:rsidP="00EA2492" w14:paraId="015F60B6" w14:textId="77777777">
            <w:pPr>
              <w:spacing w:after="0" w:line="240" w:lineRule="auto"/>
              <w:rPr>
                <w:rFonts w:ascii="Calibri" w:eastAsia="Times New Roman" w:hAnsi="Calibri" w:cs="Calibri"/>
                <w:color w:val="000000"/>
                <w:sz w:val="18"/>
                <w:szCs w:val="18"/>
              </w:rPr>
            </w:pPr>
          </w:p>
        </w:tc>
      </w:tr>
      <w:tr w14:paraId="341A24B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6116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Comparison group</w:t>
            </w:r>
          </w:p>
        </w:tc>
        <w:tc>
          <w:tcPr>
            <w:tcW w:w="8558" w:type="dxa"/>
            <w:shd w:val="clear" w:color="auto" w:fill="auto"/>
            <w:vAlign w:val="center"/>
            <w:hideMark/>
          </w:tcPr>
          <w:p w:rsidR="00EA2492" w:rsidRPr="00F7311D" w:rsidP="00EA2492" w14:paraId="32B74939" w14:textId="41FBFB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group of peer institutions used for comparison purposes within the IPEDS Peer Analysis System (PAS). Comparison groups may be identified by the analyst by name or </w:t>
            </w:r>
            <w:r w:rsidRPr="00F7311D">
              <w:rPr>
                <w:rFonts w:ascii="Calibri" w:eastAsia="Times New Roman" w:hAnsi="Calibri" w:cs="Calibri"/>
                <w:color w:val="000000"/>
                <w:sz w:val="18"/>
                <w:szCs w:val="18"/>
              </w:rPr>
              <w:t>UnitID</w:t>
            </w:r>
            <w:r w:rsidRPr="00F7311D">
              <w:rPr>
                <w:rFonts w:ascii="Calibri" w:eastAsia="Times New Roman" w:hAnsi="Calibri" w:cs="Calibri"/>
                <w:color w:val="000000"/>
                <w:sz w:val="18"/>
                <w:szCs w:val="18"/>
              </w:rPr>
              <w:t>, they may be built by using characteristics (variables) from the IPEDS data, or they may be automatically generated by the system. Also referred to as a peer group.</w:t>
            </w:r>
          </w:p>
        </w:tc>
        <w:tc>
          <w:tcPr>
            <w:tcW w:w="2097" w:type="dxa"/>
            <w:shd w:val="clear" w:color="auto" w:fill="auto"/>
            <w:vAlign w:val="center"/>
            <w:hideMark/>
          </w:tcPr>
          <w:p w:rsidR="00EA2492" w:rsidRPr="00F7311D" w:rsidP="00EA2492" w14:paraId="3C80CB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r>
      <w:tr w14:paraId="572F7CA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A007B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w:t>
            </w:r>
          </w:p>
        </w:tc>
        <w:tc>
          <w:tcPr>
            <w:tcW w:w="8558" w:type="dxa"/>
            <w:shd w:val="clear" w:color="auto" w:fill="auto"/>
            <w:vAlign w:val="center"/>
            <w:hideMark/>
          </w:tcPr>
          <w:p w:rsidR="00EA2492" w:rsidRPr="00F7311D" w:rsidP="00EA2492" w14:paraId="2F7F1B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receives a degree, diploma, certificate, or other recognized postsecondary credential. In order to be considered a completer, the degree/award must actually be conferred.</w:t>
            </w:r>
          </w:p>
        </w:tc>
        <w:tc>
          <w:tcPr>
            <w:tcW w:w="2097" w:type="dxa"/>
            <w:shd w:val="clear" w:color="auto" w:fill="auto"/>
            <w:vAlign w:val="center"/>
            <w:hideMark/>
          </w:tcPr>
          <w:p w:rsidR="00EA2492" w:rsidRPr="00F7311D" w:rsidP="00EA2492" w14:paraId="3A3D27E0" w14:textId="77777777">
            <w:pPr>
              <w:spacing w:after="0" w:line="240" w:lineRule="auto"/>
              <w:rPr>
                <w:rFonts w:ascii="Calibri" w:eastAsia="Times New Roman" w:hAnsi="Calibri" w:cs="Calibri"/>
                <w:color w:val="000000"/>
                <w:sz w:val="18"/>
                <w:szCs w:val="18"/>
              </w:rPr>
            </w:pPr>
          </w:p>
        </w:tc>
      </w:tr>
      <w:tr w14:paraId="29BF31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CE59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Completers within 150% of normal time</w:t>
            </w:r>
          </w:p>
        </w:tc>
        <w:tc>
          <w:tcPr>
            <w:tcW w:w="8558" w:type="dxa"/>
            <w:shd w:val="clear" w:color="auto" w:fill="auto"/>
            <w:vAlign w:val="center"/>
            <w:hideMark/>
          </w:tcPr>
          <w:p w:rsidR="00EA2492" w:rsidRPr="00F7311D" w:rsidP="00EA2492" w14:paraId="2E560C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who completed their program within 150% of the normal (or expected) time for completion.</w:t>
            </w:r>
          </w:p>
        </w:tc>
        <w:tc>
          <w:tcPr>
            <w:tcW w:w="2097" w:type="dxa"/>
            <w:shd w:val="clear" w:color="auto" w:fill="auto"/>
            <w:vAlign w:val="center"/>
            <w:hideMark/>
          </w:tcPr>
          <w:p w:rsidR="00EA2492" w:rsidRPr="00F7311D" w:rsidP="00EA2492" w14:paraId="36244D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r>
      <w:tr w14:paraId="58178BF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E54A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Completions (C)</w:t>
            </w:r>
          </w:p>
        </w:tc>
        <w:tc>
          <w:tcPr>
            <w:tcW w:w="8558" w:type="dxa"/>
            <w:shd w:val="clear" w:color="auto" w:fill="auto"/>
            <w:vAlign w:val="center"/>
            <w:hideMark/>
          </w:tcPr>
          <w:p w:rsidR="00EA2492" w:rsidRPr="00F7311D" w:rsidP="00EA2492" w14:paraId="45746EF2" w14:textId="7F089CC5">
            <w:pPr>
              <w:spacing w:after="0" w:line="240" w:lineRule="auto"/>
              <w:rPr>
                <w:rFonts w:ascii="Calibri" w:eastAsia="Times New Roman" w:hAnsi="Calibri" w:cs="Calibri"/>
                <w:color w:val="000000"/>
                <w:sz w:val="18"/>
                <w:szCs w:val="18"/>
              </w:rPr>
            </w:pPr>
            <w:r w:rsidRPr="4236EA91">
              <w:rPr>
                <w:rFonts w:ascii="Calibri" w:eastAsia="Times New Roman" w:hAnsi="Calibri" w:cs="Calibri"/>
                <w:color w:val="000000" w:themeColor="text1"/>
                <w:sz w:val="18"/>
                <w:szCs w:val="18"/>
              </w:rPr>
              <w:t>This annual component of IPEDS collects number of degrees and other recognized postsecondary credentials (certificates) conferred. These data are reported by level (associate's, bachelor's, master's, and doctor's), as well as by length of program for some. Both are reported by race/ethnicity and gender of recipient, and the field of study, using the Classification of Instructional Programs (CIP) code. Institutions report all degrees and other awards conferred during an entire</w:t>
            </w:r>
            <w:r w:rsidRPr="4236EA91" w:rsidR="1438BE50">
              <w:rPr>
                <w:rFonts w:ascii="Calibri" w:eastAsia="Times New Roman" w:hAnsi="Calibri" w:cs="Calibri"/>
                <w:color w:val="000000" w:themeColor="text1"/>
                <w:sz w:val="18"/>
                <w:szCs w:val="18"/>
              </w:rPr>
              <w:t xml:space="preserve"> </w:t>
            </w:r>
            <w:r w:rsidRPr="00A65D4C" w:rsidR="1438BE50">
              <w:rPr>
                <w:rFonts w:ascii="Calibri" w:eastAsia="Times New Roman" w:hAnsi="Calibri" w:cs="Calibri"/>
                <w:color w:val="000000" w:themeColor="text1"/>
                <w:sz w:val="18"/>
                <w:szCs w:val="18"/>
              </w:rPr>
              <w:t>reporting period</w:t>
            </w:r>
            <w:r w:rsidRPr="00A65D4C">
              <w:rPr>
                <w:rFonts w:ascii="Calibri" w:eastAsia="Times New Roman" w:hAnsi="Calibri" w:cs="Calibri"/>
                <w:color w:val="000000" w:themeColor="text1"/>
                <w:sz w:val="18"/>
                <w:szCs w:val="18"/>
              </w:rPr>
              <w:t xml:space="preserve">, </w:t>
            </w:r>
            <w:r w:rsidRPr="4236EA91">
              <w:rPr>
                <w:rFonts w:ascii="Calibri" w:eastAsia="Times New Roman" w:hAnsi="Calibri" w:cs="Calibri"/>
                <w:color w:val="000000" w:themeColor="text1"/>
                <w:sz w:val="18"/>
                <w:szCs w:val="18"/>
              </w:rPr>
              <w:t xml:space="preserve">from July 1 of one calendar year through June 30 of the </w:t>
            </w:r>
            <w:r w:rsidRPr="4236EA91">
              <w:rPr>
                <w:rFonts w:ascii="Calibri" w:eastAsia="Times New Roman" w:hAnsi="Calibri" w:cs="Calibri"/>
                <w:color w:val="000000" w:themeColor="text1"/>
                <w:sz w:val="18"/>
                <w:szCs w:val="18"/>
              </w:rPr>
              <w:t>following year. Completions data by race/ethnicity at the 2-digit CIP level became an annual collection in 1990; since the 1995 collection, race/ethnicity is collected at the 6-digit CIP level. In 2001, IPEDS began collecting completers of double majors by level, 6-digit CIP code, and by race/ethnicity and gender of recipient.</w:t>
            </w:r>
          </w:p>
        </w:tc>
        <w:tc>
          <w:tcPr>
            <w:tcW w:w="2097" w:type="dxa"/>
            <w:shd w:val="clear" w:color="auto" w:fill="auto"/>
            <w:vAlign w:val="center"/>
            <w:hideMark/>
          </w:tcPr>
          <w:p w:rsidR="00EA2492" w:rsidRPr="00F7311D" w:rsidP="00EA2492" w14:paraId="1ED12224" w14:textId="77777777">
            <w:pPr>
              <w:spacing w:after="0" w:line="240" w:lineRule="auto"/>
              <w:rPr>
                <w:rFonts w:ascii="Calibri" w:eastAsia="Times New Roman" w:hAnsi="Calibri" w:cs="Calibri"/>
                <w:color w:val="000000"/>
                <w:sz w:val="18"/>
                <w:szCs w:val="18"/>
              </w:rPr>
            </w:pPr>
          </w:p>
        </w:tc>
      </w:tr>
      <w:tr w14:paraId="2A4D28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A60F7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Component unit</w:t>
            </w:r>
          </w:p>
        </w:tc>
        <w:tc>
          <w:tcPr>
            <w:tcW w:w="8558" w:type="dxa"/>
            <w:shd w:val="clear" w:color="auto" w:fill="auto"/>
            <w:vAlign w:val="center"/>
            <w:hideMark/>
          </w:tcPr>
          <w:p w:rsidR="00EA2492" w:rsidRPr="00F7311D" w:rsidP="00EA2492" w14:paraId="15008D4E" w14:textId="0873200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component unit is a legally separate organizations for which the governing board and/or management of the primary institution is financially accountable. It can be another organization for which the nature and significance of its relationship with a primary institution is such that exclusion would cause the primary institution's financial statements to be misleading or incomplete.</w:t>
            </w:r>
          </w:p>
        </w:tc>
        <w:tc>
          <w:tcPr>
            <w:tcW w:w="2097" w:type="dxa"/>
            <w:shd w:val="clear" w:color="auto" w:fill="auto"/>
            <w:vAlign w:val="center"/>
            <w:hideMark/>
          </w:tcPr>
          <w:p w:rsidR="00EA2492" w:rsidRPr="00F7311D" w:rsidP="00EA2492" w14:paraId="51399D1C" w14:textId="77777777">
            <w:pPr>
              <w:spacing w:after="0" w:line="240" w:lineRule="auto"/>
              <w:rPr>
                <w:rFonts w:ascii="Calibri" w:eastAsia="Times New Roman" w:hAnsi="Calibri" w:cs="Calibri"/>
                <w:color w:val="000000"/>
                <w:sz w:val="18"/>
                <w:szCs w:val="18"/>
              </w:rPr>
            </w:pPr>
          </w:p>
        </w:tc>
      </w:tr>
      <w:tr w14:paraId="65D3ED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D1FE3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Comprehensive fee</w:t>
            </w:r>
          </w:p>
        </w:tc>
        <w:tc>
          <w:tcPr>
            <w:tcW w:w="8558" w:type="dxa"/>
            <w:shd w:val="clear" w:color="auto" w:fill="auto"/>
            <w:vAlign w:val="center"/>
            <w:hideMark/>
          </w:tcPr>
          <w:p w:rsidR="00EA2492" w:rsidRPr="00F7311D" w:rsidP="47E59BC4" w14:paraId="7B710C78" w14:textId="7FF77DA4">
            <w:pPr>
              <w:spacing w:after="0" w:line="240" w:lineRule="auto"/>
              <w:rPr>
                <w:rFonts w:ascii="Calibri" w:eastAsia="Calibri" w:hAnsi="Calibri" w:cs="Calibri"/>
                <w:sz w:val="18"/>
                <w:szCs w:val="18"/>
              </w:rPr>
            </w:pPr>
            <w:r w:rsidRPr="47E59BC4">
              <w:rPr>
                <w:rFonts w:ascii="Calibri" w:eastAsia="Times New Roman" w:hAnsi="Calibri" w:cs="Calibri"/>
                <w:color w:val="000000" w:themeColor="text1"/>
                <w:sz w:val="18"/>
                <w:szCs w:val="18"/>
              </w:rPr>
              <w:t xml:space="preserve">A single fixed amount of money charged by an institution that covers tuition, required fees, </w:t>
            </w:r>
            <w:r w:rsidRPr="00A65D4C" w:rsidR="30A1D0C1">
              <w:rPr>
                <w:rFonts w:ascii="Calibri" w:eastAsia="Calibri" w:hAnsi="Calibri" w:cs="Calibri"/>
                <w:color w:val="000000" w:themeColor="text1"/>
                <w:sz w:val="18"/>
                <w:szCs w:val="18"/>
              </w:rPr>
              <w:t>food</w:t>
            </w:r>
            <w:r w:rsidRPr="47E59BC4" w:rsidR="30A1D0C1">
              <w:rPr>
                <w:rFonts w:ascii="Calibri" w:eastAsia="Calibri" w:hAnsi="Calibri" w:cs="Calibri"/>
                <w:color w:val="000000" w:themeColor="text1"/>
                <w:sz w:val="18"/>
                <w:szCs w:val="18"/>
              </w:rPr>
              <w:t xml:space="preserve">, and </w:t>
            </w:r>
            <w:r w:rsidRPr="00A65D4C" w:rsidR="30A1D0C1">
              <w:rPr>
                <w:rFonts w:ascii="Calibri" w:eastAsia="Calibri" w:hAnsi="Calibri" w:cs="Calibri"/>
                <w:color w:val="000000" w:themeColor="text1"/>
                <w:sz w:val="18"/>
                <w:szCs w:val="18"/>
              </w:rPr>
              <w:t xml:space="preserve">housing. </w:t>
            </w:r>
            <w:r w:rsidRPr="47E59BC4" w:rsidR="30A1D0C1">
              <w:rPr>
                <w:rFonts w:ascii="Calibri" w:eastAsia="Calibri" w:hAnsi="Calibri" w:cs="Calibri"/>
                <w:color w:val="000000" w:themeColor="text1"/>
                <w:sz w:val="18"/>
                <w:szCs w:val="18"/>
              </w:rPr>
              <w:t>For some institutions, this amount may also cover books</w:t>
            </w:r>
            <w:r w:rsidRPr="47E59BC4" w:rsidR="30A1D0C1">
              <w:rPr>
                <w:rFonts w:ascii="Calibri" w:eastAsia="Calibri" w:hAnsi="Calibri" w:cs="Calibri"/>
                <w:color w:val="FF0000"/>
                <w:sz w:val="18"/>
                <w:szCs w:val="18"/>
              </w:rPr>
              <w:t xml:space="preserve">, </w:t>
            </w:r>
            <w:r w:rsidRPr="00A65D4C" w:rsidR="30A1D0C1">
              <w:rPr>
                <w:rFonts w:ascii="Calibri" w:eastAsia="Calibri" w:hAnsi="Calibri" w:cs="Calibri"/>
                <w:color w:val="000000" w:themeColor="text1"/>
                <w:sz w:val="18"/>
                <w:szCs w:val="18"/>
              </w:rPr>
              <w:t>course materials, supplies, and equipment</w:t>
            </w:r>
            <w:r w:rsidRPr="47E59BC4" w:rsidR="30A1D0C1">
              <w:rPr>
                <w:rFonts w:ascii="Calibri" w:eastAsia="Calibri" w:hAnsi="Calibri" w:cs="Calibri"/>
                <w:color w:val="000000" w:themeColor="text1"/>
                <w:sz w:val="18"/>
                <w:szCs w:val="18"/>
              </w:rPr>
              <w:t>.</w:t>
            </w:r>
          </w:p>
        </w:tc>
        <w:tc>
          <w:tcPr>
            <w:tcW w:w="2097" w:type="dxa"/>
            <w:shd w:val="clear" w:color="auto" w:fill="auto"/>
            <w:vAlign w:val="center"/>
            <w:hideMark/>
          </w:tcPr>
          <w:p w:rsidR="00EA2492" w:rsidRPr="00F7311D" w:rsidP="00EA2492" w14:paraId="3AF861FD" w14:textId="77777777">
            <w:pPr>
              <w:spacing w:after="0" w:line="240" w:lineRule="auto"/>
              <w:rPr>
                <w:rFonts w:ascii="Calibri" w:eastAsia="Times New Roman" w:hAnsi="Calibri" w:cs="Calibri"/>
                <w:color w:val="000000"/>
                <w:sz w:val="18"/>
                <w:szCs w:val="18"/>
              </w:rPr>
            </w:pPr>
          </w:p>
        </w:tc>
      </w:tr>
      <w:tr w14:paraId="18E1C717" w14:textId="77777777" w:rsidTr="0036249A">
        <w:tblPrEx>
          <w:tblW w:w="13616" w:type="dxa"/>
          <w:tblLook w:val="04A0"/>
        </w:tblPrEx>
        <w:trPr>
          <w:trHeight w:val="20"/>
        </w:trPr>
        <w:tc>
          <w:tcPr>
            <w:tcW w:w="2961" w:type="dxa"/>
            <w:shd w:val="clear" w:color="auto" w:fill="auto"/>
            <w:vAlign w:val="center"/>
          </w:tcPr>
          <w:p w:rsidR="00351DA2" w:rsidRPr="00A65D4C" w:rsidP="00EA2492" w14:paraId="107B1516" w14:textId="289F8D02">
            <w:pPr>
              <w:spacing w:after="0" w:line="240" w:lineRule="auto"/>
              <w:rPr>
                <w:rFonts w:ascii="Calibri" w:eastAsia="Times New Roman" w:hAnsi="Calibri" w:cs="Calibri"/>
                <w:color w:val="000000" w:themeColor="text1"/>
                <w:sz w:val="18"/>
                <w:szCs w:val="18"/>
              </w:rPr>
            </w:pPr>
            <w:r w:rsidRPr="00A65D4C">
              <w:rPr>
                <w:rFonts w:cstheme="minorHAnsi"/>
                <w:color w:val="000000" w:themeColor="text1"/>
                <w:sz w:val="18"/>
                <w:szCs w:val="18"/>
              </w:rPr>
              <w:t>Comprehensive transition and postsecondary program for students with intellectual disabilities</w:t>
            </w:r>
          </w:p>
        </w:tc>
        <w:tc>
          <w:tcPr>
            <w:tcW w:w="8558" w:type="dxa"/>
            <w:shd w:val="clear" w:color="auto" w:fill="auto"/>
            <w:vAlign w:val="center"/>
          </w:tcPr>
          <w:p w:rsidR="00351DA2" w:rsidRPr="00A65D4C" w:rsidP="47E59BC4" w14:paraId="5CE4B7C5" w14:textId="1B953815">
            <w:pPr>
              <w:spacing w:after="0" w:line="240" w:lineRule="auto"/>
              <w:rPr>
                <w:rFonts w:ascii="Calibri" w:eastAsia="Calibri" w:hAnsi="Calibri" w:cs="Calibri"/>
                <w:color w:val="000000" w:themeColor="text1"/>
                <w:sz w:val="18"/>
                <w:szCs w:val="18"/>
              </w:rPr>
            </w:pPr>
            <w:r w:rsidRPr="00A65D4C">
              <w:rPr>
                <w:rFonts w:ascii="Calibri" w:eastAsia="Calibri" w:hAnsi="Calibri" w:cs="Calibri"/>
                <w:color w:val="000000" w:themeColor="text1"/>
                <w:sz w:val="18"/>
                <w:szCs w:val="18"/>
              </w:rPr>
              <w:t>A degree, certificate, nondegree, or noncertificate program designed to support and provide students with intellectual disabilities with opportunities to participate in coursework and other activities with students without disabilities while obtaining academic training and independent living instruction at an institution of higher education to prepare for gainful employment. (For more information, see 34 CFR 668.231).</w:t>
            </w:r>
          </w:p>
        </w:tc>
        <w:tc>
          <w:tcPr>
            <w:tcW w:w="2097" w:type="dxa"/>
            <w:shd w:val="clear" w:color="auto" w:fill="auto"/>
            <w:vAlign w:val="center"/>
          </w:tcPr>
          <w:p w:rsidR="00351DA2" w:rsidRPr="00F7311D" w:rsidP="00EA2492" w14:paraId="4D6AE50B" w14:textId="77777777">
            <w:pPr>
              <w:spacing w:after="0" w:line="240" w:lineRule="auto"/>
              <w:rPr>
                <w:rFonts w:ascii="Calibri" w:eastAsia="Times New Roman" w:hAnsi="Calibri" w:cs="Calibri"/>
                <w:color w:val="000000"/>
                <w:sz w:val="18"/>
                <w:szCs w:val="18"/>
              </w:rPr>
            </w:pPr>
          </w:p>
        </w:tc>
      </w:tr>
      <w:tr w14:paraId="4B5B6F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4239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hardware and software operating expenses</w:t>
            </w:r>
          </w:p>
        </w:tc>
        <w:tc>
          <w:tcPr>
            <w:tcW w:w="8558" w:type="dxa"/>
            <w:shd w:val="clear" w:color="auto" w:fill="auto"/>
            <w:vAlign w:val="center"/>
            <w:hideMark/>
          </w:tcPr>
          <w:p w:rsidR="00EA2492" w:rsidRPr="00F7311D" w:rsidP="00EA2492" w14:paraId="1D9358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include expenses from the library budget for computer hardware and software used to support library operations, whether purchased or leased, mainframe or microcomputer. Expenses for maintenance and the expense to run information services when it cannot be separated from the price of the product are also included in this category.</w:t>
            </w:r>
          </w:p>
        </w:tc>
        <w:tc>
          <w:tcPr>
            <w:tcW w:w="2097" w:type="dxa"/>
            <w:shd w:val="clear" w:color="auto" w:fill="auto"/>
            <w:vAlign w:val="center"/>
            <w:hideMark/>
          </w:tcPr>
          <w:p w:rsidR="00EA2492" w:rsidRPr="00F7311D" w:rsidP="00EA2492" w14:paraId="38A5CAA2" w14:textId="77777777">
            <w:pPr>
              <w:spacing w:after="0" w:line="240" w:lineRule="auto"/>
              <w:rPr>
                <w:rFonts w:ascii="Calibri" w:eastAsia="Times New Roman" w:hAnsi="Calibri" w:cs="Calibri"/>
                <w:color w:val="000000"/>
                <w:sz w:val="18"/>
                <w:szCs w:val="18"/>
              </w:rPr>
            </w:pPr>
          </w:p>
        </w:tc>
      </w:tr>
      <w:tr w14:paraId="1D67D9B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D1B3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Computer, Engineering, and Science Occupations</w:t>
            </w:r>
          </w:p>
        </w:tc>
        <w:tc>
          <w:tcPr>
            <w:tcW w:w="8558" w:type="dxa"/>
            <w:shd w:val="clear" w:color="auto" w:fill="auto"/>
            <w:vAlign w:val="center"/>
            <w:hideMark/>
          </w:tcPr>
          <w:p w:rsidR="00EA2492" w:rsidRPr="00F7311D" w:rsidP="00EA2492" w14:paraId="40CFF2D6" w14:textId="3EDE420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Computer and Mathematical Occupations (https://www.bls.gov/soc/2018/major_groups.htm#15-0000); 2) Architecture and Engineering Occupations (https://www.bls.gov/soc/2018/major_groups.htm#17-0000); and 3) Life, Physical, and Social Science Occupations (https://www.bls.gov/soc/2018/major_groups.htm#19-0000).</w:t>
            </w:r>
          </w:p>
        </w:tc>
        <w:tc>
          <w:tcPr>
            <w:tcW w:w="2097" w:type="dxa"/>
            <w:shd w:val="clear" w:color="auto" w:fill="auto"/>
            <w:vAlign w:val="center"/>
            <w:hideMark/>
          </w:tcPr>
          <w:p w:rsidR="00EA2492" w:rsidRPr="00F7311D" w:rsidP="00EA2492" w14:paraId="04A3DD27" w14:textId="77777777">
            <w:pPr>
              <w:spacing w:after="0" w:line="240" w:lineRule="auto"/>
              <w:rPr>
                <w:rFonts w:ascii="Calibri" w:eastAsia="Times New Roman" w:hAnsi="Calibri" w:cs="Calibri"/>
                <w:color w:val="000000"/>
                <w:sz w:val="18"/>
                <w:szCs w:val="18"/>
              </w:rPr>
            </w:pPr>
          </w:p>
        </w:tc>
      </w:tr>
      <w:tr w14:paraId="0A80818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41906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Construction in progress</w:t>
            </w:r>
          </w:p>
        </w:tc>
        <w:tc>
          <w:tcPr>
            <w:tcW w:w="8558" w:type="dxa"/>
            <w:shd w:val="clear" w:color="auto" w:fill="auto"/>
            <w:vAlign w:val="center"/>
            <w:hideMark/>
          </w:tcPr>
          <w:p w:rsidR="00EA2492" w:rsidRPr="00F7311D" w:rsidP="00EA2492" w14:paraId="3F2773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under construction or development that have not yet been placed into service, such as a building or parking lot. Capital assets are not subject to depreciation while in a construction in progress status.</w:t>
            </w:r>
          </w:p>
        </w:tc>
        <w:tc>
          <w:tcPr>
            <w:tcW w:w="2097" w:type="dxa"/>
            <w:shd w:val="clear" w:color="auto" w:fill="auto"/>
            <w:vAlign w:val="center"/>
            <w:hideMark/>
          </w:tcPr>
          <w:p w:rsidR="00EA2492" w:rsidRPr="00F7311D" w:rsidP="00EA2492" w14:paraId="6799989C" w14:textId="77777777">
            <w:pPr>
              <w:spacing w:after="0" w:line="240" w:lineRule="auto"/>
              <w:rPr>
                <w:rFonts w:ascii="Calibri" w:eastAsia="Times New Roman" w:hAnsi="Calibri" w:cs="Calibri"/>
                <w:color w:val="000000"/>
                <w:sz w:val="18"/>
                <w:szCs w:val="18"/>
              </w:rPr>
            </w:pPr>
          </w:p>
        </w:tc>
      </w:tr>
      <w:tr w14:paraId="68CFA2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F4C3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Contact hour (old definition)</w:t>
            </w:r>
          </w:p>
        </w:tc>
        <w:tc>
          <w:tcPr>
            <w:tcW w:w="8558" w:type="dxa"/>
            <w:shd w:val="clear" w:color="auto" w:fill="auto"/>
            <w:vAlign w:val="center"/>
            <w:hideMark/>
          </w:tcPr>
          <w:p w:rsidR="00EA2492" w:rsidRPr="00F7311D" w:rsidP="00EA2492" w14:paraId="0EF8E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measure that represents an hour of scheduled instruction given to students. Also referred to as clock hour.</w:t>
            </w:r>
          </w:p>
        </w:tc>
        <w:tc>
          <w:tcPr>
            <w:tcW w:w="2097" w:type="dxa"/>
            <w:shd w:val="clear" w:color="auto" w:fill="auto"/>
            <w:vAlign w:val="center"/>
            <w:hideMark/>
          </w:tcPr>
          <w:p w:rsidR="00EA2492" w:rsidRPr="00F7311D" w:rsidP="00EA2492" w14:paraId="7DBD78C9" w14:textId="77777777">
            <w:pPr>
              <w:spacing w:after="0" w:line="240" w:lineRule="auto"/>
              <w:rPr>
                <w:rFonts w:ascii="Calibri" w:eastAsia="Times New Roman" w:hAnsi="Calibri" w:cs="Calibri"/>
                <w:color w:val="000000"/>
                <w:sz w:val="18"/>
                <w:szCs w:val="18"/>
              </w:rPr>
            </w:pPr>
          </w:p>
        </w:tc>
      </w:tr>
      <w:tr w14:paraId="66F626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092DB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contract or employment agreement</w:t>
            </w:r>
          </w:p>
        </w:tc>
        <w:tc>
          <w:tcPr>
            <w:tcW w:w="8558" w:type="dxa"/>
            <w:shd w:val="clear" w:color="auto" w:fill="auto"/>
            <w:vAlign w:val="center"/>
            <w:hideMark/>
          </w:tcPr>
          <w:p w:rsidR="00EA2492" w:rsidRPr="00F7311D" w:rsidP="00EA2492" w14:paraId="1CFA16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agreement that has no specific date of termination, and that can be terminated for just cause or other agreed-upon reasons (e.g., reorganization, funding).</w:t>
            </w:r>
          </w:p>
        </w:tc>
        <w:tc>
          <w:tcPr>
            <w:tcW w:w="2097" w:type="dxa"/>
            <w:shd w:val="clear" w:color="auto" w:fill="auto"/>
            <w:vAlign w:val="center"/>
            <w:hideMark/>
          </w:tcPr>
          <w:p w:rsidR="00EA2492" w:rsidRPr="00F7311D" w:rsidP="00EA2492" w14:paraId="412FEF25" w14:textId="77777777">
            <w:pPr>
              <w:spacing w:after="0" w:line="240" w:lineRule="auto"/>
              <w:rPr>
                <w:rFonts w:ascii="Calibri" w:eastAsia="Times New Roman" w:hAnsi="Calibri" w:cs="Calibri"/>
                <w:color w:val="000000"/>
                <w:sz w:val="18"/>
                <w:szCs w:val="18"/>
              </w:rPr>
            </w:pPr>
          </w:p>
        </w:tc>
      </w:tr>
      <w:tr w14:paraId="5FA2A0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3AC1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 professional education</w:t>
            </w:r>
          </w:p>
        </w:tc>
        <w:tc>
          <w:tcPr>
            <w:tcW w:w="8558" w:type="dxa"/>
            <w:shd w:val="clear" w:color="auto" w:fill="auto"/>
            <w:vAlign w:val="center"/>
            <w:hideMark/>
          </w:tcPr>
          <w:p w:rsidR="00EA2492" w:rsidRPr="00F7311D" w:rsidP="00EA2492" w14:paraId="4530E0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and courses designed specifically for individuals who have completed a degree in a professional field (such as law, medicine, dentistry, education, or social work) to obtain additional training in their particular field of study.</w:t>
            </w:r>
          </w:p>
        </w:tc>
        <w:tc>
          <w:tcPr>
            <w:tcW w:w="2097" w:type="dxa"/>
            <w:shd w:val="clear" w:color="auto" w:fill="auto"/>
            <w:vAlign w:val="center"/>
            <w:hideMark/>
          </w:tcPr>
          <w:p w:rsidR="00EA2492" w:rsidRPr="00F7311D" w:rsidP="00EA2492" w14:paraId="7F0E38B6" w14:textId="77777777">
            <w:pPr>
              <w:spacing w:after="0" w:line="240" w:lineRule="auto"/>
              <w:rPr>
                <w:rFonts w:ascii="Calibri" w:eastAsia="Times New Roman" w:hAnsi="Calibri" w:cs="Calibri"/>
                <w:color w:val="000000"/>
                <w:sz w:val="18"/>
                <w:szCs w:val="18"/>
              </w:rPr>
            </w:pPr>
          </w:p>
        </w:tc>
      </w:tr>
      <w:tr w14:paraId="1C7789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FC7D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Continuing/Returning student (undergraduate)</w:t>
            </w:r>
          </w:p>
        </w:tc>
        <w:tc>
          <w:tcPr>
            <w:tcW w:w="8558" w:type="dxa"/>
            <w:shd w:val="clear" w:color="auto" w:fill="auto"/>
            <w:vAlign w:val="center"/>
            <w:hideMark/>
          </w:tcPr>
          <w:p w:rsidR="00EA2492" w:rsidRPr="00F7311D" w:rsidP="00EA2492" w14:paraId="7D6381A0" w14:textId="43AB0255">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A </w:t>
            </w:r>
            <w:r w:rsidRPr="008878BA" w:rsidR="001867BE">
              <w:rPr>
                <w:rFonts w:ascii="Calibri" w:eastAsia="Times New Roman" w:hAnsi="Calibri" w:cs="Calibri"/>
                <w:sz w:val="18"/>
                <w:szCs w:val="18"/>
              </w:rPr>
              <w:t xml:space="preserve">degree/certificate-seeking </w:t>
            </w:r>
            <w:r w:rsidRPr="008878BA">
              <w:rPr>
                <w:rFonts w:ascii="Calibri" w:eastAsia="Times New Roman" w:hAnsi="Calibri" w:cs="Calibri"/>
                <w:sz w:val="18"/>
                <w:szCs w:val="18"/>
              </w:rPr>
              <w:t xml:space="preserve">student who is not new to the institution </w:t>
            </w:r>
            <w:r w:rsidRPr="008878BA" w:rsidR="001867BE">
              <w:rPr>
                <w:rFonts w:ascii="Calibri" w:eastAsia="Times New Roman" w:hAnsi="Calibri" w:cs="Calibri"/>
                <w:sz w:val="18"/>
                <w:szCs w:val="18"/>
              </w:rPr>
              <w:t>during the IPEDS enrollment reporting period</w:t>
            </w:r>
            <w:r w:rsidRPr="008878BA">
              <w:rPr>
                <w:rFonts w:ascii="Calibri" w:eastAsia="Times New Roman" w:hAnsi="Calibri" w:cs="Calibri"/>
                <w:sz w:val="18"/>
                <w:szCs w:val="18"/>
              </w:rPr>
              <w:t xml:space="preserve">, but instead is continuing </w:t>
            </w:r>
            <w:r w:rsidRPr="008878BA" w:rsidR="003A2FD1">
              <w:rPr>
                <w:rFonts w:ascii="Calibri" w:eastAsia="Times New Roman" w:hAnsi="Calibri" w:cs="Calibri"/>
                <w:sz w:val="18"/>
                <w:szCs w:val="18"/>
              </w:rPr>
              <w:t xml:space="preserve">their </w:t>
            </w:r>
            <w:r w:rsidRPr="008878BA">
              <w:rPr>
                <w:rFonts w:ascii="Calibri" w:eastAsia="Times New Roman" w:hAnsi="Calibri" w:cs="Calibri"/>
                <w:sz w:val="18"/>
                <w:szCs w:val="18"/>
              </w:rPr>
              <w:t xml:space="preserve">studies at the institution (i.e., not </w:t>
            </w:r>
            <w:r w:rsidRPr="008878BA" w:rsidR="003A2FD1">
              <w:rPr>
                <w:rFonts w:ascii="Calibri" w:eastAsia="Times New Roman" w:hAnsi="Calibri" w:cs="Calibri"/>
                <w:sz w:val="18"/>
                <w:szCs w:val="18"/>
              </w:rPr>
              <w:t xml:space="preserve">an entering </w:t>
            </w:r>
            <w:r w:rsidRPr="008878BA">
              <w:rPr>
                <w:rFonts w:ascii="Calibri" w:eastAsia="Times New Roman" w:hAnsi="Calibri" w:cs="Calibri"/>
                <w:sz w:val="18"/>
                <w:szCs w:val="18"/>
              </w:rPr>
              <w:t xml:space="preserve">first-time </w:t>
            </w:r>
            <w:r w:rsidRPr="008878BA" w:rsidR="003A2FD1">
              <w:rPr>
                <w:rFonts w:ascii="Calibri" w:eastAsia="Times New Roman" w:hAnsi="Calibri" w:cs="Calibri"/>
                <w:sz w:val="18"/>
                <w:szCs w:val="18"/>
              </w:rPr>
              <w:t>or</w:t>
            </w:r>
            <w:r w:rsidRPr="008878BA">
              <w:rPr>
                <w:rFonts w:ascii="Calibri" w:eastAsia="Times New Roman" w:hAnsi="Calibri" w:cs="Calibri"/>
                <w:sz w:val="18"/>
                <w:szCs w:val="18"/>
              </w:rPr>
              <w:t xml:space="preserve"> transfer-in</w:t>
            </w:r>
            <w:r w:rsidRPr="008878BA" w:rsidR="003A2FD1">
              <w:rPr>
                <w:rFonts w:ascii="Calibri" w:eastAsia="Times New Roman" w:hAnsi="Calibri" w:cs="Calibri"/>
                <w:sz w:val="18"/>
                <w:szCs w:val="18"/>
              </w:rPr>
              <w:t xml:space="preserve"> student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6D70D3BA" w14:textId="77777777">
            <w:pPr>
              <w:spacing w:after="0" w:line="240" w:lineRule="auto"/>
              <w:rPr>
                <w:rFonts w:ascii="Calibri" w:eastAsia="Times New Roman" w:hAnsi="Calibri" w:cs="Calibri"/>
                <w:color w:val="000000"/>
                <w:sz w:val="18"/>
                <w:szCs w:val="18"/>
              </w:rPr>
            </w:pPr>
          </w:p>
        </w:tc>
      </w:tr>
      <w:tr w14:paraId="32CD99D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E1A7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Continuous basis</w:t>
            </w:r>
          </w:p>
        </w:tc>
        <w:tc>
          <w:tcPr>
            <w:tcW w:w="8558" w:type="dxa"/>
            <w:shd w:val="clear" w:color="auto" w:fill="auto"/>
            <w:vAlign w:val="center"/>
            <w:hideMark/>
          </w:tcPr>
          <w:p w:rsidR="00EA2492" w:rsidRPr="00F7311D" w:rsidP="00EA2492" w14:paraId="5BD150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classification that is used by institutions that allow students to enroll/start classes at any time during the year. For example, a cosmetology school or a word processing school might allow students to enroll and begin studies at various times, with no requirement that classes begin on a certain date.</w:t>
            </w:r>
          </w:p>
        </w:tc>
        <w:tc>
          <w:tcPr>
            <w:tcW w:w="2097" w:type="dxa"/>
            <w:shd w:val="clear" w:color="auto" w:fill="auto"/>
            <w:vAlign w:val="center"/>
            <w:hideMark/>
          </w:tcPr>
          <w:p w:rsidR="00EA2492" w:rsidRPr="00F7311D" w:rsidP="00EA2492" w14:paraId="08013EA9" w14:textId="77777777">
            <w:pPr>
              <w:spacing w:after="0" w:line="240" w:lineRule="auto"/>
              <w:rPr>
                <w:rFonts w:ascii="Calibri" w:eastAsia="Times New Roman" w:hAnsi="Calibri" w:cs="Calibri"/>
                <w:color w:val="000000"/>
                <w:sz w:val="18"/>
                <w:szCs w:val="18"/>
              </w:rPr>
            </w:pPr>
          </w:p>
        </w:tc>
      </w:tr>
      <w:tr w14:paraId="3BE394A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9362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Contributions from affiliated entities</w:t>
            </w:r>
          </w:p>
        </w:tc>
        <w:tc>
          <w:tcPr>
            <w:tcW w:w="8558" w:type="dxa"/>
            <w:shd w:val="clear" w:color="auto" w:fill="auto"/>
            <w:vAlign w:val="center"/>
            <w:hideMark/>
          </w:tcPr>
          <w:p w:rsidR="00EA2492" w:rsidRPr="00F7311D" w:rsidP="00EA2492" w14:paraId="752F5A0C" w14:textId="098644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non-consolidated affiliated entities, such as fund-raising foundations, booster clubs, other institutionally-related foundations, and similar organizations created to support the institution or organizational units of the institution. General purpose financial statements for FASB institutions include a separate line for these revenues; GASB institutions classify such revenues as gifts.</w:t>
            </w:r>
          </w:p>
        </w:tc>
        <w:tc>
          <w:tcPr>
            <w:tcW w:w="2097" w:type="dxa"/>
            <w:shd w:val="clear" w:color="auto" w:fill="auto"/>
            <w:vAlign w:val="center"/>
            <w:hideMark/>
          </w:tcPr>
          <w:p w:rsidR="00EA2492" w:rsidRPr="00F7311D" w:rsidP="00EA2492" w14:paraId="349E6709" w14:textId="77777777">
            <w:pPr>
              <w:spacing w:after="0" w:line="240" w:lineRule="auto"/>
              <w:rPr>
                <w:rFonts w:ascii="Calibri" w:eastAsia="Times New Roman" w:hAnsi="Calibri" w:cs="Calibri"/>
                <w:color w:val="000000"/>
                <w:sz w:val="18"/>
                <w:szCs w:val="18"/>
              </w:rPr>
            </w:pPr>
          </w:p>
        </w:tc>
      </w:tr>
      <w:tr w14:paraId="481BA71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CB3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c>
          <w:tcPr>
            <w:tcW w:w="8558" w:type="dxa"/>
            <w:shd w:val="clear" w:color="auto" w:fill="auto"/>
            <w:vAlign w:val="center"/>
            <w:hideMark/>
          </w:tcPr>
          <w:p w:rsidR="00EA2492" w:rsidRPr="00F7311D" w:rsidP="00EA2492" w14:paraId="23823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 is operated by publicly elected or appointed officials (public control) or by privately elected or appointed officials and derives its major source of funds from private sources (private control).</w:t>
            </w:r>
          </w:p>
        </w:tc>
        <w:tc>
          <w:tcPr>
            <w:tcW w:w="2097" w:type="dxa"/>
            <w:shd w:val="clear" w:color="auto" w:fill="auto"/>
            <w:vAlign w:val="center"/>
            <w:hideMark/>
          </w:tcPr>
          <w:p w:rsidR="00EA2492" w:rsidRPr="00F7311D" w:rsidP="00EA2492" w14:paraId="56A9B899" w14:textId="0B2A4E0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 Institutional affiliation, Level (of institution)</w:t>
            </w:r>
          </w:p>
        </w:tc>
      </w:tr>
      <w:tr w14:paraId="039BB98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E4F6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Cookie</w:t>
            </w:r>
          </w:p>
        </w:tc>
        <w:tc>
          <w:tcPr>
            <w:tcW w:w="8558" w:type="dxa"/>
            <w:shd w:val="clear" w:color="auto" w:fill="auto"/>
            <w:vAlign w:val="center"/>
            <w:hideMark/>
          </w:tcPr>
          <w:p w:rsidR="00EA2492" w:rsidRPr="00F7311D" w:rsidP="00EA2492" w14:paraId="55D9A5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message given to a Web browser by a Web server. The browser stores the message in a text file. The message is then sent back to the server each time the browser requests a page from the server.</w:t>
            </w:r>
          </w:p>
        </w:tc>
        <w:tc>
          <w:tcPr>
            <w:tcW w:w="2097" w:type="dxa"/>
            <w:shd w:val="clear" w:color="auto" w:fill="auto"/>
            <w:vAlign w:val="center"/>
            <w:hideMark/>
          </w:tcPr>
          <w:p w:rsidR="00EA2492" w:rsidRPr="00F7311D" w:rsidP="00EA2492" w14:paraId="19AFAD65" w14:textId="77777777">
            <w:pPr>
              <w:spacing w:after="0" w:line="240" w:lineRule="auto"/>
              <w:rPr>
                <w:rFonts w:ascii="Calibri" w:eastAsia="Times New Roman" w:hAnsi="Calibri" w:cs="Calibri"/>
                <w:color w:val="000000"/>
                <w:sz w:val="18"/>
                <w:szCs w:val="18"/>
              </w:rPr>
            </w:pPr>
          </w:p>
        </w:tc>
      </w:tr>
      <w:tr w14:paraId="4B7CB6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2884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Cooperative (work-study) program</w:t>
            </w:r>
          </w:p>
        </w:tc>
        <w:tc>
          <w:tcPr>
            <w:tcW w:w="8558" w:type="dxa"/>
            <w:shd w:val="clear" w:color="auto" w:fill="auto"/>
            <w:vAlign w:val="center"/>
            <w:hideMark/>
          </w:tcPr>
          <w:p w:rsidR="00EA2492" w:rsidRPr="00F7311D" w:rsidP="00EA2492" w14:paraId="156DE9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provides for alternate class attendance and employment in business, industry, or government.</w:t>
            </w:r>
          </w:p>
        </w:tc>
        <w:tc>
          <w:tcPr>
            <w:tcW w:w="2097" w:type="dxa"/>
            <w:shd w:val="clear" w:color="auto" w:fill="auto"/>
            <w:vAlign w:val="center"/>
            <w:hideMark/>
          </w:tcPr>
          <w:p w:rsidR="00EA2492" w:rsidRPr="00F7311D" w:rsidP="00EA2492" w14:paraId="34A57B6C" w14:textId="77777777">
            <w:pPr>
              <w:spacing w:after="0" w:line="240" w:lineRule="auto"/>
              <w:rPr>
                <w:rFonts w:ascii="Calibri" w:eastAsia="Times New Roman" w:hAnsi="Calibri" w:cs="Calibri"/>
                <w:color w:val="000000"/>
                <w:sz w:val="18"/>
                <w:szCs w:val="18"/>
              </w:rPr>
            </w:pPr>
          </w:p>
        </w:tc>
      </w:tr>
      <w:tr w14:paraId="4BC716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7AC4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expenses</w:t>
            </w:r>
          </w:p>
        </w:tc>
        <w:tc>
          <w:tcPr>
            <w:tcW w:w="8558" w:type="dxa"/>
            <w:shd w:val="clear" w:color="auto" w:fill="auto"/>
            <w:vAlign w:val="center"/>
            <w:hideMark/>
          </w:tcPr>
          <w:p w:rsidR="00EA2492" w:rsidRPr="00F7311D" w:rsidP="00EA2492" w14:paraId="22E0A8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expenses for the essential education activities of the institution.  Core expenses for public institutions reporting under GASB standards include expenses for instruction, research, public service, academic support, student services, institutional support, scholarships and fellowships, and other operating and nonoperating expenses. Core expenses for FASB (primarily private, not-for-profit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tc>
        <w:tc>
          <w:tcPr>
            <w:tcW w:w="2097" w:type="dxa"/>
            <w:shd w:val="clear" w:color="auto" w:fill="auto"/>
            <w:vAlign w:val="center"/>
            <w:hideMark/>
          </w:tcPr>
          <w:p w:rsidR="00EA2492" w:rsidRPr="00F7311D" w:rsidP="00EA2492" w14:paraId="1FB70853" w14:textId="77777777">
            <w:pPr>
              <w:spacing w:after="0" w:line="240" w:lineRule="auto"/>
              <w:rPr>
                <w:rFonts w:ascii="Calibri" w:eastAsia="Times New Roman" w:hAnsi="Calibri" w:cs="Calibri"/>
                <w:color w:val="000000"/>
                <w:sz w:val="18"/>
                <w:szCs w:val="18"/>
              </w:rPr>
            </w:pPr>
          </w:p>
        </w:tc>
      </w:tr>
      <w:tr w14:paraId="37DD682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B99E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Core revenues</w:t>
            </w:r>
          </w:p>
        </w:tc>
        <w:tc>
          <w:tcPr>
            <w:tcW w:w="8558" w:type="dxa"/>
            <w:shd w:val="clear" w:color="auto" w:fill="auto"/>
            <w:vAlign w:val="center"/>
            <w:hideMark/>
          </w:tcPr>
          <w:p w:rsidR="00EA2492" w:rsidRPr="00F7311D" w:rsidP="00EA2492" w14:paraId="7EF9EF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Total revenues for the essential education activities of the institution.  Core revenues for public institutions (using the Governmental Accounting Standards Board (GASB) standards) include tuition and fees; government appropriations (federal, state, and local); government grants and contracts; private gifts, grants, and contracts; investment income; other operating and nonoperating sources; and other revenues and additions. Core revenues for private, not-for-profit and public institutions reporting under the Financial Accounting Standards Board (FASB) standards include tuition and fees; government appropriations (federal, state, and local); government grants and contracts; private gifts, grants, and contracts; investment return; sales and services of educational activities; 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 enterprises (e.g., bookstores, dormitories), hospitals, and independent operations.</w:t>
            </w:r>
          </w:p>
        </w:tc>
        <w:tc>
          <w:tcPr>
            <w:tcW w:w="2097" w:type="dxa"/>
            <w:shd w:val="clear" w:color="auto" w:fill="auto"/>
            <w:vAlign w:val="center"/>
            <w:hideMark/>
          </w:tcPr>
          <w:p w:rsidR="00EA2492" w:rsidRPr="00F7311D" w:rsidP="00EA2492" w14:paraId="555EFB59" w14:textId="77777777">
            <w:pPr>
              <w:spacing w:after="0" w:line="240" w:lineRule="auto"/>
              <w:rPr>
                <w:rFonts w:ascii="Calibri" w:eastAsia="Times New Roman" w:hAnsi="Calibri" w:cs="Calibri"/>
                <w:color w:val="000000"/>
                <w:sz w:val="18"/>
                <w:szCs w:val="18"/>
              </w:rPr>
            </w:pPr>
          </w:p>
        </w:tc>
      </w:tr>
      <w:tr w14:paraId="043EA9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3F1DD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Correspondence Education</w:t>
            </w:r>
          </w:p>
        </w:tc>
        <w:tc>
          <w:tcPr>
            <w:tcW w:w="8558" w:type="dxa"/>
            <w:shd w:val="clear" w:color="auto" w:fill="auto"/>
            <w:vAlign w:val="center"/>
            <w:hideMark/>
          </w:tcPr>
          <w:p w:rsidR="00EA2492" w:rsidRPr="00F7311D" w:rsidP="00EA2492" w14:paraId="30BD654D" w14:textId="5C3949B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 provided through one or more courses in which the institution provides instructional materials and examinations by mail or electronic transmission to students who are separated from the instruction. Interaction between the instructor and the student is not regular and substantive, and it is primarily initiated by the student. Correspondence courses are typically self-paced. Correspondence education is not distance education.</w:t>
            </w:r>
          </w:p>
        </w:tc>
        <w:tc>
          <w:tcPr>
            <w:tcW w:w="2097" w:type="dxa"/>
            <w:shd w:val="clear" w:color="auto" w:fill="auto"/>
            <w:vAlign w:val="center"/>
            <w:hideMark/>
          </w:tcPr>
          <w:p w:rsidR="00EA2492" w:rsidRPr="00F7311D" w:rsidP="00EA2492" w14:paraId="6CE40FCA" w14:textId="77777777">
            <w:pPr>
              <w:spacing w:after="0" w:line="240" w:lineRule="auto"/>
              <w:rPr>
                <w:rFonts w:ascii="Calibri" w:eastAsia="Times New Roman" w:hAnsi="Calibri" w:cs="Calibri"/>
                <w:color w:val="000000"/>
                <w:sz w:val="18"/>
                <w:szCs w:val="18"/>
              </w:rPr>
            </w:pPr>
          </w:p>
        </w:tc>
      </w:tr>
      <w:tr w14:paraId="00ED4D98" w14:textId="77777777" w:rsidTr="0036249A">
        <w:tblPrEx>
          <w:tblW w:w="13616" w:type="dxa"/>
          <w:tblLook w:val="04A0"/>
        </w:tblPrEx>
        <w:trPr>
          <w:trHeight w:val="20"/>
        </w:trPr>
        <w:tc>
          <w:tcPr>
            <w:tcW w:w="2961" w:type="dxa"/>
            <w:shd w:val="clear" w:color="auto" w:fill="auto"/>
            <w:vAlign w:val="center"/>
          </w:tcPr>
          <w:p w:rsidR="00025128" w:rsidRPr="008878BA" w:rsidP="00EA2492" w14:paraId="65351BFE" w14:textId="143B07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(CST)</w:t>
            </w:r>
          </w:p>
        </w:tc>
        <w:tc>
          <w:tcPr>
            <w:tcW w:w="8558" w:type="dxa"/>
            <w:shd w:val="clear" w:color="auto" w:fill="auto"/>
            <w:vAlign w:val="center"/>
          </w:tcPr>
          <w:p w:rsidR="00025128" w:rsidRPr="008878BA" w:rsidP="47E59BC4" w14:paraId="417FC999" w14:textId="733E1E2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w:t>
            </w:r>
            <w:r w:rsidRPr="008878BA" w:rsidR="712F2A83">
              <w:rPr>
                <w:rFonts w:ascii="Calibri" w:eastAsia="Times New Roman" w:hAnsi="Calibri" w:cs="Calibri"/>
                <w:sz w:val="18"/>
                <w:szCs w:val="18"/>
              </w:rPr>
              <w:t xml:space="preserve">IPEDS survey </w:t>
            </w:r>
            <w:r w:rsidRPr="008878BA">
              <w:rPr>
                <w:rFonts w:ascii="Calibri" w:eastAsia="Times New Roman" w:hAnsi="Calibri" w:cs="Calibri"/>
                <w:sz w:val="18"/>
                <w:szCs w:val="18"/>
              </w:rPr>
              <w:t>component collects information on student cha</w:t>
            </w:r>
            <w:r w:rsidRPr="008878BA" w:rsidR="00AA6356">
              <w:rPr>
                <w:rFonts w:ascii="Calibri" w:eastAsia="Times New Roman" w:hAnsi="Calibri" w:cs="Calibri"/>
                <w:sz w:val="18"/>
                <w:szCs w:val="18"/>
              </w:rPr>
              <w:t xml:space="preserve">rges for Cost of Attendance </w:t>
            </w:r>
            <w:r w:rsidRPr="008878BA" w:rsidR="00CA7231">
              <w:rPr>
                <w:rFonts w:ascii="Calibri" w:eastAsia="Times New Roman" w:hAnsi="Calibri" w:cs="Calibri"/>
                <w:sz w:val="18"/>
                <w:szCs w:val="18"/>
              </w:rPr>
              <w:t xml:space="preserve">estimates and </w:t>
            </w:r>
            <w:r w:rsidRPr="008878BA" w:rsidR="00AA6356">
              <w:rPr>
                <w:rFonts w:ascii="Calibri" w:eastAsia="Times New Roman" w:hAnsi="Calibri" w:cs="Calibri"/>
                <w:sz w:val="18"/>
                <w:szCs w:val="18"/>
              </w:rPr>
              <w:t xml:space="preserve">to calculate an Average Net Price (ANP) for first-time, full-time undergraduate students to meet requirements of the Higher Education Act of 1965 (HEA), as amended. </w:t>
            </w:r>
            <w:r w:rsidRPr="008878BA" w:rsidR="00CE21BA">
              <w:rPr>
                <w:rFonts w:ascii="Calibri" w:eastAsia="Times New Roman" w:hAnsi="Calibri" w:cs="Calibri"/>
                <w:sz w:val="18"/>
                <w:szCs w:val="18"/>
              </w:rPr>
              <w:t xml:space="preserve">This component also collects information on tuition and fees for other students. </w:t>
            </w:r>
          </w:p>
        </w:tc>
        <w:tc>
          <w:tcPr>
            <w:tcW w:w="2097" w:type="dxa"/>
            <w:shd w:val="clear" w:color="auto" w:fill="auto"/>
            <w:vAlign w:val="center"/>
          </w:tcPr>
          <w:p w:rsidR="00025128" w:rsidRPr="008878BA" w:rsidP="00EA2492" w14:paraId="5E65C2C1" w14:textId="77777777">
            <w:pPr>
              <w:spacing w:after="0" w:line="240" w:lineRule="auto"/>
              <w:rPr>
                <w:rFonts w:ascii="Calibri" w:eastAsia="Times New Roman" w:hAnsi="Calibri" w:cs="Calibri"/>
                <w:sz w:val="18"/>
                <w:szCs w:val="18"/>
              </w:rPr>
            </w:pPr>
          </w:p>
        </w:tc>
      </w:tr>
      <w:tr w14:paraId="31BA86C8"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308BD96" w14:textId="3BB4C69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Cost of </w:t>
            </w:r>
            <w:r w:rsidRPr="008878BA" w:rsidR="00412144">
              <w:rPr>
                <w:rFonts w:ascii="Calibri" w:eastAsia="Times New Roman" w:hAnsi="Calibri" w:cs="Calibri"/>
                <w:sz w:val="18"/>
                <w:szCs w:val="18"/>
              </w:rPr>
              <w:t>A</w:t>
            </w:r>
            <w:r w:rsidRPr="008878BA">
              <w:rPr>
                <w:rFonts w:ascii="Calibri" w:eastAsia="Times New Roman" w:hAnsi="Calibri" w:cs="Calibri"/>
                <w:sz w:val="18"/>
                <w:szCs w:val="18"/>
              </w:rPr>
              <w:t>ttendance (</w:t>
            </w:r>
            <w:r w:rsidRPr="008878BA" w:rsidR="00412144">
              <w:rPr>
                <w:rFonts w:ascii="Calibri" w:eastAsia="Times New Roman" w:hAnsi="Calibri" w:cs="Calibri"/>
                <w:sz w:val="18"/>
                <w:szCs w:val="18"/>
              </w:rPr>
              <w:t>COA) [</w:t>
            </w:r>
            <w:r w:rsidRPr="008878BA">
              <w:rPr>
                <w:rFonts w:ascii="Calibri" w:eastAsia="Times New Roman" w:hAnsi="Calibri" w:cs="Calibri"/>
                <w:sz w:val="18"/>
                <w:szCs w:val="18"/>
              </w:rPr>
              <w:t>for IPEDS reporting purposes</w:t>
            </w:r>
            <w:r w:rsidRPr="008878BA" w:rsidR="00412144">
              <w:rPr>
                <w:rFonts w:ascii="Calibri" w:eastAsia="Times New Roman" w:hAnsi="Calibri" w:cs="Calibri"/>
                <w:sz w:val="18"/>
                <w:szCs w:val="18"/>
              </w:rPr>
              <w:t>]</w:t>
            </w:r>
          </w:p>
        </w:tc>
        <w:tc>
          <w:tcPr>
            <w:tcW w:w="8558" w:type="dxa"/>
            <w:shd w:val="clear" w:color="auto" w:fill="auto"/>
            <w:vAlign w:val="center"/>
            <w:hideMark/>
          </w:tcPr>
          <w:p w:rsidR="00EA2492" w:rsidRPr="008878BA" w:rsidP="47E59BC4" w14:paraId="315E05F3" w14:textId="7B3E204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amount of tuition and fees</w:t>
            </w:r>
            <w:r w:rsidRPr="008878BA" w:rsidR="00311464">
              <w:rPr>
                <w:rFonts w:ascii="Calibri" w:eastAsia="Times New Roman" w:hAnsi="Calibri" w:cs="Calibri"/>
                <w:sz w:val="18"/>
                <w:szCs w:val="18"/>
              </w:rPr>
              <w:t xml:space="preserve">; </w:t>
            </w:r>
            <w:r w:rsidRPr="008878BA" w:rsidR="3122D49C">
              <w:rPr>
                <w:rFonts w:ascii="Calibri" w:eastAsia="Calibri" w:hAnsi="Calibri" w:cs="Calibri"/>
                <w:sz w:val="18"/>
                <w:szCs w:val="18"/>
              </w:rPr>
              <w:t>food and housing; books, course materials, supplies, and equipment</w:t>
            </w:r>
            <w:r w:rsidRPr="008878BA" w:rsidR="00311464">
              <w:rPr>
                <w:rFonts w:ascii="Calibri" w:eastAsia="Calibri" w:hAnsi="Calibri" w:cs="Calibri"/>
                <w:sz w:val="18"/>
                <w:szCs w:val="18"/>
              </w:rPr>
              <w:t xml:space="preserve">; </w:t>
            </w:r>
            <w:r w:rsidRPr="008878BA">
              <w:rPr>
                <w:rFonts w:ascii="Calibri" w:eastAsia="Times New Roman" w:hAnsi="Calibri" w:cs="Calibri"/>
                <w:sz w:val="18"/>
                <w:szCs w:val="18"/>
              </w:rPr>
              <w:t>and other expenses that a full-time, first-time degree/certificate-seeking student can expect to pay to go to college for an academic year. Costs reported to IPEDS by the institution are those amounts used by the financial aid office to determine a student's financial need for the academic year, which is typically nine months.</w:t>
            </w:r>
          </w:p>
        </w:tc>
        <w:tc>
          <w:tcPr>
            <w:tcW w:w="2097" w:type="dxa"/>
            <w:shd w:val="clear" w:color="auto" w:fill="auto"/>
            <w:vAlign w:val="center"/>
            <w:hideMark/>
          </w:tcPr>
          <w:p w:rsidR="00EA2492" w:rsidRPr="002515CF" w:rsidP="00EA2492" w14:paraId="391CE0B8"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Allowable costs</w:t>
            </w:r>
          </w:p>
          <w:p w:rsidR="00EA2492" w:rsidRPr="002515CF" w:rsidP="00EA2492" w14:paraId="23E5BC6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Average cost of attendance</w:t>
            </w:r>
          </w:p>
          <w:p w:rsidR="00EA2492" w:rsidRPr="002515CF" w:rsidP="00EA2492" w14:paraId="7F1708D3" w14:textId="3F7A634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Total cost of attendance</w:t>
            </w:r>
          </w:p>
        </w:tc>
      </w:tr>
      <w:tr w14:paraId="16B64D8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D1718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Counseling service</w:t>
            </w:r>
          </w:p>
        </w:tc>
        <w:tc>
          <w:tcPr>
            <w:tcW w:w="8558" w:type="dxa"/>
            <w:shd w:val="clear" w:color="auto" w:fill="auto"/>
            <w:vAlign w:val="center"/>
            <w:hideMark/>
          </w:tcPr>
          <w:p w:rsidR="00EA2492" w:rsidRPr="00F7311D" w:rsidP="00EA2492" w14:paraId="0CFC73A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designed to assist students in making plans and decisions related to their education, career, or personal development.</w:t>
            </w:r>
          </w:p>
        </w:tc>
        <w:tc>
          <w:tcPr>
            <w:tcW w:w="2097" w:type="dxa"/>
            <w:shd w:val="clear" w:color="auto" w:fill="auto"/>
            <w:vAlign w:val="center"/>
            <w:hideMark/>
          </w:tcPr>
          <w:p w:rsidR="00EA2492" w:rsidRPr="00F7311D" w:rsidP="00EA2492" w14:paraId="4BEE7975" w14:textId="77777777">
            <w:pPr>
              <w:spacing w:after="0" w:line="240" w:lineRule="auto"/>
              <w:rPr>
                <w:rFonts w:ascii="Calibri" w:eastAsia="Times New Roman" w:hAnsi="Calibri" w:cs="Calibri"/>
                <w:color w:val="000000"/>
                <w:sz w:val="18"/>
                <w:szCs w:val="18"/>
              </w:rPr>
            </w:pPr>
          </w:p>
        </w:tc>
      </w:tr>
      <w:tr w14:paraId="7B0D8FF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AC90D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w:t>
            </w:r>
          </w:p>
        </w:tc>
        <w:tc>
          <w:tcPr>
            <w:tcW w:w="8558" w:type="dxa"/>
            <w:shd w:val="clear" w:color="auto" w:fill="auto"/>
            <w:vAlign w:val="center"/>
            <w:hideMark/>
          </w:tcPr>
          <w:p w:rsidR="00EA2492" w:rsidRPr="00F7311D" w:rsidP="00EA2492" w14:paraId="3E1AE94B" w14:textId="0F8C9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2974A5E8" w14:textId="77777777">
            <w:pPr>
              <w:spacing w:after="0" w:line="240" w:lineRule="auto"/>
              <w:rPr>
                <w:rFonts w:ascii="Calibri" w:eastAsia="Times New Roman" w:hAnsi="Calibri" w:cs="Calibri"/>
                <w:color w:val="000000"/>
                <w:sz w:val="18"/>
                <w:szCs w:val="18"/>
              </w:rPr>
            </w:pPr>
          </w:p>
        </w:tc>
      </w:tr>
      <w:tr w14:paraId="1D8B4A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580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course</w:t>
            </w:r>
          </w:p>
        </w:tc>
        <w:tc>
          <w:tcPr>
            <w:tcW w:w="8558" w:type="dxa"/>
            <w:shd w:val="clear" w:color="auto" w:fill="auto"/>
            <w:vAlign w:val="center"/>
            <w:hideMark/>
          </w:tcPr>
          <w:p w:rsidR="00EA2492" w:rsidRPr="00F7311D" w:rsidP="00EA2492" w14:paraId="164B5C17" w14:textId="3DE8C8C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that, if successfully completed, can be applied toward the number of courses required for achieving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6418914E" w14:textId="77777777">
            <w:pPr>
              <w:spacing w:after="0" w:line="240" w:lineRule="auto"/>
              <w:rPr>
                <w:rFonts w:ascii="Calibri" w:eastAsia="Times New Roman" w:hAnsi="Calibri" w:cs="Calibri"/>
                <w:color w:val="000000"/>
                <w:sz w:val="18"/>
                <w:szCs w:val="18"/>
              </w:rPr>
            </w:pPr>
          </w:p>
        </w:tc>
      </w:tr>
      <w:tr w14:paraId="4C2D8E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3C768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life experiences</w:t>
            </w:r>
          </w:p>
        </w:tc>
        <w:tc>
          <w:tcPr>
            <w:tcW w:w="8558" w:type="dxa"/>
            <w:shd w:val="clear" w:color="auto" w:fill="auto"/>
            <w:vAlign w:val="center"/>
            <w:hideMark/>
          </w:tcPr>
          <w:p w:rsidR="00EA2492" w:rsidRPr="00F7311D" w:rsidP="00EA2492" w14:paraId="140F4B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earned by students for what they have learned through independent study, noncredit adult courses, work experience, portfolio demonstration, previous licensure or certification, or completion of other learning opportunities (military, government, or professional). Credit may also be awarded through a credit by examination program.</w:t>
            </w:r>
          </w:p>
        </w:tc>
        <w:tc>
          <w:tcPr>
            <w:tcW w:w="2097" w:type="dxa"/>
            <w:shd w:val="clear" w:color="auto" w:fill="auto"/>
            <w:vAlign w:val="center"/>
            <w:hideMark/>
          </w:tcPr>
          <w:p w:rsidR="00EA2492" w:rsidRPr="00F7311D" w:rsidP="00EA2492" w14:paraId="29CA2D03" w14:textId="77777777">
            <w:pPr>
              <w:spacing w:after="0" w:line="240" w:lineRule="auto"/>
              <w:rPr>
                <w:rFonts w:ascii="Calibri" w:eastAsia="Times New Roman" w:hAnsi="Calibri" w:cs="Calibri"/>
                <w:color w:val="000000"/>
                <w:sz w:val="18"/>
                <w:szCs w:val="18"/>
              </w:rPr>
            </w:pPr>
          </w:p>
        </w:tc>
      </w:tr>
      <w:tr w14:paraId="3A986A5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CE14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for Military Training</w:t>
            </w:r>
          </w:p>
        </w:tc>
        <w:tc>
          <w:tcPr>
            <w:tcW w:w="8558" w:type="dxa"/>
            <w:shd w:val="clear" w:color="auto" w:fill="auto"/>
            <w:vAlign w:val="center"/>
            <w:hideMark/>
          </w:tcPr>
          <w:p w:rsidR="00EA2492" w:rsidRPr="00F7311D" w:rsidP="00EA2492" w14:paraId="1F07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credit granted by institutions to military servicemen or veterans for experiences and training gained while in the service.</w:t>
            </w:r>
          </w:p>
        </w:tc>
        <w:tc>
          <w:tcPr>
            <w:tcW w:w="2097" w:type="dxa"/>
            <w:shd w:val="clear" w:color="auto" w:fill="auto"/>
            <w:vAlign w:val="center"/>
            <w:hideMark/>
          </w:tcPr>
          <w:p w:rsidR="00EA2492" w:rsidRPr="00F7311D" w:rsidP="00EA2492" w14:paraId="700CEACB" w14:textId="77777777">
            <w:pPr>
              <w:spacing w:after="0" w:line="240" w:lineRule="auto"/>
              <w:rPr>
                <w:rFonts w:ascii="Calibri" w:eastAsia="Times New Roman" w:hAnsi="Calibri" w:cs="Calibri"/>
                <w:color w:val="000000"/>
                <w:sz w:val="18"/>
                <w:szCs w:val="18"/>
              </w:rPr>
            </w:pPr>
          </w:p>
        </w:tc>
      </w:tr>
      <w:tr w14:paraId="1006C5A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34DB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w:t>
            </w:r>
          </w:p>
        </w:tc>
        <w:tc>
          <w:tcPr>
            <w:tcW w:w="8558" w:type="dxa"/>
            <w:shd w:val="clear" w:color="auto" w:fill="auto"/>
            <w:vAlign w:val="center"/>
            <w:hideMark/>
          </w:tcPr>
          <w:p w:rsidR="00EA2492" w:rsidRPr="00F7311D" w:rsidP="00EA2492" w14:paraId="7ACB4CC8" w14:textId="255C0275">
            <w:pPr>
              <w:spacing w:after="0" w:line="240" w:lineRule="auto"/>
              <w:rPr>
                <w:rFonts w:ascii="Calibri" w:eastAsia="Times New Roman" w:hAnsi="Calibri" w:cs="Calibri"/>
                <w:color w:val="000000"/>
                <w:sz w:val="18"/>
                <w:szCs w:val="18"/>
              </w:rPr>
            </w:pPr>
            <w:r w:rsidRPr="4035EC3D">
              <w:rPr>
                <w:rFonts w:ascii="Calibri" w:eastAsia="Times New Roman" w:hAnsi="Calibri" w:cs="Calibri"/>
                <w:color w:val="000000" w:themeColor="text1"/>
                <w:sz w:val="18"/>
                <w:szCs w:val="18"/>
              </w:rPr>
              <w:t>A unit of measure representing the equivalent of an hour (50 minutes) of instruction per week over the entire term. It is applied toward the total number of credit hours needed for completing the requirements of a degree, diploma, certificate, or other recognized postsecondary credential.</w:t>
            </w:r>
          </w:p>
        </w:tc>
        <w:tc>
          <w:tcPr>
            <w:tcW w:w="2097" w:type="dxa"/>
            <w:shd w:val="clear" w:color="auto" w:fill="auto"/>
            <w:vAlign w:val="center"/>
            <w:hideMark/>
          </w:tcPr>
          <w:p w:rsidR="00EA2492" w:rsidRPr="00F7311D" w:rsidP="00EA2492" w14:paraId="644D99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Clock hour</w:t>
            </w:r>
          </w:p>
        </w:tc>
      </w:tr>
      <w:tr w14:paraId="4B7040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D95E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hour activity</w:t>
            </w:r>
          </w:p>
        </w:tc>
        <w:tc>
          <w:tcPr>
            <w:tcW w:w="8558" w:type="dxa"/>
            <w:shd w:val="clear" w:color="auto" w:fill="auto"/>
            <w:vAlign w:val="center"/>
            <w:hideMark/>
          </w:tcPr>
          <w:p w:rsidR="00EA2492" w:rsidRPr="00F7311D" w:rsidP="00EA2492" w14:paraId="2412DA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coursework to students which can be measured in terms of credit hours.</w:t>
            </w:r>
          </w:p>
        </w:tc>
        <w:tc>
          <w:tcPr>
            <w:tcW w:w="2097" w:type="dxa"/>
            <w:shd w:val="clear" w:color="auto" w:fill="auto"/>
            <w:vAlign w:val="center"/>
            <w:hideMark/>
          </w:tcPr>
          <w:p w:rsidR="00EA2492" w:rsidRPr="00F7311D" w:rsidP="00EA2492" w14:paraId="024FD377" w14:textId="77777777">
            <w:pPr>
              <w:spacing w:after="0" w:line="240" w:lineRule="auto"/>
              <w:rPr>
                <w:rFonts w:ascii="Calibri" w:eastAsia="Times New Roman" w:hAnsi="Calibri" w:cs="Calibri"/>
                <w:color w:val="000000"/>
                <w:sz w:val="18"/>
                <w:szCs w:val="18"/>
              </w:rPr>
            </w:pPr>
          </w:p>
        </w:tc>
      </w:tr>
      <w:tr w14:paraId="6CF2D129" w14:textId="77777777" w:rsidTr="0036249A">
        <w:tblPrEx>
          <w:tblW w:w="13616" w:type="dxa"/>
          <w:tblLook w:val="04A0"/>
        </w:tblPrEx>
        <w:trPr>
          <w:trHeight w:val="20"/>
        </w:trPr>
        <w:tc>
          <w:tcPr>
            <w:tcW w:w="2961" w:type="dxa"/>
            <w:shd w:val="clear" w:color="auto" w:fill="auto"/>
          </w:tcPr>
          <w:p w:rsidR="00EA2492" w:rsidRPr="002515CF" w:rsidP="00EA2492" w14:paraId="15F390A0" w14:textId="01BF931F">
            <w:pPr>
              <w:spacing w:after="0" w:line="240" w:lineRule="auto"/>
              <w:rPr>
                <w:rFonts w:ascii="Calibri" w:eastAsia="Times New Roman" w:hAnsi="Calibri" w:cs="Calibri"/>
                <w:sz w:val="18"/>
                <w:szCs w:val="18"/>
              </w:rPr>
            </w:pPr>
            <w:r w:rsidRPr="002515CF">
              <w:rPr>
                <w:sz w:val="18"/>
                <w:szCs w:val="18"/>
              </w:rPr>
              <w:t>Cross-over award period</w:t>
            </w:r>
          </w:p>
        </w:tc>
        <w:tc>
          <w:tcPr>
            <w:tcW w:w="8558" w:type="dxa"/>
            <w:shd w:val="clear" w:color="auto" w:fill="auto"/>
          </w:tcPr>
          <w:p w:rsidR="00EA2492" w:rsidRPr="002515CF" w:rsidP="00EA2492" w14:paraId="3BFFFA9B" w14:textId="2D7BC2A9">
            <w:pPr>
              <w:spacing w:after="0" w:line="240" w:lineRule="auto"/>
              <w:rPr>
                <w:rFonts w:ascii="Calibri" w:eastAsia="Times New Roman" w:hAnsi="Calibri" w:cs="Calibri"/>
                <w:sz w:val="18"/>
                <w:szCs w:val="18"/>
              </w:rPr>
            </w:pPr>
            <w:r w:rsidRPr="002515CF">
              <w:rPr>
                <w:sz w:val="18"/>
                <w:szCs w:val="18"/>
              </w:rPr>
              <w:t>A term or period of enrollment in a course or program that begins in one award year and ends in the subsequent award year.</w:t>
            </w:r>
          </w:p>
        </w:tc>
        <w:tc>
          <w:tcPr>
            <w:tcW w:w="2097" w:type="dxa"/>
            <w:shd w:val="clear" w:color="auto" w:fill="auto"/>
            <w:vAlign w:val="center"/>
          </w:tcPr>
          <w:p w:rsidR="00EA2492" w:rsidRPr="00F7311D" w:rsidP="00EA2492" w14:paraId="663DD3CA" w14:textId="77777777">
            <w:pPr>
              <w:spacing w:after="0" w:line="240" w:lineRule="auto"/>
              <w:rPr>
                <w:rFonts w:ascii="Calibri" w:eastAsia="Times New Roman" w:hAnsi="Calibri" w:cs="Calibri"/>
                <w:color w:val="000000"/>
                <w:sz w:val="18"/>
                <w:szCs w:val="18"/>
              </w:rPr>
            </w:pPr>
          </w:p>
        </w:tc>
      </w:tr>
      <w:tr w14:paraId="0D464E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C588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assets</w:t>
            </w:r>
          </w:p>
        </w:tc>
        <w:tc>
          <w:tcPr>
            <w:tcW w:w="8558" w:type="dxa"/>
            <w:shd w:val="clear" w:color="auto" w:fill="auto"/>
            <w:vAlign w:val="center"/>
            <w:hideMark/>
          </w:tcPr>
          <w:p w:rsidR="00EA2492" w:rsidRPr="00F7311D" w:rsidP="00EA2492" w14:paraId="5B6A500B" w14:textId="0F6F94C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reasonably expected to be realized in cash or sold or consumed during the next normal operating cycle (normally one year) of the institution. Liquidity or nearness to cash is not the basis for classifying assets as current or non-current; thus</w:t>
            </w:r>
            <w:r w:rsidR="00857F9D">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or investments intended for liquidation of liabilities due beyond the one-year period would not be current assets.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Beginning with 2013-14, GASB Statements 63 and 65 required institutions to display deferred inflows and outflows on their Statement of Net Position. Thus</w:t>
            </w:r>
            <w:r w:rsidR="008A766B">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in the 2013-14</w:t>
            </w:r>
            <w:r w:rsidR="008A766B">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(FY13) through the 2015-16(FY15) collections, current assets included deferred outflows of resources. Beginning with 2016-17 (FY16), deferred outflows was collected separately from current assets.</w:t>
            </w:r>
          </w:p>
        </w:tc>
        <w:tc>
          <w:tcPr>
            <w:tcW w:w="2097" w:type="dxa"/>
            <w:shd w:val="clear" w:color="auto" w:fill="auto"/>
            <w:vAlign w:val="center"/>
            <w:hideMark/>
          </w:tcPr>
          <w:p w:rsidR="00EA2492" w:rsidRPr="00F7311D" w:rsidP="00EA2492" w14:paraId="188DA6D7" w14:textId="77777777">
            <w:pPr>
              <w:spacing w:after="0" w:line="240" w:lineRule="auto"/>
              <w:rPr>
                <w:rFonts w:ascii="Calibri" w:eastAsia="Times New Roman" w:hAnsi="Calibri" w:cs="Calibri"/>
                <w:color w:val="000000"/>
                <w:sz w:val="18"/>
                <w:szCs w:val="18"/>
              </w:rPr>
            </w:pPr>
          </w:p>
        </w:tc>
      </w:tr>
      <w:tr w14:paraId="7A21828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4676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liabilities</w:t>
            </w:r>
          </w:p>
        </w:tc>
        <w:tc>
          <w:tcPr>
            <w:tcW w:w="8558" w:type="dxa"/>
            <w:shd w:val="clear" w:color="auto" w:fill="auto"/>
            <w:vAlign w:val="center"/>
            <w:hideMark/>
          </w:tcPr>
          <w:p w:rsidR="00EA2492" w:rsidRPr="00F7311D" w:rsidP="00EA2492" w14:paraId="73366907" w14:textId="65615F7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Liabilities whose liquidation is reasonably expected to require the use of resources classified as current assets or the creation of other current liabilities within the next year. May include accounts payable, accrued salaries and wages, deferred revenues, and </w:t>
            </w:r>
            <w:r w:rsidRPr="00F7311D" w:rsidR="00857F9D">
              <w:rPr>
                <w:rFonts w:ascii="Calibri" w:eastAsia="Times New Roman" w:hAnsi="Calibri" w:cs="Calibri"/>
                <w:color w:val="000000"/>
                <w:sz w:val="18"/>
                <w:szCs w:val="18"/>
              </w:rPr>
              <w:t>long-term</w:t>
            </w:r>
            <w:r w:rsidRPr="00F7311D">
              <w:rPr>
                <w:rFonts w:ascii="Calibri" w:eastAsia="Times New Roman" w:hAnsi="Calibri" w:cs="Calibri"/>
                <w:color w:val="000000"/>
                <w:sz w:val="18"/>
                <w:szCs w:val="18"/>
              </w:rPr>
              <w:t xml:space="preserve"> debt current portion, among others. Beginning with 2013-14, GASB Statements 63 and 65 required institutions to display deferred inflows and outflows of resources on their Statement of Net Position. Thus from 2013-14 (FY13) to 2015-16 (FY15), total current liabilities included deferred inflows. Beginning with FY16, deferred inflows was collected separately from total current liabilities</w:t>
            </w:r>
            <w:r>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09681CB2" w14:textId="77777777">
            <w:pPr>
              <w:spacing w:after="0" w:line="240" w:lineRule="auto"/>
              <w:rPr>
                <w:rFonts w:ascii="Calibri" w:eastAsia="Times New Roman" w:hAnsi="Calibri" w:cs="Calibri"/>
                <w:color w:val="000000"/>
                <w:sz w:val="18"/>
                <w:szCs w:val="18"/>
              </w:rPr>
            </w:pPr>
          </w:p>
        </w:tc>
      </w:tr>
      <w:tr w14:paraId="57BE38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29A234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Current replacement value</w:t>
            </w:r>
          </w:p>
        </w:tc>
        <w:tc>
          <w:tcPr>
            <w:tcW w:w="8558" w:type="dxa"/>
            <w:shd w:val="clear" w:color="auto" w:fill="auto"/>
            <w:vAlign w:val="center"/>
            <w:hideMark/>
          </w:tcPr>
          <w:p w:rsidR="00EA2492" w:rsidRPr="00F7311D" w:rsidP="00EA2492" w14:paraId="1E4937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current cost to replace all buildings owned by the institution. It represents recent appraisal value or what is currently carried as insurance replacement value, but does not include the replacement values of those buildings which are a part of endowment or other capital fund investments in real estate. This figure is not a book value figure.</w:t>
            </w:r>
          </w:p>
        </w:tc>
        <w:tc>
          <w:tcPr>
            <w:tcW w:w="2097" w:type="dxa"/>
            <w:shd w:val="clear" w:color="auto" w:fill="auto"/>
            <w:vAlign w:val="center"/>
            <w:hideMark/>
          </w:tcPr>
          <w:p w:rsidR="00EA2492" w:rsidRPr="00F7311D" w:rsidP="00EA2492" w14:paraId="79DABE2A" w14:textId="77777777">
            <w:pPr>
              <w:spacing w:after="0" w:line="240" w:lineRule="auto"/>
              <w:rPr>
                <w:rFonts w:ascii="Calibri" w:eastAsia="Times New Roman" w:hAnsi="Calibri" w:cs="Calibri"/>
                <w:color w:val="000000"/>
                <w:sz w:val="18"/>
                <w:szCs w:val="18"/>
              </w:rPr>
            </w:pPr>
          </w:p>
        </w:tc>
      </w:tr>
      <w:tr w14:paraId="369BC4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8AB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Analysis System (DAS)</w:t>
            </w:r>
          </w:p>
        </w:tc>
        <w:tc>
          <w:tcPr>
            <w:tcW w:w="8558" w:type="dxa"/>
            <w:shd w:val="clear" w:color="auto" w:fill="auto"/>
            <w:vAlign w:val="center"/>
            <w:hideMark/>
          </w:tcPr>
          <w:p w:rsidR="00EA2492" w:rsidRPr="00F7311D" w:rsidP="00EA2492" w14:paraId="5FDEA2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Data Analysis System (DAS) is a software application that allows a user to produce tables from selected NCES data sets.  While each collection year uses a separate DAS, all have a consistent interface and command structure.  User can select from several output formats, either direct printing or comma-separated file which can be input for other software.</w:t>
            </w:r>
          </w:p>
        </w:tc>
        <w:tc>
          <w:tcPr>
            <w:tcW w:w="2097" w:type="dxa"/>
            <w:shd w:val="clear" w:color="auto" w:fill="auto"/>
            <w:vAlign w:val="center"/>
            <w:hideMark/>
          </w:tcPr>
          <w:p w:rsidR="00EA2492" w:rsidRPr="00F7311D" w:rsidP="00EA2492" w14:paraId="7B138329" w14:textId="77777777">
            <w:pPr>
              <w:spacing w:after="0" w:line="240" w:lineRule="auto"/>
              <w:rPr>
                <w:rFonts w:ascii="Calibri" w:eastAsia="Times New Roman" w:hAnsi="Calibri" w:cs="Calibri"/>
                <w:color w:val="000000"/>
                <w:sz w:val="18"/>
                <w:szCs w:val="18"/>
              </w:rPr>
            </w:pPr>
          </w:p>
        </w:tc>
      </w:tr>
      <w:tr w14:paraId="32C5FECE"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10D0AE25" w14:textId="5F1CE19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Data </w:t>
            </w:r>
            <w:r w:rsidRPr="008878BA" w:rsidR="00857F9D">
              <w:rPr>
                <w:rFonts w:ascii="Calibri" w:eastAsia="Times New Roman" w:hAnsi="Calibri" w:cs="Calibri"/>
                <w:sz w:val="18"/>
                <w:szCs w:val="18"/>
              </w:rPr>
              <w:t>C</w:t>
            </w:r>
            <w:r w:rsidRPr="008878BA">
              <w:rPr>
                <w:rFonts w:ascii="Calibri" w:eastAsia="Times New Roman" w:hAnsi="Calibri" w:cs="Calibri"/>
                <w:sz w:val="18"/>
                <w:szCs w:val="18"/>
              </w:rPr>
              <w:t xml:space="preserve">ollection </w:t>
            </w:r>
            <w:r w:rsidRPr="008878BA" w:rsidR="00857F9D">
              <w:rPr>
                <w:rFonts w:ascii="Calibri" w:eastAsia="Times New Roman" w:hAnsi="Calibri" w:cs="Calibri"/>
                <w:sz w:val="18"/>
                <w:szCs w:val="18"/>
              </w:rPr>
              <w:t>S</w:t>
            </w:r>
            <w:r w:rsidRPr="008878BA">
              <w:rPr>
                <w:rFonts w:ascii="Calibri" w:eastAsia="Times New Roman" w:hAnsi="Calibri" w:cs="Calibri"/>
                <w:sz w:val="18"/>
                <w:szCs w:val="18"/>
              </w:rPr>
              <w:t>ystem</w:t>
            </w:r>
            <w:r w:rsidRPr="008878BA" w:rsidR="00857F9D">
              <w:rPr>
                <w:rFonts w:ascii="Calibri" w:eastAsia="Times New Roman" w:hAnsi="Calibri" w:cs="Calibri"/>
                <w:sz w:val="18"/>
                <w:szCs w:val="18"/>
              </w:rPr>
              <w:t xml:space="preserve"> (DCS)</w:t>
            </w:r>
          </w:p>
        </w:tc>
        <w:tc>
          <w:tcPr>
            <w:tcW w:w="8558" w:type="dxa"/>
            <w:shd w:val="clear" w:color="auto" w:fill="auto"/>
            <w:vAlign w:val="center"/>
            <w:hideMark/>
          </w:tcPr>
          <w:p w:rsidR="00EA2492" w:rsidRPr="008878BA" w:rsidP="00EA2492" w14:paraId="30B56F2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that is used to collect the IPEDS data.</w:t>
            </w:r>
          </w:p>
        </w:tc>
        <w:tc>
          <w:tcPr>
            <w:tcW w:w="2097" w:type="dxa"/>
            <w:shd w:val="clear" w:color="auto" w:fill="auto"/>
            <w:vAlign w:val="center"/>
            <w:hideMark/>
          </w:tcPr>
          <w:p w:rsidR="00EA2492" w:rsidRPr="008878BA" w:rsidP="00EA2492" w14:paraId="3B75D700" w14:textId="77777777">
            <w:pPr>
              <w:spacing w:after="0" w:line="240" w:lineRule="auto"/>
              <w:rPr>
                <w:rFonts w:ascii="Calibri" w:eastAsia="Times New Roman" w:hAnsi="Calibri" w:cs="Calibri"/>
                <w:sz w:val="18"/>
                <w:szCs w:val="18"/>
              </w:rPr>
            </w:pPr>
          </w:p>
        </w:tc>
      </w:tr>
      <w:tr w14:paraId="5969570B"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0CCFC93"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dictionary</w:t>
            </w:r>
          </w:p>
        </w:tc>
        <w:tc>
          <w:tcPr>
            <w:tcW w:w="8558" w:type="dxa"/>
            <w:shd w:val="clear" w:color="auto" w:fill="auto"/>
            <w:vAlign w:val="center"/>
            <w:hideMark/>
          </w:tcPr>
          <w:p w:rsidR="00EA2492" w:rsidRPr="008878BA" w:rsidP="00EA2492" w14:paraId="03028825" w14:textId="15AB129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file or a list that contains all known information about variables such as format, data type, field width, and source.</w:t>
            </w:r>
          </w:p>
        </w:tc>
        <w:tc>
          <w:tcPr>
            <w:tcW w:w="2097" w:type="dxa"/>
            <w:shd w:val="clear" w:color="auto" w:fill="auto"/>
            <w:vAlign w:val="center"/>
            <w:hideMark/>
          </w:tcPr>
          <w:p w:rsidR="00EA2492" w:rsidRPr="008878BA" w:rsidP="00EA2492" w14:paraId="132DA6EC" w14:textId="77777777">
            <w:pPr>
              <w:spacing w:after="0" w:line="240" w:lineRule="auto"/>
              <w:rPr>
                <w:rFonts w:ascii="Calibri" w:eastAsia="Times New Roman" w:hAnsi="Calibri" w:cs="Calibri"/>
                <w:sz w:val="18"/>
                <w:szCs w:val="18"/>
              </w:rPr>
            </w:pPr>
          </w:p>
        </w:tc>
      </w:tr>
      <w:tr w14:paraId="38723EF7"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393D316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Data revision system</w:t>
            </w:r>
          </w:p>
        </w:tc>
        <w:tc>
          <w:tcPr>
            <w:tcW w:w="8558" w:type="dxa"/>
            <w:shd w:val="clear" w:color="auto" w:fill="auto"/>
            <w:vAlign w:val="center"/>
            <w:hideMark/>
          </w:tcPr>
          <w:p w:rsidR="00EA2492" w:rsidRPr="008878BA" w:rsidP="00EA2492" w14:paraId="7B9C8E7C" w14:textId="6BFDA56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Web environment where an institution's prior year data may be revised by keyholders or data managers.</w:t>
            </w:r>
          </w:p>
        </w:tc>
        <w:tc>
          <w:tcPr>
            <w:tcW w:w="2097" w:type="dxa"/>
            <w:shd w:val="clear" w:color="auto" w:fill="auto"/>
            <w:vAlign w:val="center"/>
            <w:hideMark/>
          </w:tcPr>
          <w:p w:rsidR="00EA2492" w:rsidRPr="008878BA" w:rsidP="00EA2492" w14:paraId="40131DFD" w14:textId="504155A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Prior Year Revision (PYR) System</w:t>
            </w:r>
          </w:p>
        </w:tc>
      </w:tr>
      <w:tr w14:paraId="66EB6B8D"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1E64B3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c>
          <w:tcPr>
            <w:tcW w:w="8558" w:type="dxa"/>
            <w:shd w:val="clear" w:color="auto" w:fill="auto"/>
            <w:vAlign w:val="center"/>
            <w:hideMark/>
          </w:tcPr>
          <w:p w:rsidR="00EA2492" w:rsidRPr="002515CF" w:rsidP="00EA2492" w14:paraId="4AE073BE" w14:textId="703887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Data Universal Numbering System (DUNS) number is a 9-digit number assigned by the Dun &amp; Bradstreet Information Corporation to any entity providing products, goods, or services. The DUNS number was the official identifier for doing business with the U.S. Government until April 4, 2022.</w:t>
            </w:r>
          </w:p>
        </w:tc>
        <w:tc>
          <w:tcPr>
            <w:tcW w:w="2097" w:type="dxa"/>
            <w:shd w:val="clear" w:color="auto" w:fill="auto"/>
            <w:vAlign w:val="center"/>
            <w:hideMark/>
          </w:tcPr>
          <w:p w:rsidR="00EA2492" w:rsidRPr="002515CF" w:rsidP="00EA2492" w14:paraId="1FC5160B" w14:textId="3928BD5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w:t>
            </w:r>
          </w:p>
        </w:tc>
      </w:tr>
      <w:tr w14:paraId="4AACBE5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89EB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 year</w:t>
            </w:r>
          </w:p>
        </w:tc>
        <w:tc>
          <w:tcPr>
            <w:tcW w:w="8558" w:type="dxa"/>
            <w:shd w:val="clear" w:color="auto" w:fill="auto"/>
            <w:vAlign w:val="center"/>
            <w:hideMark/>
          </w:tcPr>
          <w:p w:rsidR="00EA2492" w:rsidRPr="00F7311D" w:rsidP="00EA2492" w14:paraId="762E6A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year to which data pertain in a particular IPEDS component. For example, for collection year 2003-04, tuition is for data year 2003-04, whereas completions are for data year 2002-03.</w:t>
            </w:r>
          </w:p>
        </w:tc>
        <w:tc>
          <w:tcPr>
            <w:tcW w:w="2097" w:type="dxa"/>
            <w:shd w:val="clear" w:color="auto" w:fill="auto"/>
            <w:vAlign w:val="center"/>
            <w:hideMark/>
          </w:tcPr>
          <w:p w:rsidR="00EA2492" w:rsidRPr="00F7311D" w:rsidP="00EA2492" w14:paraId="6DBB6F61" w14:textId="77777777">
            <w:pPr>
              <w:spacing w:after="0" w:line="240" w:lineRule="auto"/>
              <w:rPr>
                <w:rFonts w:ascii="Calibri" w:eastAsia="Times New Roman" w:hAnsi="Calibri" w:cs="Calibri"/>
                <w:color w:val="000000"/>
                <w:sz w:val="18"/>
                <w:szCs w:val="18"/>
              </w:rPr>
            </w:pPr>
          </w:p>
        </w:tc>
      </w:tr>
      <w:tr w14:paraId="1D7FDB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E20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Database</w:t>
            </w:r>
          </w:p>
        </w:tc>
        <w:tc>
          <w:tcPr>
            <w:tcW w:w="8558" w:type="dxa"/>
            <w:shd w:val="clear" w:color="auto" w:fill="auto"/>
            <w:vAlign w:val="center"/>
            <w:hideMark/>
          </w:tcPr>
          <w:p w:rsidR="00EA2492" w:rsidRPr="00F7311D" w:rsidP="00EA2492" w14:paraId="190CA6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Collection of electronically stored data or unit records (facts, bibliographic data, and texts) with a common user interface and software for the retrieval and manipulation of the data. The data or records are usually collected with a particular intent and relate to a defined topic. Each database is counted individually even if access to several databases is supported through the same vendor interface.</w:t>
            </w:r>
          </w:p>
        </w:tc>
        <w:tc>
          <w:tcPr>
            <w:tcW w:w="2097" w:type="dxa"/>
            <w:shd w:val="clear" w:color="auto" w:fill="auto"/>
            <w:vAlign w:val="center"/>
            <w:hideMark/>
          </w:tcPr>
          <w:p w:rsidR="00EA2492" w:rsidRPr="00F7311D" w:rsidP="00EA2492" w14:paraId="15594A30" w14:textId="77777777">
            <w:pPr>
              <w:spacing w:after="0" w:line="240" w:lineRule="auto"/>
              <w:rPr>
                <w:rFonts w:ascii="Calibri" w:eastAsia="Times New Roman" w:hAnsi="Calibri" w:cs="Calibri"/>
                <w:color w:val="000000"/>
                <w:sz w:val="18"/>
                <w:szCs w:val="18"/>
              </w:rPr>
            </w:pPr>
          </w:p>
        </w:tc>
      </w:tr>
      <w:tr w14:paraId="1A3891C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20CC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Dataset Cutting Tool (DCT)</w:t>
            </w:r>
          </w:p>
        </w:tc>
        <w:tc>
          <w:tcPr>
            <w:tcW w:w="8558" w:type="dxa"/>
            <w:shd w:val="clear" w:color="auto" w:fill="auto"/>
            <w:vAlign w:val="center"/>
            <w:hideMark/>
          </w:tcPr>
          <w:p w:rsidR="00EA2492" w:rsidRPr="00F7311D" w:rsidP="00EA2492" w14:paraId="7E55E4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Dataset Cutting Tool have been incorporated into the IPEDS Data Center.</w:t>
            </w:r>
          </w:p>
        </w:tc>
        <w:tc>
          <w:tcPr>
            <w:tcW w:w="2097" w:type="dxa"/>
            <w:shd w:val="clear" w:color="auto" w:fill="auto"/>
            <w:vAlign w:val="center"/>
            <w:hideMark/>
          </w:tcPr>
          <w:p w:rsidR="00EA2492" w:rsidRPr="00F7311D" w:rsidP="00EA2492" w14:paraId="401C56BE" w14:textId="77777777">
            <w:pPr>
              <w:spacing w:after="0" w:line="240" w:lineRule="auto"/>
              <w:rPr>
                <w:rFonts w:ascii="Calibri" w:eastAsia="Times New Roman" w:hAnsi="Calibri" w:cs="Calibri"/>
                <w:color w:val="000000"/>
                <w:sz w:val="18"/>
                <w:szCs w:val="18"/>
              </w:rPr>
            </w:pPr>
          </w:p>
        </w:tc>
      </w:tr>
      <w:tr w14:paraId="5C75968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3CBE69" w14:textId="45248077">
            <w:pPr>
              <w:spacing w:after="0" w:line="240" w:lineRule="auto"/>
              <w:rPr>
                <w:rFonts w:ascii="Calibri" w:eastAsia="Times New Roman" w:hAnsi="Calibri" w:cs="Calibri"/>
                <w:color w:val="000000"/>
                <w:sz w:val="18"/>
                <w:szCs w:val="18"/>
              </w:rPr>
            </w:pPr>
            <w:r w:rsidRPr="33B04AC4">
              <w:rPr>
                <w:rFonts w:ascii="Calibri" w:eastAsia="Times New Roman" w:hAnsi="Calibri" w:cs="Calibri"/>
                <w:color w:val="000000" w:themeColor="text1"/>
                <w:sz w:val="18"/>
                <w:szCs w:val="18"/>
              </w:rPr>
              <w:t>Day care service</w:t>
            </w:r>
          </w:p>
        </w:tc>
        <w:tc>
          <w:tcPr>
            <w:tcW w:w="8558" w:type="dxa"/>
            <w:shd w:val="clear" w:color="auto" w:fill="auto"/>
            <w:vAlign w:val="center"/>
            <w:hideMark/>
          </w:tcPr>
          <w:p w:rsidR="00EA2492" w:rsidRPr="00F7311D" w:rsidP="00EA2492" w14:paraId="40616A1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service designed to provide appropriate care and protection of infants, preschool, and school-age children so their parents can participate in postsecondary education programs.</w:t>
            </w:r>
          </w:p>
        </w:tc>
        <w:tc>
          <w:tcPr>
            <w:tcW w:w="2097" w:type="dxa"/>
            <w:shd w:val="clear" w:color="auto" w:fill="auto"/>
            <w:vAlign w:val="center"/>
            <w:hideMark/>
          </w:tcPr>
          <w:p w:rsidR="00EA2492" w:rsidRPr="00F7311D" w:rsidP="00EA2492" w14:paraId="742F7A59" w14:textId="77777777">
            <w:pPr>
              <w:spacing w:after="0" w:line="240" w:lineRule="auto"/>
              <w:rPr>
                <w:rFonts w:ascii="Calibri" w:eastAsia="Times New Roman" w:hAnsi="Calibri" w:cs="Calibri"/>
                <w:color w:val="000000"/>
                <w:sz w:val="18"/>
                <w:szCs w:val="18"/>
              </w:rPr>
            </w:pPr>
          </w:p>
        </w:tc>
      </w:tr>
      <w:tr w14:paraId="6D546D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1D80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Deductions from physical plant assets</w:t>
            </w:r>
          </w:p>
        </w:tc>
        <w:tc>
          <w:tcPr>
            <w:tcW w:w="8558" w:type="dxa"/>
            <w:shd w:val="clear" w:color="auto" w:fill="auto"/>
            <w:vAlign w:val="center"/>
            <w:hideMark/>
          </w:tcPr>
          <w:p w:rsidR="00EA2492" w:rsidRPr="00F7311D" w:rsidP="00EA2492" w14:paraId="54D99F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Amounts that represent a decline in the value of physical plant assets resulting from selling, razing, fire, and other hazards, or other disposition of the assets.</w:t>
            </w:r>
          </w:p>
        </w:tc>
        <w:tc>
          <w:tcPr>
            <w:tcW w:w="2097" w:type="dxa"/>
            <w:shd w:val="clear" w:color="auto" w:fill="auto"/>
            <w:vAlign w:val="center"/>
            <w:hideMark/>
          </w:tcPr>
          <w:p w:rsidR="00EA2492" w:rsidRPr="00F7311D" w:rsidP="00EA2492" w14:paraId="3BCAC781" w14:textId="77777777">
            <w:pPr>
              <w:spacing w:after="0" w:line="240" w:lineRule="auto"/>
              <w:rPr>
                <w:rFonts w:ascii="Calibri" w:eastAsia="Times New Roman" w:hAnsi="Calibri" w:cs="Calibri"/>
                <w:color w:val="000000"/>
                <w:sz w:val="18"/>
                <w:szCs w:val="18"/>
              </w:rPr>
            </w:pPr>
          </w:p>
        </w:tc>
      </w:tr>
      <w:tr w14:paraId="6B1D02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EDB5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inflows of resources</w:t>
            </w:r>
          </w:p>
        </w:tc>
        <w:tc>
          <w:tcPr>
            <w:tcW w:w="8558" w:type="dxa"/>
            <w:shd w:val="clear" w:color="auto" w:fill="auto"/>
            <w:vAlign w:val="center"/>
            <w:hideMark/>
          </w:tcPr>
          <w:p w:rsidR="00EA2492" w:rsidRPr="00F7311D" w:rsidP="00EA2492" w14:paraId="6C5EEB89" w14:textId="710B621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Acquisition of net assets acquired by a government that is applicable to future reporting periods. Examples of deferred inflows are the difference in a debt refunding between reacquisition and net carrying amount of the old debt, upfront payments in service concession arrangements, and change in fair values in hedging instruments.</w:t>
            </w:r>
          </w:p>
        </w:tc>
        <w:tc>
          <w:tcPr>
            <w:tcW w:w="2097" w:type="dxa"/>
            <w:shd w:val="clear" w:color="auto" w:fill="auto"/>
            <w:vAlign w:val="center"/>
            <w:hideMark/>
          </w:tcPr>
          <w:p w:rsidR="00EA2492" w:rsidRPr="00F7311D" w:rsidP="00EA2492" w14:paraId="107ECA21" w14:textId="77777777">
            <w:pPr>
              <w:spacing w:after="0" w:line="240" w:lineRule="auto"/>
              <w:rPr>
                <w:rFonts w:ascii="Calibri" w:eastAsia="Times New Roman" w:hAnsi="Calibri" w:cs="Calibri"/>
                <w:color w:val="000000"/>
                <w:sz w:val="18"/>
                <w:szCs w:val="18"/>
              </w:rPr>
            </w:pPr>
          </w:p>
        </w:tc>
      </w:tr>
      <w:tr w14:paraId="12B889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E53B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Deferred outflows of resources</w:t>
            </w:r>
          </w:p>
        </w:tc>
        <w:tc>
          <w:tcPr>
            <w:tcW w:w="8558" w:type="dxa"/>
            <w:shd w:val="clear" w:color="auto" w:fill="auto"/>
            <w:vAlign w:val="center"/>
            <w:hideMark/>
          </w:tcPr>
          <w:p w:rsidR="00EA2492" w:rsidRPr="00F7311D" w:rsidP="00EA2492" w14:paraId="3F1D7C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consumption of net assets by a government that is applicable to future periods. Examples of deferred outflows of resources include changes in fair values in hedging instruments and changes in the net pension liability that are not considered pension expense (as described in GASB Statement 68, Accounting and Financial Reporting for Pensions: an amendment of GASB Statement No. 27).</w:t>
            </w:r>
          </w:p>
        </w:tc>
        <w:tc>
          <w:tcPr>
            <w:tcW w:w="2097" w:type="dxa"/>
            <w:shd w:val="clear" w:color="auto" w:fill="auto"/>
            <w:vAlign w:val="center"/>
            <w:hideMark/>
          </w:tcPr>
          <w:p w:rsidR="00EA2492" w:rsidRPr="00F7311D" w:rsidP="00EA2492" w14:paraId="69378A10" w14:textId="77777777">
            <w:pPr>
              <w:spacing w:after="0" w:line="240" w:lineRule="auto"/>
              <w:rPr>
                <w:rFonts w:ascii="Calibri" w:eastAsia="Times New Roman" w:hAnsi="Calibri" w:cs="Calibri"/>
                <w:color w:val="000000"/>
                <w:sz w:val="18"/>
                <w:szCs w:val="18"/>
              </w:rPr>
            </w:pPr>
          </w:p>
        </w:tc>
      </w:tr>
      <w:tr w14:paraId="6700BD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6F11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w:t>
            </w:r>
          </w:p>
        </w:tc>
        <w:tc>
          <w:tcPr>
            <w:tcW w:w="8558" w:type="dxa"/>
            <w:shd w:val="clear" w:color="auto" w:fill="auto"/>
            <w:vAlign w:val="center"/>
            <w:hideMark/>
          </w:tcPr>
          <w:p w:rsidR="00EA2492" w:rsidRPr="00F7311D" w:rsidP="00EA2492" w14:paraId="5BF816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conferred by a college, university, or other postsecondary education institution as official recognition for the successful completion of a program of studies.</w:t>
            </w:r>
          </w:p>
        </w:tc>
        <w:tc>
          <w:tcPr>
            <w:tcW w:w="2097" w:type="dxa"/>
            <w:shd w:val="clear" w:color="auto" w:fill="auto"/>
            <w:vAlign w:val="center"/>
            <w:hideMark/>
          </w:tcPr>
          <w:p w:rsidR="00EA2492" w:rsidRPr="00F7311D" w:rsidP="00EA2492" w14:paraId="57836684" w14:textId="77777777">
            <w:pPr>
              <w:spacing w:after="0" w:line="240" w:lineRule="auto"/>
              <w:rPr>
                <w:rFonts w:ascii="Calibri" w:eastAsia="Times New Roman" w:hAnsi="Calibri" w:cs="Calibri"/>
                <w:color w:val="000000"/>
                <w:sz w:val="18"/>
                <w:szCs w:val="18"/>
              </w:rPr>
            </w:pPr>
          </w:p>
        </w:tc>
      </w:tr>
      <w:tr w14:paraId="015440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6479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Degree of urbanization (urban-centric locale)</w:t>
            </w:r>
          </w:p>
        </w:tc>
        <w:tc>
          <w:tcPr>
            <w:tcW w:w="8558" w:type="dxa"/>
            <w:shd w:val="clear" w:color="auto" w:fill="auto"/>
            <w:vAlign w:val="center"/>
            <w:hideMark/>
          </w:tcPr>
          <w:p w:rsidR="00EA2492" w:rsidRPr="00F7311D" w:rsidP="00EA2492" w14:paraId="039212CD" w14:textId="2F25BEB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code representing the urbanicity (city/suburb/rural) by population size of the institution's location.  This urban-centric locale code was assigned through a methodology developed by the U.S. Census Bureau's Population Division in 2005. The urban-centric locale codes apply current geographic concepts to the original NCES Locale codes used on IPEDS files through 2004.The following are the codes used:11City: Large 12City: Midsize 13City: Small 21Suburb: Large 22Suburb: Midsize 23Suburb: Small 31Town: Fringe 32Town: Distant 33Town: Remote 41Rural: Fringe 42Rural: Distant 43Rural: Remote </w:t>
            </w:r>
          </w:p>
        </w:tc>
        <w:tc>
          <w:tcPr>
            <w:tcW w:w="2097" w:type="dxa"/>
            <w:shd w:val="clear" w:color="auto" w:fill="auto"/>
            <w:vAlign w:val="center"/>
            <w:hideMark/>
          </w:tcPr>
          <w:p w:rsidR="00EA2492" w:rsidRPr="00F7311D" w:rsidP="00EA2492" w14:paraId="15E806A9" w14:textId="77777777">
            <w:pPr>
              <w:spacing w:after="0" w:line="240" w:lineRule="auto"/>
              <w:rPr>
                <w:rFonts w:ascii="Calibri" w:eastAsia="Times New Roman" w:hAnsi="Calibri" w:cs="Calibri"/>
                <w:color w:val="000000"/>
                <w:sz w:val="18"/>
                <w:szCs w:val="18"/>
              </w:rPr>
            </w:pPr>
          </w:p>
        </w:tc>
      </w:tr>
      <w:tr w14:paraId="6EB09F4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82C4D4A" w14:textId="592A7626">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Degree/certificate-seeking students</w:t>
            </w:r>
            <w:r w:rsidRPr="008878BA" w:rsidR="00CE21BA">
              <w:rPr>
                <w:rFonts w:ascii="Calibri" w:eastAsia="Times New Roman" w:hAnsi="Calibri" w:cs="Calibri"/>
                <w:sz w:val="18"/>
                <w:szCs w:val="18"/>
              </w:rPr>
              <w:t xml:space="preserve"> (D</w:t>
            </w:r>
            <w:r w:rsidRPr="008878BA" w:rsidR="003770EA">
              <w:rPr>
                <w:rFonts w:ascii="Calibri" w:eastAsia="Times New Roman" w:hAnsi="Calibri" w:cs="Calibri"/>
                <w:sz w:val="18"/>
                <w:szCs w:val="18"/>
              </w:rPr>
              <w:t>GCS)</w:t>
            </w:r>
          </w:p>
        </w:tc>
        <w:tc>
          <w:tcPr>
            <w:tcW w:w="8558" w:type="dxa"/>
            <w:shd w:val="clear" w:color="auto" w:fill="auto"/>
            <w:vAlign w:val="center"/>
            <w:hideMark/>
          </w:tcPr>
          <w:p w:rsidR="00EA2492" w:rsidRPr="00F7311D" w:rsidP="00EA2492" w14:paraId="769DBE90" w14:textId="30D9D7E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Students enrolled in courses for credit who are seeking a degree, certificate, or other recognized postsecondary credential. This includes students who:  received any type of federal financial aid, regardless of what courses they took at any time; received any state or locally based financial aid with an eligibility requirement that the student be enrolled in a degree, certificate, or transfer-seeking program; or obtained a student visa to study at a U.S. postsecondary institution High school students also enrolled in postsecondary courses for credit are not considered degree/certificate-seeking.</w:t>
            </w:r>
          </w:p>
        </w:tc>
        <w:tc>
          <w:tcPr>
            <w:tcW w:w="2097" w:type="dxa"/>
            <w:shd w:val="clear" w:color="auto" w:fill="auto"/>
            <w:vAlign w:val="center"/>
            <w:hideMark/>
          </w:tcPr>
          <w:p w:rsidR="00EA2492" w:rsidRPr="00F7311D" w:rsidP="00EA2492" w14:paraId="1CA485E0" w14:textId="77777777">
            <w:pPr>
              <w:spacing w:after="0" w:line="240" w:lineRule="auto"/>
              <w:rPr>
                <w:rFonts w:ascii="Calibri" w:eastAsia="Times New Roman" w:hAnsi="Calibri" w:cs="Calibri"/>
                <w:color w:val="000000"/>
                <w:sz w:val="18"/>
                <w:szCs w:val="18"/>
              </w:rPr>
            </w:pPr>
          </w:p>
        </w:tc>
      </w:tr>
      <w:tr w14:paraId="66335C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DBCD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Department of Defense Voluntary Education Program Memorandum of Understanding</w:t>
            </w:r>
          </w:p>
        </w:tc>
        <w:tc>
          <w:tcPr>
            <w:tcW w:w="8558" w:type="dxa"/>
            <w:shd w:val="clear" w:color="auto" w:fill="auto"/>
            <w:vAlign w:val="center"/>
            <w:hideMark/>
          </w:tcPr>
          <w:p w:rsidR="00EA2492" w:rsidRPr="00F7311D" w:rsidP="00EA2492" w14:paraId="736A45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that functions to expand and improve postsecondary opportunities for servicemembers worldwide. It is funded by the Department of Defense through a contract with the American Association of State Colleges and Universities (AASCU).</w:t>
            </w:r>
          </w:p>
        </w:tc>
        <w:tc>
          <w:tcPr>
            <w:tcW w:w="2097" w:type="dxa"/>
            <w:shd w:val="clear" w:color="auto" w:fill="auto"/>
            <w:vAlign w:val="center"/>
            <w:hideMark/>
          </w:tcPr>
          <w:p w:rsidR="00EA2492" w:rsidRPr="00F7311D" w:rsidP="00EA2492" w14:paraId="4EEFF268" w14:textId="77777777">
            <w:pPr>
              <w:spacing w:after="0" w:line="240" w:lineRule="auto"/>
              <w:rPr>
                <w:rFonts w:ascii="Calibri" w:eastAsia="Times New Roman" w:hAnsi="Calibri" w:cs="Calibri"/>
                <w:color w:val="000000"/>
                <w:sz w:val="18"/>
                <w:szCs w:val="18"/>
              </w:rPr>
            </w:pPr>
          </w:p>
        </w:tc>
      </w:tr>
      <w:tr w14:paraId="134DBB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6975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Depreciation</w:t>
            </w:r>
          </w:p>
        </w:tc>
        <w:tc>
          <w:tcPr>
            <w:tcW w:w="8558" w:type="dxa"/>
            <w:shd w:val="clear" w:color="auto" w:fill="auto"/>
            <w:vAlign w:val="center"/>
            <w:hideMark/>
          </w:tcPr>
          <w:p w:rsidR="00EA2492" w:rsidRPr="00F7311D" w:rsidP="00EA2492" w14:paraId="77D831C6" w14:textId="6A711B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allocation or distribution of the cost of capital assets, less any salvage value, to expenses over the estimated useful life of the asset in a systematic and rational manner. Depreciation for the year is the amount of the allocation or distribution for the year involved.</w:t>
            </w:r>
          </w:p>
        </w:tc>
        <w:tc>
          <w:tcPr>
            <w:tcW w:w="2097" w:type="dxa"/>
            <w:shd w:val="clear" w:color="auto" w:fill="auto"/>
            <w:vAlign w:val="center"/>
            <w:hideMark/>
          </w:tcPr>
          <w:p w:rsidR="00EA2492" w:rsidRPr="00F7311D" w:rsidP="00EA2492" w14:paraId="3BFA7B01" w14:textId="77777777">
            <w:pPr>
              <w:spacing w:after="0" w:line="240" w:lineRule="auto"/>
              <w:rPr>
                <w:rFonts w:ascii="Calibri" w:eastAsia="Times New Roman" w:hAnsi="Calibri" w:cs="Calibri"/>
                <w:color w:val="000000"/>
                <w:sz w:val="18"/>
                <w:szCs w:val="18"/>
              </w:rPr>
            </w:pPr>
          </w:p>
        </w:tc>
      </w:tr>
      <w:tr w14:paraId="4FAF5528" w14:textId="77777777" w:rsidTr="0036249A">
        <w:tblPrEx>
          <w:tblW w:w="13616" w:type="dxa"/>
          <w:tblLook w:val="04A0"/>
        </w:tblPrEx>
        <w:trPr>
          <w:trHeight w:val="20"/>
        </w:trPr>
        <w:tc>
          <w:tcPr>
            <w:tcW w:w="2961" w:type="dxa"/>
            <w:shd w:val="clear" w:color="auto" w:fill="auto"/>
            <w:vAlign w:val="center"/>
            <w:hideMark/>
          </w:tcPr>
          <w:p w:rsidR="16248B05" w:rsidRPr="00311464" w:rsidP="4035EC3D" w14:paraId="015DC1C5" w14:textId="2900C347">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Dependent care expenses</w:t>
            </w:r>
          </w:p>
        </w:tc>
        <w:tc>
          <w:tcPr>
            <w:tcW w:w="8558" w:type="dxa"/>
            <w:shd w:val="clear" w:color="auto" w:fill="auto"/>
            <w:vAlign w:val="center"/>
            <w:hideMark/>
          </w:tcPr>
          <w:p w:rsidR="16248B05" w:rsidRPr="00311464" w:rsidP="4035EC3D" w14:paraId="0B262FE4" w14:textId="4F593A5E">
            <w:pPr>
              <w:spacing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cost of attendance allowance based</w:t>
            </w:r>
            <w:r w:rsidRPr="00311464" w:rsidR="6B2231A9">
              <w:rPr>
                <w:rFonts w:ascii="Calibri" w:eastAsia="Times New Roman" w:hAnsi="Calibri" w:cs="Calibri"/>
                <w:color w:val="000000" w:themeColor="text1"/>
                <w:sz w:val="18"/>
                <w:szCs w:val="18"/>
              </w:rPr>
              <w:t xml:space="preserve"> on the number and age of dependents, and actual estimated cost in the communi</w:t>
            </w:r>
            <w:r w:rsidRPr="00311464" w:rsidR="31E2AEF6">
              <w:rPr>
                <w:rFonts w:ascii="Calibri" w:eastAsia="Times New Roman" w:hAnsi="Calibri" w:cs="Calibri"/>
                <w:color w:val="000000" w:themeColor="text1"/>
                <w:sz w:val="18"/>
                <w:szCs w:val="18"/>
              </w:rPr>
              <w:t>ty where the student resides</w:t>
            </w:r>
            <w:r w:rsidRPr="00311464" w:rsidR="4F871E96">
              <w:rPr>
                <w:rFonts w:ascii="Calibri" w:eastAsia="Times New Roman" w:hAnsi="Calibri" w:cs="Calibri"/>
                <w:color w:val="000000" w:themeColor="text1"/>
                <w:sz w:val="18"/>
                <w:szCs w:val="18"/>
              </w:rPr>
              <w:t xml:space="preserve"> for dependent care </w:t>
            </w:r>
            <w:r w:rsidRPr="00311464" w:rsidR="5ACEE556">
              <w:rPr>
                <w:rFonts w:ascii="Calibri" w:eastAsia="Times New Roman" w:hAnsi="Calibri" w:cs="Calibri"/>
                <w:color w:val="000000" w:themeColor="text1"/>
                <w:sz w:val="18"/>
                <w:szCs w:val="18"/>
              </w:rPr>
              <w:t xml:space="preserve">during commuting time, class time, study time, field work, </w:t>
            </w:r>
            <w:r w:rsidRPr="00311464" w:rsidR="3A2157EF">
              <w:rPr>
                <w:rFonts w:ascii="Calibri" w:eastAsia="Times New Roman" w:hAnsi="Calibri" w:cs="Calibri"/>
                <w:color w:val="000000" w:themeColor="text1"/>
                <w:sz w:val="18"/>
                <w:szCs w:val="18"/>
              </w:rPr>
              <w:t>internships, and other education related activiti</w:t>
            </w:r>
            <w:r w:rsidRPr="00311464" w:rsidR="6A440EA1">
              <w:rPr>
                <w:rFonts w:ascii="Calibri" w:eastAsia="Times New Roman" w:hAnsi="Calibri" w:cs="Calibri"/>
                <w:color w:val="000000" w:themeColor="text1"/>
                <w:sz w:val="18"/>
                <w:szCs w:val="18"/>
              </w:rPr>
              <w:t>es</w:t>
            </w:r>
            <w:r w:rsidRPr="00311464" w:rsidR="3A2157EF">
              <w:rPr>
                <w:rFonts w:ascii="Calibri" w:eastAsia="Times New Roman" w:hAnsi="Calibri" w:cs="Calibri"/>
                <w:color w:val="000000" w:themeColor="text1"/>
                <w:sz w:val="18"/>
                <w:szCs w:val="18"/>
              </w:rPr>
              <w:t xml:space="preserve"> as determined by the financial aid office.</w:t>
            </w:r>
          </w:p>
        </w:tc>
        <w:tc>
          <w:tcPr>
            <w:tcW w:w="2097" w:type="dxa"/>
            <w:shd w:val="clear" w:color="auto" w:fill="auto"/>
            <w:vAlign w:val="center"/>
            <w:hideMark/>
          </w:tcPr>
          <w:p w:rsidR="4035EC3D" w:rsidP="4035EC3D" w14:paraId="37F18E35" w14:textId="2ACBE150">
            <w:pPr>
              <w:spacing w:line="240" w:lineRule="auto"/>
              <w:rPr>
                <w:rFonts w:ascii="Calibri" w:eastAsia="Times New Roman" w:hAnsi="Calibri" w:cs="Calibri"/>
                <w:color w:val="000000" w:themeColor="text1"/>
                <w:sz w:val="18"/>
                <w:szCs w:val="18"/>
              </w:rPr>
            </w:pPr>
          </w:p>
        </w:tc>
      </w:tr>
      <w:tr w14:paraId="5E4B9A24" w14:textId="77777777" w:rsidTr="0036249A">
        <w:tblPrEx>
          <w:tblW w:w="13616" w:type="dxa"/>
          <w:tblLook w:val="04A0"/>
        </w:tblPrEx>
        <w:trPr>
          <w:trHeight w:val="20"/>
        </w:trPr>
        <w:tc>
          <w:tcPr>
            <w:tcW w:w="2961" w:type="dxa"/>
            <w:shd w:val="clear" w:color="auto" w:fill="auto"/>
            <w:vAlign w:val="center"/>
            <w:hideMark/>
          </w:tcPr>
          <w:p w:rsidR="00EA2492" w:rsidRPr="00311464" w:rsidP="00EA2492" w14:paraId="282A19D6"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Differs by program (calendar system)</w:t>
            </w:r>
          </w:p>
        </w:tc>
        <w:tc>
          <w:tcPr>
            <w:tcW w:w="8558" w:type="dxa"/>
            <w:shd w:val="clear" w:color="auto" w:fill="auto"/>
            <w:vAlign w:val="center"/>
            <w:hideMark/>
          </w:tcPr>
          <w:p w:rsidR="00EA2492" w:rsidRPr="00311464" w:rsidP="00EA2492" w14:paraId="722DFE55"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calendar system classification that is used by institutions that have occupational/vocational programs of varying lengths. These schools may enroll students at specific times depending on the program desired. For example, a school might offer a 2-month program in January, March, May, September, and November; and a 3-month program in January, April, and October.</w:t>
            </w:r>
          </w:p>
        </w:tc>
        <w:tc>
          <w:tcPr>
            <w:tcW w:w="2097" w:type="dxa"/>
            <w:shd w:val="clear" w:color="auto" w:fill="auto"/>
            <w:vAlign w:val="center"/>
            <w:hideMark/>
          </w:tcPr>
          <w:p w:rsidR="00EA2492" w:rsidRPr="00F7311D" w:rsidP="00EA2492" w14:paraId="6982E9AE" w14:textId="77777777">
            <w:pPr>
              <w:spacing w:after="0" w:line="240" w:lineRule="auto"/>
              <w:rPr>
                <w:rFonts w:ascii="Calibri" w:eastAsia="Times New Roman" w:hAnsi="Calibri" w:cs="Calibri"/>
                <w:color w:val="000000"/>
                <w:sz w:val="18"/>
                <w:szCs w:val="18"/>
              </w:rPr>
            </w:pPr>
          </w:p>
        </w:tc>
      </w:tr>
      <w:tr w14:paraId="4FC4A22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6540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Diploma</w:t>
            </w:r>
          </w:p>
        </w:tc>
        <w:tc>
          <w:tcPr>
            <w:tcW w:w="8558" w:type="dxa"/>
            <w:shd w:val="clear" w:color="auto" w:fill="auto"/>
            <w:vAlign w:val="center"/>
            <w:hideMark/>
          </w:tcPr>
          <w:p w:rsidR="00EA2492" w:rsidRPr="00F7311D" w:rsidP="00EA2492" w14:paraId="68657E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official document certifying the successful completion of a prescribed program of studies.</w:t>
            </w:r>
          </w:p>
        </w:tc>
        <w:tc>
          <w:tcPr>
            <w:tcW w:w="2097" w:type="dxa"/>
            <w:shd w:val="clear" w:color="auto" w:fill="auto"/>
            <w:vAlign w:val="center"/>
            <w:hideMark/>
          </w:tcPr>
          <w:p w:rsidR="00EA2492" w:rsidRPr="00F7311D" w:rsidP="00EA2492" w14:paraId="18AA13C1" w14:textId="77777777">
            <w:pPr>
              <w:spacing w:after="0" w:line="240" w:lineRule="auto"/>
              <w:rPr>
                <w:rFonts w:ascii="Calibri" w:eastAsia="Times New Roman" w:hAnsi="Calibri" w:cs="Calibri"/>
                <w:color w:val="000000"/>
                <w:sz w:val="18"/>
                <w:szCs w:val="18"/>
              </w:rPr>
            </w:pPr>
          </w:p>
        </w:tc>
      </w:tr>
      <w:tr w14:paraId="1F8288C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58DF0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Disability services</w:t>
            </w:r>
          </w:p>
        </w:tc>
        <w:tc>
          <w:tcPr>
            <w:tcW w:w="8558" w:type="dxa"/>
            <w:shd w:val="clear" w:color="auto" w:fill="auto"/>
            <w:vAlign w:val="center"/>
            <w:hideMark/>
          </w:tcPr>
          <w:p w:rsidR="00EA2492" w:rsidRPr="00F7311D" w:rsidP="00EA2492" w14:paraId="7160EC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provide reasonable academic accommodations and support services to empower students who have disabilities to competitively pursue postsecondary education.  May also include assistance to campus departments in providing access to services and programs in the most integrated setting possible.</w:t>
            </w:r>
          </w:p>
        </w:tc>
        <w:tc>
          <w:tcPr>
            <w:tcW w:w="2097" w:type="dxa"/>
            <w:shd w:val="clear" w:color="auto" w:fill="auto"/>
            <w:vAlign w:val="center"/>
            <w:hideMark/>
          </w:tcPr>
          <w:p w:rsidR="00EA2492" w:rsidRPr="00F7311D" w:rsidP="00EA2492" w14:paraId="2E521F2B" w14:textId="77777777">
            <w:pPr>
              <w:spacing w:after="0" w:line="240" w:lineRule="auto"/>
              <w:rPr>
                <w:rFonts w:ascii="Calibri" w:eastAsia="Times New Roman" w:hAnsi="Calibri" w:cs="Calibri"/>
                <w:color w:val="000000"/>
                <w:sz w:val="18"/>
                <w:szCs w:val="18"/>
              </w:rPr>
            </w:pPr>
          </w:p>
        </w:tc>
      </w:tr>
      <w:tr w14:paraId="033F06D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DC5A0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Discounts and allowances</w:t>
            </w:r>
          </w:p>
        </w:tc>
        <w:tc>
          <w:tcPr>
            <w:tcW w:w="8558" w:type="dxa"/>
            <w:shd w:val="clear" w:color="auto" w:fill="auto"/>
            <w:vAlign w:val="center"/>
            <w:hideMark/>
          </w:tcPr>
          <w:p w:rsidR="00EA2492" w:rsidRPr="00F7311D" w:rsidP="00EA2492" w14:paraId="51A615D5" w14:textId="26027E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That part of a scholarship or fellowship that is used to pay institutional charges such as tuition and fees or </w:t>
            </w:r>
            <w:r w:rsidRPr="00311464" w:rsidR="00252BBC">
              <w:rPr>
                <w:rFonts w:ascii="Calibri" w:eastAsia="Times New Roman" w:hAnsi="Calibri" w:cs="Calibri"/>
                <w:color w:val="000000" w:themeColor="text1"/>
                <w:sz w:val="18"/>
                <w:szCs w:val="18"/>
              </w:rPr>
              <w:t xml:space="preserve">food and housing </w:t>
            </w:r>
            <w:r w:rsidRPr="00F7311D">
              <w:rPr>
                <w:rFonts w:ascii="Calibri" w:eastAsia="Times New Roman" w:hAnsi="Calibri" w:cs="Calibri"/>
                <w:color w:val="000000"/>
                <w:sz w:val="18"/>
                <w:szCs w:val="18"/>
              </w:rPr>
              <w:t>charges.</w:t>
            </w:r>
          </w:p>
        </w:tc>
        <w:tc>
          <w:tcPr>
            <w:tcW w:w="2097" w:type="dxa"/>
            <w:shd w:val="clear" w:color="auto" w:fill="auto"/>
            <w:vAlign w:val="center"/>
            <w:hideMark/>
          </w:tcPr>
          <w:p w:rsidR="00EA2492" w:rsidRPr="00F7311D" w:rsidP="00EA2492" w14:paraId="6BA06491" w14:textId="77777777">
            <w:pPr>
              <w:spacing w:after="0" w:line="240" w:lineRule="auto"/>
              <w:rPr>
                <w:rFonts w:ascii="Calibri" w:eastAsia="Times New Roman" w:hAnsi="Calibri" w:cs="Calibri"/>
                <w:color w:val="000000"/>
                <w:sz w:val="18"/>
                <w:szCs w:val="18"/>
              </w:rPr>
            </w:pPr>
          </w:p>
        </w:tc>
      </w:tr>
      <w:tr w14:paraId="48A46F3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F70D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Discovery system</w:t>
            </w:r>
          </w:p>
        </w:tc>
        <w:tc>
          <w:tcPr>
            <w:tcW w:w="8558" w:type="dxa"/>
            <w:shd w:val="clear" w:color="auto" w:fill="auto"/>
            <w:vAlign w:val="center"/>
            <w:hideMark/>
          </w:tcPr>
          <w:p w:rsidR="00EA2492" w:rsidRPr="00F7311D" w:rsidP="00EA2492" w14:paraId="57C4163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discovery system product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2097" w:type="dxa"/>
            <w:shd w:val="clear" w:color="auto" w:fill="auto"/>
            <w:vAlign w:val="center"/>
            <w:hideMark/>
          </w:tcPr>
          <w:p w:rsidR="00EA2492" w:rsidRPr="00F7311D" w:rsidP="00EA2492" w14:paraId="1895DF4E" w14:textId="77777777">
            <w:pPr>
              <w:spacing w:after="0" w:line="240" w:lineRule="auto"/>
              <w:rPr>
                <w:rFonts w:ascii="Calibri" w:eastAsia="Times New Roman" w:hAnsi="Calibri" w:cs="Calibri"/>
                <w:color w:val="000000"/>
                <w:sz w:val="18"/>
                <w:szCs w:val="18"/>
              </w:rPr>
            </w:pPr>
          </w:p>
        </w:tc>
      </w:tr>
      <w:tr w14:paraId="3C4827D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4AF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w:t>
            </w:r>
          </w:p>
        </w:tc>
        <w:tc>
          <w:tcPr>
            <w:tcW w:w="8558" w:type="dxa"/>
            <w:shd w:val="clear" w:color="auto" w:fill="auto"/>
            <w:vAlign w:val="center"/>
            <w:hideMark/>
          </w:tcPr>
          <w:p w:rsidR="00EA2492" w:rsidRPr="00F7311D" w:rsidP="00EA2492" w14:paraId="42CF29F1" w14:textId="7D05D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 that uses one or more technologies to deliver instruction to students who are separated from the instructor and to support regular and substantive interaction between the students and the instructor synchronously or asynchronously.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 </w:t>
            </w:r>
          </w:p>
        </w:tc>
        <w:tc>
          <w:tcPr>
            <w:tcW w:w="2097" w:type="dxa"/>
            <w:shd w:val="clear" w:color="auto" w:fill="auto"/>
            <w:vAlign w:val="center"/>
            <w:hideMark/>
          </w:tcPr>
          <w:p w:rsidR="00EA2492" w:rsidRPr="00F7311D" w:rsidP="00EA2492" w14:paraId="2088D460" w14:textId="77777777">
            <w:pPr>
              <w:spacing w:after="0" w:line="240" w:lineRule="auto"/>
              <w:rPr>
                <w:rFonts w:ascii="Calibri" w:eastAsia="Times New Roman" w:hAnsi="Calibri" w:cs="Calibri"/>
                <w:color w:val="000000"/>
                <w:sz w:val="18"/>
                <w:szCs w:val="18"/>
              </w:rPr>
            </w:pPr>
          </w:p>
        </w:tc>
      </w:tr>
      <w:tr w14:paraId="6B23769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2D29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course</w:t>
            </w:r>
          </w:p>
        </w:tc>
        <w:tc>
          <w:tcPr>
            <w:tcW w:w="8558" w:type="dxa"/>
            <w:shd w:val="clear" w:color="auto" w:fill="auto"/>
            <w:vAlign w:val="center"/>
            <w:hideMark/>
          </w:tcPr>
          <w:p w:rsidR="00EA2492" w:rsidRPr="00F7311D" w:rsidP="00EA2492" w14:paraId="5A8E23DB" w14:textId="682FBD9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course in which the instructional content is delivered exclusively via distance education. Requirements for coming to campus for orientation, testing, or academic support services do not exclude a course from being classified as distance education.</w:t>
            </w:r>
          </w:p>
        </w:tc>
        <w:tc>
          <w:tcPr>
            <w:tcW w:w="2097" w:type="dxa"/>
            <w:shd w:val="clear" w:color="auto" w:fill="auto"/>
            <w:vAlign w:val="center"/>
            <w:hideMark/>
          </w:tcPr>
          <w:p w:rsidR="00EA2492" w:rsidRPr="00F7311D" w:rsidP="00EA2492" w14:paraId="1A0273DC" w14:textId="77777777">
            <w:pPr>
              <w:spacing w:after="0" w:line="240" w:lineRule="auto"/>
              <w:rPr>
                <w:rFonts w:ascii="Calibri" w:eastAsia="Times New Roman" w:hAnsi="Calibri" w:cs="Calibri"/>
                <w:color w:val="000000"/>
                <w:sz w:val="18"/>
                <w:szCs w:val="18"/>
              </w:rPr>
            </w:pPr>
          </w:p>
        </w:tc>
      </w:tr>
      <w:tr w14:paraId="3AC7AE6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A897D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Distance education program</w:t>
            </w:r>
          </w:p>
        </w:tc>
        <w:tc>
          <w:tcPr>
            <w:tcW w:w="8558" w:type="dxa"/>
            <w:shd w:val="clear" w:color="auto" w:fill="auto"/>
            <w:vAlign w:val="center"/>
            <w:hideMark/>
          </w:tcPr>
          <w:p w:rsidR="00EA2492" w:rsidRPr="00F7311D" w:rsidP="00EA2492" w14:paraId="179FD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for which all the required coursework for program completion is able to be completed via distance education courses.</w:t>
            </w:r>
          </w:p>
        </w:tc>
        <w:tc>
          <w:tcPr>
            <w:tcW w:w="2097" w:type="dxa"/>
            <w:shd w:val="clear" w:color="auto" w:fill="auto"/>
            <w:vAlign w:val="center"/>
            <w:hideMark/>
          </w:tcPr>
          <w:p w:rsidR="00EA2492" w:rsidRPr="00F7311D" w:rsidP="00EA2492" w14:paraId="6A0772B0" w14:textId="77777777">
            <w:pPr>
              <w:spacing w:after="0" w:line="240" w:lineRule="auto"/>
              <w:rPr>
                <w:rFonts w:ascii="Calibri" w:eastAsia="Times New Roman" w:hAnsi="Calibri" w:cs="Calibri"/>
                <w:color w:val="000000"/>
                <w:sz w:val="18"/>
                <w:szCs w:val="18"/>
              </w:rPr>
            </w:pPr>
          </w:p>
        </w:tc>
      </w:tr>
      <w:tr w14:paraId="21CD8B9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7B08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Dividend earnings</w:t>
            </w:r>
          </w:p>
        </w:tc>
        <w:tc>
          <w:tcPr>
            <w:tcW w:w="8558" w:type="dxa"/>
            <w:shd w:val="clear" w:color="auto" w:fill="auto"/>
            <w:vAlign w:val="center"/>
            <w:hideMark/>
          </w:tcPr>
          <w:p w:rsidR="00EA2492" w:rsidRPr="00F7311D" w:rsidP="00EA2492" w14:paraId="2005CB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Distribution of earnings to shareholders that may be in the form of cash, stock, or property.</w:t>
            </w:r>
          </w:p>
        </w:tc>
        <w:tc>
          <w:tcPr>
            <w:tcW w:w="2097" w:type="dxa"/>
            <w:shd w:val="clear" w:color="auto" w:fill="auto"/>
            <w:vAlign w:val="center"/>
            <w:hideMark/>
          </w:tcPr>
          <w:p w:rsidR="00EA2492" w:rsidRPr="00F7311D" w:rsidP="00EA2492" w14:paraId="19606348" w14:textId="77777777">
            <w:pPr>
              <w:spacing w:after="0" w:line="240" w:lineRule="auto"/>
              <w:rPr>
                <w:rFonts w:ascii="Calibri" w:eastAsia="Times New Roman" w:hAnsi="Calibri" w:cs="Calibri"/>
                <w:color w:val="000000"/>
                <w:sz w:val="18"/>
                <w:szCs w:val="18"/>
              </w:rPr>
            </w:pPr>
          </w:p>
        </w:tc>
      </w:tr>
      <w:tr w14:paraId="647F23D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6FD4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w:t>
            </w:r>
          </w:p>
        </w:tc>
        <w:tc>
          <w:tcPr>
            <w:tcW w:w="8558" w:type="dxa"/>
            <w:shd w:val="clear" w:color="auto" w:fill="auto"/>
            <w:vAlign w:val="center"/>
            <w:hideMark/>
          </w:tcPr>
          <w:p w:rsidR="00EA2492" w:rsidRPr="00F7311D" w:rsidP="00EA2492" w14:paraId="0E494C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highest award a student can earn for graduate study. The doctor's degree classification includes such degrees as Doctor of Education, Doctor of Juridical Science, Doctor of Public Health, and the Doctor of Philosophy degree in any field such as agronomy, food technology, education, engineering, public administration, ophthalmology, or radiology.</w:t>
            </w:r>
          </w:p>
        </w:tc>
        <w:tc>
          <w:tcPr>
            <w:tcW w:w="2097" w:type="dxa"/>
            <w:shd w:val="clear" w:color="auto" w:fill="auto"/>
            <w:vAlign w:val="center"/>
            <w:hideMark/>
          </w:tcPr>
          <w:p w:rsidR="00EA2492" w:rsidRPr="00F7311D" w:rsidP="00EA2492" w14:paraId="2D0CF0D0" w14:textId="77777777">
            <w:pPr>
              <w:spacing w:after="0" w:line="240" w:lineRule="auto"/>
              <w:rPr>
                <w:rFonts w:ascii="Calibri" w:eastAsia="Times New Roman" w:hAnsi="Calibri" w:cs="Calibri"/>
                <w:color w:val="000000"/>
                <w:sz w:val="18"/>
                <w:szCs w:val="18"/>
              </w:rPr>
            </w:pPr>
          </w:p>
        </w:tc>
      </w:tr>
      <w:tr w14:paraId="54095C5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8FE0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degree-other</w:t>
            </w:r>
          </w:p>
        </w:tc>
        <w:tc>
          <w:tcPr>
            <w:tcW w:w="8558" w:type="dxa"/>
            <w:shd w:val="clear" w:color="auto" w:fill="auto"/>
            <w:vAlign w:val="center"/>
            <w:hideMark/>
          </w:tcPr>
          <w:p w:rsidR="00EA2492" w:rsidRPr="00F7311D" w:rsidP="00EA2492" w14:paraId="369EBB5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doctor's degree that does not meet the definition of a doctor's degree - research/scholarship or a doctor's degree - professional practice.</w:t>
            </w:r>
          </w:p>
        </w:tc>
        <w:tc>
          <w:tcPr>
            <w:tcW w:w="2097" w:type="dxa"/>
            <w:shd w:val="clear" w:color="auto" w:fill="auto"/>
            <w:vAlign w:val="center"/>
            <w:hideMark/>
          </w:tcPr>
          <w:p w:rsidR="00EA2492" w:rsidRPr="00F7311D" w:rsidP="00EA2492" w14:paraId="02856F3E" w14:textId="77777777">
            <w:pPr>
              <w:spacing w:after="0" w:line="240" w:lineRule="auto"/>
              <w:rPr>
                <w:rFonts w:ascii="Calibri" w:eastAsia="Times New Roman" w:hAnsi="Calibri" w:cs="Calibri"/>
                <w:color w:val="000000"/>
                <w:sz w:val="18"/>
                <w:szCs w:val="18"/>
              </w:rPr>
            </w:pPr>
          </w:p>
        </w:tc>
      </w:tr>
      <w:tr w14:paraId="42D674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274B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degree-professional practice</w:t>
            </w:r>
          </w:p>
        </w:tc>
        <w:tc>
          <w:tcPr>
            <w:tcW w:w="8558" w:type="dxa"/>
            <w:shd w:val="clear" w:color="auto" w:fill="auto"/>
            <w:vAlign w:val="center"/>
            <w:hideMark/>
          </w:tcPr>
          <w:p w:rsidR="00EA2492" w:rsidRPr="00F7311D" w:rsidP="00EA2492" w14:paraId="2C7AB2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(J.D.); Medicine (M.D.); Optometry (O.D.); Osteopathic Medicine (D.O); Pharmacy (Pharm.D.); Podiatry (D.P.M., </w:t>
            </w:r>
            <w:r w:rsidRPr="00F7311D">
              <w:rPr>
                <w:rFonts w:ascii="Calibri" w:eastAsia="Times New Roman" w:hAnsi="Calibri" w:cs="Calibri"/>
                <w:color w:val="000000"/>
                <w:sz w:val="18"/>
                <w:szCs w:val="18"/>
              </w:rPr>
              <w:t>Pod.D</w:t>
            </w:r>
            <w:r w:rsidRPr="00F7311D">
              <w:rPr>
                <w:rFonts w:ascii="Calibri" w:eastAsia="Times New Roman" w:hAnsi="Calibri" w:cs="Calibri"/>
                <w:color w:val="000000"/>
                <w:sz w:val="18"/>
                <w:szCs w:val="18"/>
              </w:rPr>
              <w:t>., D.P.); or, Veterinary Medicine (D.V.M.), and others, as designated by the awarding institution.</w:t>
            </w:r>
          </w:p>
        </w:tc>
        <w:tc>
          <w:tcPr>
            <w:tcW w:w="2097" w:type="dxa"/>
            <w:shd w:val="clear" w:color="auto" w:fill="auto"/>
            <w:vAlign w:val="center"/>
            <w:hideMark/>
          </w:tcPr>
          <w:p w:rsidR="00EA2492" w:rsidRPr="00F7311D" w:rsidP="00EA2492" w14:paraId="7A199783" w14:textId="77777777">
            <w:pPr>
              <w:spacing w:after="0" w:line="240" w:lineRule="auto"/>
              <w:rPr>
                <w:rFonts w:ascii="Calibri" w:eastAsia="Times New Roman" w:hAnsi="Calibri" w:cs="Calibri"/>
                <w:color w:val="000000"/>
                <w:sz w:val="18"/>
                <w:szCs w:val="18"/>
              </w:rPr>
            </w:pPr>
          </w:p>
        </w:tc>
      </w:tr>
      <w:tr w14:paraId="4939008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4D9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Doctor's degree-research/scholarship</w:t>
            </w:r>
          </w:p>
        </w:tc>
        <w:tc>
          <w:tcPr>
            <w:tcW w:w="8558" w:type="dxa"/>
            <w:shd w:val="clear" w:color="auto" w:fill="auto"/>
            <w:vAlign w:val="center"/>
            <w:hideMark/>
          </w:tcPr>
          <w:p w:rsidR="00EA2492" w:rsidRPr="00F7311D" w:rsidP="00EA2492" w14:paraId="13AE6EB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c>
          <w:tcPr>
            <w:tcW w:w="2097" w:type="dxa"/>
            <w:shd w:val="clear" w:color="auto" w:fill="auto"/>
            <w:vAlign w:val="center"/>
            <w:hideMark/>
          </w:tcPr>
          <w:p w:rsidR="00EA2492" w:rsidRPr="00F7311D" w:rsidP="00EA2492" w14:paraId="25DA77F7" w14:textId="77777777">
            <w:pPr>
              <w:spacing w:after="0" w:line="240" w:lineRule="auto"/>
              <w:rPr>
                <w:rFonts w:ascii="Calibri" w:eastAsia="Times New Roman" w:hAnsi="Calibri" w:cs="Calibri"/>
                <w:color w:val="000000"/>
                <w:sz w:val="18"/>
                <w:szCs w:val="18"/>
              </w:rPr>
            </w:pPr>
          </w:p>
        </w:tc>
      </w:tr>
      <w:tr w14:paraId="1C660E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D5B4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Extensive (Carnegie)</w:t>
            </w:r>
          </w:p>
        </w:tc>
        <w:tc>
          <w:tcPr>
            <w:tcW w:w="8558" w:type="dxa"/>
            <w:shd w:val="clear" w:color="auto" w:fill="auto"/>
            <w:vAlign w:val="center"/>
            <w:hideMark/>
          </w:tcPr>
          <w:p w:rsidR="00EA2492" w:rsidRPr="00F7311D" w:rsidP="00EA2492" w14:paraId="636FDA9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Extensive typically offer a wide range of baccalaureate programs, and they are committed to graduate education through the doctorate. During the period studied, they awarded 50 or more doctoral degrees per year across at least 15 disciplines.</w:t>
            </w:r>
          </w:p>
        </w:tc>
        <w:tc>
          <w:tcPr>
            <w:tcW w:w="2097" w:type="dxa"/>
            <w:shd w:val="clear" w:color="auto" w:fill="auto"/>
            <w:vAlign w:val="center"/>
            <w:hideMark/>
          </w:tcPr>
          <w:p w:rsidR="00EA2492" w:rsidRPr="00F7311D" w:rsidP="00EA2492" w14:paraId="5522355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3F4433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24507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Doctoral/Research Universities - Intensive (Carnegie)</w:t>
            </w:r>
          </w:p>
        </w:tc>
        <w:tc>
          <w:tcPr>
            <w:tcW w:w="8558" w:type="dxa"/>
            <w:shd w:val="clear" w:color="auto" w:fill="auto"/>
            <w:vAlign w:val="center"/>
            <w:hideMark/>
          </w:tcPr>
          <w:p w:rsidR="00EA2492" w:rsidRPr="00F7311D" w:rsidP="00EA2492" w14:paraId="7D321C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Doctoral/Research Universities - Intensive typically offer a wide range of baccalaureate programs, and they are committed to graduate education through the doctorate. During the period studied, they awarded at least ten doctoral degrees per year across three or more disciplines, or at least 20 doctoral degrees per year overall.</w:t>
            </w:r>
          </w:p>
        </w:tc>
        <w:tc>
          <w:tcPr>
            <w:tcW w:w="2097" w:type="dxa"/>
            <w:shd w:val="clear" w:color="auto" w:fill="auto"/>
            <w:vAlign w:val="center"/>
            <w:hideMark/>
          </w:tcPr>
          <w:p w:rsidR="00EA2492" w:rsidRPr="00F7311D" w:rsidP="00EA2492" w14:paraId="068C6B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55F1121B" w14:textId="77777777" w:rsidTr="0036249A">
        <w:tblPrEx>
          <w:tblW w:w="13616" w:type="dxa"/>
          <w:tblLook w:val="04A0"/>
        </w:tblPrEx>
        <w:trPr>
          <w:trHeight w:val="20"/>
        </w:trPr>
        <w:tc>
          <w:tcPr>
            <w:tcW w:w="2961" w:type="dxa"/>
            <w:shd w:val="clear" w:color="auto" w:fill="auto"/>
            <w:vAlign w:val="center"/>
            <w:hideMark/>
          </w:tcPr>
          <w:p w:rsidR="00EA2492" w:rsidRPr="006B197D" w:rsidP="00EA2492" w14:paraId="5CC37F3A" w14:textId="7EF0403B">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Dual credit</w:t>
            </w:r>
          </w:p>
        </w:tc>
        <w:tc>
          <w:tcPr>
            <w:tcW w:w="8558" w:type="dxa"/>
            <w:shd w:val="clear" w:color="auto" w:fill="auto"/>
            <w:vAlign w:val="center"/>
            <w:hideMark/>
          </w:tcPr>
          <w:p w:rsidR="00EA2492" w:rsidRPr="00311464" w:rsidP="00EA2492" w14:paraId="52F4C3A3" w14:textId="02F7BB25">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A program through which high school students are enrolled in Advanced Placement (AP) courses, taught at their high school, that fulfill high school graduation requirements and may earn the student college credits.</w:t>
            </w:r>
            <w:r w:rsidRPr="00311464" w:rsidR="006B197D">
              <w:rPr>
                <w:rFonts w:ascii="Calibri" w:eastAsia="Times New Roman" w:hAnsi="Calibri" w:cs="Calibri"/>
                <w:color w:val="000000" w:themeColor="text1"/>
                <w:sz w:val="18"/>
                <w:szCs w:val="18"/>
              </w:rPr>
              <w:t xml:space="preserve"> </w:t>
            </w:r>
            <w:r w:rsidRPr="00311464" w:rsidR="00EB2074">
              <w:rPr>
                <w:rFonts w:ascii="Calibri" w:eastAsia="Times New Roman" w:hAnsi="Calibri" w:cs="Calibri"/>
                <w:color w:val="000000" w:themeColor="text1"/>
                <w:sz w:val="18"/>
                <w:szCs w:val="18"/>
              </w:rPr>
              <w:t>(Term used in the IPEDS prior to 20</w:t>
            </w:r>
            <w:r w:rsidRPr="00311464" w:rsidR="003C7C78">
              <w:rPr>
                <w:rFonts w:ascii="Calibri" w:eastAsia="Times New Roman" w:hAnsi="Calibri" w:cs="Calibri"/>
                <w:color w:val="000000" w:themeColor="text1"/>
                <w:sz w:val="18"/>
                <w:szCs w:val="18"/>
              </w:rPr>
              <w:t>2</w:t>
            </w:r>
            <w:r w:rsidRPr="00311464" w:rsidR="00B05C09">
              <w:rPr>
                <w:rFonts w:ascii="Calibri" w:eastAsia="Times New Roman" w:hAnsi="Calibri" w:cs="Calibri"/>
                <w:color w:val="000000" w:themeColor="text1"/>
                <w:sz w:val="18"/>
                <w:szCs w:val="18"/>
              </w:rPr>
              <w:t>1</w:t>
            </w:r>
            <w:r w:rsidRPr="00311464" w:rsidR="008733E0">
              <w:rPr>
                <w:rFonts w:ascii="Calibri" w:eastAsia="Times New Roman" w:hAnsi="Calibri" w:cs="Calibri"/>
                <w:color w:val="000000" w:themeColor="text1"/>
                <w:sz w:val="18"/>
                <w:szCs w:val="18"/>
              </w:rPr>
              <w:t>–</w:t>
            </w:r>
            <w:r w:rsidRPr="00311464" w:rsidR="003C7C78">
              <w:rPr>
                <w:rFonts w:ascii="Calibri" w:eastAsia="Times New Roman" w:hAnsi="Calibri" w:cs="Calibri"/>
                <w:color w:val="000000" w:themeColor="text1"/>
                <w:sz w:val="18"/>
                <w:szCs w:val="18"/>
              </w:rPr>
              <w:t>2</w:t>
            </w:r>
            <w:r w:rsidRPr="00311464" w:rsidR="00B05C09">
              <w:rPr>
                <w:rFonts w:ascii="Calibri" w:eastAsia="Times New Roman" w:hAnsi="Calibri" w:cs="Calibri"/>
                <w:color w:val="000000" w:themeColor="text1"/>
                <w:sz w:val="18"/>
                <w:szCs w:val="18"/>
              </w:rPr>
              <w:t>2</w:t>
            </w:r>
            <w:r w:rsidRPr="00311464" w:rsidR="00EB207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13022FD1" w14:textId="77777777">
            <w:pPr>
              <w:spacing w:after="0" w:line="240" w:lineRule="auto"/>
              <w:rPr>
                <w:rFonts w:ascii="Calibri" w:eastAsia="Times New Roman" w:hAnsi="Calibri" w:cs="Calibri"/>
                <w:color w:val="000000"/>
                <w:sz w:val="18"/>
                <w:szCs w:val="18"/>
              </w:rPr>
            </w:pPr>
          </w:p>
        </w:tc>
      </w:tr>
      <w:tr w14:paraId="069400CC"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C5083F5"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Dual enrollment</w:t>
            </w:r>
          </w:p>
        </w:tc>
        <w:tc>
          <w:tcPr>
            <w:tcW w:w="8558" w:type="dxa"/>
            <w:shd w:val="clear" w:color="auto" w:fill="auto"/>
            <w:vAlign w:val="center"/>
            <w:hideMark/>
          </w:tcPr>
          <w:p w:rsidR="00EA2492" w:rsidRPr="00311464" w:rsidP="00EA2492" w14:paraId="3AB95B7F" w14:textId="77777777">
            <w:p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 </w:t>
            </w:r>
          </w:p>
          <w:p w:rsidR="00EA2492" w:rsidRPr="00311464" w:rsidP="00EA2492" w14:paraId="091E216B" w14:textId="77777777">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 xml:space="preserve">Includes: All postsecondary courses, independent of course delivery mode, course location, course instructor, whether secondary credit is also offered, and whether the student enrolls through a formal state/local program or enrolls outside a formal state/local program. </w:t>
            </w:r>
          </w:p>
          <w:p w:rsidR="00EA2492" w:rsidRPr="00311464" w:rsidP="00EA2492" w14:paraId="57E301EE" w14:textId="73F7EBCE">
            <w:pPr>
              <w:pStyle w:val="ListParagraph"/>
              <w:numPr>
                <w:ilvl w:val="0"/>
                <w:numId w:val="16"/>
              </w:numPr>
              <w:spacing w:after="0" w:line="240" w:lineRule="auto"/>
              <w:rPr>
                <w:rFonts w:ascii="Calibri" w:eastAsia="Times New Roman" w:hAnsi="Calibri" w:cs="Calibri"/>
                <w:color w:val="000000" w:themeColor="text1"/>
                <w:sz w:val="18"/>
                <w:szCs w:val="18"/>
              </w:rPr>
            </w:pPr>
            <w:r w:rsidRPr="00311464">
              <w:rPr>
                <w:rFonts w:ascii="Calibri" w:eastAsia="Times New Roman" w:hAnsi="Calibri" w:cs="Calibri"/>
                <w:color w:val="000000" w:themeColor="text1"/>
                <w:sz w:val="18"/>
                <w:szCs w:val="18"/>
              </w:rPr>
              <w:t>Excludes: Credit-by-exam models such as Advanced Placement and International Baccalaureate in which the student is not enrolled in a postsecondary institution.</w:t>
            </w:r>
          </w:p>
        </w:tc>
        <w:tc>
          <w:tcPr>
            <w:tcW w:w="2097" w:type="dxa"/>
            <w:shd w:val="clear" w:color="auto" w:fill="auto"/>
            <w:vAlign w:val="center"/>
            <w:hideMark/>
          </w:tcPr>
          <w:p w:rsidR="00EA2492" w:rsidRPr="002515CF" w:rsidP="00EA2492" w14:paraId="3ACDDC95" w14:textId="77777777">
            <w:pPr>
              <w:spacing w:after="0" w:line="240" w:lineRule="auto"/>
              <w:rPr>
                <w:rFonts w:ascii="Calibri" w:eastAsia="Times New Roman" w:hAnsi="Calibri" w:cs="Calibri"/>
                <w:sz w:val="18"/>
                <w:szCs w:val="18"/>
              </w:rPr>
            </w:pPr>
          </w:p>
        </w:tc>
      </w:tr>
      <w:tr w14:paraId="58EA2B27" w14:textId="77777777" w:rsidTr="0036249A">
        <w:tblPrEx>
          <w:tblW w:w="13616" w:type="dxa"/>
          <w:tblLook w:val="04A0"/>
        </w:tblPrEx>
        <w:trPr>
          <w:trHeight w:val="20"/>
        </w:trPr>
        <w:tc>
          <w:tcPr>
            <w:tcW w:w="2961" w:type="dxa"/>
            <w:shd w:val="clear" w:color="auto" w:fill="auto"/>
            <w:vAlign w:val="center"/>
          </w:tcPr>
          <w:p w:rsidR="00EA2492" w:rsidRPr="002515CF" w:rsidP="00EA2492" w14:paraId="78162F8E" w14:textId="48E44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Duolingo</w:t>
            </w:r>
          </w:p>
        </w:tc>
        <w:tc>
          <w:tcPr>
            <w:tcW w:w="8558" w:type="dxa"/>
            <w:shd w:val="clear" w:color="auto" w:fill="auto"/>
            <w:vAlign w:val="center"/>
          </w:tcPr>
          <w:p w:rsidR="00EA2492" w:rsidRPr="002515CF" w:rsidP="00EA2492" w14:paraId="062B52B3" w14:textId="3FFEEF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47105719" w14:textId="60F6EB1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5D987E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6EF3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w:t>
            </w:r>
          </w:p>
        </w:tc>
        <w:tc>
          <w:tcPr>
            <w:tcW w:w="8558" w:type="dxa"/>
            <w:shd w:val="clear" w:color="auto" w:fill="auto"/>
            <w:vAlign w:val="center"/>
            <w:hideMark/>
          </w:tcPr>
          <w:p w:rsidR="00EA2492" w:rsidRPr="00F7311D" w:rsidP="00EA2492" w14:paraId="52E60D54" w14:textId="7013E07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w:t>
            </w:r>
          </w:p>
        </w:tc>
        <w:tc>
          <w:tcPr>
            <w:tcW w:w="2097" w:type="dxa"/>
            <w:shd w:val="clear" w:color="auto" w:fill="auto"/>
            <w:vAlign w:val="center"/>
            <w:hideMark/>
          </w:tcPr>
          <w:p w:rsidR="00EA2492" w:rsidRPr="00F7311D" w:rsidP="00EA2492" w14:paraId="5E9A3963" w14:textId="77777777">
            <w:pPr>
              <w:spacing w:after="0" w:line="240" w:lineRule="auto"/>
              <w:rPr>
                <w:rFonts w:ascii="Calibri" w:eastAsia="Times New Roman" w:hAnsi="Calibri" w:cs="Calibri"/>
                <w:color w:val="000000"/>
                <w:sz w:val="18"/>
                <w:szCs w:val="18"/>
              </w:rPr>
            </w:pPr>
          </w:p>
        </w:tc>
      </w:tr>
      <w:tr w14:paraId="64C900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8B8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w:t>
            </w:r>
          </w:p>
        </w:tc>
        <w:tc>
          <w:tcPr>
            <w:tcW w:w="8558" w:type="dxa"/>
            <w:shd w:val="clear" w:color="auto" w:fill="auto"/>
            <w:vAlign w:val="center"/>
            <w:hideMark/>
          </w:tcPr>
          <w:p w:rsidR="00EA2492" w:rsidRPr="00F7311D" w:rsidP="00EA2492" w14:paraId="3B4B2D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E-media materials are media materials that are in digital format and are available for download or streaming. Include digital graphic materials.</w:t>
            </w:r>
          </w:p>
        </w:tc>
        <w:tc>
          <w:tcPr>
            <w:tcW w:w="2097" w:type="dxa"/>
            <w:shd w:val="clear" w:color="auto" w:fill="auto"/>
            <w:vAlign w:val="center"/>
            <w:hideMark/>
          </w:tcPr>
          <w:p w:rsidR="00EA2492" w:rsidRPr="00F7311D" w:rsidP="00EA2492" w14:paraId="4E27B7F5" w14:textId="77777777">
            <w:pPr>
              <w:spacing w:after="0" w:line="240" w:lineRule="auto"/>
              <w:rPr>
                <w:rFonts w:ascii="Calibri" w:eastAsia="Times New Roman" w:hAnsi="Calibri" w:cs="Calibri"/>
                <w:color w:val="000000"/>
                <w:sz w:val="18"/>
                <w:szCs w:val="18"/>
              </w:rPr>
            </w:pPr>
          </w:p>
        </w:tc>
      </w:tr>
      <w:tr w14:paraId="6FD87B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1AA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E-serial</w:t>
            </w:r>
          </w:p>
        </w:tc>
        <w:tc>
          <w:tcPr>
            <w:tcW w:w="8558" w:type="dxa"/>
            <w:shd w:val="clear" w:color="auto" w:fill="auto"/>
            <w:vAlign w:val="center"/>
            <w:hideMark/>
          </w:tcPr>
          <w:p w:rsidR="00EA2492" w:rsidRPr="00F7311D" w:rsidP="00EA2492" w14:paraId="2EF33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e-serial is a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tc>
        <w:tc>
          <w:tcPr>
            <w:tcW w:w="2097" w:type="dxa"/>
            <w:shd w:val="clear" w:color="auto" w:fill="auto"/>
            <w:vAlign w:val="center"/>
            <w:hideMark/>
          </w:tcPr>
          <w:p w:rsidR="00EA2492" w:rsidRPr="00F7311D" w:rsidP="00EA2492" w14:paraId="432EA764" w14:textId="77777777">
            <w:pPr>
              <w:spacing w:after="0" w:line="240" w:lineRule="auto"/>
              <w:rPr>
                <w:rFonts w:ascii="Calibri" w:eastAsia="Times New Roman" w:hAnsi="Calibri" w:cs="Calibri"/>
                <w:color w:val="000000"/>
                <w:sz w:val="18"/>
                <w:szCs w:val="18"/>
              </w:rPr>
            </w:pPr>
          </w:p>
        </w:tc>
      </w:tr>
      <w:tr w14:paraId="6698BE7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1409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action</w:t>
            </w:r>
          </w:p>
        </w:tc>
        <w:tc>
          <w:tcPr>
            <w:tcW w:w="8558" w:type="dxa"/>
            <w:shd w:val="clear" w:color="auto" w:fill="auto"/>
            <w:vAlign w:val="center"/>
            <w:hideMark/>
          </w:tcPr>
          <w:p w:rsidR="00EA2492" w:rsidRPr="00F7311D" w:rsidP="00EA2492" w14:paraId="1EBC5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admission plan that allows students to apply and be notified of an admission decision well in advance of the regular notification dates. If admitted, the candidate is not committed to enroll (unlike early decision). Students may reply to the offer under the college's regular reply policy.</w:t>
            </w:r>
          </w:p>
        </w:tc>
        <w:tc>
          <w:tcPr>
            <w:tcW w:w="2097" w:type="dxa"/>
            <w:shd w:val="clear" w:color="auto" w:fill="auto"/>
            <w:vAlign w:val="center"/>
            <w:hideMark/>
          </w:tcPr>
          <w:p w:rsidR="00EA2492" w:rsidRPr="00F7311D" w:rsidP="00EA2492" w14:paraId="3A9AFAEA" w14:textId="77777777">
            <w:pPr>
              <w:spacing w:after="0" w:line="240" w:lineRule="auto"/>
              <w:rPr>
                <w:rFonts w:ascii="Calibri" w:eastAsia="Times New Roman" w:hAnsi="Calibri" w:cs="Calibri"/>
                <w:color w:val="000000"/>
                <w:sz w:val="18"/>
                <w:szCs w:val="18"/>
              </w:rPr>
            </w:pPr>
          </w:p>
        </w:tc>
      </w:tr>
      <w:tr w14:paraId="48744C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D0DF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admission</w:t>
            </w:r>
          </w:p>
        </w:tc>
        <w:tc>
          <w:tcPr>
            <w:tcW w:w="8558" w:type="dxa"/>
            <w:shd w:val="clear" w:color="auto" w:fill="auto"/>
            <w:vAlign w:val="center"/>
            <w:hideMark/>
          </w:tcPr>
          <w:p w:rsidR="00EA2492" w:rsidRPr="00F7311D" w:rsidP="00EA2492" w14:paraId="442121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policy under which students who have not completed high school are admitted to and enrolled full-time in college, usually after completion of their junior year.</w:t>
            </w:r>
          </w:p>
        </w:tc>
        <w:tc>
          <w:tcPr>
            <w:tcW w:w="2097" w:type="dxa"/>
            <w:shd w:val="clear" w:color="auto" w:fill="auto"/>
            <w:vAlign w:val="center"/>
            <w:hideMark/>
          </w:tcPr>
          <w:p w:rsidR="00EA2492" w:rsidRPr="00F7311D" w:rsidP="00EA2492" w14:paraId="461C584D" w14:textId="77777777">
            <w:pPr>
              <w:spacing w:after="0" w:line="240" w:lineRule="auto"/>
              <w:rPr>
                <w:rFonts w:ascii="Calibri" w:eastAsia="Times New Roman" w:hAnsi="Calibri" w:cs="Calibri"/>
                <w:color w:val="000000"/>
                <w:sz w:val="18"/>
                <w:szCs w:val="18"/>
              </w:rPr>
            </w:pPr>
          </w:p>
        </w:tc>
      </w:tr>
      <w:tr w14:paraId="59DD60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B9E5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Early decision</w:t>
            </w:r>
          </w:p>
        </w:tc>
        <w:tc>
          <w:tcPr>
            <w:tcW w:w="8558" w:type="dxa"/>
            <w:shd w:val="clear" w:color="auto" w:fill="auto"/>
            <w:vAlign w:val="center"/>
            <w:hideMark/>
          </w:tcPr>
          <w:p w:rsidR="00EA2492" w:rsidRPr="00F7311D" w:rsidP="00EA2492" w14:paraId="66B34C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application: admitted, denied, or not admitted but forwarded for consideration with the regular applicant pool, without prejudice.</w:t>
            </w:r>
          </w:p>
        </w:tc>
        <w:tc>
          <w:tcPr>
            <w:tcW w:w="2097" w:type="dxa"/>
            <w:shd w:val="clear" w:color="auto" w:fill="auto"/>
            <w:vAlign w:val="center"/>
            <w:hideMark/>
          </w:tcPr>
          <w:p w:rsidR="00EA2492" w:rsidRPr="00F7311D" w:rsidP="00EA2492" w14:paraId="07977E85" w14:textId="77777777">
            <w:pPr>
              <w:spacing w:after="0" w:line="240" w:lineRule="auto"/>
              <w:rPr>
                <w:rFonts w:ascii="Calibri" w:eastAsia="Times New Roman" w:hAnsi="Calibri" w:cs="Calibri"/>
                <w:color w:val="000000"/>
                <w:sz w:val="18"/>
                <w:szCs w:val="18"/>
              </w:rPr>
            </w:pPr>
          </w:p>
        </w:tc>
      </w:tr>
      <w:tr w14:paraId="702646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C9F5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Educational offerings</w:t>
            </w:r>
          </w:p>
        </w:tc>
        <w:tc>
          <w:tcPr>
            <w:tcW w:w="8558" w:type="dxa"/>
            <w:shd w:val="clear" w:color="auto" w:fill="auto"/>
            <w:vAlign w:val="center"/>
            <w:hideMark/>
          </w:tcPr>
          <w:p w:rsidR="00EA2492" w:rsidRPr="00F7311D" w:rsidP="00EA2492" w14:paraId="0ACC60FB" w14:textId="2A363F9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Educational programs offered by postsecondary institutions that are occupational, academic, or continuing professional that qualify as postsecondary education programs OR recreational or avocational, adult basic, </w:t>
            </w:r>
            <w:r w:rsidRPr="00311464" w:rsidR="00EE7111">
              <w:rPr>
                <w:rFonts w:ascii="Calibri" w:eastAsia="Times New Roman" w:hAnsi="Calibri" w:cs="Calibri"/>
                <w:color w:val="000000" w:themeColor="text1"/>
                <w:sz w:val="18"/>
                <w:szCs w:val="18"/>
              </w:rPr>
              <w:t xml:space="preserve">developmental </w:t>
            </w:r>
            <w:r w:rsidRPr="00F7311D">
              <w:rPr>
                <w:rFonts w:ascii="Calibri" w:eastAsia="Times New Roman" w:hAnsi="Calibri" w:cs="Calibri"/>
                <w:color w:val="000000"/>
                <w:sz w:val="18"/>
                <w:szCs w:val="18"/>
              </w:rPr>
              <w:t>instruction, high school equivalency, or high school programs that are not deemed postsecondary.</w:t>
            </w:r>
          </w:p>
        </w:tc>
        <w:tc>
          <w:tcPr>
            <w:tcW w:w="2097" w:type="dxa"/>
            <w:shd w:val="clear" w:color="auto" w:fill="auto"/>
            <w:vAlign w:val="center"/>
            <w:hideMark/>
          </w:tcPr>
          <w:p w:rsidR="00EA2492" w:rsidRPr="00F7311D" w:rsidP="00EA2492" w14:paraId="5DB126B1" w14:textId="77777777">
            <w:pPr>
              <w:spacing w:after="0" w:line="240" w:lineRule="auto"/>
              <w:rPr>
                <w:rFonts w:ascii="Calibri" w:eastAsia="Times New Roman" w:hAnsi="Calibri" w:cs="Calibri"/>
                <w:color w:val="000000"/>
                <w:sz w:val="18"/>
                <w:szCs w:val="18"/>
              </w:rPr>
            </w:pPr>
          </w:p>
        </w:tc>
      </w:tr>
      <w:tr w14:paraId="18DF5AE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6283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Employees by Assigned Position (EAP)</w:t>
            </w:r>
          </w:p>
        </w:tc>
        <w:tc>
          <w:tcPr>
            <w:tcW w:w="8558" w:type="dxa"/>
            <w:shd w:val="clear" w:color="auto" w:fill="auto"/>
            <w:vAlign w:val="center"/>
            <w:hideMark/>
          </w:tcPr>
          <w:p w:rsidR="00EA2492" w:rsidRPr="00F7311D" w:rsidP="00EA2492" w14:paraId="694C8BEE" w14:textId="30313F5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data, now part of the Human Resources (HR) component of IPEDS, was previously a separate collection.  It was instituted in 2001-02 as a response to a proposal by the National Postsecondary Education Cooperative focus group on faculty and staff.  It allows institutions to 'assign' all faculty and staff to distinct categories. The EAP collects information on all employees on the institution's payroll as of November 1 of the reporting year, by full- and part-time status; by function or occupational category; and by faculty status and tenure status. Institutions with medical schools are required to report their medical school employees separately. (Term used in IPEDS HR survey component prior to 2012-13)</w:t>
            </w:r>
          </w:p>
        </w:tc>
        <w:tc>
          <w:tcPr>
            <w:tcW w:w="2097" w:type="dxa"/>
            <w:shd w:val="clear" w:color="auto" w:fill="auto"/>
            <w:vAlign w:val="center"/>
            <w:hideMark/>
          </w:tcPr>
          <w:p w:rsidR="00EA2492" w:rsidRPr="00F7311D" w:rsidP="00EA2492" w14:paraId="38A12398" w14:textId="77777777">
            <w:pPr>
              <w:spacing w:after="0" w:line="240" w:lineRule="auto"/>
              <w:rPr>
                <w:rFonts w:ascii="Calibri" w:eastAsia="Times New Roman" w:hAnsi="Calibri" w:cs="Calibri"/>
                <w:color w:val="000000"/>
                <w:sz w:val="18"/>
                <w:szCs w:val="18"/>
              </w:rPr>
            </w:pPr>
          </w:p>
        </w:tc>
      </w:tr>
      <w:tr w14:paraId="385933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BAF44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Employer Identification Number (EIN)</w:t>
            </w:r>
          </w:p>
        </w:tc>
        <w:tc>
          <w:tcPr>
            <w:tcW w:w="8558" w:type="dxa"/>
            <w:shd w:val="clear" w:color="auto" w:fill="auto"/>
            <w:vAlign w:val="center"/>
            <w:hideMark/>
          </w:tcPr>
          <w:p w:rsidR="00EA2492" w:rsidRPr="00F7311D" w:rsidP="00EA2492" w14:paraId="1DD87B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assigned to an institution by the Internal Revenue Service for tax purposes.</w:t>
            </w:r>
          </w:p>
        </w:tc>
        <w:tc>
          <w:tcPr>
            <w:tcW w:w="2097" w:type="dxa"/>
            <w:shd w:val="clear" w:color="auto" w:fill="auto"/>
            <w:vAlign w:val="center"/>
            <w:hideMark/>
          </w:tcPr>
          <w:p w:rsidR="00EA2492" w:rsidRPr="00F7311D" w:rsidP="00EA2492" w14:paraId="1506939A" w14:textId="77777777">
            <w:pPr>
              <w:spacing w:after="0" w:line="240" w:lineRule="auto"/>
              <w:rPr>
                <w:rFonts w:ascii="Calibri" w:eastAsia="Times New Roman" w:hAnsi="Calibri" w:cs="Calibri"/>
                <w:color w:val="000000"/>
                <w:sz w:val="18"/>
                <w:szCs w:val="18"/>
              </w:rPr>
            </w:pPr>
          </w:p>
        </w:tc>
      </w:tr>
      <w:tr w14:paraId="10CEEA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2B6D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Employment services for current students</w:t>
            </w:r>
          </w:p>
        </w:tc>
        <w:tc>
          <w:tcPr>
            <w:tcW w:w="8558" w:type="dxa"/>
            <w:shd w:val="clear" w:color="auto" w:fill="auto"/>
            <w:vAlign w:val="center"/>
            <w:hideMark/>
          </w:tcPr>
          <w:p w:rsidR="00EA2492" w:rsidRPr="00F7311D" w:rsidP="00EA2492" w14:paraId="0A0E579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intended to assist students in obtaining part-time employment as a means of defraying part of the cost of their education.</w:t>
            </w:r>
          </w:p>
        </w:tc>
        <w:tc>
          <w:tcPr>
            <w:tcW w:w="2097" w:type="dxa"/>
            <w:shd w:val="clear" w:color="auto" w:fill="auto"/>
            <w:vAlign w:val="center"/>
            <w:hideMark/>
          </w:tcPr>
          <w:p w:rsidR="00EA2492" w:rsidRPr="00F7311D" w:rsidP="00EA2492" w14:paraId="6342B2B6" w14:textId="77777777">
            <w:pPr>
              <w:spacing w:after="0" w:line="240" w:lineRule="auto"/>
              <w:rPr>
                <w:rFonts w:ascii="Calibri" w:eastAsia="Times New Roman" w:hAnsi="Calibri" w:cs="Calibri"/>
                <w:color w:val="000000"/>
                <w:sz w:val="18"/>
                <w:szCs w:val="18"/>
              </w:rPr>
            </w:pPr>
          </w:p>
        </w:tc>
      </w:tr>
      <w:tr w14:paraId="5FB5634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CFA96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funds</w:t>
            </w:r>
          </w:p>
        </w:tc>
        <w:tc>
          <w:tcPr>
            <w:tcW w:w="8558" w:type="dxa"/>
            <w:shd w:val="clear" w:color="auto" w:fill="auto"/>
            <w:vAlign w:val="center"/>
            <w:hideMark/>
          </w:tcPr>
          <w:p w:rsidR="00EA2492" w:rsidRPr="00F7311D" w:rsidP="00EA2492" w14:paraId="645BDC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whose principal is nonexpendable (true endowment) and that are intended to be invested to provide earnings for institutional use. Also includes term endowments and funds functioning as endowment.</w:t>
            </w:r>
          </w:p>
        </w:tc>
        <w:tc>
          <w:tcPr>
            <w:tcW w:w="2097" w:type="dxa"/>
            <w:shd w:val="clear" w:color="auto" w:fill="auto"/>
            <w:vAlign w:val="center"/>
            <w:hideMark/>
          </w:tcPr>
          <w:p w:rsidR="00EA2492" w:rsidRPr="00F7311D" w:rsidP="00EA2492" w14:paraId="331C4CA7" w14:textId="77777777">
            <w:pPr>
              <w:spacing w:after="0" w:line="240" w:lineRule="auto"/>
              <w:rPr>
                <w:rFonts w:ascii="Calibri" w:eastAsia="Times New Roman" w:hAnsi="Calibri" w:cs="Calibri"/>
                <w:color w:val="000000"/>
                <w:sz w:val="18"/>
                <w:szCs w:val="18"/>
              </w:rPr>
            </w:pPr>
          </w:p>
        </w:tc>
      </w:tr>
      <w:tr w14:paraId="101BBF7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ADA4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w:t>
            </w:r>
          </w:p>
        </w:tc>
        <w:tc>
          <w:tcPr>
            <w:tcW w:w="8558" w:type="dxa"/>
            <w:shd w:val="clear" w:color="auto" w:fill="auto"/>
            <w:vAlign w:val="center"/>
            <w:hideMark/>
          </w:tcPr>
          <w:p w:rsidR="00EA2492" w:rsidRPr="00F7311D" w:rsidP="00EA2492" w14:paraId="3C8BE3C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income includes: (1) the unrestricted income of endowment and similar funds; (2) restricted income of endowment and similar funds to the extent expended for current operating purposes, and (3) income from funds held in trust by others under irrevocable trusts. Excludes capital gains or losses unless the institution has adopted a spending formula by which it expends not only the yield but also a prudent portion of the appreciation of the principal. Does not include gains spent for current operations, which are treated as transfers.</w:t>
            </w:r>
          </w:p>
        </w:tc>
        <w:tc>
          <w:tcPr>
            <w:tcW w:w="2097" w:type="dxa"/>
            <w:shd w:val="clear" w:color="auto" w:fill="auto"/>
            <w:vAlign w:val="center"/>
            <w:hideMark/>
          </w:tcPr>
          <w:p w:rsidR="00EA2492" w:rsidRPr="00F7311D" w:rsidP="00EA2492" w14:paraId="5DAEA5CE" w14:textId="77777777">
            <w:pPr>
              <w:spacing w:after="0" w:line="240" w:lineRule="auto"/>
              <w:rPr>
                <w:rFonts w:ascii="Calibri" w:eastAsia="Times New Roman" w:hAnsi="Calibri" w:cs="Calibri"/>
                <w:color w:val="000000"/>
                <w:sz w:val="18"/>
                <w:szCs w:val="18"/>
              </w:rPr>
            </w:pPr>
          </w:p>
        </w:tc>
      </w:tr>
      <w:tr w14:paraId="352340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8D9D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Endowment net assets</w:t>
            </w:r>
          </w:p>
        </w:tc>
        <w:tc>
          <w:tcPr>
            <w:tcW w:w="8558" w:type="dxa"/>
            <w:shd w:val="clear" w:color="auto" w:fill="auto"/>
            <w:vAlign w:val="center"/>
            <w:hideMark/>
          </w:tcPr>
          <w:p w:rsidR="00EA2492" w:rsidRPr="00F7311D" w:rsidP="00EA2492" w14:paraId="3AEEDCE4" w14:textId="2E28D07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Gross investments of endowment funds, term endowment funds, and funds functioning as endowment for the institution and any of its foundations and other affiliated organizations and component units reduced by the value of endowment-related liabilities.</w:t>
            </w:r>
          </w:p>
        </w:tc>
        <w:tc>
          <w:tcPr>
            <w:tcW w:w="2097" w:type="dxa"/>
            <w:shd w:val="clear" w:color="auto" w:fill="auto"/>
            <w:vAlign w:val="center"/>
            <w:hideMark/>
          </w:tcPr>
          <w:p w:rsidR="00EA2492" w:rsidRPr="00F7311D" w:rsidP="00EA2492" w14:paraId="789CDEFB" w14:textId="77777777">
            <w:pPr>
              <w:spacing w:after="0" w:line="240" w:lineRule="auto"/>
              <w:rPr>
                <w:rFonts w:ascii="Calibri" w:eastAsia="Times New Roman" w:hAnsi="Calibri" w:cs="Calibri"/>
                <w:color w:val="000000"/>
                <w:sz w:val="18"/>
                <w:szCs w:val="18"/>
              </w:rPr>
            </w:pPr>
          </w:p>
        </w:tc>
      </w:tr>
      <w:tr w14:paraId="7C0BFE8B" w14:textId="77777777" w:rsidTr="0036249A">
        <w:tblPrEx>
          <w:tblW w:w="13616" w:type="dxa"/>
          <w:tblLook w:val="04A0"/>
        </w:tblPrEx>
        <w:trPr>
          <w:trHeight w:val="20"/>
        </w:trPr>
        <w:tc>
          <w:tcPr>
            <w:tcW w:w="2961" w:type="dxa"/>
            <w:shd w:val="clear" w:color="auto" w:fill="auto"/>
            <w:vAlign w:val="center"/>
          </w:tcPr>
          <w:p w:rsidR="00EA2492" w:rsidRPr="002515CF" w:rsidP="00EA2492" w14:paraId="0B9F0345" w14:textId="4980C87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c>
          <w:tcPr>
            <w:tcW w:w="8558" w:type="dxa"/>
            <w:shd w:val="clear" w:color="auto" w:fill="auto"/>
            <w:vAlign w:val="center"/>
          </w:tcPr>
          <w:p w:rsidR="00EA2492" w:rsidRPr="002515CF" w:rsidP="00EA2492" w14:paraId="6E4D304D" w14:textId="0262F5E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A test of English language abilities required for admission from incoming international students that are not from an English proficiency exempt country (as defined by the institution). Examples </w:t>
            </w:r>
            <w:r w:rsidRPr="002515CF" w:rsidR="001415EF">
              <w:rPr>
                <w:rFonts w:ascii="Calibri" w:eastAsia="Times New Roman" w:hAnsi="Calibri" w:cs="Calibri"/>
                <w:sz w:val="18"/>
                <w:szCs w:val="18"/>
              </w:rPr>
              <w:t>include but</w:t>
            </w:r>
            <w:r w:rsidRPr="002515CF">
              <w:rPr>
                <w:rFonts w:ascii="Calibri" w:eastAsia="Times New Roman" w:hAnsi="Calibri" w:cs="Calibri"/>
                <w:sz w:val="18"/>
                <w:szCs w:val="18"/>
              </w:rPr>
              <w:t xml:space="preserve"> are not limited to: the Test of English as a Foreign Language (TOEFL), the International English Language Testing System (IELTS), The Cambridge Certificate of </w:t>
            </w:r>
            <w:r w:rsidRPr="002515CF" w:rsidR="001415EF">
              <w:rPr>
                <w:rFonts w:ascii="Calibri" w:eastAsia="Times New Roman" w:hAnsi="Calibri" w:cs="Calibri"/>
                <w:sz w:val="18"/>
                <w:szCs w:val="18"/>
              </w:rPr>
              <w:t>Advanced</w:t>
            </w:r>
            <w:r w:rsidRPr="002515CF">
              <w:rPr>
                <w:rFonts w:ascii="Calibri" w:eastAsia="Times New Roman" w:hAnsi="Calibri" w:cs="Calibri"/>
                <w:sz w:val="18"/>
                <w:szCs w:val="18"/>
              </w:rPr>
              <w:t xml:space="preserve"> English</w:t>
            </w:r>
            <w:r w:rsidRPr="002515CF" w:rsidR="001415EF">
              <w:rPr>
                <w:rFonts w:ascii="Calibri" w:eastAsia="Times New Roman" w:hAnsi="Calibri" w:cs="Calibri"/>
                <w:sz w:val="18"/>
                <w:szCs w:val="18"/>
              </w:rPr>
              <w:t xml:space="preserve"> (CAE)</w:t>
            </w:r>
            <w:r w:rsidRPr="002515CF">
              <w:rPr>
                <w:rFonts w:ascii="Calibri" w:eastAsia="Times New Roman" w:hAnsi="Calibri" w:cs="Calibri"/>
                <w:sz w:val="18"/>
                <w:szCs w:val="18"/>
              </w:rPr>
              <w:t xml:space="preserve">, and Duolingo. </w:t>
            </w:r>
          </w:p>
        </w:tc>
        <w:tc>
          <w:tcPr>
            <w:tcW w:w="2097" w:type="dxa"/>
            <w:shd w:val="clear" w:color="auto" w:fill="auto"/>
            <w:vAlign w:val="center"/>
          </w:tcPr>
          <w:p w:rsidR="00EA2492" w:rsidRPr="002515CF" w:rsidP="00EA2492" w14:paraId="2242E9B1" w14:textId="7BE88590">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 International English Language Testing System (IELTS); Cambridge Certificate of Advanced English (CAE); Duolingo</w:t>
            </w:r>
          </w:p>
        </w:tc>
      </w:tr>
      <w:tr w14:paraId="0EF149C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6724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Enrolled for credit</w:t>
            </w:r>
          </w:p>
        </w:tc>
        <w:tc>
          <w:tcPr>
            <w:tcW w:w="8558" w:type="dxa"/>
            <w:shd w:val="clear" w:color="auto" w:fill="auto"/>
            <w:vAlign w:val="center"/>
            <w:hideMark/>
          </w:tcPr>
          <w:p w:rsidR="00EA2492" w:rsidRPr="00F7311D" w:rsidP="00EA2492" w14:paraId="23E056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Credit can be measured in units such as clock hours or credit hours. Credit is the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097" w:type="dxa"/>
            <w:shd w:val="clear" w:color="auto" w:fill="auto"/>
            <w:vAlign w:val="center"/>
            <w:hideMark/>
          </w:tcPr>
          <w:p w:rsidR="00EA2492" w:rsidRPr="00F7311D" w:rsidP="00EA2492" w14:paraId="706FE000" w14:textId="77777777">
            <w:pPr>
              <w:spacing w:after="0" w:line="240" w:lineRule="auto"/>
              <w:rPr>
                <w:rFonts w:ascii="Calibri" w:eastAsia="Times New Roman" w:hAnsi="Calibri" w:cs="Calibri"/>
                <w:color w:val="000000"/>
                <w:sz w:val="18"/>
                <w:szCs w:val="18"/>
              </w:rPr>
            </w:pPr>
          </w:p>
        </w:tc>
      </w:tr>
      <w:tr w14:paraId="33BD39D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A903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Entering students (undergraduate)</w:t>
            </w:r>
          </w:p>
        </w:tc>
        <w:tc>
          <w:tcPr>
            <w:tcW w:w="8558" w:type="dxa"/>
            <w:shd w:val="clear" w:color="auto" w:fill="auto"/>
            <w:vAlign w:val="center"/>
            <w:hideMark/>
          </w:tcPr>
          <w:p w:rsidR="00EA2492" w:rsidRPr="00F7311D" w:rsidP="00EA2492" w14:paraId="43EDCC65" w14:textId="53D06B11">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Students at the undergraduate level, both full-time and part-time, </w:t>
            </w:r>
            <w:r w:rsidRPr="008878BA" w:rsidR="008878BA">
              <w:rPr>
                <w:rFonts w:ascii="Calibri" w:eastAsia="Times New Roman" w:hAnsi="Calibri" w:cs="Calibri"/>
                <w:sz w:val="18"/>
                <w:szCs w:val="18"/>
              </w:rPr>
              <w:t>e</w:t>
            </w:r>
            <w:r w:rsidRPr="008878BA" w:rsidR="00A53960">
              <w:rPr>
                <w:rFonts w:ascii="Calibri" w:eastAsia="Times New Roman" w:hAnsi="Calibri" w:cs="Calibri"/>
                <w:sz w:val="18"/>
                <w:szCs w:val="18"/>
              </w:rPr>
              <w:t>nroll</w:t>
            </w:r>
            <w:r w:rsidRPr="008878BA" w:rsidR="4B2716FC">
              <w:rPr>
                <w:rFonts w:ascii="Calibri" w:eastAsia="Times New Roman" w:hAnsi="Calibri" w:cs="Calibri"/>
                <w:sz w:val="18"/>
                <w:szCs w:val="18"/>
              </w:rPr>
              <w:t>ed</w:t>
            </w:r>
            <w:r w:rsidRPr="008878BA" w:rsidR="00A53960">
              <w:rPr>
                <w:rFonts w:ascii="Calibri" w:eastAsia="Times New Roman" w:hAnsi="Calibri" w:cs="Calibri"/>
                <w:sz w:val="18"/>
                <w:szCs w:val="18"/>
              </w:rPr>
              <w:t xml:space="preserve"> at</w:t>
            </w:r>
            <w:r w:rsidRPr="008878BA">
              <w:rPr>
                <w:rFonts w:ascii="Calibri" w:eastAsia="Times New Roman" w:hAnsi="Calibri" w:cs="Calibri"/>
                <w:sz w:val="18"/>
                <w:szCs w:val="18"/>
              </w:rPr>
              <w:t xml:space="preserve"> the institution for the first time </w:t>
            </w:r>
            <w:r w:rsidRPr="008878BA" w:rsidR="00A53960">
              <w:rPr>
                <w:rFonts w:ascii="Calibri" w:eastAsia="Times New Roman" w:hAnsi="Calibri" w:cs="Calibri"/>
                <w:sz w:val="18"/>
                <w:szCs w:val="18"/>
              </w:rPr>
              <w:t xml:space="preserve">during </w:t>
            </w:r>
            <w:r w:rsidRPr="008878BA" w:rsidR="0043146E">
              <w:rPr>
                <w:rFonts w:ascii="Calibri" w:eastAsia="Times New Roman" w:hAnsi="Calibri" w:cs="Calibri"/>
                <w:sz w:val="18"/>
                <w:szCs w:val="18"/>
              </w:rPr>
              <w:t xml:space="preserve">the IPEDS enrollment reporting period (e.g., fall term or preceding summer session for Fall Enrollment </w:t>
            </w:r>
            <w:r w:rsidRPr="008878BA" w:rsidR="00C34166">
              <w:rPr>
                <w:rFonts w:ascii="Calibri" w:eastAsia="Times New Roman" w:hAnsi="Calibri" w:cs="Calibri"/>
                <w:sz w:val="18"/>
                <w:szCs w:val="18"/>
              </w:rPr>
              <w:t>survey component)</w:t>
            </w:r>
            <w:r w:rsidRPr="008878BA" w:rsidR="008878BA">
              <w:rPr>
                <w:rFonts w:ascii="Calibri" w:eastAsia="Times New Roman" w:hAnsi="Calibri" w:cs="Calibri"/>
                <w:sz w:val="18"/>
                <w:szCs w:val="18"/>
              </w:rPr>
              <w:t xml:space="preserve">. </w:t>
            </w:r>
            <w:r w:rsidRPr="008878BA">
              <w:rPr>
                <w:rFonts w:ascii="Calibri" w:eastAsia="Times New Roman" w:hAnsi="Calibri" w:cs="Calibri"/>
                <w:sz w:val="18"/>
                <w:szCs w:val="18"/>
              </w:rPr>
              <w:t xml:space="preserve">This includes all </w:t>
            </w:r>
            <w:r w:rsidRPr="008878BA" w:rsidR="00C34166">
              <w:rPr>
                <w:rFonts w:ascii="Calibri" w:eastAsia="Times New Roman" w:hAnsi="Calibri" w:cs="Calibri"/>
                <w:sz w:val="18"/>
                <w:szCs w:val="18"/>
              </w:rPr>
              <w:t xml:space="preserve">degree/certificate-seeking </w:t>
            </w:r>
            <w:r w:rsidRPr="008878BA">
              <w:rPr>
                <w:rFonts w:ascii="Calibri" w:eastAsia="Times New Roman" w:hAnsi="Calibri" w:cs="Calibri"/>
                <w:sz w:val="18"/>
                <w:szCs w:val="18"/>
              </w:rPr>
              <w:t xml:space="preserve">first-time students, </w:t>
            </w:r>
            <w:r w:rsidRPr="008878BA" w:rsidR="00900FB2">
              <w:rPr>
                <w:rFonts w:ascii="Calibri" w:eastAsia="Times New Roman" w:hAnsi="Calibri" w:cs="Calibri"/>
                <w:sz w:val="18"/>
                <w:szCs w:val="18"/>
              </w:rPr>
              <w:t xml:space="preserve">degree/certificate-seeking transfer-in </w:t>
            </w:r>
            <w:r w:rsidRPr="008878BA">
              <w:rPr>
                <w:rFonts w:ascii="Calibri" w:eastAsia="Times New Roman" w:hAnsi="Calibri" w:cs="Calibri"/>
                <w:sz w:val="18"/>
                <w:szCs w:val="18"/>
              </w:rPr>
              <w:t xml:space="preserve">students, and non-degree/non-certificate-seeking </w:t>
            </w:r>
            <w:r w:rsidRPr="008878BA" w:rsidR="0072690C">
              <w:rPr>
                <w:rFonts w:ascii="Calibri" w:eastAsia="Times New Roman" w:hAnsi="Calibri" w:cs="Calibri"/>
                <w:sz w:val="18"/>
                <w:szCs w:val="18"/>
              </w:rPr>
              <w:t xml:space="preserve">students new to the institution (not including high school students). </w:t>
            </w:r>
          </w:p>
        </w:tc>
        <w:tc>
          <w:tcPr>
            <w:tcW w:w="2097" w:type="dxa"/>
            <w:shd w:val="clear" w:color="auto" w:fill="auto"/>
            <w:vAlign w:val="center"/>
            <w:hideMark/>
          </w:tcPr>
          <w:p w:rsidR="00EA2492" w:rsidRPr="00F7311D" w:rsidP="00EA2492" w14:paraId="14C70FFE" w14:textId="77777777">
            <w:pPr>
              <w:spacing w:after="0" w:line="240" w:lineRule="auto"/>
              <w:rPr>
                <w:rFonts w:ascii="Calibri" w:eastAsia="Times New Roman" w:hAnsi="Calibri" w:cs="Calibri"/>
                <w:color w:val="000000"/>
                <w:sz w:val="18"/>
                <w:szCs w:val="18"/>
              </w:rPr>
            </w:pPr>
          </w:p>
        </w:tc>
      </w:tr>
      <w:tr w14:paraId="469D7F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6010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Equipment</w:t>
            </w:r>
          </w:p>
        </w:tc>
        <w:tc>
          <w:tcPr>
            <w:tcW w:w="8558" w:type="dxa"/>
            <w:shd w:val="clear" w:color="auto" w:fill="auto"/>
            <w:vAlign w:val="center"/>
            <w:hideMark/>
          </w:tcPr>
          <w:p w:rsidR="00EA2492" w:rsidRPr="00F7311D" w:rsidP="00EA2492" w14:paraId="69573F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Moveable tangible property such as research equipment, vehicles, machinery, and office equipment that meets the institution's capitalization policy for capital assets.</w:t>
            </w:r>
          </w:p>
        </w:tc>
        <w:tc>
          <w:tcPr>
            <w:tcW w:w="2097" w:type="dxa"/>
            <w:shd w:val="clear" w:color="auto" w:fill="auto"/>
            <w:vAlign w:val="center"/>
            <w:hideMark/>
          </w:tcPr>
          <w:p w:rsidR="00EA2492" w:rsidRPr="00F7311D" w:rsidP="00EA2492" w14:paraId="531E25D0" w14:textId="77777777">
            <w:pPr>
              <w:spacing w:after="0" w:line="240" w:lineRule="auto"/>
              <w:rPr>
                <w:rFonts w:ascii="Calibri" w:eastAsia="Times New Roman" w:hAnsi="Calibri" w:cs="Calibri"/>
                <w:color w:val="000000"/>
                <w:sz w:val="18"/>
                <w:szCs w:val="18"/>
              </w:rPr>
            </w:pPr>
          </w:p>
        </w:tc>
      </w:tr>
      <w:tr w14:paraId="5EA986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2A2F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Equity</w:t>
            </w:r>
          </w:p>
        </w:tc>
        <w:tc>
          <w:tcPr>
            <w:tcW w:w="8558" w:type="dxa"/>
            <w:shd w:val="clear" w:color="auto" w:fill="auto"/>
            <w:vAlign w:val="center"/>
            <w:hideMark/>
          </w:tcPr>
          <w:p w:rsidR="00EA2492" w:rsidRPr="00F7311D" w:rsidP="00EA2492" w14:paraId="2474C7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 private, for-profit institution's assets over its liabilities. It is the claim or stake of the owners.</w:t>
            </w:r>
          </w:p>
        </w:tc>
        <w:tc>
          <w:tcPr>
            <w:tcW w:w="2097" w:type="dxa"/>
            <w:shd w:val="clear" w:color="auto" w:fill="auto"/>
            <w:vAlign w:val="center"/>
            <w:hideMark/>
          </w:tcPr>
          <w:p w:rsidR="00EA2492" w:rsidRPr="00F7311D" w:rsidP="00EA2492" w14:paraId="2F1F4BBE" w14:textId="77777777">
            <w:pPr>
              <w:spacing w:after="0" w:line="240" w:lineRule="auto"/>
              <w:rPr>
                <w:rFonts w:ascii="Calibri" w:eastAsia="Times New Roman" w:hAnsi="Calibri" w:cs="Calibri"/>
                <w:color w:val="000000"/>
                <w:sz w:val="18"/>
                <w:szCs w:val="18"/>
              </w:rPr>
            </w:pPr>
          </w:p>
        </w:tc>
      </w:tr>
      <w:tr w14:paraId="28F6F52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A150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Exclusions</w:t>
            </w:r>
          </w:p>
        </w:tc>
        <w:tc>
          <w:tcPr>
            <w:tcW w:w="8558" w:type="dxa"/>
            <w:shd w:val="clear" w:color="auto" w:fill="auto"/>
            <w:vAlign w:val="center"/>
            <w:hideMark/>
          </w:tcPr>
          <w:p w:rsidR="00EA2492" w:rsidRPr="00F7311D" w:rsidP="00EA2492" w14:paraId="4F8F9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Those students who may be removed (deleted) from a cohort (or </w:t>
            </w:r>
            <w:r w:rsidRPr="00F7311D">
              <w:rPr>
                <w:rFonts w:ascii="Calibri" w:eastAsia="Times New Roman" w:hAnsi="Calibri" w:cs="Calibri"/>
                <w:color w:val="000000"/>
                <w:sz w:val="18"/>
                <w:szCs w:val="18"/>
              </w:rPr>
              <w:t>subcohort</w:t>
            </w:r>
            <w:r w:rsidRPr="00F7311D">
              <w:rPr>
                <w:rFonts w:ascii="Calibri" w:eastAsia="Times New Roman" w:hAnsi="Calibri" w:cs="Calibri"/>
                <w:color w:val="000000"/>
                <w:sz w:val="18"/>
                <w:szCs w:val="18"/>
              </w:rPr>
              <w:t>). For the Graduation Rates, Outcome Measures, and Fall Enrollment retention rate reporting, students may be removed from a cohort if they left the institution for one of the following reasons: death or total and permanent disability; service in the armed forces (including those called to active duty); service with a foreign aid service of the federal government, such as the Peace Corps; or service on official church missions.</w:t>
            </w:r>
          </w:p>
        </w:tc>
        <w:tc>
          <w:tcPr>
            <w:tcW w:w="2097" w:type="dxa"/>
            <w:shd w:val="clear" w:color="auto" w:fill="auto"/>
            <w:vAlign w:val="center"/>
            <w:hideMark/>
          </w:tcPr>
          <w:p w:rsidR="00EA2492" w:rsidRPr="00F7311D" w:rsidP="00EA2492" w14:paraId="532E0EB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r>
      <w:tr w14:paraId="548538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5275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Executive, administrative, and managerial</w:t>
            </w:r>
          </w:p>
        </w:tc>
        <w:tc>
          <w:tcPr>
            <w:tcW w:w="8558" w:type="dxa"/>
            <w:shd w:val="clear" w:color="auto" w:fill="auto"/>
            <w:vAlign w:val="center"/>
            <w:hideMark/>
          </w:tcPr>
          <w:p w:rsidR="00EA2492" w:rsidRPr="00F7311D" w:rsidP="00EA2492" w14:paraId="71A2FFD0" w14:textId="06D9034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management of the institution, or a customarily recognized department or subdivision thereof.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employees holding titles such as: top executives; chief executives; general and operations managers; advertising, marketing, promotions, public relations, and sales managers; operations specialties managers; administrative services managers; computer and information systems managers; financial managers; human resources managers; purchasing managers; postsecondary education administrators such as: presidents, vice presidents (including assistants and associates), deans (including assistants and associates) if their principal activity is administrative and not primarily instruction, research or public service, directors (including assistants and associates), department heads (including assistants and associates) if their principal activity is administrative and not primarily instruction, research or public service, assistant and associate managers (including first-line managers of service, production and sales workers who spend more than 80 percent of their time performing supervisory activities); engineering managers; food service managers; lodging managers; and medical and health services managers.(Term used in the IPEDS HR survey component prior to 2012-13)</w:t>
            </w:r>
          </w:p>
        </w:tc>
        <w:tc>
          <w:tcPr>
            <w:tcW w:w="2097" w:type="dxa"/>
            <w:shd w:val="clear" w:color="auto" w:fill="auto"/>
            <w:vAlign w:val="center"/>
            <w:hideMark/>
          </w:tcPr>
          <w:p w:rsidR="00EA2492" w:rsidRPr="00F7311D" w:rsidP="00EA2492" w14:paraId="153CB1FF" w14:textId="77777777">
            <w:pPr>
              <w:spacing w:after="0" w:line="240" w:lineRule="auto"/>
              <w:rPr>
                <w:rFonts w:ascii="Calibri" w:eastAsia="Times New Roman" w:hAnsi="Calibri" w:cs="Calibri"/>
                <w:color w:val="000000"/>
                <w:sz w:val="18"/>
                <w:szCs w:val="18"/>
              </w:rPr>
            </w:pPr>
          </w:p>
        </w:tc>
      </w:tr>
      <w:tr w14:paraId="68F3CBC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D9A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w:t>
            </w:r>
          </w:p>
        </w:tc>
        <w:tc>
          <w:tcPr>
            <w:tcW w:w="8558" w:type="dxa"/>
            <w:shd w:val="clear" w:color="auto" w:fill="auto"/>
            <w:vAlign w:val="center"/>
            <w:hideMark/>
          </w:tcPr>
          <w:p w:rsidR="00EA2492" w:rsidRPr="00F7311D" w:rsidP="00EA2492" w14:paraId="594081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outflow or other using up of assets or incurrence of liabilities (or a combination of both) from delivering or producing goods, rendering services, or carrying out other activities that constitute the institution's ongoing major or central operations or in generating revenues. Alternatively, expenses may be thought of as the costs of goods and services used to produce the educational services provided by the institution. Expenses result in a reduction of net assets.</w:t>
            </w:r>
          </w:p>
        </w:tc>
        <w:tc>
          <w:tcPr>
            <w:tcW w:w="2097" w:type="dxa"/>
            <w:shd w:val="clear" w:color="auto" w:fill="auto"/>
            <w:vAlign w:val="center"/>
            <w:hideMark/>
          </w:tcPr>
          <w:p w:rsidR="00EA2492" w:rsidRPr="00F7311D" w:rsidP="00EA2492" w14:paraId="1AB33B39" w14:textId="77777777">
            <w:pPr>
              <w:spacing w:after="0" w:line="240" w:lineRule="auto"/>
              <w:rPr>
                <w:rFonts w:ascii="Calibri" w:eastAsia="Times New Roman" w:hAnsi="Calibri" w:cs="Calibri"/>
                <w:color w:val="000000"/>
                <w:sz w:val="18"/>
                <w:szCs w:val="18"/>
              </w:rPr>
            </w:pPr>
          </w:p>
        </w:tc>
      </w:tr>
      <w:tr w14:paraId="0FACB97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DC80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centers</w:t>
            </w:r>
          </w:p>
        </w:tc>
        <w:tc>
          <w:tcPr>
            <w:tcW w:w="8558" w:type="dxa"/>
            <w:shd w:val="clear" w:color="auto" w:fill="auto"/>
            <w:vAlign w:val="center"/>
            <w:hideMark/>
          </w:tcPr>
          <w:p w:rsidR="00EA2492" w:rsidRPr="00F7311D" w:rsidP="00EA2492" w14:paraId="054CFD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or centers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097" w:type="dxa"/>
            <w:shd w:val="clear" w:color="auto" w:fill="auto"/>
            <w:vAlign w:val="center"/>
            <w:hideMark/>
          </w:tcPr>
          <w:p w:rsidR="00EA2492" w:rsidRPr="00F7311D" w:rsidP="00EA2492" w14:paraId="75992852" w14:textId="77777777">
            <w:pPr>
              <w:spacing w:after="0" w:line="240" w:lineRule="auto"/>
              <w:rPr>
                <w:rFonts w:ascii="Calibri" w:eastAsia="Times New Roman" w:hAnsi="Calibri" w:cs="Calibri"/>
                <w:color w:val="000000"/>
                <w:sz w:val="18"/>
                <w:szCs w:val="18"/>
              </w:rPr>
            </w:pPr>
          </w:p>
        </w:tc>
      </w:tr>
      <w:tr w14:paraId="0C3B97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54D9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Extension division</w:t>
            </w:r>
          </w:p>
        </w:tc>
        <w:tc>
          <w:tcPr>
            <w:tcW w:w="8558" w:type="dxa"/>
            <w:shd w:val="clear" w:color="auto" w:fill="auto"/>
            <w:vAlign w:val="center"/>
            <w:hideMark/>
          </w:tcPr>
          <w:p w:rsidR="00EA2492" w:rsidRPr="00F7311D" w:rsidP="00EA2492" w14:paraId="021EB110" w14:textId="308E81F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unit of the institution that provides institutional services including the planning, organization, and delivery of extended campus offerings. To carry out these activities, it generally maintains its own enrollment, personnel, and financial records separate from those of the main institution (although an institution may include these records in its own institutional data base). It does not grant either degree-credit or degrees, but these may be awarded by the institution for instruction provided through the extension division.</w:t>
            </w:r>
          </w:p>
        </w:tc>
        <w:tc>
          <w:tcPr>
            <w:tcW w:w="2097" w:type="dxa"/>
            <w:shd w:val="clear" w:color="auto" w:fill="auto"/>
            <w:vAlign w:val="center"/>
            <w:hideMark/>
          </w:tcPr>
          <w:p w:rsidR="00EA2492" w:rsidRPr="00F7311D" w:rsidP="00EA2492" w14:paraId="6E7B5367" w14:textId="77777777">
            <w:pPr>
              <w:spacing w:after="0" w:line="240" w:lineRule="auto"/>
              <w:rPr>
                <w:rFonts w:ascii="Calibri" w:eastAsia="Times New Roman" w:hAnsi="Calibri" w:cs="Calibri"/>
                <w:color w:val="000000"/>
                <w:sz w:val="18"/>
                <w:szCs w:val="18"/>
              </w:rPr>
            </w:pPr>
          </w:p>
        </w:tc>
      </w:tr>
      <w:tr w14:paraId="482AA19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2259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Faculty</w:t>
            </w:r>
          </w:p>
        </w:tc>
        <w:tc>
          <w:tcPr>
            <w:tcW w:w="8558" w:type="dxa"/>
            <w:shd w:val="clear" w:color="auto" w:fill="auto"/>
            <w:vAlign w:val="center"/>
            <w:hideMark/>
          </w:tcPr>
          <w:p w:rsidR="00EA2492" w:rsidRPr="00F7311D" w:rsidP="00EA2492" w14:paraId="71D470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Persons identified by the institution as such and typically those whose initial assignments are made for the purpose of conducting instruction, research or public service as a principal activity (or activities). They may hold academic rank titles of professor, associate professor, assistant professor, instructor, lecturer or the equivalent of any of those academic ranks. Faculty may also include the chancellor/president, provost, vice provosts, deans, directors or the equivalent, as well as associate deans, assistant deans and executive officers of academic departments (chairpersons, heads or the equivalent) if their principal activity is instruction combined with research and/or public service. The designation as 'faculty' is separate from the activities to which they may be currently assigned. For example, a newly appointed president of an institution may also be appointed as a faculty member. Graduate, instruction, and research assistants are not included in this category.</w:t>
            </w:r>
          </w:p>
        </w:tc>
        <w:tc>
          <w:tcPr>
            <w:tcW w:w="2097" w:type="dxa"/>
            <w:shd w:val="clear" w:color="auto" w:fill="auto"/>
            <w:vAlign w:val="center"/>
            <w:hideMark/>
          </w:tcPr>
          <w:p w:rsidR="00EA2492" w:rsidRPr="00F7311D" w:rsidP="00EA2492" w14:paraId="7DDDFC72" w14:textId="77777777">
            <w:pPr>
              <w:spacing w:after="0" w:line="240" w:lineRule="auto"/>
              <w:rPr>
                <w:rFonts w:ascii="Calibri" w:eastAsia="Times New Roman" w:hAnsi="Calibri" w:cs="Calibri"/>
                <w:color w:val="000000"/>
                <w:sz w:val="18"/>
                <w:szCs w:val="18"/>
              </w:rPr>
            </w:pPr>
          </w:p>
        </w:tc>
      </w:tr>
      <w:tr w14:paraId="083522E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86FC26" w14:textId="228EF19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Faculty </w:t>
            </w:r>
            <w:r w:rsidR="002E7019">
              <w:rPr>
                <w:rFonts w:ascii="Calibri" w:eastAsia="Times New Roman" w:hAnsi="Calibri" w:cs="Calibri"/>
                <w:color w:val="000000"/>
                <w:sz w:val="18"/>
                <w:szCs w:val="18"/>
              </w:rPr>
              <w:t>s</w:t>
            </w:r>
            <w:r w:rsidRPr="00F7311D">
              <w:rPr>
                <w:rFonts w:ascii="Calibri" w:eastAsia="Times New Roman" w:hAnsi="Calibri" w:cs="Calibri"/>
                <w:color w:val="000000"/>
                <w:sz w:val="18"/>
                <w:szCs w:val="18"/>
              </w:rPr>
              <w:t>tatus</w:t>
            </w:r>
          </w:p>
        </w:tc>
        <w:tc>
          <w:tcPr>
            <w:tcW w:w="8558" w:type="dxa"/>
            <w:shd w:val="clear" w:color="auto" w:fill="auto"/>
            <w:vAlign w:val="center"/>
            <w:hideMark/>
          </w:tcPr>
          <w:p w:rsidR="00EA2492" w:rsidRPr="00F7311D" w:rsidP="00EA2492" w14:paraId="2383F7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status designated by the institution according to the institution's policies. 'Faculty' may include staff with academic appointments (instruction, research, public service) and other staff members who are appointed as faculty members. The designation 'faculty' is separate from the activities to which the staff members are currently assigned. For example, a president, provost, or librarian may also be appointed as a faculty member. For IPEDS reporting, graduate assistants do not have faculty status.</w:t>
            </w:r>
          </w:p>
        </w:tc>
        <w:tc>
          <w:tcPr>
            <w:tcW w:w="2097" w:type="dxa"/>
            <w:shd w:val="clear" w:color="auto" w:fill="auto"/>
            <w:vAlign w:val="center"/>
            <w:hideMark/>
          </w:tcPr>
          <w:p w:rsidR="00EA2492" w:rsidRPr="00F7311D" w:rsidP="00EA2492" w14:paraId="18C63D94" w14:textId="77777777">
            <w:pPr>
              <w:spacing w:after="0" w:line="240" w:lineRule="auto"/>
              <w:rPr>
                <w:rFonts w:ascii="Calibri" w:eastAsia="Times New Roman" w:hAnsi="Calibri" w:cs="Calibri"/>
                <w:color w:val="000000"/>
                <w:sz w:val="18"/>
                <w:szCs w:val="18"/>
              </w:rPr>
            </w:pPr>
          </w:p>
        </w:tc>
      </w:tr>
      <w:tr w14:paraId="663B25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8873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cohort</w:t>
            </w:r>
          </w:p>
        </w:tc>
        <w:tc>
          <w:tcPr>
            <w:tcW w:w="8558" w:type="dxa"/>
            <w:shd w:val="clear" w:color="auto" w:fill="auto"/>
            <w:vAlign w:val="center"/>
            <w:hideMark/>
          </w:tcPr>
          <w:p w:rsidR="00EA2492" w:rsidRPr="00F7311D" w:rsidP="00EA2492" w14:paraId="02C97396" w14:textId="03B9B76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group of students entering in the fall term established for tracking purposes. For the Graduation Rates component, this includes all students who enter an institution as full-time, first-time degree or certificate-seeking undergraduate students during the fall term of a given year.</w:t>
            </w:r>
          </w:p>
        </w:tc>
        <w:tc>
          <w:tcPr>
            <w:tcW w:w="2097" w:type="dxa"/>
            <w:shd w:val="clear" w:color="auto" w:fill="auto"/>
            <w:vAlign w:val="center"/>
            <w:hideMark/>
          </w:tcPr>
          <w:p w:rsidR="00EA2492" w:rsidRPr="00F7311D" w:rsidP="00EA2492" w14:paraId="0563F1AD" w14:textId="77777777">
            <w:pPr>
              <w:spacing w:after="0" w:line="240" w:lineRule="auto"/>
              <w:rPr>
                <w:rFonts w:ascii="Calibri" w:eastAsia="Times New Roman" w:hAnsi="Calibri" w:cs="Calibri"/>
                <w:color w:val="000000"/>
                <w:sz w:val="18"/>
                <w:szCs w:val="18"/>
              </w:rPr>
            </w:pPr>
          </w:p>
        </w:tc>
      </w:tr>
      <w:tr w14:paraId="44889B3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18D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Enrollment (EF)</w:t>
            </w:r>
          </w:p>
        </w:tc>
        <w:tc>
          <w:tcPr>
            <w:tcW w:w="8558" w:type="dxa"/>
            <w:shd w:val="clear" w:color="auto" w:fill="auto"/>
            <w:vAlign w:val="center"/>
            <w:hideMark/>
          </w:tcPr>
          <w:p w:rsidR="00EA2492" w:rsidRPr="00F7311D" w:rsidP="00EA2492" w14:paraId="033F17D0" w14:textId="3F76ACE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of IPEDS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w:t>
            </w:r>
            <w:r w:rsidRPr="00FB5A34">
              <w:rPr>
                <w:rFonts w:ascii="Calibri" w:eastAsia="Times New Roman" w:hAnsi="Calibri" w:cs="Calibri"/>
                <w:color w:val="000000" w:themeColor="text1"/>
                <w:sz w:val="18"/>
                <w:szCs w:val="18"/>
              </w:rPr>
              <w:t xml:space="preserve">enrolled in off-campus or extension centers; and high school students taking college courses for credit.  Institutions report annually the number of full- and part-time students, by gender, race/ethnicity, and level (undergraduate </w:t>
            </w:r>
            <w:r w:rsidRPr="00FB5A34" w:rsidR="00AF775D">
              <w:rPr>
                <w:rFonts w:ascii="Calibri" w:eastAsia="Times New Roman" w:hAnsi="Calibri" w:cs="Calibri"/>
                <w:color w:val="000000" w:themeColor="text1"/>
                <w:sz w:val="18"/>
                <w:szCs w:val="18"/>
              </w:rPr>
              <w:t xml:space="preserve">and </w:t>
            </w:r>
            <w:r w:rsidRPr="00FB5A34">
              <w:rPr>
                <w:rFonts w:ascii="Calibri" w:eastAsia="Times New Roman" w:hAnsi="Calibri" w:cs="Calibri"/>
                <w:color w:val="000000" w:themeColor="text1"/>
                <w:sz w:val="18"/>
                <w:szCs w:val="18"/>
              </w:rPr>
              <w:t xml:space="preserve">graduate, </w:t>
            </w:r>
            <w:r w:rsidRPr="00FB5A34" w:rsidR="00C6536F">
              <w:rPr>
                <w:rFonts w:ascii="Calibri" w:eastAsia="Times New Roman" w:hAnsi="Calibri" w:cs="Calibri"/>
                <w:color w:val="000000" w:themeColor="text1"/>
                <w:sz w:val="18"/>
                <w:szCs w:val="18"/>
              </w:rPr>
              <w:t xml:space="preserve">including doctor’s </w:t>
            </w:r>
            <w:r w:rsidRPr="00FB5A34" w:rsidR="002B6B2B">
              <w:rPr>
                <w:rFonts w:ascii="Calibri" w:eastAsia="Times New Roman" w:hAnsi="Calibri" w:cs="Calibri"/>
                <w:color w:val="000000" w:themeColor="text1"/>
                <w:sz w:val="18"/>
                <w:szCs w:val="18"/>
              </w:rPr>
              <w:t>– professional practice students</w:t>
            </w:r>
            <w:r w:rsidRPr="00FB5A34">
              <w:rPr>
                <w:rFonts w:ascii="Calibri" w:eastAsia="Times New Roman" w:hAnsi="Calibri" w:cs="Calibri"/>
                <w:color w:val="000000" w:themeColor="text1"/>
                <w:sz w:val="18"/>
                <w:szCs w:val="18"/>
              </w:rPr>
              <w:t xml:space="preserve">); the total number of </w:t>
            </w:r>
            <w:r w:rsidRPr="00FB5A34" w:rsidR="00531D06">
              <w:rPr>
                <w:rFonts w:ascii="Calibri" w:eastAsia="Times New Roman" w:hAnsi="Calibri" w:cs="Calibri"/>
                <w:color w:val="000000" w:themeColor="text1"/>
                <w:sz w:val="18"/>
                <w:szCs w:val="18"/>
              </w:rPr>
              <w:t xml:space="preserve">full- and part-time </w:t>
            </w:r>
            <w:r w:rsidRPr="00FB5A34">
              <w:rPr>
                <w:rFonts w:ascii="Calibri" w:eastAsia="Times New Roman" w:hAnsi="Calibri" w:cs="Calibri"/>
                <w:color w:val="000000" w:themeColor="text1"/>
                <w:sz w:val="18"/>
                <w:szCs w:val="18"/>
              </w:rPr>
              <w:t xml:space="preserve">undergraduate </w:t>
            </w:r>
            <w:r w:rsidRPr="00FB5A34" w:rsidR="00A56F9F">
              <w:rPr>
                <w:rFonts w:ascii="Calibri" w:eastAsia="Times New Roman" w:hAnsi="Calibri" w:cs="Calibri"/>
                <w:color w:val="000000" w:themeColor="text1"/>
                <w:sz w:val="18"/>
                <w:szCs w:val="18"/>
              </w:rPr>
              <w:t>degree</w:t>
            </w:r>
            <w:r w:rsidRPr="00FB5A34" w:rsidR="006926FD">
              <w:rPr>
                <w:rFonts w:ascii="Calibri" w:eastAsia="Times New Roman" w:hAnsi="Calibri" w:cs="Calibri"/>
                <w:color w:val="000000" w:themeColor="text1"/>
                <w:sz w:val="18"/>
                <w:szCs w:val="18"/>
              </w:rPr>
              <w:t>/certificate</w:t>
            </w:r>
            <w:r w:rsidRPr="00FB5A34" w:rsidR="00A56F9F">
              <w:rPr>
                <w:rFonts w:ascii="Calibri" w:eastAsia="Times New Roman" w:hAnsi="Calibri" w:cs="Calibri"/>
                <w:color w:val="000000" w:themeColor="text1"/>
                <w:sz w:val="18"/>
                <w:szCs w:val="18"/>
              </w:rPr>
              <w:t xml:space="preserve">-seeking </w:t>
            </w:r>
            <w:r w:rsidRPr="00FB5A34">
              <w:rPr>
                <w:rFonts w:ascii="Calibri" w:eastAsia="Times New Roman" w:hAnsi="Calibri" w:cs="Calibri"/>
                <w:color w:val="000000" w:themeColor="text1"/>
                <w:sz w:val="18"/>
                <w:szCs w:val="18"/>
              </w:rPr>
              <w:t>students (first-time</w:t>
            </w:r>
            <w:r w:rsidRPr="00FB5A34" w:rsidR="00531D06">
              <w:rPr>
                <w:rFonts w:ascii="Calibri" w:eastAsia="Times New Roman" w:hAnsi="Calibri" w:cs="Calibri"/>
                <w:color w:val="000000" w:themeColor="text1"/>
                <w:sz w:val="18"/>
                <w:szCs w:val="18"/>
              </w:rPr>
              <w:t xml:space="preserve"> entering</w:t>
            </w:r>
            <w:r w:rsidRPr="00FB5A34">
              <w:rPr>
                <w:rFonts w:ascii="Calibri" w:eastAsia="Times New Roman" w:hAnsi="Calibri" w:cs="Calibri"/>
                <w:color w:val="000000" w:themeColor="text1"/>
                <w:sz w:val="18"/>
                <w:szCs w:val="18"/>
              </w:rPr>
              <w:t xml:space="preserve">, transfer-ins, and </w:t>
            </w:r>
            <w:r w:rsidRPr="00FB5A34" w:rsidR="00A56F9F">
              <w:rPr>
                <w:rFonts w:ascii="Calibri" w:eastAsia="Times New Roman" w:hAnsi="Calibri" w:cs="Calibri"/>
                <w:color w:val="000000" w:themeColor="text1"/>
                <w:sz w:val="18"/>
                <w:szCs w:val="18"/>
              </w:rPr>
              <w:t>continuing/returning)</w:t>
            </w:r>
            <w:r w:rsidRPr="00FB5A34" w:rsidR="00F505BB">
              <w:rPr>
                <w:rFonts w:ascii="Calibri" w:eastAsia="Times New Roman" w:hAnsi="Calibri" w:cs="Calibri"/>
                <w:color w:val="000000" w:themeColor="text1"/>
                <w:sz w:val="18"/>
                <w:szCs w:val="18"/>
              </w:rPr>
              <w:t xml:space="preserve"> and </w:t>
            </w:r>
            <w:r w:rsidRPr="00FB5A34" w:rsidR="000B7275">
              <w:rPr>
                <w:rFonts w:ascii="Calibri" w:eastAsia="Times New Roman" w:hAnsi="Calibri" w:cs="Calibri"/>
                <w:color w:val="000000" w:themeColor="text1"/>
                <w:sz w:val="18"/>
                <w:szCs w:val="18"/>
              </w:rPr>
              <w:t xml:space="preserve">full- and part-time </w:t>
            </w:r>
            <w:r w:rsidRPr="00FB5A34" w:rsidR="006926FD">
              <w:rPr>
                <w:rFonts w:ascii="Calibri" w:eastAsia="Times New Roman" w:hAnsi="Calibri" w:cs="Calibri"/>
                <w:color w:val="000000" w:themeColor="text1"/>
                <w:sz w:val="18"/>
                <w:szCs w:val="18"/>
              </w:rPr>
              <w:t xml:space="preserve">undergraduate </w:t>
            </w:r>
            <w:r w:rsidRPr="00FB5A34">
              <w:rPr>
                <w:rFonts w:ascii="Calibri" w:eastAsia="Times New Roman" w:hAnsi="Calibri" w:cs="Calibri"/>
                <w:color w:val="000000" w:themeColor="text1"/>
                <w:sz w:val="18"/>
                <w:szCs w:val="18"/>
              </w:rPr>
              <w:t>non-deg</w:t>
            </w:r>
            <w:r w:rsidRPr="00FB5A34" w:rsidR="006926FD">
              <w:rPr>
                <w:rFonts w:ascii="Calibri" w:eastAsia="Times New Roman" w:hAnsi="Calibri" w:cs="Calibri"/>
                <w:color w:val="000000" w:themeColor="text1"/>
                <w:sz w:val="18"/>
                <w:szCs w:val="18"/>
              </w:rPr>
              <w:t>ree/non-certificate</w:t>
            </w:r>
            <w:r w:rsidRPr="00FB5A34">
              <w:rPr>
                <w:rFonts w:ascii="Calibri" w:eastAsia="Times New Roman" w:hAnsi="Calibri" w:cs="Calibri"/>
                <w:color w:val="000000" w:themeColor="text1"/>
                <w:sz w:val="18"/>
                <w:szCs w:val="18"/>
              </w:rPr>
              <w:t xml:space="preserve"> students); and retention rates. In even-numbered years, data are collected for state of residence of first-time students and for the number of those students who graduated from high school or received </w:t>
            </w:r>
            <w:r w:rsidRPr="00F7311D">
              <w:rPr>
                <w:rFonts w:ascii="Calibri" w:eastAsia="Times New Roman" w:hAnsi="Calibri" w:cs="Calibri"/>
                <w:color w:val="000000"/>
                <w:sz w:val="18"/>
                <w:szCs w:val="18"/>
              </w:rPr>
              <w:t>high school equivalent certificates in the past 12 months. Also</w:t>
            </w:r>
            <w:r w:rsidR="00FB5A34">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in even-numbered years, 4-year institutions are required to provide enrollment data by gender, race/ethnicity, and level for selected fields of study. In odd-numbered years, data are collected for enrollment by age category by student level and gender.</w:t>
            </w:r>
          </w:p>
        </w:tc>
        <w:tc>
          <w:tcPr>
            <w:tcW w:w="2097" w:type="dxa"/>
            <w:shd w:val="clear" w:color="auto" w:fill="auto"/>
            <w:vAlign w:val="center"/>
            <w:hideMark/>
          </w:tcPr>
          <w:p w:rsidR="00EA2492" w:rsidRPr="00F7311D" w:rsidP="00EA2492" w14:paraId="26812C2E" w14:textId="77777777">
            <w:pPr>
              <w:spacing w:after="0" w:line="240" w:lineRule="auto"/>
              <w:rPr>
                <w:rFonts w:ascii="Calibri" w:eastAsia="Times New Roman" w:hAnsi="Calibri" w:cs="Calibri"/>
                <w:color w:val="000000"/>
                <w:sz w:val="18"/>
                <w:szCs w:val="18"/>
              </w:rPr>
            </w:pPr>
          </w:p>
        </w:tc>
      </w:tr>
      <w:tr w14:paraId="0907DCE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7B811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Staff (S)</w:t>
            </w:r>
          </w:p>
        </w:tc>
        <w:tc>
          <w:tcPr>
            <w:tcW w:w="8558" w:type="dxa"/>
            <w:shd w:val="clear" w:color="auto" w:fill="auto"/>
            <w:vAlign w:val="center"/>
            <w:hideMark/>
          </w:tcPr>
          <w:p w:rsidR="00EA2492" w:rsidRPr="00F7311D" w:rsidP="00EA2492" w14:paraId="7B95B094" w14:textId="6D19A14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data, now part of the IPEDS Human Resources (HR) component, was previously a separate collection. Only institutions with 15 or more full-time employees are required to report annually (prior to 2016-17, data was collected biennially, for odd-numbered years). Institutions report the numbers of full- and part-time employees as of November 1 of the reporting year; full-time faculty by contract length and salary class intervals; number of other persons employed full-time by primary occupational activity and salary class intervals; part-time employees by primary occupational activity; tenure of full-time faculty by academic rank; and new hires by primary occupational activity. Most data are provided by race/ethnicity and gender. Prior to 2001, this collection also requested the number of persons donating (contributing) services or contracted for by the institution. Between 1987 and 1991, the Fall Staff data were collected in cooperation with the U.S. Equal Employment Opportunity </w:t>
            </w:r>
            <w:r w:rsidRPr="00F7311D">
              <w:rPr>
                <w:rFonts w:ascii="Calibri" w:eastAsia="Times New Roman" w:hAnsi="Calibri" w:cs="Calibri"/>
                <w:color w:val="000000"/>
                <w:sz w:val="18"/>
                <w:szCs w:val="18"/>
              </w:rPr>
              <w:t>Commission (EEOC). Beginning in 1993, all schools formerly surveyed by EEOC (using the EEO-6 survey form) reported through IPEDS Fall Staff.</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(Term used in IPEDS HR survey component prior to 2012-13)</w:t>
            </w:r>
          </w:p>
        </w:tc>
        <w:tc>
          <w:tcPr>
            <w:tcW w:w="2097" w:type="dxa"/>
            <w:shd w:val="clear" w:color="auto" w:fill="auto"/>
            <w:vAlign w:val="center"/>
            <w:hideMark/>
          </w:tcPr>
          <w:p w:rsidR="00EA2492" w:rsidRPr="00F7311D" w:rsidP="00EA2492" w14:paraId="38A41008" w14:textId="77777777">
            <w:pPr>
              <w:spacing w:after="0" w:line="240" w:lineRule="auto"/>
              <w:rPr>
                <w:rFonts w:ascii="Calibri" w:eastAsia="Times New Roman" w:hAnsi="Calibri" w:cs="Calibri"/>
                <w:color w:val="000000"/>
                <w:sz w:val="18"/>
                <w:szCs w:val="18"/>
              </w:rPr>
            </w:pPr>
          </w:p>
        </w:tc>
      </w:tr>
      <w:tr w14:paraId="16320E5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B21C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Fall term</w:t>
            </w:r>
          </w:p>
        </w:tc>
        <w:tc>
          <w:tcPr>
            <w:tcW w:w="8558" w:type="dxa"/>
            <w:shd w:val="clear" w:color="auto" w:fill="auto"/>
            <w:vAlign w:val="center"/>
            <w:hideMark/>
          </w:tcPr>
          <w:p w:rsidR="00EA2492" w:rsidRPr="00F7311D" w:rsidP="00EA2492" w14:paraId="0507B5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part of the academic year that begins between late August and November 1.</w:t>
            </w:r>
          </w:p>
        </w:tc>
        <w:tc>
          <w:tcPr>
            <w:tcW w:w="2097" w:type="dxa"/>
            <w:shd w:val="clear" w:color="auto" w:fill="auto"/>
            <w:vAlign w:val="center"/>
            <w:hideMark/>
          </w:tcPr>
          <w:p w:rsidR="00EA2492" w:rsidRPr="00F7311D" w:rsidP="00EA2492" w14:paraId="13CF63BD" w14:textId="77777777">
            <w:pPr>
              <w:spacing w:after="0" w:line="240" w:lineRule="auto"/>
              <w:rPr>
                <w:rFonts w:ascii="Calibri" w:eastAsia="Times New Roman" w:hAnsi="Calibri" w:cs="Calibri"/>
                <w:color w:val="000000"/>
                <w:sz w:val="18"/>
                <w:szCs w:val="18"/>
              </w:rPr>
            </w:pPr>
          </w:p>
        </w:tc>
      </w:tr>
      <w:tr w14:paraId="4E5E8C2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5E1B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FASB (Financial Accounting Standards Board)</w:t>
            </w:r>
          </w:p>
        </w:tc>
        <w:tc>
          <w:tcPr>
            <w:tcW w:w="8558" w:type="dxa"/>
            <w:shd w:val="clear" w:color="auto" w:fill="auto"/>
            <w:vAlign w:val="center"/>
            <w:hideMark/>
          </w:tcPr>
          <w:p w:rsidR="00EA2492" w:rsidRPr="00F7311D" w:rsidP="00EA2492" w14:paraId="4A574735" w14:textId="067A4C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Accounting Standards Board (FASB) is recognized by the American Institute of Certified Public Accountants (AICPA) as the body authorized to establish accounting standards. In practice it defers to the Governmental Accounting Standards Board (GASB) for the setting of accounting standards for local and state government entities.</w:t>
            </w:r>
          </w:p>
        </w:tc>
        <w:tc>
          <w:tcPr>
            <w:tcW w:w="2097" w:type="dxa"/>
            <w:shd w:val="clear" w:color="auto" w:fill="auto"/>
            <w:vAlign w:val="center"/>
            <w:hideMark/>
          </w:tcPr>
          <w:p w:rsidR="00EA2492" w:rsidRPr="00F7311D" w:rsidP="00EA2492" w14:paraId="115393EC" w14:textId="77777777">
            <w:pPr>
              <w:spacing w:after="0" w:line="240" w:lineRule="auto"/>
              <w:rPr>
                <w:rFonts w:ascii="Calibri" w:eastAsia="Times New Roman" w:hAnsi="Calibri" w:cs="Calibri"/>
                <w:color w:val="000000"/>
                <w:sz w:val="18"/>
                <w:szCs w:val="18"/>
              </w:rPr>
            </w:pPr>
          </w:p>
        </w:tc>
      </w:tr>
      <w:tr w14:paraId="32B1F5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331E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w:t>
            </w:r>
          </w:p>
        </w:tc>
        <w:tc>
          <w:tcPr>
            <w:tcW w:w="8558" w:type="dxa"/>
            <w:shd w:val="clear" w:color="auto" w:fill="auto"/>
            <w:vAlign w:val="center"/>
            <w:hideMark/>
          </w:tcPr>
          <w:p w:rsidR="00EA2492" w:rsidRPr="00F7311D" w:rsidP="00EA2492" w14:paraId="7034D4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of money or property from the Federal government to the education institution without a requirement to receive anything in return. These grants may take the form of grants to the institutions to undertake research or they may be in the form of student financial aid. (Used for reporting on the Finance component)</w:t>
            </w:r>
          </w:p>
        </w:tc>
        <w:tc>
          <w:tcPr>
            <w:tcW w:w="2097" w:type="dxa"/>
            <w:shd w:val="clear" w:color="auto" w:fill="auto"/>
            <w:vAlign w:val="center"/>
            <w:hideMark/>
          </w:tcPr>
          <w:p w:rsidR="00EA2492" w:rsidRPr="00F7311D" w:rsidP="00EA2492" w14:paraId="35BD1A97" w14:textId="77777777">
            <w:pPr>
              <w:spacing w:after="0" w:line="240" w:lineRule="auto"/>
              <w:rPr>
                <w:rFonts w:ascii="Calibri" w:eastAsia="Times New Roman" w:hAnsi="Calibri" w:cs="Calibri"/>
                <w:color w:val="000000"/>
                <w:sz w:val="18"/>
                <w:szCs w:val="18"/>
              </w:rPr>
            </w:pPr>
          </w:p>
        </w:tc>
      </w:tr>
      <w:tr w14:paraId="1F73433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142B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grants (grants/educational assistance funds)</w:t>
            </w:r>
          </w:p>
        </w:tc>
        <w:tc>
          <w:tcPr>
            <w:tcW w:w="8558" w:type="dxa"/>
            <w:shd w:val="clear" w:color="auto" w:fill="auto"/>
            <w:vAlign w:val="center"/>
            <w:hideMark/>
          </w:tcPr>
          <w:p w:rsidR="00EA2492" w:rsidRPr="00F7311D" w:rsidP="00EA2492" w14:paraId="50E3226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 (Used for reporting on the Student Financial Aid component)</w:t>
            </w:r>
          </w:p>
        </w:tc>
        <w:tc>
          <w:tcPr>
            <w:tcW w:w="2097" w:type="dxa"/>
            <w:shd w:val="clear" w:color="auto" w:fill="auto"/>
            <w:vAlign w:val="center"/>
            <w:hideMark/>
          </w:tcPr>
          <w:p w:rsidR="00EA2492" w:rsidRPr="00F7311D" w:rsidP="00EA2492" w14:paraId="34AB01DD" w14:textId="77777777">
            <w:pPr>
              <w:spacing w:after="0" w:line="240" w:lineRule="auto"/>
              <w:rPr>
                <w:rFonts w:ascii="Calibri" w:eastAsia="Times New Roman" w:hAnsi="Calibri" w:cs="Calibri"/>
                <w:color w:val="000000"/>
                <w:sz w:val="18"/>
                <w:szCs w:val="18"/>
              </w:rPr>
            </w:pPr>
          </w:p>
        </w:tc>
      </w:tr>
      <w:tr w14:paraId="38939CA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E67D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Supplementary Educational Opportunity Grants (FSEOG)</w:t>
            </w:r>
          </w:p>
        </w:tc>
        <w:tc>
          <w:tcPr>
            <w:tcW w:w="8558" w:type="dxa"/>
            <w:shd w:val="clear" w:color="auto" w:fill="auto"/>
            <w:vAlign w:val="center"/>
            <w:hideMark/>
          </w:tcPr>
          <w:p w:rsidR="00EA2492" w:rsidRPr="00F7311D" w:rsidP="00EA2492" w14:paraId="5C5E27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as amended, Title IV, Part A, Subpart 2, Public Laws 89-329, 92-318, 94-482, et al; 20 USC 1070b-1070b-3.) Provides eligible undergraduate postsecondary students with demonstrated financial need with grant assistance to help meet educational expenses. The Supplementary Educational Opportunity Grants (SEOG) are made directly to institutions of higher education, which select students for the awards.</w:t>
            </w:r>
          </w:p>
        </w:tc>
        <w:tc>
          <w:tcPr>
            <w:tcW w:w="2097" w:type="dxa"/>
            <w:shd w:val="clear" w:color="auto" w:fill="auto"/>
            <w:vAlign w:val="center"/>
            <w:hideMark/>
          </w:tcPr>
          <w:p w:rsidR="00EA2492" w:rsidRPr="00F7311D" w:rsidP="00EA2492" w14:paraId="231004C4" w14:textId="77777777">
            <w:pPr>
              <w:spacing w:after="0" w:line="240" w:lineRule="auto"/>
              <w:rPr>
                <w:rFonts w:ascii="Calibri" w:eastAsia="Times New Roman" w:hAnsi="Calibri" w:cs="Calibri"/>
                <w:color w:val="000000"/>
                <w:sz w:val="18"/>
                <w:szCs w:val="18"/>
              </w:rPr>
            </w:pPr>
          </w:p>
        </w:tc>
      </w:tr>
      <w:tr w14:paraId="3ECBC3D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ECCC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(FWS)</w:t>
            </w:r>
          </w:p>
        </w:tc>
        <w:tc>
          <w:tcPr>
            <w:tcW w:w="8558" w:type="dxa"/>
            <w:shd w:val="clear" w:color="auto" w:fill="auto"/>
            <w:vAlign w:val="center"/>
            <w:hideMark/>
          </w:tcPr>
          <w:p w:rsidR="00EA2492" w:rsidRPr="00DE23F3" w:rsidP="00EA2492" w14:paraId="4480F375" w14:textId="07C980C8">
            <w:pPr>
              <w:spacing w:after="0" w:line="240" w:lineRule="auto"/>
              <w:rPr>
                <w:rFonts w:eastAsia="Times New Roman" w:cstheme="minorHAnsi"/>
                <w:color w:val="000000"/>
                <w:sz w:val="18"/>
                <w:szCs w:val="18"/>
              </w:rPr>
            </w:pPr>
            <w:r w:rsidRPr="00DE23F3">
              <w:rPr>
                <w:rFonts w:cstheme="minorHAnsi"/>
                <w:color w:val="333333"/>
                <w:sz w:val="18"/>
                <w:szCs w:val="18"/>
              </w:rPr>
              <w:t xml:space="preserve">A part-time </w:t>
            </w:r>
            <w:r w:rsidRPr="002515CF">
              <w:rPr>
                <w:rFonts w:cstheme="minorHAnsi"/>
                <w:sz w:val="18"/>
                <w:szCs w:val="18"/>
              </w:rPr>
              <w:t xml:space="preserve">work program awarding on- or off-campus jobs to students who demonstrate financial need. FWS positions are primarily funded by the federal government (federal share), but are also partially funded by other organizations, including the institution (non-federal share). FWS is awarded to eligible students by the college as part of the student's financial aid package. The maximum FWS award is based on the student's financial need, the number of hours the student is able to work, and the amount of FWS funding available at the institution. This is a type of Title IV Aid, but it is not considered grant or loan </w:t>
            </w:r>
            <w:r w:rsidRPr="00DE23F3">
              <w:rPr>
                <w:rFonts w:cstheme="minorHAnsi"/>
                <w:color w:val="333333"/>
                <w:sz w:val="18"/>
                <w:szCs w:val="18"/>
              </w:rPr>
              <w:t xml:space="preserve">aid </w:t>
            </w:r>
            <w:r w:rsidRPr="00DE23F3">
              <w:rPr>
                <w:rFonts w:cstheme="minorHAnsi"/>
                <w:sz w:val="18"/>
                <w:szCs w:val="18"/>
              </w:rPr>
              <w:t>to students</w:t>
            </w:r>
            <w:r w:rsidRPr="00DE23F3">
              <w:rPr>
                <w:rFonts w:cstheme="minorHAnsi"/>
                <w:color w:val="333333"/>
                <w:sz w:val="18"/>
                <w:szCs w:val="18"/>
              </w:rPr>
              <w:t>.</w:t>
            </w:r>
          </w:p>
        </w:tc>
        <w:tc>
          <w:tcPr>
            <w:tcW w:w="2097" w:type="dxa"/>
            <w:shd w:val="clear" w:color="auto" w:fill="auto"/>
            <w:vAlign w:val="center"/>
            <w:hideMark/>
          </w:tcPr>
          <w:p w:rsidR="00EA2492" w:rsidRPr="00F7311D" w:rsidP="00EA2492" w14:paraId="22089869" w14:textId="77777777">
            <w:pPr>
              <w:spacing w:after="0" w:line="240" w:lineRule="auto"/>
              <w:rPr>
                <w:rFonts w:ascii="Calibri" w:eastAsia="Times New Roman" w:hAnsi="Calibri" w:cs="Calibri"/>
                <w:color w:val="000000"/>
                <w:sz w:val="18"/>
                <w:szCs w:val="18"/>
              </w:rPr>
            </w:pPr>
          </w:p>
        </w:tc>
      </w:tr>
      <w:tr w14:paraId="43464A9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25FF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Fellowships</w:t>
            </w:r>
          </w:p>
        </w:tc>
        <w:tc>
          <w:tcPr>
            <w:tcW w:w="8558" w:type="dxa"/>
            <w:shd w:val="clear" w:color="auto" w:fill="auto"/>
            <w:vAlign w:val="center"/>
            <w:hideMark/>
          </w:tcPr>
          <w:p w:rsidR="00EA2492" w:rsidRPr="00F7311D" w:rsidP="00EA2492" w14:paraId="0ECE7C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are grants-in-aid and trainee stipends to graduate students. Fellowships do not include funds for which services to the institution must be rendered, such as payments for teaching, or loans.</w:t>
            </w:r>
          </w:p>
        </w:tc>
        <w:tc>
          <w:tcPr>
            <w:tcW w:w="2097" w:type="dxa"/>
            <w:shd w:val="clear" w:color="auto" w:fill="auto"/>
            <w:vAlign w:val="center"/>
            <w:hideMark/>
          </w:tcPr>
          <w:p w:rsidR="00EA2492" w:rsidRPr="00F7311D" w:rsidP="00EA2492" w14:paraId="228AD627" w14:textId="77777777">
            <w:pPr>
              <w:spacing w:after="0" w:line="240" w:lineRule="auto"/>
              <w:rPr>
                <w:rFonts w:ascii="Calibri" w:eastAsia="Times New Roman" w:hAnsi="Calibri" w:cs="Calibri"/>
                <w:color w:val="000000"/>
                <w:sz w:val="18"/>
                <w:szCs w:val="18"/>
              </w:rPr>
            </w:pPr>
          </w:p>
        </w:tc>
      </w:tr>
      <w:tr w14:paraId="29A880F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A96E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FICE (Federal Interagency Committee on Education) code</w:t>
            </w:r>
          </w:p>
        </w:tc>
        <w:tc>
          <w:tcPr>
            <w:tcW w:w="8558" w:type="dxa"/>
            <w:shd w:val="clear" w:color="auto" w:fill="auto"/>
            <w:vAlign w:val="center"/>
            <w:hideMark/>
          </w:tcPr>
          <w:p w:rsidR="00EA2492" w:rsidRPr="00F7311D" w:rsidP="00EA2492" w14:paraId="511191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6-digit identification code originally created by the Federal Interagency Committee on Education (FICE). The code was used to identify all schools doing business with the Office of Education during the early sixties. This code is no longer used in IPEDS; it has been replaced by the Office of Postsecondary Education (OPE) ID code.</w:t>
            </w:r>
          </w:p>
        </w:tc>
        <w:tc>
          <w:tcPr>
            <w:tcW w:w="2097" w:type="dxa"/>
            <w:shd w:val="clear" w:color="auto" w:fill="auto"/>
            <w:vAlign w:val="center"/>
            <w:hideMark/>
          </w:tcPr>
          <w:p w:rsidR="00EA2492" w:rsidRPr="00F7311D" w:rsidP="00EA2492" w14:paraId="29F4A69C" w14:textId="77777777">
            <w:pPr>
              <w:spacing w:after="0" w:line="240" w:lineRule="auto"/>
              <w:rPr>
                <w:rFonts w:ascii="Calibri" w:eastAsia="Times New Roman" w:hAnsi="Calibri" w:cs="Calibri"/>
                <w:color w:val="000000"/>
                <w:sz w:val="18"/>
                <w:szCs w:val="18"/>
              </w:rPr>
            </w:pPr>
          </w:p>
        </w:tc>
      </w:tr>
      <w:tr w14:paraId="6E437E6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6788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Fiduciary funds</w:t>
            </w:r>
          </w:p>
        </w:tc>
        <w:tc>
          <w:tcPr>
            <w:tcW w:w="8558" w:type="dxa"/>
            <w:shd w:val="clear" w:color="auto" w:fill="auto"/>
            <w:vAlign w:val="center"/>
            <w:hideMark/>
          </w:tcPr>
          <w:p w:rsidR="00EA2492" w:rsidRPr="00F7311D" w:rsidP="00EA2492" w14:paraId="5EE5ABC5" w14:textId="2DC0F1C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Resources held and administered by the institution when it is acting in a capacity for individuals, private organizations, or governments. These are funds the institution holds in a trustee or agency capacity for others and the funds therefore cannot be used to support the institution's own programs. Included are pension (and other employee benefit) trust funds, investment trust funds, private-purpose trust funds, and agency funds (i.e., agency transactions). Fiduciary funds are not included in the entity-wide financial statements of GASB organizations, but are reported separately as supplementary information.</w:t>
            </w:r>
          </w:p>
        </w:tc>
        <w:tc>
          <w:tcPr>
            <w:tcW w:w="2097" w:type="dxa"/>
            <w:shd w:val="clear" w:color="auto" w:fill="auto"/>
            <w:vAlign w:val="center"/>
            <w:hideMark/>
          </w:tcPr>
          <w:p w:rsidR="00EA2492" w:rsidRPr="00F7311D" w:rsidP="00EA2492" w14:paraId="2BFB99AE" w14:textId="77777777">
            <w:pPr>
              <w:spacing w:after="0" w:line="240" w:lineRule="auto"/>
              <w:rPr>
                <w:rFonts w:ascii="Calibri" w:eastAsia="Times New Roman" w:hAnsi="Calibri" w:cs="Calibri"/>
                <w:color w:val="000000"/>
                <w:sz w:val="18"/>
                <w:szCs w:val="18"/>
              </w:rPr>
            </w:pPr>
          </w:p>
        </w:tc>
      </w:tr>
      <w:tr w14:paraId="7861E7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5424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Finance (F)</w:t>
            </w:r>
          </w:p>
        </w:tc>
        <w:tc>
          <w:tcPr>
            <w:tcW w:w="8558" w:type="dxa"/>
            <w:shd w:val="clear" w:color="auto" w:fill="auto"/>
            <w:vAlign w:val="center"/>
            <w:hideMark/>
          </w:tcPr>
          <w:p w:rsidR="00EA2492" w:rsidRPr="00F7311D" w:rsidP="00EA2492" w14:paraId="6D11FD83" w14:textId="32E0920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collects data that describe the financial condition of postsecondary education in the nation. These data are used to monitor changes in postsecondary education finance and to promote research involving institutional financial resources and expenditures. Specific data elements include such items as institutional revenues by source (e.g., tuition and fees, government, private gifts); institutional</w:t>
            </w:r>
            <w:r w:rsidR="004B7FBB">
              <w:rPr>
                <w:rFonts w:ascii="Calibri" w:eastAsia="Times New Roman" w:hAnsi="Calibri" w:cs="Calibri"/>
                <w:color w:val="000000"/>
                <w:sz w:val="18"/>
                <w:szCs w:val="18"/>
              </w:rPr>
              <w:t xml:space="preserve"> </w:t>
            </w:r>
            <w:r w:rsidRPr="00FB5A34" w:rsidR="004B7FBB">
              <w:rPr>
                <w:rFonts w:ascii="Calibri" w:eastAsia="Times New Roman" w:hAnsi="Calibri" w:cs="Calibri"/>
                <w:color w:val="000000" w:themeColor="text1"/>
                <w:sz w:val="18"/>
                <w:szCs w:val="18"/>
              </w:rPr>
              <w:t>expenses</w:t>
            </w:r>
            <w:r w:rsidRPr="00FB5A34">
              <w:rPr>
                <w:rFonts w:ascii="Calibri" w:eastAsia="Times New Roman" w:hAnsi="Calibri" w:cs="Calibri"/>
                <w:color w:val="000000" w:themeColor="text1"/>
                <w:sz w:val="18"/>
                <w:szCs w:val="18"/>
              </w:rPr>
              <w:t xml:space="preserve"> </w:t>
            </w:r>
            <w:r w:rsidRPr="00F7311D">
              <w:rPr>
                <w:rFonts w:ascii="Calibri" w:eastAsia="Times New Roman" w:hAnsi="Calibri" w:cs="Calibri"/>
                <w:color w:val="000000"/>
                <w:sz w:val="18"/>
                <w:szCs w:val="18"/>
              </w:rPr>
              <w:t xml:space="preserve">by function (e.g., instruction, research, </w:t>
            </w:r>
            <w:r w:rsidRPr="00FB5A34" w:rsidR="00AC403A">
              <w:rPr>
                <w:rFonts w:ascii="Calibri" w:eastAsia="Times New Roman" w:hAnsi="Calibri" w:cs="Calibri"/>
                <w:color w:val="000000" w:themeColor="text1"/>
                <w:sz w:val="18"/>
                <w:szCs w:val="18"/>
              </w:rPr>
              <w:t>student services</w:t>
            </w:r>
            <w:r w:rsidRPr="00FB5A34">
              <w:rPr>
                <w:rFonts w:ascii="Calibri" w:eastAsia="Times New Roman" w:hAnsi="Calibri" w:cs="Calibri"/>
                <w:color w:val="000000" w:themeColor="text1"/>
                <w:sz w:val="18"/>
                <w:szCs w:val="18"/>
              </w:rPr>
              <w:t xml:space="preserve">); physical </w:t>
            </w:r>
            <w:r w:rsidRPr="00F7311D">
              <w:rPr>
                <w:rFonts w:ascii="Calibri" w:eastAsia="Times New Roman" w:hAnsi="Calibri" w:cs="Calibri"/>
                <w:color w:val="000000"/>
                <w:sz w:val="18"/>
                <w:szCs w:val="18"/>
              </w:rPr>
              <w:t xml:space="preserve">plant assets and indebtedness; and endowment investments. Institutions may use different survey forms depending on the control of institution (e.g. public, </w:t>
            </w:r>
            <w:r w:rsidRPr="00FB5A34">
              <w:rPr>
                <w:rFonts w:ascii="Calibri" w:eastAsia="Times New Roman" w:hAnsi="Calibri" w:cs="Calibri"/>
                <w:color w:val="000000" w:themeColor="text1"/>
                <w:sz w:val="18"/>
                <w:szCs w:val="18"/>
              </w:rPr>
              <w:t>private</w:t>
            </w:r>
            <w:r w:rsidRPr="00FB5A34" w:rsidR="003F320B">
              <w:rPr>
                <w:rFonts w:ascii="Calibri" w:eastAsia="Times New Roman" w:hAnsi="Calibri" w:cs="Calibri"/>
                <w:color w:val="000000" w:themeColor="text1"/>
                <w:sz w:val="18"/>
                <w:szCs w:val="18"/>
              </w:rPr>
              <w:t xml:space="preserve"> not-for-profit</w:t>
            </w:r>
            <w:r w:rsidRPr="00FB5A34">
              <w:rPr>
                <w:rFonts w:ascii="Calibri" w:eastAsia="Times New Roman" w:hAnsi="Calibri" w:cs="Calibri"/>
                <w:color w:val="000000" w:themeColor="text1"/>
                <w:sz w:val="18"/>
                <w:szCs w:val="18"/>
              </w:rPr>
              <w:t xml:space="preserve">, or </w:t>
            </w:r>
            <w:r w:rsidRPr="00F7311D">
              <w:rPr>
                <w:rFonts w:ascii="Calibri" w:eastAsia="Times New Roman" w:hAnsi="Calibri" w:cs="Calibri"/>
                <w:color w:val="000000"/>
                <w:sz w:val="18"/>
                <w:szCs w:val="18"/>
              </w:rPr>
              <w:t>private for-profit) and the accounting standards followed by the institution (e.g. FASB or GASB).</w:t>
            </w:r>
          </w:p>
        </w:tc>
        <w:tc>
          <w:tcPr>
            <w:tcW w:w="2097" w:type="dxa"/>
            <w:shd w:val="clear" w:color="auto" w:fill="auto"/>
            <w:vAlign w:val="center"/>
            <w:hideMark/>
          </w:tcPr>
          <w:p w:rsidR="00EA2492" w:rsidRPr="00F7311D" w:rsidP="00EA2492" w14:paraId="663773CA" w14:textId="77777777">
            <w:pPr>
              <w:spacing w:after="0" w:line="240" w:lineRule="auto"/>
              <w:rPr>
                <w:rFonts w:ascii="Calibri" w:eastAsia="Times New Roman" w:hAnsi="Calibri" w:cs="Calibri"/>
                <w:color w:val="000000"/>
                <w:sz w:val="18"/>
                <w:szCs w:val="18"/>
              </w:rPr>
            </w:pPr>
          </w:p>
        </w:tc>
      </w:tr>
      <w:tr w14:paraId="33991E7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EC68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aid</w:t>
            </w:r>
          </w:p>
        </w:tc>
        <w:tc>
          <w:tcPr>
            <w:tcW w:w="8558" w:type="dxa"/>
            <w:shd w:val="clear" w:color="auto" w:fill="auto"/>
            <w:vAlign w:val="center"/>
            <w:hideMark/>
          </w:tcPr>
          <w:p w:rsidR="00EA2492" w:rsidRPr="00F7311D" w:rsidP="00EA2492" w14:paraId="2E7E5B78" w14:textId="4AD15BF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2097" w:type="dxa"/>
            <w:shd w:val="clear" w:color="auto" w:fill="auto"/>
            <w:vAlign w:val="center"/>
            <w:hideMark/>
          </w:tcPr>
          <w:p w:rsidR="00EA2492" w:rsidRPr="00F7311D" w:rsidP="00EA2492" w14:paraId="4087C4E3" w14:textId="77777777">
            <w:pPr>
              <w:spacing w:after="0" w:line="240" w:lineRule="auto"/>
              <w:rPr>
                <w:rFonts w:ascii="Calibri" w:eastAsia="Times New Roman" w:hAnsi="Calibri" w:cs="Calibri"/>
                <w:color w:val="000000"/>
                <w:sz w:val="18"/>
                <w:szCs w:val="18"/>
              </w:rPr>
            </w:pPr>
          </w:p>
        </w:tc>
      </w:tr>
      <w:tr w14:paraId="4931EC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31B7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FIPS (Federal Information Processing Standards) code</w:t>
            </w:r>
          </w:p>
        </w:tc>
        <w:tc>
          <w:tcPr>
            <w:tcW w:w="8558" w:type="dxa"/>
            <w:shd w:val="clear" w:color="auto" w:fill="auto"/>
            <w:vAlign w:val="center"/>
            <w:hideMark/>
          </w:tcPr>
          <w:p w:rsidR="00EA2492" w:rsidRPr="00F7311D" w:rsidP="00EA2492" w14:paraId="52488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numeric or alphabetic codes issued by the National Institute of Standards and Technology (NIST) to ensure uniform identification of geographic entities throughout all federal government agencies.</w:t>
            </w:r>
          </w:p>
        </w:tc>
        <w:tc>
          <w:tcPr>
            <w:tcW w:w="2097" w:type="dxa"/>
            <w:shd w:val="clear" w:color="auto" w:fill="auto"/>
            <w:vAlign w:val="center"/>
            <w:hideMark/>
          </w:tcPr>
          <w:p w:rsidR="00EA2492" w:rsidRPr="00F7311D" w:rsidP="00EA2492" w14:paraId="430C47F9" w14:textId="77777777">
            <w:pPr>
              <w:spacing w:after="0" w:line="240" w:lineRule="auto"/>
              <w:rPr>
                <w:rFonts w:ascii="Calibri" w:eastAsia="Times New Roman" w:hAnsi="Calibri" w:cs="Calibri"/>
                <w:color w:val="000000"/>
                <w:sz w:val="18"/>
                <w:szCs w:val="18"/>
              </w:rPr>
            </w:pPr>
          </w:p>
        </w:tc>
      </w:tr>
      <w:tr w14:paraId="42A882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3D8610" w14:textId="1D38260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First-professional</w:t>
            </w:r>
            <w:r w:rsidR="00C11516">
              <w:rPr>
                <w:rFonts w:ascii="Calibri" w:eastAsia="Times New Roman" w:hAnsi="Calibri" w:cs="Calibri"/>
                <w:color w:val="000000"/>
                <w:sz w:val="18"/>
                <w:szCs w:val="18"/>
              </w:rPr>
              <w:t xml:space="preserve"> </w:t>
            </w:r>
          </w:p>
        </w:tc>
        <w:tc>
          <w:tcPr>
            <w:tcW w:w="8558" w:type="dxa"/>
            <w:shd w:val="clear" w:color="auto" w:fill="auto"/>
            <w:vAlign w:val="center"/>
            <w:hideMark/>
          </w:tcPr>
          <w:p w:rsidR="00EA2492" w:rsidP="00EA2492" w14:paraId="2477A8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use of this term was discontinued in IPEDS as of the 2010-11 data collection, when use of the new postbaccalaureate award categories became mandatory. May refer to a degree, certificate, or level of student. A first-professional degree was an award that required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First-professional degrees may be awarded in the following 10 fields:</w:t>
            </w:r>
            <w:r>
              <w:rPr>
                <w:rFonts w:ascii="Calibri" w:eastAsia="Times New Roman" w:hAnsi="Calibri" w:cs="Calibri"/>
                <w:color w:val="000000"/>
                <w:sz w:val="18"/>
                <w:szCs w:val="18"/>
              </w:rPr>
              <w:t xml:space="preserve"> </w:t>
            </w:r>
          </w:p>
          <w:p w:rsidR="00EA2492" w:rsidRPr="00D7256E" w:rsidP="00EA2492" w14:paraId="0224104B" w14:textId="0C689DBA">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Chiropractic (D.C. or D.C.M.)</w:t>
            </w:r>
          </w:p>
          <w:p w:rsidR="00EA2492" w:rsidRPr="00D7256E" w:rsidP="00EA2492" w14:paraId="3C91B5E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Dentistry (D.D.S. or D.M.D.)</w:t>
            </w:r>
          </w:p>
          <w:p w:rsidR="00EA2492" w:rsidRPr="00D7256E" w:rsidP="00EA2492" w14:paraId="3CFD5D8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Law (L.L.B., J.D.)</w:t>
            </w:r>
          </w:p>
          <w:p w:rsidR="00EA2492" w:rsidRPr="00D7256E" w:rsidP="00EA2492" w14:paraId="5EF8F9E0"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Medicine (M.D.)</w:t>
            </w:r>
          </w:p>
          <w:p w:rsidR="00EA2492" w:rsidRPr="00D7256E" w:rsidP="00EA2492" w14:paraId="1096E251"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Optometry (O.D.)</w:t>
            </w:r>
          </w:p>
          <w:p w:rsidR="00EA2492" w:rsidRPr="00D7256E" w:rsidP="00EA2492" w14:paraId="0774EC09"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Osteopathic Medicine (D.O.)</w:t>
            </w:r>
          </w:p>
          <w:p w:rsidR="00EA2492" w:rsidRPr="00D7256E" w:rsidP="00EA2492" w14:paraId="2B8FC7FF"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Pharmacy (Pharm.D.)</w:t>
            </w:r>
          </w:p>
          <w:p w:rsidR="00EA2492" w:rsidRPr="00D7256E" w:rsidP="00EA2492" w14:paraId="45F85A5A"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Podiatry (D.P.M., D.P., or </w:t>
            </w:r>
            <w:r w:rsidRPr="00D7256E">
              <w:rPr>
                <w:rFonts w:ascii="Calibri" w:eastAsia="Times New Roman" w:hAnsi="Calibri" w:cs="Calibri"/>
                <w:color w:val="000000"/>
                <w:sz w:val="18"/>
                <w:szCs w:val="18"/>
              </w:rPr>
              <w:t>Pod.D</w:t>
            </w:r>
            <w:r w:rsidRPr="00D7256E">
              <w:rPr>
                <w:rFonts w:ascii="Calibri" w:eastAsia="Times New Roman" w:hAnsi="Calibri" w:cs="Calibri"/>
                <w:color w:val="000000"/>
                <w:sz w:val="18"/>
                <w:szCs w:val="18"/>
              </w:rPr>
              <w:t>.)</w:t>
            </w:r>
          </w:p>
          <w:p w:rsidR="00EA2492" w:rsidRPr="00D7256E" w:rsidP="00EA2492" w14:paraId="63AF0AEE"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Theology (M.Div., M.H.L., B.D., or Ordination)</w:t>
            </w:r>
          </w:p>
          <w:p w:rsidR="00EA2492" w:rsidRPr="00D7256E" w:rsidP="00EA2492" w14:paraId="4D433D4D" w14:textId="77777777">
            <w:pPr>
              <w:numPr>
                <w:ilvl w:val="0"/>
                <w:numId w:val="17"/>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Veterinary Medicine (D.V.M.)</w:t>
            </w:r>
          </w:p>
          <w:p w:rsidR="00EA2492" w:rsidRPr="00F7311D" w:rsidP="00EA2492" w14:paraId="224CCAE3" w14:textId="2793A1F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first-professional certificate was an award that required completion of an organized program of study designed for persons who had completed the first-professional degree. Examples could be refresher courses or additional units of study in a specialty or subspecialty.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 first-professional student was a student enrolled in one of these programs. The 12-month FTE for first-professional students was calculated using the unduplicated headcounts reported on the 12-month enrollment component. Since the 12-month unduplicated headcounts do not differentiate between full-time and part-time students, an estimation was used. The ratio of full-time to part-time first-professional students from the previous collection year fall enrollment (which corresponds to the same academic year students) was calculated, and this ratio was applied to the 12-month unduplicated headcount. Adding the resulting full-time and one-third part-time student estimates results in the FTE for first-professional students.</w:t>
            </w:r>
          </w:p>
        </w:tc>
        <w:tc>
          <w:tcPr>
            <w:tcW w:w="2097" w:type="dxa"/>
            <w:shd w:val="clear" w:color="auto" w:fill="auto"/>
            <w:vAlign w:val="center"/>
            <w:hideMark/>
          </w:tcPr>
          <w:p w:rsidR="00EA2492" w:rsidRPr="00F7311D" w:rsidP="00EA2492" w14:paraId="77102D58" w14:textId="77777777">
            <w:pPr>
              <w:spacing w:after="0" w:line="240" w:lineRule="auto"/>
              <w:rPr>
                <w:rFonts w:ascii="Calibri" w:eastAsia="Times New Roman" w:hAnsi="Calibri" w:cs="Calibri"/>
                <w:color w:val="000000"/>
                <w:sz w:val="18"/>
                <w:szCs w:val="18"/>
              </w:rPr>
            </w:pPr>
          </w:p>
        </w:tc>
      </w:tr>
      <w:tr w14:paraId="7FE0F6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5ABF9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w:t>
            </w:r>
          </w:p>
        </w:tc>
        <w:tc>
          <w:tcPr>
            <w:tcW w:w="8558" w:type="dxa"/>
            <w:shd w:val="clear" w:color="auto" w:fill="auto"/>
            <w:vAlign w:val="center"/>
            <w:hideMark/>
          </w:tcPr>
          <w:p w:rsidR="00EA2492" w:rsidRPr="00F7311D" w:rsidP="00EA2492" w14:paraId="419D09B2" w14:textId="3479C4D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who has no prior postsecondary experience (except as noted below) attending any institution for the first time at the undergraduate level. This includes students enrolled in </w:t>
            </w:r>
            <w:r w:rsidRPr="002515CF">
              <w:rPr>
                <w:rFonts w:ascii="Calibri" w:eastAsia="Times New Roman" w:hAnsi="Calibri" w:cs="Calibri"/>
                <w:sz w:val="18"/>
                <w:szCs w:val="18"/>
              </w:rPr>
              <w:t>academic or occupational programs. It also includes students enrolled in the fall term who attended college for the first time in the prior summer session</w:t>
            </w:r>
            <w:r w:rsidRPr="00F7311D">
              <w:rPr>
                <w:rFonts w:ascii="Calibri" w:eastAsia="Times New Roman" w:hAnsi="Calibri" w:cs="Calibri"/>
                <w:color w:val="000000"/>
                <w:sz w:val="18"/>
                <w:szCs w:val="18"/>
              </w:rPr>
              <w:t>, and students who entered with advanced standing (college credits or recognized postsecondary credential earned before graduation from high school).</w:t>
            </w:r>
          </w:p>
        </w:tc>
        <w:tc>
          <w:tcPr>
            <w:tcW w:w="2097" w:type="dxa"/>
            <w:shd w:val="clear" w:color="auto" w:fill="auto"/>
            <w:vAlign w:val="center"/>
            <w:hideMark/>
          </w:tcPr>
          <w:p w:rsidR="00EA2492" w:rsidRPr="00F7311D" w:rsidP="00EA2492" w14:paraId="4089C1EA" w14:textId="77777777">
            <w:pPr>
              <w:spacing w:after="0" w:line="240" w:lineRule="auto"/>
              <w:rPr>
                <w:rFonts w:ascii="Calibri" w:eastAsia="Times New Roman" w:hAnsi="Calibri" w:cs="Calibri"/>
                <w:color w:val="000000"/>
                <w:sz w:val="18"/>
                <w:szCs w:val="18"/>
              </w:rPr>
            </w:pPr>
          </w:p>
        </w:tc>
      </w:tr>
      <w:tr w14:paraId="1C35ED2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44DA0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assets</w:t>
            </w:r>
          </w:p>
        </w:tc>
        <w:tc>
          <w:tcPr>
            <w:tcW w:w="8558" w:type="dxa"/>
            <w:shd w:val="clear" w:color="auto" w:fill="auto"/>
            <w:vAlign w:val="center"/>
            <w:hideMark/>
          </w:tcPr>
          <w:p w:rsidR="00EA2492" w:rsidRPr="00F7311D" w:rsidP="00EA2492" w14:paraId="6105E3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cannot readily be turned into cash without disrupting the operation of the institution. Fixed assets include intangible assets consisting of certain nonmaterial rights and benefits of an institution, such as patents, copyrights, trademarks and goodwill.</w:t>
            </w:r>
          </w:p>
        </w:tc>
        <w:tc>
          <w:tcPr>
            <w:tcW w:w="2097" w:type="dxa"/>
            <w:shd w:val="clear" w:color="auto" w:fill="auto"/>
            <w:vAlign w:val="center"/>
            <w:hideMark/>
          </w:tcPr>
          <w:p w:rsidR="00EA2492" w:rsidRPr="00F7311D" w:rsidP="00EA2492" w14:paraId="39EB8ABB" w14:textId="77777777">
            <w:pPr>
              <w:spacing w:after="0" w:line="240" w:lineRule="auto"/>
              <w:rPr>
                <w:rFonts w:ascii="Calibri" w:eastAsia="Times New Roman" w:hAnsi="Calibri" w:cs="Calibri"/>
                <w:color w:val="000000"/>
                <w:sz w:val="18"/>
                <w:szCs w:val="18"/>
              </w:rPr>
            </w:pPr>
          </w:p>
        </w:tc>
      </w:tr>
      <w:tr w14:paraId="701B10D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D85E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Focus institution</w:t>
            </w:r>
          </w:p>
        </w:tc>
        <w:tc>
          <w:tcPr>
            <w:tcW w:w="8558" w:type="dxa"/>
            <w:shd w:val="clear" w:color="auto" w:fill="auto"/>
            <w:vAlign w:val="center"/>
            <w:hideMark/>
          </w:tcPr>
          <w:p w:rsidR="00EA2492" w:rsidRPr="00F7311D" w:rsidP="00EA2492" w14:paraId="16A15F6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term used in the IPEDS Peer Analysis System to identify the postsecondary institution that is being compared to other institutions (peers) or that is the basis for any statistical reports generated within the system.</w:t>
            </w:r>
          </w:p>
        </w:tc>
        <w:tc>
          <w:tcPr>
            <w:tcW w:w="2097" w:type="dxa"/>
            <w:shd w:val="clear" w:color="auto" w:fill="auto"/>
            <w:vAlign w:val="center"/>
            <w:hideMark/>
          </w:tcPr>
          <w:p w:rsidR="00EA2492" w:rsidRPr="00F7311D" w:rsidP="00EA2492" w14:paraId="47D5CCB5" w14:textId="77777777">
            <w:pPr>
              <w:spacing w:after="0" w:line="240" w:lineRule="auto"/>
              <w:rPr>
                <w:rFonts w:ascii="Calibri" w:eastAsia="Times New Roman" w:hAnsi="Calibri" w:cs="Calibri"/>
                <w:color w:val="000000"/>
                <w:sz w:val="18"/>
                <w:szCs w:val="18"/>
              </w:rPr>
            </w:pPr>
          </w:p>
        </w:tc>
      </w:tr>
      <w:tr w14:paraId="17D2817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63220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Four-year institution</w:t>
            </w:r>
          </w:p>
        </w:tc>
        <w:tc>
          <w:tcPr>
            <w:tcW w:w="8558" w:type="dxa"/>
            <w:shd w:val="clear" w:color="auto" w:fill="auto"/>
            <w:vAlign w:val="center"/>
            <w:hideMark/>
          </w:tcPr>
          <w:p w:rsidR="00EA2492" w:rsidRPr="00F7311D" w:rsidP="00EA2492" w14:paraId="4B1DAA2E" w14:textId="08D5F6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4 years duration or one that offers programs at or above the baccalaureate level. Includes schools that offer postbaccalaureate certificates only or those that offer graduate programs only. Also includes free-standing medical, law or other first-professional schools.</w:t>
            </w:r>
          </w:p>
        </w:tc>
        <w:tc>
          <w:tcPr>
            <w:tcW w:w="2097" w:type="dxa"/>
            <w:shd w:val="clear" w:color="auto" w:fill="auto"/>
            <w:vAlign w:val="center"/>
            <w:hideMark/>
          </w:tcPr>
          <w:p w:rsidR="00EA2492" w:rsidRPr="00F7311D" w:rsidP="00EA2492" w14:paraId="4C168AAA" w14:textId="77777777">
            <w:pPr>
              <w:spacing w:after="0" w:line="240" w:lineRule="auto"/>
              <w:rPr>
                <w:rFonts w:ascii="Calibri" w:eastAsia="Times New Roman" w:hAnsi="Calibri" w:cs="Calibri"/>
                <w:color w:val="000000"/>
                <w:sz w:val="18"/>
                <w:szCs w:val="18"/>
              </w:rPr>
            </w:pPr>
          </w:p>
        </w:tc>
      </w:tr>
      <w:tr w14:paraId="2F5BE2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BC6B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Freshman</w:t>
            </w:r>
          </w:p>
        </w:tc>
        <w:tc>
          <w:tcPr>
            <w:tcW w:w="8558" w:type="dxa"/>
            <w:shd w:val="clear" w:color="auto" w:fill="auto"/>
            <w:vAlign w:val="center"/>
            <w:hideMark/>
          </w:tcPr>
          <w:p w:rsidR="00EA2492" w:rsidRPr="00F7311D" w:rsidP="00EA2492" w14:paraId="348131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first-year undergraduate student.</w:t>
            </w:r>
          </w:p>
        </w:tc>
        <w:tc>
          <w:tcPr>
            <w:tcW w:w="2097" w:type="dxa"/>
            <w:shd w:val="clear" w:color="auto" w:fill="auto"/>
            <w:vAlign w:val="center"/>
            <w:hideMark/>
          </w:tcPr>
          <w:p w:rsidR="00EA2492" w:rsidRPr="00F7311D" w:rsidP="00EA2492" w14:paraId="5B5D8FA0" w14:textId="77777777">
            <w:pPr>
              <w:spacing w:after="0" w:line="240" w:lineRule="auto"/>
              <w:rPr>
                <w:rFonts w:ascii="Calibri" w:eastAsia="Times New Roman" w:hAnsi="Calibri" w:cs="Calibri"/>
                <w:color w:val="000000"/>
                <w:sz w:val="18"/>
                <w:szCs w:val="18"/>
              </w:rPr>
            </w:pPr>
          </w:p>
        </w:tc>
      </w:tr>
      <w:tr w14:paraId="620EAB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31CF3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Fringe benefits</w:t>
            </w:r>
          </w:p>
        </w:tc>
        <w:tc>
          <w:tcPr>
            <w:tcW w:w="8558" w:type="dxa"/>
            <w:shd w:val="clear" w:color="auto" w:fill="auto"/>
            <w:vAlign w:val="center"/>
            <w:hideMark/>
          </w:tcPr>
          <w:p w:rsidR="00EA2492" w:rsidRPr="00F7311D" w:rsidP="00EA2492" w14:paraId="38A969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Cash contributions in the form of supplementary or deferred compensation other than salary. Excludes the employee's contribution. Employee fringe benefits include retirement plans, social security taxes, medical/dental plans, guaranteed disability income protection plans, tuition plans, housing plans, unemployment compensation plans, group life insurance plans, worker's compensation plans, pension, and other benefits in-kind with cash options.</w:t>
            </w:r>
          </w:p>
        </w:tc>
        <w:tc>
          <w:tcPr>
            <w:tcW w:w="2097" w:type="dxa"/>
            <w:shd w:val="clear" w:color="auto" w:fill="auto"/>
            <w:vAlign w:val="center"/>
            <w:hideMark/>
          </w:tcPr>
          <w:p w:rsidR="00EA2492" w:rsidRPr="00F7311D" w:rsidP="00EA2492" w14:paraId="562EF234" w14:textId="77777777">
            <w:pPr>
              <w:spacing w:after="0" w:line="240" w:lineRule="auto"/>
              <w:rPr>
                <w:rFonts w:ascii="Calibri" w:eastAsia="Times New Roman" w:hAnsi="Calibri" w:cs="Calibri"/>
                <w:color w:val="000000"/>
                <w:sz w:val="18"/>
                <w:szCs w:val="18"/>
              </w:rPr>
            </w:pPr>
          </w:p>
        </w:tc>
      </w:tr>
      <w:tr w14:paraId="4BA9A63E"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67DEDB8E" w14:textId="1BE34C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w:t>
            </w:r>
            <w:r w:rsidRPr="008878BA" w:rsidR="00571C9C">
              <w:rPr>
                <w:rFonts w:ascii="Calibri" w:eastAsia="Times New Roman" w:hAnsi="Calibri" w:cs="Calibri"/>
                <w:sz w:val="18"/>
                <w:szCs w:val="18"/>
              </w:rPr>
              <w:t xml:space="preserve"> equivalent (</w:t>
            </w:r>
            <w:r w:rsidRPr="008878BA">
              <w:rPr>
                <w:rFonts w:ascii="Calibri" w:eastAsia="Times New Roman" w:hAnsi="Calibri" w:cs="Calibri"/>
                <w:sz w:val="18"/>
                <w:szCs w:val="18"/>
              </w:rPr>
              <w:t>FTE</w:t>
            </w:r>
            <w:r w:rsidRPr="008878BA" w:rsidR="00571C9C">
              <w:rPr>
                <w:rFonts w:ascii="Calibri" w:eastAsia="Times New Roman" w:hAnsi="Calibri" w:cs="Calibri"/>
                <w:sz w:val="18"/>
                <w:szCs w:val="18"/>
              </w:rPr>
              <w:t>)</w:t>
            </w:r>
            <w:r w:rsidRPr="008878BA">
              <w:rPr>
                <w:rFonts w:ascii="Calibri" w:eastAsia="Times New Roman" w:hAnsi="Calibri" w:cs="Calibri"/>
                <w:sz w:val="18"/>
                <w:szCs w:val="18"/>
              </w:rPr>
              <w:t xml:space="preserve"> of students</w:t>
            </w:r>
          </w:p>
        </w:tc>
        <w:tc>
          <w:tcPr>
            <w:tcW w:w="8558" w:type="dxa"/>
            <w:shd w:val="clear" w:color="auto" w:fill="auto"/>
            <w:vAlign w:val="center"/>
            <w:hideMark/>
          </w:tcPr>
          <w:p w:rsidR="00EA2492" w:rsidRPr="008878BA" w:rsidP="00EA2492" w14:paraId="6B99C06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 equivalent (FTE) of students is a single value providing a meaningful combination of full-time and part-time students.  IPEDS data products currently have two calculations of FTE students, one using fall student headcounts and the other using 12-month instructional activity.</w:t>
            </w:r>
          </w:p>
        </w:tc>
        <w:tc>
          <w:tcPr>
            <w:tcW w:w="2097" w:type="dxa"/>
            <w:shd w:val="clear" w:color="auto" w:fill="auto"/>
            <w:vAlign w:val="center"/>
            <w:hideMark/>
          </w:tcPr>
          <w:p w:rsidR="00EA2492" w:rsidRPr="008878BA" w:rsidP="00EA2492" w14:paraId="04765BBA" w14:textId="62A2C61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Calculation of FTE students (using instructional activity), Calculation of FTE students (using fall student headcounts)</w:t>
            </w:r>
          </w:p>
        </w:tc>
      </w:tr>
      <w:tr w14:paraId="00B38B2A"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65B70CA" w14:textId="43155C8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equivalent (</w:t>
            </w:r>
            <w:r w:rsidRPr="008878BA">
              <w:rPr>
                <w:rFonts w:ascii="Calibri" w:eastAsia="Times New Roman" w:hAnsi="Calibri" w:cs="Calibri"/>
                <w:sz w:val="18"/>
                <w:szCs w:val="18"/>
              </w:rPr>
              <w:t>FTE</w:t>
            </w:r>
            <w:r w:rsidRPr="008878BA">
              <w:rPr>
                <w:rFonts w:ascii="Calibri" w:eastAsia="Times New Roman" w:hAnsi="Calibri" w:cs="Calibri"/>
                <w:sz w:val="18"/>
                <w:szCs w:val="18"/>
              </w:rPr>
              <w:t>) of</w:t>
            </w:r>
            <w:r w:rsidRPr="008878BA">
              <w:rPr>
                <w:rFonts w:ascii="Calibri" w:eastAsia="Times New Roman" w:hAnsi="Calibri" w:cs="Calibri"/>
                <w:sz w:val="18"/>
                <w:szCs w:val="18"/>
              </w:rPr>
              <w:t xml:space="preserve"> staff</w:t>
            </w:r>
          </w:p>
        </w:tc>
        <w:tc>
          <w:tcPr>
            <w:tcW w:w="8558" w:type="dxa"/>
            <w:shd w:val="clear" w:color="auto" w:fill="auto"/>
            <w:vAlign w:val="center"/>
            <w:hideMark/>
          </w:tcPr>
          <w:p w:rsidR="00EA2492" w:rsidRPr="008878BA" w:rsidP="00EA2492" w14:paraId="3D02CE2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The full-time-equivalent (FTE) of staff is calculated by summing the total number of full-time staff from the Employees by Assigned Position (EAP) component and adding one-third of the total number of part-time staff.</w:t>
            </w:r>
          </w:p>
        </w:tc>
        <w:tc>
          <w:tcPr>
            <w:tcW w:w="2097" w:type="dxa"/>
            <w:shd w:val="clear" w:color="auto" w:fill="auto"/>
            <w:vAlign w:val="center"/>
            <w:hideMark/>
          </w:tcPr>
          <w:p w:rsidR="00EA2492" w:rsidRPr="008878BA" w:rsidP="00EA2492" w14:paraId="2FAC5131" w14:textId="77777777">
            <w:pPr>
              <w:spacing w:after="0" w:line="240" w:lineRule="auto"/>
              <w:rPr>
                <w:rFonts w:ascii="Calibri" w:eastAsia="Times New Roman" w:hAnsi="Calibri" w:cs="Calibri"/>
                <w:sz w:val="18"/>
                <w:szCs w:val="18"/>
              </w:rPr>
            </w:pPr>
          </w:p>
        </w:tc>
      </w:tr>
      <w:tr w14:paraId="44AB37CC"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02EE6CE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 aid year</w:t>
            </w:r>
          </w:p>
        </w:tc>
        <w:tc>
          <w:tcPr>
            <w:tcW w:w="8558" w:type="dxa"/>
            <w:shd w:val="clear" w:color="auto" w:fill="auto"/>
            <w:vAlign w:val="center"/>
            <w:hideMark/>
          </w:tcPr>
          <w:p w:rsidR="00EA2492" w:rsidRPr="008878BA" w:rsidP="00EA2492" w14:paraId="0FD3A41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For the purposes of the IPEDS Student Financial Aid (SFA) component, full aid year refers to either the academic year (for academic reporters) or the period between September 1 and August 31 (for program reporters).</w:t>
            </w:r>
          </w:p>
        </w:tc>
        <w:tc>
          <w:tcPr>
            <w:tcW w:w="2097" w:type="dxa"/>
            <w:shd w:val="clear" w:color="auto" w:fill="auto"/>
            <w:vAlign w:val="center"/>
            <w:hideMark/>
          </w:tcPr>
          <w:p w:rsidR="00EA2492" w:rsidRPr="008878BA" w:rsidP="00EA2492" w14:paraId="454A0B95" w14:textId="77777777">
            <w:pPr>
              <w:spacing w:after="0" w:line="240" w:lineRule="auto"/>
              <w:rPr>
                <w:rFonts w:ascii="Calibri" w:eastAsia="Times New Roman" w:hAnsi="Calibri" w:cs="Calibri"/>
                <w:sz w:val="18"/>
                <w:szCs w:val="18"/>
              </w:rPr>
            </w:pPr>
          </w:p>
        </w:tc>
      </w:tr>
      <w:tr w14:paraId="665215C1"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788550A"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staff (employees)</w:t>
            </w:r>
          </w:p>
        </w:tc>
        <w:tc>
          <w:tcPr>
            <w:tcW w:w="8558" w:type="dxa"/>
            <w:shd w:val="clear" w:color="auto" w:fill="auto"/>
            <w:vAlign w:val="center"/>
            <w:hideMark/>
          </w:tcPr>
          <w:p w:rsidR="00EA2492" w:rsidRPr="008878BA" w:rsidP="00EA2492" w14:paraId="443348D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As defined by the institution. The type of appointment at the snapshot date determines whether an employee is full-time or part-time. The employee's term of contract is not considered in making the determination of full- or part-time.</w:t>
            </w:r>
          </w:p>
        </w:tc>
        <w:tc>
          <w:tcPr>
            <w:tcW w:w="2097" w:type="dxa"/>
            <w:shd w:val="clear" w:color="auto" w:fill="auto"/>
            <w:vAlign w:val="center"/>
            <w:hideMark/>
          </w:tcPr>
          <w:p w:rsidR="00EA2492" w:rsidRPr="008878BA" w:rsidP="00EA2492" w14:paraId="7E7EECDF" w14:textId="77777777">
            <w:pPr>
              <w:spacing w:after="0" w:line="240" w:lineRule="auto"/>
              <w:rPr>
                <w:rFonts w:ascii="Calibri" w:eastAsia="Times New Roman" w:hAnsi="Calibri" w:cs="Calibri"/>
                <w:sz w:val="18"/>
                <w:szCs w:val="18"/>
              </w:rPr>
            </w:pPr>
          </w:p>
        </w:tc>
      </w:tr>
      <w:tr w14:paraId="5FC7CEC5"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61978EF"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Full-time student</w:t>
            </w:r>
          </w:p>
        </w:tc>
        <w:tc>
          <w:tcPr>
            <w:tcW w:w="8558" w:type="dxa"/>
            <w:shd w:val="clear" w:color="auto" w:fill="auto"/>
            <w:vAlign w:val="center"/>
            <w:hideMark/>
          </w:tcPr>
          <w:p w:rsidR="00EA2492" w:rsidRPr="008878BA" w:rsidP="00EA2492" w14:paraId="4A415146"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A student enrolled for 12 or more semester credits, or 12 or more quarter credits, or 24 or more clock hours a week each term. Graduate: A student enrolled for 9 or more semester credits, or 9 or more quarter credits, or a student involved in thesis or dissertation preparation that is considered full-time by the institution. Doctor's degree - Professional practice - as defined by the institution.</w:t>
            </w:r>
          </w:p>
        </w:tc>
        <w:tc>
          <w:tcPr>
            <w:tcW w:w="2097" w:type="dxa"/>
            <w:shd w:val="clear" w:color="auto" w:fill="auto"/>
            <w:vAlign w:val="center"/>
            <w:hideMark/>
          </w:tcPr>
          <w:p w:rsidR="00EA2492" w:rsidRPr="008878BA" w:rsidP="00EA2492" w14:paraId="46D7CC5C" w14:textId="6CB99A1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Attendance </w:t>
            </w:r>
            <w:r w:rsidRPr="008878BA" w:rsidR="00087EA0">
              <w:rPr>
                <w:rFonts w:ascii="Calibri" w:eastAsia="Times New Roman" w:hAnsi="Calibri" w:cs="Calibri"/>
                <w:sz w:val="18"/>
                <w:szCs w:val="18"/>
              </w:rPr>
              <w:t xml:space="preserve">status, </w:t>
            </w:r>
            <w:r w:rsidRPr="008878BA">
              <w:rPr>
                <w:rFonts w:ascii="Calibri" w:eastAsia="Times New Roman" w:hAnsi="Calibri" w:cs="Calibri"/>
                <w:sz w:val="18"/>
                <w:szCs w:val="18"/>
              </w:rPr>
              <w:t>Credit</w:t>
            </w:r>
          </w:p>
        </w:tc>
      </w:tr>
      <w:tr w14:paraId="5E498E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5444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Full-year cohort</w:t>
            </w:r>
          </w:p>
        </w:tc>
        <w:tc>
          <w:tcPr>
            <w:tcW w:w="8558" w:type="dxa"/>
            <w:shd w:val="clear" w:color="auto" w:fill="auto"/>
            <w:vAlign w:val="center"/>
            <w:hideMark/>
          </w:tcPr>
          <w:p w:rsidR="00EA2492" w:rsidRPr="00F7311D" w:rsidP="00EA2492" w14:paraId="2ECACED9" w14:textId="789EBD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is a group of students entering at any time during the 12-month period for tracking and reporting. For</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Graduation Rate (GR), a full-year cohort is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from September 1 through August 31 and</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is used primarily by institutions that offer occupational programs of varying lengths. Students must be full-time and first-time to be considered in the cohort. For Outcome Measures (OM) component, all degree-granting institutions report on a full-year cohort from July 1 through June 30. Students are reported once in one of the four OM</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cohorts: first-time, full-time; first-time, part-time: non-first-time, full-time; or non-first-time, part-time.</w:t>
            </w:r>
          </w:p>
        </w:tc>
        <w:tc>
          <w:tcPr>
            <w:tcW w:w="2097" w:type="dxa"/>
            <w:shd w:val="clear" w:color="auto" w:fill="auto"/>
            <w:vAlign w:val="center"/>
            <w:hideMark/>
          </w:tcPr>
          <w:p w:rsidR="00EA2492" w:rsidRPr="00F7311D" w:rsidP="00EA2492" w14:paraId="356E29E2" w14:textId="77777777">
            <w:pPr>
              <w:spacing w:after="0" w:line="240" w:lineRule="auto"/>
              <w:rPr>
                <w:rFonts w:ascii="Calibri" w:eastAsia="Times New Roman" w:hAnsi="Calibri" w:cs="Calibri"/>
                <w:color w:val="000000"/>
                <w:sz w:val="18"/>
                <w:szCs w:val="18"/>
              </w:rPr>
            </w:pPr>
          </w:p>
        </w:tc>
      </w:tr>
      <w:tr w14:paraId="027365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F753AA" w14:textId="4A7A84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Functional </w:t>
            </w:r>
            <w:r w:rsidR="00BB7323">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xpense</w:t>
            </w:r>
          </w:p>
        </w:tc>
        <w:tc>
          <w:tcPr>
            <w:tcW w:w="8558" w:type="dxa"/>
            <w:shd w:val="clear" w:color="auto" w:fill="auto"/>
            <w:vAlign w:val="center"/>
            <w:hideMark/>
          </w:tcPr>
          <w:p w:rsidR="00EA2492" w:rsidRPr="00F7311D" w:rsidP="00EA2492" w14:paraId="195185C4" w14:textId="1A8BE0A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classification is a method of grouping expenses according to the purpose for which the costs are incurred. The classifications tell why an expense was incurred rather than what was purchased. (NACUBO FARM section 700)</w:t>
            </w:r>
          </w:p>
        </w:tc>
        <w:tc>
          <w:tcPr>
            <w:tcW w:w="2097" w:type="dxa"/>
            <w:shd w:val="clear" w:color="auto" w:fill="auto"/>
            <w:vAlign w:val="center"/>
            <w:hideMark/>
          </w:tcPr>
          <w:p w:rsidR="00EA2492" w:rsidRPr="00F7311D" w:rsidP="00EA2492" w14:paraId="67855DFB" w14:textId="77777777">
            <w:pPr>
              <w:spacing w:after="0" w:line="240" w:lineRule="auto"/>
              <w:rPr>
                <w:rFonts w:ascii="Calibri" w:eastAsia="Times New Roman" w:hAnsi="Calibri" w:cs="Calibri"/>
                <w:color w:val="000000"/>
                <w:sz w:val="18"/>
                <w:szCs w:val="18"/>
              </w:rPr>
            </w:pPr>
          </w:p>
        </w:tc>
      </w:tr>
      <w:tr w14:paraId="1C67A08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11D6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functioning as endowment (quasi-endowment funds)</w:t>
            </w:r>
          </w:p>
        </w:tc>
        <w:tc>
          <w:tcPr>
            <w:tcW w:w="8558" w:type="dxa"/>
            <w:shd w:val="clear" w:color="auto" w:fill="auto"/>
            <w:vAlign w:val="center"/>
            <w:hideMark/>
          </w:tcPr>
          <w:p w:rsidR="00EA2492" w:rsidRPr="00F7311D" w:rsidP="00EA2492" w14:paraId="676A4E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shd w:val="clear" w:color="auto" w:fill="auto"/>
            <w:vAlign w:val="center"/>
            <w:hideMark/>
          </w:tcPr>
          <w:p w:rsidR="00EA2492" w:rsidRPr="00F7311D" w:rsidP="00EA2492" w14:paraId="7455D8B5" w14:textId="77777777">
            <w:pPr>
              <w:spacing w:after="0" w:line="240" w:lineRule="auto"/>
              <w:rPr>
                <w:rFonts w:ascii="Calibri" w:eastAsia="Times New Roman" w:hAnsi="Calibri" w:cs="Calibri"/>
                <w:color w:val="000000"/>
                <w:sz w:val="18"/>
                <w:szCs w:val="18"/>
              </w:rPr>
            </w:pPr>
          </w:p>
        </w:tc>
      </w:tr>
      <w:tr w14:paraId="671728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8515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Gains</w:t>
            </w:r>
          </w:p>
        </w:tc>
        <w:tc>
          <w:tcPr>
            <w:tcW w:w="8558" w:type="dxa"/>
            <w:shd w:val="clear" w:color="auto" w:fill="auto"/>
            <w:vAlign w:val="center"/>
            <w:hideMark/>
          </w:tcPr>
          <w:p w:rsidR="00EA2492" w:rsidRPr="00F7311D" w:rsidP="00EA2492" w14:paraId="6283C4A4" w14:textId="44F1803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Increases in the institution's net assets from peripheral or incidental transactions. This is in contrast to revenues, which occur from the institution's ongoing major or central operations. Whether a transaction generates revenue or a gain depends on the relationship of the transaction to the institution's activities. For example, the sale of computers by a college store might be part of ongoing central activities, while the sale of surplus computers from administrative offices might be considered otherwise.</w:t>
            </w:r>
          </w:p>
        </w:tc>
        <w:tc>
          <w:tcPr>
            <w:tcW w:w="2097" w:type="dxa"/>
            <w:shd w:val="clear" w:color="auto" w:fill="auto"/>
            <w:vAlign w:val="center"/>
            <w:hideMark/>
          </w:tcPr>
          <w:p w:rsidR="00EA2492" w:rsidRPr="00F7311D" w:rsidP="00EA2492" w14:paraId="741BBC63" w14:textId="77777777">
            <w:pPr>
              <w:spacing w:after="0" w:line="240" w:lineRule="auto"/>
              <w:rPr>
                <w:rFonts w:ascii="Calibri" w:eastAsia="Times New Roman" w:hAnsi="Calibri" w:cs="Calibri"/>
                <w:color w:val="000000"/>
                <w:sz w:val="18"/>
                <w:szCs w:val="18"/>
              </w:rPr>
            </w:pPr>
          </w:p>
        </w:tc>
      </w:tr>
      <w:tr w14:paraId="5DA16F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8C31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Accounting Standards Board)</w:t>
            </w:r>
          </w:p>
        </w:tc>
        <w:tc>
          <w:tcPr>
            <w:tcW w:w="8558" w:type="dxa"/>
            <w:shd w:val="clear" w:color="auto" w:fill="auto"/>
            <w:vAlign w:val="center"/>
            <w:hideMark/>
          </w:tcPr>
          <w:p w:rsidR="00EA2492" w:rsidRPr="00F7311D" w:rsidP="00EA2492" w14:paraId="635A836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Governmental Accounting Standards Board (GASB) establishes accounting standards for local and state entities including governmental colleges and universities.</w:t>
            </w:r>
          </w:p>
        </w:tc>
        <w:tc>
          <w:tcPr>
            <w:tcW w:w="2097" w:type="dxa"/>
            <w:shd w:val="clear" w:color="auto" w:fill="auto"/>
            <w:vAlign w:val="center"/>
            <w:hideMark/>
          </w:tcPr>
          <w:p w:rsidR="00EA2492" w:rsidRPr="00F7311D" w:rsidP="00EA2492" w14:paraId="2270D4D3" w14:textId="77777777">
            <w:pPr>
              <w:spacing w:after="0" w:line="240" w:lineRule="auto"/>
              <w:rPr>
                <w:rFonts w:ascii="Calibri" w:eastAsia="Times New Roman" w:hAnsi="Calibri" w:cs="Calibri"/>
                <w:color w:val="000000"/>
                <w:sz w:val="18"/>
                <w:szCs w:val="18"/>
              </w:rPr>
            </w:pPr>
          </w:p>
        </w:tc>
      </w:tr>
      <w:tr w14:paraId="2E5018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4075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governmental model using standards prior to GASB 34 &amp; 35</w:t>
            </w:r>
          </w:p>
        </w:tc>
        <w:tc>
          <w:tcPr>
            <w:tcW w:w="8558" w:type="dxa"/>
            <w:shd w:val="clear" w:color="auto" w:fill="auto"/>
            <w:vAlign w:val="center"/>
            <w:hideMark/>
          </w:tcPr>
          <w:p w:rsidR="00EA2492" w:rsidRPr="00F7311D" w:rsidP="00EA2492" w14:paraId="64F4C2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Prior to adopting the GASB model using GASB 34 and 35, some governmental colleges and universities used the 'governmental model' of financial reporting. This reporting model and standards, followed primarily by some institutions with taxing authority, used the same financial reporting standards as state and local governments.</w:t>
            </w:r>
          </w:p>
        </w:tc>
        <w:tc>
          <w:tcPr>
            <w:tcW w:w="2097" w:type="dxa"/>
            <w:shd w:val="clear" w:color="auto" w:fill="auto"/>
            <w:vAlign w:val="center"/>
            <w:hideMark/>
          </w:tcPr>
          <w:p w:rsidR="00EA2492" w:rsidRPr="00F7311D" w:rsidP="00EA2492" w14:paraId="1CDEE6FC" w14:textId="77777777">
            <w:pPr>
              <w:spacing w:after="0" w:line="240" w:lineRule="auto"/>
              <w:rPr>
                <w:rFonts w:ascii="Calibri" w:eastAsia="Times New Roman" w:hAnsi="Calibri" w:cs="Calibri"/>
                <w:color w:val="000000"/>
                <w:sz w:val="18"/>
                <w:szCs w:val="18"/>
              </w:rPr>
            </w:pPr>
          </w:p>
        </w:tc>
      </w:tr>
      <w:tr w14:paraId="24AB14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D186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model using GASB 34 &amp; 35</w:t>
            </w:r>
          </w:p>
        </w:tc>
        <w:tc>
          <w:tcPr>
            <w:tcW w:w="8558" w:type="dxa"/>
            <w:shd w:val="clear" w:color="auto" w:fill="auto"/>
            <w:vAlign w:val="center"/>
            <w:hideMark/>
          </w:tcPr>
          <w:p w:rsidR="00EA2492" w:rsidRPr="00F7311D" w:rsidP="00EA2492" w14:paraId="6E2EB5D4" w14:textId="1DB3DA0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Statements 34 and 35 require all governmental colleges and universities to issue financial statements using the reporting model and standards of those statements. The required implementation date is based on annual revenues, with implementation dates from years beginning after June 15, 2001, to June 15, 2003. The two previous models are the GASB governmental model and the AICPA College and University Audit Guide model.</w:t>
            </w:r>
          </w:p>
        </w:tc>
        <w:tc>
          <w:tcPr>
            <w:tcW w:w="2097" w:type="dxa"/>
            <w:shd w:val="clear" w:color="auto" w:fill="auto"/>
            <w:vAlign w:val="center"/>
            <w:hideMark/>
          </w:tcPr>
          <w:p w:rsidR="00EA2492" w:rsidRPr="00F7311D" w:rsidP="00EA2492" w14:paraId="11026A0C" w14:textId="77777777">
            <w:pPr>
              <w:spacing w:after="0" w:line="240" w:lineRule="auto"/>
              <w:rPr>
                <w:rFonts w:ascii="Calibri" w:eastAsia="Times New Roman" w:hAnsi="Calibri" w:cs="Calibri"/>
                <w:color w:val="000000"/>
                <w:sz w:val="18"/>
                <w:szCs w:val="18"/>
              </w:rPr>
            </w:pPr>
          </w:p>
        </w:tc>
      </w:tr>
      <w:tr w14:paraId="19C1E96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52469FD3" w14:textId="53EE247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General Educational Development</w:t>
            </w:r>
            <w:r w:rsidRPr="008878BA" w:rsidR="0085045A">
              <w:rPr>
                <w:rFonts w:ascii="Calibri" w:eastAsia="Times New Roman" w:hAnsi="Calibri" w:cs="Calibri"/>
                <w:sz w:val="18"/>
                <w:szCs w:val="18"/>
              </w:rPr>
              <w:t xml:space="preserve"> (GED</w:t>
            </w:r>
            <w:r w:rsidRPr="008878BA">
              <w:rPr>
                <w:rFonts w:ascii="Calibri" w:eastAsia="Times New Roman" w:hAnsi="Calibri" w:cs="Calibri"/>
                <w:sz w:val="18"/>
                <w:szCs w:val="18"/>
              </w:rPr>
              <w:t>)</w:t>
            </w:r>
          </w:p>
        </w:tc>
        <w:tc>
          <w:tcPr>
            <w:tcW w:w="8558" w:type="dxa"/>
            <w:shd w:val="clear" w:color="auto" w:fill="auto"/>
            <w:vAlign w:val="center"/>
            <w:hideMark/>
          </w:tcPr>
          <w:p w:rsidR="00EA2492" w:rsidRPr="00F7311D" w:rsidP="00EA2492" w14:paraId="7A6E3857" w14:textId="51F1713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term normally refers to the tests of General Educational Development (GED), which provide an opportunity to earn a high school credential. The GED program, sponsored by the American Council on Education, enables individuals to demonstrate that they have acquired a level of learning comparable to that of high school graduates.</w:t>
            </w:r>
          </w:p>
        </w:tc>
        <w:tc>
          <w:tcPr>
            <w:tcW w:w="2097" w:type="dxa"/>
            <w:shd w:val="clear" w:color="auto" w:fill="auto"/>
            <w:vAlign w:val="center"/>
            <w:hideMark/>
          </w:tcPr>
          <w:p w:rsidR="00EA2492" w:rsidRPr="00F7311D" w:rsidP="00EA2492" w14:paraId="717467E0" w14:textId="77777777">
            <w:pPr>
              <w:spacing w:after="0" w:line="240" w:lineRule="auto"/>
              <w:rPr>
                <w:rFonts w:ascii="Calibri" w:eastAsia="Times New Roman" w:hAnsi="Calibri" w:cs="Calibri"/>
                <w:color w:val="000000"/>
                <w:sz w:val="18"/>
                <w:szCs w:val="18"/>
              </w:rPr>
            </w:pPr>
          </w:p>
        </w:tc>
      </w:tr>
      <w:tr w14:paraId="534801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23AC9F" w14:textId="38DC148F">
            <w:pPr>
              <w:spacing w:after="0" w:line="240" w:lineRule="auto"/>
              <w:rPr>
                <w:rFonts w:ascii="Calibri" w:eastAsia="Times New Roman" w:hAnsi="Calibri" w:cs="Calibri"/>
                <w:color w:val="000000"/>
                <w:sz w:val="18"/>
                <w:szCs w:val="18"/>
              </w:rPr>
            </w:pPr>
            <w:r w:rsidRPr="0085045A">
              <w:rPr>
                <w:rFonts w:ascii="Calibri" w:eastAsia="Times New Roman" w:hAnsi="Calibri" w:cs="Calibri"/>
                <w:color w:val="000000" w:themeColor="text1"/>
                <w:sz w:val="18"/>
                <w:szCs w:val="18"/>
              </w:rPr>
              <w:t xml:space="preserve">General </w:t>
            </w:r>
            <w:r w:rsidRPr="0085045A" w:rsidR="000F0DF4">
              <w:rPr>
                <w:rFonts w:ascii="Calibri" w:eastAsia="Times New Roman" w:hAnsi="Calibri" w:cs="Calibri"/>
                <w:color w:val="000000" w:themeColor="text1"/>
                <w:sz w:val="18"/>
                <w:szCs w:val="18"/>
              </w:rPr>
              <w:t>P</w:t>
            </w:r>
            <w:r w:rsidRPr="0085045A">
              <w:rPr>
                <w:rFonts w:ascii="Calibri" w:eastAsia="Times New Roman" w:hAnsi="Calibri" w:cs="Calibri"/>
                <w:color w:val="000000" w:themeColor="text1"/>
                <w:sz w:val="18"/>
                <w:szCs w:val="18"/>
              </w:rPr>
              <w:t xml:space="preserve">urpose </w:t>
            </w:r>
            <w:r w:rsidRPr="0085045A" w:rsidR="000F0DF4">
              <w:rPr>
                <w:rFonts w:ascii="Calibri" w:eastAsia="Times New Roman" w:hAnsi="Calibri" w:cs="Calibri"/>
                <w:color w:val="000000" w:themeColor="text1"/>
                <w:sz w:val="18"/>
                <w:szCs w:val="18"/>
              </w:rPr>
              <w:t>F</w:t>
            </w:r>
            <w:r w:rsidRPr="0085045A">
              <w:rPr>
                <w:rFonts w:ascii="Calibri" w:eastAsia="Times New Roman" w:hAnsi="Calibri" w:cs="Calibri"/>
                <w:color w:val="000000" w:themeColor="text1"/>
                <w:sz w:val="18"/>
                <w:szCs w:val="18"/>
              </w:rPr>
              <w:t xml:space="preserve">inancial </w:t>
            </w:r>
            <w:r w:rsidRPr="0085045A" w:rsidR="000F0DF4">
              <w:rPr>
                <w:rFonts w:ascii="Calibri" w:eastAsia="Times New Roman" w:hAnsi="Calibri" w:cs="Calibri"/>
                <w:color w:val="000000" w:themeColor="text1"/>
                <w:sz w:val="18"/>
                <w:szCs w:val="18"/>
              </w:rPr>
              <w:t>S</w:t>
            </w:r>
            <w:r w:rsidRPr="0085045A">
              <w:rPr>
                <w:rFonts w:ascii="Calibri" w:eastAsia="Times New Roman" w:hAnsi="Calibri" w:cs="Calibri"/>
                <w:color w:val="000000" w:themeColor="text1"/>
                <w:sz w:val="18"/>
                <w:szCs w:val="18"/>
              </w:rPr>
              <w:t xml:space="preserve">tatement </w:t>
            </w:r>
            <w:r w:rsidRPr="00F7311D">
              <w:rPr>
                <w:rFonts w:ascii="Calibri" w:eastAsia="Times New Roman" w:hAnsi="Calibri" w:cs="Calibri"/>
                <w:color w:val="000000"/>
                <w:sz w:val="18"/>
                <w:szCs w:val="18"/>
              </w:rPr>
              <w:t>(GPFS)</w:t>
            </w:r>
          </w:p>
        </w:tc>
        <w:tc>
          <w:tcPr>
            <w:tcW w:w="8558" w:type="dxa"/>
            <w:shd w:val="clear" w:color="auto" w:fill="auto"/>
            <w:vAlign w:val="center"/>
            <w:hideMark/>
          </w:tcPr>
          <w:p w:rsidR="00EA2492" w:rsidRPr="00F7311D" w:rsidP="00EA2492" w14:paraId="56A21C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Financial statements issued to parties outside the management of an institution. These are provided to creditors, donors, public officials outside the institution, and other external parties. GPFS differ from internal management financial reports, although GPFS may also be of use to board members and officials of the institution. The audit opinion is issued on the GPFS.</w:t>
            </w:r>
          </w:p>
        </w:tc>
        <w:tc>
          <w:tcPr>
            <w:tcW w:w="2097" w:type="dxa"/>
            <w:shd w:val="clear" w:color="auto" w:fill="auto"/>
            <w:vAlign w:val="center"/>
            <w:hideMark/>
          </w:tcPr>
          <w:p w:rsidR="00EA2492" w:rsidRPr="00F7311D" w:rsidP="00EA2492" w14:paraId="243D007A" w14:textId="77777777">
            <w:pPr>
              <w:spacing w:after="0" w:line="240" w:lineRule="auto"/>
              <w:rPr>
                <w:rFonts w:ascii="Calibri" w:eastAsia="Times New Roman" w:hAnsi="Calibri" w:cs="Calibri"/>
                <w:color w:val="000000"/>
                <w:sz w:val="18"/>
                <w:szCs w:val="18"/>
              </w:rPr>
            </w:pPr>
          </w:p>
        </w:tc>
      </w:tr>
      <w:tr w14:paraId="77C55E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6569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Gifts</w:t>
            </w:r>
          </w:p>
        </w:tc>
        <w:tc>
          <w:tcPr>
            <w:tcW w:w="8558" w:type="dxa"/>
            <w:shd w:val="clear" w:color="auto" w:fill="auto"/>
            <w:vAlign w:val="center"/>
            <w:hideMark/>
          </w:tcPr>
          <w:p w:rsidR="00EA2492" w:rsidRPr="00F7311D" w:rsidP="00EA2492" w14:paraId="29870E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from gift or contribution nonexchange transactions.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FASB and GASB standards differ somewhat on when to recognize contributions or nonexchange revenues, with FASB standards generally causing revenues to be recognized earlier in certain circumstances.</w:t>
            </w:r>
          </w:p>
        </w:tc>
        <w:tc>
          <w:tcPr>
            <w:tcW w:w="2097" w:type="dxa"/>
            <w:shd w:val="clear" w:color="auto" w:fill="auto"/>
            <w:vAlign w:val="center"/>
            <w:hideMark/>
          </w:tcPr>
          <w:p w:rsidR="00EA2492" w:rsidRPr="00F7311D" w:rsidP="00EA2492" w14:paraId="3D336563" w14:textId="77777777">
            <w:pPr>
              <w:spacing w:after="0" w:line="240" w:lineRule="auto"/>
              <w:rPr>
                <w:rFonts w:ascii="Calibri" w:eastAsia="Times New Roman" w:hAnsi="Calibri" w:cs="Calibri"/>
                <w:color w:val="000000"/>
                <w:sz w:val="18"/>
                <w:szCs w:val="18"/>
              </w:rPr>
            </w:pPr>
          </w:p>
        </w:tc>
      </w:tr>
      <w:tr w14:paraId="297430D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BAF5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Governing board</w:t>
            </w:r>
          </w:p>
        </w:tc>
        <w:tc>
          <w:tcPr>
            <w:tcW w:w="8558" w:type="dxa"/>
            <w:shd w:val="clear" w:color="auto" w:fill="auto"/>
            <w:vAlign w:val="center"/>
            <w:hideMark/>
          </w:tcPr>
          <w:p w:rsidR="00EA2492" w:rsidRPr="00F7311D" w:rsidP="00EA2492" w14:paraId="44572A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entity that ensures on behalf of the public the performance of an institution or a group of institutions. Responsibilities of the board may include appointing, supporting, and monitoring the president of the institution; reviewing educational and public service programs; insisting on strategic planning; and, ensuring good management and adequate resources.</w:t>
            </w:r>
          </w:p>
        </w:tc>
        <w:tc>
          <w:tcPr>
            <w:tcW w:w="2097" w:type="dxa"/>
            <w:shd w:val="clear" w:color="auto" w:fill="auto"/>
            <w:vAlign w:val="center"/>
            <w:hideMark/>
          </w:tcPr>
          <w:p w:rsidR="00EA2492" w:rsidRPr="00F7311D" w:rsidP="00EA2492" w14:paraId="5F06F865" w14:textId="77777777">
            <w:pPr>
              <w:spacing w:after="0" w:line="240" w:lineRule="auto"/>
              <w:rPr>
                <w:rFonts w:ascii="Calibri" w:eastAsia="Times New Roman" w:hAnsi="Calibri" w:cs="Calibri"/>
                <w:color w:val="000000"/>
                <w:sz w:val="18"/>
                <w:szCs w:val="18"/>
              </w:rPr>
            </w:pPr>
          </w:p>
        </w:tc>
      </w:tr>
      <w:tr w14:paraId="0AD9CB3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83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 appropriations (revenues)</w:t>
            </w:r>
          </w:p>
        </w:tc>
        <w:tc>
          <w:tcPr>
            <w:tcW w:w="8558" w:type="dxa"/>
            <w:shd w:val="clear" w:color="auto" w:fill="auto"/>
            <w:vAlign w:val="center"/>
            <w:hideMark/>
          </w:tcPr>
          <w:p w:rsidR="00EA2492" w:rsidRPr="00F7311D" w:rsidP="00EA2492" w14:paraId="62916E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received by an institution through acts of a legislative body, except grants and contracts. These funds are for meeting current operating expenses and not for specific projects or programs. The most common example is a state's general appropriation. Appropriations primarily to fund capital assets are classified as capital appropriations.</w:t>
            </w:r>
          </w:p>
        </w:tc>
        <w:tc>
          <w:tcPr>
            <w:tcW w:w="2097" w:type="dxa"/>
            <w:shd w:val="clear" w:color="auto" w:fill="auto"/>
            <w:vAlign w:val="center"/>
            <w:hideMark/>
          </w:tcPr>
          <w:p w:rsidR="00EA2492" w:rsidRPr="00F7311D" w:rsidP="00EA2492" w14:paraId="00424EE8" w14:textId="77777777">
            <w:pPr>
              <w:spacing w:after="0" w:line="240" w:lineRule="auto"/>
              <w:rPr>
                <w:rFonts w:ascii="Calibri" w:eastAsia="Times New Roman" w:hAnsi="Calibri" w:cs="Calibri"/>
                <w:color w:val="000000"/>
                <w:sz w:val="18"/>
                <w:szCs w:val="18"/>
              </w:rPr>
            </w:pPr>
          </w:p>
        </w:tc>
      </w:tr>
      <w:tr w14:paraId="2CD747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55A1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w:t>
            </w:r>
          </w:p>
        </w:tc>
        <w:tc>
          <w:tcPr>
            <w:tcW w:w="8558" w:type="dxa"/>
            <w:shd w:val="clear" w:color="auto" w:fill="auto"/>
            <w:vAlign w:val="center"/>
            <w:hideMark/>
          </w:tcPr>
          <w:p w:rsidR="00EA2492" w:rsidRPr="00F7311D" w:rsidP="00EA2492" w14:paraId="502352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financed by taxes and intergovernmental revenues and other nonexchange revenues.</w:t>
            </w:r>
          </w:p>
        </w:tc>
        <w:tc>
          <w:tcPr>
            <w:tcW w:w="2097" w:type="dxa"/>
            <w:shd w:val="clear" w:color="auto" w:fill="auto"/>
            <w:vAlign w:val="center"/>
            <w:hideMark/>
          </w:tcPr>
          <w:p w:rsidR="00EA2492" w:rsidRPr="00F7311D" w:rsidP="00EA2492" w14:paraId="7618B4A6" w14:textId="77777777">
            <w:pPr>
              <w:spacing w:after="0" w:line="240" w:lineRule="auto"/>
              <w:rPr>
                <w:rFonts w:ascii="Calibri" w:eastAsia="Times New Roman" w:hAnsi="Calibri" w:cs="Calibri"/>
                <w:color w:val="000000"/>
                <w:sz w:val="18"/>
                <w:szCs w:val="18"/>
              </w:rPr>
            </w:pPr>
          </w:p>
        </w:tc>
      </w:tr>
      <w:tr w14:paraId="590FD3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D93C0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Governmental activities with business-type</w:t>
            </w:r>
          </w:p>
        </w:tc>
        <w:tc>
          <w:tcPr>
            <w:tcW w:w="8558" w:type="dxa"/>
            <w:shd w:val="clear" w:color="auto" w:fill="auto"/>
            <w:vAlign w:val="center"/>
            <w:hideMark/>
          </w:tcPr>
          <w:p w:rsidR="00EA2492" w:rsidRPr="00F7311D" w:rsidP="00EA2492" w14:paraId="7DE1E8A8" w14:textId="72A024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financial reporting mode, provided by GASB Statement No. 34, refers to an institution that accounts for its activities as governmental (that is, financed by taxes, intergovernmental revenues, and other nonexchange activities) with characteristics of business-type activities (those supported by fees charged for goods or services). The financial statements for this type of entity include a column for reporting governmental activities and another for business-type activities. GASB Statement 34 specifies the financial reporting format for this type of governmental entity.</w:t>
            </w:r>
          </w:p>
        </w:tc>
        <w:tc>
          <w:tcPr>
            <w:tcW w:w="2097" w:type="dxa"/>
            <w:shd w:val="clear" w:color="auto" w:fill="auto"/>
            <w:vAlign w:val="center"/>
            <w:hideMark/>
          </w:tcPr>
          <w:p w:rsidR="00EA2492" w:rsidRPr="00F7311D" w:rsidP="00EA2492" w14:paraId="5EA773BC" w14:textId="77777777">
            <w:pPr>
              <w:spacing w:after="0" w:line="240" w:lineRule="auto"/>
              <w:rPr>
                <w:rFonts w:ascii="Calibri" w:eastAsia="Times New Roman" w:hAnsi="Calibri" w:cs="Calibri"/>
                <w:color w:val="000000"/>
                <w:sz w:val="18"/>
                <w:szCs w:val="18"/>
              </w:rPr>
            </w:pPr>
          </w:p>
        </w:tc>
      </w:tr>
      <w:tr w14:paraId="41E72A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237F0A" w14:textId="216043B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(Other)</w:t>
            </w:r>
          </w:p>
        </w:tc>
        <w:tc>
          <w:tcPr>
            <w:tcW w:w="8558" w:type="dxa"/>
            <w:shd w:val="clear" w:color="auto" w:fill="auto"/>
            <w:vAlign w:val="center"/>
            <w:hideMark/>
          </w:tcPr>
          <w:p w:rsidR="00EA2492" w:rsidRPr="00F7311D" w:rsidP="00EA2492" w14:paraId="1FCD8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not included in the graduate assistant teaching or research sections.</w:t>
            </w:r>
          </w:p>
        </w:tc>
        <w:tc>
          <w:tcPr>
            <w:tcW w:w="2097" w:type="dxa"/>
            <w:shd w:val="clear" w:color="auto" w:fill="auto"/>
            <w:vAlign w:val="center"/>
            <w:hideMark/>
          </w:tcPr>
          <w:p w:rsidR="00EA2492" w:rsidRPr="00F7311D" w:rsidP="00EA2492" w14:paraId="2B71A582" w14:textId="77777777">
            <w:pPr>
              <w:spacing w:after="0" w:line="240" w:lineRule="auto"/>
              <w:rPr>
                <w:rFonts w:ascii="Calibri" w:eastAsia="Times New Roman" w:hAnsi="Calibri" w:cs="Calibri"/>
                <w:color w:val="000000"/>
                <w:sz w:val="18"/>
                <w:szCs w:val="18"/>
              </w:rPr>
            </w:pPr>
          </w:p>
        </w:tc>
      </w:tr>
      <w:tr w14:paraId="71431F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617AEC" w14:textId="54B58A1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(Research)</w:t>
            </w:r>
          </w:p>
        </w:tc>
        <w:tc>
          <w:tcPr>
            <w:tcW w:w="8558" w:type="dxa"/>
            <w:shd w:val="clear" w:color="auto" w:fill="auto"/>
            <w:vAlign w:val="center"/>
            <w:hideMark/>
          </w:tcPr>
          <w:p w:rsidR="00EA2492" w:rsidRPr="00F7311D" w:rsidP="00EA2492" w14:paraId="22B58D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assistants whose specific assignments customarily are made for the purpose of conducting research.</w:t>
            </w:r>
          </w:p>
        </w:tc>
        <w:tc>
          <w:tcPr>
            <w:tcW w:w="2097" w:type="dxa"/>
            <w:shd w:val="clear" w:color="auto" w:fill="auto"/>
            <w:vAlign w:val="center"/>
            <w:hideMark/>
          </w:tcPr>
          <w:p w:rsidR="00EA2492" w:rsidRPr="00F7311D" w:rsidP="00EA2492" w14:paraId="29EFD820" w14:textId="77777777">
            <w:pPr>
              <w:spacing w:after="0" w:line="240" w:lineRule="auto"/>
              <w:rPr>
                <w:rFonts w:ascii="Calibri" w:eastAsia="Times New Roman" w:hAnsi="Calibri" w:cs="Calibri"/>
                <w:color w:val="000000"/>
                <w:sz w:val="18"/>
                <w:szCs w:val="18"/>
              </w:rPr>
            </w:pPr>
          </w:p>
        </w:tc>
      </w:tr>
      <w:tr w14:paraId="26FB42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132CCD" w14:textId="1FC8628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w:t>
            </w:r>
            <w:r w:rsidR="008D2D8A">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ssistants (Teaching)</w:t>
            </w:r>
          </w:p>
        </w:tc>
        <w:tc>
          <w:tcPr>
            <w:tcW w:w="8558" w:type="dxa"/>
            <w:shd w:val="clear" w:color="auto" w:fill="auto"/>
            <w:vAlign w:val="center"/>
            <w:hideMark/>
          </w:tcPr>
          <w:p w:rsidR="00EA2492" w:rsidRPr="00F7311D" w:rsidP="00EA2492" w14:paraId="75AA77D5" w14:textId="383309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Graduate assistants who assist faculty or other instructional staff in postsecondary institutions by performing teaching or teaching related duties, such as teaching </w:t>
            </w:r>
            <w:r w:rsidRPr="00F7311D" w:rsidR="008D2D8A">
              <w:rPr>
                <w:rFonts w:ascii="Calibri" w:eastAsia="Times New Roman" w:hAnsi="Calibri" w:cs="Calibri"/>
                <w:color w:val="000000"/>
                <w:sz w:val="18"/>
                <w:szCs w:val="18"/>
              </w:rPr>
              <w:t>lower-level</w:t>
            </w:r>
            <w:r w:rsidRPr="00F7311D">
              <w:rPr>
                <w:rFonts w:ascii="Calibri" w:eastAsia="Times New Roman" w:hAnsi="Calibri" w:cs="Calibri"/>
                <w:color w:val="000000"/>
                <w:sz w:val="18"/>
                <w:szCs w:val="18"/>
              </w:rPr>
              <w:t xml:space="preserve"> courses, developing teaching materials, preparing and giving examinations, and grading examinations or papers.</w:t>
            </w:r>
          </w:p>
        </w:tc>
        <w:tc>
          <w:tcPr>
            <w:tcW w:w="2097" w:type="dxa"/>
            <w:shd w:val="clear" w:color="auto" w:fill="auto"/>
            <w:vAlign w:val="center"/>
            <w:hideMark/>
          </w:tcPr>
          <w:p w:rsidR="00EA2492" w:rsidRPr="00F7311D" w:rsidP="00EA2492" w14:paraId="27C40B89" w14:textId="77777777">
            <w:pPr>
              <w:spacing w:after="0" w:line="240" w:lineRule="auto"/>
              <w:rPr>
                <w:rFonts w:ascii="Calibri" w:eastAsia="Times New Roman" w:hAnsi="Calibri" w:cs="Calibri"/>
                <w:color w:val="000000"/>
                <w:sz w:val="18"/>
                <w:szCs w:val="18"/>
              </w:rPr>
            </w:pPr>
          </w:p>
        </w:tc>
      </w:tr>
      <w:tr w14:paraId="3D9C6E7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38461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Graduate student</w:t>
            </w:r>
          </w:p>
        </w:tc>
        <w:tc>
          <w:tcPr>
            <w:tcW w:w="8558" w:type="dxa"/>
            <w:shd w:val="clear" w:color="auto" w:fill="auto"/>
            <w:vAlign w:val="center"/>
            <w:hideMark/>
          </w:tcPr>
          <w:p w:rsidR="00EA2492" w:rsidRPr="00F7311D" w:rsidP="00EA2492" w14:paraId="59E51F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holds a bachelor's degree or above and is taking courses at the postbaccalaureate level. These students may or may not be enrolled in graduate programs.</w:t>
            </w:r>
          </w:p>
        </w:tc>
        <w:tc>
          <w:tcPr>
            <w:tcW w:w="2097" w:type="dxa"/>
            <w:shd w:val="clear" w:color="auto" w:fill="auto"/>
            <w:vAlign w:val="center"/>
            <w:hideMark/>
          </w:tcPr>
          <w:p w:rsidR="00EA2492" w:rsidRPr="00F7311D" w:rsidP="00EA2492" w14:paraId="45E6AD8A" w14:textId="77777777">
            <w:pPr>
              <w:spacing w:after="0" w:line="240" w:lineRule="auto"/>
              <w:rPr>
                <w:rFonts w:ascii="Calibri" w:eastAsia="Times New Roman" w:hAnsi="Calibri" w:cs="Calibri"/>
                <w:color w:val="000000"/>
                <w:sz w:val="18"/>
                <w:szCs w:val="18"/>
              </w:rPr>
            </w:pPr>
          </w:p>
        </w:tc>
      </w:tr>
      <w:tr w14:paraId="74BB176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466AD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w:t>
            </w:r>
          </w:p>
        </w:tc>
        <w:tc>
          <w:tcPr>
            <w:tcW w:w="8558" w:type="dxa"/>
            <w:shd w:val="clear" w:color="auto" w:fill="auto"/>
            <w:vAlign w:val="center"/>
            <w:hideMark/>
          </w:tcPr>
          <w:p w:rsidR="00EA2492" w:rsidRPr="00F7311D" w:rsidP="00EA2492" w14:paraId="697DF9B2" w14:textId="417959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rate required for disclosure and/or reporting purposes under Student Right-to-Know Act. This rate is calculated as the total number of completers within 150% of normal time divided by the revised adjusted cohort.</w:t>
            </w:r>
          </w:p>
        </w:tc>
        <w:tc>
          <w:tcPr>
            <w:tcW w:w="2097" w:type="dxa"/>
            <w:shd w:val="clear" w:color="auto" w:fill="auto"/>
            <w:vAlign w:val="center"/>
            <w:hideMark/>
          </w:tcPr>
          <w:p w:rsidR="00EA2492" w:rsidRPr="00F7311D" w:rsidP="00EA2492" w14:paraId="20E10CF7" w14:textId="77777777">
            <w:pPr>
              <w:spacing w:after="0" w:line="240" w:lineRule="auto"/>
              <w:rPr>
                <w:rFonts w:ascii="Calibri" w:eastAsia="Times New Roman" w:hAnsi="Calibri" w:cs="Calibri"/>
                <w:color w:val="000000"/>
                <w:sz w:val="18"/>
                <w:szCs w:val="18"/>
              </w:rPr>
            </w:pPr>
          </w:p>
        </w:tc>
      </w:tr>
      <w:tr w14:paraId="7AA5406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7DA2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Graduation Rates (GR)</w:t>
            </w:r>
          </w:p>
        </w:tc>
        <w:tc>
          <w:tcPr>
            <w:tcW w:w="8558" w:type="dxa"/>
            <w:shd w:val="clear" w:color="auto" w:fill="auto"/>
            <w:vAlign w:val="center"/>
            <w:hideMark/>
          </w:tcPr>
          <w:p w:rsidR="00EA2492" w:rsidRPr="00F7311D" w:rsidP="00EA2492" w14:paraId="16D6EC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annual component of IPEDS was added in 1997 to help institutions satisfy the requirements of the Student Right-to-Know legislation. Data are collected on the number of students entering the institution as full-time, first-time, degree/certificate-seeking undergraduate students in a particular year (cohort), by race/ethnicity and gender; the number completing their program within 150 percent of normal time to completion; the number that transfer to other institutions if transfer is part of the institution's mission. Prior to 2007, institutions who offered athletically-related student aid were asked to report, by sport, the number of students receiving aid and whether they completed within 150 percent of normal time to completion. Now, these institutions only need to report a URL where the athletic data is located on their website, when available. GR automatically generates worksheets that calculate rates, including average rates over 4 years.</w:t>
            </w:r>
          </w:p>
        </w:tc>
        <w:tc>
          <w:tcPr>
            <w:tcW w:w="2097" w:type="dxa"/>
            <w:shd w:val="clear" w:color="auto" w:fill="auto"/>
            <w:vAlign w:val="center"/>
            <w:hideMark/>
          </w:tcPr>
          <w:p w:rsidR="00EA2492" w:rsidRPr="00F7311D" w:rsidP="00EA2492" w14:paraId="4E3C4EBB" w14:textId="77777777">
            <w:pPr>
              <w:spacing w:after="0" w:line="240" w:lineRule="auto"/>
              <w:rPr>
                <w:rFonts w:ascii="Calibri" w:eastAsia="Times New Roman" w:hAnsi="Calibri" w:cs="Calibri"/>
                <w:color w:val="000000"/>
                <w:sz w:val="18"/>
                <w:szCs w:val="18"/>
              </w:rPr>
            </w:pPr>
          </w:p>
        </w:tc>
      </w:tr>
      <w:tr w14:paraId="12CF55B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A4EC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and contracts (revenues)</w:t>
            </w:r>
          </w:p>
        </w:tc>
        <w:tc>
          <w:tcPr>
            <w:tcW w:w="8558" w:type="dxa"/>
            <w:shd w:val="clear" w:color="auto" w:fill="auto"/>
            <w:vAlign w:val="center"/>
            <w:hideMark/>
          </w:tcPr>
          <w:p w:rsidR="00EA2492" w:rsidRPr="00F7311D" w:rsidP="00EA2492" w14:paraId="4207AFCF" w14:textId="0CC2B30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from governmental agencies and nongovernmental parties that are for specific research projects, other types of programs, or for general institutional operations (if not government appropriations). Examples are research projects, training programs, student financial assistance, and similar activities for which amounts are received or expenses are reimbursable under the terms of a grant or contract, including amounts to cover both direct and indirect expenses. Includes Pell Grants and reimbursement for costs of administering federal financial </w:t>
            </w:r>
            <w:r w:rsidRPr="00F7311D">
              <w:rPr>
                <w:rFonts w:ascii="Calibri" w:eastAsia="Times New Roman" w:hAnsi="Calibri" w:cs="Calibri"/>
                <w:color w:val="000000"/>
                <w:sz w:val="18"/>
                <w:szCs w:val="18"/>
              </w:rPr>
              <w:t>aid programs. Grants and contracts should be classified to identify the governmental level - federal, state, or local - funding the grant or contract to the institution; grants and contracts from other sources are classified as nongovernmental grants and contracts. GASB institutions are required to classify in financial reports such grants and contracts as either operating or nonoperating.</w:t>
            </w:r>
          </w:p>
        </w:tc>
        <w:tc>
          <w:tcPr>
            <w:tcW w:w="2097" w:type="dxa"/>
            <w:shd w:val="clear" w:color="auto" w:fill="auto"/>
            <w:vAlign w:val="center"/>
            <w:hideMark/>
          </w:tcPr>
          <w:p w:rsidR="00EA2492" w:rsidRPr="00F7311D" w:rsidP="00EA2492" w14:paraId="3BF07543" w14:textId="77777777">
            <w:pPr>
              <w:spacing w:after="0" w:line="240" w:lineRule="auto"/>
              <w:rPr>
                <w:rFonts w:ascii="Calibri" w:eastAsia="Times New Roman" w:hAnsi="Calibri" w:cs="Calibri"/>
                <w:color w:val="000000"/>
                <w:sz w:val="18"/>
                <w:szCs w:val="18"/>
              </w:rPr>
            </w:pPr>
          </w:p>
        </w:tc>
      </w:tr>
      <w:tr w14:paraId="24AE1D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194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local government (student aid)</w:t>
            </w:r>
          </w:p>
        </w:tc>
        <w:tc>
          <w:tcPr>
            <w:tcW w:w="8558" w:type="dxa"/>
            <w:shd w:val="clear" w:color="auto" w:fill="auto"/>
            <w:vAlign w:val="center"/>
            <w:hideMark/>
          </w:tcPr>
          <w:p w:rsidR="00EA2492" w:rsidRPr="00F7311D" w:rsidP="00EA2492" w14:paraId="5F06BE83" w14:textId="5EAC34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Local government grants include scholarships or gift-aid awarded </w:t>
            </w:r>
            <w:r w:rsidRPr="00FB5A34">
              <w:rPr>
                <w:rFonts w:ascii="Calibri" w:eastAsia="Times New Roman" w:hAnsi="Calibri" w:cs="Calibri"/>
                <w:color w:val="000000" w:themeColor="text1"/>
                <w:sz w:val="18"/>
                <w:szCs w:val="18"/>
              </w:rPr>
              <w:t>directly to the student. (Used for reporting</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20C79BBB" w14:textId="77777777">
            <w:pPr>
              <w:spacing w:after="0" w:line="240" w:lineRule="auto"/>
              <w:rPr>
                <w:rFonts w:ascii="Calibri" w:eastAsia="Times New Roman" w:hAnsi="Calibri" w:cs="Calibri"/>
                <w:color w:val="000000"/>
                <w:sz w:val="18"/>
                <w:szCs w:val="18"/>
              </w:rPr>
            </w:pPr>
          </w:p>
        </w:tc>
      </w:tr>
      <w:tr w14:paraId="64154C0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A491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 by state government (student aid)</w:t>
            </w:r>
          </w:p>
        </w:tc>
        <w:tc>
          <w:tcPr>
            <w:tcW w:w="8558" w:type="dxa"/>
            <w:shd w:val="clear" w:color="auto" w:fill="auto"/>
            <w:vAlign w:val="center"/>
            <w:hideMark/>
          </w:tcPr>
          <w:p w:rsidR="00EA2492" w:rsidRPr="00F7311D" w:rsidP="00EA2492" w14:paraId="327CA9EC" w14:textId="40B32C6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Grant monies provided by the state such as Leveraging Educational Assistance Partnerships (LEAP) </w:t>
            </w:r>
            <w:r w:rsidRPr="008878BA" w:rsidR="00CB07F4">
              <w:rPr>
                <w:rFonts w:ascii="Calibri" w:eastAsia="Times New Roman" w:hAnsi="Calibri" w:cs="Calibri"/>
                <w:sz w:val="18"/>
                <w:szCs w:val="18"/>
              </w:rPr>
              <w:t xml:space="preserve">program </w:t>
            </w:r>
            <w:r w:rsidRPr="00F7311D">
              <w:rPr>
                <w:rFonts w:ascii="Calibri" w:eastAsia="Times New Roman" w:hAnsi="Calibri" w:cs="Calibri"/>
                <w:color w:val="000000"/>
                <w:sz w:val="18"/>
                <w:szCs w:val="18"/>
              </w:rPr>
              <w:t>(</w:t>
            </w:r>
            <w:r w:rsidRPr="008878BA">
              <w:rPr>
                <w:rFonts w:ascii="Calibri" w:eastAsia="Times New Roman" w:hAnsi="Calibri" w:cs="Calibri"/>
                <w:sz w:val="18"/>
                <w:szCs w:val="18"/>
              </w:rPr>
              <w:t xml:space="preserve">formerly </w:t>
            </w:r>
            <w:r w:rsidRPr="008878BA" w:rsidR="00E302B8">
              <w:rPr>
                <w:rFonts w:ascii="Calibri" w:eastAsia="Times New Roman" w:hAnsi="Calibri" w:cs="Calibri"/>
                <w:sz w:val="18"/>
                <w:szCs w:val="18"/>
              </w:rPr>
              <w:t>State Student Incentive Gran</w:t>
            </w:r>
            <w:r w:rsidRPr="008878BA" w:rsidR="00CB07F4">
              <w:rPr>
                <w:rFonts w:ascii="Calibri" w:eastAsia="Times New Roman" w:hAnsi="Calibri" w:cs="Calibri"/>
                <w:sz w:val="18"/>
                <w:szCs w:val="18"/>
              </w:rPr>
              <w:t>t</w:t>
            </w:r>
            <w:r w:rsidRPr="008878BA" w:rsidR="00E302B8">
              <w:rPr>
                <w:rFonts w:ascii="Calibri" w:eastAsia="Times New Roman" w:hAnsi="Calibri" w:cs="Calibri"/>
                <w:sz w:val="18"/>
                <w:szCs w:val="18"/>
              </w:rPr>
              <w:t xml:space="preserve"> </w:t>
            </w:r>
            <w:r w:rsidRPr="008878BA" w:rsidR="00CB07F4">
              <w:rPr>
                <w:rFonts w:ascii="Calibri" w:eastAsia="Times New Roman" w:hAnsi="Calibri" w:cs="Calibri"/>
                <w:sz w:val="18"/>
                <w:szCs w:val="18"/>
              </w:rPr>
              <w:t xml:space="preserve">program </w:t>
            </w:r>
            <w:r w:rsidRPr="008878BA" w:rsidR="00E302B8">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SSIG); merit </w:t>
            </w:r>
            <w:r w:rsidRPr="00F7311D">
              <w:rPr>
                <w:rFonts w:ascii="Calibri" w:eastAsia="Times New Roman" w:hAnsi="Calibri" w:cs="Calibri"/>
                <w:color w:val="000000"/>
                <w:sz w:val="18"/>
                <w:szCs w:val="18"/>
              </w:rPr>
              <w:t xml:space="preserve">scholarships provided by the state; </w:t>
            </w:r>
            <w:r w:rsidRPr="00FB5A34">
              <w:rPr>
                <w:rFonts w:ascii="Calibri" w:eastAsia="Times New Roman" w:hAnsi="Calibri" w:cs="Calibri"/>
                <w:color w:val="000000" w:themeColor="text1"/>
                <w:sz w:val="18"/>
                <w:szCs w:val="18"/>
              </w:rPr>
              <w:t>and tuition and fee waivers for which the institution was reimbursed by a state agency. (</w:t>
            </w:r>
            <w:r w:rsidRPr="00FB5A34" w:rsidR="00640499">
              <w:rPr>
                <w:rFonts w:ascii="Calibri" w:eastAsia="Times New Roman" w:hAnsi="Calibri" w:cs="Calibri"/>
                <w:color w:val="000000" w:themeColor="text1"/>
                <w:sz w:val="18"/>
                <w:szCs w:val="18"/>
              </w:rPr>
              <w:t>Used for reporting on the Finance component)</w:t>
            </w:r>
          </w:p>
        </w:tc>
        <w:tc>
          <w:tcPr>
            <w:tcW w:w="2097" w:type="dxa"/>
            <w:shd w:val="clear" w:color="auto" w:fill="auto"/>
            <w:vAlign w:val="center"/>
            <w:hideMark/>
          </w:tcPr>
          <w:p w:rsidR="00EA2492" w:rsidRPr="00F7311D" w:rsidP="00EA2492" w14:paraId="738F8604" w14:textId="77777777">
            <w:pPr>
              <w:spacing w:after="0" w:line="240" w:lineRule="auto"/>
              <w:rPr>
                <w:rFonts w:ascii="Calibri" w:eastAsia="Times New Roman" w:hAnsi="Calibri" w:cs="Calibri"/>
                <w:color w:val="000000"/>
                <w:sz w:val="18"/>
                <w:szCs w:val="18"/>
              </w:rPr>
            </w:pPr>
          </w:p>
        </w:tc>
      </w:tr>
      <w:tr w14:paraId="724582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118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Graphic materials</w:t>
            </w:r>
          </w:p>
        </w:tc>
        <w:tc>
          <w:tcPr>
            <w:tcW w:w="8558" w:type="dxa"/>
            <w:shd w:val="clear" w:color="auto" w:fill="auto"/>
            <w:vAlign w:val="center"/>
            <w:hideMark/>
          </w:tcPr>
          <w:p w:rsidR="00EA2492" w:rsidRPr="00F7311D" w:rsidP="00EA2492" w14:paraId="5ABFB54F" w14:textId="16E939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Opaque (e.g., two-dimensional) art originals and reproductions, charts, photographs or materials intended to be projected or viewed without sound, e.g., filmstrips, transparencies, photographs, posters, pictures, radiographs, slides, and collections of such materials [NISO Z39.7-2013, section 4.6] </w:t>
            </w:r>
          </w:p>
        </w:tc>
        <w:tc>
          <w:tcPr>
            <w:tcW w:w="2097" w:type="dxa"/>
            <w:shd w:val="clear" w:color="auto" w:fill="auto"/>
            <w:vAlign w:val="center"/>
            <w:hideMark/>
          </w:tcPr>
          <w:p w:rsidR="00EA2492" w:rsidRPr="00F7311D" w:rsidP="00EA2492" w14:paraId="079B7789" w14:textId="77777777">
            <w:pPr>
              <w:spacing w:after="0" w:line="240" w:lineRule="auto"/>
              <w:rPr>
                <w:rFonts w:ascii="Calibri" w:eastAsia="Times New Roman" w:hAnsi="Calibri" w:cs="Calibri"/>
                <w:color w:val="000000"/>
                <w:sz w:val="18"/>
                <w:szCs w:val="18"/>
              </w:rPr>
            </w:pPr>
          </w:p>
        </w:tc>
      </w:tr>
      <w:tr w14:paraId="53AF9C0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AAAB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 Education Assistance Loan (HEAL)</w:t>
            </w:r>
          </w:p>
        </w:tc>
        <w:tc>
          <w:tcPr>
            <w:tcW w:w="8558" w:type="dxa"/>
            <w:shd w:val="clear" w:color="auto" w:fill="auto"/>
            <w:vAlign w:val="center"/>
            <w:hideMark/>
          </w:tcPr>
          <w:p w:rsidR="00EA2492" w:rsidRPr="00F7311D" w:rsidP="00EA2492" w14:paraId="0181539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Federally insured loans to students attending eligible health professions schools. Section 730 of the Public Health Service Act requires HEAL schools to maintain records on student loans granted under this program.</w:t>
            </w:r>
          </w:p>
        </w:tc>
        <w:tc>
          <w:tcPr>
            <w:tcW w:w="2097" w:type="dxa"/>
            <w:shd w:val="clear" w:color="auto" w:fill="auto"/>
            <w:vAlign w:val="center"/>
            <w:hideMark/>
          </w:tcPr>
          <w:p w:rsidR="00EA2492" w:rsidRPr="00F7311D" w:rsidP="00EA2492" w14:paraId="5970B3D3" w14:textId="77777777">
            <w:pPr>
              <w:spacing w:after="0" w:line="240" w:lineRule="auto"/>
              <w:rPr>
                <w:rFonts w:ascii="Calibri" w:eastAsia="Times New Roman" w:hAnsi="Calibri" w:cs="Calibri"/>
                <w:color w:val="000000"/>
                <w:sz w:val="18"/>
                <w:szCs w:val="18"/>
              </w:rPr>
            </w:pPr>
          </w:p>
        </w:tc>
      </w:tr>
      <w:tr w14:paraId="63A38D2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0210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Healthcare Practitioners and Technical Occupations</w:t>
            </w:r>
          </w:p>
        </w:tc>
        <w:tc>
          <w:tcPr>
            <w:tcW w:w="8558" w:type="dxa"/>
            <w:shd w:val="clear" w:color="auto" w:fill="auto"/>
            <w:vAlign w:val="center"/>
            <w:hideMark/>
          </w:tcPr>
          <w:p w:rsidR="00EA2492" w:rsidRPr="00F7311D" w:rsidP="00EA2492" w14:paraId="51451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'Healthcare Practitioners and Technical Occupations.' For detailed information refer to the following website: https://www.bls.gov/soc/2018/major_groups.htm#29-0000.</w:t>
            </w:r>
          </w:p>
        </w:tc>
        <w:tc>
          <w:tcPr>
            <w:tcW w:w="2097" w:type="dxa"/>
            <w:shd w:val="clear" w:color="auto" w:fill="auto"/>
            <w:vAlign w:val="center"/>
            <w:hideMark/>
          </w:tcPr>
          <w:p w:rsidR="00EA2492" w:rsidRPr="00F7311D" w:rsidP="00EA2492" w14:paraId="61B7CF96" w14:textId="77777777">
            <w:pPr>
              <w:spacing w:after="0" w:line="240" w:lineRule="auto"/>
              <w:rPr>
                <w:rFonts w:ascii="Calibri" w:eastAsia="Times New Roman" w:hAnsi="Calibri" w:cs="Calibri"/>
                <w:color w:val="000000"/>
                <w:sz w:val="18"/>
                <w:szCs w:val="18"/>
              </w:rPr>
            </w:pPr>
          </w:p>
        </w:tc>
      </w:tr>
      <w:tr w14:paraId="566A9CD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6BCF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diploma or recognized equivalent</w:t>
            </w:r>
          </w:p>
        </w:tc>
        <w:tc>
          <w:tcPr>
            <w:tcW w:w="8558" w:type="dxa"/>
            <w:shd w:val="clear" w:color="auto" w:fill="auto"/>
            <w:vAlign w:val="center"/>
            <w:hideMark/>
          </w:tcPr>
          <w:p w:rsidR="00EA2492" w:rsidP="00EA2492" w14:paraId="0DE97B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document certifying the successful completion of a prescribed secondary school program of studies, or any of the following: </w:t>
            </w:r>
          </w:p>
          <w:p w:rsidR="00EA2492" w:rsidP="00EA2492" w14:paraId="24ADE2DD" w14:textId="77777777">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attainment of satisfactory scores on the GED or another state-authorized examination </w:t>
            </w:r>
          </w:p>
          <w:p w:rsidR="00EA2492" w:rsidRPr="00D7256E" w:rsidP="00EA2492" w14:paraId="2A35EF8E" w14:textId="6833C232">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recognized completion of homeschooling at the secondary level as defined by state law </w:t>
            </w:r>
          </w:p>
          <w:p w:rsidR="00EA2492" w:rsidRPr="00D7256E" w:rsidP="00EA2492" w14:paraId="0702D316" w14:textId="4B188F18">
            <w:pPr>
              <w:pStyle w:val="ListParagraph"/>
              <w:numPr>
                <w:ilvl w:val="0"/>
                <w:numId w:val="18"/>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completion of secondary school education in a homeschool setting which qualifies for an exemption from compulsory attendance requirements under state law, if state law does not require a homeschooled student to receive credential for their education</w:t>
            </w:r>
          </w:p>
        </w:tc>
        <w:tc>
          <w:tcPr>
            <w:tcW w:w="2097" w:type="dxa"/>
            <w:shd w:val="clear" w:color="auto" w:fill="auto"/>
            <w:vAlign w:val="center"/>
            <w:hideMark/>
          </w:tcPr>
          <w:p w:rsidR="00EA2492" w:rsidRPr="00F7311D" w:rsidP="00EA2492" w14:paraId="1268B814" w14:textId="77777777">
            <w:pPr>
              <w:spacing w:after="0" w:line="240" w:lineRule="auto"/>
              <w:rPr>
                <w:rFonts w:ascii="Calibri" w:eastAsia="Times New Roman" w:hAnsi="Calibri" w:cs="Calibri"/>
                <w:color w:val="000000"/>
                <w:sz w:val="18"/>
                <w:szCs w:val="18"/>
              </w:rPr>
            </w:pPr>
          </w:p>
        </w:tc>
      </w:tr>
      <w:tr w14:paraId="55ED9D1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110D6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 school student</w:t>
            </w:r>
          </w:p>
        </w:tc>
        <w:tc>
          <w:tcPr>
            <w:tcW w:w="8558" w:type="dxa"/>
            <w:shd w:val="clear" w:color="auto" w:fill="auto"/>
            <w:vAlign w:val="center"/>
            <w:hideMark/>
          </w:tcPr>
          <w:p w:rsidR="00EA2492" w:rsidRPr="00FD4939" w:rsidP="00EA2492" w14:paraId="503BDB98" w14:textId="6889912F">
            <w:pPr>
              <w:spacing w:after="0" w:line="240" w:lineRule="auto"/>
              <w:rPr>
                <w:rFonts w:ascii="Calibri" w:eastAsia="Times New Roman" w:hAnsi="Calibri" w:cs="Calibri"/>
                <w:color w:val="FF0000"/>
                <w:sz w:val="18"/>
                <w:szCs w:val="18"/>
              </w:rPr>
            </w:pPr>
            <w:r w:rsidRPr="00F7311D">
              <w:rPr>
                <w:rFonts w:ascii="Calibri" w:eastAsia="Times New Roman" w:hAnsi="Calibri" w:cs="Calibri"/>
                <w:color w:val="000000"/>
                <w:sz w:val="18"/>
                <w:szCs w:val="18"/>
              </w:rPr>
              <w:t xml:space="preserve">A student </w:t>
            </w:r>
            <w:r w:rsidRPr="002515CF">
              <w:rPr>
                <w:rFonts w:ascii="Calibri" w:eastAsia="Times New Roman" w:hAnsi="Calibri" w:cs="Calibri"/>
                <w:sz w:val="18"/>
                <w:szCs w:val="18"/>
              </w:rPr>
              <w:t>enrolled in secondary school or pursuing a high school diploma or recognized equivalent. Includes students who have not received but are pursuing a high school diploma or recognized equivalent and taking college coursework concurrently. Also includes home-schooled students.</w:t>
            </w:r>
          </w:p>
        </w:tc>
        <w:tc>
          <w:tcPr>
            <w:tcW w:w="2097" w:type="dxa"/>
            <w:shd w:val="clear" w:color="auto" w:fill="auto"/>
            <w:vAlign w:val="center"/>
            <w:hideMark/>
          </w:tcPr>
          <w:p w:rsidR="00EA2492" w:rsidRPr="00F7311D" w:rsidP="00EA2492" w14:paraId="23643262" w14:textId="77777777">
            <w:pPr>
              <w:spacing w:after="0" w:line="240" w:lineRule="auto"/>
              <w:rPr>
                <w:rFonts w:ascii="Calibri" w:eastAsia="Times New Roman" w:hAnsi="Calibri" w:cs="Calibri"/>
                <w:color w:val="000000"/>
                <w:sz w:val="18"/>
                <w:szCs w:val="18"/>
              </w:rPr>
            </w:pPr>
          </w:p>
        </w:tc>
      </w:tr>
      <w:tr w14:paraId="71FB90F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7B12E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General Information Survey (HEGIS)</w:t>
            </w:r>
          </w:p>
        </w:tc>
        <w:tc>
          <w:tcPr>
            <w:tcW w:w="8558" w:type="dxa"/>
            <w:shd w:val="clear" w:color="auto" w:fill="auto"/>
            <w:vAlign w:val="center"/>
            <w:hideMark/>
          </w:tcPr>
          <w:p w:rsidR="00EA2492" w:rsidRPr="00F7311D" w:rsidP="00EA2492" w14:paraId="03489A2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General Information Survey (HEGIS) system was conducted by the NCES between 1966 and 1985. This system was comprised of several surveys of institutions that were accredited at the college level by an agency recognized by the Secretary, U.S. Department of Education. These surveys collected institution-level data on such topics as institutional characteristics, enrollment, degrees conferred, salaries, employees, financial statistics, libraries, and others. HEGIS surveys were sent to approximately 3,400 accredited institutions of higher education.</w:t>
            </w:r>
          </w:p>
        </w:tc>
        <w:tc>
          <w:tcPr>
            <w:tcW w:w="2097" w:type="dxa"/>
            <w:shd w:val="clear" w:color="auto" w:fill="auto"/>
            <w:vAlign w:val="center"/>
            <w:hideMark/>
          </w:tcPr>
          <w:p w:rsidR="00EA2492" w:rsidRPr="00F7311D" w:rsidP="00EA2492" w14:paraId="134FA863" w14:textId="77777777">
            <w:pPr>
              <w:spacing w:after="0" w:line="240" w:lineRule="auto"/>
              <w:rPr>
                <w:rFonts w:ascii="Calibri" w:eastAsia="Times New Roman" w:hAnsi="Calibri" w:cs="Calibri"/>
                <w:color w:val="000000"/>
                <w:sz w:val="18"/>
                <w:szCs w:val="18"/>
              </w:rPr>
            </w:pPr>
          </w:p>
        </w:tc>
      </w:tr>
      <w:tr w14:paraId="1FE00EE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F6458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 (old definition)</w:t>
            </w:r>
          </w:p>
        </w:tc>
        <w:tc>
          <w:tcPr>
            <w:tcW w:w="8558" w:type="dxa"/>
            <w:shd w:val="clear" w:color="auto" w:fill="auto"/>
            <w:vAlign w:val="center"/>
            <w:hideMark/>
          </w:tcPr>
          <w:p w:rsidR="00EA2492" w:rsidRPr="00F7311D" w:rsidP="00EA2492" w14:paraId="34D528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Mexican, Puerto Rican, Cuban, Central or South American or other Spanish culture or origin, regardless of race.</w:t>
            </w:r>
          </w:p>
        </w:tc>
        <w:tc>
          <w:tcPr>
            <w:tcW w:w="2097" w:type="dxa"/>
            <w:shd w:val="clear" w:color="auto" w:fill="auto"/>
            <w:vAlign w:val="center"/>
            <w:hideMark/>
          </w:tcPr>
          <w:p w:rsidR="00EA2492" w:rsidRPr="00F7311D" w:rsidP="00EA2492" w14:paraId="708455E4" w14:textId="77777777">
            <w:pPr>
              <w:spacing w:after="0" w:line="240" w:lineRule="auto"/>
              <w:rPr>
                <w:rFonts w:ascii="Calibri" w:eastAsia="Times New Roman" w:hAnsi="Calibri" w:cs="Calibri"/>
                <w:color w:val="000000"/>
                <w:sz w:val="18"/>
                <w:szCs w:val="18"/>
              </w:rPr>
            </w:pPr>
          </w:p>
        </w:tc>
      </w:tr>
      <w:tr w14:paraId="13BADE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3DBBE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Hispanic/Latino</w:t>
            </w:r>
          </w:p>
        </w:tc>
        <w:tc>
          <w:tcPr>
            <w:tcW w:w="8558" w:type="dxa"/>
            <w:shd w:val="clear" w:color="auto" w:fill="auto"/>
            <w:vAlign w:val="center"/>
            <w:hideMark/>
          </w:tcPr>
          <w:p w:rsidR="00EA2492" w:rsidRPr="00F7311D" w:rsidP="00EA2492" w14:paraId="001D7D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of Cuban, Mexican, Puerto Rican, South or Central American, or other Spanish culture or origin, regardless of race.</w:t>
            </w:r>
          </w:p>
        </w:tc>
        <w:tc>
          <w:tcPr>
            <w:tcW w:w="2097" w:type="dxa"/>
            <w:shd w:val="clear" w:color="auto" w:fill="auto"/>
            <w:vAlign w:val="center"/>
            <w:hideMark/>
          </w:tcPr>
          <w:p w:rsidR="00EA2492" w:rsidRPr="00F7311D" w:rsidP="00EA2492" w14:paraId="06700D4C" w14:textId="77777777">
            <w:pPr>
              <w:spacing w:after="0" w:line="240" w:lineRule="auto"/>
              <w:rPr>
                <w:rFonts w:ascii="Calibri" w:eastAsia="Times New Roman" w:hAnsi="Calibri" w:cs="Calibri"/>
                <w:color w:val="000000"/>
                <w:sz w:val="18"/>
                <w:szCs w:val="18"/>
              </w:rPr>
            </w:pPr>
          </w:p>
        </w:tc>
      </w:tr>
      <w:tr w14:paraId="498EA00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FE4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Historically Black Colleges and Universities (HBCU)</w:t>
            </w:r>
          </w:p>
        </w:tc>
        <w:tc>
          <w:tcPr>
            <w:tcW w:w="8558" w:type="dxa"/>
            <w:shd w:val="clear" w:color="auto" w:fill="auto"/>
            <w:vAlign w:val="center"/>
            <w:hideMark/>
          </w:tcPr>
          <w:p w:rsidR="00EA2492" w:rsidRPr="00F7311D" w:rsidP="00EA2492" w14:paraId="6F5632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Federal regulations (20 USC 1061 (2)) allow for certain exceptions to the founding date.</w:t>
            </w:r>
          </w:p>
        </w:tc>
        <w:tc>
          <w:tcPr>
            <w:tcW w:w="2097" w:type="dxa"/>
            <w:shd w:val="clear" w:color="auto" w:fill="auto"/>
            <w:vAlign w:val="center"/>
            <w:hideMark/>
          </w:tcPr>
          <w:p w:rsidR="00EA2492" w:rsidRPr="00F7311D" w:rsidP="00EA2492" w14:paraId="58C99CBB" w14:textId="77777777">
            <w:pPr>
              <w:spacing w:after="0" w:line="240" w:lineRule="auto"/>
              <w:rPr>
                <w:rFonts w:ascii="Calibri" w:eastAsia="Times New Roman" w:hAnsi="Calibri" w:cs="Calibri"/>
                <w:color w:val="000000"/>
                <w:sz w:val="18"/>
                <w:szCs w:val="18"/>
              </w:rPr>
            </w:pPr>
          </w:p>
        </w:tc>
      </w:tr>
      <w:tr w14:paraId="71571A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9D19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Home study</w:t>
            </w:r>
          </w:p>
        </w:tc>
        <w:tc>
          <w:tcPr>
            <w:tcW w:w="8558" w:type="dxa"/>
            <w:shd w:val="clear" w:color="auto" w:fill="auto"/>
            <w:vAlign w:val="center"/>
            <w:hideMark/>
          </w:tcPr>
          <w:p w:rsidR="00EA2492" w:rsidRPr="00F7311D" w:rsidP="00EA2492" w14:paraId="48EF27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Method of instruction designed for students who live at a distance from the teaching institution. Instructional materials are provided to the student through various media with structured units of information, assigned </w:t>
            </w:r>
            <w:r w:rsidRPr="00F7311D">
              <w:rPr>
                <w:rFonts w:ascii="Calibri" w:eastAsia="Times New Roman" w:hAnsi="Calibri" w:cs="Calibri"/>
                <w:color w:val="000000"/>
                <w:sz w:val="18"/>
                <w:szCs w:val="18"/>
              </w:rPr>
              <w:t>exercises for practice, and examinations to measure achievement, which in turn are submitted to the teaching institution for evaluation, grade assignment, and the awarding of credit.</w:t>
            </w:r>
          </w:p>
        </w:tc>
        <w:tc>
          <w:tcPr>
            <w:tcW w:w="2097" w:type="dxa"/>
            <w:shd w:val="clear" w:color="auto" w:fill="auto"/>
            <w:vAlign w:val="center"/>
            <w:hideMark/>
          </w:tcPr>
          <w:p w:rsidR="00EA2492" w:rsidRPr="00F7311D" w:rsidP="00EA2492" w14:paraId="19D73D4B" w14:textId="77777777">
            <w:pPr>
              <w:spacing w:after="0" w:line="240" w:lineRule="auto"/>
              <w:rPr>
                <w:rFonts w:ascii="Calibri" w:eastAsia="Times New Roman" w:hAnsi="Calibri" w:cs="Calibri"/>
                <w:color w:val="000000"/>
                <w:sz w:val="18"/>
                <w:szCs w:val="18"/>
              </w:rPr>
            </w:pPr>
          </w:p>
        </w:tc>
      </w:tr>
      <w:tr w14:paraId="711CC6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ADBD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 services</w:t>
            </w:r>
          </w:p>
        </w:tc>
        <w:tc>
          <w:tcPr>
            <w:tcW w:w="8558" w:type="dxa"/>
            <w:shd w:val="clear" w:color="auto" w:fill="auto"/>
            <w:vAlign w:val="center"/>
            <w:hideMark/>
          </w:tcPr>
          <w:p w:rsidR="00EA2492" w:rsidRPr="00F7311D" w:rsidP="00EA2492" w14:paraId="655C88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a hospital operated by the postsecondary institution (but not as a component unit) and reported as a part of the institution. This classification includes nursing expenses, other professional services, general services, administrative services, and fiscal services. Also included are information technology expenses, actual or allocated costs for operation and maintenance of plant, interest and depreciation related to hospital capital assets.</w:t>
            </w:r>
          </w:p>
        </w:tc>
        <w:tc>
          <w:tcPr>
            <w:tcW w:w="2097" w:type="dxa"/>
            <w:shd w:val="clear" w:color="auto" w:fill="auto"/>
            <w:vAlign w:val="center"/>
            <w:hideMark/>
          </w:tcPr>
          <w:p w:rsidR="00EA2492" w:rsidRPr="00F7311D" w:rsidP="00EA2492" w14:paraId="29EFD721" w14:textId="77777777">
            <w:pPr>
              <w:spacing w:after="0" w:line="240" w:lineRule="auto"/>
              <w:rPr>
                <w:rFonts w:ascii="Calibri" w:eastAsia="Times New Roman" w:hAnsi="Calibri" w:cs="Calibri"/>
                <w:color w:val="000000"/>
                <w:sz w:val="18"/>
                <w:szCs w:val="18"/>
              </w:rPr>
            </w:pPr>
          </w:p>
        </w:tc>
      </w:tr>
      <w:tr w14:paraId="50ECF48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EAD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Hospitals (revenues)</w:t>
            </w:r>
          </w:p>
        </w:tc>
        <w:tc>
          <w:tcPr>
            <w:tcW w:w="8558" w:type="dxa"/>
            <w:shd w:val="clear" w:color="auto" w:fill="auto"/>
            <w:vAlign w:val="center"/>
            <w:hideMark/>
          </w:tcPr>
          <w:p w:rsidR="00EA2492" w:rsidRPr="00F7311D" w:rsidP="00EA2492" w14:paraId="082FF527" w14:textId="007DCC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generated by a hospital operated by the postsecondary institution. Includes gifts, grants, appropriations, research revenues, endowment income, and revenues of health clinics that are part of the hospital unless such clinics are part of the student health services program. Sales and service revenues are included net of patient contractual allowances. Revenues associated with the medical school are included elsewhere. Also includes all amounts appropriated by governments (federal, state, local) for the operation of hospitals.</w:t>
            </w:r>
          </w:p>
        </w:tc>
        <w:tc>
          <w:tcPr>
            <w:tcW w:w="2097" w:type="dxa"/>
            <w:shd w:val="clear" w:color="auto" w:fill="auto"/>
            <w:vAlign w:val="center"/>
            <w:hideMark/>
          </w:tcPr>
          <w:p w:rsidR="00EA2492" w:rsidRPr="00F7311D" w:rsidP="00EA2492" w14:paraId="32DC8527" w14:textId="77777777">
            <w:pPr>
              <w:spacing w:after="0" w:line="240" w:lineRule="auto"/>
              <w:rPr>
                <w:rFonts w:ascii="Calibri" w:eastAsia="Times New Roman" w:hAnsi="Calibri" w:cs="Calibri"/>
                <w:color w:val="000000"/>
                <w:sz w:val="18"/>
                <w:szCs w:val="18"/>
              </w:rPr>
            </w:pPr>
          </w:p>
        </w:tc>
      </w:tr>
      <w:tr w14:paraId="200733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D6E6E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capacity</w:t>
            </w:r>
          </w:p>
        </w:tc>
        <w:tc>
          <w:tcPr>
            <w:tcW w:w="8558" w:type="dxa"/>
            <w:shd w:val="clear" w:color="auto" w:fill="auto"/>
            <w:vAlign w:val="center"/>
            <w:hideMark/>
          </w:tcPr>
          <w:p w:rsidR="00EA2492" w:rsidRPr="00F7311D" w:rsidP="00EA2492" w14:paraId="008C8E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maximum number of students for which an institution can provide residential facilities, whether on or off campus.</w:t>
            </w:r>
          </w:p>
        </w:tc>
        <w:tc>
          <w:tcPr>
            <w:tcW w:w="2097" w:type="dxa"/>
            <w:shd w:val="clear" w:color="auto" w:fill="auto"/>
            <w:vAlign w:val="center"/>
            <w:hideMark/>
          </w:tcPr>
          <w:p w:rsidR="00EA2492" w:rsidRPr="00F7311D" w:rsidP="00EA2492" w14:paraId="2B456382" w14:textId="77777777">
            <w:pPr>
              <w:spacing w:after="0" w:line="240" w:lineRule="auto"/>
              <w:rPr>
                <w:rFonts w:ascii="Calibri" w:eastAsia="Times New Roman" w:hAnsi="Calibri" w:cs="Calibri"/>
                <w:color w:val="000000"/>
                <w:sz w:val="18"/>
                <w:szCs w:val="18"/>
              </w:rPr>
            </w:pPr>
          </w:p>
        </w:tc>
      </w:tr>
      <w:tr w14:paraId="738CC0E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40D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Housing plan (restricted)</w:t>
            </w:r>
          </w:p>
        </w:tc>
        <w:tc>
          <w:tcPr>
            <w:tcW w:w="8558" w:type="dxa"/>
            <w:shd w:val="clear" w:color="auto" w:fill="auto"/>
            <w:vAlign w:val="center"/>
            <w:hideMark/>
          </w:tcPr>
          <w:p w:rsidR="00EA2492" w:rsidRPr="00F7311D" w:rsidP="00EA2492" w14:paraId="048851C8" w14:textId="3F80EE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fringe benefit that restricts beneficiaries to receive housing support only in institution-owned housing. Term used prior to 2011-12 in the Human Resources component.</w:t>
            </w:r>
          </w:p>
        </w:tc>
        <w:tc>
          <w:tcPr>
            <w:tcW w:w="2097" w:type="dxa"/>
            <w:shd w:val="clear" w:color="auto" w:fill="auto"/>
            <w:vAlign w:val="center"/>
            <w:hideMark/>
          </w:tcPr>
          <w:p w:rsidR="00EA2492" w:rsidRPr="00F7311D" w:rsidP="00EA2492" w14:paraId="7CB62A96" w14:textId="77777777">
            <w:pPr>
              <w:spacing w:after="0" w:line="240" w:lineRule="auto"/>
              <w:rPr>
                <w:rFonts w:ascii="Calibri" w:eastAsia="Times New Roman" w:hAnsi="Calibri" w:cs="Calibri"/>
                <w:color w:val="000000"/>
                <w:sz w:val="18"/>
                <w:szCs w:val="18"/>
              </w:rPr>
            </w:pPr>
          </w:p>
        </w:tc>
      </w:tr>
      <w:tr w14:paraId="1A2AB0A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D0C32A" w14:textId="4538A4C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Human </w:t>
            </w:r>
            <w:r w:rsidR="0024656C">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esources (HR)</w:t>
            </w:r>
          </w:p>
        </w:tc>
        <w:tc>
          <w:tcPr>
            <w:tcW w:w="8558" w:type="dxa"/>
            <w:shd w:val="clear" w:color="auto" w:fill="auto"/>
            <w:vAlign w:val="center"/>
            <w:hideMark/>
          </w:tcPr>
          <w:p w:rsidR="00EA2492" w:rsidRPr="00F7311D" w:rsidP="00EA2492" w14:paraId="58DC2874" w14:textId="41A303EC">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This </w:t>
            </w:r>
            <w:r w:rsidRPr="008878BA" w:rsidR="00761519">
              <w:rPr>
                <w:rFonts w:ascii="Calibri" w:eastAsia="Times New Roman" w:hAnsi="Calibri" w:cs="Calibri"/>
                <w:sz w:val="18"/>
                <w:szCs w:val="18"/>
              </w:rPr>
              <w:t xml:space="preserve">IPEDS survey </w:t>
            </w:r>
            <w:r w:rsidRPr="008878BA">
              <w:rPr>
                <w:rFonts w:ascii="Calibri" w:eastAsia="Times New Roman" w:hAnsi="Calibri" w:cs="Calibri"/>
                <w:sz w:val="18"/>
                <w:szCs w:val="18"/>
              </w:rPr>
              <w:t>component was formed in 2006 by combining three previously separate components: Employees by Assigned Position (EAP), Fall Staff (S), and Salaries (SA). This was done to avoid (or at least reduce) conflicting data which had occurred when collected separately. The information collected has remained basically the same. The fall staff data was collected biennially in odd-numbered years prior to 2016-17 but is now collected annually similar to the other HR components</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1108D045" w14:textId="77777777">
            <w:pPr>
              <w:spacing w:after="0" w:line="240" w:lineRule="auto"/>
              <w:rPr>
                <w:rFonts w:ascii="Calibri" w:eastAsia="Times New Roman" w:hAnsi="Calibri" w:cs="Calibri"/>
                <w:color w:val="000000"/>
                <w:sz w:val="18"/>
                <w:szCs w:val="18"/>
              </w:rPr>
            </w:pPr>
          </w:p>
        </w:tc>
      </w:tr>
      <w:tr w14:paraId="6382951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2C792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w:t>
            </w:r>
          </w:p>
        </w:tc>
        <w:tc>
          <w:tcPr>
            <w:tcW w:w="8558" w:type="dxa"/>
            <w:shd w:val="clear" w:color="auto" w:fill="auto"/>
            <w:vAlign w:val="center"/>
            <w:hideMark/>
          </w:tcPr>
          <w:p w:rsidR="00EA2492" w:rsidRPr="00F7311D" w:rsidP="00EA2492" w14:paraId="6D3988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method of estimating data for an entity that did not respond to a data item or survey.</w:t>
            </w:r>
          </w:p>
        </w:tc>
        <w:tc>
          <w:tcPr>
            <w:tcW w:w="2097" w:type="dxa"/>
            <w:shd w:val="clear" w:color="auto" w:fill="auto"/>
            <w:vAlign w:val="center"/>
            <w:hideMark/>
          </w:tcPr>
          <w:p w:rsidR="00EA2492" w:rsidRPr="00F7311D" w:rsidP="00EA2492" w14:paraId="53404421" w14:textId="77777777">
            <w:pPr>
              <w:spacing w:after="0" w:line="240" w:lineRule="auto"/>
              <w:rPr>
                <w:rFonts w:ascii="Calibri" w:eastAsia="Times New Roman" w:hAnsi="Calibri" w:cs="Calibri"/>
                <w:color w:val="000000"/>
                <w:sz w:val="18"/>
                <w:szCs w:val="18"/>
              </w:rPr>
            </w:pPr>
          </w:p>
        </w:tc>
      </w:tr>
      <w:tr w14:paraId="7E3BE3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9F1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Imputation flag</w:t>
            </w:r>
          </w:p>
        </w:tc>
        <w:tc>
          <w:tcPr>
            <w:tcW w:w="8558" w:type="dxa"/>
            <w:shd w:val="clear" w:color="auto" w:fill="auto"/>
            <w:vAlign w:val="center"/>
            <w:hideMark/>
          </w:tcPr>
          <w:p w:rsidR="00EA2492" w:rsidRPr="00F7311D" w:rsidP="00EA2492" w14:paraId="28F3E7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indicator on a data file that shows whether or not the data was imputed for a specific variable.</w:t>
            </w:r>
          </w:p>
        </w:tc>
        <w:tc>
          <w:tcPr>
            <w:tcW w:w="2097" w:type="dxa"/>
            <w:shd w:val="clear" w:color="auto" w:fill="auto"/>
            <w:vAlign w:val="center"/>
            <w:hideMark/>
          </w:tcPr>
          <w:p w:rsidR="00EA2492" w:rsidRPr="00F7311D" w:rsidP="00EA2492" w14:paraId="2FFC5454" w14:textId="77777777">
            <w:pPr>
              <w:spacing w:after="0" w:line="240" w:lineRule="auto"/>
              <w:rPr>
                <w:rFonts w:ascii="Calibri" w:eastAsia="Times New Roman" w:hAnsi="Calibri" w:cs="Calibri"/>
                <w:color w:val="000000"/>
                <w:sz w:val="18"/>
                <w:szCs w:val="18"/>
              </w:rPr>
            </w:pPr>
          </w:p>
        </w:tc>
      </w:tr>
      <w:tr w14:paraId="1F47CB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9635B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student</w:t>
            </w:r>
          </w:p>
        </w:tc>
        <w:tc>
          <w:tcPr>
            <w:tcW w:w="8558" w:type="dxa"/>
            <w:shd w:val="clear" w:color="auto" w:fill="auto"/>
            <w:vAlign w:val="center"/>
            <w:hideMark/>
          </w:tcPr>
          <w:p w:rsidR="00EA2492" w:rsidRPr="00F7311D" w:rsidP="00EA2492" w14:paraId="4F96EF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locality in which he/she attends school and thus is entitled to reduced tuition charges if offered by the institution.</w:t>
            </w:r>
          </w:p>
        </w:tc>
        <w:tc>
          <w:tcPr>
            <w:tcW w:w="2097" w:type="dxa"/>
            <w:shd w:val="clear" w:color="auto" w:fill="auto"/>
            <w:vAlign w:val="center"/>
            <w:hideMark/>
          </w:tcPr>
          <w:p w:rsidR="00EA2492" w:rsidRPr="00F7311D" w:rsidP="00EA2492" w14:paraId="6C80ABB2" w14:textId="77777777">
            <w:pPr>
              <w:spacing w:after="0" w:line="240" w:lineRule="auto"/>
              <w:rPr>
                <w:rFonts w:ascii="Calibri" w:eastAsia="Times New Roman" w:hAnsi="Calibri" w:cs="Calibri"/>
                <w:color w:val="000000"/>
                <w:sz w:val="18"/>
                <w:szCs w:val="18"/>
              </w:rPr>
            </w:pPr>
          </w:p>
        </w:tc>
      </w:tr>
      <w:tr w14:paraId="08BBF77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04816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In-district tuition</w:t>
            </w:r>
          </w:p>
        </w:tc>
        <w:tc>
          <w:tcPr>
            <w:tcW w:w="8558" w:type="dxa"/>
            <w:shd w:val="clear" w:color="auto" w:fill="auto"/>
            <w:vAlign w:val="center"/>
            <w:hideMark/>
          </w:tcPr>
          <w:p w:rsidR="00EA2492" w:rsidRPr="00F7311D" w:rsidP="00EA2492" w14:paraId="089B41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the institution to those students residing in the locality in which they attend school. This may be a lower rate than in-state tuition if offered by the institution.</w:t>
            </w:r>
          </w:p>
        </w:tc>
        <w:tc>
          <w:tcPr>
            <w:tcW w:w="2097" w:type="dxa"/>
            <w:shd w:val="clear" w:color="auto" w:fill="auto"/>
            <w:vAlign w:val="center"/>
            <w:hideMark/>
          </w:tcPr>
          <w:p w:rsidR="00EA2492" w:rsidRPr="00F7311D" w:rsidP="00EA2492" w14:paraId="471EEECD" w14:textId="77777777">
            <w:pPr>
              <w:spacing w:after="0" w:line="240" w:lineRule="auto"/>
              <w:rPr>
                <w:rFonts w:ascii="Calibri" w:eastAsia="Times New Roman" w:hAnsi="Calibri" w:cs="Calibri"/>
                <w:color w:val="000000"/>
                <w:sz w:val="18"/>
                <w:szCs w:val="18"/>
              </w:rPr>
            </w:pPr>
          </w:p>
        </w:tc>
      </w:tr>
      <w:tr w14:paraId="47D1FD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E10F3D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student</w:t>
            </w:r>
          </w:p>
        </w:tc>
        <w:tc>
          <w:tcPr>
            <w:tcW w:w="8558" w:type="dxa"/>
            <w:shd w:val="clear" w:color="auto" w:fill="auto"/>
            <w:vAlign w:val="center"/>
            <w:hideMark/>
          </w:tcPr>
          <w:p w:rsidR="00EA2492" w:rsidRPr="00F7311D" w:rsidP="00EA2492" w14:paraId="5B6712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a legal resident of the state in which he/she attends school.</w:t>
            </w:r>
          </w:p>
        </w:tc>
        <w:tc>
          <w:tcPr>
            <w:tcW w:w="2097" w:type="dxa"/>
            <w:shd w:val="clear" w:color="auto" w:fill="auto"/>
            <w:vAlign w:val="center"/>
            <w:hideMark/>
          </w:tcPr>
          <w:p w:rsidR="00EA2492" w:rsidRPr="00F7311D" w:rsidP="00EA2492" w14:paraId="1C35678B" w14:textId="77777777">
            <w:pPr>
              <w:spacing w:after="0" w:line="240" w:lineRule="auto"/>
              <w:rPr>
                <w:rFonts w:ascii="Calibri" w:eastAsia="Times New Roman" w:hAnsi="Calibri" w:cs="Calibri"/>
                <w:color w:val="000000"/>
                <w:sz w:val="18"/>
                <w:szCs w:val="18"/>
              </w:rPr>
            </w:pPr>
          </w:p>
        </w:tc>
      </w:tr>
      <w:tr w14:paraId="3D7986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0999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In-state tuition</w:t>
            </w:r>
          </w:p>
        </w:tc>
        <w:tc>
          <w:tcPr>
            <w:tcW w:w="8558" w:type="dxa"/>
            <w:shd w:val="clear" w:color="auto" w:fill="auto"/>
            <w:vAlign w:val="center"/>
            <w:hideMark/>
          </w:tcPr>
          <w:p w:rsidR="00EA2492" w:rsidRPr="00F7311D" w:rsidP="00EA2492" w14:paraId="3143F5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institutions to those students who meet the state's or institution's residency requirements.</w:t>
            </w:r>
          </w:p>
        </w:tc>
        <w:tc>
          <w:tcPr>
            <w:tcW w:w="2097" w:type="dxa"/>
            <w:shd w:val="clear" w:color="auto" w:fill="auto"/>
            <w:vAlign w:val="center"/>
            <w:hideMark/>
          </w:tcPr>
          <w:p w:rsidR="00EA2492" w:rsidRPr="00F7311D" w:rsidP="00EA2492" w14:paraId="17269046" w14:textId="77777777">
            <w:pPr>
              <w:spacing w:after="0" w:line="240" w:lineRule="auto"/>
              <w:rPr>
                <w:rFonts w:ascii="Calibri" w:eastAsia="Times New Roman" w:hAnsi="Calibri" w:cs="Calibri"/>
                <w:color w:val="000000"/>
                <w:sz w:val="18"/>
                <w:szCs w:val="18"/>
              </w:rPr>
            </w:pPr>
          </w:p>
        </w:tc>
      </w:tr>
      <w:tr w14:paraId="5AFF9F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1F2C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tax</w:t>
            </w:r>
          </w:p>
        </w:tc>
        <w:tc>
          <w:tcPr>
            <w:tcW w:w="8558" w:type="dxa"/>
            <w:shd w:val="clear" w:color="auto" w:fill="auto"/>
            <w:vAlign w:val="center"/>
            <w:hideMark/>
          </w:tcPr>
          <w:p w:rsidR="00EA2492" w:rsidRPr="00F7311D" w:rsidP="00EA2492" w14:paraId="190569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Domestic and foreign federal (national), state, and local (including franchise) taxes based on income.</w:t>
            </w:r>
          </w:p>
        </w:tc>
        <w:tc>
          <w:tcPr>
            <w:tcW w:w="2097" w:type="dxa"/>
            <w:shd w:val="clear" w:color="auto" w:fill="auto"/>
            <w:vAlign w:val="center"/>
            <w:hideMark/>
          </w:tcPr>
          <w:p w:rsidR="00EA2492" w:rsidRPr="00F7311D" w:rsidP="00EA2492" w14:paraId="7FA43E86" w14:textId="77777777">
            <w:pPr>
              <w:spacing w:after="0" w:line="240" w:lineRule="auto"/>
              <w:rPr>
                <w:rFonts w:ascii="Calibri" w:eastAsia="Times New Roman" w:hAnsi="Calibri" w:cs="Calibri"/>
                <w:color w:val="000000"/>
                <w:sz w:val="18"/>
                <w:szCs w:val="18"/>
              </w:rPr>
            </w:pPr>
          </w:p>
        </w:tc>
      </w:tr>
      <w:tr w14:paraId="4D3CF2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8F3A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Indebtedness on capital assets</w:t>
            </w:r>
          </w:p>
        </w:tc>
        <w:tc>
          <w:tcPr>
            <w:tcW w:w="8558" w:type="dxa"/>
            <w:shd w:val="clear" w:color="auto" w:fill="auto"/>
            <w:vAlign w:val="center"/>
            <w:hideMark/>
          </w:tcPr>
          <w:p w:rsidR="00EA2492" w:rsidRPr="00F7311D" w:rsidP="00EA2492" w14:paraId="60BC299C" w14:textId="25DA5A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 associated with the debt incurred in financing the institution's capital assets, including bonds, mortgages, notes, capital leases, and any other outstanding debt that was incurred to acquire, construct, or improve capital assets. Indebtedness issued and backed by the state government and that will be repaid by the state from sources other than institutional funds are excluded.</w:t>
            </w:r>
          </w:p>
        </w:tc>
        <w:tc>
          <w:tcPr>
            <w:tcW w:w="2097" w:type="dxa"/>
            <w:shd w:val="clear" w:color="auto" w:fill="auto"/>
            <w:vAlign w:val="center"/>
            <w:hideMark/>
          </w:tcPr>
          <w:p w:rsidR="00EA2492" w:rsidRPr="00F7311D" w:rsidP="00EA2492" w14:paraId="2D9521C3" w14:textId="77777777">
            <w:pPr>
              <w:spacing w:after="0" w:line="240" w:lineRule="auto"/>
              <w:rPr>
                <w:rFonts w:ascii="Calibri" w:eastAsia="Times New Roman" w:hAnsi="Calibri" w:cs="Calibri"/>
                <w:color w:val="000000"/>
                <w:sz w:val="18"/>
                <w:szCs w:val="18"/>
              </w:rPr>
            </w:pPr>
          </w:p>
        </w:tc>
      </w:tr>
      <w:tr w14:paraId="3D942C7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2B6A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Indefinite duration (continuing or at-will) contract or employment agreement</w:t>
            </w:r>
          </w:p>
        </w:tc>
        <w:tc>
          <w:tcPr>
            <w:tcW w:w="8558" w:type="dxa"/>
            <w:shd w:val="clear" w:color="auto" w:fill="auto"/>
            <w:vAlign w:val="center"/>
            <w:hideMark/>
          </w:tcPr>
          <w:p w:rsidR="00EA2492" w:rsidRPr="00F7311D" w:rsidP="00EA2492" w14:paraId="3A9F97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has an indefinite duration (continuing, at-will).</w:t>
            </w:r>
          </w:p>
        </w:tc>
        <w:tc>
          <w:tcPr>
            <w:tcW w:w="2097" w:type="dxa"/>
            <w:shd w:val="clear" w:color="auto" w:fill="auto"/>
            <w:vAlign w:val="center"/>
            <w:hideMark/>
          </w:tcPr>
          <w:p w:rsidR="00EA2492" w:rsidRPr="00F7311D" w:rsidP="00EA2492" w14:paraId="1779FAB8" w14:textId="77777777">
            <w:pPr>
              <w:spacing w:after="0" w:line="240" w:lineRule="auto"/>
              <w:rPr>
                <w:rFonts w:ascii="Calibri" w:eastAsia="Times New Roman" w:hAnsi="Calibri" w:cs="Calibri"/>
                <w:color w:val="000000"/>
                <w:sz w:val="18"/>
                <w:szCs w:val="18"/>
              </w:rPr>
            </w:pPr>
          </w:p>
        </w:tc>
      </w:tr>
      <w:tr w14:paraId="564D35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7B1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w:t>
            </w:r>
          </w:p>
        </w:tc>
        <w:tc>
          <w:tcPr>
            <w:tcW w:w="8558" w:type="dxa"/>
            <w:shd w:val="clear" w:color="auto" w:fill="auto"/>
            <w:vAlign w:val="center"/>
            <w:hideMark/>
          </w:tcPr>
          <w:p w:rsidR="00EA2492" w:rsidRPr="00F7311D" w:rsidP="00EA2492" w14:paraId="243B73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Expenses associated with operations that are independent of or unrelated to the primary missions of the institution (i.e., instruction, research, public service) although they may contribute indirectly to the enhancement of these programs. This category is generally limited to expenses of a major federally funded research and development center. Also includes information technology expenses, actual or allocated costs for operation and maintenance of plant, interest and depreciation related to the independent operations. Expenses of operations owned and managed as investments of the institution's endowment funds are excluded.</w:t>
            </w:r>
          </w:p>
        </w:tc>
        <w:tc>
          <w:tcPr>
            <w:tcW w:w="2097" w:type="dxa"/>
            <w:shd w:val="clear" w:color="auto" w:fill="auto"/>
            <w:vAlign w:val="center"/>
            <w:hideMark/>
          </w:tcPr>
          <w:p w:rsidR="00EA2492" w:rsidRPr="00F7311D" w:rsidP="00EA2492" w14:paraId="17D80BE6" w14:textId="77777777">
            <w:pPr>
              <w:spacing w:after="0" w:line="240" w:lineRule="auto"/>
              <w:rPr>
                <w:rFonts w:ascii="Calibri" w:eastAsia="Times New Roman" w:hAnsi="Calibri" w:cs="Calibri"/>
                <w:color w:val="000000"/>
                <w:sz w:val="18"/>
                <w:szCs w:val="18"/>
              </w:rPr>
            </w:pPr>
          </w:p>
        </w:tc>
      </w:tr>
      <w:tr w14:paraId="299F3D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0FD2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Independent operations (revenues)</w:t>
            </w:r>
          </w:p>
        </w:tc>
        <w:tc>
          <w:tcPr>
            <w:tcW w:w="8558" w:type="dxa"/>
            <w:shd w:val="clear" w:color="auto" w:fill="auto"/>
            <w:vAlign w:val="center"/>
            <w:hideMark/>
          </w:tcPr>
          <w:p w:rsidR="00EA2492" w:rsidRPr="00F7311D" w:rsidP="00EA2492" w14:paraId="590C9235" w14:textId="0D012D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Revenues associated with operations independent of or unrelated to the primary missions of the institution (i.e., instruction, research, public service) although they may contribute indirectly to the enhancement of these programs. Generally includes only those revenues associated with major federally funded research and </w:t>
            </w:r>
            <w:r w:rsidRPr="00F7311D">
              <w:rPr>
                <w:rFonts w:ascii="Calibri" w:eastAsia="Times New Roman" w:hAnsi="Calibri" w:cs="Calibri"/>
                <w:color w:val="000000"/>
                <w:sz w:val="18"/>
                <w:szCs w:val="18"/>
              </w:rPr>
              <w:t>development centers. Net profit (or loss) from operations owned and managed as investments of the institution's endowment funds is excluded.</w:t>
            </w:r>
          </w:p>
        </w:tc>
        <w:tc>
          <w:tcPr>
            <w:tcW w:w="2097" w:type="dxa"/>
            <w:shd w:val="clear" w:color="auto" w:fill="auto"/>
            <w:vAlign w:val="center"/>
            <w:hideMark/>
          </w:tcPr>
          <w:p w:rsidR="00EA2492" w:rsidRPr="00F7311D" w:rsidP="00EA2492" w14:paraId="5251DD2F" w14:textId="77777777">
            <w:pPr>
              <w:spacing w:after="0" w:line="240" w:lineRule="auto"/>
              <w:rPr>
                <w:rFonts w:ascii="Calibri" w:eastAsia="Times New Roman" w:hAnsi="Calibri" w:cs="Calibri"/>
                <w:color w:val="000000"/>
                <w:sz w:val="18"/>
                <w:szCs w:val="18"/>
              </w:rPr>
            </w:pPr>
          </w:p>
        </w:tc>
      </w:tr>
      <w:tr w14:paraId="2510161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0440E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Infrastructure</w:t>
            </w:r>
          </w:p>
        </w:tc>
        <w:tc>
          <w:tcPr>
            <w:tcW w:w="8558" w:type="dxa"/>
            <w:shd w:val="clear" w:color="auto" w:fill="auto"/>
            <w:vAlign w:val="center"/>
            <w:hideMark/>
          </w:tcPr>
          <w:p w:rsidR="00EA2492" w:rsidRPr="00F7311D" w:rsidP="00EA2492" w14:paraId="073AFA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Capital assets consisting of roads, bridges, drainage systems, water and sewer systems, and other similar assets. Infrastructure assets usually have longer useful lives than other capital assets such as buildings.</w:t>
            </w:r>
          </w:p>
        </w:tc>
        <w:tc>
          <w:tcPr>
            <w:tcW w:w="2097" w:type="dxa"/>
            <w:shd w:val="clear" w:color="auto" w:fill="auto"/>
            <w:vAlign w:val="center"/>
            <w:hideMark/>
          </w:tcPr>
          <w:p w:rsidR="00EA2492" w:rsidRPr="00F7311D" w:rsidP="00EA2492" w14:paraId="7CBACB24" w14:textId="77777777">
            <w:pPr>
              <w:spacing w:after="0" w:line="240" w:lineRule="auto"/>
              <w:rPr>
                <w:rFonts w:ascii="Calibri" w:eastAsia="Times New Roman" w:hAnsi="Calibri" w:cs="Calibri"/>
                <w:color w:val="000000"/>
                <w:sz w:val="18"/>
                <w:szCs w:val="18"/>
              </w:rPr>
            </w:pPr>
          </w:p>
        </w:tc>
      </w:tr>
      <w:tr w14:paraId="6FFA44E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2D68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w:t>
            </w:r>
          </w:p>
        </w:tc>
        <w:tc>
          <w:tcPr>
            <w:tcW w:w="8558" w:type="dxa"/>
            <w:shd w:val="clear" w:color="auto" w:fill="auto"/>
            <w:vAlign w:val="center"/>
            <w:hideMark/>
          </w:tcPr>
          <w:p w:rsidR="00EA2492" w:rsidRPr="00F7311D" w:rsidP="00EA2492" w14:paraId="6A0BC3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group of individuals established for tracking purposes. For the Graduation Rates (GR) and Outcome Measures (OM) components of IPEDS, the initial cohort is defined as the enrollment count before removing revisions and exclusions of all degree/certificate-seeking students who enter in either (1) the fall term of a given academic year, or (2) between September 1st and August 31st of the following year. For the GR component of IPEDS, the initial cohort is only for full-time, first-time students. For OM, all undergraduates are placed in one of four initial cohorts: full-time, first-time; part-time, first-time; full-time, non-first-time; and part-time, non-first time.</w:t>
            </w:r>
          </w:p>
        </w:tc>
        <w:tc>
          <w:tcPr>
            <w:tcW w:w="2097" w:type="dxa"/>
            <w:shd w:val="clear" w:color="auto" w:fill="auto"/>
            <w:vAlign w:val="center"/>
            <w:hideMark/>
          </w:tcPr>
          <w:p w:rsidR="00EA2492" w:rsidRPr="00F7311D" w:rsidP="00EA2492" w14:paraId="6063CE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r>
      <w:tr w14:paraId="4975D7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3188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of higher education</w:t>
            </w:r>
          </w:p>
        </w:tc>
        <w:tc>
          <w:tcPr>
            <w:tcW w:w="8558" w:type="dxa"/>
            <w:shd w:val="clear" w:color="auto" w:fill="auto"/>
            <w:vAlign w:val="center"/>
            <w:hideMark/>
          </w:tcPr>
          <w:p w:rsidR="00EA2492" w:rsidRPr="00F7311D" w:rsidP="00EA2492" w14:paraId="5A5C5C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term formerly used in IPEDS and HEGIS to define an institution that was accredited at the college level by an agency or association recognized by the Secretary, U.S. Department of Education. These schools offered at least a one-year program of study creditable toward a degree and they were eligible for participation in Title IV Federal financial aid programs.</w:t>
            </w:r>
          </w:p>
        </w:tc>
        <w:tc>
          <w:tcPr>
            <w:tcW w:w="2097" w:type="dxa"/>
            <w:shd w:val="clear" w:color="auto" w:fill="auto"/>
            <w:vAlign w:val="center"/>
            <w:hideMark/>
          </w:tcPr>
          <w:p w:rsidR="00EA2492" w:rsidRPr="00F7311D" w:rsidP="00EA2492" w14:paraId="2450C3D7" w14:textId="77777777">
            <w:pPr>
              <w:spacing w:after="0" w:line="240" w:lineRule="auto"/>
              <w:rPr>
                <w:rFonts w:ascii="Calibri" w:eastAsia="Times New Roman" w:hAnsi="Calibri" w:cs="Calibri"/>
                <w:color w:val="000000"/>
                <w:sz w:val="18"/>
                <w:szCs w:val="18"/>
              </w:rPr>
            </w:pPr>
          </w:p>
        </w:tc>
      </w:tr>
      <w:tr w14:paraId="3BEB268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D2DB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 size category</w:t>
            </w:r>
          </w:p>
        </w:tc>
        <w:tc>
          <w:tcPr>
            <w:tcW w:w="8558" w:type="dxa"/>
            <w:shd w:val="clear" w:color="auto" w:fill="auto"/>
            <w:vAlign w:val="center"/>
            <w:hideMark/>
          </w:tcPr>
          <w:p w:rsidR="00EA2492" w:rsidRPr="00F7311D" w:rsidP="00EA2492" w14:paraId="5C4DE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indicator is derived based on the institution's total students enrolled for credit.</w:t>
            </w:r>
          </w:p>
        </w:tc>
        <w:tc>
          <w:tcPr>
            <w:tcW w:w="2097" w:type="dxa"/>
            <w:shd w:val="clear" w:color="auto" w:fill="auto"/>
            <w:vAlign w:val="center"/>
            <w:hideMark/>
          </w:tcPr>
          <w:p w:rsidR="00EA2492" w:rsidRPr="00F7311D" w:rsidP="00EA2492" w14:paraId="33E038AD" w14:textId="77777777">
            <w:pPr>
              <w:spacing w:after="0" w:line="240" w:lineRule="auto"/>
              <w:rPr>
                <w:rFonts w:ascii="Calibri" w:eastAsia="Times New Roman" w:hAnsi="Calibri" w:cs="Calibri"/>
                <w:color w:val="000000"/>
                <w:sz w:val="18"/>
                <w:szCs w:val="18"/>
              </w:rPr>
            </w:pPr>
          </w:p>
        </w:tc>
      </w:tr>
      <w:tr w14:paraId="0A99822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732EA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Institution's staff (not in medical schools)</w:t>
            </w:r>
          </w:p>
        </w:tc>
        <w:tc>
          <w:tcPr>
            <w:tcW w:w="8558" w:type="dxa"/>
            <w:shd w:val="clear" w:color="auto" w:fill="auto"/>
            <w:vAlign w:val="center"/>
            <w:hideMark/>
          </w:tcPr>
          <w:p w:rsidR="00EA2492" w:rsidRPr="00F7311D" w:rsidP="00EA2492" w14:paraId="07490396" w14:textId="1E9DC69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used to describe all staff employed by or employees working in a postsecondary institution, except those employed by or working in the medical school component of the institution. Includes staff employed by or employees working in the postsecondary component of a hospital or medical center that offers postsecondary education as one of its primary missions; also includes those working in first-professional schools (e.g., law schools, dental schools, schools</w:t>
            </w:r>
            <w:r>
              <w:rPr>
                <w:rFonts w:ascii="Calibri" w:eastAsia="Times New Roman" w:hAnsi="Calibri" w:cs="Calibri"/>
                <w:color w:val="000000"/>
                <w:sz w:val="18"/>
                <w:szCs w:val="18"/>
              </w:rPr>
              <w:t xml:space="preserve"> of</w:t>
            </w:r>
            <w:r w:rsidRPr="00F7311D">
              <w:rPr>
                <w:rFonts w:ascii="Calibri" w:eastAsia="Times New Roman" w:hAnsi="Calibri" w:cs="Calibri"/>
                <w:color w:val="000000"/>
                <w:sz w:val="18"/>
                <w:szCs w:val="18"/>
              </w:rPr>
              <w:t xml:space="preserve"> optometry) except medical schools.</w:t>
            </w:r>
          </w:p>
        </w:tc>
        <w:tc>
          <w:tcPr>
            <w:tcW w:w="2097" w:type="dxa"/>
            <w:shd w:val="clear" w:color="auto" w:fill="auto"/>
            <w:vAlign w:val="center"/>
            <w:hideMark/>
          </w:tcPr>
          <w:p w:rsidR="00EA2492" w:rsidRPr="00F7311D" w:rsidP="00EA2492" w14:paraId="171B3A55" w14:textId="77777777">
            <w:pPr>
              <w:spacing w:after="0" w:line="240" w:lineRule="auto"/>
              <w:rPr>
                <w:rFonts w:ascii="Calibri" w:eastAsia="Times New Roman" w:hAnsi="Calibri" w:cs="Calibri"/>
                <w:color w:val="000000"/>
                <w:sz w:val="18"/>
                <w:szCs w:val="18"/>
              </w:rPr>
            </w:pPr>
          </w:p>
        </w:tc>
      </w:tr>
      <w:tr w14:paraId="7817D1E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20F1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account</w:t>
            </w:r>
          </w:p>
        </w:tc>
        <w:tc>
          <w:tcPr>
            <w:tcW w:w="8558" w:type="dxa"/>
            <w:shd w:val="clear" w:color="auto" w:fill="auto"/>
            <w:vAlign w:val="center"/>
            <w:hideMark/>
          </w:tcPr>
          <w:p w:rsidR="00EA2492" w:rsidRPr="00F7311D" w:rsidP="00EA2492" w14:paraId="3BAAD7A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account in which the institution maintains fiscal control of revenues or expenditures and has full knowledge of the amounts flowing through the account.</w:t>
            </w:r>
          </w:p>
        </w:tc>
        <w:tc>
          <w:tcPr>
            <w:tcW w:w="2097" w:type="dxa"/>
            <w:shd w:val="clear" w:color="auto" w:fill="auto"/>
            <w:vAlign w:val="center"/>
            <w:hideMark/>
          </w:tcPr>
          <w:p w:rsidR="00EA2492" w:rsidRPr="00F7311D" w:rsidP="00EA2492" w14:paraId="241FEEC5" w14:textId="77777777">
            <w:pPr>
              <w:spacing w:after="0" w:line="240" w:lineRule="auto"/>
              <w:rPr>
                <w:rFonts w:ascii="Calibri" w:eastAsia="Times New Roman" w:hAnsi="Calibri" w:cs="Calibri"/>
                <w:color w:val="000000"/>
                <w:sz w:val="18"/>
                <w:szCs w:val="18"/>
              </w:rPr>
            </w:pPr>
          </w:p>
        </w:tc>
      </w:tr>
      <w:tr w14:paraId="1A65402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4DBAE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affiliation</w:t>
            </w:r>
          </w:p>
        </w:tc>
        <w:tc>
          <w:tcPr>
            <w:tcW w:w="8558" w:type="dxa"/>
            <w:shd w:val="clear" w:color="auto" w:fill="auto"/>
            <w:vAlign w:val="center"/>
            <w:hideMark/>
          </w:tcPr>
          <w:p w:rsidR="00EA2492" w:rsidRPr="00F7311D" w:rsidP="00EA2492" w14:paraId="3AC372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that indicates whether a private not-for-profit institution is associated with a religious group or denomination. Private not-for-profit institutions may be either independent or religiously affiliated.</w:t>
            </w:r>
          </w:p>
        </w:tc>
        <w:tc>
          <w:tcPr>
            <w:tcW w:w="2097" w:type="dxa"/>
            <w:shd w:val="clear" w:color="auto" w:fill="auto"/>
            <w:vAlign w:val="center"/>
            <w:hideMark/>
          </w:tcPr>
          <w:p w:rsidR="00EA2492" w:rsidRPr="00F7311D" w:rsidP="00EA2492" w14:paraId="7715CC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Control (of institution)</w:t>
            </w:r>
          </w:p>
        </w:tc>
      </w:tr>
      <w:tr w14:paraId="5F929A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5AED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burden</w:t>
            </w:r>
          </w:p>
        </w:tc>
        <w:tc>
          <w:tcPr>
            <w:tcW w:w="8558" w:type="dxa"/>
            <w:shd w:val="clear" w:color="auto" w:fill="auto"/>
            <w:vAlign w:val="center"/>
            <w:hideMark/>
          </w:tcPr>
          <w:p w:rsidR="00EA2492" w:rsidRPr="00F7311D" w:rsidP="00EA2492" w14:paraId="7067CF61" w14:textId="73E1134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(and money) required to respond to a survey. According to the Paperwork Reduction Act of 1995, no persons are required to respond to a collection of information unless it displays a valid OMB control number. The valid OMB control number for IPEDS is 1850-0582. The time required to complete the Fall information collection is estimated to vary from 1.5 hours to 3.8 hours per response, with an average of 3.2 hours, including the time to review instructions, search existing data resources, gather and maintain the data needed, and complete and review the information collection. Similarly, the time required to complete the Winter information collection is estimated to vary from 3.5 hours to 15.5 hours, with an average of 12.1 hours; and the time required to complete the Spring information collection is estimated to vary from 8.0 hours to 18.5 hours, with an average of 12.1 hours.</w:t>
            </w:r>
          </w:p>
        </w:tc>
        <w:tc>
          <w:tcPr>
            <w:tcW w:w="2097" w:type="dxa"/>
            <w:shd w:val="clear" w:color="auto" w:fill="auto"/>
            <w:vAlign w:val="center"/>
            <w:hideMark/>
          </w:tcPr>
          <w:p w:rsidR="00EA2492" w:rsidRPr="00F7311D" w:rsidP="00EA2492" w14:paraId="598BB459" w14:textId="77777777">
            <w:pPr>
              <w:spacing w:after="0" w:line="240" w:lineRule="auto"/>
              <w:rPr>
                <w:rFonts w:ascii="Calibri" w:eastAsia="Times New Roman" w:hAnsi="Calibri" w:cs="Calibri"/>
                <w:color w:val="000000"/>
                <w:sz w:val="18"/>
                <w:szCs w:val="18"/>
              </w:rPr>
            </w:pPr>
          </w:p>
        </w:tc>
      </w:tr>
      <w:tr w14:paraId="23670318"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16482247"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category</w:t>
            </w:r>
          </w:p>
        </w:tc>
        <w:tc>
          <w:tcPr>
            <w:tcW w:w="8558" w:type="dxa"/>
            <w:shd w:val="clear" w:color="auto" w:fill="auto"/>
            <w:vAlign w:val="center"/>
            <w:hideMark/>
          </w:tcPr>
          <w:p w:rsidR="00EA2492" w:rsidRPr="008878BA" w:rsidP="00EA2492" w14:paraId="6857C5CC" w14:textId="40DE04E9">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This indicator is derived using the level of offerings reported on the Institutional Characteristics (IC) component and the number and level of awards reported on the Completions (C) component.</w:t>
            </w:r>
          </w:p>
        </w:tc>
        <w:tc>
          <w:tcPr>
            <w:tcW w:w="2097" w:type="dxa"/>
            <w:shd w:val="clear" w:color="auto" w:fill="auto"/>
            <w:vAlign w:val="center"/>
            <w:hideMark/>
          </w:tcPr>
          <w:p w:rsidR="00EA2492" w:rsidRPr="00F7311D" w:rsidP="00EA2492" w14:paraId="0A4C124E" w14:textId="77777777">
            <w:pPr>
              <w:spacing w:after="0" w:line="240" w:lineRule="auto"/>
              <w:rPr>
                <w:rFonts w:ascii="Calibri" w:eastAsia="Times New Roman" w:hAnsi="Calibri" w:cs="Calibri"/>
                <w:color w:val="000000"/>
                <w:sz w:val="18"/>
                <w:szCs w:val="18"/>
              </w:rPr>
            </w:pPr>
          </w:p>
        </w:tc>
      </w:tr>
      <w:tr w14:paraId="6D7A124D"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1EE7182"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Institutional Characteristics (IC)</w:t>
            </w:r>
          </w:p>
        </w:tc>
        <w:tc>
          <w:tcPr>
            <w:tcW w:w="8558" w:type="dxa"/>
            <w:shd w:val="clear" w:color="auto" w:fill="auto"/>
            <w:vAlign w:val="center"/>
            <w:hideMark/>
          </w:tcPr>
          <w:p w:rsidR="00EA2492" w:rsidRPr="008878BA" w:rsidP="47E59BC4" w14:paraId="73854E22" w14:textId="465463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w:t>
            </w:r>
            <w:r w:rsidRPr="008878BA" w:rsidR="2A7280D9">
              <w:rPr>
                <w:rFonts w:ascii="Calibri" w:eastAsia="Times New Roman" w:hAnsi="Calibri" w:cs="Calibri"/>
                <w:sz w:val="18"/>
                <w:szCs w:val="18"/>
              </w:rPr>
              <w:t>survey</w:t>
            </w:r>
            <w:r w:rsidRPr="008878BA">
              <w:rPr>
                <w:rFonts w:ascii="Calibri" w:eastAsia="Times New Roman" w:hAnsi="Calibri" w:cs="Calibri"/>
                <w:sz w:val="18"/>
                <w:szCs w:val="18"/>
              </w:rPr>
              <w:t xml:space="preserve"> component is the core of the IPEDS </w:t>
            </w:r>
            <w:r w:rsidRPr="008878BA" w:rsidR="00CE72C7">
              <w:rPr>
                <w:rFonts w:ascii="Calibri" w:eastAsia="Times New Roman" w:hAnsi="Calibri" w:cs="Calibri"/>
                <w:sz w:val="18"/>
                <w:szCs w:val="18"/>
              </w:rPr>
              <w:t>collection</w:t>
            </w:r>
            <w:r w:rsidRPr="008878BA">
              <w:rPr>
                <w:rFonts w:ascii="Calibri" w:eastAsia="Times New Roman" w:hAnsi="Calibri" w:cs="Calibri"/>
                <w:sz w:val="18"/>
                <w:szCs w:val="18"/>
              </w:rPr>
              <w:t xml:space="preserve"> and is required of all currently operating Title IV postsecondary institutions in the United States and other areas. As the control file for the entire IPEDS</w:t>
            </w:r>
            <w:r w:rsidRPr="008878BA" w:rsidR="001939B5">
              <w:rPr>
                <w:rFonts w:ascii="Calibri" w:eastAsia="Times New Roman" w:hAnsi="Calibri" w:cs="Calibri"/>
                <w:sz w:val="18"/>
                <w:szCs w:val="18"/>
              </w:rPr>
              <w:t xml:space="preserve"> </w:t>
            </w:r>
            <w:r w:rsidRPr="008878BA" w:rsidR="6EA4109F">
              <w:rPr>
                <w:rFonts w:ascii="Calibri" w:eastAsia="Times New Roman" w:hAnsi="Calibri" w:cs="Calibri"/>
                <w:sz w:val="18"/>
                <w:szCs w:val="18"/>
              </w:rPr>
              <w:t xml:space="preserve">data </w:t>
            </w:r>
            <w:r w:rsidRPr="008878BA" w:rsidR="001939B5">
              <w:rPr>
                <w:rFonts w:ascii="Calibri" w:eastAsia="Times New Roman" w:hAnsi="Calibri" w:cs="Calibri"/>
                <w:sz w:val="18"/>
                <w:szCs w:val="18"/>
              </w:rPr>
              <w:t>collection</w:t>
            </w:r>
            <w:r w:rsidRPr="008878BA">
              <w:rPr>
                <w:rFonts w:ascii="Calibri" w:eastAsia="Times New Roman" w:hAnsi="Calibri" w:cs="Calibri"/>
                <w:sz w:val="18"/>
                <w:szCs w:val="18"/>
              </w:rPr>
              <w:t xml:space="preserve">, </w:t>
            </w:r>
            <w:r w:rsidRPr="008878BA" w:rsidR="30D9173D">
              <w:rPr>
                <w:rFonts w:ascii="Calibri" w:eastAsia="Times New Roman" w:hAnsi="Calibri" w:cs="Calibri"/>
                <w:sz w:val="18"/>
                <w:szCs w:val="18"/>
              </w:rPr>
              <w:t>the institutional characteristics or (</w:t>
            </w:r>
            <w:r w:rsidRPr="008878BA">
              <w:rPr>
                <w:rFonts w:ascii="Calibri" w:eastAsia="Times New Roman" w:hAnsi="Calibri" w:cs="Calibri"/>
                <w:sz w:val="18"/>
                <w:szCs w:val="18"/>
              </w:rPr>
              <w:t>IC</w:t>
            </w:r>
            <w:r w:rsidRPr="008878BA" w:rsidR="756060B0">
              <w:rPr>
                <w:rFonts w:ascii="Calibri" w:eastAsia="Times New Roman" w:hAnsi="Calibri" w:cs="Calibri"/>
                <w:sz w:val="18"/>
                <w:szCs w:val="18"/>
              </w:rPr>
              <w:t>) Survey</w:t>
            </w:r>
            <w:r w:rsidRPr="008878BA">
              <w:rPr>
                <w:rFonts w:ascii="Calibri" w:eastAsia="Times New Roman" w:hAnsi="Calibri" w:cs="Calibri"/>
                <w:sz w:val="18"/>
                <w:szCs w:val="18"/>
              </w:rPr>
              <w:t xml:space="preserve"> constitutes the sampling frame for all other NCES surveys of postsecondary institutions. It also helps determine the specific IPEDS screens that are shown to each institution. This component collects the basic institutional data that are necessary to sort and analyze not only the IC DATA, but also all other IPEDS DATAs. IC data are collected for the academic year, which generally extends from September of one calendar year to June of the following year. Specific data elements currently collected for each institution include: institution name, address, telephone number, control or affiliation, calendar system, levels of degrees and awards offered, types of programs, student services, and accreditation. </w:t>
            </w:r>
          </w:p>
        </w:tc>
        <w:tc>
          <w:tcPr>
            <w:tcW w:w="2097" w:type="dxa"/>
            <w:shd w:val="clear" w:color="auto" w:fill="auto"/>
            <w:vAlign w:val="center"/>
            <w:hideMark/>
          </w:tcPr>
          <w:p w:rsidR="00EA2492" w:rsidRPr="00F7311D" w:rsidP="00EA2492" w14:paraId="5C135A3F" w14:textId="77777777">
            <w:pPr>
              <w:spacing w:after="0" w:line="240" w:lineRule="auto"/>
              <w:rPr>
                <w:rFonts w:ascii="Calibri" w:eastAsia="Times New Roman" w:hAnsi="Calibri" w:cs="Calibri"/>
                <w:color w:val="000000"/>
                <w:sz w:val="18"/>
                <w:szCs w:val="18"/>
              </w:rPr>
            </w:pPr>
          </w:p>
        </w:tc>
      </w:tr>
      <w:tr w14:paraId="4B5C76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1D17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w:t>
            </w:r>
          </w:p>
        </w:tc>
        <w:tc>
          <w:tcPr>
            <w:tcW w:w="8558" w:type="dxa"/>
            <w:shd w:val="clear" w:color="auto" w:fill="auto"/>
            <w:vAlign w:val="center"/>
            <w:hideMark/>
          </w:tcPr>
          <w:p w:rsidR="00EA2492" w:rsidRPr="00F7311D" w:rsidP="00EA2492" w14:paraId="1A2E6D94" w14:textId="221F432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Scholarships and fellowships granted and funded by the institution and/or individual departments within the institution, (i.e., instruction, research, public service) that may contribute indirectly to the enhancement of these </w:t>
            </w:r>
            <w:r w:rsidRPr="00F7311D">
              <w:rPr>
                <w:rFonts w:ascii="Calibri" w:eastAsia="Times New Roman" w:hAnsi="Calibri" w:cs="Calibri"/>
                <w:color w:val="000000"/>
                <w:sz w:val="18"/>
                <w:szCs w:val="18"/>
              </w:rPr>
              <w:t>programs. Includes scholarships targeted to certain individuals (e.g., based on state of residence, major field of study, athletic team participation) for which the institution designates the recipient.</w:t>
            </w:r>
          </w:p>
        </w:tc>
        <w:tc>
          <w:tcPr>
            <w:tcW w:w="2097" w:type="dxa"/>
            <w:shd w:val="clear" w:color="auto" w:fill="auto"/>
            <w:vAlign w:val="center"/>
            <w:hideMark/>
          </w:tcPr>
          <w:p w:rsidR="00EA2492" w:rsidRPr="00F7311D" w:rsidP="00EA2492" w14:paraId="022E7573" w14:textId="77777777">
            <w:pPr>
              <w:spacing w:after="0" w:line="240" w:lineRule="auto"/>
              <w:rPr>
                <w:rFonts w:ascii="Calibri" w:eastAsia="Times New Roman" w:hAnsi="Calibri" w:cs="Calibri"/>
                <w:color w:val="000000"/>
                <w:sz w:val="18"/>
                <w:szCs w:val="18"/>
              </w:rPr>
            </w:pPr>
          </w:p>
        </w:tc>
      </w:tr>
      <w:tr w14:paraId="7D2CEA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539D4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(restricted) (allowances)</w:t>
            </w:r>
          </w:p>
        </w:tc>
        <w:tc>
          <w:tcPr>
            <w:tcW w:w="8558" w:type="dxa"/>
            <w:shd w:val="clear" w:color="auto" w:fill="auto"/>
            <w:vAlign w:val="center"/>
            <w:hideMark/>
          </w:tcPr>
          <w:p w:rsidR="00EA2492" w:rsidRPr="00F7311D" w:rsidP="00EA2492" w14:paraId="069C18D7" w14:textId="56C5A7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Scholarships and fellowships awarded to students from institutional resources that are restricted to student aid. Private institutions generally report these grants as allowances. If control over these resources passes to the student, the amount is reported as an expense. (Used for reporting under FASB </w:t>
            </w:r>
            <w:r w:rsidRPr="00FB5A34">
              <w:rPr>
                <w:rFonts w:ascii="Calibri" w:eastAsia="Times New Roman" w:hAnsi="Calibri" w:cs="Calibri"/>
                <w:color w:val="000000" w:themeColor="text1"/>
                <w:sz w:val="18"/>
                <w:szCs w:val="18"/>
              </w:rPr>
              <w:t>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2D71ADFF" w14:textId="77777777">
            <w:pPr>
              <w:spacing w:after="0" w:line="240" w:lineRule="auto"/>
              <w:rPr>
                <w:rFonts w:ascii="Calibri" w:eastAsia="Times New Roman" w:hAnsi="Calibri" w:cs="Calibri"/>
                <w:color w:val="000000"/>
                <w:sz w:val="18"/>
                <w:szCs w:val="18"/>
              </w:rPr>
            </w:pPr>
          </w:p>
        </w:tc>
      </w:tr>
      <w:tr w14:paraId="377E25F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397C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(unrestricted) (allowances)</w:t>
            </w:r>
          </w:p>
        </w:tc>
        <w:tc>
          <w:tcPr>
            <w:tcW w:w="8558" w:type="dxa"/>
            <w:shd w:val="clear" w:color="auto" w:fill="auto"/>
            <w:vAlign w:val="center"/>
            <w:hideMark/>
          </w:tcPr>
          <w:p w:rsidR="00EA2492" w:rsidRPr="00FB5A34" w:rsidP="00EA2492" w14:paraId="1B7061B3" w14:textId="23192B00">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awarded to students from unrestricted institutional resources. Private institutions generally report these grants as allowances. If control over these resources passes to the student, the amount is reported as an expense. (Used for reporting under FASB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4160BEA2" w14:textId="77777777">
            <w:pPr>
              <w:spacing w:after="0" w:line="240" w:lineRule="auto"/>
              <w:rPr>
                <w:rFonts w:ascii="Calibri" w:eastAsia="Times New Roman" w:hAnsi="Calibri" w:cs="Calibri"/>
                <w:color w:val="000000"/>
                <w:sz w:val="18"/>
                <w:szCs w:val="18"/>
              </w:rPr>
            </w:pPr>
          </w:p>
        </w:tc>
      </w:tr>
      <w:tr w14:paraId="343D92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8267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restricted resources</w:t>
            </w:r>
          </w:p>
        </w:tc>
        <w:tc>
          <w:tcPr>
            <w:tcW w:w="8558" w:type="dxa"/>
            <w:shd w:val="clear" w:color="auto" w:fill="auto"/>
            <w:vAlign w:val="center"/>
            <w:hideMark/>
          </w:tcPr>
          <w:p w:rsidR="00EA2492" w:rsidRPr="00FB5A34" w:rsidP="00EA2492" w14:paraId="0EC077F1" w14:textId="071B948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funded from restricted-expendable resources for student aid, such as scholarships and fellowships. (Used for reporting under GASB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08C6231C" w14:textId="77777777">
            <w:pPr>
              <w:spacing w:after="0" w:line="240" w:lineRule="auto"/>
              <w:rPr>
                <w:rFonts w:ascii="Calibri" w:eastAsia="Times New Roman" w:hAnsi="Calibri" w:cs="Calibri"/>
                <w:color w:val="000000"/>
                <w:sz w:val="18"/>
                <w:szCs w:val="18"/>
              </w:rPr>
            </w:pPr>
          </w:p>
        </w:tc>
      </w:tr>
      <w:tr w14:paraId="7C54BAB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258F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grants from unrestricted resources</w:t>
            </w:r>
          </w:p>
        </w:tc>
        <w:tc>
          <w:tcPr>
            <w:tcW w:w="8558" w:type="dxa"/>
            <w:shd w:val="clear" w:color="auto" w:fill="auto"/>
            <w:vAlign w:val="center"/>
            <w:hideMark/>
          </w:tcPr>
          <w:p w:rsidR="00EA2492" w:rsidRPr="00FB5A34" w:rsidP="00EA2492" w14:paraId="71066E30" w14:textId="3697642A">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Institutional grants to students that are funded from resources that are not restricted to any particular purpose. (Used for reporting under GASB Standards</w:t>
            </w:r>
            <w:r w:rsidRPr="00FB5A34" w:rsidR="00640499">
              <w:rPr>
                <w:rFonts w:ascii="Calibri" w:eastAsia="Times New Roman" w:hAnsi="Calibri" w:cs="Calibri"/>
                <w:color w:val="000000" w:themeColor="text1"/>
                <w:sz w:val="18"/>
                <w:szCs w:val="18"/>
              </w:rPr>
              <w:t xml:space="preserve"> on the Finance component</w:t>
            </w:r>
            <w:r w:rsidRPr="00FB5A34">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1EBE0F11" w14:textId="77777777">
            <w:pPr>
              <w:spacing w:after="0" w:line="240" w:lineRule="auto"/>
              <w:rPr>
                <w:rFonts w:ascii="Calibri" w:eastAsia="Times New Roman" w:hAnsi="Calibri" w:cs="Calibri"/>
                <w:color w:val="000000"/>
                <w:sz w:val="18"/>
                <w:szCs w:val="18"/>
              </w:rPr>
            </w:pPr>
          </w:p>
        </w:tc>
      </w:tr>
      <w:tr w14:paraId="2E2309A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8CF4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support</w:t>
            </w:r>
          </w:p>
        </w:tc>
        <w:tc>
          <w:tcPr>
            <w:tcW w:w="8558" w:type="dxa"/>
            <w:shd w:val="clear" w:color="auto" w:fill="auto"/>
            <w:vAlign w:val="center"/>
            <w:hideMark/>
          </w:tcPr>
          <w:p w:rsidR="00EA2492" w:rsidRPr="00F7311D" w:rsidP="00EA2492" w14:paraId="0F87C95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097" w:type="dxa"/>
            <w:shd w:val="clear" w:color="auto" w:fill="auto"/>
            <w:vAlign w:val="center"/>
            <w:hideMark/>
          </w:tcPr>
          <w:p w:rsidR="00EA2492" w:rsidRPr="00F7311D" w:rsidP="00EA2492" w14:paraId="6743C680" w14:textId="77777777">
            <w:pPr>
              <w:spacing w:after="0" w:line="240" w:lineRule="auto"/>
              <w:rPr>
                <w:rFonts w:ascii="Calibri" w:eastAsia="Times New Roman" w:hAnsi="Calibri" w:cs="Calibri"/>
                <w:color w:val="000000"/>
                <w:sz w:val="18"/>
                <w:szCs w:val="18"/>
              </w:rPr>
            </w:pPr>
          </w:p>
        </w:tc>
      </w:tr>
      <w:tr w14:paraId="0EE5A69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D363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system</w:t>
            </w:r>
          </w:p>
        </w:tc>
        <w:tc>
          <w:tcPr>
            <w:tcW w:w="8558" w:type="dxa"/>
            <w:shd w:val="clear" w:color="auto" w:fill="auto"/>
            <w:vAlign w:val="center"/>
            <w:hideMark/>
          </w:tcPr>
          <w:p w:rsidR="00EA2492" w:rsidRPr="00F7311D" w:rsidP="00EA2492" w14:paraId="719436A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 or more postsecondary institutions under the control or supervision of a single administrative body.</w:t>
            </w:r>
          </w:p>
        </w:tc>
        <w:tc>
          <w:tcPr>
            <w:tcW w:w="2097" w:type="dxa"/>
            <w:shd w:val="clear" w:color="auto" w:fill="auto"/>
            <w:vAlign w:val="center"/>
            <w:hideMark/>
          </w:tcPr>
          <w:p w:rsidR="00EA2492" w:rsidRPr="00F7311D" w:rsidP="00EA2492" w14:paraId="5E020779" w14:textId="77777777">
            <w:pPr>
              <w:spacing w:after="0" w:line="240" w:lineRule="auto"/>
              <w:rPr>
                <w:rFonts w:ascii="Calibri" w:eastAsia="Times New Roman" w:hAnsi="Calibri" w:cs="Calibri"/>
                <w:color w:val="000000"/>
                <w:sz w:val="18"/>
                <w:szCs w:val="18"/>
              </w:rPr>
            </w:pPr>
          </w:p>
        </w:tc>
      </w:tr>
      <w:tr w14:paraId="7CD823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33DAF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Institutionally controlled housing</w:t>
            </w:r>
          </w:p>
        </w:tc>
        <w:tc>
          <w:tcPr>
            <w:tcW w:w="8558" w:type="dxa"/>
            <w:shd w:val="clear" w:color="auto" w:fill="auto"/>
            <w:vAlign w:val="center"/>
            <w:hideMark/>
          </w:tcPr>
          <w:p w:rsidR="00EA2492" w:rsidRPr="00F7311D" w:rsidP="00EA2492" w14:paraId="2F6360B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located on- or off-campus that is owned or controlled by an institution and used by the institution in direct support of or in a manner related to, the institution's educational purposes.</w:t>
            </w:r>
          </w:p>
        </w:tc>
        <w:tc>
          <w:tcPr>
            <w:tcW w:w="2097" w:type="dxa"/>
            <w:shd w:val="clear" w:color="auto" w:fill="auto"/>
            <w:vAlign w:val="center"/>
            <w:hideMark/>
          </w:tcPr>
          <w:p w:rsidR="00EA2492" w:rsidRPr="00F7311D" w:rsidP="00EA2492" w14:paraId="12811390" w14:textId="77777777">
            <w:pPr>
              <w:spacing w:after="0" w:line="240" w:lineRule="auto"/>
              <w:rPr>
                <w:rFonts w:ascii="Calibri" w:eastAsia="Times New Roman" w:hAnsi="Calibri" w:cs="Calibri"/>
                <w:color w:val="000000"/>
                <w:sz w:val="18"/>
                <w:szCs w:val="18"/>
              </w:rPr>
            </w:pPr>
          </w:p>
        </w:tc>
      </w:tr>
      <w:tr w14:paraId="3D7618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DE60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w:t>
            </w:r>
          </w:p>
        </w:tc>
        <w:tc>
          <w:tcPr>
            <w:tcW w:w="8558" w:type="dxa"/>
            <w:shd w:val="clear" w:color="auto" w:fill="auto"/>
            <w:vAlign w:val="center"/>
            <w:hideMark/>
          </w:tcPr>
          <w:p w:rsidR="00EA2492" w:rsidRPr="002515CF" w:rsidP="00EA2492" w14:paraId="101D33CF" w14:textId="3E81678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 noncredit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4B595747" w14:textId="77777777">
            <w:pPr>
              <w:spacing w:after="0" w:line="240" w:lineRule="auto"/>
              <w:rPr>
                <w:rFonts w:ascii="Calibri" w:eastAsia="Times New Roman" w:hAnsi="Calibri" w:cs="Calibri"/>
                <w:color w:val="000000"/>
                <w:sz w:val="18"/>
                <w:szCs w:val="18"/>
              </w:rPr>
            </w:pPr>
          </w:p>
        </w:tc>
      </w:tr>
      <w:tr w14:paraId="4FD16A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F6AAA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 combined with research and/or public service</w:t>
            </w:r>
          </w:p>
        </w:tc>
        <w:tc>
          <w:tcPr>
            <w:tcW w:w="8558" w:type="dxa"/>
            <w:shd w:val="clear" w:color="auto" w:fill="auto"/>
            <w:vAlign w:val="center"/>
            <w:hideMark/>
          </w:tcPr>
          <w:p w:rsidR="00EA2492" w:rsidRPr="00F7311D" w:rsidP="00EA2492" w14:paraId="7DFEE0A6" w14:textId="32F00D4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for whom it is not possible to differentiate between instruction or teaching, research, and public service because each of these functions is an integral component of his/her regular assignment. Regardless of title, academic rank, or tenure status, these employees formally spend the majority of their time providing instruction, research, and/or public service. </w:t>
            </w:r>
          </w:p>
        </w:tc>
        <w:tc>
          <w:tcPr>
            <w:tcW w:w="2097" w:type="dxa"/>
            <w:shd w:val="clear" w:color="auto" w:fill="auto"/>
            <w:vAlign w:val="center"/>
            <w:hideMark/>
          </w:tcPr>
          <w:p w:rsidR="00EA2492" w:rsidRPr="00F7311D" w:rsidP="00EA2492" w14:paraId="35FD41C8" w14:textId="77777777">
            <w:pPr>
              <w:spacing w:after="0" w:line="240" w:lineRule="auto"/>
              <w:rPr>
                <w:rFonts w:ascii="Calibri" w:eastAsia="Times New Roman" w:hAnsi="Calibri" w:cs="Calibri"/>
                <w:color w:val="000000"/>
                <w:sz w:val="18"/>
                <w:szCs w:val="18"/>
              </w:rPr>
            </w:pPr>
          </w:p>
        </w:tc>
      </w:tr>
      <w:tr w14:paraId="7D5696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F735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activity</w:t>
            </w:r>
          </w:p>
        </w:tc>
        <w:tc>
          <w:tcPr>
            <w:tcW w:w="8558" w:type="dxa"/>
            <w:shd w:val="clear" w:color="auto" w:fill="auto"/>
            <w:vAlign w:val="center"/>
            <w:hideMark/>
          </w:tcPr>
          <w:p w:rsidR="00EA2492" w:rsidRPr="00F7311D" w:rsidP="00EA2492" w14:paraId="39BC61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total number of credit and clock hours all students are engaged in during the specified period.</w:t>
            </w:r>
          </w:p>
        </w:tc>
        <w:tc>
          <w:tcPr>
            <w:tcW w:w="2097" w:type="dxa"/>
            <w:shd w:val="clear" w:color="auto" w:fill="auto"/>
            <w:vAlign w:val="center"/>
            <w:hideMark/>
          </w:tcPr>
          <w:p w:rsidR="00EA2492" w:rsidRPr="00F7311D" w:rsidP="00EA2492" w14:paraId="0AF8941B" w14:textId="77777777">
            <w:pPr>
              <w:spacing w:after="0" w:line="240" w:lineRule="auto"/>
              <w:rPr>
                <w:rFonts w:ascii="Calibri" w:eastAsia="Times New Roman" w:hAnsi="Calibri" w:cs="Calibri"/>
                <w:color w:val="000000"/>
                <w:sz w:val="18"/>
                <w:szCs w:val="18"/>
              </w:rPr>
            </w:pPr>
          </w:p>
        </w:tc>
      </w:tr>
      <w:tr w14:paraId="40524BF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E2B7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Faculty Salaries (SA)</w:t>
            </w:r>
          </w:p>
        </w:tc>
        <w:tc>
          <w:tcPr>
            <w:tcW w:w="8558" w:type="dxa"/>
            <w:shd w:val="clear" w:color="auto" w:fill="auto"/>
            <w:vAlign w:val="center"/>
            <w:hideMark/>
          </w:tcPr>
          <w:p w:rsidR="00EA2492" w:rsidRPr="00F7311D" w:rsidP="00EA2492" w14:paraId="7DA911E9" w14:textId="7741DD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This data, now part of the IPEDS Human Resources (HR) component, was previously a separate collection.  It collects data as of November 1 of the reporting year on the number of full-time instructional faculty by rank, gender, and length of contract; total salary outlays; and fringe benefits and number of full-time instructional faculty covered by these benefits. The data have been collected annually since 1990; however data are not available for 2000. Prior to the 2001 collection, data were requested by tenure status. As of 2004, this component is applicable to all Title IV degree-granting institutions, unless they meet one of the following exclusions: all instructional faculty are part-time; all contribute their services; all are in the military; or all teach preclinical or clinical medicine. Formerly referred to as Salaries and Fringe Benefits of Full-Time Instructional Faculty (SA).(Term used in IPEDS HR survey component prior to 2012-13)</w:t>
            </w:r>
          </w:p>
        </w:tc>
        <w:tc>
          <w:tcPr>
            <w:tcW w:w="2097" w:type="dxa"/>
            <w:shd w:val="clear" w:color="auto" w:fill="auto"/>
            <w:vAlign w:val="center"/>
            <w:hideMark/>
          </w:tcPr>
          <w:p w:rsidR="00EA2492" w:rsidRPr="00F7311D" w:rsidP="00EA2492" w14:paraId="5A21088F" w14:textId="77777777">
            <w:pPr>
              <w:spacing w:after="0" w:line="240" w:lineRule="auto"/>
              <w:rPr>
                <w:rFonts w:ascii="Calibri" w:eastAsia="Times New Roman" w:hAnsi="Calibri" w:cs="Calibri"/>
                <w:color w:val="000000"/>
                <w:sz w:val="18"/>
                <w:szCs w:val="18"/>
              </w:rPr>
            </w:pPr>
          </w:p>
        </w:tc>
      </w:tr>
      <w:tr w14:paraId="3F23EB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38F9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Instructional Staff</w:t>
            </w:r>
          </w:p>
        </w:tc>
        <w:tc>
          <w:tcPr>
            <w:tcW w:w="8558" w:type="dxa"/>
            <w:shd w:val="clear" w:color="auto" w:fill="auto"/>
            <w:vAlign w:val="center"/>
            <w:hideMark/>
          </w:tcPr>
          <w:p w:rsidR="00EA2492" w:rsidRPr="00F7311D" w:rsidP="00EA2492" w14:paraId="14C5BB5E" w14:textId="253C0FC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that is comprised of staff who are either:1) Primarily Instruction or 2) Instruction combined with research and/or public service. The intent of the Instructional Staff category is to include all individuals whose primary occupation includes instruction at the institution.</w:t>
            </w:r>
          </w:p>
        </w:tc>
        <w:tc>
          <w:tcPr>
            <w:tcW w:w="2097" w:type="dxa"/>
            <w:shd w:val="clear" w:color="auto" w:fill="auto"/>
            <w:vAlign w:val="center"/>
            <w:hideMark/>
          </w:tcPr>
          <w:p w:rsidR="00EA2492" w:rsidRPr="00F7311D" w:rsidP="00EA2492" w14:paraId="00B1C6CA" w14:textId="77777777">
            <w:pPr>
              <w:spacing w:after="0" w:line="240" w:lineRule="auto"/>
              <w:rPr>
                <w:rFonts w:ascii="Calibri" w:eastAsia="Times New Roman" w:hAnsi="Calibri" w:cs="Calibri"/>
                <w:color w:val="000000"/>
                <w:sz w:val="18"/>
                <w:szCs w:val="18"/>
              </w:rPr>
            </w:pPr>
          </w:p>
        </w:tc>
      </w:tr>
      <w:tr w14:paraId="7DCE0FB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08CF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Intangible assets</w:t>
            </w:r>
          </w:p>
        </w:tc>
        <w:tc>
          <w:tcPr>
            <w:tcW w:w="8558" w:type="dxa"/>
            <w:shd w:val="clear" w:color="auto" w:fill="auto"/>
            <w:vAlign w:val="center"/>
            <w:hideMark/>
          </w:tcPr>
          <w:p w:rsidR="00EA2492" w:rsidRPr="00F7311D" w:rsidP="00EA2492" w14:paraId="4D1A18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consisting of nonmaterial rights and benefits of an institution, such as patents, copyrights, trademarks and goodwill.</w:t>
            </w:r>
          </w:p>
        </w:tc>
        <w:tc>
          <w:tcPr>
            <w:tcW w:w="2097" w:type="dxa"/>
            <w:shd w:val="clear" w:color="auto" w:fill="auto"/>
            <w:vAlign w:val="center"/>
            <w:hideMark/>
          </w:tcPr>
          <w:p w:rsidR="00EA2492" w:rsidRPr="00F7311D" w:rsidP="00EA2492" w14:paraId="7D2B3646" w14:textId="77777777">
            <w:pPr>
              <w:spacing w:after="0" w:line="240" w:lineRule="auto"/>
              <w:rPr>
                <w:rFonts w:ascii="Calibri" w:eastAsia="Times New Roman" w:hAnsi="Calibri" w:cs="Calibri"/>
                <w:color w:val="000000"/>
                <w:sz w:val="18"/>
                <w:szCs w:val="18"/>
              </w:rPr>
            </w:pPr>
          </w:p>
        </w:tc>
      </w:tr>
      <w:tr w14:paraId="0857B22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3DDC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Integrated Postsecondary Education Data System (IPEDS)</w:t>
            </w:r>
          </w:p>
        </w:tc>
        <w:tc>
          <w:tcPr>
            <w:tcW w:w="8558" w:type="dxa"/>
            <w:shd w:val="clear" w:color="auto" w:fill="auto"/>
            <w:vAlign w:val="center"/>
            <w:hideMark/>
          </w:tcPr>
          <w:p w:rsidR="00EA2492" w:rsidRPr="00F7311D" w:rsidP="00EA2492" w14:paraId="11311488" w14:textId="150CED6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Integrated Postsecondary Education Data System (IPEDS), conducted by the NCES, began in 1986 and involves annual institution-level data collections. All postsecondary institutions that have a Program Participation Agreement with the Office of Postsecondary Education (OPE), U.S. Department of Education (throughout IPEDS referred to as 'Title IV') are required to report data using a web-based data collection system. IPEDS currently consists of the following components: Institutional Characteristics (IC); 12-month Enrollment (E12); Completions (C</w:t>
            </w:r>
            <w:r w:rsidRPr="008878BA">
              <w:rPr>
                <w:rFonts w:ascii="Calibri" w:eastAsia="Times New Roman" w:hAnsi="Calibri" w:cs="Calibri"/>
                <w:sz w:val="18"/>
                <w:szCs w:val="18"/>
              </w:rPr>
              <w:t xml:space="preserve">); </w:t>
            </w:r>
            <w:r w:rsidRPr="008878BA" w:rsidR="00B051DF">
              <w:rPr>
                <w:rFonts w:ascii="Calibri" w:eastAsia="Times New Roman" w:hAnsi="Calibri" w:cs="Calibri"/>
                <w:sz w:val="18"/>
                <w:szCs w:val="18"/>
              </w:rPr>
              <w:t xml:space="preserve">Cost (CST); </w:t>
            </w:r>
            <w:r w:rsidRPr="00F7311D">
              <w:rPr>
                <w:rFonts w:ascii="Calibri" w:eastAsia="Times New Roman" w:hAnsi="Calibri" w:cs="Calibri"/>
                <w:color w:val="000000"/>
                <w:sz w:val="18"/>
                <w:szCs w:val="18"/>
              </w:rPr>
              <w:t>Admissions (ADM); Student Financial Aid (SFA); Human Resources (HR) composed of Employees by Assigned Position, Fall Staff, and Salaries; Fall Enrollment (EF); Graduation Rates (GR); Outcome Measures (OM); Finance (F); and Academic Libraries (AL).</w:t>
            </w:r>
          </w:p>
        </w:tc>
        <w:tc>
          <w:tcPr>
            <w:tcW w:w="2097" w:type="dxa"/>
            <w:shd w:val="clear" w:color="auto" w:fill="auto"/>
            <w:vAlign w:val="center"/>
            <w:hideMark/>
          </w:tcPr>
          <w:p w:rsidR="00EA2492" w:rsidRPr="00F7311D" w:rsidP="00EA2492" w14:paraId="22ED6566" w14:textId="77777777">
            <w:pPr>
              <w:spacing w:after="0" w:line="240" w:lineRule="auto"/>
              <w:rPr>
                <w:rFonts w:ascii="Calibri" w:eastAsia="Times New Roman" w:hAnsi="Calibri" w:cs="Calibri"/>
                <w:color w:val="000000"/>
                <w:sz w:val="18"/>
                <w:szCs w:val="18"/>
              </w:rPr>
            </w:pPr>
          </w:p>
        </w:tc>
      </w:tr>
      <w:tr w14:paraId="06AEDB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75B44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Interest</w:t>
            </w:r>
          </w:p>
        </w:tc>
        <w:tc>
          <w:tcPr>
            <w:tcW w:w="8558" w:type="dxa"/>
            <w:shd w:val="clear" w:color="auto" w:fill="auto"/>
            <w:vAlign w:val="center"/>
            <w:hideMark/>
          </w:tcPr>
          <w:p w:rsidR="00EA2492" w:rsidRPr="00F7311D" w:rsidP="00EA2492" w14:paraId="734ED9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price paid (or received) for the use of money over a period of time. Interest income is one component of investment income. Interest paid by the institution is interest expense.</w:t>
            </w:r>
          </w:p>
        </w:tc>
        <w:tc>
          <w:tcPr>
            <w:tcW w:w="2097" w:type="dxa"/>
            <w:shd w:val="clear" w:color="auto" w:fill="auto"/>
            <w:vAlign w:val="center"/>
            <w:hideMark/>
          </w:tcPr>
          <w:p w:rsidR="00EA2492" w:rsidRPr="00F7311D" w:rsidP="00EA2492" w14:paraId="33094BD4" w14:textId="77777777">
            <w:pPr>
              <w:spacing w:after="0" w:line="240" w:lineRule="auto"/>
              <w:rPr>
                <w:rFonts w:ascii="Calibri" w:eastAsia="Times New Roman" w:hAnsi="Calibri" w:cs="Calibri"/>
                <w:color w:val="000000"/>
                <w:sz w:val="18"/>
                <w:szCs w:val="18"/>
              </w:rPr>
            </w:pPr>
          </w:p>
        </w:tc>
      </w:tr>
      <w:tr w14:paraId="67A5DD1A"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7D316FD9"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services</w:t>
            </w:r>
          </w:p>
        </w:tc>
        <w:tc>
          <w:tcPr>
            <w:tcW w:w="8558" w:type="dxa"/>
            <w:shd w:val="clear" w:color="auto" w:fill="auto"/>
            <w:vAlign w:val="center"/>
            <w:hideMark/>
          </w:tcPr>
          <w:p w:rsidR="00EA2492" w:rsidRPr="002515CF" w:rsidP="00EA2492" w14:paraId="6C9CD7E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Interlibrary loan is the process by which a library requests material from, or supplies material to, another library' where ''material' includes books, audiovisual materials, and other returnable items as well as copies of journal articles, book chapters, excerpts, and other non-returnable items.</w:t>
            </w:r>
          </w:p>
        </w:tc>
        <w:tc>
          <w:tcPr>
            <w:tcW w:w="2097" w:type="dxa"/>
            <w:shd w:val="clear" w:color="auto" w:fill="auto"/>
            <w:vAlign w:val="center"/>
            <w:hideMark/>
          </w:tcPr>
          <w:p w:rsidR="00EA2492" w:rsidRPr="002515CF" w:rsidP="00EA2492" w14:paraId="5812E346" w14:textId="77777777">
            <w:pPr>
              <w:spacing w:after="0" w:line="240" w:lineRule="auto"/>
              <w:rPr>
                <w:rFonts w:ascii="Calibri" w:eastAsia="Times New Roman" w:hAnsi="Calibri" w:cs="Calibri"/>
                <w:sz w:val="18"/>
                <w:szCs w:val="18"/>
              </w:rPr>
            </w:pPr>
          </w:p>
        </w:tc>
      </w:tr>
      <w:tr w14:paraId="1791A47B" w14:textId="77777777" w:rsidTr="0036249A">
        <w:tblPrEx>
          <w:tblW w:w="13616" w:type="dxa"/>
          <w:tblLook w:val="04A0"/>
        </w:tblPrEx>
        <w:trPr>
          <w:trHeight w:val="20"/>
        </w:trPr>
        <w:tc>
          <w:tcPr>
            <w:tcW w:w="2961" w:type="dxa"/>
            <w:shd w:val="clear" w:color="auto" w:fill="auto"/>
            <w:vAlign w:val="center"/>
          </w:tcPr>
          <w:p w:rsidR="00EA2492" w:rsidRPr="002515CF" w:rsidP="00EA2492" w14:paraId="56B9B02F" w14:textId="2439DFE9">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International English Language Testing System (IELTS)</w:t>
            </w:r>
          </w:p>
        </w:tc>
        <w:tc>
          <w:tcPr>
            <w:tcW w:w="8558" w:type="dxa"/>
            <w:shd w:val="clear" w:color="auto" w:fill="auto"/>
            <w:vAlign w:val="center"/>
          </w:tcPr>
          <w:p w:rsidR="00EA2492" w:rsidRPr="002515CF" w:rsidP="00EA2492" w14:paraId="2CA8D91C" w14:textId="35D1312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tcPr>
          <w:p w:rsidR="00EA2492" w:rsidRPr="002515CF" w:rsidP="00EA2492" w14:paraId="649DDF6F" w14:textId="6E61B87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78360B1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12025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Invested in capital assets, net of related debt</w:t>
            </w:r>
          </w:p>
        </w:tc>
        <w:tc>
          <w:tcPr>
            <w:tcW w:w="8558" w:type="dxa"/>
            <w:shd w:val="clear" w:color="auto" w:fill="auto"/>
            <w:vAlign w:val="center"/>
            <w:hideMark/>
          </w:tcPr>
          <w:p w:rsidR="00EA2492" w:rsidRPr="00F7311D" w:rsidP="00EA2492" w14:paraId="293D5867" w14:textId="13AE00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consist of capital assets net of accumulated depreciation, reduced by the outstanding indebtedness on capital assets. FASB institutions do not use this classification; most of the equivalent net assets are considered unrestricted net assets.</w:t>
            </w:r>
          </w:p>
        </w:tc>
        <w:tc>
          <w:tcPr>
            <w:tcW w:w="2097" w:type="dxa"/>
            <w:shd w:val="clear" w:color="auto" w:fill="auto"/>
            <w:vAlign w:val="center"/>
            <w:hideMark/>
          </w:tcPr>
          <w:p w:rsidR="00EA2492" w:rsidRPr="00F7311D" w:rsidP="00EA2492" w14:paraId="31753319" w14:textId="77777777">
            <w:pPr>
              <w:spacing w:after="0" w:line="240" w:lineRule="auto"/>
              <w:rPr>
                <w:rFonts w:ascii="Calibri" w:eastAsia="Times New Roman" w:hAnsi="Calibri" w:cs="Calibri"/>
                <w:color w:val="000000"/>
                <w:sz w:val="18"/>
                <w:szCs w:val="18"/>
              </w:rPr>
            </w:pPr>
          </w:p>
        </w:tc>
      </w:tr>
      <w:tr w14:paraId="6C3271C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5456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gains</w:t>
            </w:r>
          </w:p>
        </w:tc>
        <w:tc>
          <w:tcPr>
            <w:tcW w:w="8558" w:type="dxa"/>
            <w:shd w:val="clear" w:color="auto" w:fill="auto"/>
            <w:vAlign w:val="center"/>
            <w:hideMark/>
          </w:tcPr>
          <w:p w:rsidR="00EA2492" w:rsidRPr="00F7311D" w:rsidP="00EA2492" w14:paraId="5A81DB9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gain derived from the investment of capital. Such gains may take the form of a market appreciation of the value of the investment. The gain may be realized if the asset or capital is sold or unrealized if the asset or capital is not sold.</w:t>
            </w:r>
          </w:p>
        </w:tc>
        <w:tc>
          <w:tcPr>
            <w:tcW w:w="2097" w:type="dxa"/>
            <w:shd w:val="clear" w:color="auto" w:fill="auto"/>
            <w:vAlign w:val="center"/>
            <w:hideMark/>
          </w:tcPr>
          <w:p w:rsidR="00EA2492" w:rsidRPr="00F7311D" w:rsidP="00EA2492" w14:paraId="42D122D7" w14:textId="77777777">
            <w:pPr>
              <w:spacing w:after="0" w:line="240" w:lineRule="auto"/>
              <w:rPr>
                <w:rFonts w:ascii="Calibri" w:eastAsia="Times New Roman" w:hAnsi="Calibri" w:cs="Calibri"/>
                <w:color w:val="000000"/>
                <w:sz w:val="18"/>
                <w:szCs w:val="18"/>
              </w:rPr>
            </w:pPr>
          </w:p>
        </w:tc>
      </w:tr>
      <w:tr w14:paraId="6B2E6C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6442A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income</w:t>
            </w:r>
          </w:p>
        </w:tc>
        <w:tc>
          <w:tcPr>
            <w:tcW w:w="8558" w:type="dxa"/>
            <w:shd w:val="clear" w:color="auto" w:fill="auto"/>
            <w:vAlign w:val="center"/>
            <w:hideMark/>
          </w:tcPr>
          <w:p w:rsidR="00EA2492" w:rsidRPr="00F7311D" w:rsidP="00EA2492" w14:paraId="601F3B5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derived from the institution's investments, including investments of endowment funds. Such income may take the form of interest income, dividend income, rental income or royalty income and includes both realized and unrealized gains and losses.</w:t>
            </w:r>
          </w:p>
        </w:tc>
        <w:tc>
          <w:tcPr>
            <w:tcW w:w="2097" w:type="dxa"/>
            <w:shd w:val="clear" w:color="auto" w:fill="auto"/>
            <w:vAlign w:val="center"/>
            <w:hideMark/>
          </w:tcPr>
          <w:p w:rsidR="00EA2492" w:rsidRPr="00F7311D" w:rsidP="00EA2492" w14:paraId="2934D725" w14:textId="77777777">
            <w:pPr>
              <w:spacing w:after="0" w:line="240" w:lineRule="auto"/>
              <w:rPr>
                <w:rFonts w:ascii="Calibri" w:eastAsia="Times New Roman" w:hAnsi="Calibri" w:cs="Calibri"/>
                <w:color w:val="000000"/>
                <w:sz w:val="18"/>
                <w:szCs w:val="18"/>
              </w:rPr>
            </w:pPr>
          </w:p>
        </w:tc>
      </w:tr>
      <w:tr w14:paraId="4647BB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F3FEB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Investment return</w:t>
            </w:r>
          </w:p>
        </w:tc>
        <w:tc>
          <w:tcPr>
            <w:tcW w:w="8558" w:type="dxa"/>
            <w:shd w:val="clear" w:color="auto" w:fill="auto"/>
            <w:vAlign w:val="center"/>
            <w:hideMark/>
          </w:tcPr>
          <w:p w:rsidR="00EA2492" w:rsidRPr="00F7311D" w:rsidP="00EA2492" w14:paraId="2180BEEE" w14:textId="37C4D6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Income from assets including dividends, interest earnings, royalties, rent, gains (losses) etc.</w:t>
            </w:r>
          </w:p>
        </w:tc>
        <w:tc>
          <w:tcPr>
            <w:tcW w:w="2097" w:type="dxa"/>
            <w:shd w:val="clear" w:color="auto" w:fill="auto"/>
            <w:vAlign w:val="center"/>
            <w:hideMark/>
          </w:tcPr>
          <w:p w:rsidR="00EA2492" w:rsidRPr="00F7311D" w:rsidP="00EA2492" w14:paraId="63296655" w14:textId="77777777">
            <w:pPr>
              <w:spacing w:after="0" w:line="240" w:lineRule="auto"/>
              <w:rPr>
                <w:rFonts w:ascii="Calibri" w:eastAsia="Times New Roman" w:hAnsi="Calibri" w:cs="Calibri"/>
                <w:color w:val="000000"/>
                <w:sz w:val="18"/>
                <w:szCs w:val="18"/>
              </w:rPr>
            </w:pPr>
          </w:p>
        </w:tc>
      </w:tr>
      <w:tr w14:paraId="79FA173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F970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College Opportunities Online Locator (IPEDS COOL)</w:t>
            </w:r>
          </w:p>
        </w:tc>
        <w:tc>
          <w:tcPr>
            <w:tcW w:w="8558" w:type="dxa"/>
            <w:shd w:val="clear" w:color="auto" w:fill="auto"/>
            <w:vAlign w:val="center"/>
            <w:hideMark/>
          </w:tcPr>
          <w:p w:rsidR="00EA2492" w:rsidRPr="00F7311D" w:rsidP="00EA2492" w14:paraId="2469B5C7" w14:textId="1FFDFEE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 No longer active - see College Navigator.</w:t>
            </w:r>
          </w:p>
        </w:tc>
        <w:tc>
          <w:tcPr>
            <w:tcW w:w="2097" w:type="dxa"/>
            <w:shd w:val="clear" w:color="auto" w:fill="auto"/>
            <w:vAlign w:val="center"/>
            <w:hideMark/>
          </w:tcPr>
          <w:p w:rsidR="00EA2492" w:rsidRPr="00F7311D" w:rsidP="00EA2492" w14:paraId="066F6172" w14:textId="3CA91F6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College Navigator</w:t>
            </w:r>
          </w:p>
        </w:tc>
      </w:tr>
      <w:tr w14:paraId="45BA99F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58CFA1" w14:textId="3CD00F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IPEDS </w:t>
            </w:r>
            <w:r w:rsidR="007C3FA3">
              <w:rPr>
                <w:rFonts w:ascii="Calibri" w:eastAsia="Times New Roman" w:hAnsi="Calibri" w:cs="Calibri"/>
                <w:color w:val="000000"/>
                <w:sz w:val="18"/>
                <w:szCs w:val="18"/>
              </w:rPr>
              <w:t>C</w:t>
            </w:r>
            <w:r w:rsidRPr="00F7311D">
              <w:rPr>
                <w:rFonts w:ascii="Calibri" w:eastAsia="Times New Roman" w:hAnsi="Calibri" w:cs="Calibri"/>
                <w:color w:val="000000"/>
                <w:sz w:val="18"/>
                <w:szCs w:val="18"/>
              </w:rPr>
              <w:t>oordinator</w:t>
            </w:r>
          </w:p>
        </w:tc>
        <w:tc>
          <w:tcPr>
            <w:tcW w:w="8558" w:type="dxa"/>
            <w:shd w:val="clear" w:color="auto" w:fill="auto"/>
            <w:vAlign w:val="center"/>
            <w:hideMark/>
          </w:tcPr>
          <w:p w:rsidR="00EA2492" w:rsidRPr="00F7311D" w:rsidP="00EA2492" w14:paraId="0C220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person responsible for Integrated Postsecondary Education Data System (IPEDS) survey related coordination activities for a specified group of schools within a state or system. This person has certain viewing, verifying and locking privileges on the data collection system.</w:t>
            </w:r>
          </w:p>
        </w:tc>
        <w:tc>
          <w:tcPr>
            <w:tcW w:w="2097" w:type="dxa"/>
            <w:shd w:val="clear" w:color="auto" w:fill="auto"/>
            <w:vAlign w:val="center"/>
            <w:hideMark/>
          </w:tcPr>
          <w:p w:rsidR="00EA2492" w:rsidRPr="00F7311D" w:rsidP="00EA2492" w14:paraId="1174B7C4" w14:textId="77777777">
            <w:pPr>
              <w:spacing w:after="0" w:line="240" w:lineRule="auto"/>
              <w:rPr>
                <w:rFonts w:ascii="Calibri" w:eastAsia="Times New Roman" w:hAnsi="Calibri" w:cs="Calibri"/>
                <w:color w:val="000000"/>
                <w:sz w:val="18"/>
                <w:szCs w:val="18"/>
              </w:rPr>
            </w:pPr>
          </w:p>
        </w:tc>
      </w:tr>
      <w:tr w14:paraId="386CF445"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22B188AD" w14:textId="7B405C66">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IPEDS </w:t>
            </w:r>
            <w:r w:rsidRPr="00FB5A34" w:rsidR="00F36F5D">
              <w:rPr>
                <w:rFonts w:ascii="Calibri" w:eastAsia="Times New Roman" w:hAnsi="Calibri" w:cs="Calibri"/>
                <w:color w:val="000000" w:themeColor="text1"/>
                <w:sz w:val="18"/>
                <w:szCs w:val="18"/>
              </w:rPr>
              <w:t xml:space="preserve">Use the Data Webpage (formerly IPEDS </w:t>
            </w:r>
            <w:r w:rsidRPr="00FB5A34">
              <w:rPr>
                <w:rFonts w:ascii="Calibri" w:eastAsia="Times New Roman" w:hAnsi="Calibri" w:cs="Calibri"/>
                <w:color w:val="000000" w:themeColor="text1"/>
                <w:sz w:val="18"/>
                <w:szCs w:val="18"/>
              </w:rPr>
              <w:t>Data Center</w:t>
            </w:r>
            <w:r w:rsidRPr="00FB5A34" w:rsidR="00F36F5D">
              <w:rPr>
                <w:rFonts w:ascii="Calibri" w:eastAsia="Times New Roman" w:hAnsi="Calibri" w:cs="Calibri"/>
                <w:color w:val="000000" w:themeColor="text1"/>
                <w:sz w:val="18"/>
                <w:szCs w:val="18"/>
              </w:rPr>
              <w:t>)</w:t>
            </w:r>
          </w:p>
        </w:tc>
        <w:tc>
          <w:tcPr>
            <w:tcW w:w="8558" w:type="dxa"/>
            <w:shd w:val="clear" w:color="auto" w:fill="auto"/>
            <w:vAlign w:val="center"/>
            <w:hideMark/>
          </w:tcPr>
          <w:p w:rsidR="00EA2492" w:rsidRPr="00FB5A34" w:rsidP="00EA2492" w14:paraId="0FD51690" w14:textId="18B18A81">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The IPEDS </w:t>
            </w:r>
            <w:r w:rsidRPr="00FB5A34" w:rsidR="00F36F5D">
              <w:rPr>
                <w:rFonts w:ascii="Calibri" w:eastAsia="Times New Roman" w:hAnsi="Calibri" w:cs="Calibri"/>
                <w:color w:val="000000" w:themeColor="text1"/>
                <w:sz w:val="18"/>
                <w:szCs w:val="18"/>
              </w:rPr>
              <w:t xml:space="preserve">Use the Data webpage </w:t>
            </w:r>
            <w:r w:rsidRPr="00FB5A34">
              <w:rPr>
                <w:rFonts w:ascii="Calibri" w:eastAsia="Times New Roman" w:hAnsi="Calibri" w:cs="Calibri"/>
                <w:color w:val="000000" w:themeColor="text1"/>
                <w:sz w:val="18"/>
                <w:szCs w:val="18"/>
              </w:rPr>
              <w:t>is the single entry point for retrieving IPEDS data.  Using the</w:t>
            </w:r>
            <w:r w:rsidRPr="00FB5A34" w:rsidR="00F36F5D">
              <w:rPr>
                <w:rFonts w:ascii="Calibri" w:eastAsia="Times New Roman" w:hAnsi="Calibri" w:cs="Calibri"/>
                <w:color w:val="000000" w:themeColor="text1"/>
                <w:sz w:val="18"/>
                <w:szCs w:val="18"/>
              </w:rPr>
              <w:t xml:space="preserve"> webpage</w:t>
            </w:r>
            <w:r w:rsidRPr="00FB5A34">
              <w:rPr>
                <w:rFonts w:ascii="Calibri" w:eastAsia="Times New Roman" w:hAnsi="Calibri" w:cs="Calibri"/>
                <w:color w:val="000000" w:themeColor="text1"/>
                <w:sz w:val="18"/>
                <w:szCs w:val="18"/>
              </w:rPr>
              <w:t xml:space="preserve">, one can easily download data files for one or more institutions with information from any of the IPEDS </w:t>
            </w:r>
            <w:r w:rsidRPr="00FB5A34" w:rsidR="00F36F5D">
              <w:rPr>
                <w:rFonts w:ascii="Calibri" w:eastAsia="Times New Roman" w:hAnsi="Calibri" w:cs="Calibri"/>
                <w:color w:val="000000" w:themeColor="text1"/>
                <w:sz w:val="18"/>
                <w:szCs w:val="18"/>
              </w:rPr>
              <w:t xml:space="preserve">survey </w:t>
            </w:r>
            <w:r w:rsidRPr="00FB5A34">
              <w:rPr>
                <w:rFonts w:ascii="Calibri" w:eastAsia="Times New Roman" w:hAnsi="Calibri" w:cs="Calibri"/>
                <w:color w:val="000000" w:themeColor="text1"/>
                <w:sz w:val="18"/>
                <w:szCs w:val="18"/>
              </w:rPr>
              <w:t>components or download complete data files, produce a variety of reports</w:t>
            </w:r>
            <w:r w:rsidRPr="00FB5A34" w:rsidR="00F36F5D">
              <w:rPr>
                <w:rFonts w:ascii="Calibri" w:eastAsia="Times New Roman" w:hAnsi="Calibri" w:cs="Calibri"/>
                <w:color w:val="000000" w:themeColor="text1"/>
                <w:sz w:val="18"/>
                <w:szCs w:val="18"/>
              </w:rPr>
              <w:t xml:space="preserve"> and data trends</w:t>
            </w:r>
            <w:r w:rsidRPr="00FB5A34">
              <w:rPr>
                <w:rFonts w:ascii="Calibri" w:eastAsia="Times New Roman" w:hAnsi="Calibri" w:cs="Calibri"/>
                <w:color w:val="000000" w:themeColor="text1"/>
                <w:sz w:val="18"/>
                <w:szCs w:val="18"/>
              </w:rPr>
              <w:t>, or create group statistics.</w:t>
            </w:r>
          </w:p>
        </w:tc>
        <w:tc>
          <w:tcPr>
            <w:tcW w:w="2097" w:type="dxa"/>
            <w:shd w:val="clear" w:color="auto" w:fill="auto"/>
            <w:vAlign w:val="center"/>
            <w:hideMark/>
          </w:tcPr>
          <w:p w:rsidR="00EA2492" w:rsidRPr="00FB5A34" w:rsidP="00EA2492" w14:paraId="7CCF5140" w14:textId="77777777">
            <w:pPr>
              <w:spacing w:after="0" w:line="240" w:lineRule="auto"/>
              <w:rPr>
                <w:rFonts w:ascii="Calibri" w:eastAsia="Times New Roman" w:hAnsi="Calibri" w:cs="Calibri"/>
                <w:color w:val="000000" w:themeColor="text1"/>
                <w:sz w:val="18"/>
                <w:szCs w:val="18"/>
              </w:rPr>
            </w:pPr>
          </w:p>
        </w:tc>
      </w:tr>
      <w:tr w14:paraId="223635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6E3C3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IPEDS universe</w:t>
            </w:r>
          </w:p>
        </w:tc>
        <w:tc>
          <w:tcPr>
            <w:tcW w:w="8558" w:type="dxa"/>
            <w:shd w:val="clear" w:color="auto" w:fill="auto"/>
            <w:vAlign w:val="center"/>
            <w:hideMark/>
          </w:tcPr>
          <w:p w:rsidR="00EA2492" w:rsidRPr="00F7311D" w:rsidP="00EA2492" w14:paraId="2ADC37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postsecondary institutions that have been identified and are potential respondents to the IPEDS surveys. The universe does not include all postsecondary institutions because many exist that are not included in the list of Title IV eligible institutions and, thus, there is currently no complete list of these institutions.</w:t>
            </w:r>
          </w:p>
        </w:tc>
        <w:tc>
          <w:tcPr>
            <w:tcW w:w="2097" w:type="dxa"/>
            <w:shd w:val="clear" w:color="auto" w:fill="auto"/>
            <w:vAlign w:val="center"/>
            <w:hideMark/>
          </w:tcPr>
          <w:p w:rsidR="00EA2492" w:rsidRPr="00F7311D" w:rsidP="00EA2492" w14:paraId="5D47AF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Characteristics (IC)</w:t>
            </w:r>
          </w:p>
        </w:tc>
      </w:tr>
      <w:tr w14:paraId="3B5E3A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BEA7F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Job Training Partnership Act (JTPA)</w:t>
            </w:r>
          </w:p>
        </w:tc>
        <w:tc>
          <w:tcPr>
            <w:tcW w:w="8558" w:type="dxa"/>
            <w:shd w:val="clear" w:color="auto" w:fill="auto"/>
            <w:vAlign w:val="center"/>
            <w:hideMark/>
          </w:tcPr>
          <w:p w:rsidR="00EA2492" w:rsidRPr="00F7311D" w:rsidP="00EA2492" w14:paraId="713ED9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Legislation effective beginning Federal Fiscal Year 1984, enabling Private Industry Councils (PICs) in service areas defined within each state to support job training programs. Provisions of the legislation deal with the authority of the councils, the range of allowable programs, and special populations to be served.</w:t>
            </w:r>
          </w:p>
        </w:tc>
        <w:tc>
          <w:tcPr>
            <w:tcW w:w="2097" w:type="dxa"/>
            <w:shd w:val="clear" w:color="auto" w:fill="auto"/>
            <w:vAlign w:val="center"/>
            <w:hideMark/>
          </w:tcPr>
          <w:p w:rsidR="00EA2492" w:rsidRPr="00F7311D" w:rsidP="00EA2492" w14:paraId="131C2FB0" w14:textId="77777777">
            <w:pPr>
              <w:spacing w:after="0" w:line="240" w:lineRule="auto"/>
              <w:rPr>
                <w:rFonts w:ascii="Calibri" w:eastAsia="Times New Roman" w:hAnsi="Calibri" w:cs="Calibri"/>
                <w:color w:val="000000"/>
                <w:sz w:val="18"/>
                <w:szCs w:val="18"/>
              </w:rPr>
            </w:pPr>
          </w:p>
        </w:tc>
      </w:tr>
      <w:tr w14:paraId="3482BB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E5A04C" w14:textId="3863289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IPEDS </w:t>
            </w:r>
            <w:r w:rsidRPr="00F7311D">
              <w:rPr>
                <w:rFonts w:ascii="Calibri" w:eastAsia="Times New Roman" w:hAnsi="Calibri" w:cs="Calibri"/>
                <w:color w:val="000000"/>
                <w:sz w:val="18"/>
                <w:szCs w:val="18"/>
              </w:rPr>
              <w:t>Keyholder</w:t>
            </w:r>
          </w:p>
        </w:tc>
        <w:tc>
          <w:tcPr>
            <w:tcW w:w="8558" w:type="dxa"/>
            <w:shd w:val="clear" w:color="auto" w:fill="auto"/>
            <w:vAlign w:val="center"/>
            <w:hideMark/>
          </w:tcPr>
          <w:p w:rsidR="00EA2492" w:rsidRPr="00F7311D" w:rsidP="00EA2492" w14:paraId="0C435775" w14:textId="5FF8392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person designated by an official institutional representative to have in their possession the necessary </w:t>
            </w:r>
            <w:r w:rsidRPr="00F7311D">
              <w:rPr>
                <w:rFonts w:ascii="Calibri" w:eastAsia="Times New Roman" w:hAnsi="Calibri" w:cs="Calibri"/>
                <w:color w:val="000000"/>
                <w:sz w:val="18"/>
                <w:szCs w:val="18"/>
              </w:rPr>
              <w:t>UserID</w:t>
            </w:r>
            <w:r w:rsidRPr="00F7311D">
              <w:rPr>
                <w:rFonts w:ascii="Calibri" w:eastAsia="Times New Roman" w:hAnsi="Calibri" w:cs="Calibri"/>
                <w:color w:val="000000"/>
                <w:sz w:val="18"/>
                <w:szCs w:val="18"/>
              </w:rPr>
              <w:t xml:space="preserve"> and password to gain access to the Integrated Postsecondary Education Data System (IPEDS) data collection </w:t>
            </w:r>
            <w:r w:rsidRPr="00F7311D">
              <w:rPr>
                <w:rFonts w:ascii="Calibri" w:eastAsia="Times New Roman" w:hAnsi="Calibri" w:cs="Calibri"/>
                <w:color w:val="000000"/>
                <w:sz w:val="18"/>
                <w:szCs w:val="18"/>
              </w:rPr>
              <w:t>system to complete the survey. The keyholder is responsible for entering data and locking the site by each survey completion date.</w:t>
            </w:r>
          </w:p>
        </w:tc>
        <w:tc>
          <w:tcPr>
            <w:tcW w:w="2097" w:type="dxa"/>
            <w:shd w:val="clear" w:color="auto" w:fill="auto"/>
            <w:vAlign w:val="center"/>
            <w:hideMark/>
          </w:tcPr>
          <w:p w:rsidR="00EA2492" w:rsidRPr="00F7311D" w:rsidP="00EA2492" w14:paraId="0E7EE0CC" w14:textId="77777777">
            <w:pPr>
              <w:spacing w:after="0" w:line="240" w:lineRule="auto"/>
              <w:rPr>
                <w:rFonts w:ascii="Calibri" w:eastAsia="Times New Roman" w:hAnsi="Calibri" w:cs="Calibri"/>
                <w:color w:val="000000"/>
                <w:sz w:val="18"/>
                <w:szCs w:val="18"/>
              </w:rPr>
            </w:pPr>
          </w:p>
        </w:tc>
      </w:tr>
      <w:tr w14:paraId="54978C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66FD6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Land and land improvements</w:t>
            </w:r>
          </w:p>
        </w:tc>
        <w:tc>
          <w:tcPr>
            <w:tcW w:w="8558" w:type="dxa"/>
            <w:shd w:val="clear" w:color="auto" w:fill="auto"/>
            <w:vAlign w:val="center"/>
            <w:hideMark/>
          </w:tcPr>
          <w:p w:rsidR="00EA2492" w:rsidRPr="00F7311D" w:rsidP="00EA2492" w14:paraId="5B8991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Capital assets consisting of land and improvements such as athletic fields, golf courses, or lakes. Land is </w:t>
            </w:r>
            <w:r w:rsidRPr="00F7311D">
              <w:rPr>
                <w:rFonts w:ascii="Calibri" w:eastAsia="Times New Roman" w:hAnsi="Calibri" w:cs="Calibri"/>
                <w:color w:val="000000"/>
                <w:sz w:val="18"/>
                <w:szCs w:val="18"/>
              </w:rPr>
              <w:t>nondepreciable</w:t>
            </w:r>
            <w:r w:rsidRPr="00F7311D">
              <w:rPr>
                <w:rFonts w:ascii="Calibri" w:eastAsia="Times New Roman" w:hAnsi="Calibri" w:cs="Calibri"/>
                <w:color w:val="000000"/>
                <w:sz w:val="18"/>
                <w:szCs w:val="18"/>
              </w:rPr>
              <w:t xml:space="preserve">; some land improvements are depreciable and some are </w:t>
            </w:r>
            <w:r w:rsidRPr="00F7311D">
              <w:rPr>
                <w:rFonts w:ascii="Calibri" w:eastAsia="Times New Roman" w:hAnsi="Calibri" w:cs="Calibri"/>
                <w:color w:val="000000"/>
                <w:sz w:val="18"/>
                <w:szCs w:val="18"/>
              </w:rPr>
              <w:t>nondepreciable</w:t>
            </w:r>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78F03F4" w14:textId="77777777">
            <w:pPr>
              <w:spacing w:after="0" w:line="240" w:lineRule="auto"/>
              <w:rPr>
                <w:rFonts w:ascii="Calibri" w:eastAsia="Times New Roman" w:hAnsi="Calibri" w:cs="Calibri"/>
                <w:color w:val="000000"/>
                <w:sz w:val="18"/>
                <w:szCs w:val="18"/>
              </w:rPr>
            </w:pPr>
          </w:p>
        </w:tc>
      </w:tr>
      <w:tr w14:paraId="4734F783"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54E74AF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Land-grant institution</w:t>
            </w:r>
          </w:p>
        </w:tc>
        <w:tc>
          <w:tcPr>
            <w:tcW w:w="8558" w:type="dxa"/>
            <w:shd w:val="clear" w:color="auto" w:fill="auto"/>
            <w:vAlign w:val="center"/>
            <w:hideMark/>
          </w:tcPr>
          <w:p w:rsidR="00EA2492" w:rsidRPr="002515CF" w:rsidP="00EA2492" w14:paraId="4834C1EC"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land-grant college or university is an institution that has been designated by its state legislature or Congress to receive the benefits of the Morrill Acts of 1862 and 1890. The original mission of these institutions, as set forth in the first Morrill Act, was to teach agriculture, military tactics, and the mechanic arts as well as classical studies so that members of the working classes could obtain a liberal, practical education.  For more information on land-grant institutions see http://www.csrees.usda.gov/qlinks/partners/state_partners.html.</w:t>
            </w:r>
          </w:p>
        </w:tc>
        <w:tc>
          <w:tcPr>
            <w:tcW w:w="2097" w:type="dxa"/>
            <w:shd w:val="clear" w:color="auto" w:fill="auto"/>
            <w:vAlign w:val="center"/>
            <w:hideMark/>
          </w:tcPr>
          <w:p w:rsidR="00EA2492" w:rsidRPr="00F7311D" w:rsidP="00EA2492" w14:paraId="2B0057CC" w14:textId="77777777">
            <w:pPr>
              <w:spacing w:after="0" w:line="240" w:lineRule="auto"/>
              <w:rPr>
                <w:rFonts w:ascii="Calibri" w:eastAsia="Times New Roman" w:hAnsi="Calibri" w:cs="Calibri"/>
                <w:color w:val="000000"/>
                <w:sz w:val="18"/>
                <w:szCs w:val="18"/>
              </w:rPr>
            </w:pPr>
          </w:p>
        </w:tc>
      </w:tr>
      <w:tr w14:paraId="40B12A72" w14:textId="77777777" w:rsidTr="0036249A">
        <w:tblPrEx>
          <w:tblW w:w="13616" w:type="dxa"/>
          <w:tblLook w:val="04A0"/>
        </w:tblPrEx>
        <w:trPr>
          <w:trHeight w:val="20"/>
        </w:trPr>
        <w:tc>
          <w:tcPr>
            <w:tcW w:w="2961" w:type="dxa"/>
            <w:shd w:val="clear" w:color="auto" w:fill="auto"/>
            <w:vAlign w:val="center"/>
          </w:tcPr>
          <w:p w:rsidR="00EA2492" w:rsidRPr="002515CF" w:rsidP="00EA2492" w14:paraId="119DCD06" w14:textId="0816054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Legacy status</w:t>
            </w:r>
          </w:p>
        </w:tc>
        <w:tc>
          <w:tcPr>
            <w:tcW w:w="8558" w:type="dxa"/>
            <w:shd w:val="clear" w:color="auto" w:fill="auto"/>
            <w:vAlign w:val="center"/>
          </w:tcPr>
          <w:p w:rsidR="00EA2492" w:rsidRPr="002515CF" w:rsidP="00EA2492" w14:paraId="6DCF2097" w14:textId="35E7817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Students who have a familial tie to an institution including parents or relatives who are alumni or a sibling who currently attends. </w:t>
            </w:r>
          </w:p>
        </w:tc>
        <w:tc>
          <w:tcPr>
            <w:tcW w:w="2097" w:type="dxa"/>
            <w:shd w:val="clear" w:color="auto" w:fill="auto"/>
            <w:vAlign w:val="center"/>
          </w:tcPr>
          <w:p w:rsidR="00EA2492" w:rsidRPr="00F7311D" w:rsidP="00EA2492" w14:paraId="3E2230A6" w14:textId="77777777">
            <w:pPr>
              <w:spacing w:after="0" w:line="240" w:lineRule="auto"/>
              <w:rPr>
                <w:rFonts w:ascii="Calibri" w:eastAsia="Times New Roman" w:hAnsi="Calibri" w:cs="Calibri"/>
                <w:color w:val="000000"/>
                <w:sz w:val="18"/>
                <w:szCs w:val="18"/>
              </w:rPr>
            </w:pPr>
          </w:p>
        </w:tc>
      </w:tr>
      <w:tr w14:paraId="62DD721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60844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2-year institution</w:t>
            </w:r>
          </w:p>
        </w:tc>
        <w:tc>
          <w:tcPr>
            <w:tcW w:w="8558" w:type="dxa"/>
            <w:shd w:val="clear" w:color="auto" w:fill="auto"/>
            <w:vAlign w:val="center"/>
            <w:hideMark/>
          </w:tcPr>
          <w:p w:rsidR="00EA2492" w:rsidRPr="00F7311D" w:rsidP="00EA2492" w14:paraId="163C33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less than 2-years duration below the baccalaureate level. Includes occupational and vocational schools with programs that do not exceed 1800 clock hours .</w:t>
            </w:r>
          </w:p>
        </w:tc>
        <w:tc>
          <w:tcPr>
            <w:tcW w:w="2097" w:type="dxa"/>
            <w:shd w:val="clear" w:color="auto" w:fill="auto"/>
            <w:vAlign w:val="center"/>
            <w:hideMark/>
          </w:tcPr>
          <w:p w:rsidR="00EA2492" w:rsidRPr="00F7311D" w:rsidP="00EA2492" w14:paraId="1E84AC94" w14:textId="77777777">
            <w:pPr>
              <w:spacing w:after="0" w:line="240" w:lineRule="auto"/>
              <w:rPr>
                <w:rFonts w:ascii="Calibri" w:eastAsia="Times New Roman" w:hAnsi="Calibri" w:cs="Calibri"/>
                <w:color w:val="000000"/>
                <w:sz w:val="18"/>
                <w:szCs w:val="18"/>
              </w:rPr>
            </w:pPr>
          </w:p>
        </w:tc>
      </w:tr>
      <w:tr w14:paraId="30FB410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6E01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 than 9/10-month salary contract/teaching period</w:t>
            </w:r>
          </w:p>
        </w:tc>
        <w:tc>
          <w:tcPr>
            <w:tcW w:w="8558" w:type="dxa"/>
            <w:shd w:val="clear" w:color="auto" w:fill="auto"/>
            <w:vAlign w:val="center"/>
            <w:hideMark/>
          </w:tcPr>
          <w:p w:rsidR="00EA2492" w:rsidRPr="00F7311D" w:rsidP="00EA2492" w14:paraId="6B328628" w14:textId="2850183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contracted teaching period of faculty employed for less than 2 semesters, 3 quarters, 2 trimesters, or 2 4-month sessions. (Term used in IPEDS HR survey component prior to 2012-13)</w:t>
            </w:r>
          </w:p>
        </w:tc>
        <w:tc>
          <w:tcPr>
            <w:tcW w:w="2097" w:type="dxa"/>
            <w:shd w:val="clear" w:color="auto" w:fill="auto"/>
            <w:vAlign w:val="center"/>
            <w:hideMark/>
          </w:tcPr>
          <w:p w:rsidR="00EA2492" w:rsidRPr="00F7311D" w:rsidP="00EA2492" w14:paraId="0C51962F" w14:textId="77777777">
            <w:pPr>
              <w:spacing w:after="0" w:line="240" w:lineRule="auto"/>
              <w:rPr>
                <w:rFonts w:ascii="Calibri" w:eastAsia="Times New Roman" w:hAnsi="Calibri" w:cs="Calibri"/>
                <w:color w:val="000000"/>
                <w:sz w:val="18"/>
                <w:szCs w:val="18"/>
              </w:rPr>
            </w:pPr>
          </w:p>
        </w:tc>
      </w:tr>
      <w:tr w14:paraId="509FF2F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FB37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Less-than-annual contract or employment agreement</w:t>
            </w:r>
          </w:p>
        </w:tc>
        <w:tc>
          <w:tcPr>
            <w:tcW w:w="8558" w:type="dxa"/>
            <w:shd w:val="clear" w:color="auto" w:fill="auto"/>
            <w:vAlign w:val="center"/>
            <w:hideMark/>
          </w:tcPr>
          <w:p w:rsidR="00EA2492" w:rsidRPr="00F7311D" w:rsidP="00EA2492" w14:paraId="0D7F020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a partial year period of less than 365 days, or less than a standard academic year or the equivalent. Includes contracts for partial year periods such as a single semester, quarter, term, block, or course.</w:t>
            </w:r>
          </w:p>
        </w:tc>
        <w:tc>
          <w:tcPr>
            <w:tcW w:w="2097" w:type="dxa"/>
            <w:shd w:val="clear" w:color="auto" w:fill="auto"/>
            <w:vAlign w:val="center"/>
            <w:hideMark/>
          </w:tcPr>
          <w:p w:rsidR="00EA2492" w:rsidRPr="00F7311D" w:rsidP="00EA2492" w14:paraId="5C7D5E85" w14:textId="77777777">
            <w:pPr>
              <w:spacing w:after="0" w:line="240" w:lineRule="auto"/>
              <w:rPr>
                <w:rFonts w:ascii="Calibri" w:eastAsia="Times New Roman" w:hAnsi="Calibri" w:cs="Calibri"/>
                <w:color w:val="000000"/>
                <w:sz w:val="18"/>
                <w:szCs w:val="18"/>
              </w:rPr>
            </w:pPr>
          </w:p>
        </w:tc>
      </w:tr>
      <w:tr w14:paraId="0CEDACF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383D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 (of institution)</w:t>
            </w:r>
          </w:p>
        </w:tc>
        <w:tc>
          <w:tcPr>
            <w:tcW w:w="8558" w:type="dxa"/>
            <w:shd w:val="clear" w:color="auto" w:fill="auto"/>
            <w:vAlign w:val="center"/>
            <w:hideMark/>
          </w:tcPr>
          <w:p w:rsidR="00EA2492" w:rsidRPr="00F7311D" w:rsidP="00EA2492" w14:paraId="3FAC8B48" w14:textId="0E5D8FF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classification of whether an institution's programs are 4-year or higher (4 year), 2-but-less-than 4-year (2 year), or less than 2-year.</w:t>
            </w:r>
          </w:p>
        </w:tc>
        <w:tc>
          <w:tcPr>
            <w:tcW w:w="2097" w:type="dxa"/>
            <w:shd w:val="clear" w:color="auto" w:fill="auto"/>
            <w:vAlign w:val="center"/>
            <w:hideMark/>
          </w:tcPr>
          <w:p w:rsidR="00EA2492" w:rsidRPr="00F7311D" w:rsidP="00EA2492" w14:paraId="59682F5B" w14:textId="0CCFBFF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Control (of institution)</w:t>
            </w:r>
          </w:p>
        </w:tc>
      </w:tr>
      <w:tr w14:paraId="4EB2BE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118A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Levels of offering</w:t>
            </w:r>
          </w:p>
        </w:tc>
        <w:tc>
          <w:tcPr>
            <w:tcW w:w="8558" w:type="dxa"/>
            <w:shd w:val="clear" w:color="auto" w:fill="auto"/>
            <w:vAlign w:val="center"/>
            <w:hideMark/>
          </w:tcPr>
          <w:p w:rsidR="00EA2492" w:rsidRPr="00F7311D" w:rsidP="00EA2492" w14:paraId="5CE9D409" w14:textId="2E6FF0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Information collected in the Institutional Characteristics component which indicates all applicable levels for all credit programs offered at an institution. Award levels are identified on the basis of recognition for their completion, duration, or a combination thereof. Degree-designated award levels indicate those degree levels for which the institution is authorized to offer recognized postsecondary credentials. Length of study is the equivalent of the number of full-time academic years. For example, at least 1 but less than 2 years refers to the number of credits or the course load that would normally be completed by a full-time student attending within the stated time period.</w:t>
            </w:r>
          </w:p>
        </w:tc>
        <w:tc>
          <w:tcPr>
            <w:tcW w:w="2097" w:type="dxa"/>
            <w:shd w:val="clear" w:color="auto" w:fill="auto"/>
            <w:vAlign w:val="center"/>
            <w:hideMark/>
          </w:tcPr>
          <w:p w:rsidR="00EA2492" w:rsidRPr="00F7311D" w:rsidP="00EA2492" w14:paraId="117849C5" w14:textId="77777777">
            <w:pPr>
              <w:spacing w:after="0" w:line="240" w:lineRule="auto"/>
              <w:rPr>
                <w:rFonts w:ascii="Calibri" w:eastAsia="Times New Roman" w:hAnsi="Calibri" w:cs="Calibri"/>
                <w:color w:val="000000"/>
                <w:sz w:val="18"/>
                <w:szCs w:val="18"/>
              </w:rPr>
            </w:pPr>
          </w:p>
        </w:tc>
      </w:tr>
      <w:tr w14:paraId="4E9E9DA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A487CA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Liabilities</w:t>
            </w:r>
          </w:p>
        </w:tc>
        <w:tc>
          <w:tcPr>
            <w:tcW w:w="8558" w:type="dxa"/>
            <w:shd w:val="clear" w:color="auto" w:fill="auto"/>
            <w:vAlign w:val="center"/>
            <w:hideMark/>
          </w:tcPr>
          <w:p w:rsidR="00EA2492" w:rsidRPr="00F7311D" w:rsidP="00EA2492" w14:paraId="09E231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Debts and obligations of the institution owed to outsiders or claims or rights, expressed in monetary terms, of an institution's creditors. GASB institutions are required to report liabilities under two categories - current liabilities and noncurrent liabilities.</w:t>
            </w:r>
          </w:p>
        </w:tc>
        <w:tc>
          <w:tcPr>
            <w:tcW w:w="2097" w:type="dxa"/>
            <w:shd w:val="clear" w:color="auto" w:fill="auto"/>
            <w:vAlign w:val="center"/>
            <w:hideMark/>
          </w:tcPr>
          <w:p w:rsidR="00EA2492" w:rsidRPr="00F7311D" w:rsidP="00EA2492" w14:paraId="45970B70" w14:textId="77777777">
            <w:pPr>
              <w:spacing w:after="0" w:line="240" w:lineRule="auto"/>
              <w:rPr>
                <w:rFonts w:ascii="Calibri" w:eastAsia="Times New Roman" w:hAnsi="Calibri" w:cs="Calibri"/>
                <w:color w:val="000000"/>
                <w:sz w:val="18"/>
                <w:szCs w:val="18"/>
              </w:rPr>
            </w:pPr>
          </w:p>
        </w:tc>
      </w:tr>
      <w:tr w14:paraId="6687BF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1210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and Media Collections Specialists</w:t>
            </w:r>
          </w:p>
        </w:tc>
        <w:tc>
          <w:tcPr>
            <w:tcW w:w="8558" w:type="dxa"/>
            <w:shd w:val="clear" w:color="auto" w:fill="auto"/>
            <w:vAlign w:val="center"/>
            <w:hideMark/>
          </w:tcPr>
          <w:p w:rsidR="00EA2492" w:rsidRPr="00F7311D" w:rsidP="00EA2492" w14:paraId="6E0D888E" w14:textId="0C764E4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'Librarians and Media Collections Specialists' (SOC code 25-4020). For detailed information, refer to the following website: https://www.bls.gov/soc/2018/major_groups.htm#25-0000.</w:t>
            </w:r>
          </w:p>
        </w:tc>
        <w:tc>
          <w:tcPr>
            <w:tcW w:w="2097" w:type="dxa"/>
            <w:shd w:val="clear" w:color="auto" w:fill="auto"/>
            <w:vAlign w:val="center"/>
            <w:hideMark/>
          </w:tcPr>
          <w:p w:rsidR="00EA2492" w:rsidRPr="00F7311D" w:rsidP="00EA2492" w14:paraId="183C90B2" w14:textId="77777777">
            <w:pPr>
              <w:spacing w:after="0" w:line="240" w:lineRule="auto"/>
              <w:rPr>
                <w:rFonts w:ascii="Calibri" w:eastAsia="Times New Roman" w:hAnsi="Calibri" w:cs="Calibri"/>
                <w:color w:val="000000"/>
                <w:sz w:val="18"/>
                <w:szCs w:val="18"/>
              </w:rPr>
            </w:pPr>
          </w:p>
        </w:tc>
      </w:tr>
      <w:tr w14:paraId="4628A0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0D30BD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Librarians, Curators, and Archivists</w:t>
            </w:r>
          </w:p>
        </w:tc>
        <w:tc>
          <w:tcPr>
            <w:tcW w:w="8558" w:type="dxa"/>
            <w:shd w:val="clear" w:color="auto" w:fill="auto"/>
            <w:vAlign w:val="center"/>
            <w:hideMark/>
          </w:tcPr>
          <w:p w:rsidR="00EA2492" w:rsidRPr="00F7311D" w:rsidP="00EA2492" w14:paraId="3B7A7666" w14:textId="2B3162D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broad occupations in the 2010 Standard Occupational Classification (SOC) Manual: 1) Librarians (SOC code 25-4020) (https://www.bls.gov/soc/2010/2010_major_groups.htm#25-0000); 2) Archivists, Curators, and Museum Technicians (SOC code 25-4010) (https://www.bls.gov/soc/2010/2010_major_groups.htm#25-0000); and 3) Library Technicians (SOC code 25-4030) (https://www.bls.gov/soc/2010/2010_major_groups.htm#25-0000).</w:t>
            </w:r>
          </w:p>
        </w:tc>
        <w:tc>
          <w:tcPr>
            <w:tcW w:w="2097" w:type="dxa"/>
            <w:shd w:val="clear" w:color="auto" w:fill="auto"/>
            <w:vAlign w:val="center"/>
            <w:hideMark/>
          </w:tcPr>
          <w:p w:rsidR="00EA2492" w:rsidRPr="00F7311D" w:rsidP="00EA2492" w14:paraId="641CF67A" w14:textId="77777777">
            <w:pPr>
              <w:spacing w:after="0" w:line="240" w:lineRule="auto"/>
              <w:rPr>
                <w:rFonts w:ascii="Calibri" w:eastAsia="Times New Roman" w:hAnsi="Calibri" w:cs="Calibri"/>
                <w:color w:val="000000"/>
                <w:sz w:val="18"/>
                <w:szCs w:val="18"/>
              </w:rPr>
            </w:pPr>
          </w:p>
        </w:tc>
      </w:tr>
      <w:tr w14:paraId="401E587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F9A9F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w:t>
            </w:r>
          </w:p>
        </w:tc>
        <w:tc>
          <w:tcPr>
            <w:tcW w:w="8558" w:type="dxa"/>
            <w:shd w:val="clear" w:color="auto" w:fill="auto"/>
            <w:vAlign w:val="center"/>
            <w:hideMark/>
          </w:tcPr>
          <w:p w:rsidR="00EA2492" w:rsidRPr="00F7311D" w:rsidP="00EA2492" w14:paraId="09D5E5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organized collection of printed, microform, and audiovisual materials which (a) is administered as one or more units, (b) is located in one or more designated places, and (c) makes printed, microform, and audiovisual materials as well as necessary equipment and services of a staff accessible to students and to faculty. Includes units meeting the above definition which are part of a learning resource center.</w:t>
            </w:r>
          </w:p>
        </w:tc>
        <w:tc>
          <w:tcPr>
            <w:tcW w:w="2097" w:type="dxa"/>
            <w:shd w:val="clear" w:color="auto" w:fill="auto"/>
            <w:vAlign w:val="center"/>
            <w:hideMark/>
          </w:tcPr>
          <w:p w:rsidR="00EA2492" w:rsidRPr="00F7311D" w:rsidP="00EA2492" w14:paraId="6DC52B63" w14:textId="77777777">
            <w:pPr>
              <w:spacing w:after="0" w:line="240" w:lineRule="auto"/>
              <w:rPr>
                <w:rFonts w:ascii="Calibri" w:eastAsia="Times New Roman" w:hAnsi="Calibri" w:cs="Calibri"/>
                <w:color w:val="000000"/>
                <w:sz w:val="18"/>
                <w:szCs w:val="18"/>
              </w:rPr>
            </w:pPr>
          </w:p>
        </w:tc>
      </w:tr>
      <w:tr w14:paraId="12940D8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34D5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and Student and Academic Affairs and Other Education Services Occupations</w:t>
            </w:r>
          </w:p>
        </w:tc>
        <w:tc>
          <w:tcPr>
            <w:tcW w:w="8558" w:type="dxa"/>
            <w:shd w:val="clear" w:color="auto" w:fill="auto"/>
            <w:vAlign w:val="center"/>
            <w:hideMark/>
          </w:tcPr>
          <w:p w:rsidR="00EA2492" w:rsidRPr="00F7311D" w:rsidP="00EA2492" w14:paraId="70FBDE82" w14:textId="6251C21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category</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consisting of the following: 1. Archivists, Curators, and Museum Technicians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2. Librarians and Media Collections Specialists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3. Library Technicians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4. Student and Academic Affairs and Other Education Services Occupations</w:t>
            </w:r>
          </w:p>
        </w:tc>
        <w:tc>
          <w:tcPr>
            <w:tcW w:w="2097" w:type="dxa"/>
            <w:shd w:val="clear" w:color="auto" w:fill="auto"/>
            <w:vAlign w:val="center"/>
            <w:hideMark/>
          </w:tcPr>
          <w:p w:rsidR="00EA2492" w:rsidRPr="00F7311D" w:rsidP="00EA2492" w14:paraId="09941FC9" w14:textId="77777777">
            <w:pPr>
              <w:spacing w:after="0" w:line="240" w:lineRule="auto"/>
              <w:rPr>
                <w:rFonts w:ascii="Calibri" w:eastAsia="Times New Roman" w:hAnsi="Calibri" w:cs="Calibri"/>
                <w:color w:val="000000"/>
                <w:sz w:val="18"/>
                <w:szCs w:val="18"/>
              </w:rPr>
            </w:pPr>
          </w:p>
        </w:tc>
      </w:tr>
      <w:tr w14:paraId="78A6C7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4D8C8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collections</w:t>
            </w:r>
          </w:p>
        </w:tc>
        <w:tc>
          <w:tcPr>
            <w:tcW w:w="8558" w:type="dxa"/>
            <w:shd w:val="clear" w:color="auto" w:fill="auto"/>
            <w:vAlign w:val="center"/>
            <w:hideMark/>
          </w:tcPr>
          <w:p w:rsidR="00EA2492" w:rsidRPr="00F7311D" w:rsidP="00EA2492" w14:paraId="1B9158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Comprise of documents held locally and remote resources for which permanent or temporary access rights have been acquired. Access rights may be acquired by the library itself, by a consortium and/or through external </w:t>
            </w:r>
            <w:r w:rsidRPr="00F7311D">
              <w:rPr>
                <w:rFonts w:ascii="Calibri" w:eastAsia="Times New Roman" w:hAnsi="Calibri" w:cs="Calibri"/>
                <w:color w:val="000000"/>
                <w:sz w:val="18"/>
                <w:szCs w:val="18"/>
              </w:rPr>
              <w:t>funding. Acquisition is to be understood as securing access rights and including it in the library catalog, other library databases or discovery systems.</w:t>
            </w:r>
          </w:p>
        </w:tc>
        <w:tc>
          <w:tcPr>
            <w:tcW w:w="2097" w:type="dxa"/>
            <w:shd w:val="clear" w:color="auto" w:fill="auto"/>
            <w:vAlign w:val="center"/>
            <w:hideMark/>
          </w:tcPr>
          <w:p w:rsidR="00EA2492" w:rsidRPr="00F7311D" w:rsidP="00EA2492" w14:paraId="31F0A997" w14:textId="77777777">
            <w:pPr>
              <w:spacing w:after="0" w:line="240" w:lineRule="auto"/>
              <w:rPr>
                <w:rFonts w:ascii="Calibri" w:eastAsia="Times New Roman" w:hAnsi="Calibri" w:cs="Calibri"/>
                <w:color w:val="000000"/>
                <w:sz w:val="18"/>
                <w:szCs w:val="18"/>
              </w:rPr>
            </w:pPr>
          </w:p>
        </w:tc>
      </w:tr>
      <w:tr w14:paraId="52FF4A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376B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Consortia</w:t>
            </w:r>
          </w:p>
        </w:tc>
        <w:tc>
          <w:tcPr>
            <w:tcW w:w="8558" w:type="dxa"/>
            <w:shd w:val="clear" w:color="auto" w:fill="auto"/>
            <w:vAlign w:val="center"/>
            <w:hideMark/>
          </w:tcPr>
          <w:p w:rsidR="00EA2492" w:rsidRPr="00F7311D" w:rsidP="00EA2492" w14:paraId="3623C1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tc>
        <w:tc>
          <w:tcPr>
            <w:tcW w:w="2097" w:type="dxa"/>
            <w:shd w:val="clear" w:color="auto" w:fill="auto"/>
            <w:vAlign w:val="center"/>
            <w:hideMark/>
          </w:tcPr>
          <w:p w:rsidR="00EA2492" w:rsidRPr="00F7311D" w:rsidP="00EA2492" w14:paraId="14BA87FA" w14:textId="77777777">
            <w:pPr>
              <w:spacing w:after="0" w:line="240" w:lineRule="auto"/>
              <w:rPr>
                <w:rFonts w:ascii="Calibri" w:eastAsia="Times New Roman" w:hAnsi="Calibri" w:cs="Calibri"/>
                <w:color w:val="000000"/>
                <w:sz w:val="18"/>
                <w:szCs w:val="18"/>
              </w:rPr>
            </w:pPr>
          </w:p>
        </w:tc>
      </w:tr>
      <w:tr w14:paraId="6851014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6E2914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expenses</w:t>
            </w:r>
          </w:p>
        </w:tc>
        <w:tc>
          <w:tcPr>
            <w:tcW w:w="8558" w:type="dxa"/>
            <w:shd w:val="clear" w:color="auto" w:fill="auto"/>
            <w:vAlign w:val="center"/>
            <w:hideMark/>
          </w:tcPr>
          <w:p w:rsidR="00EA2492" w:rsidRPr="00F7311D" w:rsidP="00EA2492" w14:paraId="5CECCE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expended by the library (regardless of when received) from its regular budget and from all other sources; e.g., research grants, special projects, gifts and endowments, and fees for services.</w:t>
            </w:r>
          </w:p>
        </w:tc>
        <w:tc>
          <w:tcPr>
            <w:tcW w:w="2097" w:type="dxa"/>
            <w:shd w:val="clear" w:color="auto" w:fill="auto"/>
            <w:vAlign w:val="center"/>
            <w:hideMark/>
          </w:tcPr>
          <w:p w:rsidR="00EA2492" w:rsidRPr="00F7311D" w:rsidP="00EA2492" w14:paraId="03B24014" w14:textId="77777777">
            <w:pPr>
              <w:spacing w:after="0" w:line="240" w:lineRule="auto"/>
              <w:rPr>
                <w:rFonts w:ascii="Calibri" w:eastAsia="Times New Roman" w:hAnsi="Calibri" w:cs="Calibri"/>
                <w:color w:val="000000"/>
                <w:sz w:val="18"/>
                <w:szCs w:val="18"/>
              </w:rPr>
            </w:pPr>
          </w:p>
        </w:tc>
      </w:tr>
      <w:tr w14:paraId="68B8236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AADB9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Library Technicians</w:t>
            </w:r>
          </w:p>
        </w:tc>
        <w:tc>
          <w:tcPr>
            <w:tcW w:w="8558" w:type="dxa"/>
            <w:shd w:val="clear" w:color="auto" w:fill="auto"/>
            <w:vAlign w:val="center"/>
            <w:hideMark/>
          </w:tcPr>
          <w:p w:rsidR="00EA2492" w:rsidRPr="00F7311D" w:rsidP="00EA2492" w14:paraId="63B7A8D7" w14:textId="0C7DD69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broad occupation in the 2018 Standard Occupational Classification (SOC) Manual called 'Library Technicians' (SOC code 25-4030). For detailed information, refer to the following website: https://www.bls.gov/soc/2018/major_groups.htm#25-0000.</w:t>
            </w:r>
          </w:p>
        </w:tc>
        <w:tc>
          <w:tcPr>
            <w:tcW w:w="2097" w:type="dxa"/>
            <w:shd w:val="clear" w:color="auto" w:fill="auto"/>
            <w:vAlign w:val="center"/>
            <w:hideMark/>
          </w:tcPr>
          <w:p w:rsidR="00EA2492" w:rsidRPr="00F7311D" w:rsidP="00EA2492" w14:paraId="17D530A7" w14:textId="77777777">
            <w:pPr>
              <w:spacing w:after="0" w:line="240" w:lineRule="auto"/>
              <w:rPr>
                <w:rFonts w:ascii="Calibri" w:eastAsia="Times New Roman" w:hAnsi="Calibri" w:cs="Calibri"/>
                <w:color w:val="000000"/>
                <w:sz w:val="18"/>
                <w:szCs w:val="18"/>
              </w:rPr>
            </w:pPr>
          </w:p>
        </w:tc>
      </w:tr>
      <w:tr w14:paraId="323AC2A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B32EA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 funds</w:t>
            </w:r>
          </w:p>
        </w:tc>
        <w:tc>
          <w:tcPr>
            <w:tcW w:w="8558" w:type="dxa"/>
            <w:shd w:val="clear" w:color="auto" w:fill="auto"/>
            <w:vAlign w:val="center"/>
            <w:hideMark/>
          </w:tcPr>
          <w:p w:rsidR="00EA2492" w:rsidRPr="00F7311D" w:rsidP="00EA2492" w14:paraId="6B64BAC3" w14:textId="1E07FBC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that have been loaned, or are available for loans to students, faculty, and staff.</w:t>
            </w:r>
          </w:p>
        </w:tc>
        <w:tc>
          <w:tcPr>
            <w:tcW w:w="2097" w:type="dxa"/>
            <w:shd w:val="clear" w:color="auto" w:fill="auto"/>
            <w:vAlign w:val="center"/>
            <w:hideMark/>
          </w:tcPr>
          <w:p w:rsidR="00EA2492" w:rsidRPr="00F7311D" w:rsidP="00EA2492" w14:paraId="125DC427" w14:textId="77777777">
            <w:pPr>
              <w:spacing w:after="0" w:line="240" w:lineRule="auto"/>
              <w:rPr>
                <w:rFonts w:ascii="Calibri" w:eastAsia="Times New Roman" w:hAnsi="Calibri" w:cs="Calibri"/>
                <w:color w:val="000000"/>
                <w:sz w:val="18"/>
                <w:szCs w:val="18"/>
              </w:rPr>
            </w:pPr>
          </w:p>
        </w:tc>
      </w:tr>
      <w:tr w14:paraId="0DA7CE2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49E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Loans to students</w:t>
            </w:r>
          </w:p>
        </w:tc>
        <w:tc>
          <w:tcPr>
            <w:tcW w:w="8558" w:type="dxa"/>
            <w:shd w:val="clear" w:color="auto" w:fill="auto"/>
            <w:vAlign w:val="center"/>
            <w:hideMark/>
          </w:tcPr>
          <w:p w:rsidR="00EA2492" w:rsidRPr="00F7311D" w:rsidP="00EA2492" w14:paraId="158D620E" w14:textId="22F5C80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Any monies that must be repaid to the lending institution for which the student is the designated borrower. Includes all Title IV subsidized and unsubsidized loans and all institutionally and privately sponsored loans. Does not include </w:t>
            </w:r>
            <w:r w:rsidRPr="00FB5A34" w:rsidR="00600981">
              <w:rPr>
                <w:rFonts w:ascii="Calibri" w:eastAsia="Times New Roman" w:hAnsi="Calibri" w:cs="Calibri"/>
                <w:color w:val="000000" w:themeColor="text1"/>
                <w:sz w:val="18"/>
                <w:szCs w:val="18"/>
              </w:rPr>
              <w:t xml:space="preserve">Parent </w:t>
            </w:r>
            <w:r w:rsidRPr="00F7311D">
              <w:rPr>
                <w:rFonts w:ascii="Calibri" w:eastAsia="Times New Roman" w:hAnsi="Calibri" w:cs="Calibri"/>
                <w:color w:val="000000"/>
                <w:sz w:val="18"/>
                <w:szCs w:val="18"/>
              </w:rPr>
              <w:t>PLUS and other loans made directly to parents.</w:t>
            </w:r>
          </w:p>
        </w:tc>
        <w:tc>
          <w:tcPr>
            <w:tcW w:w="2097" w:type="dxa"/>
            <w:shd w:val="clear" w:color="auto" w:fill="auto"/>
            <w:vAlign w:val="center"/>
            <w:hideMark/>
          </w:tcPr>
          <w:p w:rsidR="00EA2492" w:rsidRPr="00F7311D" w:rsidP="00EA2492" w14:paraId="6BF769EE" w14:textId="77777777">
            <w:pPr>
              <w:spacing w:after="0" w:line="240" w:lineRule="auto"/>
              <w:rPr>
                <w:rFonts w:ascii="Calibri" w:eastAsia="Times New Roman" w:hAnsi="Calibri" w:cs="Calibri"/>
                <w:color w:val="000000"/>
                <w:sz w:val="18"/>
                <w:szCs w:val="18"/>
              </w:rPr>
            </w:pPr>
          </w:p>
        </w:tc>
      </w:tr>
      <w:tr w14:paraId="03E37B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9D01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appropriations, education district taxes, and similar support</w:t>
            </w:r>
          </w:p>
        </w:tc>
        <w:tc>
          <w:tcPr>
            <w:tcW w:w="8558" w:type="dxa"/>
            <w:shd w:val="clear" w:color="auto" w:fill="auto"/>
            <w:vAlign w:val="center"/>
            <w:hideMark/>
          </w:tcPr>
          <w:p w:rsidR="00EA2492" w:rsidRPr="00F7311D" w:rsidP="00EA2492" w14:paraId="173FB5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appropriations are government appropriations made by a governmental entity below the state level. Education district taxes include all tax revenues assessed directly by an institution or on behalf of an institution when the institution will receive the exact amount collected. These revenues also include similar revenues that result from actions of local governments or citizens (such as through a referendum) that result in receipt by the institution of revenues based on collections of other taxes or resources (sales taxes, gambling taxes, etc.).</w:t>
            </w:r>
          </w:p>
        </w:tc>
        <w:tc>
          <w:tcPr>
            <w:tcW w:w="2097" w:type="dxa"/>
            <w:shd w:val="clear" w:color="auto" w:fill="auto"/>
            <w:vAlign w:val="center"/>
            <w:hideMark/>
          </w:tcPr>
          <w:p w:rsidR="00EA2492" w:rsidRPr="00F7311D" w:rsidP="00EA2492" w14:paraId="021F3FE9" w14:textId="77777777">
            <w:pPr>
              <w:spacing w:after="0" w:line="240" w:lineRule="auto"/>
              <w:rPr>
                <w:rFonts w:ascii="Calibri" w:eastAsia="Times New Roman" w:hAnsi="Calibri" w:cs="Calibri"/>
                <w:color w:val="000000"/>
                <w:sz w:val="18"/>
                <w:szCs w:val="18"/>
              </w:rPr>
            </w:pPr>
          </w:p>
        </w:tc>
      </w:tr>
      <w:tr w14:paraId="0927285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F47E6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Local government grants and contracts (revenues)</w:t>
            </w:r>
          </w:p>
        </w:tc>
        <w:tc>
          <w:tcPr>
            <w:tcW w:w="8558" w:type="dxa"/>
            <w:shd w:val="clear" w:color="auto" w:fill="auto"/>
            <w:vAlign w:val="center"/>
            <w:hideMark/>
          </w:tcPr>
          <w:p w:rsidR="00EA2492" w:rsidRPr="00F7311D" w:rsidP="00EA2492" w14:paraId="66A26710" w14:textId="4A06617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local government agencies that are for training programs and similar activities for which amounts are received or expenditures are reimbursable under the terms of a local government grant or contract. These amounts can be treated as an allowance, an agency transaction, or as a student aid expense in the institution’s General Purpose Financial Statements (GPFS)</w:t>
            </w:r>
            <w:r w:rsidR="00600981">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and are reported differently depending on their treatment. Generally, however, private institutions report these grants </w:t>
            </w:r>
            <w:r>
              <w:rPr>
                <w:rFonts w:ascii="Calibri" w:eastAsia="Times New Roman" w:hAnsi="Calibri" w:cs="Calibri"/>
                <w:color w:val="000000"/>
                <w:sz w:val="18"/>
                <w:szCs w:val="18"/>
              </w:rPr>
              <w:t xml:space="preserve">as allowances </w:t>
            </w:r>
            <w:r w:rsidRPr="00F7311D">
              <w:rPr>
                <w:rFonts w:ascii="Calibri" w:eastAsia="Times New Roman" w:hAnsi="Calibri" w:cs="Calibri"/>
                <w:color w:val="000000"/>
                <w:sz w:val="18"/>
                <w:szCs w:val="18"/>
              </w:rPr>
              <w:t>when applied to the student's account and as local grant</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revenues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when received.</w:t>
            </w:r>
          </w:p>
        </w:tc>
        <w:tc>
          <w:tcPr>
            <w:tcW w:w="2097" w:type="dxa"/>
            <w:shd w:val="clear" w:color="auto" w:fill="auto"/>
            <w:vAlign w:val="center"/>
            <w:hideMark/>
          </w:tcPr>
          <w:p w:rsidR="00EA2492" w:rsidRPr="00F7311D" w:rsidP="00EA2492" w14:paraId="7F58B510" w14:textId="77777777">
            <w:pPr>
              <w:spacing w:after="0" w:line="240" w:lineRule="auto"/>
              <w:rPr>
                <w:rFonts w:ascii="Calibri" w:eastAsia="Times New Roman" w:hAnsi="Calibri" w:cs="Calibri"/>
                <w:color w:val="000000"/>
                <w:sz w:val="18"/>
                <w:szCs w:val="18"/>
              </w:rPr>
            </w:pPr>
          </w:p>
        </w:tc>
      </w:tr>
      <w:tr w14:paraId="171939D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4453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Locked</w:t>
            </w:r>
          </w:p>
        </w:tc>
        <w:tc>
          <w:tcPr>
            <w:tcW w:w="8558" w:type="dxa"/>
            <w:shd w:val="clear" w:color="auto" w:fill="auto"/>
            <w:vAlign w:val="center"/>
            <w:hideMark/>
          </w:tcPr>
          <w:p w:rsidR="00EA2492" w:rsidRPr="00F7311D" w:rsidP="00EA2492" w14:paraId="5E5274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survey status obtained when a keyholder has resolved all edits/errors and has decided that data are ready to 'submit' to IPEDS. Once locked, the system becomes read only and the keyholder no longer has access to the system to alter data.</w:t>
            </w:r>
          </w:p>
        </w:tc>
        <w:tc>
          <w:tcPr>
            <w:tcW w:w="2097" w:type="dxa"/>
            <w:shd w:val="clear" w:color="auto" w:fill="auto"/>
            <w:vAlign w:val="center"/>
            <w:hideMark/>
          </w:tcPr>
          <w:p w:rsidR="00EA2492" w:rsidRPr="00F7311D" w:rsidP="00EA2492" w14:paraId="1C5C2C39" w14:textId="77777777">
            <w:pPr>
              <w:spacing w:after="0" w:line="240" w:lineRule="auto"/>
              <w:rPr>
                <w:rFonts w:ascii="Calibri" w:eastAsia="Times New Roman" w:hAnsi="Calibri" w:cs="Calibri"/>
                <w:color w:val="000000"/>
                <w:sz w:val="18"/>
                <w:szCs w:val="18"/>
              </w:rPr>
            </w:pPr>
          </w:p>
        </w:tc>
      </w:tr>
      <w:tr w14:paraId="4691833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CB8F6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 programs</w:t>
            </w:r>
          </w:p>
        </w:tc>
        <w:tc>
          <w:tcPr>
            <w:tcW w:w="8558" w:type="dxa"/>
            <w:shd w:val="clear" w:color="auto" w:fill="auto"/>
            <w:vAlign w:val="center"/>
            <w:hideMark/>
          </w:tcPr>
          <w:p w:rsidR="00EA2492" w:rsidRPr="00F7311D" w:rsidP="00EA2492" w14:paraId="4548DD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programs that exceed the usual program length for a specific level. This would include programs of 5 years or longer for 4-year institutions and programs of 3 years or longer for 2-year institutions.</w:t>
            </w:r>
          </w:p>
        </w:tc>
        <w:tc>
          <w:tcPr>
            <w:tcW w:w="2097" w:type="dxa"/>
            <w:shd w:val="clear" w:color="auto" w:fill="auto"/>
            <w:vAlign w:val="center"/>
            <w:hideMark/>
          </w:tcPr>
          <w:p w:rsidR="00EA2492" w:rsidRPr="00F7311D" w:rsidP="00EA2492" w14:paraId="175F8582" w14:textId="77777777">
            <w:pPr>
              <w:spacing w:after="0" w:line="240" w:lineRule="auto"/>
              <w:rPr>
                <w:rFonts w:ascii="Calibri" w:eastAsia="Times New Roman" w:hAnsi="Calibri" w:cs="Calibri"/>
                <w:color w:val="000000"/>
                <w:sz w:val="18"/>
                <w:szCs w:val="18"/>
              </w:rPr>
            </w:pPr>
          </w:p>
        </w:tc>
      </w:tr>
      <w:tr w14:paraId="2F8686F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76407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w:t>
            </w:r>
          </w:p>
        </w:tc>
        <w:tc>
          <w:tcPr>
            <w:tcW w:w="8558" w:type="dxa"/>
            <w:shd w:val="clear" w:color="auto" w:fill="auto"/>
            <w:vAlign w:val="center"/>
            <w:hideMark/>
          </w:tcPr>
          <w:p w:rsidR="00EA2492" w:rsidRPr="00F7311D" w:rsidP="00EA2492" w14:paraId="33932610" w14:textId="081C558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of the institution in the form of bonds, notes, capital leases, and other forms of debt that are repayable over a period greater than one year.</w:t>
            </w:r>
          </w:p>
        </w:tc>
        <w:tc>
          <w:tcPr>
            <w:tcW w:w="2097" w:type="dxa"/>
            <w:shd w:val="clear" w:color="auto" w:fill="auto"/>
            <w:vAlign w:val="center"/>
            <w:hideMark/>
          </w:tcPr>
          <w:p w:rsidR="00EA2492" w:rsidRPr="00F7311D" w:rsidP="00EA2492" w14:paraId="2F2813A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r>
      <w:tr w14:paraId="3DEE252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6F5A73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debt, current portion</w:t>
            </w:r>
          </w:p>
        </w:tc>
        <w:tc>
          <w:tcPr>
            <w:tcW w:w="8558" w:type="dxa"/>
            <w:shd w:val="clear" w:color="auto" w:fill="auto"/>
            <w:vAlign w:val="center"/>
            <w:hideMark/>
          </w:tcPr>
          <w:p w:rsidR="00EA2492" w:rsidRPr="00F7311D" w:rsidP="00EA2492" w14:paraId="291E08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long-term debt that the institution is expected to pay or liquidate during the next year using current assets.</w:t>
            </w:r>
          </w:p>
        </w:tc>
        <w:tc>
          <w:tcPr>
            <w:tcW w:w="2097" w:type="dxa"/>
            <w:shd w:val="clear" w:color="auto" w:fill="auto"/>
            <w:vAlign w:val="center"/>
            <w:hideMark/>
          </w:tcPr>
          <w:p w:rsidR="00EA2492" w:rsidRPr="00F7311D" w:rsidP="00EA2492" w14:paraId="0028F290" w14:textId="77777777">
            <w:pPr>
              <w:spacing w:after="0" w:line="240" w:lineRule="auto"/>
              <w:rPr>
                <w:rFonts w:ascii="Calibri" w:eastAsia="Times New Roman" w:hAnsi="Calibri" w:cs="Calibri"/>
                <w:color w:val="000000"/>
                <w:sz w:val="18"/>
                <w:szCs w:val="18"/>
              </w:rPr>
            </w:pPr>
          </w:p>
        </w:tc>
      </w:tr>
      <w:tr w14:paraId="68B478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41319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Long-term investments</w:t>
            </w:r>
          </w:p>
        </w:tc>
        <w:tc>
          <w:tcPr>
            <w:tcW w:w="8558" w:type="dxa"/>
            <w:shd w:val="clear" w:color="auto" w:fill="auto"/>
            <w:vAlign w:val="center"/>
            <w:hideMark/>
          </w:tcPr>
          <w:p w:rsidR="00EA2492" w:rsidRPr="00F7311D" w:rsidP="00EA2492" w14:paraId="1BD5ED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Money or capital invested for purposes of receiving a profitable return over a period of time of more than one year. Long-term investments should be distinguished from temporary investments based on the intention of the organization regarding the terms of the investment rather than the nature of the investment itself. Includes: 1) cash held until appropriate investments are identified; 2) repurchase agreements and other money market media; 3) equity securities and mutual fund investments; 4) debt securities; 5) real estate held for income production; 6) beneficial interest in trusts; and 7) other. GASB institutions report these investments under 'noncurrent assets.'</w:t>
            </w:r>
          </w:p>
        </w:tc>
        <w:tc>
          <w:tcPr>
            <w:tcW w:w="2097" w:type="dxa"/>
            <w:shd w:val="clear" w:color="auto" w:fill="auto"/>
            <w:vAlign w:val="center"/>
            <w:hideMark/>
          </w:tcPr>
          <w:p w:rsidR="00EA2492" w:rsidRPr="00F7311D" w:rsidP="00EA2492" w14:paraId="78FEF972" w14:textId="77777777">
            <w:pPr>
              <w:spacing w:after="0" w:line="240" w:lineRule="auto"/>
              <w:rPr>
                <w:rFonts w:ascii="Calibri" w:eastAsia="Times New Roman" w:hAnsi="Calibri" w:cs="Calibri"/>
                <w:color w:val="000000"/>
                <w:sz w:val="18"/>
                <w:szCs w:val="18"/>
              </w:rPr>
            </w:pPr>
          </w:p>
        </w:tc>
      </w:tr>
      <w:tr w14:paraId="60EF4E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E7660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Losses</w:t>
            </w:r>
          </w:p>
        </w:tc>
        <w:tc>
          <w:tcPr>
            <w:tcW w:w="8558" w:type="dxa"/>
            <w:shd w:val="clear" w:color="auto" w:fill="auto"/>
            <w:vAlign w:val="center"/>
            <w:hideMark/>
          </w:tcPr>
          <w:p w:rsidR="00EA2492" w:rsidRPr="00F7311D" w:rsidP="00EA2492" w14:paraId="4E707175" w14:textId="3E519F3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Decreases in net assets from an organization's peripheral or incidental transactions and other events affecting the organization, other than those that result from expenses.</w:t>
            </w:r>
          </w:p>
        </w:tc>
        <w:tc>
          <w:tcPr>
            <w:tcW w:w="2097" w:type="dxa"/>
            <w:shd w:val="clear" w:color="auto" w:fill="auto"/>
            <w:vAlign w:val="center"/>
            <w:hideMark/>
          </w:tcPr>
          <w:p w:rsidR="00EA2492" w:rsidRPr="00F7311D" w:rsidP="00EA2492" w14:paraId="4ABD72F0" w14:textId="77777777">
            <w:pPr>
              <w:spacing w:after="0" w:line="240" w:lineRule="auto"/>
              <w:rPr>
                <w:rFonts w:ascii="Calibri" w:eastAsia="Times New Roman" w:hAnsi="Calibri" w:cs="Calibri"/>
                <w:color w:val="000000"/>
                <w:sz w:val="18"/>
                <w:szCs w:val="18"/>
              </w:rPr>
            </w:pPr>
          </w:p>
        </w:tc>
      </w:tr>
      <w:tr w14:paraId="457D34F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7A0CB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Management Function</w:t>
            </w:r>
          </w:p>
        </w:tc>
        <w:tc>
          <w:tcPr>
            <w:tcW w:w="8558" w:type="dxa"/>
            <w:shd w:val="clear" w:color="auto" w:fill="auto"/>
            <w:vAlign w:val="center"/>
            <w:hideMark/>
          </w:tcPr>
          <w:p w:rsidR="00EA2492" w:rsidRPr="00F7311D" w:rsidP="00EA2492" w14:paraId="4EB432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Management function should include those staff whose job it is to plan, direct, or coordinate policies, programs, and may include some supervision of other workers. In addition, Postsecondary Deans should be classified in this </w:t>
            </w:r>
            <w:r w:rsidRPr="00F7311D">
              <w:rPr>
                <w:rFonts w:ascii="Calibri" w:eastAsia="Times New Roman" w:hAnsi="Calibri" w:cs="Calibri"/>
                <w:color w:val="000000"/>
                <w:sz w:val="18"/>
                <w:szCs w:val="18"/>
              </w:rPr>
              <w:t>category as well, even though they perform similar activities to the workers that they supervise. For additional guidance please refer to the Crosswalk for the IPEDS Human Resources Occupational Functions.</w:t>
            </w:r>
          </w:p>
        </w:tc>
        <w:tc>
          <w:tcPr>
            <w:tcW w:w="2097" w:type="dxa"/>
            <w:shd w:val="clear" w:color="auto" w:fill="auto"/>
            <w:vAlign w:val="center"/>
            <w:hideMark/>
          </w:tcPr>
          <w:p w:rsidR="00EA2492" w:rsidRPr="00F7311D" w:rsidP="00EA2492" w14:paraId="71F0FF40" w14:textId="77777777">
            <w:pPr>
              <w:spacing w:after="0" w:line="240" w:lineRule="auto"/>
              <w:rPr>
                <w:rFonts w:ascii="Calibri" w:eastAsia="Times New Roman" w:hAnsi="Calibri" w:cs="Calibri"/>
                <w:color w:val="000000"/>
                <w:sz w:val="18"/>
                <w:szCs w:val="18"/>
              </w:rPr>
            </w:pPr>
          </w:p>
        </w:tc>
      </w:tr>
      <w:tr w14:paraId="4956A9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666F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Mandatory transfers</w:t>
            </w:r>
          </w:p>
        </w:tc>
        <w:tc>
          <w:tcPr>
            <w:tcW w:w="8558" w:type="dxa"/>
            <w:shd w:val="clear" w:color="auto" w:fill="auto"/>
            <w:vAlign w:val="center"/>
            <w:hideMark/>
          </w:tcPr>
          <w:p w:rsidR="00EA2492" w:rsidRPr="00F7311D" w:rsidP="00EA2492" w14:paraId="47CCA3AD" w14:textId="0292B54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transfers that must be made to fulfill a binding legal obligation of the institution. Includes mandatory debt-service provisions relating to academic and administrative buildings, including (1) amounts set aside for debt retirement and interest; and (2) required provisions for renewal and replacements to the extent not financed from other sources. Also includes the institutional matching portion for Perkins loans when the source of funds is current revenue.</w:t>
            </w:r>
          </w:p>
        </w:tc>
        <w:tc>
          <w:tcPr>
            <w:tcW w:w="2097" w:type="dxa"/>
            <w:shd w:val="clear" w:color="auto" w:fill="auto"/>
            <w:vAlign w:val="center"/>
            <w:hideMark/>
          </w:tcPr>
          <w:p w:rsidR="00EA2492" w:rsidRPr="00F7311D" w:rsidP="00EA2492" w14:paraId="10AFF500" w14:textId="77777777">
            <w:pPr>
              <w:spacing w:after="0" w:line="240" w:lineRule="auto"/>
              <w:rPr>
                <w:rFonts w:ascii="Calibri" w:eastAsia="Times New Roman" w:hAnsi="Calibri" w:cs="Calibri"/>
                <w:color w:val="000000"/>
                <w:sz w:val="18"/>
                <w:szCs w:val="18"/>
              </w:rPr>
            </w:pPr>
          </w:p>
        </w:tc>
      </w:tr>
      <w:tr w14:paraId="5DE0BFC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CB5B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Market value</w:t>
            </w:r>
          </w:p>
        </w:tc>
        <w:tc>
          <w:tcPr>
            <w:tcW w:w="8558" w:type="dxa"/>
            <w:shd w:val="clear" w:color="auto" w:fill="auto"/>
            <w:vAlign w:val="center"/>
            <w:hideMark/>
          </w:tcPr>
          <w:p w:rsidR="00EA2492" w:rsidRPr="00F7311D" w:rsidP="00EA2492" w14:paraId="014A588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value of a good as determined in the market at a specific point in time or what individuals in the market for the good are willing to pay to obtain the good at a given point in time.</w:t>
            </w:r>
          </w:p>
        </w:tc>
        <w:tc>
          <w:tcPr>
            <w:tcW w:w="2097" w:type="dxa"/>
            <w:shd w:val="clear" w:color="auto" w:fill="auto"/>
            <w:vAlign w:val="center"/>
            <w:hideMark/>
          </w:tcPr>
          <w:p w:rsidR="00EA2492" w:rsidRPr="00F7311D" w:rsidP="00EA2492" w14:paraId="1C32A496" w14:textId="77777777">
            <w:pPr>
              <w:spacing w:after="0" w:line="240" w:lineRule="auto"/>
              <w:rPr>
                <w:rFonts w:ascii="Calibri" w:eastAsia="Times New Roman" w:hAnsi="Calibri" w:cs="Calibri"/>
                <w:color w:val="000000"/>
                <w:sz w:val="18"/>
                <w:szCs w:val="18"/>
              </w:rPr>
            </w:pPr>
          </w:p>
        </w:tc>
      </w:tr>
      <w:tr w14:paraId="5F0A588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22AC8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 (Carnegie)</w:t>
            </w:r>
          </w:p>
        </w:tc>
        <w:tc>
          <w:tcPr>
            <w:tcW w:w="8558" w:type="dxa"/>
            <w:shd w:val="clear" w:color="auto" w:fill="auto"/>
            <w:vAlign w:val="center"/>
            <w:hideMark/>
          </w:tcPr>
          <w:p w:rsidR="00EA2492" w:rsidRPr="00F7311D" w:rsidP="00EA2492" w14:paraId="0E482DF4" w14:textId="570BCBA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 typically offer a wide range of baccalaureate programs, and they are committed to graduate education through the master's degree. During the period studied, they awarded 40 or more master's degrees per year across three or more disciplines.</w:t>
            </w:r>
          </w:p>
        </w:tc>
        <w:tc>
          <w:tcPr>
            <w:tcW w:w="2097" w:type="dxa"/>
            <w:shd w:val="clear" w:color="auto" w:fill="auto"/>
            <w:vAlign w:val="center"/>
            <w:hideMark/>
          </w:tcPr>
          <w:p w:rsidR="00EA2492" w:rsidRPr="00F7311D" w:rsidP="00EA2492" w14:paraId="02179DB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EA1857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F35E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Colleges and Universities II (Carnegie)</w:t>
            </w:r>
          </w:p>
        </w:tc>
        <w:tc>
          <w:tcPr>
            <w:tcW w:w="8558" w:type="dxa"/>
            <w:shd w:val="clear" w:color="auto" w:fill="auto"/>
            <w:vAlign w:val="center"/>
            <w:hideMark/>
          </w:tcPr>
          <w:p w:rsidR="00EA2492" w:rsidRPr="00F7311D" w:rsidP="00EA2492" w14:paraId="557F55CF" w14:textId="4C8D003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Master's Colleges and Universities II typically offer a wide range of baccalaureate programs, and they are committed to graduate education through the master's degree. During the period studied, they awarded 20 or more master's degrees per year.</w:t>
            </w:r>
          </w:p>
        </w:tc>
        <w:tc>
          <w:tcPr>
            <w:tcW w:w="2097" w:type="dxa"/>
            <w:shd w:val="clear" w:color="auto" w:fill="auto"/>
            <w:vAlign w:val="center"/>
            <w:hideMark/>
          </w:tcPr>
          <w:p w:rsidR="00EA2492" w:rsidRPr="00F7311D" w:rsidP="00EA2492" w14:paraId="110BD9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367AAF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89EFA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Master's degree</w:t>
            </w:r>
          </w:p>
        </w:tc>
        <w:tc>
          <w:tcPr>
            <w:tcW w:w="8558" w:type="dxa"/>
            <w:shd w:val="clear" w:color="auto" w:fill="auto"/>
            <w:vAlign w:val="center"/>
            <w:hideMark/>
          </w:tcPr>
          <w:p w:rsidR="00EA2492" w:rsidRPr="00F7311D" w:rsidP="00EA2492" w14:paraId="77BC0088" w14:textId="48E239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the successful completion of a program of study of at least the full-time equivalent of 1 but not more than 2 academic years of work beyond the bachelor's degree. Some of these degrees, such as those in Theology (M.Div., M.H.L./</w:t>
            </w:r>
            <w:r w:rsidRPr="00F7311D">
              <w:rPr>
                <w:rFonts w:ascii="Calibri" w:eastAsia="Times New Roman" w:hAnsi="Calibri" w:cs="Calibri"/>
                <w:color w:val="000000"/>
                <w:sz w:val="18"/>
                <w:szCs w:val="18"/>
              </w:rPr>
              <w:t>Rav</w:t>
            </w:r>
            <w:r w:rsidRPr="00F7311D">
              <w:rPr>
                <w:rFonts w:ascii="Calibri" w:eastAsia="Times New Roman" w:hAnsi="Calibri" w:cs="Calibri"/>
                <w:color w:val="000000"/>
                <w:sz w:val="18"/>
                <w:szCs w:val="18"/>
              </w:rPr>
              <w:t>) that were formerly classified as ‘first-professional', may require more than two full-time equivalent academic years of work.</w:t>
            </w:r>
          </w:p>
        </w:tc>
        <w:tc>
          <w:tcPr>
            <w:tcW w:w="2097" w:type="dxa"/>
            <w:shd w:val="clear" w:color="auto" w:fill="auto"/>
            <w:vAlign w:val="center"/>
            <w:hideMark/>
          </w:tcPr>
          <w:p w:rsidR="00EA2492" w:rsidRPr="00F7311D" w:rsidP="00EA2492" w14:paraId="026D4EF5" w14:textId="77777777">
            <w:pPr>
              <w:spacing w:after="0" w:line="240" w:lineRule="auto"/>
              <w:rPr>
                <w:rFonts w:ascii="Calibri" w:eastAsia="Times New Roman" w:hAnsi="Calibri" w:cs="Calibri"/>
                <w:color w:val="000000"/>
                <w:sz w:val="18"/>
                <w:szCs w:val="18"/>
              </w:rPr>
            </w:pPr>
          </w:p>
        </w:tc>
      </w:tr>
      <w:tr w14:paraId="449179E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B31D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Media materials</w:t>
            </w:r>
          </w:p>
        </w:tc>
        <w:tc>
          <w:tcPr>
            <w:tcW w:w="8558" w:type="dxa"/>
            <w:shd w:val="clear" w:color="auto" w:fill="auto"/>
            <w:vAlign w:val="center"/>
            <w:hideMark/>
          </w:tcPr>
          <w:p w:rsidR="00EA2492" w:rsidRPr="00F7311D" w:rsidP="00EA2492" w14:paraId="4178EBF1" w14:textId="3A9F70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all library materials that include audio visual materials, cartographic materials, graphic materials, and three-dimensional artefacts and realia.</w:t>
            </w:r>
          </w:p>
        </w:tc>
        <w:tc>
          <w:tcPr>
            <w:tcW w:w="2097" w:type="dxa"/>
            <w:shd w:val="clear" w:color="auto" w:fill="auto"/>
            <w:vAlign w:val="center"/>
            <w:hideMark/>
          </w:tcPr>
          <w:p w:rsidR="00EA2492" w:rsidRPr="00F7311D" w:rsidP="00EA2492" w14:paraId="570060E1" w14:textId="77777777">
            <w:pPr>
              <w:spacing w:after="0" w:line="240" w:lineRule="auto"/>
              <w:rPr>
                <w:rFonts w:ascii="Calibri" w:eastAsia="Times New Roman" w:hAnsi="Calibri" w:cs="Calibri"/>
                <w:color w:val="000000"/>
                <w:sz w:val="18"/>
                <w:szCs w:val="18"/>
              </w:rPr>
            </w:pPr>
          </w:p>
        </w:tc>
      </w:tr>
      <w:tr w14:paraId="5C01F68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FE1E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 staff</w:t>
            </w:r>
          </w:p>
        </w:tc>
        <w:tc>
          <w:tcPr>
            <w:tcW w:w="8558" w:type="dxa"/>
            <w:shd w:val="clear" w:color="auto" w:fill="auto"/>
            <w:vAlign w:val="center"/>
            <w:hideMark/>
          </w:tcPr>
          <w:p w:rsidR="00EA2492" w:rsidRPr="00F7311D" w:rsidP="00EA2492" w14:paraId="7ED4E7F0" w14:textId="0FE6725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&lt;span&gt;Staff employed by or staff working in the medical school (Doctor of Medicine [M.D.] and/or Doctor of Osteopathic Medicine [D.O.])</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component of a postsecondary institution or in a free standing medical school. Does not include staff employed by or employees working strictly in a hospital associated with a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w:t>
            </w:r>
            <w:r>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8D2D9FF" w14:textId="77777777">
            <w:pPr>
              <w:spacing w:after="0" w:line="240" w:lineRule="auto"/>
              <w:rPr>
                <w:rFonts w:ascii="Calibri" w:eastAsia="Times New Roman" w:hAnsi="Calibri" w:cs="Calibri"/>
                <w:color w:val="000000"/>
                <w:sz w:val="18"/>
                <w:szCs w:val="18"/>
              </w:rPr>
            </w:pPr>
          </w:p>
        </w:tc>
      </w:tr>
      <w:tr w14:paraId="44B48D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5CAD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Medical schools and medical centers (Carnegie)</w:t>
            </w:r>
          </w:p>
        </w:tc>
        <w:tc>
          <w:tcPr>
            <w:tcW w:w="8558" w:type="dxa"/>
            <w:shd w:val="clear" w:color="auto" w:fill="auto"/>
            <w:vAlign w:val="center"/>
            <w:hideMark/>
          </w:tcPr>
          <w:p w:rsidR="00EA2492" w:rsidRPr="00F7311D" w:rsidP="00EA2492" w14:paraId="48791ABC" w14:textId="6A8EDC7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Medical Schools and Medical Centers award most of their professional degrees in medicine. In some instances, they include other health professions programs, such as dentistry, pharmacy, or nursing.</w:t>
            </w:r>
          </w:p>
        </w:tc>
        <w:tc>
          <w:tcPr>
            <w:tcW w:w="2097" w:type="dxa"/>
            <w:shd w:val="clear" w:color="auto" w:fill="auto"/>
            <w:vAlign w:val="center"/>
            <w:hideMark/>
          </w:tcPr>
          <w:p w:rsidR="00EA2492" w:rsidRPr="00F7311D" w:rsidP="00EA2492" w14:paraId="69037536" w14:textId="03659B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2501B00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A295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Microform</w:t>
            </w:r>
          </w:p>
        </w:tc>
        <w:tc>
          <w:tcPr>
            <w:tcW w:w="8558" w:type="dxa"/>
            <w:shd w:val="clear" w:color="auto" w:fill="auto"/>
            <w:vAlign w:val="center"/>
            <w:hideMark/>
          </w:tcPr>
          <w:p w:rsidR="00EA2492" w:rsidRPr="00F7311D" w:rsidP="00EA2492" w14:paraId="4152B46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Microforms are photographic reproduction of textual, tabular, or graphic material reduced in size so that they can be used only with magnification. Examples of microforms are roll microfilm, aperture cards, microfiche, ultrafiche, and reproductions on opaque material.</w:t>
            </w:r>
          </w:p>
        </w:tc>
        <w:tc>
          <w:tcPr>
            <w:tcW w:w="2097" w:type="dxa"/>
            <w:shd w:val="clear" w:color="auto" w:fill="auto"/>
            <w:vAlign w:val="center"/>
            <w:hideMark/>
          </w:tcPr>
          <w:p w:rsidR="00EA2492" w:rsidRPr="00F7311D" w:rsidP="00EA2492" w14:paraId="1CDEA8E2" w14:textId="77777777">
            <w:pPr>
              <w:spacing w:after="0" w:line="240" w:lineRule="auto"/>
              <w:rPr>
                <w:rFonts w:ascii="Calibri" w:eastAsia="Times New Roman" w:hAnsi="Calibri" w:cs="Calibri"/>
                <w:color w:val="000000"/>
                <w:sz w:val="18"/>
                <w:szCs w:val="18"/>
              </w:rPr>
            </w:pPr>
          </w:p>
        </w:tc>
      </w:tr>
      <w:tr w14:paraId="1C699F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CBED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(data)</w:t>
            </w:r>
          </w:p>
        </w:tc>
        <w:tc>
          <w:tcPr>
            <w:tcW w:w="8558" w:type="dxa"/>
            <w:shd w:val="clear" w:color="auto" w:fill="auto"/>
            <w:vAlign w:val="center"/>
            <w:hideMark/>
          </w:tcPr>
          <w:p w:rsidR="00EA2492" w:rsidRPr="00F7311D" w:rsidP="00EA2492" w14:paraId="46687D4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process in which survey data are moved from the IPEDS data collection system to the IPEDS Data Center. Migration occurs after the survey data have been reviewed by survey operations personnel.</w:t>
            </w:r>
          </w:p>
        </w:tc>
        <w:tc>
          <w:tcPr>
            <w:tcW w:w="2097" w:type="dxa"/>
            <w:shd w:val="clear" w:color="auto" w:fill="auto"/>
            <w:vAlign w:val="center"/>
            <w:hideMark/>
          </w:tcPr>
          <w:p w:rsidR="00EA2492" w:rsidRPr="00F7311D" w:rsidP="00EA2492" w14:paraId="319AD852" w14:textId="77777777">
            <w:pPr>
              <w:spacing w:after="0" w:line="240" w:lineRule="auto"/>
              <w:rPr>
                <w:rFonts w:ascii="Calibri" w:eastAsia="Times New Roman" w:hAnsi="Calibri" w:cs="Calibri"/>
                <w:color w:val="000000"/>
                <w:sz w:val="18"/>
                <w:szCs w:val="18"/>
              </w:rPr>
            </w:pPr>
          </w:p>
        </w:tc>
      </w:tr>
      <w:tr w14:paraId="6AF285D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B0E3A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Migration (students)</w:t>
            </w:r>
          </w:p>
        </w:tc>
        <w:tc>
          <w:tcPr>
            <w:tcW w:w="8558" w:type="dxa"/>
            <w:shd w:val="clear" w:color="auto" w:fill="auto"/>
            <w:vAlign w:val="center"/>
            <w:hideMark/>
          </w:tcPr>
          <w:p w:rsidR="00EA2492" w:rsidRPr="00F7311D" w:rsidP="00EA2492" w14:paraId="0BF876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Refers to the movement of students from their home state of residence to another state to attend a postsecondary institution.</w:t>
            </w:r>
          </w:p>
        </w:tc>
        <w:tc>
          <w:tcPr>
            <w:tcW w:w="2097" w:type="dxa"/>
            <w:shd w:val="clear" w:color="auto" w:fill="auto"/>
            <w:vAlign w:val="center"/>
            <w:hideMark/>
          </w:tcPr>
          <w:p w:rsidR="00EA2492" w:rsidRPr="00F7311D" w:rsidP="00EA2492" w14:paraId="55D5177A" w14:textId="77777777">
            <w:pPr>
              <w:spacing w:after="0" w:line="240" w:lineRule="auto"/>
              <w:rPr>
                <w:rFonts w:ascii="Calibri" w:eastAsia="Times New Roman" w:hAnsi="Calibri" w:cs="Calibri"/>
                <w:color w:val="000000"/>
                <w:sz w:val="18"/>
                <w:szCs w:val="18"/>
              </w:rPr>
            </w:pPr>
          </w:p>
        </w:tc>
      </w:tr>
      <w:tr w14:paraId="6FB946B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05D0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Military installations</w:t>
            </w:r>
          </w:p>
        </w:tc>
        <w:tc>
          <w:tcPr>
            <w:tcW w:w="8558" w:type="dxa"/>
            <w:shd w:val="clear" w:color="auto" w:fill="auto"/>
            <w:vAlign w:val="center"/>
            <w:hideMark/>
          </w:tcPr>
          <w:p w:rsidR="00EA2492" w:rsidRPr="00F7311D" w:rsidP="00EA2492" w14:paraId="7B1F128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or more buildings or sites owned or operated by the U.S. Army, Navy, Air Force, Marine Corps, or Coast Guard, including Reserves and National Guard.</w:t>
            </w:r>
          </w:p>
        </w:tc>
        <w:tc>
          <w:tcPr>
            <w:tcW w:w="2097" w:type="dxa"/>
            <w:shd w:val="clear" w:color="auto" w:fill="auto"/>
            <w:vAlign w:val="center"/>
            <w:hideMark/>
          </w:tcPr>
          <w:p w:rsidR="00EA2492" w:rsidRPr="00F7311D" w:rsidP="00EA2492" w14:paraId="7216CCBC" w14:textId="77777777">
            <w:pPr>
              <w:spacing w:after="0" w:line="240" w:lineRule="auto"/>
              <w:rPr>
                <w:rFonts w:ascii="Calibri" w:eastAsia="Times New Roman" w:hAnsi="Calibri" w:cs="Calibri"/>
                <w:color w:val="000000"/>
                <w:sz w:val="18"/>
                <w:szCs w:val="18"/>
              </w:rPr>
            </w:pPr>
          </w:p>
        </w:tc>
      </w:tr>
      <w:tr w14:paraId="0542887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DA2B5A" w14:textId="0D332C7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Military Tuition Assistance </w:t>
            </w:r>
            <w:r w:rsidRPr="008878BA" w:rsidR="00157AC4">
              <w:rPr>
                <w:rFonts w:ascii="Calibri" w:eastAsia="Times New Roman" w:hAnsi="Calibri" w:cs="Calibri"/>
                <w:sz w:val="18"/>
                <w:szCs w:val="18"/>
              </w:rPr>
              <w:t>(TAP</w:t>
            </w:r>
            <w:r w:rsidRPr="008878BA" w:rsidR="00481F0E">
              <w:rPr>
                <w:rFonts w:ascii="Calibri" w:eastAsia="Times New Roman" w:hAnsi="Calibri" w:cs="Calibri"/>
                <w:sz w:val="18"/>
                <w:szCs w:val="18"/>
              </w:rPr>
              <w:t>)</w:t>
            </w:r>
            <w:r w:rsidRPr="008878BA" w:rsidR="00157AC4">
              <w:rPr>
                <w:rFonts w:ascii="Calibri" w:eastAsia="Times New Roman" w:hAnsi="Calibri" w:cs="Calibri"/>
                <w:sz w:val="18"/>
                <w:szCs w:val="18"/>
              </w:rPr>
              <w:t xml:space="preserve"> </w:t>
            </w:r>
            <w:r w:rsidRPr="008878BA">
              <w:rPr>
                <w:rFonts w:ascii="Calibri" w:eastAsia="Times New Roman" w:hAnsi="Calibri" w:cs="Calibri"/>
                <w:sz w:val="18"/>
                <w:szCs w:val="18"/>
              </w:rPr>
              <w:t>Program</w:t>
            </w:r>
          </w:p>
        </w:tc>
        <w:tc>
          <w:tcPr>
            <w:tcW w:w="8558" w:type="dxa"/>
            <w:shd w:val="clear" w:color="auto" w:fill="auto"/>
            <w:vAlign w:val="center"/>
            <w:hideMark/>
          </w:tcPr>
          <w:p w:rsidR="00EA2492" w:rsidRPr="00F7311D" w:rsidP="00EA2492" w14:paraId="19BDE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funds up to 100% of an eligible servicemember's college tuition and course-specific fees.  Available only to eligible servicemembers who are currently in active service as long as criteria limits are not exceeded and students are enrolled off-duty in an U.S. Department of Education accredited post-secondary institution. This military benefit is paid directly to the postsecondary institution by the individual's Armed service.</w:t>
            </w:r>
          </w:p>
        </w:tc>
        <w:tc>
          <w:tcPr>
            <w:tcW w:w="2097" w:type="dxa"/>
            <w:shd w:val="clear" w:color="auto" w:fill="auto"/>
            <w:vAlign w:val="center"/>
            <w:hideMark/>
          </w:tcPr>
          <w:p w:rsidR="00EA2492" w:rsidRPr="00F7311D" w:rsidP="00EA2492" w14:paraId="26116AFF" w14:textId="77777777">
            <w:pPr>
              <w:spacing w:after="0" w:line="240" w:lineRule="auto"/>
              <w:rPr>
                <w:rFonts w:ascii="Calibri" w:eastAsia="Times New Roman" w:hAnsi="Calibri" w:cs="Calibri"/>
                <w:color w:val="000000"/>
                <w:sz w:val="18"/>
                <w:szCs w:val="18"/>
              </w:rPr>
            </w:pPr>
          </w:p>
        </w:tc>
      </w:tr>
      <w:tr w14:paraId="38AC3ED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78F55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contract or employment agreement</w:t>
            </w:r>
          </w:p>
        </w:tc>
        <w:tc>
          <w:tcPr>
            <w:tcW w:w="8558" w:type="dxa"/>
            <w:shd w:val="clear" w:color="auto" w:fill="auto"/>
            <w:vAlign w:val="center"/>
            <w:hideMark/>
          </w:tcPr>
          <w:p w:rsidR="00EA2492" w:rsidRPr="00F7311D" w:rsidP="00EA2492" w14:paraId="0F68335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The renewal period of a multi-year contract is not on an annual basis (e.g., a 5-year multi-year contract is renewed every 5 years NOT annually).</w:t>
            </w:r>
          </w:p>
        </w:tc>
        <w:tc>
          <w:tcPr>
            <w:tcW w:w="2097" w:type="dxa"/>
            <w:shd w:val="clear" w:color="auto" w:fill="auto"/>
            <w:vAlign w:val="center"/>
            <w:hideMark/>
          </w:tcPr>
          <w:p w:rsidR="00EA2492" w:rsidRPr="00F7311D" w:rsidP="00EA2492" w14:paraId="2B856CD0" w14:textId="77777777">
            <w:pPr>
              <w:spacing w:after="0" w:line="240" w:lineRule="auto"/>
              <w:rPr>
                <w:rFonts w:ascii="Calibri" w:eastAsia="Times New Roman" w:hAnsi="Calibri" w:cs="Calibri"/>
                <w:color w:val="000000"/>
                <w:sz w:val="18"/>
                <w:szCs w:val="18"/>
              </w:rPr>
            </w:pPr>
          </w:p>
        </w:tc>
      </w:tr>
      <w:tr w14:paraId="5A498A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2F422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Multi-year or continuing or at-will contract or employment agreement (old definition)</w:t>
            </w:r>
          </w:p>
        </w:tc>
        <w:tc>
          <w:tcPr>
            <w:tcW w:w="8558" w:type="dxa"/>
            <w:shd w:val="clear" w:color="auto" w:fill="auto"/>
            <w:vAlign w:val="center"/>
            <w:hideMark/>
          </w:tcPr>
          <w:p w:rsidR="00EA2492" w:rsidRPr="00F7311D" w:rsidP="00EA2492" w14:paraId="2ADBE17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contract or employment agreement that is in effect for more than one year (e.g., more than 365 days) or that has an indefinite duration (continuing, at-will). The renewal period of a multi-year contract is not on an annual basis (e.g., a 5-year multi-year contract is renewed every 5 years NOT annually).</w:t>
            </w:r>
          </w:p>
        </w:tc>
        <w:tc>
          <w:tcPr>
            <w:tcW w:w="2097" w:type="dxa"/>
            <w:shd w:val="clear" w:color="auto" w:fill="auto"/>
            <w:vAlign w:val="center"/>
            <w:hideMark/>
          </w:tcPr>
          <w:p w:rsidR="00EA2492" w:rsidRPr="00F7311D" w:rsidP="00EA2492" w14:paraId="506553B8" w14:textId="77777777">
            <w:pPr>
              <w:spacing w:after="0" w:line="240" w:lineRule="auto"/>
              <w:rPr>
                <w:rFonts w:ascii="Calibri" w:eastAsia="Times New Roman" w:hAnsi="Calibri" w:cs="Calibri"/>
                <w:color w:val="000000"/>
                <w:sz w:val="18"/>
                <w:szCs w:val="18"/>
              </w:rPr>
            </w:pPr>
          </w:p>
        </w:tc>
      </w:tr>
      <w:tr w14:paraId="6307491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4942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Center for Education Statistics (NCES)</w:t>
            </w:r>
          </w:p>
        </w:tc>
        <w:tc>
          <w:tcPr>
            <w:tcW w:w="8558" w:type="dxa"/>
            <w:shd w:val="clear" w:color="auto" w:fill="auto"/>
            <w:vAlign w:val="center"/>
            <w:hideMark/>
          </w:tcPr>
          <w:p w:rsidR="00EA2492" w:rsidRPr="00F7311D" w:rsidP="00EA2492" w14:paraId="5F8A960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National Center for Education Statistics (NCES), in the Institute of Education Sciences, is the statistical agency of the U.S. Department of Education and the primary federal provider of education statistics on the condition of American education.</w:t>
            </w:r>
          </w:p>
        </w:tc>
        <w:tc>
          <w:tcPr>
            <w:tcW w:w="2097" w:type="dxa"/>
            <w:shd w:val="clear" w:color="auto" w:fill="auto"/>
            <w:vAlign w:val="center"/>
            <w:hideMark/>
          </w:tcPr>
          <w:p w:rsidR="00EA2492" w:rsidRPr="00F7311D" w:rsidP="00EA2492" w14:paraId="62AB5C78" w14:textId="77777777">
            <w:pPr>
              <w:spacing w:after="0" w:line="240" w:lineRule="auto"/>
              <w:rPr>
                <w:rFonts w:ascii="Calibri" w:eastAsia="Times New Roman" w:hAnsi="Calibri" w:cs="Calibri"/>
                <w:color w:val="000000"/>
                <w:sz w:val="18"/>
                <w:szCs w:val="18"/>
              </w:rPr>
            </w:pPr>
          </w:p>
        </w:tc>
      </w:tr>
      <w:tr w14:paraId="560A32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8B43C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National institutional accreditation</w:t>
            </w:r>
          </w:p>
        </w:tc>
        <w:tc>
          <w:tcPr>
            <w:tcW w:w="8558" w:type="dxa"/>
            <w:shd w:val="clear" w:color="auto" w:fill="auto"/>
            <w:vAlign w:val="center"/>
            <w:hideMark/>
          </w:tcPr>
          <w:p w:rsidR="00EA2492" w:rsidRPr="00F7311D" w:rsidP="00EA2492" w14:paraId="5EB510D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Institutional accreditation normally applies to an entire institution, indicating that each of its parts is contributing to the achievement of an institution's objectives, although not necessarily all on the same level of quality. The various commissions of the regional accrediting associations, for example, perform institutional accreditation, as do some national institutional accrediting agencies.</w:t>
            </w:r>
          </w:p>
        </w:tc>
        <w:tc>
          <w:tcPr>
            <w:tcW w:w="2097" w:type="dxa"/>
            <w:shd w:val="clear" w:color="auto" w:fill="auto"/>
            <w:vAlign w:val="center"/>
            <w:hideMark/>
          </w:tcPr>
          <w:p w:rsidR="00EA2492" w:rsidRPr="00F7311D" w:rsidP="00EA2492" w14:paraId="63552F73" w14:textId="77777777">
            <w:pPr>
              <w:spacing w:after="0" w:line="240" w:lineRule="auto"/>
              <w:rPr>
                <w:rFonts w:ascii="Calibri" w:eastAsia="Times New Roman" w:hAnsi="Calibri" w:cs="Calibri"/>
                <w:color w:val="000000"/>
                <w:sz w:val="18"/>
                <w:szCs w:val="18"/>
              </w:rPr>
            </w:pPr>
          </w:p>
        </w:tc>
      </w:tr>
      <w:tr w14:paraId="3A6B22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51B5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Native Hawaiian or Other Pacific Islander</w:t>
            </w:r>
          </w:p>
        </w:tc>
        <w:tc>
          <w:tcPr>
            <w:tcW w:w="8558" w:type="dxa"/>
            <w:shd w:val="clear" w:color="auto" w:fill="auto"/>
            <w:vAlign w:val="center"/>
            <w:hideMark/>
          </w:tcPr>
          <w:p w:rsidR="00EA2492" w:rsidRPr="00F7311D" w:rsidP="00EA2492" w14:paraId="39A22BD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Hawaii, Guam, Samoa, or other Pacific Islands.</w:t>
            </w:r>
          </w:p>
        </w:tc>
        <w:tc>
          <w:tcPr>
            <w:tcW w:w="2097" w:type="dxa"/>
            <w:shd w:val="clear" w:color="auto" w:fill="auto"/>
            <w:vAlign w:val="center"/>
            <w:hideMark/>
          </w:tcPr>
          <w:p w:rsidR="00EA2492" w:rsidRPr="00F7311D" w:rsidP="00EA2492" w14:paraId="1D78B2AC" w14:textId="77777777">
            <w:pPr>
              <w:spacing w:after="0" w:line="240" w:lineRule="auto"/>
              <w:rPr>
                <w:rFonts w:ascii="Calibri" w:eastAsia="Times New Roman" w:hAnsi="Calibri" w:cs="Calibri"/>
                <w:color w:val="000000"/>
                <w:sz w:val="18"/>
                <w:szCs w:val="18"/>
              </w:rPr>
            </w:pPr>
          </w:p>
        </w:tc>
      </w:tr>
      <w:tr w14:paraId="7FB57FE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B1BA8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Expense</w:t>
            </w:r>
          </w:p>
        </w:tc>
        <w:tc>
          <w:tcPr>
            <w:tcW w:w="8558" w:type="dxa"/>
            <w:shd w:val="clear" w:color="auto" w:fill="auto"/>
            <w:vAlign w:val="center"/>
            <w:hideMark/>
          </w:tcPr>
          <w:p w:rsidR="00EA2492" w:rsidRPr="00F7311D" w:rsidP="00EA2492" w14:paraId="2F16F4FE" w14:textId="7024A2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natural expense classification is a method of grouping expenses according to the type of costs that are incurred. The classifications tell what was purchased rather than why an expense was incurred. (NACUBO FARM section 700)</w:t>
            </w:r>
          </w:p>
        </w:tc>
        <w:tc>
          <w:tcPr>
            <w:tcW w:w="2097" w:type="dxa"/>
            <w:shd w:val="clear" w:color="auto" w:fill="auto"/>
            <w:vAlign w:val="center"/>
            <w:hideMark/>
          </w:tcPr>
          <w:p w:rsidR="00EA2492" w:rsidRPr="00F7311D" w:rsidP="00EA2492" w14:paraId="1EC17BC2" w14:textId="77777777">
            <w:pPr>
              <w:spacing w:after="0" w:line="240" w:lineRule="auto"/>
              <w:rPr>
                <w:rFonts w:ascii="Calibri" w:eastAsia="Times New Roman" w:hAnsi="Calibri" w:cs="Calibri"/>
                <w:color w:val="000000"/>
                <w:sz w:val="18"/>
                <w:szCs w:val="18"/>
              </w:rPr>
            </w:pPr>
          </w:p>
        </w:tc>
      </w:tr>
      <w:tr w14:paraId="25C4A9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F83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Natural Resources, Construction, and Maintenance Occupations</w:t>
            </w:r>
          </w:p>
        </w:tc>
        <w:tc>
          <w:tcPr>
            <w:tcW w:w="8558" w:type="dxa"/>
            <w:shd w:val="clear" w:color="auto" w:fill="auto"/>
            <w:vAlign w:val="center"/>
            <w:hideMark/>
          </w:tcPr>
          <w:p w:rsidR="00EA2492" w:rsidRPr="00F7311D" w:rsidP="00EA2492" w14:paraId="7CD9E87C" w14:textId="407388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major groups in the 2018 Standard Occupational Classification (SOC) Manual: 1) Farming, Fishing, and Forestry Occupations (https://www.bls.gov/soc/2018/major_groups.htm#45-0000); 2) Construction and Extraction Occupations (https://www.bls.gov/soc/2018/major_groups.htm#47-0000); and 3) Installation, Maintenance, and Repair Occupations (https://www.bls.gov/soc/2018/major_groups.htm#49-0000).</w:t>
            </w:r>
          </w:p>
        </w:tc>
        <w:tc>
          <w:tcPr>
            <w:tcW w:w="2097" w:type="dxa"/>
            <w:shd w:val="clear" w:color="auto" w:fill="auto"/>
            <w:vAlign w:val="center"/>
            <w:hideMark/>
          </w:tcPr>
          <w:p w:rsidR="00EA2492" w:rsidRPr="00F7311D" w:rsidP="00EA2492" w14:paraId="4EB8E20B" w14:textId="77777777">
            <w:pPr>
              <w:spacing w:after="0" w:line="240" w:lineRule="auto"/>
              <w:rPr>
                <w:rFonts w:ascii="Calibri" w:eastAsia="Times New Roman" w:hAnsi="Calibri" w:cs="Calibri"/>
                <w:color w:val="000000"/>
                <w:sz w:val="18"/>
                <w:szCs w:val="18"/>
              </w:rPr>
            </w:pPr>
          </w:p>
        </w:tc>
      </w:tr>
      <w:tr w14:paraId="42AD5AA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AFDD00" w14:textId="1F79C3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Net </w:t>
            </w:r>
            <w:r w:rsidR="001B17C8">
              <w:rPr>
                <w:rFonts w:ascii="Calibri" w:eastAsia="Times New Roman" w:hAnsi="Calibri" w:cs="Calibri"/>
                <w:color w:val="000000"/>
                <w:sz w:val="18"/>
                <w:szCs w:val="18"/>
              </w:rPr>
              <w:t>a</w:t>
            </w:r>
            <w:r w:rsidRPr="00F7311D">
              <w:rPr>
                <w:rFonts w:ascii="Calibri" w:eastAsia="Times New Roman" w:hAnsi="Calibri" w:cs="Calibri"/>
                <w:color w:val="000000"/>
                <w:sz w:val="18"/>
                <w:szCs w:val="18"/>
              </w:rPr>
              <w:t>ssets</w:t>
            </w:r>
          </w:p>
        </w:tc>
        <w:tc>
          <w:tcPr>
            <w:tcW w:w="8558" w:type="dxa"/>
            <w:shd w:val="clear" w:color="auto" w:fill="auto"/>
            <w:vAlign w:val="center"/>
            <w:hideMark/>
          </w:tcPr>
          <w:p w:rsidR="00EA2492" w:rsidRPr="00F7311D" w:rsidP="00EA2492" w14:paraId="69BE04B7" w14:textId="5DFB8AF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assets over liabilities or the residual interest in the institution's assets remaining after liabilities are deducted. The change in net assets results from revenues, gains, expenses, and losses. FASB institutions classify net assets into three categories: permanently restricted, temporarily restricted, and unrestricted. This term is similar to the 'Net position' term used by GASB institutions.</w:t>
            </w:r>
          </w:p>
        </w:tc>
        <w:tc>
          <w:tcPr>
            <w:tcW w:w="2097" w:type="dxa"/>
            <w:shd w:val="clear" w:color="auto" w:fill="auto"/>
            <w:vAlign w:val="center"/>
            <w:hideMark/>
          </w:tcPr>
          <w:p w:rsidR="00EA2492" w:rsidRPr="00F7311D" w:rsidP="00EA2492" w14:paraId="39C7D7C4" w14:textId="77777777">
            <w:pPr>
              <w:spacing w:after="0" w:line="240" w:lineRule="auto"/>
              <w:rPr>
                <w:rFonts w:ascii="Calibri" w:eastAsia="Times New Roman" w:hAnsi="Calibri" w:cs="Calibri"/>
                <w:color w:val="000000"/>
                <w:sz w:val="18"/>
                <w:szCs w:val="18"/>
              </w:rPr>
            </w:pPr>
          </w:p>
        </w:tc>
      </w:tr>
      <w:tr w14:paraId="22D061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7AF0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asset</w:t>
            </w:r>
          </w:p>
        </w:tc>
        <w:tc>
          <w:tcPr>
            <w:tcW w:w="8558" w:type="dxa"/>
            <w:shd w:val="clear" w:color="auto" w:fill="auto"/>
            <w:vAlign w:val="center"/>
            <w:hideMark/>
          </w:tcPr>
          <w:p w:rsidR="00EA2492" w:rsidRPr="00F7311D" w:rsidP="00EA2492" w14:paraId="7A610EE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deferred tax asset is recognized for temporary differences that will result in deductible amounts in future years and for carryforwards. For example, a temporary difference is created between the reported amount and the tax basis of a liability for estimated expenses if, for tax purposes, those estimated expenses are not deductible until a future year. Settlement of that liability will result in tax deductions in future years, and a deferred tax asset is recognized in the current year for the reduction in taxes payable in future years. A valuation allowance is recognized if, based on the weight of available evidence, it is more likely than not that some portion or all of the deferred tax asset will not be realized.</w:t>
            </w:r>
          </w:p>
        </w:tc>
        <w:tc>
          <w:tcPr>
            <w:tcW w:w="2097" w:type="dxa"/>
            <w:shd w:val="clear" w:color="auto" w:fill="auto"/>
            <w:vAlign w:val="center"/>
            <w:hideMark/>
          </w:tcPr>
          <w:p w:rsidR="00EA2492" w:rsidRPr="00F7311D" w:rsidP="00EA2492" w14:paraId="788509A8" w14:textId="77777777">
            <w:pPr>
              <w:spacing w:after="0" w:line="240" w:lineRule="auto"/>
              <w:rPr>
                <w:rFonts w:ascii="Calibri" w:eastAsia="Times New Roman" w:hAnsi="Calibri" w:cs="Calibri"/>
                <w:color w:val="000000"/>
                <w:sz w:val="18"/>
                <w:szCs w:val="18"/>
              </w:rPr>
            </w:pPr>
          </w:p>
        </w:tc>
      </w:tr>
      <w:tr w14:paraId="0C0435C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2BD70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deferred tax liability</w:t>
            </w:r>
          </w:p>
        </w:tc>
        <w:tc>
          <w:tcPr>
            <w:tcW w:w="8558" w:type="dxa"/>
            <w:shd w:val="clear" w:color="auto" w:fill="auto"/>
            <w:vAlign w:val="center"/>
            <w:hideMark/>
          </w:tcPr>
          <w:p w:rsidR="00EA2492" w:rsidRPr="00F7311D" w:rsidP="00EA2492" w14:paraId="3FE51A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deferred tax liability is recognized for temporary differences that will result in taxable amounts in future years. For example, a temporary difference is created between the reported amount and the tax basis of an installment sale receivable if, for tax purposes, some or all of the gain on the installment sale will be included in the determination of taxable income in future years. Because amounts received upon recovery of that receivable will be taxable, a deferred tax liability is recognized in the current year for the related taxes payable in future years.</w:t>
            </w:r>
          </w:p>
        </w:tc>
        <w:tc>
          <w:tcPr>
            <w:tcW w:w="2097" w:type="dxa"/>
            <w:shd w:val="clear" w:color="auto" w:fill="auto"/>
            <w:vAlign w:val="center"/>
            <w:hideMark/>
          </w:tcPr>
          <w:p w:rsidR="00EA2492" w:rsidRPr="00F7311D" w:rsidP="00EA2492" w14:paraId="5341526E" w14:textId="77777777">
            <w:pPr>
              <w:spacing w:after="0" w:line="240" w:lineRule="auto"/>
              <w:rPr>
                <w:rFonts w:ascii="Calibri" w:eastAsia="Times New Roman" w:hAnsi="Calibri" w:cs="Calibri"/>
                <w:color w:val="000000"/>
                <w:sz w:val="18"/>
                <w:szCs w:val="18"/>
              </w:rPr>
            </w:pPr>
          </w:p>
        </w:tc>
      </w:tr>
      <w:tr w14:paraId="46B43F2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88F07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grant aid to students (expenses)</w:t>
            </w:r>
          </w:p>
        </w:tc>
        <w:tc>
          <w:tcPr>
            <w:tcW w:w="8558" w:type="dxa"/>
            <w:shd w:val="clear" w:color="auto" w:fill="auto"/>
            <w:vAlign w:val="center"/>
            <w:hideMark/>
          </w:tcPr>
          <w:p w:rsidR="00EA2492" w:rsidRPr="00F7311D" w:rsidP="47E59BC4" w14:paraId="42160FCC" w14:textId="0C80FFD9">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portion of scholarships and fellowships granted by an institution that exceeds the amount applied to institutional charges such as tuition and fees </w:t>
            </w:r>
            <w:r w:rsidRPr="00FB5A34">
              <w:rPr>
                <w:rFonts w:ascii="Calibri" w:eastAsia="Times New Roman" w:hAnsi="Calibri" w:cs="Calibri"/>
                <w:color w:val="000000" w:themeColor="text1"/>
                <w:sz w:val="18"/>
                <w:szCs w:val="18"/>
              </w:rPr>
              <w:t xml:space="preserve">or </w:t>
            </w:r>
            <w:r w:rsidRPr="00FB5A34" w:rsidR="28DF41C1">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w:t>
            </w:r>
            <w:r w:rsidRPr="47E59BC4">
              <w:rPr>
                <w:rFonts w:ascii="Calibri" w:eastAsia="Times New Roman" w:hAnsi="Calibri" w:cs="Calibri"/>
                <w:color w:val="000000" w:themeColor="text1"/>
                <w:sz w:val="18"/>
                <w:szCs w:val="18"/>
              </w:rPr>
              <w:t>amount reported as expense excludes allowances.</w:t>
            </w:r>
          </w:p>
        </w:tc>
        <w:tc>
          <w:tcPr>
            <w:tcW w:w="2097" w:type="dxa"/>
            <w:shd w:val="clear" w:color="auto" w:fill="auto"/>
            <w:vAlign w:val="center"/>
            <w:hideMark/>
          </w:tcPr>
          <w:p w:rsidR="00EA2492" w:rsidRPr="00F7311D" w:rsidP="00EA2492" w14:paraId="6368CE03" w14:textId="77777777">
            <w:pPr>
              <w:spacing w:after="0" w:line="240" w:lineRule="auto"/>
              <w:rPr>
                <w:rFonts w:ascii="Calibri" w:eastAsia="Times New Roman" w:hAnsi="Calibri" w:cs="Calibri"/>
                <w:color w:val="000000"/>
                <w:sz w:val="18"/>
                <w:szCs w:val="18"/>
              </w:rPr>
            </w:pPr>
          </w:p>
        </w:tc>
      </w:tr>
      <w:tr w14:paraId="3B0FBF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E885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income</w:t>
            </w:r>
          </w:p>
        </w:tc>
        <w:tc>
          <w:tcPr>
            <w:tcW w:w="8558" w:type="dxa"/>
            <w:shd w:val="clear" w:color="auto" w:fill="auto"/>
            <w:vAlign w:val="center"/>
            <w:hideMark/>
          </w:tcPr>
          <w:p w:rsidR="00EA2492" w:rsidRPr="00F7311D" w:rsidP="00EA2492" w14:paraId="7251A085" w14:textId="5480DB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revenues exceed expenses.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For for-profit institutions, this figure is net of gains and losses.</w:t>
            </w:r>
          </w:p>
        </w:tc>
        <w:tc>
          <w:tcPr>
            <w:tcW w:w="2097" w:type="dxa"/>
            <w:shd w:val="clear" w:color="auto" w:fill="auto"/>
            <w:vAlign w:val="center"/>
            <w:hideMark/>
          </w:tcPr>
          <w:p w:rsidR="00EA2492" w:rsidRPr="00F7311D" w:rsidP="00EA2492" w14:paraId="4087F6B1" w14:textId="77777777">
            <w:pPr>
              <w:spacing w:after="0" w:line="240" w:lineRule="auto"/>
              <w:rPr>
                <w:rFonts w:ascii="Calibri" w:eastAsia="Times New Roman" w:hAnsi="Calibri" w:cs="Calibri"/>
                <w:color w:val="000000"/>
                <w:sz w:val="18"/>
                <w:szCs w:val="18"/>
              </w:rPr>
            </w:pPr>
          </w:p>
        </w:tc>
      </w:tr>
      <w:tr w14:paraId="40FACD6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6267AF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loss</w:t>
            </w:r>
          </w:p>
        </w:tc>
        <w:tc>
          <w:tcPr>
            <w:tcW w:w="8558" w:type="dxa"/>
            <w:shd w:val="clear" w:color="auto" w:fill="auto"/>
            <w:vAlign w:val="center"/>
            <w:hideMark/>
          </w:tcPr>
          <w:p w:rsidR="00EA2492" w:rsidRPr="00F7311D" w:rsidP="00EA2492" w14:paraId="6D4735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final figure in the income statement when expenses exceed revenues.</w:t>
            </w:r>
          </w:p>
        </w:tc>
        <w:tc>
          <w:tcPr>
            <w:tcW w:w="2097" w:type="dxa"/>
            <w:shd w:val="clear" w:color="auto" w:fill="auto"/>
            <w:vAlign w:val="center"/>
            <w:hideMark/>
          </w:tcPr>
          <w:p w:rsidR="00EA2492" w:rsidRPr="00F7311D" w:rsidP="00EA2492" w14:paraId="5FE07524" w14:textId="77777777">
            <w:pPr>
              <w:spacing w:after="0" w:line="240" w:lineRule="auto"/>
              <w:rPr>
                <w:rFonts w:ascii="Calibri" w:eastAsia="Times New Roman" w:hAnsi="Calibri" w:cs="Calibri"/>
                <w:color w:val="000000"/>
                <w:sz w:val="18"/>
                <w:szCs w:val="18"/>
              </w:rPr>
            </w:pPr>
          </w:p>
        </w:tc>
      </w:tr>
      <w:tr w14:paraId="343CD8D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A6D4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position</w:t>
            </w:r>
          </w:p>
        </w:tc>
        <w:tc>
          <w:tcPr>
            <w:tcW w:w="8558" w:type="dxa"/>
            <w:shd w:val="clear" w:color="auto" w:fill="auto"/>
            <w:vAlign w:val="center"/>
            <w:hideMark/>
          </w:tcPr>
          <w:p w:rsidR="00EA2492" w:rsidRPr="00F7311D" w:rsidP="00EA2492" w14:paraId="4B3D2FB4" w14:textId="6311DC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excess of assets over liabilities or the residual interest in the institution's assets remaining after liabilities are deducted. The change in net position results from revenues, gains, expenses, and losses.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GASB institutions classify </w:t>
            </w:r>
            <w:r w:rsidRPr="00F7311D">
              <w:rPr>
                <w:rFonts w:ascii="Calibri" w:eastAsia="Times New Roman" w:hAnsi="Calibri" w:cs="Calibri"/>
                <w:color w:val="000000"/>
                <w:sz w:val="18"/>
                <w:szCs w:val="18"/>
              </w:rPr>
              <w:t>net position into three categories: invested in capital, net of related debt; restricted (with separate displays of restricted-expendable and restricted-nonexpendable net assets); and unrestricted. Net position beginning with the 2013-14 collection includes deferred inflows and outflows of resources, per change from GASB Statement 63 and 65. This term is similar to the 'Net assets' term used by FASB institutions.</w:t>
            </w:r>
          </w:p>
        </w:tc>
        <w:tc>
          <w:tcPr>
            <w:tcW w:w="2097" w:type="dxa"/>
            <w:shd w:val="clear" w:color="auto" w:fill="auto"/>
            <w:vAlign w:val="center"/>
            <w:hideMark/>
          </w:tcPr>
          <w:p w:rsidR="00EA2492" w:rsidRPr="00F7311D" w:rsidP="00EA2492" w14:paraId="055BF7C4" w14:textId="77777777">
            <w:pPr>
              <w:spacing w:after="0" w:line="240" w:lineRule="auto"/>
              <w:rPr>
                <w:rFonts w:ascii="Calibri" w:eastAsia="Times New Roman" w:hAnsi="Calibri" w:cs="Calibri"/>
                <w:color w:val="000000"/>
                <w:sz w:val="18"/>
                <w:szCs w:val="18"/>
              </w:rPr>
            </w:pPr>
          </w:p>
        </w:tc>
      </w:tr>
      <w:tr w14:paraId="751695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57AA9E" w14:textId="3042745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price</w:t>
            </w:r>
          </w:p>
        </w:tc>
        <w:tc>
          <w:tcPr>
            <w:tcW w:w="8558" w:type="dxa"/>
            <w:shd w:val="clear" w:color="auto" w:fill="auto"/>
            <w:vAlign w:val="center"/>
            <w:hideMark/>
          </w:tcPr>
          <w:p w:rsidR="00EA2492" w:rsidRPr="00F7311D" w:rsidP="47E59BC4" w14:paraId="47392233" w14:textId="597CAEF2">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 xml:space="preserve">The Higher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w:t>
            </w:r>
            <w:r w:rsidRPr="00FB5A34">
              <w:rPr>
                <w:rFonts w:ascii="Calibri" w:eastAsia="Times New Roman" w:hAnsi="Calibri" w:cs="Calibri"/>
                <w:color w:val="000000" w:themeColor="text1"/>
                <w:sz w:val="18"/>
                <w:szCs w:val="18"/>
              </w:rPr>
              <w:t>for</w:t>
            </w:r>
            <w:r w:rsidRPr="00FB5A34" w:rsidR="73B6C231">
              <w:rPr>
                <w:rFonts w:ascii="Calibri" w:eastAsia="Calibri" w:hAnsi="Calibri" w:cs="Calibri"/>
                <w:color w:val="000000" w:themeColor="text1"/>
                <w:sz w:val="18"/>
                <w:szCs w:val="18"/>
              </w:rPr>
              <w:t xml:space="preserve"> food and housing</w:t>
            </w:r>
            <w:r w:rsidRPr="00FB5A34">
              <w:rPr>
                <w:rFonts w:ascii="Calibri" w:eastAsia="Times New Roman" w:hAnsi="Calibri" w:cs="Calibri"/>
                <w:color w:val="000000" w:themeColor="text1"/>
                <w:sz w:val="18"/>
                <w:szCs w:val="18"/>
              </w:rPr>
              <w:t xml:space="preserve"> and other </w:t>
            </w:r>
            <w:r w:rsidRPr="47E59BC4">
              <w:rPr>
                <w:rFonts w:ascii="Calibri" w:eastAsia="Times New Roman" w:hAnsi="Calibri" w:cs="Calibri"/>
                <w:color w:val="000000" w:themeColor="text1"/>
                <w:sz w:val="18"/>
                <w:szCs w:val="18"/>
              </w:rPr>
              <w:t>expenses.</w:t>
            </w:r>
          </w:p>
        </w:tc>
        <w:tc>
          <w:tcPr>
            <w:tcW w:w="2097" w:type="dxa"/>
            <w:shd w:val="clear" w:color="auto" w:fill="auto"/>
            <w:vAlign w:val="center"/>
            <w:hideMark/>
          </w:tcPr>
          <w:p w:rsidR="00EA2492" w:rsidRPr="008878BA" w:rsidP="00EA2492" w14:paraId="75E1DE35" w14:textId="686D6DA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Average Net Price (ANP)</w:t>
            </w:r>
          </w:p>
        </w:tc>
      </w:tr>
      <w:tr w14:paraId="45ABF87E" w14:textId="77777777" w:rsidTr="0036249A">
        <w:tblPrEx>
          <w:tblW w:w="13616" w:type="dxa"/>
          <w:tblLook w:val="04A0"/>
        </w:tblPrEx>
        <w:trPr>
          <w:trHeight w:val="20"/>
        </w:trPr>
        <w:tc>
          <w:tcPr>
            <w:tcW w:w="2961" w:type="dxa"/>
            <w:shd w:val="clear" w:color="auto" w:fill="auto"/>
            <w:vAlign w:val="center"/>
            <w:hideMark/>
          </w:tcPr>
          <w:p w:rsidR="00EA2492" w:rsidRPr="00197CBE" w:rsidP="00EA2492" w14:paraId="7E7B1826" w14:textId="77777777">
            <w:pPr>
              <w:spacing w:after="0" w:line="240" w:lineRule="auto"/>
              <w:rPr>
                <w:rFonts w:ascii="Calibri" w:eastAsia="Times New Roman" w:hAnsi="Calibri" w:cs="Calibri"/>
                <w:color w:val="000000"/>
                <w:sz w:val="18"/>
                <w:szCs w:val="18"/>
              </w:rPr>
            </w:pPr>
            <w:r w:rsidRPr="00197CBE">
              <w:rPr>
                <w:rFonts w:ascii="Calibri" w:eastAsia="Times New Roman" w:hAnsi="Calibri" w:cs="Calibri"/>
                <w:color w:val="000000"/>
                <w:sz w:val="18"/>
                <w:szCs w:val="18"/>
              </w:rPr>
              <w:t>New hires</w:t>
            </w:r>
          </w:p>
        </w:tc>
        <w:tc>
          <w:tcPr>
            <w:tcW w:w="8558" w:type="dxa"/>
            <w:shd w:val="clear" w:color="auto" w:fill="auto"/>
            <w:vAlign w:val="center"/>
            <w:hideMark/>
          </w:tcPr>
          <w:p w:rsidR="00EA2492" w:rsidRPr="00197CBE" w:rsidP="00EA2492" w14:paraId="535A5553" w14:textId="7E46F64E">
            <w:pPr>
              <w:spacing w:after="0" w:line="240" w:lineRule="auto"/>
              <w:rPr>
                <w:rFonts w:ascii="Calibri" w:eastAsia="Times New Roman" w:hAnsi="Calibri" w:cs="Calibri"/>
                <w:color w:val="000000"/>
                <w:sz w:val="18"/>
                <w:szCs w:val="18"/>
              </w:rPr>
            </w:pPr>
            <w:r w:rsidRPr="002515CF">
              <w:rPr>
                <w:rFonts w:ascii="Calibri" w:eastAsia="Times New Roman" w:hAnsi="Calibri" w:cs="Calibri"/>
                <w:sz w:val="18"/>
                <w:szCs w:val="18"/>
              </w:rPr>
              <w:t>Persons who were hired for full-time permanent employment either for the first time (new to the institution) or after a break in service between November 1 (prior year)</w:t>
            </w:r>
            <w:r w:rsidRPr="002515CF" w:rsidR="002515CF">
              <w:rPr>
                <w:rFonts w:ascii="Calibri" w:eastAsia="Times New Roman" w:hAnsi="Calibri" w:cs="Calibri"/>
                <w:sz w:val="18"/>
                <w:szCs w:val="18"/>
              </w:rPr>
              <w:t xml:space="preserve"> </w:t>
            </w:r>
            <w:r w:rsidRPr="002515CF">
              <w:rPr>
                <w:rFonts w:ascii="Calibri" w:eastAsia="Times New Roman" w:hAnsi="Calibri" w:cs="Calibri"/>
                <w:sz w:val="18"/>
                <w:szCs w:val="18"/>
              </w:rPr>
              <w:t>and October 31 (current year)</w:t>
            </w:r>
            <w:r w:rsidRPr="002515CF" w:rsidR="002515CF">
              <w:rPr>
                <w:rFonts w:ascii="Calibri" w:eastAsia="Times New Roman" w:hAnsi="Calibri" w:cs="Calibri"/>
                <w:sz w:val="18"/>
                <w:szCs w:val="18"/>
              </w:rPr>
              <w:t xml:space="preserve"> </w:t>
            </w:r>
            <w:r w:rsidRPr="002515CF">
              <w:rPr>
                <w:rFonts w:ascii="Calibri" w:eastAsia="Times New Roman" w:hAnsi="Calibri" w:cs="Calibri"/>
                <w:sz w:val="18"/>
                <w:szCs w:val="18"/>
              </w:rPr>
              <w:t xml:space="preserve">and still on the payroll as of November 1 of the current year. Does not include </w:t>
            </w:r>
            <w:r w:rsidRPr="00197CBE">
              <w:rPr>
                <w:rFonts w:ascii="Calibri" w:eastAsia="Times New Roman" w:hAnsi="Calibri" w:cs="Calibri"/>
                <w:color w:val="000000"/>
                <w:sz w:val="18"/>
                <w:szCs w:val="18"/>
              </w:rPr>
              <w:t>persons who have returned from sabbatical leave OR full-time Postsecondary Staff who are working less-than-9-month contracts.</w:t>
            </w:r>
          </w:p>
        </w:tc>
        <w:tc>
          <w:tcPr>
            <w:tcW w:w="2097" w:type="dxa"/>
            <w:shd w:val="clear" w:color="auto" w:fill="auto"/>
            <w:vAlign w:val="center"/>
            <w:hideMark/>
          </w:tcPr>
          <w:p w:rsidR="00EA2492" w:rsidRPr="00F7311D" w:rsidP="00EA2492" w14:paraId="4B88442B" w14:textId="77777777">
            <w:pPr>
              <w:spacing w:after="0" w:line="240" w:lineRule="auto"/>
              <w:rPr>
                <w:rFonts w:ascii="Calibri" w:eastAsia="Times New Roman" w:hAnsi="Calibri" w:cs="Calibri"/>
                <w:color w:val="000000"/>
                <w:sz w:val="18"/>
                <w:szCs w:val="18"/>
              </w:rPr>
            </w:pPr>
          </w:p>
        </w:tc>
      </w:tr>
      <w:tr w14:paraId="06DA1AB9"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168CF90" w14:textId="5594FE3D">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Non </w:t>
            </w:r>
            <w:r w:rsidRPr="008878BA" w:rsidR="00EE7426">
              <w:rPr>
                <w:rFonts w:ascii="Calibri" w:eastAsia="Times New Roman" w:hAnsi="Calibri" w:cs="Calibri"/>
                <w:sz w:val="18"/>
                <w:szCs w:val="18"/>
              </w:rPr>
              <w:t>e</w:t>
            </w:r>
            <w:r w:rsidRPr="008878BA" w:rsidR="00D56674">
              <w:rPr>
                <w:rFonts w:ascii="Calibri" w:eastAsia="Times New Roman" w:hAnsi="Calibri" w:cs="Calibri"/>
                <w:sz w:val="18"/>
                <w:szCs w:val="18"/>
              </w:rPr>
              <w:t>ducation and general</w:t>
            </w:r>
            <w:r w:rsidRPr="008878BA" w:rsidR="00EE7426">
              <w:rPr>
                <w:rFonts w:ascii="Calibri" w:eastAsia="Times New Roman" w:hAnsi="Calibri" w:cs="Calibri"/>
                <w:sz w:val="18"/>
                <w:szCs w:val="18"/>
              </w:rPr>
              <w:t xml:space="preserve"> (E&amp;G)</w:t>
            </w:r>
            <w:r w:rsidRPr="008878BA">
              <w:rPr>
                <w:rFonts w:ascii="Calibri" w:eastAsia="Times New Roman" w:hAnsi="Calibri" w:cs="Calibri"/>
                <w:sz w:val="18"/>
                <w:szCs w:val="18"/>
              </w:rPr>
              <w:t xml:space="preserve"> current funds expenditures</w:t>
            </w:r>
          </w:p>
        </w:tc>
        <w:tc>
          <w:tcPr>
            <w:tcW w:w="8558" w:type="dxa"/>
            <w:shd w:val="clear" w:color="auto" w:fill="auto"/>
            <w:vAlign w:val="center"/>
            <w:hideMark/>
          </w:tcPr>
          <w:p w:rsidR="00EA2492" w:rsidRPr="00F7311D" w:rsidP="00EA2492" w14:paraId="5CEFC6B0" w14:textId="4320A1D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self-supporting operations of the institution that furnish a service to students, faculty, or staff and charge a fee related to the service. Also includes funds expended for operations that are independent of the mission of the institution.</w:t>
            </w:r>
          </w:p>
        </w:tc>
        <w:tc>
          <w:tcPr>
            <w:tcW w:w="2097" w:type="dxa"/>
            <w:shd w:val="clear" w:color="auto" w:fill="auto"/>
            <w:vAlign w:val="center"/>
            <w:hideMark/>
          </w:tcPr>
          <w:p w:rsidR="00EA2492" w:rsidRPr="00F7311D" w:rsidP="00EA2492" w14:paraId="75A6460B" w14:textId="77777777">
            <w:pPr>
              <w:spacing w:after="0" w:line="240" w:lineRule="auto"/>
              <w:rPr>
                <w:rFonts w:ascii="Calibri" w:eastAsia="Times New Roman" w:hAnsi="Calibri" w:cs="Calibri"/>
                <w:color w:val="000000"/>
                <w:sz w:val="18"/>
                <w:szCs w:val="18"/>
              </w:rPr>
            </w:pPr>
          </w:p>
        </w:tc>
      </w:tr>
      <w:tr w14:paraId="25A6E29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783FCF18" w14:textId="4C7897F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Non-degree</w:t>
            </w:r>
            <w:r w:rsidRPr="008878BA" w:rsidR="00FD0E84">
              <w:rPr>
                <w:rFonts w:ascii="Calibri" w:eastAsia="Times New Roman" w:hAnsi="Calibri" w:cs="Calibri"/>
                <w:sz w:val="18"/>
                <w:szCs w:val="18"/>
              </w:rPr>
              <w:t>/non-certificate</w:t>
            </w:r>
            <w:r w:rsidRPr="008878BA">
              <w:rPr>
                <w:rFonts w:ascii="Calibri" w:eastAsia="Times New Roman" w:hAnsi="Calibri" w:cs="Calibri"/>
                <w:sz w:val="18"/>
                <w:szCs w:val="18"/>
              </w:rPr>
              <w:t>-seeking student</w:t>
            </w:r>
            <w:r w:rsidRPr="008878BA" w:rsidR="00FD0E84">
              <w:rPr>
                <w:rFonts w:ascii="Calibri" w:eastAsia="Times New Roman" w:hAnsi="Calibri" w:cs="Calibri"/>
                <w:sz w:val="18"/>
                <w:szCs w:val="18"/>
              </w:rPr>
              <w:t xml:space="preserve"> (NDGCS)</w:t>
            </w:r>
          </w:p>
        </w:tc>
        <w:tc>
          <w:tcPr>
            <w:tcW w:w="8558" w:type="dxa"/>
            <w:shd w:val="clear" w:color="auto" w:fill="auto"/>
            <w:vAlign w:val="center"/>
            <w:hideMark/>
          </w:tcPr>
          <w:p w:rsidR="00EA2492" w:rsidRPr="00F7311D" w:rsidP="00EA2492" w14:paraId="42F8CC2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enrolled in courses for credit who is not recognized by the institution as seeking a degree or recognized postsecondary credential.</w:t>
            </w:r>
          </w:p>
        </w:tc>
        <w:tc>
          <w:tcPr>
            <w:tcW w:w="2097" w:type="dxa"/>
            <w:shd w:val="clear" w:color="auto" w:fill="auto"/>
            <w:vAlign w:val="center"/>
            <w:hideMark/>
          </w:tcPr>
          <w:p w:rsidR="00EA2492" w:rsidRPr="00F7311D" w:rsidP="00EA2492" w14:paraId="5DBC8E2B" w14:textId="77777777">
            <w:pPr>
              <w:spacing w:after="0" w:line="240" w:lineRule="auto"/>
              <w:rPr>
                <w:rFonts w:ascii="Calibri" w:eastAsia="Times New Roman" w:hAnsi="Calibri" w:cs="Calibri"/>
                <w:color w:val="000000"/>
                <w:sz w:val="18"/>
                <w:szCs w:val="18"/>
              </w:rPr>
            </w:pPr>
          </w:p>
        </w:tc>
      </w:tr>
      <w:tr w14:paraId="5F7578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E4F5B9A" w14:textId="1F506EB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Non-first-time student (undergraduate)</w:t>
            </w:r>
          </w:p>
        </w:tc>
        <w:tc>
          <w:tcPr>
            <w:tcW w:w="8558" w:type="dxa"/>
            <w:shd w:val="clear" w:color="auto" w:fill="auto"/>
            <w:vAlign w:val="center"/>
            <w:hideMark/>
          </w:tcPr>
          <w:p w:rsidR="00EA2492" w:rsidRPr="00F7311D" w:rsidP="00EA2492" w14:paraId="1579E4E3" w14:textId="22A8648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student </w:t>
            </w:r>
            <w:r w:rsidRPr="008878BA">
              <w:rPr>
                <w:rFonts w:ascii="Calibri" w:eastAsia="Times New Roman" w:hAnsi="Calibri" w:cs="Calibri"/>
                <w:sz w:val="18"/>
                <w:szCs w:val="18"/>
              </w:rPr>
              <w:t xml:space="preserve">who has </w:t>
            </w:r>
            <w:r w:rsidRPr="008878BA" w:rsidR="00A17C87">
              <w:rPr>
                <w:rFonts w:ascii="Calibri" w:eastAsia="Times New Roman" w:hAnsi="Calibri" w:cs="Calibri"/>
                <w:sz w:val="18"/>
                <w:szCs w:val="18"/>
              </w:rPr>
              <w:t>previously enrolled at a postsecondary institution (not as a high school student)</w:t>
            </w:r>
            <w:r w:rsidRPr="008878BA">
              <w:rPr>
                <w:rFonts w:ascii="Calibri" w:eastAsia="Times New Roman" w:hAnsi="Calibri" w:cs="Calibri"/>
                <w:sz w:val="18"/>
                <w:szCs w:val="18"/>
              </w:rPr>
              <w:t xml:space="preserve"> before </w:t>
            </w:r>
            <w:r w:rsidRPr="008878BA" w:rsidR="00A17C87">
              <w:rPr>
                <w:rFonts w:ascii="Calibri" w:eastAsia="Times New Roman" w:hAnsi="Calibri" w:cs="Calibri"/>
                <w:sz w:val="18"/>
                <w:szCs w:val="18"/>
              </w:rPr>
              <w:t>enrolling</w:t>
            </w:r>
            <w:r w:rsidRPr="008878BA" w:rsidR="008C2332">
              <w:rPr>
                <w:rFonts w:ascii="Calibri" w:eastAsia="Times New Roman" w:hAnsi="Calibri" w:cs="Calibri"/>
                <w:sz w:val="18"/>
                <w:szCs w:val="18"/>
              </w:rPr>
              <w:t xml:space="preserve"> </w:t>
            </w:r>
            <w:r w:rsidRPr="008878BA" w:rsidR="00A17C87">
              <w:rPr>
                <w:rFonts w:ascii="Calibri" w:eastAsia="Times New Roman" w:hAnsi="Calibri" w:cs="Calibri"/>
                <w:sz w:val="18"/>
                <w:szCs w:val="18"/>
              </w:rPr>
              <w:t xml:space="preserve">at </w:t>
            </w:r>
            <w:r w:rsidRPr="008878BA">
              <w:rPr>
                <w:rFonts w:ascii="Calibri" w:eastAsia="Times New Roman" w:hAnsi="Calibri" w:cs="Calibri"/>
                <w:sz w:val="18"/>
                <w:szCs w:val="18"/>
              </w:rPr>
              <w:t>the</w:t>
            </w:r>
            <w:r w:rsidRPr="008878BA">
              <w:rPr>
                <w:rFonts w:ascii="Calibri" w:eastAsia="Times New Roman" w:hAnsi="Calibri" w:cs="Calibri"/>
                <w:strike/>
                <w:sz w:val="18"/>
                <w:szCs w:val="18"/>
              </w:rPr>
              <w:t xml:space="preserve"> </w:t>
            </w:r>
            <w:r w:rsidRPr="008878BA">
              <w:rPr>
                <w:rFonts w:ascii="Calibri" w:eastAsia="Times New Roman" w:hAnsi="Calibri" w:cs="Calibri"/>
                <w:sz w:val="18"/>
                <w:szCs w:val="18"/>
              </w:rPr>
              <w:t xml:space="preserve">IPEDS </w:t>
            </w:r>
            <w:r w:rsidRPr="008878BA" w:rsidR="00FA6CF6">
              <w:rPr>
                <w:rFonts w:ascii="Calibri" w:eastAsia="Times New Roman" w:hAnsi="Calibri" w:cs="Calibri"/>
                <w:sz w:val="18"/>
                <w:szCs w:val="18"/>
              </w:rPr>
              <w:t xml:space="preserve">reporting </w:t>
            </w:r>
            <w:r w:rsidRPr="008878BA">
              <w:rPr>
                <w:rFonts w:ascii="Calibri" w:eastAsia="Times New Roman" w:hAnsi="Calibri" w:cs="Calibri"/>
                <w:sz w:val="18"/>
                <w:szCs w:val="18"/>
              </w:rPr>
              <w:t>institution</w:t>
            </w:r>
            <w:r w:rsidRPr="008878BA" w:rsidR="00FA6CF6">
              <w:rPr>
                <w:rFonts w:ascii="Calibri" w:eastAsia="Times New Roman" w:hAnsi="Calibri" w:cs="Calibri"/>
                <w:sz w:val="18"/>
                <w:szCs w:val="18"/>
              </w:rPr>
              <w:t xml:space="preserve"> as a </w:t>
            </w:r>
            <w:r w:rsidRPr="008878BA" w:rsidR="00BC783C">
              <w:rPr>
                <w:rFonts w:ascii="Calibri" w:eastAsia="Times New Roman" w:hAnsi="Calibri" w:cs="Calibri"/>
                <w:sz w:val="18"/>
                <w:szCs w:val="18"/>
              </w:rPr>
              <w:t>degree</w:t>
            </w:r>
            <w:r w:rsidRPr="008878BA" w:rsidR="00FA6CF6">
              <w:rPr>
                <w:rFonts w:ascii="Calibri" w:eastAsia="Times New Roman" w:hAnsi="Calibri" w:cs="Calibri"/>
                <w:sz w:val="18"/>
                <w:szCs w:val="18"/>
              </w:rPr>
              <w:t>/certificate-seeking student</w:t>
            </w:r>
            <w:r w:rsidRPr="008878BA">
              <w:rPr>
                <w:rFonts w:ascii="Calibri" w:eastAsia="Times New Roman" w:hAnsi="Calibri" w:cs="Calibri"/>
                <w:sz w:val="18"/>
                <w:szCs w:val="18"/>
              </w:rPr>
              <w:t xml:space="preserve">. </w:t>
            </w:r>
            <w:r w:rsidRPr="008878BA" w:rsidR="00FA6CF6">
              <w:rPr>
                <w:rFonts w:ascii="Calibri" w:eastAsia="Times New Roman" w:hAnsi="Calibri" w:cs="Calibri"/>
                <w:sz w:val="18"/>
                <w:szCs w:val="18"/>
              </w:rPr>
              <w:t>Non-first-time</w:t>
            </w:r>
            <w:r w:rsidRPr="008878BA" w:rsidR="008C2332">
              <w:rPr>
                <w:rFonts w:ascii="Calibri" w:eastAsia="Times New Roman" w:hAnsi="Calibri" w:cs="Calibri"/>
                <w:sz w:val="18"/>
                <w:szCs w:val="18"/>
              </w:rPr>
              <w:t xml:space="preserve"> </w:t>
            </w:r>
            <w:r w:rsidRPr="008878BA">
              <w:rPr>
                <w:rFonts w:ascii="Calibri" w:eastAsia="Times New Roman" w:hAnsi="Calibri" w:cs="Calibri"/>
                <w:sz w:val="18"/>
                <w:szCs w:val="18"/>
              </w:rPr>
              <w:t xml:space="preserve">cohort </w:t>
            </w:r>
            <w:r w:rsidRPr="008878BA" w:rsidR="00BC783C">
              <w:rPr>
                <w:rFonts w:ascii="Calibri" w:eastAsia="Times New Roman" w:hAnsi="Calibri" w:cs="Calibri"/>
                <w:sz w:val="18"/>
                <w:szCs w:val="18"/>
              </w:rPr>
              <w:t>includes</w:t>
            </w:r>
            <w:r w:rsidRPr="008878BA" w:rsidR="008C2332">
              <w:rPr>
                <w:rFonts w:ascii="Calibri" w:eastAsia="Times New Roman" w:hAnsi="Calibri" w:cs="Calibri"/>
                <w:sz w:val="18"/>
                <w:szCs w:val="18"/>
              </w:rPr>
              <w:t xml:space="preserve"> </w:t>
            </w:r>
            <w:r w:rsidRPr="008878BA" w:rsidR="00BC783C">
              <w:rPr>
                <w:rFonts w:ascii="Calibri" w:eastAsia="Times New Roman" w:hAnsi="Calibri" w:cs="Calibri"/>
                <w:sz w:val="18"/>
                <w:szCs w:val="18"/>
              </w:rPr>
              <w:t xml:space="preserve">entering </w:t>
            </w:r>
            <w:r w:rsidRPr="008878BA">
              <w:rPr>
                <w:rFonts w:ascii="Calibri" w:eastAsia="Times New Roman" w:hAnsi="Calibri" w:cs="Calibri"/>
                <w:sz w:val="18"/>
                <w:szCs w:val="18"/>
              </w:rPr>
              <w:t xml:space="preserve">transfer-in </w:t>
            </w:r>
            <w:r w:rsidRPr="008878BA" w:rsidR="00BC783C">
              <w:rPr>
                <w:rFonts w:ascii="Calibri" w:eastAsia="Times New Roman" w:hAnsi="Calibri" w:cs="Calibri"/>
                <w:sz w:val="18"/>
                <w:szCs w:val="18"/>
              </w:rPr>
              <w:t xml:space="preserve">students </w:t>
            </w:r>
            <w:r w:rsidRPr="008878BA">
              <w:rPr>
                <w:rFonts w:ascii="Calibri" w:eastAsia="Times New Roman" w:hAnsi="Calibri" w:cs="Calibri"/>
                <w:sz w:val="18"/>
                <w:szCs w:val="18"/>
              </w:rPr>
              <w:t>from Fall Enrollment (EF)</w:t>
            </w:r>
            <w:r w:rsidRPr="008878BA" w:rsidR="007E5D11">
              <w:rPr>
                <w:rFonts w:ascii="Calibri" w:eastAsia="Times New Roman" w:hAnsi="Calibri" w:cs="Calibri"/>
                <w:sz w:val="18"/>
                <w:szCs w:val="18"/>
              </w:rPr>
              <w:t xml:space="preserve"> and</w:t>
            </w:r>
            <w:r w:rsidRPr="008878BA">
              <w:rPr>
                <w:rFonts w:ascii="Calibri" w:eastAsia="Times New Roman" w:hAnsi="Calibri" w:cs="Calibri"/>
                <w:sz w:val="18"/>
                <w:szCs w:val="18"/>
              </w:rPr>
              <w:t xml:space="preserve"> 12-month Enrollment (E12) components</w:t>
            </w:r>
            <w:r w:rsidRPr="008878BA" w:rsidR="00E64395">
              <w:rPr>
                <w:rFonts w:ascii="Calibri" w:eastAsia="Times New Roman" w:hAnsi="Calibri" w:cs="Calibri"/>
                <w:sz w:val="18"/>
                <w:szCs w:val="18"/>
              </w:rPr>
              <w:t xml:space="preserve"> and also includes students who entered the institution as non-degree/non-certificate-seeking (not as a high school student) but became degree/certificate-seeking </w:t>
            </w:r>
            <w:r w:rsidRPr="008878BA" w:rsidR="006F1F58">
              <w:rPr>
                <w:rFonts w:ascii="Calibri" w:eastAsia="Times New Roman" w:hAnsi="Calibri" w:cs="Calibri"/>
                <w:sz w:val="18"/>
                <w:szCs w:val="18"/>
              </w:rPr>
              <w:t>during the Outcome Measures (OM) cohort reporting period.</w:t>
            </w:r>
          </w:p>
        </w:tc>
        <w:tc>
          <w:tcPr>
            <w:tcW w:w="2097" w:type="dxa"/>
            <w:shd w:val="clear" w:color="auto" w:fill="auto"/>
            <w:vAlign w:val="center"/>
            <w:hideMark/>
          </w:tcPr>
          <w:p w:rsidR="00EA2492" w:rsidRPr="00F7311D" w:rsidP="00EA2492" w14:paraId="004E85F3" w14:textId="77777777">
            <w:pPr>
              <w:spacing w:after="0" w:line="240" w:lineRule="auto"/>
              <w:rPr>
                <w:rFonts w:ascii="Calibri" w:eastAsia="Times New Roman" w:hAnsi="Calibri" w:cs="Calibri"/>
                <w:color w:val="000000"/>
                <w:sz w:val="18"/>
                <w:szCs w:val="18"/>
              </w:rPr>
            </w:pPr>
          </w:p>
        </w:tc>
      </w:tr>
      <w:tr w14:paraId="3881019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9F42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Non-medical school staff</w:t>
            </w:r>
          </w:p>
        </w:tc>
        <w:tc>
          <w:tcPr>
            <w:tcW w:w="8558" w:type="dxa"/>
            <w:shd w:val="clear" w:color="auto" w:fill="auto"/>
            <w:vAlign w:val="center"/>
            <w:hideMark/>
          </w:tcPr>
          <w:p w:rsidR="00EA2492" w:rsidRPr="00F7311D" w:rsidP="00EA2492" w14:paraId="50D43D7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See Institution's staff (not in medical schools)</w:t>
            </w:r>
          </w:p>
        </w:tc>
        <w:tc>
          <w:tcPr>
            <w:tcW w:w="2097" w:type="dxa"/>
            <w:shd w:val="clear" w:color="auto" w:fill="auto"/>
            <w:vAlign w:val="center"/>
            <w:hideMark/>
          </w:tcPr>
          <w:p w:rsidR="00EA2492" w:rsidRPr="00F7311D" w:rsidP="00EA2492" w14:paraId="79471F19" w14:textId="77777777">
            <w:pPr>
              <w:spacing w:after="0" w:line="240" w:lineRule="auto"/>
              <w:rPr>
                <w:rFonts w:ascii="Calibri" w:eastAsia="Times New Roman" w:hAnsi="Calibri" w:cs="Calibri"/>
                <w:color w:val="000000"/>
                <w:sz w:val="18"/>
                <w:szCs w:val="18"/>
              </w:rPr>
            </w:pPr>
          </w:p>
        </w:tc>
      </w:tr>
      <w:tr w14:paraId="3A23996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8279D81" w14:textId="2B2B721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w:t>
            </w:r>
            <w:r w:rsidR="006F1F58">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eturnables</w:t>
            </w:r>
          </w:p>
        </w:tc>
        <w:tc>
          <w:tcPr>
            <w:tcW w:w="8558" w:type="dxa"/>
            <w:shd w:val="clear" w:color="auto" w:fill="auto"/>
            <w:vAlign w:val="center"/>
            <w:hideMark/>
          </w:tcPr>
          <w:p w:rsidR="00EA2492" w:rsidRPr="00F7311D" w:rsidP="00EA2492" w14:paraId="32D243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Materials that the library does not expect to have returned. Examples of non-</w:t>
            </w:r>
            <w:r w:rsidRPr="00F7311D">
              <w:rPr>
                <w:rFonts w:ascii="Calibri" w:eastAsia="Times New Roman" w:hAnsi="Calibri" w:cs="Calibri"/>
                <w:color w:val="000000"/>
                <w:sz w:val="18"/>
                <w:szCs w:val="18"/>
              </w:rPr>
              <w:t>returnables</w:t>
            </w:r>
            <w:r w:rsidRPr="00F7311D">
              <w:rPr>
                <w:rFonts w:ascii="Calibri" w:eastAsia="Times New Roman" w:hAnsi="Calibri" w:cs="Calibri"/>
                <w:color w:val="000000"/>
                <w:sz w:val="18"/>
                <w:szCs w:val="18"/>
              </w:rPr>
              <w:t xml:space="preserve"> include photocopies or facsimiles, fiche-to-fiche copies, print copies from microfilm, electronic full-text documents, and gratis print copies of unpublished reports and/or departmental working papers.</w:t>
            </w:r>
          </w:p>
        </w:tc>
        <w:tc>
          <w:tcPr>
            <w:tcW w:w="2097" w:type="dxa"/>
            <w:shd w:val="clear" w:color="auto" w:fill="auto"/>
            <w:vAlign w:val="center"/>
            <w:hideMark/>
          </w:tcPr>
          <w:p w:rsidR="00EA2492" w:rsidRPr="00F7311D" w:rsidP="00EA2492" w14:paraId="478450FB" w14:textId="77777777">
            <w:pPr>
              <w:spacing w:after="0" w:line="240" w:lineRule="auto"/>
              <w:rPr>
                <w:rFonts w:ascii="Calibri" w:eastAsia="Times New Roman" w:hAnsi="Calibri" w:cs="Calibri"/>
                <w:color w:val="000000"/>
                <w:sz w:val="18"/>
                <w:szCs w:val="18"/>
              </w:rPr>
            </w:pPr>
          </w:p>
        </w:tc>
      </w:tr>
      <w:tr w14:paraId="63877C3F" w14:textId="77777777" w:rsidTr="0036249A">
        <w:tblPrEx>
          <w:tblW w:w="13616" w:type="dxa"/>
          <w:tblLook w:val="04A0"/>
        </w:tblPrEx>
        <w:trPr>
          <w:trHeight w:val="20"/>
        </w:trPr>
        <w:tc>
          <w:tcPr>
            <w:tcW w:w="2961" w:type="dxa"/>
            <w:shd w:val="clear" w:color="auto" w:fill="auto"/>
            <w:vAlign w:val="center"/>
          </w:tcPr>
          <w:p w:rsidR="00EA2492" w:rsidRPr="002515CF" w:rsidP="00EA2492" w14:paraId="7B353538" w14:textId="71DE32A3">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contract training</w:t>
            </w:r>
          </w:p>
        </w:tc>
        <w:tc>
          <w:tcPr>
            <w:tcW w:w="8558" w:type="dxa"/>
            <w:shd w:val="clear" w:color="auto" w:fill="auto"/>
            <w:vAlign w:val="center"/>
          </w:tcPr>
          <w:p w:rsidR="00EA2492" w:rsidRPr="002515CF" w:rsidP="00EA2492" w14:paraId="4347A120" w14:textId="04A0070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conducted for a specific client organization in a range of formats.</w:t>
            </w:r>
          </w:p>
        </w:tc>
        <w:tc>
          <w:tcPr>
            <w:tcW w:w="2097" w:type="dxa"/>
            <w:shd w:val="clear" w:color="auto" w:fill="auto"/>
            <w:vAlign w:val="center"/>
          </w:tcPr>
          <w:p w:rsidR="00EA2492" w:rsidRPr="00F7311D" w:rsidP="00EA2492" w14:paraId="2DFD252A" w14:textId="77777777">
            <w:pPr>
              <w:spacing w:after="0" w:line="240" w:lineRule="auto"/>
              <w:rPr>
                <w:rFonts w:ascii="Calibri" w:eastAsia="Times New Roman" w:hAnsi="Calibri" w:cs="Calibri"/>
                <w:color w:val="000000"/>
                <w:sz w:val="18"/>
                <w:szCs w:val="18"/>
              </w:rPr>
            </w:pPr>
          </w:p>
        </w:tc>
      </w:tr>
      <w:tr w14:paraId="2ECE56A1" w14:textId="77777777" w:rsidTr="0036249A">
        <w:tblPrEx>
          <w:tblW w:w="13616" w:type="dxa"/>
          <w:tblLook w:val="04A0"/>
        </w:tblPrEx>
        <w:trPr>
          <w:trHeight w:val="20"/>
        </w:trPr>
        <w:tc>
          <w:tcPr>
            <w:tcW w:w="2961" w:type="dxa"/>
            <w:shd w:val="clear" w:color="auto" w:fill="auto"/>
            <w:vAlign w:val="center"/>
          </w:tcPr>
          <w:p w:rsidR="00EA2492" w:rsidRPr="002515CF" w:rsidP="00EA2492" w14:paraId="50DF0100" w14:textId="206AC7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customized training</w:t>
            </w:r>
          </w:p>
        </w:tc>
        <w:tc>
          <w:tcPr>
            <w:tcW w:w="8558" w:type="dxa"/>
            <w:shd w:val="clear" w:color="auto" w:fill="auto"/>
            <w:vAlign w:val="center"/>
          </w:tcPr>
          <w:p w:rsidR="00EA2492" w:rsidRPr="002515CF" w:rsidP="00EA2492" w14:paraId="16364753" w14:textId="3B7B1EA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Contract training that is more specifically tailored to the client organization’s needs in terms of content or schedule.</w:t>
            </w:r>
          </w:p>
        </w:tc>
        <w:tc>
          <w:tcPr>
            <w:tcW w:w="2097" w:type="dxa"/>
            <w:shd w:val="clear" w:color="auto" w:fill="auto"/>
            <w:vAlign w:val="center"/>
          </w:tcPr>
          <w:p w:rsidR="00EA2492" w:rsidRPr="00F7311D" w:rsidP="00EA2492" w14:paraId="3B5B0B54" w14:textId="77777777">
            <w:pPr>
              <w:spacing w:after="0" w:line="240" w:lineRule="auto"/>
              <w:rPr>
                <w:rFonts w:ascii="Calibri" w:eastAsia="Times New Roman" w:hAnsi="Calibri" w:cs="Calibri"/>
                <w:color w:val="000000"/>
                <w:sz w:val="18"/>
                <w:szCs w:val="18"/>
              </w:rPr>
            </w:pPr>
          </w:p>
        </w:tc>
      </w:tr>
      <w:tr w14:paraId="34DD0325" w14:textId="77777777" w:rsidTr="0036249A">
        <w:tblPrEx>
          <w:tblW w:w="13616" w:type="dxa"/>
          <w:tblLook w:val="04A0"/>
        </w:tblPrEx>
        <w:trPr>
          <w:trHeight w:val="20"/>
        </w:trPr>
        <w:tc>
          <w:tcPr>
            <w:tcW w:w="2961" w:type="dxa"/>
            <w:shd w:val="clear" w:color="auto" w:fill="auto"/>
            <w:vAlign w:val="center"/>
          </w:tcPr>
          <w:p w:rsidR="00EA2492" w:rsidRPr="002515CF" w:rsidP="00EA2492" w14:paraId="5C3ED43C" w14:textId="1B569DEC">
            <w:pPr>
              <w:spacing w:after="0" w:line="240" w:lineRule="auto"/>
              <w:rPr>
                <w:rFonts w:ascii="Calibri" w:eastAsia="Times New Roman" w:hAnsi="Calibri" w:cs="Calibri"/>
                <w:strike/>
                <w:sz w:val="18"/>
                <w:szCs w:val="18"/>
              </w:rPr>
            </w:pPr>
            <w:r w:rsidRPr="002515CF">
              <w:rPr>
                <w:rFonts w:ascii="Calibri" w:eastAsia="Times New Roman" w:hAnsi="Calibri" w:cs="Calibri"/>
                <w:sz w:val="18"/>
                <w:szCs w:val="18"/>
              </w:rPr>
              <w:t>Noncredit education</w:t>
            </w:r>
          </w:p>
        </w:tc>
        <w:tc>
          <w:tcPr>
            <w:tcW w:w="8558" w:type="dxa"/>
            <w:shd w:val="clear" w:color="auto" w:fill="auto"/>
            <w:vAlign w:val="center"/>
          </w:tcPr>
          <w:p w:rsidR="00EA2492" w:rsidRPr="002515CF" w:rsidP="00EA2492" w14:paraId="7160F436" w14:textId="3F4D80E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Courses or activities carrying no academic credit applicable toward a degree, diploma, certificate, or other recognized postsecondary credential at the institution or within the postsecondary educational system.</w:t>
            </w:r>
          </w:p>
        </w:tc>
        <w:tc>
          <w:tcPr>
            <w:tcW w:w="2097" w:type="dxa"/>
            <w:shd w:val="clear" w:color="auto" w:fill="auto"/>
            <w:vAlign w:val="center"/>
          </w:tcPr>
          <w:p w:rsidR="00EA2492" w:rsidRPr="00F7311D" w:rsidP="00EA2492" w14:paraId="2F85A378" w14:textId="77777777">
            <w:pPr>
              <w:spacing w:after="0" w:line="240" w:lineRule="auto"/>
              <w:rPr>
                <w:rFonts w:ascii="Calibri" w:eastAsia="Times New Roman" w:hAnsi="Calibri" w:cs="Calibri"/>
                <w:color w:val="000000"/>
                <w:sz w:val="18"/>
                <w:szCs w:val="18"/>
              </w:rPr>
            </w:pPr>
          </w:p>
        </w:tc>
      </w:tr>
      <w:tr w14:paraId="650951FD" w14:textId="77777777" w:rsidTr="0036249A">
        <w:tblPrEx>
          <w:tblW w:w="13616" w:type="dxa"/>
          <w:tblLook w:val="04A0"/>
        </w:tblPrEx>
        <w:trPr>
          <w:trHeight w:val="20"/>
        </w:trPr>
        <w:tc>
          <w:tcPr>
            <w:tcW w:w="2961" w:type="dxa"/>
            <w:shd w:val="clear" w:color="auto" w:fill="auto"/>
            <w:vAlign w:val="center"/>
          </w:tcPr>
          <w:p w:rsidR="00EA2492" w:rsidRPr="002515CF" w:rsidP="00EA2492" w14:paraId="156276A6" w14:textId="62A0651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Noncredit workforce education</w:t>
            </w:r>
          </w:p>
        </w:tc>
        <w:tc>
          <w:tcPr>
            <w:tcW w:w="8558" w:type="dxa"/>
            <w:shd w:val="clear" w:color="auto" w:fill="auto"/>
            <w:vAlign w:val="center"/>
          </w:tcPr>
          <w:p w:rsidR="00EA2492" w:rsidRPr="002515CF" w:rsidP="00EA2492" w14:paraId="7D6E68DC" w14:textId="7AC317BD">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Courses or activities that provide technical skills for the workplace but carry no institutional credit applicable toward a degree, diploma, certificate, or other formal award. These courses may result in industry-recognized certificates, but do not include ABE, ESL, </w:t>
            </w:r>
            <w:r w:rsidRPr="00FB5A34" w:rsidR="00EE7111">
              <w:rPr>
                <w:rFonts w:ascii="Calibri" w:eastAsia="Times New Roman" w:hAnsi="Calibri" w:cs="Calibri"/>
                <w:color w:val="000000" w:themeColor="text1"/>
                <w:sz w:val="18"/>
                <w:szCs w:val="18"/>
              </w:rPr>
              <w:t xml:space="preserve">developmental </w:t>
            </w:r>
            <w:r w:rsidRPr="002515CF">
              <w:rPr>
                <w:rFonts w:ascii="Calibri" w:eastAsia="Times New Roman" w:hAnsi="Calibri" w:cs="Calibri"/>
                <w:sz w:val="18"/>
                <w:szCs w:val="18"/>
              </w:rPr>
              <w:t>education, or recreational courses.</w:t>
            </w:r>
          </w:p>
        </w:tc>
        <w:tc>
          <w:tcPr>
            <w:tcW w:w="2097" w:type="dxa"/>
            <w:shd w:val="clear" w:color="auto" w:fill="auto"/>
            <w:vAlign w:val="center"/>
          </w:tcPr>
          <w:p w:rsidR="00EA2492" w:rsidRPr="00F7311D" w:rsidP="00EA2492" w14:paraId="0FB9C6B9" w14:textId="77777777">
            <w:pPr>
              <w:spacing w:after="0" w:line="240" w:lineRule="auto"/>
              <w:rPr>
                <w:rFonts w:ascii="Calibri" w:eastAsia="Times New Roman" w:hAnsi="Calibri" w:cs="Calibri"/>
                <w:color w:val="000000"/>
                <w:sz w:val="18"/>
                <w:szCs w:val="18"/>
              </w:rPr>
            </w:pPr>
          </w:p>
        </w:tc>
      </w:tr>
      <w:tr w14:paraId="6A7C422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CCDE0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assets</w:t>
            </w:r>
          </w:p>
        </w:tc>
        <w:tc>
          <w:tcPr>
            <w:tcW w:w="8558" w:type="dxa"/>
            <w:shd w:val="clear" w:color="auto" w:fill="auto"/>
            <w:vAlign w:val="center"/>
            <w:hideMark/>
          </w:tcPr>
          <w:p w:rsidR="00EA2492" w:rsidRPr="00F7311D" w:rsidP="00EA2492" w14:paraId="2E6DD9FB" w14:textId="297298E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that are not reasonably expected to be realized in cash or sold or consumed during the next normal operating cycle (normally one year) of the institution. Liquidity or nearness to cash is not the basis for determining classification as current or noncurrent. Thus</w:t>
            </w:r>
            <w:r w:rsidR="00FB5A34">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cash investments intended for liquidation of liabilities due beyond the one-year period are noncurrent assets, as would assets segregated for the liquidation of long-term debts (including amounts due within the next operating cycle). Assets designated to be used to acquire, construct, or improve capital assets would be noncurrent.</w:t>
            </w:r>
          </w:p>
        </w:tc>
        <w:tc>
          <w:tcPr>
            <w:tcW w:w="2097" w:type="dxa"/>
            <w:shd w:val="clear" w:color="auto" w:fill="auto"/>
            <w:vAlign w:val="center"/>
            <w:hideMark/>
          </w:tcPr>
          <w:p w:rsidR="00EA2492" w:rsidRPr="00F7311D" w:rsidP="00EA2492" w14:paraId="47503133" w14:textId="77777777">
            <w:pPr>
              <w:spacing w:after="0" w:line="240" w:lineRule="auto"/>
              <w:rPr>
                <w:rFonts w:ascii="Calibri" w:eastAsia="Times New Roman" w:hAnsi="Calibri" w:cs="Calibri"/>
                <w:color w:val="000000"/>
                <w:sz w:val="18"/>
                <w:szCs w:val="18"/>
              </w:rPr>
            </w:pPr>
          </w:p>
        </w:tc>
      </w:tr>
      <w:tr w14:paraId="4D992E0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C0296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Noncurrent liabilities</w:t>
            </w:r>
          </w:p>
        </w:tc>
        <w:tc>
          <w:tcPr>
            <w:tcW w:w="8558" w:type="dxa"/>
            <w:shd w:val="clear" w:color="auto" w:fill="auto"/>
            <w:vAlign w:val="center"/>
            <w:hideMark/>
          </w:tcPr>
          <w:p w:rsidR="00EA2492" w:rsidRPr="00F7311D" w:rsidP="00EA2492" w14:paraId="4A5D3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Liabilities whose liquidation is not reasonably expected to require the use of resources classified as current assets or the creation of other current liabilities within the next year. This includes the noncurrent portion of long-term debt and long-term accrued liabilities (such as for compensated absences, claims and judgments, and post-employment/post-retirement benefits); liability for refundable advances to the federal government for the </w:t>
            </w:r>
            <w:r w:rsidRPr="00F7311D">
              <w:rPr>
                <w:rFonts w:ascii="Calibri" w:eastAsia="Times New Roman" w:hAnsi="Calibri" w:cs="Calibri"/>
                <w:color w:val="000000"/>
                <w:sz w:val="18"/>
                <w:szCs w:val="18"/>
              </w:rPr>
              <w:t>Perkins Loan Program and similar loan programs; and debt due within the next operating cycle, if payment will be made from segregated assets classified as noncurrent assets.</w:t>
            </w:r>
          </w:p>
        </w:tc>
        <w:tc>
          <w:tcPr>
            <w:tcW w:w="2097" w:type="dxa"/>
            <w:shd w:val="clear" w:color="auto" w:fill="auto"/>
            <w:vAlign w:val="center"/>
            <w:hideMark/>
          </w:tcPr>
          <w:p w:rsidR="00EA2492" w:rsidRPr="00F7311D" w:rsidP="00EA2492" w14:paraId="764B9B7E" w14:textId="77777777">
            <w:pPr>
              <w:spacing w:after="0" w:line="240" w:lineRule="auto"/>
              <w:rPr>
                <w:rFonts w:ascii="Calibri" w:eastAsia="Times New Roman" w:hAnsi="Calibri" w:cs="Calibri"/>
                <w:color w:val="000000"/>
                <w:sz w:val="18"/>
                <w:szCs w:val="18"/>
              </w:rPr>
            </w:pPr>
          </w:p>
        </w:tc>
      </w:tr>
      <w:tr w14:paraId="26D9117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889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Nonmandatory transfers</w:t>
            </w:r>
          </w:p>
        </w:tc>
        <w:tc>
          <w:tcPr>
            <w:tcW w:w="8558" w:type="dxa"/>
            <w:shd w:val="clear" w:color="auto" w:fill="auto"/>
            <w:vAlign w:val="center"/>
            <w:hideMark/>
          </w:tcPr>
          <w:p w:rsidR="00EA2492" w:rsidRPr="00F7311D" w:rsidP="00EA2492" w14:paraId="7C10716C" w14:textId="75F3054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current funds to other fund groups made at the discretion of the governing board to serve a variety of objectives, such as additions to loan funds, funds functioning as endowment (quasi-endowment), general or specific plant additions, voluntary renewals and replacement of plant, and prepayments on debt principal.</w:t>
            </w:r>
          </w:p>
        </w:tc>
        <w:tc>
          <w:tcPr>
            <w:tcW w:w="2097" w:type="dxa"/>
            <w:shd w:val="clear" w:color="auto" w:fill="auto"/>
            <w:vAlign w:val="center"/>
            <w:hideMark/>
          </w:tcPr>
          <w:p w:rsidR="00EA2492" w:rsidRPr="00F7311D" w:rsidP="00EA2492" w14:paraId="1DDC4894" w14:textId="77777777">
            <w:pPr>
              <w:spacing w:after="0" w:line="240" w:lineRule="auto"/>
              <w:rPr>
                <w:rFonts w:ascii="Calibri" w:eastAsia="Times New Roman" w:hAnsi="Calibri" w:cs="Calibri"/>
                <w:color w:val="000000"/>
                <w:sz w:val="18"/>
                <w:szCs w:val="18"/>
              </w:rPr>
            </w:pPr>
          </w:p>
        </w:tc>
      </w:tr>
      <w:tr w14:paraId="1A1C36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08092F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Nonoperating</w:t>
            </w:r>
          </w:p>
        </w:tc>
        <w:tc>
          <w:tcPr>
            <w:tcW w:w="8558" w:type="dxa"/>
            <w:shd w:val="clear" w:color="auto" w:fill="auto"/>
            <w:vAlign w:val="center"/>
            <w:hideMark/>
          </w:tcPr>
          <w:p w:rsidR="00EA2492" w:rsidRPr="00F7311D" w:rsidP="00EA2492" w14:paraId="0F93148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requires that revenues and expenses be separated between operating and nonoperating. Operating revenues and expenses result from providing goods and services. Nonoperating activities are those outside the activities that are part of the operating activities of the institution. Most government appropriations are nonoperating because they are not generated by the operations of the institution. Investment income is nonoperating in most instances because institutions are not engaged in investing as an operating activity. Gifts are defined as nonoperating. Nonexchange transactions generate nonoperating revenues.</w:t>
            </w:r>
          </w:p>
        </w:tc>
        <w:tc>
          <w:tcPr>
            <w:tcW w:w="2097" w:type="dxa"/>
            <w:shd w:val="clear" w:color="auto" w:fill="auto"/>
            <w:vAlign w:val="center"/>
            <w:hideMark/>
          </w:tcPr>
          <w:p w:rsidR="00EA2492" w:rsidRPr="00F7311D" w:rsidP="00EA2492" w14:paraId="18875031" w14:textId="77777777">
            <w:pPr>
              <w:spacing w:after="0" w:line="240" w:lineRule="auto"/>
              <w:rPr>
                <w:rFonts w:ascii="Calibri" w:eastAsia="Times New Roman" w:hAnsi="Calibri" w:cs="Calibri"/>
                <w:color w:val="000000"/>
                <w:sz w:val="18"/>
                <w:szCs w:val="18"/>
              </w:rPr>
            </w:pPr>
          </w:p>
        </w:tc>
      </w:tr>
      <w:tr w14:paraId="7534E515"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476E3501" w14:textId="036400AE">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Nonresident</w:t>
            </w:r>
            <w:r w:rsidRPr="002515CF">
              <w:rPr>
                <w:rFonts w:ascii="Calibri" w:eastAsia="Times New Roman" w:hAnsi="Calibri" w:cs="Calibri"/>
                <w:strike/>
                <w:sz w:val="18"/>
                <w:szCs w:val="18"/>
              </w:rPr>
              <w:t xml:space="preserve"> </w:t>
            </w:r>
          </w:p>
        </w:tc>
        <w:tc>
          <w:tcPr>
            <w:tcW w:w="8558" w:type="dxa"/>
            <w:shd w:val="clear" w:color="auto" w:fill="auto"/>
            <w:vAlign w:val="center"/>
            <w:hideMark/>
          </w:tcPr>
          <w:p w:rsidR="00EA2492" w:rsidRPr="002515CF" w:rsidP="00EA2492" w14:paraId="69F4307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and who is in this country on a visa or temporary basis and does not have the right to remain indefinitely.</w:t>
            </w:r>
          </w:p>
        </w:tc>
        <w:tc>
          <w:tcPr>
            <w:tcW w:w="2097" w:type="dxa"/>
            <w:shd w:val="clear" w:color="auto" w:fill="auto"/>
            <w:vAlign w:val="center"/>
            <w:hideMark/>
          </w:tcPr>
          <w:p w:rsidR="00EA2492" w:rsidRPr="002515CF" w:rsidP="00EA2492" w14:paraId="57F53667" w14:textId="00A2329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Resident (and other eligible non-citizens)</w:t>
            </w:r>
          </w:p>
        </w:tc>
      </w:tr>
      <w:tr w14:paraId="1DC5C476" w14:textId="77777777" w:rsidTr="0036249A">
        <w:tblPrEx>
          <w:tblW w:w="13616" w:type="dxa"/>
          <w:tblLook w:val="04A0"/>
        </w:tblPrEx>
        <w:trPr>
          <w:trHeight w:val="20"/>
        </w:trPr>
        <w:tc>
          <w:tcPr>
            <w:tcW w:w="2961" w:type="dxa"/>
            <w:shd w:val="clear" w:color="auto" w:fill="auto"/>
          </w:tcPr>
          <w:p w:rsidR="00EA2492" w:rsidRPr="002515CF" w:rsidP="00EA2492" w14:paraId="7E5E37BF" w14:textId="048F92C9">
            <w:pPr>
              <w:spacing w:after="0" w:line="240" w:lineRule="auto"/>
              <w:rPr>
                <w:rFonts w:ascii="Calibri" w:eastAsia="Times New Roman" w:hAnsi="Calibri" w:cs="Calibri"/>
                <w:sz w:val="18"/>
                <w:szCs w:val="18"/>
              </w:rPr>
            </w:pPr>
            <w:r w:rsidRPr="002515CF">
              <w:rPr>
                <w:sz w:val="18"/>
                <w:szCs w:val="18"/>
              </w:rPr>
              <w:t>Nonstandard term</w:t>
            </w:r>
          </w:p>
        </w:tc>
        <w:tc>
          <w:tcPr>
            <w:tcW w:w="8558" w:type="dxa"/>
            <w:shd w:val="clear" w:color="auto" w:fill="auto"/>
          </w:tcPr>
          <w:p w:rsidR="00EA2492" w:rsidRPr="002515CF" w:rsidP="00EA2492" w14:paraId="7F8D93C4" w14:textId="6F2E6FE4">
            <w:pPr>
              <w:pStyle w:val="NoSpacing"/>
              <w:rPr>
                <w:rFonts w:ascii="Calibri" w:eastAsia="Times New Roman" w:hAnsi="Calibri" w:cs="Calibri"/>
                <w:sz w:val="18"/>
                <w:szCs w:val="18"/>
              </w:rPr>
            </w:pPr>
            <w:r w:rsidRPr="002515CF">
              <w:rPr>
                <w:sz w:val="18"/>
                <w:szCs w:val="18"/>
              </w:rPr>
              <w:t>A program term that is less than 9 weeks or greater than 21 weeks. Some institutions call these semesters, quarters, and trimesters too even though they are nonstandard terms.</w:t>
            </w:r>
          </w:p>
        </w:tc>
        <w:tc>
          <w:tcPr>
            <w:tcW w:w="2097" w:type="dxa"/>
            <w:shd w:val="clear" w:color="auto" w:fill="auto"/>
          </w:tcPr>
          <w:p w:rsidR="00EA2492" w:rsidRPr="002515CF" w:rsidP="00EA2492" w14:paraId="756AD04B" w14:textId="5F35FF1D">
            <w:pPr>
              <w:spacing w:after="0" w:line="240" w:lineRule="auto"/>
              <w:rPr>
                <w:rFonts w:ascii="Calibri" w:eastAsia="Times New Roman" w:hAnsi="Calibri" w:cs="Calibri"/>
                <w:sz w:val="18"/>
                <w:szCs w:val="18"/>
              </w:rPr>
            </w:pPr>
          </w:p>
        </w:tc>
      </w:tr>
      <w:tr w14:paraId="27A92735" w14:textId="77777777" w:rsidTr="0036249A">
        <w:tblPrEx>
          <w:tblW w:w="13616" w:type="dxa"/>
          <w:tblLook w:val="04A0"/>
        </w:tblPrEx>
        <w:trPr>
          <w:trHeight w:val="20"/>
        </w:trPr>
        <w:tc>
          <w:tcPr>
            <w:tcW w:w="2961" w:type="dxa"/>
            <w:shd w:val="clear" w:color="auto" w:fill="auto"/>
          </w:tcPr>
          <w:p w:rsidR="00EA2492" w:rsidRPr="002515CF" w:rsidP="00EA2492" w14:paraId="1CF404B7" w14:textId="4EED3056">
            <w:pPr>
              <w:spacing w:after="0" w:line="240" w:lineRule="auto"/>
              <w:rPr>
                <w:sz w:val="18"/>
                <w:szCs w:val="18"/>
              </w:rPr>
            </w:pPr>
            <w:r w:rsidRPr="002515CF">
              <w:rPr>
                <w:sz w:val="18"/>
                <w:szCs w:val="18"/>
              </w:rPr>
              <w:t>Nonterm program</w:t>
            </w:r>
          </w:p>
        </w:tc>
        <w:tc>
          <w:tcPr>
            <w:tcW w:w="8558" w:type="dxa"/>
            <w:shd w:val="clear" w:color="auto" w:fill="auto"/>
          </w:tcPr>
          <w:p w:rsidR="00EA2492" w:rsidRPr="002515CF" w:rsidP="00EA2492" w14:paraId="43907681" w14:textId="77777777">
            <w:pPr>
              <w:pStyle w:val="NoSpacing"/>
              <w:rPr>
                <w:sz w:val="18"/>
                <w:szCs w:val="18"/>
              </w:rPr>
            </w:pPr>
            <w:r w:rsidRPr="002515CF">
              <w:rPr>
                <w:sz w:val="18"/>
                <w:szCs w:val="18"/>
              </w:rPr>
              <w:t xml:space="preserve">For Title IV purposes, a nonterm program is a clock-hour program, </w:t>
            </w:r>
            <w:r w:rsidRPr="002515CF">
              <w:rPr>
                <w:b/>
                <w:bCs/>
                <w:sz w:val="18"/>
                <w:szCs w:val="18"/>
              </w:rPr>
              <w:t>or</w:t>
            </w:r>
            <w:r w:rsidRPr="002515CF">
              <w:rPr>
                <w:sz w:val="18"/>
                <w:szCs w:val="18"/>
              </w:rPr>
              <w:t xml:space="preserve"> a credit hour program that enrolls student continuously, and has:</w:t>
            </w:r>
          </w:p>
          <w:p w:rsidR="00EA2492" w:rsidRPr="002515CF" w:rsidP="00EA2492" w14:paraId="181F0A9B"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Courses that do not begin and end within a set period such as a term;</w:t>
            </w:r>
          </w:p>
          <w:p w:rsidR="00EA2492" w:rsidRPr="002515CF" w:rsidP="00EA2492" w14:paraId="79E6AAAE"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Courses that overlap terms;</w:t>
            </w:r>
          </w:p>
          <w:p w:rsidR="00EA2492" w:rsidRPr="002515CF" w:rsidP="00EA2492" w14:paraId="74A90B07" w14:textId="77777777">
            <w:pPr>
              <w:pStyle w:val="TableParagraph"/>
              <w:numPr>
                <w:ilvl w:val="0"/>
                <w:numId w:val="22"/>
              </w:numPr>
              <w:kinsoku w:val="0"/>
              <w:overflowPunct w:val="0"/>
              <w:spacing w:before="70" w:line="230" w:lineRule="auto"/>
              <w:ind w:left="237" w:right="74" w:hanging="180"/>
              <w:rPr>
                <w:rFonts w:asciiTheme="minorHAnsi" w:hAnsiTheme="minorHAnsi" w:cstheme="minorHAnsi"/>
                <w:sz w:val="18"/>
                <w:szCs w:val="18"/>
              </w:rPr>
            </w:pPr>
            <w:r w:rsidRPr="47E59BC4">
              <w:rPr>
                <w:rFonts w:asciiTheme="minorHAnsi" w:hAnsiTheme="minorHAnsi" w:cstheme="minorBidi"/>
                <w:sz w:val="18"/>
                <w:szCs w:val="18"/>
              </w:rPr>
              <w:t>Self-paced and independent study courses that overlap terms; or</w:t>
            </w:r>
          </w:p>
          <w:p w:rsidR="00EA2492" w:rsidRPr="002515CF" w:rsidP="00EA2492" w14:paraId="5865929B" w14:textId="5F6D06C1">
            <w:pPr>
              <w:pStyle w:val="TableParagraph"/>
              <w:numPr>
                <w:ilvl w:val="0"/>
                <w:numId w:val="22"/>
              </w:numPr>
              <w:kinsoku w:val="0"/>
              <w:overflowPunct w:val="0"/>
              <w:spacing w:before="70" w:line="230" w:lineRule="auto"/>
              <w:ind w:left="237" w:right="74" w:hanging="180"/>
              <w:rPr>
                <w:sz w:val="18"/>
                <w:szCs w:val="18"/>
              </w:rPr>
            </w:pPr>
            <w:r w:rsidRPr="47E59BC4">
              <w:rPr>
                <w:rFonts w:asciiTheme="minorHAnsi" w:hAnsiTheme="minorHAnsi" w:cstheme="minorBidi"/>
                <w:sz w:val="18"/>
                <w:szCs w:val="18"/>
              </w:rPr>
              <w:t>Sequential courses that do not begin and end within a term.</w:t>
            </w:r>
          </w:p>
        </w:tc>
        <w:tc>
          <w:tcPr>
            <w:tcW w:w="2097" w:type="dxa"/>
            <w:shd w:val="clear" w:color="auto" w:fill="auto"/>
          </w:tcPr>
          <w:p w:rsidR="00EA2492" w:rsidRPr="002515CF" w:rsidP="00EA2492" w14:paraId="4BB63201" w14:textId="77777777">
            <w:pPr>
              <w:spacing w:after="0" w:line="240" w:lineRule="auto"/>
              <w:rPr>
                <w:rFonts w:ascii="Calibri" w:eastAsia="Times New Roman" w:hAnsi="Calibri" w:cs="Calibri"/>
                <w:sz w:val="18"/>
                <w:szCs w:val="18"/>
              </w:rPr>
            </w:pPr>
          </w:p>
        </w:tc>
      </w:tr>
      <w:tr w14:paraId="00DEAD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94544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Normal time to completion</w:t>
            </w:r>
          </w:p>
        </w:tc>
        <w:tc>
          <w:tcPr>
            <w:tcW w:w="8558" w:type="dxa"/>
            <w:shd w:val="clear" w:color="auto" w:fill="auto"/>
            <w:vAlign w:val="center"/>
            <w:hideMark/>
          </w:tcPr>
          <w:p w:rsidR="00EA2492" w:rsidRPr="00F7311D" w:rsidP="00EA2492" w14:paraId="415DDAF1" w14:textId="0F1785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The amount of time necessary for a student to complete all requirements for a degree or certificate according to the </w:t>
            </w:r>
            <w:r w:rsidRPr="002515CF">
              <w:rPr>
                <w:rFonts w:ascii="Calibri" w:eastAsia="Times New Roman" w:hAnsi="Calibri" w:cs="Calibri"/>
                <w:sz w:val="18"/>
                <w:szCs w:val="18"/>
              </w:rPr>
              <w:t>institution's catalog. This is typically 4 years (8 semesters or trimesters, or 12 quarters, excluding summer sessions) for a bachelor's degree in a standard term-based institution; 2 years (4 semesters or trimesters, or 6 quarters, excluding summer sessions) for an associate's degree in a standard term-based institution; and the various scheduled times for certificate programs.</w:t>
            </w:r>
          </w:p>
        </w:tc>
        <w:tc>
          <w:tcPr>
            <w:tcW w:w="2097" w:type="dxa"/>
            <w:shd w:val="clear" w:color="auto" w:fill="auto"/>
            <w:vAlign w:val="center"/>
            <w:hideMark/>
          </w:tcPr>
          <w:p w:rsidR="00EA2492" w:rsidRPr="00F7311D" w:rsidP="00EA2492" w14:paraId="48A519E1" w14:textId="77777777">
            <w:pPr>
              <w:spacing w:after="0" w:line="240" w:lineRule="auto"/>
              <w:rPr>
                <w:rFonts w:ascii="Calibri" w:eastAsia="Times New Roman" w:hAnsi="Calibri" w:cs="Calibri"/>
                <w:color w:val="000000"/>
                <w:sz w:val="18"/>
                <w:szCs w:val="18"/>
              </w:rPr>
            </w:pPr>
          </w:p>
        </w:tc>
      </w:tr>
      <w:tr w14:paraId="65AE28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BD41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Not on tenure track</w:t>
            </w:r>
          </w:p>
        </w:tc>
        <w:tc>
          <w:tcPr>
            <w:tcW w:w="8558" w:type="dxa"/>
            <w:shd w:val="clear" w:color="auto" w:fill="auto"/>
            <w:vAlign w:val="center"/>
            <w:hideMark/>
          </w:tcPr>
          <w:p w:rsidR="00EA2492" w:rsidRPr="00F7311D" w:rsidP="00EA2492" w14:paraId="6C7450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are considered non-tenure earning positions.</w:t>
            </w:r>
          </w:p>
        </w:tc>
        <w:tc>
          <w:tcPr>
            <w:tcW w:w="2097" w:type="dxa"/>
            <w:shd w:val="clear" w:color="auto" w:fill="auto"/>
            <w:vAlign w:val="center"/>
            <w:hideMark/>
          </w:tcPr>
          <w:p w:rsidR="00EA2492" w:rsidRPr="00F7311D" w:rsidP="00EA2492" w14:paraId="45443B9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r>
      <w:tr w14:paraId="2B73EDF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66EF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 program</w:t>
            </w:r>
          </w:p>
        </w:tc>
        <w:tc>
          <w:tcPr>
            <w:tcW w:w="8558" w:type="dxa"/>
            <w:shd w:val="clear" w:color="auto" w:fill="auto"/>
            <w:vAlign w:val="center"/>
            <w:hideMark/>
          </w:tcPr>
          <w:p w:rsidR="00EA2492" w:rsidRPr="00F7311D" w:rsidP="00EA2492" w14:paraId="391094D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of study consisting of one or more courses, designed to provide the student with sufficient knowledge and skills to perform in a specific occupation.</w:t>
            </w:r>
          </w:p>
        </w:tc>
        <w:tc>
          <w:tcPr>
            <w:tcW w:w="2097" w:type="dxa"/>
            <w:shd w:val="clear" w:color="auto" w:fill="auto"/>
            <w:vAlign w:val="center"/>
            <w:hideMark/>
          </w:tcPr>
          <w:p w:rsidR="00EA2492" w:rsidRPr="00F7311D" w:rsidP="00EA2492" w14:paraId="4C2B1290" w14:textId="77777777">
            <w:pPr>
              <w:spacing w:after="0" w:line="240" w:lineRule="auto"/>
              <w:rPr>
                <w:rFonts w:ascii="Calibri" w:eastAsia="Times New Roman" w:hAnsi="Calibri" w:cs="Calibri"/>
                <w:color w:val="000000"/>
                <w:sz w:val="18"/>
                <w:szCs w:val="18"/>
              </w:rPr>
            </w:pPr>
          </w:p>
        </w:tc>
      </w:tr>
      <w:tr w14:paraId="7DC72D5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97CD3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Occupationally specific program</w:t>
            </w:r>
          </w:p>
        </w:tc>
        <w:tc>
          <w:tcPr>
            <w:tcW w:w="8558" w:type="dxa"/>
            <w:shd w:val="clear" w:color="auto" w:fill="auto"/>
            <w:vAlign w:val="center"/>
            <w:hideMark/>
          </w:tcPr>
          <w:p w:rsidR="00EA2492" w:rsidRPr="00F7311D" w:rsidP="00EA2492" w14:paraId="64C7ED5D" w14:textId="22737B5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instructional program, below the bachelor's level, designed to prepare individuals with entry-level skills and training required for employment in a specific trade, occupation, or profession related to the field of study.</w:t>
            </w:r>
          </w:p>
        </w:tc>
        <w:tc>
          <w:tcPr>
            <w:tcW w:w="2097" w:type="dxa"/>
            <w:shd w:val="clear" w:color="auto" w:fill="auto"/>
            <w:vAlign w:val="center"/>
            <w:hideMark/>
          </w:tcPr>
          <w:p w:rsidR="00EA2492" w:rsidRPr="00F7311D" w:rsidP="00EA2492" w14:paraId="64E9F0C9" w14:textId="77777777">
            <w:pPr>
              <w:spacing w:after="0" w:line="240" w:lineRule="auto"/>
              <w:rPr>
                <w:rFonts w:ascii="Calibri" w:eastAsia="Times New Roman" w:hAnsi="Calibri" w:cs="Calibri"/>
                <w:color w:val="000000"/>
                <w:sz w:val="18"/>
                <w:szCs w:val="18"/>
              </w:rPr>
            </w:pPr>
          </w:p>
        </w:tc>
      </w:tr>
      <w:tr w14:paraId="051C7C3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23C9D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(not with family)</w:t>
            </w:r>
          </w:p>
        </w:tc>
        <w:tc>
          <w:tcPr>
            <w:tcW w:w="8558" w:type="dxa"/>
            <w:shd w:val="clear" w:color="auto" w:fill="auto"/>
            <w:vAlign w:val="center"/>
            <w:hideMark/>
          </w:tcPr>
          <w:p w:rsidR="00EA2492" w:rsidRPr="00F7311D" w:rsidP="00EA2492" w14:paraId="4102DF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does not live with the student's parents or legal guardians in any housing facility that is not owned or controlled by the educational institution.</w:t>
            </w:r>
          </w:p>
        </w:tc>
        <w:tc>
          <w:tcPr>
            <w:tcW w:w="2097" w:type="dxa"/>
            <w:shd w:val="clear" w:color="auto" w:fill="auto"/>
            <w:vAlign w:val="center"/>
            <w:hideMark/>
          </w:tcPr>
          <w:p w:rsidR="00EA2492" w:rsidRPr="00F7311D" w:rsidP="00EA2492" w14:paraId="263973CE" w14:textId="77777777">
            <w:pPr>
              <w:spacing w:after="0" w:line="240" w:lineRule="auto"/>
              <w:rPr>
                <w:rFonts w:ascii="Calibri" w:eastAsia="Times New Roman" w:hAnsi="Calibri" w:cs="Calibri"/>
                <w:color w:val="000000"/>
                <w:sz w:val="18"/>
                <w:szCs w:val="18"/>
              </w:rPr>
            </w:pPr>
          </w:p>
        </w:tc>
      </w:tr>
      <w:tr w14:paraId="173072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D6A7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(with family)</w:t>
            </w:r>
          </w:p>
        </w:tc>
        <w:tc>
          <w:tcPr>
            <w:tcW w:w="8558" w:type="dxa"/>
            <w:shd w:val="clear" w:color="auto" w:fill="auto"/>
            <w:vAlign w:val="center"/>
            <w:hideMark/>
          </w:tcPr>
          <w:p w:rsidR="00EA2492" w:rsidRPr="00F7311D" w:rsidP="00EA2492" w14:paraId="35E37D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living arrangement in which a student lives with the student's parents or legal guardians in any housing facility that is not owned or controlled by the educational institution.</w:t>
            </w:r>
          </w:p>
        </w:tc>
        <w:tc>
          <w:tcPr>
            <w:tcW w:w="2097" w:type="dxa"/>
            <w:shd w:val="clear" w:color="auto" w:fill="auto"/>
            <w:vAlign w:val="center"/>
            <w:hideMark/>
          </w:tcPr>
          <w:p w:rsidR="00EA2492" w:rsidRPr="00F7311D" w:rsidP="00EA2492" w14:paraId="735B78A6" w14:textId="77777777">
            <w:pPr>
              <w:spacing w:after="0" w:line="240" w:lineRule="auto"/>
              <w:rPr>
                <w:rFonts w:ascii="Calibri" w:eastAsia="Times New Roman" w:hAnsi="Calibri" w:cs="Calibri"/>
                <w:color w:val="000000"/>
                <w:sz w:val="18"/>
                <w:szCs w:val="18"/>
              </w:rPr>
            </w:pPr>
          </w:p>
        </w:tc>
      </w:tr>
      <w:tr w14:paraId="29710DB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B72E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centers (extension centers)</w:t>
            </w:r>
          </w:p>
        </w:tc>
        <w:tc>
          <w:tcPr>
            <w:tcW w:w="8558" w:type="dxa"/>
            <w:shd w:val="clear" w:color="auto" w:fill="auto"/>
            <w:vAlign w:val="center"/>
            <w:hideMark/>
          </w:tcPr>
          <w:p w:rsidR="00EA2492" w:rsidRPr="00F7311D" w:rsidP="00EA2492" w14:paraId="668168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097" w:type="dxa"/>
            <w:shd w:val="clear" w:color="auto" w:fill="auto"/>
            <w:vAlign w:val="center"/>
            <w:hideMark/>
          </w:tcPr>
          <w:p w:rsidR="00EA2492" w:rsidRPr="00F7311D" w:rsidP="00EA2492" w14:paraId="0DA26107" w14:textId="77777777">
            <w:pPr>
              <w:spacing w:after="0" w:line="240" w:lineRule="auto"/>
              <w:rPr>
                <w:rFonts w:ascii="Calibri" w:eastAsia="Times New Roman" w:hAnsi="Calibri" w:cs="Calibri"/>
                <w:color w:val="000000"/>
                <w:sz w:val="18"/>
                <w:szCs w:val="18"/>
              </w:rPr>
            </w:pPr>
          </w:p>
        </w:tc>
      </w:tr>
      <w:tr w14:paraId="4C9B7E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1287D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facility</w:t>
            </w:r>
          </w:p>
        </w:tc>
        <w:tc>
          <w:tcPr>
            <w:tcW w:w="8558" w:type="dxa"/>
            <w:shd w:val="clear" w:color="auto" w:fill="auto"/>
            <w:vAlign w:val="center"/>
            <w:hideMark/>
          </w:tcPr>
          <w:p w:rsidR="00EA2492" w:rsidRPr="00F7311D" w:rsidP="00EA2492" w14:paraId="396924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teaching facility located some distance away from the educational institution which operates it.</w:t>
            </w:r>
          </w:p>
        </w:tc>
        <w:tc>
          <w:tcPr>
            <w:tcW w:w="2097" w:type="dxa"/>
            <w:shd w:val="clear" w:color="auto" w:fill="auto"/>
            <w:vAlign w:val="center"/>
            <w:hideMark/>
          </w:tcPr>
          <w:p w:rsidR="00EA2492" w:rsidRPr="00F7311D" w:rsidP="00EA2492" w14:paraId="11A6F1EB" w14:textId="77777777">
            <w:pPr>
              <w:spacing w:after="0" w:line="240" w:lineRule="auto"/>
              <w:rPr>
                <w:rFonts w:ascii="Calibri" w:eastAsia="Times New Roman" w:hAnsi="Calibri" w:cs="Calibri"/>
                <w:color w:val="000000"/>
                <w:sz w:val="18"/>
                <w:szCs w:val="18"/>
              </w:rPr>
            </w:pPr>
          </w:p>
        </w:tc>
      </w:tr>
      <w:tr w14:paraId="1E3F49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44026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Off-campus housing</w:t>
            </w:r>
          </w:p>
        </w:tc>
        <w:tc>
          <w:tcPr>
            <w:tcW w:w="8558" w:type="dxa"/>
            <w:shd w:val="clear" w:color="auto" w:fill="auto"/>
            <w:vAlign w:val="center"/>
            <w:hideMark/>
          </w:tcPr>
          <w:p w:rsidR="00EA2492" w:rsidRPr="00F7311D" w:rsidP="00EA2492" w14:paraId="2C1C30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housing facility that is occupied by students but is not owned or controlled by the educational institution.</w:t>
            </w:r>
          </w:p>
        </w:tc>
        <w:tc>
          <w:tcPr>
            <w:tcW w:w="2097" w:type="dxa"/>
            <w:shd w:val="clear" w:color="auto" w:fill="auto"/>
            <w:vAlign w:val="center"/>
            <w:hideMark/>
          </w:tcPr>
          <w:p w:rsidR="00EA2492" w:rsidRPr="00F7311D" w:rsidP="00EA2492" w14:paraId="50711BAB" w14:textId="77777777">
            <w:pPr>
              <w:spacing w:after="0" w:line="240" w:lineRule="auto"/>
              <w:rPr>
                <w:rFonts w:ascii="Calibri" w:eastAsia="Times New Roman" w:hAnsi="Calibri" w:cs="Calibri"/>
                <w:color w:val="000000"/>
                <w:sz w:val="18"/>
                <w:szCs w:val="18"/>
              </w:rPr>
            </w:pPr>
          </w:p>
        </w:tc>
      </w:tr>
      <w:tr w14:paraId="207FBD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CF2F6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Office and Administrative Support Occupations</w:t>
            </w:r>
          </w:p>
        </w:tc>
        <w:tc>
          <w:tcPr>
            <w:tcW w:w="8558" w:type="dxa"/>
            <w:shd w:val="clear" w:color="auto" w:fill="auto"/>
            <w:vAlign w:val="center"/>
            <w:hideMark/>
          </w:tcPr>
          <w:p w:rsidR="00EA2492" w:rsidRPr="00F7311D" w:rsidP="00EA2492" w14:paraId="0FD9594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major group in the 2018 Standard Occupational Classification (SOC) Manual called 'Office and Administrative Support Occupations.' For detailed information refer to the following website: https://www.bls.gov/soc/2018/major_groups.htm#43-0000.</w:t>
            </w:r>
          </w:p>
        </w:tc>
        <w:tc>
          <w:tcPr>
            <w:tcW w:w="2097" w:type="dxa"/>
            <w:shd w:val="clear" w:color="auto" w:fill="auto"/>
            <w:vAlign w:val="center"/>
            <w:hideMark/>
          </w:tcPr>
          <w:p w:rsidR="00EA2492" w:rsidRPr="00F7311D" w:rsidP="00EA2492" w14:paraId="204209D4" w14:textId="77777777">
            <w:pPr>
              <w:spacing w:after="0" w:line="240" w:lineRule="auto"/>
              <w:rPr>
                <w:rFonts w:ascii="Calibri" w:eastAsia="Times New Roman" w:hAnsi="Calibri" w:cs="Calibri"/>
                <w:color w:val="000000"/>
                <w:sz w:val="18"/>
                <w:szCs w:val="18"/>
              </w:rPr>
            </w:pPr>
          </w:p>
        </w:tc>
      </w:tr>
      <w:tr w14:paraId="2B777FB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86F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Church Mission</w:t>
            </w:r>
          </w:p>
        </w:tc>
        <w:tc>
          <w:tcPr>
            <w:tcW w:w="8558" w:type="dxa"/>
            <w:shd w:val="clear" w:color="auto" w:fill="auto"/>
            <w:vAlign w:val="center"/>
            <w:hideMark/>
          </w:tcPr>
          <w:p w:rsidR="00EA2492" w:rsidRPr="00F7311D" w:rsidP="00EA2492" w14:paraId="58A849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church mission is one that is established by the church of which the individual is a member and that results in the individual being unable to attend a postsecondary institution during the period of the mission.</w:t>
            </w:r>
          </w:p>
        </w:tc>
        <w:tc>
          <w:tcPr>
            <w:tcW w:w="2097" w:type="dxa"/>
            <w:shd w:val="clear" w:color="auto" w:fill="auto"/>
            <w:vAlign w:val="center"/>
            <w:hideMark/>
          </w:tcPr>
          <w:p w:rsidR="00EA2492" w:rsidRPr="00F7311D" w:rsidP="00EA2492" w14:paraId="4B12CE0C" w14:textId="77777777">
            <w:pPr>
              <w:spacing w:after="0" w:line="240" w:lineRule="auto"/>
              <w:rPr>
                <w:rFonts w:ascii="Calibri" w:eastAsia="Times New Roman" w:hAnsi="Calibri" w:cs="Calibri"/>
                <w:color w:val="000000"/>
                <w:sz w:val="18"/>
                <w:szCs w:val="18"/>
              </w:rPr>
            </w:pPr>
          </w:p>
        </w:tc>
      </w:tr>
      <w:tr w14:paraId="4F40C3A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6B9C1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Official fall reporting date</w:t>
            </w:r>
          </w:p>
        </w:tc>
        <w:tc>
          <w:tcPr>
            <w:tcW w:w="8558" w:type="dxa"/>
            <w:shd w:val="clear" w:color="auto" w:fill="auto"/>
            <w:vAlign w:val="center"/>
            <w:hideMark/>
          </w:tcPr>
          <w:p w:rsidR="00EA2492" w:rsidRPr="00F7311D" w:rsidP="00EA2492" w14:paraId="155128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date (in the fall) on which an institution must report fall enrollment data to either the state, its board of trustees or governing board, or some other external governing body.</w:t>
            </w:r>
          </w:p>
        </w:tc>
        <w:tc>
          <w:tcPr>
            <w:tcW w:w="2097" w:type="dxa"/>
            <w:shd w:val="clear" w:color="auto" w:fill="auto"/>
            <w:vAlign w:val="center"/>
            <w:hideMark/>
          </w:tcPr>
          <w:p w:rsidR="00EA2492" w:rsidRPr="00F7311D" w:rsidP="00EA2492" w14:paraId="65963A20" w14:textId="77777777">
            <w:pPr>
              <w:spacing w:after="0" w:line="240" w:lineRule="auto"/>
              <w:rPr>
                <w:rFonts w:ascii="Calibri" w:eastAsia="Times New Roman" w:hAnsi="Calibri" w:cs="Calibri"/>
                <w:color w:val="000000"/>
                <w:sz w:val="18"/>
                <w:szCs w:val="18"/>
              </w:rPr>
            </w:pPr>
          </w:p>
        </w:tc>
      </w:tr>
      <w:tr w14:paraId="68C42FF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9FACD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On-campus housing</w:t>
            </w:r>
          </w:p>
        </w:tc>
        <w:tc>
          <w:tcPr>
            <w:tcW w:w="8558" w:type="dxa"/>
            <w:shd w:val="clear" w:color="auto" w:fill="auto"/>
            <w:vAlign w:val="center"/>
            <w:hideMark/>
          </w:tcPr>
          <w:p w:rsidR="00EA2492" w:rsidRPr="00F7311D" w:rsidP="00EA2492" w14:paraId="42B5E0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residence hall or housing facility owned or controlled by an institution within the same reasonably contiguous geographic area and used by the institution in direct support of or in a manner related to, the institution's educational purposes.</w:t>
            </w:r>
          </w:p>
        </w:tc>
        <w:tc>
          <w:tcPr>
            <w:tcW w:w="2097" w:type="dxa"/>
            <w:shd w:val="clear" w:color="auto" w:fill="auto"/>
            <w:vAlign w:val="center"/>
            <w:hideMark/>
          </w:tcPr>
          <w:p w:rsidR="00EA2492" w:rsidRPr="00F7311D" w:rsidP="00EA2492" w14:paraId="5671D9FA" w14:textId="77777777">
            <w:pPr>
              <w:spacing w:after="0" w:line="240" w:lineRule="auto"/>
              <w:rPr>
                <w:rFonts w:ascii="Calibri" w:eastAsia="Times New Roman" w:hAnsi="Calibri" w:cs="Calibri"/>
                <w:color w:val="000000"/>
                <w:sz w:val="18"/>
                <w:szCs w:val="18"/>
              </w:rPr>
            </w:pPr>
          </w:p>
        </w:tc>
      </w:tr>
      <w:tr w14:paraId="07F2259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972443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Ongoing commitments to subscriptions</w:t>
            </w:r>
          </w:p>
        </w:tc>
        <w:tc>
          <w:tcPr>
            <w:tcW w:w="8558" w:type="dxa"/>
            <w:shd w:val="clear" w:color="auto" w:fill="auto"/>
            <w:vAlign w:val="center"/>
            <w:hideMark/>
          </w:tcPr>
          <w:p w:rsidR="00EA2492" w:rsidRPr="00F7311D" w:rsidP="00EA2492" w14:paraId="3FAFF8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Ongoing commitments in all formats, including duplicates, for all outlets. This includes serials and any other items committed to annually, as well as annual e-platform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w:t>
            </w:r>
          </w:p>
        </w:tc>
        <w:tc>
          <w:tcPr>
            <w:tcW w:w="2097" w:type="dxa"/>
            <w:shd w:val="clear" w:color="auto" w:fill="auto"/>
            <w:vAlign w:val="center"/>
            <w:hideMark/>
          </w:tcPr>
          <w:p w:rsidR="00EA2492" w:rsidRPr="00F7311D" w:rsidP="00EA2492" w14:paraId="5CDC3BE2" w14:textId="77777777">
            <w:pPr>
              <w:spacing w:after="0" w:line="240" w:lineRule="auto"/>
              <w:rPr>
                <w:rFonts w:ascii="Calibri" w:eastAsia="Times New Roman" w:hAnsi="Calibri" w:cs="Calibri"/>
                <w:color w:val="000000"/>
                <w:sz w:val="18"/>
                <w:szCs w:val="18"/>
              </w:rPr>
            </w:pPr>
          </w:p>
        </w:tc>
      </w:tr>
      <w:tr w14:paraId="0204CB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98FF8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 ID</w:t>
            </w:r>
          </w:p>
        </w:tc>
        <w:tc>
          <w:tcPr>
            <w:tcW w:w="8558" w:type="dxa"/>
            <w:shd w:val="clear" w:color="auto" w:fill="auto"/>
            <w:vAlign w:val="center"/>
            <w:hideMark/>
          </w:tcPr>
          <w:p w:rsidR="00EA2492" w:rsidRPr="00F7311D" w:rsidP="00EA2492" w14:paraId="5B909B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Identification number used by the U.S. Department of Education's Office of Postsecondary Education (OPE) to identify schools that have Program Participation Agreements (PPA) so that its students are eligible to participate in Federal Student Financial Assistance programs under Title IV regulations. This is a 6-digit number followed by a 2-digit suffix used to identify branches, additional locations, and other entities that are part of the eligible institution.</w:t>
            </w:r>
          </w:p>
        </w:tc>
        <w:tc>
          <w:tcPr>
            <w:tcW w:w="2097" w:type="dxa"/>
            <w:shd w:val="clear" w:color="auto" w:fill="auto"/>
            <w:vAlign w:val="center"/>
            <w:hideMark/>
          </w:tcPr>
          <w:p w:rsidR="00EA2492" w:rsidRPr="00F7311D" w:rsidP="00EA2492" w14:paraId="5599A2BB" w14:textId="77777777">
            <w:pPr>
              <w:spacing w:after="0" w:line="240" w:lineRule="auto"/>
              <w:rPr>
                <w:rFonts w:ascii="Calibri" w:eastAsia="Times New Roman" w:hAnsi="Calibri" w:cs="Calibri"/>
                <w:color w:val="000000"/>
                <w:sz w:val="18"/>
                <w:szCs w:val="18"/>
              </w:rPr>
            </w:pPr>
          </w:p>
        </w:tc>
      </w:tr>
      <w:tr w14:paraId="0C49D0D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D06B3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Open admission</w:t>
            </w:r>
          </w:p>
        </w:tc>
        <w:tc>
          <w:tcPr>
            <w:tcW w:w="8558" w:type="dxa"/>
            <w:shd w:val="clear" w:color="auto" w:fill="auto"/>
            <w:vAlign w:val="center"/>
            <w:hideMark/>
          </w:tcPr>
          <w:p w:rsidR="00EA2492" w:rsidRPr="00F7311D" w:rsidP="00EA2492" w14:paraId="5528733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Admission policy whereby the school will accept any student who applies.</w:t>
            </w:r>
          </w:p>
        </w:tc>
        <w:tc>
          <w:tcPr>
            <w:tcW w:w="2097" w:type="dxa"/>
            <w:shd w:val="clear" w:color="auto" w:fill="auto"/>
            <w:vAlign w:val="center"/>
            <w:hideMark/>
          </w:tcPr>
          <w:p w:rsidR="00EA2492" w:rsidRPr="00F7311D" w:rsidP="00EA2492" w14:paraId="0BD883ED" w14:textId="77777777">
            <w:pPr>
              <w:spacing w:after="0" w:line="240" w:lineRule="auto"/>
              <w:rPr>
                <w:rFonts w:ascii="Calibri" w:eastAsia="Times New Roman" w:hAnsi="Calibri" w:cs="Calibri"/>
                <w:color w:val="000000"/>
                <w:sz w:val="18"/>
                <w:szCs w:val="18"/>
              </w:rPr>
            </w:pPr>
          </w:p>
        </w:tc>
      </w:tr>
      <w:tr w14:paraId="056C56C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DCEB3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Operating</w:t>
            </w:r>
          </w:p>
        </w:tc>
        <w:tc>
          <w:tcPr>
            <w:tcW w:w="8558" w:type="dxa"/>
            <w:shd w:val="clear" w:color="auto" w:fill="auto"/>
            <w:vAlign w:val="center"/>
            <w:hideMark/>
          </w:tcPr>
          <w:p w:rsidR="00EA2492" w:rsidRPr="00F7311D" w:rsidP="00EA2492" w14:paraId="6437AE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GASB requires that revenues and expenses be separated between operating and nonoperating. Operating revenues and expenses result from providing goods and services. Operating transactions are incurred in the course of the operating activities of the institution.</w:t>
            </w:r>
          </w:p>
        </w:tc>
        <w:tc>
          <w:tcPr>
            <w:tcW w:w="2097" w:type="dxa"/>
            <w:shd w:val="clear" w:color="auto" w:fill="auto"/>
            <w:vAlign w:val="center"/>
            <w:hideMark/>
          </w:tcPr>
          <w:p w:rsidR="00EA2492" w:rsidRPr="00F7311D" w:rsidP="00EA2492" w14:paraId="471B828E" w14:textId="77777777">
            <w:pPr>
              <w:spacing w:after="0" w:line="240" w:lineRule="auto"/>
              <w:rPr>
                <w:rFonts w:ascii="Calibri" w:eastAsia="Times New Roman" w:hAnsi="Calibri" w:cs="Calibri"/>
                <w:color w:val="000000"/>
                <w:sz w:val="18"/>
                <w:szCs w:val="18"/>
              </w:rPr>
            </w:pPr>
          </w:p>
        </w:tc>
      </w:tr>
      <w:tr w14:paraId="67BFA4C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49FE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(GASB form prior to FY2010)</w:t>
            </w:r>
          </w:p>
        </w:tc>
        <w:tc>
          <w:tcPr>
            <w:tcW w:w="8558" w:type="dxa"/>
            <w:shd w:val="clear" w:color="auto" w:fill="auto"/>
            <w:vAlign w:val="center"/>
            <w:hideMark/>
          </w:tcPr>
          <w:p w:rsidR="00EA2492" w:rsidRPr="00F7311D" w:rsidP="00EA2492" w14:paraId="39AD293C" w14:textId="05AE785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operations established to provide service and maintenance related to campus grounds and facilities used for educational and general purposes. Specific expenses include utilities, fire protection, property insurance, and similar items. This function does not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 GASB institutions have these expenses charged to or allocated to other functions. Term used for GASB institutions in the Finance component prior to Fiscal Year 2010 (expenses - GASB unaligned form)</w:t>
            </w:r>
          </w:p>
        </w:tc>
        <w:tc>
          <w:tcPr>
            <w:tcW w:w="2097" w:type="dxa"/>
            <w:shd w:val="clear" w:color="auto" w:fill="auto"/>
            <w:vAlign w:val="center"/>
            <w:hideMark/>
          </w:tcPr>
          <w:p w:rsidR="00EA2492" w:rsidRPr="00F7311D" w:rsidP="00EA2492" w14:paraId="4313C028" w14:textId="77777777">
            <w:pPr>
              <w:spacing w:after="0" w:line="240" w:lineRule="auto"/>
              <w:rPr>
                <w:rFonts w:ascii="Calibri" w:eastAsia="Times New Roman" w:hAnsi="Calibri" w:cs="Calibri"/>
                <w:color w:val="000000"/>
                <w:sz w:val="18"/>
                <w:szCs w:val="18"/>
              </w:rPr>
            </w:pPr>
          </w:p>
        </w:tc>
      </w:tr>
      <w:tr w14:paraId="59B9948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2270B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Operation and maintenance of plant (O&amp;M)</w:t>
            </w:r>
          </w:p>
        </w:tc>
        <w:tc>
          <w:tcPr>
            <w:tcW w:w="8558" w:type="dxa"/>
            <w:shd w:val="clear" w:color="auto" w:fill="auto"/>
            <w:vAlign w:val="center"/>
            <w:hideMark/>
          </w:tcPr>
          <w:p w:rsidR="00EA2492" w:rsidRPr="00F7311D" w:rsidP="00EA2492" w14:paraId="4A4AFC50" w14:textId="2F9935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expense category that includes expenses for operations established to provide service and maintenance related to campus grounds and facilities used for educational and general purposes. Specific expenses include: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This expense does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support).&lt;/div&gt;</w:t>
            </w:r>
          </w:p>
        </w:tc>
        <w:tc>
          <w:tcPr>
            <w:tcW w:w="2097" w:type="dxa"/>
            <w:shd w:val="clear" w:color="auto" w:fill="auto"/>
            <w:vAlign w:val="center"/>
            <w:hideMark/>
          </w:tcPr>
          <w:p w:rsidR="00EA2492" w:rsidRPr="00F7311D" w:rsidP="00EA2492" w14:paraId="39BE6F1E" w14:textId="77777777">
            <w:pPr>
              <w:spacing w:after="0" w:line="240" w:lineRule="auto"/>
              <w:rPr>
                <w:rFonts w:ascii="Calibri" w:eastAsia="Times New Roman" w:hAnsi="Calibri" w:cs="Calibri"/>
                <w:color w:val="000000"/>
                <w:sz w:val="18"/>
                <w:szCs w:val="18"/>
              </w:rPr>
            </w:pPr>
          </w:p>
        </w:tc>
      </w:tr>
      <w:tr w14:paraId="1C5DC29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832B6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academic calendar system</w:t>
            </w:r>
          </w:p>
        </w:tc>
        <w:tc>
          <w:tcPr>
            <w:tcW w:w="8558" w:type="dxa"/>
            <w:shd w:val="clear" w:color="auto" w:fill="auto"/>
            <w:vAlign w:val="center"/>
            <w:hideMark/>
          </w:tcPr>
          <w:p w:rsidR="00EA2492" w:rsidRPr="00F7311D" w:rsidP="00EA2492" w14:paraId="2625B3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Category used to describe 'non-traditional' calendar systems at 4-year and 2-year degree-granting institutions. These can include schools that offer primarily on-line courses or 'one course at a time.'</w:t>
            </w:r>
          </w:p>
        </w:tc>
        <w:tc>
          <w:tcPr>
            <w:tcW w:w="2097" w:type="dxa"/>
            <w:shd w:val="clear" w:color="auto" w:fill="auto"/>
            <w:vAlign w:val="center"/>
            <w:hideMark/>
          </w:tcPr>
          <w:p w:rsidR="00EA2492" w:rsidRPr="00F7311D" w:rsidP="00EA2492" w14:paraId="0F571F70" w14:textId="77777777">
            <w:pPr>
              <w:spacing w:after="0" w:line="240" w:lineRule="auto"/>
              <w:rPr>
                <w:rFonts w:ascii="Calibri" w:eastAsia="Times New Roman" w:hAnsi="Calibri" w:cs="Calibri"/>
                <w:color w:val="000000"/>
                <w:sz w:val="18"/>
                <w:szCs w:val="18"/>
              </w:rPr>
            </w:pPr>
          </w:p>
        </w:tc>
      </w:tr>
      <w:tr w14:paraId="1BEDF8F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3FFB9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administrative</w:t>
            </w:r>
          </w:p>
        </w:tc>
        <w:tc>
          <w:tcPr>
            <w:tcW w:w="8558" w:type="dxa"/>
            <w:shd w:val="clear" w:color="auto" w:fill="auto"/>
            <w:vAlign w:val="center"/>
            <w:hideMark/>
          </w:tcPr>
          <w:p w:rsidR="00EA2492" w:rsidRPr="00F7311D" w:rsidP="00EA2492" w14:paraId="148EAD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Persons whose assignments require management of the institution, or a customarily recognized department or subdivision thereof, but who are subordinate to employees classified as executive and managerial.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all employees holding titles such as assistant, associate vice presidents (if no direction of others is required); assistant, associate deans </w:t>
            </w:r>
            <w:r w:rsidRPr="00F7311D">
              <w:rPr>
                <w:rFonts w:ascii="Calibri" w:eastAsia="Times New Roman" w:hAnsi="Calibri" w:cs="Calibri"/>
                <w:color w:val="000000"/>
                <w:sz w:val="18"/>
                <w:szCs w:val="18"/>
              </w:rPr>
              <w:t>(if no direction of others is required); assistant or associate directors; assistant or associate department head, if their principal activity is administrative; assistant or associate managers (including first-line managers of service, production and sales workers who spend more than 80% of their time performing supervisory activities). Term used in the 2001-02 Employees by Assigned Position (EAP) component only.</w:t>
            </w:r>
          </w:p>
        </w:tc>
        <w:tc>
          <w:tcPr>
            <w:tcW w:w="2097" w:type="dxa"/>
            <w:shd w:val="clear" w:color="auto" w:fill="auto"/>
            <w:vAlign w:val="center"/>
            <w:hideMark/>
          </w:tcPr>
          <w:p w:rsidR="00EA2492" w:rsidRPr="00F7311D" w:rsidP="00EA2492" w14:paraId="40AF30BF" w14:textId="77777777">
            <w:pPr>
              <w:spacing w:after="0" w:line="240" w:lineRule="auto"/>
              <w:rPr>
                <w:rFonts w:ascii="Calibri" w:eastAsia="Times New Roman" w:hAnsi="Calibri" w:cs="Calibri"/>
                <w:color w:val="000000"/>
                <w:sz w:val="18"/>
                <w:szCs w:val="18"/>
              </w:rPr>
            </w:pPr>
          </w:p>
        </w:tc>
      </w:tr>
      <w:tr w14:paraId="4A96B88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74CC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areas</w:t>
            </w:r>
          </w:p>
        </w:tc>
        <w:tc>
          <w:tcPr>
            <w:tcW w:w="8558" w:type="dxa"/>
            <w:shd w:val="clear" w:color="auto" w:fill="auto"/>
            <w:vAlign w:val="center"/>
            <w:hideMark/>
          </w:tcPr>
          <w:p w:rsidR="00EA2492" w:rsidRPr="00F7311D" w:rsidP="00EA2492" w14:paraId="02D95A7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Includes American Samoa, the Federated States of Micronesia, Guam, the Marshall Islands, the Northern Mariana Islands, Palau, Puerto Rico, and the Virgin Islands.</w:t>
            </w:r>
          </w:p>
        </w:tc>
        <w:tc>
          <w:tcPr>
            <w:tcW w:w="2097" w:type="dxa"/>
            <w:shd w:val="clear" w:color="auto" w:fill="auto"/>
            <w:vAlign w:val="center"/>
            <w:hideMark/>
          </w:tcPr>
          <w:p w:rsidR="00EA2492" w:rsidRPr="00F7311D" w:rsidP="00EA2492" w14:paraId="676FE450" w14:textId="77777777">
            <w:pPr>
              <w:spacing w:after="0" w:line="240" w:lineRule="auto"/>
              <w:rPr>
                <w:rFonts w:ascii="Calibri" w:eastAsia="Times New Roman" w:hAnsi="Calibri" w:cs="Calibri"/>
                <w:color w:val="000000"/>
                <w:sz w:val="18"/>
                <w:szCs w:val="18"/>
              </w:rPr>
            </w:pPr>
          </w:p>
        </w:tc>
      </w:tr>
      <w:tr w14:paraId="475611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332710F" w14:textId="4A7D7F00">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Other degree/certificate-seeking </w:t>
            </w:r>
            <w:r w:rsidRPr="008878BA" w:rsidR="006B3675">
              <w:rPr>
                <w:rFonts w:ascii="Calibri" w:eastAsia="Times New Roman" w:hAnsi="Calibri" w:cs="Calibri"/>
                <w:sz w:val="18"/>
                <w:szCs w:val="18"/>
              </w:rPr>
              <w:t xml:space="preserve">(DGCS) </w:t>
            </w:r>
            <w:r w:rsidRPr="008878BA">
              <w:rPr>
                <w:rFonts w:ascii="Calibri" w:eastAsia="Times New Roman" w:hAnsi="Calibri" w:cs="Calibri"/>
                <w:sz w:val="18"/>
                <w:szCs w:val="18"/>
              </w:rPr>
              <w:t>subcohort</w:t>
            </w:r>
          </w:p>
        </w:tc>
        <w:tc>
          <w:tcPr>
            <w:tcW w:w="8558" w:type="dxa"/>
            <w:shd w:val="clear" w:color="auto" w:fill="auto"/>
            <w:vAlign w:val="center"/>
            <w:hideMark/>
          </w:tcPr>
          <w:p w:rsidR="00EA2492" w:rsidRPr="00F7311D" w:rsidP="00EA2492" w14:paraId="112807A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subset of students belonging to a GR cohort who were seeking a degree or certificate other than bachelor's degree upon entry.</w:t>
            </w:r>
          </w:p>
        </w:tc>
        <w:tc>
          <w:tcPr>
            <w:tcW w:w="2097" w:type="dxa"/>
            <w:shd w:val="clear" w:color="auto" w:fill="auto"/>
            <w:vAlign w:val="center"/>
            <w:hideMark/>
          </w:tcPr>
          <w:p w:rsidR="00EA2492" w:rsidRPr="00F7311D" w:rsidP="00EA2492" w14:paraId="47BA0B73" w14:textId="77777777">
            <w:pPr>
              <w:spacing w:after="0" w:line="240" w:lineRule="auto"/>
              <w:rPr>
                <w:rFonts w:ascii="Calibri" w:eastAsia="Times New Roman" w:hAnsi="Calibri" w:cs="Calibri"/>
                <w:color w:val="000000"/>
                <w:sz w:val="18"/>
                <w:szCs w:val="18"/>
              </w:rPr>
            </w:pPr>
          </w:p>
        </w:tc>
      </w:tr>
      <w:tr w14:paraId="3025E6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BF1A8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expenses</w:t>
            </w:r>
          </w:p>
        </w:tc>
        <w:tc>
          <w:tcPr>
            <w:tcW w:w="8558" w:type="dxa"/>
            <w:shd w:val="clear" w:color="auto" w:fill="auto"/>
            <w:vAlign w:val="center"/>
            <w:hideMark/>
          </w:tcPr>
          <w:p w:rsidR="00EA2492" w:rsidRPr="00F7311D" w:rsidP="00EA2492" w14:paraId="10CB413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(estimated by the financial aid office) needed by a student to cover expenses such as laundry, transportation, and entertainment.</w:t>
            </w:r>
          </w:p>
        </w:tc>
        <w:tc>
          <w:tcPr>
            <w:tcW w:w="2097" w:type="dxa"/>
            <w:shd w:val="clear" w:color="auto" w:fill="auto"/>
            <w:vAlign w:val="center"/>
            <w:hideMark/>
          </w:tcPr>
          <w:p w:rsidR="00EA2492" w:rsidRPr="00F7311D" w:rsidP="00EA2492" w14:paraId="6090DAC7" w14:textId="77777777">
            <w:pPr>
              <w:spacing w:after="0" w:line="240" w:lineRule="auto"/>
              <w:rPr>
                <w:rFonts w:ascii="Calibri" w:eastAsia="Times New Roman" w:hAnsi="Calibri" w:cs="Calibri"/>
                <w:color w:val="000000"/>
                <w:sz w:val="18"/>
                <w:szCs w:val="18"/>
              </w:rPr>
            </w:pPr>
          </w:p>
        </w:tc>
      </w:tr>
      <w:tr w14:paraId="035A09C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00E1E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federal grants</w:t>
            </w:r>
          </w:p>
        </w:tc>
        <w:tc>
          <w:tcPr>
            <w:tcW w:w="8558" w:type="dxa"/>
            <w:shd w:val="clear" w:color="auto" w:fill="auto"/>
            <w:vAlign w:val="center"/>
            <w:hideMark/>
          </w:tcPr>
          <w:p w:rsidR="00EA2492" w:rsidRPr="00F7311D" w:rsidP="00EA2492" w14:paraId="71E825A6" w14:textId="1C0E68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Federal monies awarded to the institution under federal government student aid programs, such as the Federal Supplemental Educational Opportunity Grants </w:t>
            </w:r>
            <w:r w:rsidRPr="008878BA">
              <w:rPr>
                <w:rFonts w:ascii="Calibri" w:eastAsia="Times New Roman" w:hAnsi="Calibri" w:cs="Calibri"/>
                <w:sz w:val="18"/>
                <w:szCs w:val="18"/>
              </w:rPr>
              <w:t>(FSEOG), DHHS training grants (aid portion only), the Leveraging Education Assistance Partnership (LEAP) program</w:t>
            </w:r>
            <w:r w:rsidRPr="008878BA" w:rsidR="006F5399">
              <w:rPr>
                <w:rFonts w:ascii="Calibri" w:eastAsia="Times New Roman" w:hAnsi="Calibri" w:cs="Calibri"/>
                <w:sz w:val="18"/>
                <w:szCs w:val="18"/>
              </w:rPr>
              <w:t xml:space="preserve"> (</w:t>
            </w:r>
            <w:r w:rsidRPr="008878BA" w:rsidR="00E302B8">
              <w:rPr>
                <w:rFonts w:ascii="Calibri" w:eastAsia="Times New Roman" w:hAnsi="Calibri" w:cs="Calibri"/>
                <w:sz w:val="18"/>
                <w:szCs w:val="18"/>
              </w:rPr>
              <w:t xml:space="preserve">formerly State Student Incentive Grant </w:t>
            </w:r>
            <w:r w:rsidRPr="008878BA" w:rsidR="00CB07F4">
              <w:rPr>
                <w:rFonts w:ascii="Calibri" w:eastAsia="Times New Roman" w:hAnsi="Calibri" w:cs="Calibri"/>
                <w:sz w:val="18"/>
                <w:szCs w:val="18"/>
              </w:rPr>
              <w:t xml:space="preserve">program </w:t>
            </w:r>
            <w:r w:rsidRPr="008878BA" w:rsidR="00E302B8">
              <w:rPr>
                <w:rFonts w:ascii="Calibri" w:eastAsia="Times New Roman" w:hAnsi="Calibri" w:cs="Calibri"/>
                <w:sz w:val="18"/>
                <w:szCs w:val="18"/>
              </w:rPr>
              <w:t>or SSIG)</w:t>
            </w:r>
            <w:r w:rsidRPr="008878BA">
              <w:rPr>
                <w:rFonts w:ascii="Calibri" w:eastAsia="Times New Roman" w:hAnsi="Calibri" w:cs="Calibri"/>
                <w:sz w:val="18"/>
                <w:szCs w:val="18"/>
              </w:rPr>
              <w:t xml:space="preserve">, </w:t>
            </w:r>
            <w:r w:rsidRPr="00F7311D">
              <w:rPr>
                <w:rFonts w:ascii="Calibri" w:eastAsia="Times New Roman" w:hAnsi="Calibri" w:cs="Calibri"/>
                <w:color w:val="000000"/>
                <w:sz w:val="18"/>
                <w:szCs w:val="18"/>
              </w:rPr>
              <w:t>and other federal student aid programs. Pell Grants are not included in this classification. Note: if the federal government selects the student recipients and simply transmits the funds to the institution for disbursement to the student, the amounts are not considered as revenues and subsequently there are no discounts and allowances or scholarships and fellowships expenses. If the funds are made available to the institution for selection of student recipients, then the amounts received are considered as nonoperating revenues and subsequently as discounts and allowances or scholarships and fellowships expenses.</w:t>
            </w:r>
          </w:p>
        </w:tc>
        <w:tc>
          <w:tcPr>
            <w:tcW w:w="2097" w:type="dxa"/>
            <w:shd w:val="clear" w:color="auto" w:fill="auto"/>
            <w:vAlign w:val="center"/>
            <w:hideMark/>
          </w:tcPr>
          <w:p w:rsidR="00EA2492" w:rsidRPr="00F7311D" w:rsidP="00EA2492" w14:paraId="71F9485D" w14:textId="77777777">
            <w:pPr>
              <w:spacing w:after="0" w:line="240" w:lineRule="auto"/>
              <w:rPr>
                <w:rFonts w:ascii="Calibri" w:eastAsia="Times New Roman" w:hAnsi="Calibri" w:cs="Calibri"/>
                <w:color w:val="000000"/>
                <w:sz w:val="18"/>
                <w:szCs w:val="18"/>
              </w:rPr>
            </w:pPr>
          </w:p>
        </w:tc>
      </w:tr>
      <w:tr w14:paraId="6A95276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34EF3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insurance plan (cafeteria plan)</w:t>
            </w:r>
          </w:p>
        </w:tc>
        <w:tc>
          <w:tcPr>
            <w:tcW w:w="8558" w:type="dxa"/>
            <w:shd w:val="clear" w:color="auto" w:fill="auto"/>
            <w:vAlign w:val="center"/>
            <w:hideMark/>
          </w:tcPr>
          <w:p w:rsidR="00EA2492" w:rsidRPr="00F7311D" w:rsidP="00EA2492" w14:paraId="79CA7429" w14:textId="0E7D51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benefit plan that allows an employee the option of selecting a combination of health care and insurance benefits (e.g., hospital, medical, surgical, dental care, and group life insurance). Term used prior to 2011-12 in the Human Resources component.</w:t>
            </w:r>
          </w:p>
        </w:tc>
        <w:tc>
          <w:tcPr>
            <w:tcW w:w="2097" w:type="dxa"/>
            <w:shd w:val="clear" w:color="auto" w:fill="auto"/>
            <w:vAlign w:val="center"/>
            <w:hideMark/>
          </w:tcPr>
          <w:p w:rsidR="00EA2492" w:rsidRPr="00F7311D" w:rsidP="00EA2492" w14:paraId="66D73EE8" w14:textId="77777777">
            <w:pPr>
              <w:spacing w:after="0" w:line="240" w:lineRule="auto"/>
              <w:rPr>
                <w:rFonts w:ascii="Calibri" w:eastAsia="Times New Roman" w:hAnsi="Calibri" w:cs="Calibri"/>
                <w:color w:val="000000"/>
                <w:sz w:val="18"/>
                <w:szCs w:val="18"/>
              </w:rPr>
            </w:pPr>
          </w:p>
        </w:tc>
      </w:tr>
      <w:tr w14:paraId="44A7291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16053D" w14:textId="6A780C9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Other </w:t>
            </w:r>
            <w:r w:rsidR="00EC0BB4">
              <w:rPr>
                <w:rFonts w:ascii="Calibri" w:eastAsia="Times New Roman" w:hAnsi="Calibri" w:cs="Calibri"/>
                <w:color w:val="000000"/>
                <w:sz w:val="18"/>
                <w:szCs w:val="18"/>
              </w:rPr>
              <w:t>n</w:t>
            </w:r>
            <w:r w:rsidRPr="00F7311D">
              <w:rPr>
                <w:rFonts w:ascii="Calibri" w:eastAsia="Times New Roman" w:hAnsi="Calibri" w:cs="Calibri"/>
                <w:color w:val="000000"/>
                <w:sz w:val="18"/>
                <w:szCs w:val="18"/>
              </w:rPr>
              <w:t xml:space="preserve">atural </w:t>
            </w:r>
            <w:r w:rsidR="00EC0BB4">
              <w:rPr>
                <w:rFonts w:ascii="Calibri" w:eastAsia="Times New Roman" w:hAnsi="Calibri" w:cs="Calibri"/>
                <w:color w:val="000000"/>
                <w:sz w:val="18"/>
                <w:szCs w:val="18"/>
              </w:rPr>
              <w:t>e</w:t>
            </w:r>
            <w:r w:rsidRPr="00F7311D">
              <w:rPr>
                <w:rFonts w:ascii="Calibri" w:eastAsia="Times New Roman" w:hAnsi="Calibri" w:cs="Calibri"/>
                <w:color w:val="000000"/>
                <w:sz w:val="18"/>
                <w:szCs w:val="18"/>
              </w:rPr>
              <w:t xml:space="preserve">xpenses and </w:t>
            </w:r>
            <w:r w:rsidR="00EC0BB4">
              <w:rPr>
                <w:rFonts w:ascii="Calibri" w:eastAsia="Times New Roman" w:hAnsi="Calibri" w:cs="Calibri"/>
                <w:color w:val="000000"/>
                <w:sz w:val="18"/>
                <w:szCs w:val="18"/>
              </w:rPr>
              <w:t>d</w:t>
            </w:r>
            <w:r w:rsidRPr="00F7311D">
              <w:rPr>
                <w:rFonts w:ascii="Calibri" w:eastAsia="Times New Roman" w:hAnsi="Calibri" w:cs="Calibri"/>
                <w:color w:val="000000"/>
                <w:sz w:val="18"/>
                <w:szCs w:val="18"/>
              </w:rPr>
              <w:t>eductions</w:t>
            </w:r>
          </w:p>
        </w:tc>
        <w:tc>
          <w:tcPr>
            <w:tcW w:w="8558" w:type="dxa"/>
            <w:shd w:val="clear" w:color="auto" w:fill="auto"/>
            <w:vAlign w:val="center"/>
            <w:hideMark/>
          </w:tcPr>
          <w:p w:rsidR="00EA2492" w:rsidRPr="00F7311D" w:rsidP="00EA2492" w14:paraId="22D3FF68" w14:textId="7A27E6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operating and nonoperating expenses not classified as salaries and wages, benefits, operation and maintenance of plant, interest, or depreciation. Prior to fiscal year 2016, this value included operation and maintenance of plant expenses. This category can include bad debts, income taxes, changes in value in split interest agreements, or changes in environmental liability obligations.</w:t>
            </w:r>
          </w:p>
        </w:tc>
        <w:tc>
          <w:tcPr>
            <w:tcW w:w="2097" w:type="dxa"/>
            <w:shd w:val="clear" w:color="auto" w:fill="auto"/>
            <w:vAlign w:val="center"/>
            <w:hideMark/>
          </w:tcPr>
          <w:p w:rsidR="00EA2492" w:rsidRPr="00F7311D" w:rsidP="00EA2492" w14:paraId="39F9F134" w14:textId="77777777">
            <w:pPr>
              <w:spacing w:after="0" w:line="240" w:lineRule="auto"/>
              <w:rPr>
                <w:rFonts w:ascii="Calibri" w:eastAsia="Times New Roman" w:hAnsi="Calibri" w:cs="Calibri"/>
                <w:color w:val="000000"/>
                <w:sz w:val="18"/>
                <w:szCs w:val="18"/>
              </w:rPr>
            </w:pPr>
          </w:p>
        </w:tc>
      </w:tr>
      <w:tr w14:paraId="147565E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BE113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professional (support/service)</w:t>
            </w:r>
          </w:p>
        </w:tc>
        <w:tc>
          <w:tcPr>
            <w:tcW w:w="8558" w:type="dxa"/>
            <w:shd w:val="clear" w:color="auto" w:fill="auto"/>
            <w:vAlign w:val="center"/>
            <w:hideMark/>
          </w:tcPr>
          <w:p w:rsidR="00EA2492" w:rsidRPr="00F7311D" w:rsidP="00EA2492" w14:paraId="64B51645" w14:textId="1513AA5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employed for the primary purpose of performing academic support, student service, and institutional support, whose assignments would require either a baccalaureate degree or higher or experience of such kind and amount as to provide a comparable background. Included in this category are all employees holding titles such as business operations specialists; buyers and purchasing agents; human resources, training, and labor relations specialists; management analysts; meeting and convention planners; miscellaneous business operations specialists; financial specialists; accountants and auditors; budget analysts; financial analysts and advisors; financial examiners; loan counselors and officers; computer specialists; computer and information scientists, research; computer programmers; computer software engineers; computer support specialists; computer systems analysts; database administrators; network and computer systems administrators; network systems and data communication analysts; counselors, social workers, and other community and social service specialists; counselors; social workers; health educators; clergy; directors, religious activities and education; lawyers; librarians, curators, and archivists; museum technicians and conservators; librarians; artists and related workers; designers; athletes, coaches, umpires; dancers and choreographers; music directors and composers; chiropractors; dentists; dietitians and nutritionists; optometrists; pharmacists; physicians and surgeons; podiatrists; registered nurses; therapists; and veterinarians.(Term used in the IPEDS HR survey component prior to 2012-13)</w:t>
            </w:r>
          </w:p>
        </w:tc>
        <w:tc>
          <w:tcPr>
            <w:tcW w:w="2097" w:type="dxa"/>
            <w:shd w:val="clear" w:color="auto" w:fill="auto"/>
            <w:vAlign w:val="center"/>
            <w:hideMark/>
          </w:tcPr>
          <w:p w:rsidR="00EA2492" w:rsidRPr="00F7311D" w:rsidP="00EA2492" w14:paraId="122444F0" w14:textId="77777777">
            <w:pPr>
              <w:spacing w:after="0" w:line="240" w:lineRule="auto"/>
              <w:rPr>
                <w:rFonts w:ascii="Calibri" w:eastAsia="Times New Roman" w:hAnsi="Calibri" w:cs="Calibri"/>
                <w:color w:val="000000"/>
                <w:sz w:val="18"/>
                <w:szCs w:val="18"/>
              </w:rPr>
            </w:pPr>
          </w:p>
        </w:tc>
      </w:tr>
      <w:tr w14:paraId="2A74580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6D444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separate health profession schools (Carnegie)</w:t>
            </w:r>
          </w:p>
        </w:tc>
        <w:tc>
          <w:tcPr>
            <w:tcW w:w="8558" w:type="dxa"/>
            <w:shd w:val="clear" w:color="auto" w:fill="auto"/>
            <w:vAlign w:val="center"/>
            <w:hideMark/>
          </w:tcPr>
          <w:p w:rsidR="00EA2492" w:rsidRPr="00F7311D" w:rsidP="00EA2492" w14:paraId="486381BF" w14:textId="5F38D1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Other Separate Health Professional Schools award most of their degrees in such fields as chiropractic, nursing, pharmacy, or podiatry.</w:t>
            </w:r>
          </w:p>
        </w:tc>
        <w:tc>
          <w:tcPr>
            <w:tcW w:w="2097" w:type="dxa"/>
            <w:shd w:val="clear" w:color="auto" w:fill="auto"/>
            <w:vAlign w:val="center"/>
            <w:hideMark/>
          </w:tcPr>
          <w:p w:rsidR="00EA2492" w:rsidRPr="00F7311D" w:rsidP="00EA2492" w14:paraId="2C7548BD" w14:textId="64EA587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ED4558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C619E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sources (revenues)</w:t>
            </w:r>
          </w:p>
        </w:tc>
        <w:tc>
          <w:tcPr>
            <w:tcW w:w="8558" w:type="dxa"/>
            <w:shd w:val="clear" w:color="auto" w:fill="auto"/>
            <w:vAlign w:val="center"/>
            <w:hideMark/>
          </w:tcPr>
          <w:p w:rsidR="00EA2492" w:rsidRPr="00F7311D" w:rsidP="00EA2492" w14:paraId="57FAD63C" w14:textId="54B0EF1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Other sources of revenues not covered elsewhere in the collection of IPEDS Finance data from schools reporting under the pre GASB 34/35 Standards. Examples are interest income and gains (net of losses) from investments of unrestricted current funds, miscellaneous rentals and sales, expired term endowments, and terminated annuity </w:t>
            </w:r>
            <w:r w:rsidRPr="00F7311D">
              <w:rPr>
                <w:rFonts w:ascii="Calibri" w:eastAsia="Times New Roman" w:hAnsi="Calibri" w:cs="Calibri"/>
                <w:color w:val="000000"/>
                <w:sz w:val="18"/>
                <w:szCs w:val="18"/>
              </w:rPr>
              <w:t>or life income agreements, if not material. Also includes revenues resulting from the sales and services of internal service departments to persons or agencies external to the institution (e.g., the sale of computer time).</w:t>
            </w:r>
          </w:p>
        </w:tc>
        <w:tc>
          <w:tcPr>
            <w:tcW w:w="2097" w:type="dxa"/>
            <w:shd w:val="clear" w:color="auto" w:fill="auto"/>
            <w:vAlign w:val="center"/>
            <w:hideMark/>
          </w:tcPr>
          <w:p w:rsidR="00EA2492" w:rsidRPr="00F7311D" w:rsidP="00EA2492" w14:paraId="4CF99BA1" w14:textId="77777777">
            <w:pPr>
              <w:spacing w:after="0" w:line="240" w:lineRule="auto"/>
              <w:rPr>
                <w:rFonts w:ascii="Calibri" w:eastAsia="Times New Roman" w:hAnsi="Calibri" w:cs="Calibri"/>
                <w:color w:val="000000"/>
                <w:sz w:val="18"/>
                <w:szCs w:val="18"/>
              </w:rPr>
            </w:pPr>
          </w:p>
        </w:tc>
      </w:tr>
      <w:tr w14:paraId="220E19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2E278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specialized institutions (Carnegie)</w:t>
            </w:r>
          </w:p>
        </w:tc>
        <w:tc>
          <w:tcPr>
            <w:tcW w:w="8558" w:type="dxa"/>
            <w:shd w:val="clear" w:color="auto" w:fill="auto"/>
            <w:vAlign w:val="center"/>
            <w:hideMark/>
          </w:tcPr>
          <w:p w:rsidR="00EA2492" w:rsidRPr="00F7311D" w:rsidP="00EA2492" w14:paraId="552690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Other Specialized Institutions include graduate centers, maritime academies, military institutes, and institutions that do not fit any other classification category, but award a majority of degrees  in a specialized area not separately identified.</w:t>
            </w:r>
          </w:p>
        </w:tc>
        <w:tc>
          <w:tcPr>
            <w:tcW w:w="2097" w:type="dxa"/>
            <w:shd w:val="clear" w:color="auto" w:fill="auto"/>
            <w:vAlign w:val="center"/>
            <w:hideMark/>
          </w:tcPr>
          <w:p w:rsidR="00EA2492" w:rsidRPr="00F7311D" w:rsidP="00EA2492" w14:paraId="436F5B4B" w14:textId="0D518E6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CC613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F221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Other specific changes in net assets</w:t>
            </w:r>
          </w:p>
        </w:tc>
        <w:tc>
          <w:tcPr>
            <w:tcW w:w="8558" w:type="dxa"/>
            <w:shd w:val="clear" w:color="auto" w:fill="auto"/>
            <w:vAlign w:val="center"/>
            <w:hideMark/>
          </w:tcPr>
          <w:p w:rsidR="00EA2492" w:rsidRPr="00F7311D" w:rsidP="00EA2492" w14:paraId="10FCCA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Changes that occur infrequently rather than on a regular basis, but still affect the net assets of the institution. Included in this category are: actuarial gain or (loss) on split interest agreements; gain or (loss) on sale of plant assets; other gain or (loss); discontinued operations; extraordinary gain or (loss); and cumulative effect of change(s) in accounting principle.</w:t>
            </w:r>
          </w:p>
        </w:tc>
        <w:tc>
          <w:tcPr>
            <w:tcW w:w="2097" w:type="dxa"/>
            <w:shd w:val="clear" w:color="auto" w:fill="auto"/>
            <w:vAlign w:val="center"/>
            <w:hideMark/>
          </w:tcPr>
          <w:p w:rsidR="00EA2492" w:rsidRPr="00F7311D" w:rsidP="00EA2492" w14:paraId="4CF637C3" w14:textId="77777777">
            <w:pPr>
              <w:spacing w:after="0" w:line="240" w:lineRule="auto"/>
              <w:rPr>
                <w:rFonts w:ascii="Calibri" w:eastAsia="Times New Roman" w:hAnsi="Calibri" w:cs="Calibri"/>
                <w:color w:val="000000"/>
                <w:sz w:val="18"/>
                <w:szCs w:val="18"/>
              </w:rPr>
            </w:pPr>
          </w:p>
        </w:tc>
      </w:tr>
      <w:tr w14:paraId="1B65946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5DF342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centers</w:t>
            </w:r>
          </w:p>
        </w:tc>
        <w:tc>
          <w:tcPr>
            <w:tcW w:w="8558" w:type="dxa"/>
            <w:shd w:val="clear" w:color="auto" w:fill="auto"/>
            <w:vAlign w:val="center"/>
            <w:hideMark/>
          </w:tcPr>
          <w:p w:rsidR="00EA2492" w:rsidRPr="00F7311D" w:rsidP="00EA2492" w14:paraId="0EE1C64B" w14:textId="6473A62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Sites where courses or programs are offered that are in a state different from the state of the main campus.</w:t>
            </w:r>
          </w:p>
        </w:tc>
        <w:tc>
          <w:tcPr>
            <w:tcW w:w="2097" w:type="dxa"/>
            <w:shd w:val="clear" w:color="auto" w:fill="auto"/>
            <w:vAlign w:val="center"/>
            <w:hideMark/>
          </w:tcPr>
          <w:p w:rsidR="00EA2492" w:rsidRPr="00F7311D" w:rsidP="00EA2492" w14:paraId="0680EF36" w14:textId="77777777">
            <w:pPr>
              <w:spacing w:after="0" w:line="240" w:lineRule="auto"/>
              <w:rPr>
                <w:rFonts w:ascii="Calibri" w:eastAsia="Times New Roman" w:hAnsi="Calibri" w:cs="Calibri"/>
                <w:color w:val="000000"/>
                <w:sz w:val="18"/>
                <w:szCs w:val="18"/>
              </w:rPr>
            </w:pPr>
          </w:p>
        </w:tc>
      </w:tr>
      <w:tr w14:paraId="18D981B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FC011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student</w:t>
            </w:r>
          </w:p>
        </w:tc>
        <w:tc>
          <w:tcPr>
            <w:tcW w:w="8558" w:type="dxa"/>
            <w:shd w:val="clear" w:color="auto" w:fill="auto"/>
            <w:vAlign w:val="center"/>
            <w:hideMark/>
          </w:tcPr>
          <w:p w:rsidR="00EA2492" w:rsidRPr="00F7311D" w:rsidP="00EA2492" w14:paraId="38C209D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is not a legal resident of the state in which he/she attends school.</w:t>
            </w:r>
          </w:p>
        </w:tc>
        <w:tc>
          <w:tcPr>
            <w:tcW w:w="2097" w:type="dxa"/>
            <w:shd w:val="clear" w:color="auto" w:fill="auto"/>
            <w:vAlign w:val="center"/>
            <w:hideMark/>
          </w:tcPr>
          <w:p w:rsidR="00EA2492" w:rsidRPr="00F7311D" w:rsidP="00EA2492" w14:paraId="06FFA7EA" w14:textId="77777777">
            <w:pPr>
              <w:spacing w:after="0" w:line="240" w:lineRule="auto"/>
              <w:rPr>
                <w:rFonts w:ascii="Calibri" w:eastAsia="Times New Roman" w:hAnsi="Calibri" w:cs="Calibri"/>
                <w:color w:val="000000"/>
                <w:sz w:val="18"/>
                <w:szCs w:val="18"/>
              </w:rPr>
            </w:pPr>
          </w:p>
        </w:tc>
      </w:tr>
      <w:tr w14:paraId="7DDFA59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513A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Out-of-state tuition</w:t>
            </w:r>
          </w:p>
        </w:tc>
        <w:tc>
          <w:tcPr>
            <w:tcW w:w="8558" w:type="dxa"/>
            <w:shd w:val="clear" w:color="auto" w:fill="auto"/>
            <w:vAlign w:val="center"/>
            <w:hideMark/>
          </w:tcPr>
          <w:p w:rsidR="00EA2492" w:rsidRPr="00F7311D" w:rsidP="00EA2492" w14:paraId="263624AB" w14:textId="3562B2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tuition charged by institutions to those students who do not meet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state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residency requirements.</w:t>
            </w:r>
          </w:p>
        </w:tc>
        <w:tc>
          <w:tcPr>
            <w:tcW w:w="2097" w:type="dxa"/>
            <w:shd w:val="clear" w:color="auto" w:fill="auto"/>
            <w:vAlign w:val="center"/>
            <w:hideMark/>
          </w:tcPr>
          <w:p w:rsidR="00EA2492" w:rsidRPr="00F7311D" w:rsidP="00EA2492" w14:paraId="06296A4C" w14:textId="77777777">
            <w:pPr>
              <w:spacing w:after="0" w:line="240" w:lineRule="auto"/>
              <w:rPr>
                <w:rFonts w:ascii="Calibri" w:eastAsia="Times New Roman" w:hAnsi="Calibri" w:cs="Calibri"/>
                <w:color w:val="000000"/>
                <w:sz w:val="18"/>
                <w:szCs w:val="18"/>
              </w:rPr>
            </w:pPr>
          </w:p>
        </w:tc>
      </w:tr>
      <w:tr w14:paraId="596B0C2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E0BD1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Outcome Measures (OM)</w:t>
            </w:r>
          </w:p>
        </w:tc>
        <w:tc>
          <w:tcPr>
            <w:tcW w:w="8558" w:type="dxa"/>
            <w:shd w:val="clear" w:color="auto" w:fill="auto"/>
            <w:vAlign w:val="center"/>
            <w:hideMark/>
          </w:tcPr>
          <w:p w:rsidR="00EA2492" w:rsidRPr="00F7311D" w:rsidP="00EA2492" w14:paraId="53C210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This annual component aims to improve the collection of student progression and completion data on a more diverse group of undergraduate students at degree-granting institutions. Award and enrollment statuses are collected on four cohorts (first-time, full-time; first-time, part-time; non-first-time, full-time; and non-first-time, part-time) and on eight </w:t>
            </w:r>
            <w:r w:rsidRPr="00F7311D">
              <w:rPr>
                <w:rFonts w:ascii="Calibri" w:eastAsia="Times New Roman" w:hAnsi="Calibri" w:cs="Calibri"/>
                <w:color w:val="000000"/>
                <w:sz w:val="18"/>
                <w:szCs w:val="18"/>
              </w:rPr>
              <w:t>subcohorts</w:t>
            </w:r>
            <w:r w:rsidRPr="00F7311D">
              <w:rPr>
                <w:rFonts w:ascii="Calibri" w:eastAsia="Times New Roman" w:hAnsi="Calibri" w:cs="Calibri"/>
                <w:color w:val="000000"/>
                <w:sz w:val="18"/>
                <w:szCs w:val="18"/>
              </w:rPr>
              <w:t xml:space="preserve"> (based on Pell Grant recipient status) of degree/certificate-seeking students at three points of time (four-, six-, and eight-years after entering the institution).</w:t>
            </w:r>
          </w:p>
        </w:tc>
        <w:tc>
          <w:tcPr>
            <w:tcW w:w="2097" w:type="dxa"/>
            <w:shd w:val="clear" w:color="auto" w:fill="auto"/>
            <w:vAlign w:val="center"/>
            <w:hideMark/>
          </w:tcPr>
          <w:p w:rsidR="00EA2492" w:rsidRPr="00F7311D" w:rsidP="00EA2492" w14:paraId="57119AC3" w14:textId="77777777">
            <w:pPr>
              <w:spacing w:after="0" w:line="240" w:lineRule="auto"/>
              <w:rPr>
                <w:rFonts w:ascii="Calibri" w:eastAsia="Times New Roman" w:hAnsi="Calibri" w:cs="Calibri"/>
                <w:color w:val="000000"/>
                <w:sz w:val="18"/>
                <w:szCs w:val="18"/>
              </w:rPr>
            </w:pPr>
          </w:p>
        </w:tc>
      </w:tr>
      <w:tr w14:paraId="032C23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BECB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Parent institution</w:t>
            </w:r>
          </w:p>
        </w:tc>
        <w:tc>
          <w:tcPr>
            <w:tcW w:w="8558" w:type="dxa"/>
            <w:shd w:val="clear" w:color="auto" w:fill="auto"/>
            <w:vAlign w:val="center"/>
            <w:hideMark/>
          </w:tcPr>
          <w:p w:rsidR="00EA2492" w:rsidRPr="00F7311D" w:rsidP="00EA2492" w14:paraId="04A30C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that reports some or all data for another institution, known as the child institution.</w:t>
            </w:r>
          </w:p>
        </w:tc>
        <w:tc>
          <w:tcPr>
            <w:tcW w:w="2097" w:type="dxa"/>
            <w:shd w:val="clear" w:color="auto" w:fill="auto"/>
            <w:vAlign w:val="center"/>
            <w:hideMark/>
          </w:tcPr>
          <w:p w:rsidR="00EA2492" w:rsidRPr="00F7311D" w:rsidP="00EA2492" w14:paraId="7E2597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Child institution</w:t>
            </w:r>
          </w:p>
        </w:tc>
      </w:tr>
      <w:tr w14:paraId="78EC04D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5B9E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staff (employees)</w:t>
            </w:r>
          </w:p>
        </w:tc>
        <w:tc>
          <w:tcPr>
            <w:tcW w:w="8558" w:type="dxa"/>
            <w:shd w:val="clear" w:color="auto" w:fill="auto"/>
            <w:vAlign w:val="center"/>
            <w:hideMark/>
          </w:tcPr>
          <w:p w:rsidR="00EA2492" w:rsidRPr="00F7311D" w:rsidP="00EA2492" w14:paraId="08E13CE4" w14:textId="45FB22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 determined by the institution. The type of appointment at the snapshot date determines whether an employee is full-time or part-time. The employee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term of contract is not considered in making the determination of full- or part-time. Casual employees (hired on an ad-hoc basis or occasional basis to meet short-term needs) and students in the College Work-Study Program (CWS) are not considered part-time staff.</w:t>
            </w:r>
          </w:p>
        </w:tc>
        <w:tc>
          <w:tcPr>
            <w:tcW w:w="2097" w:type="dxa"/>
            <w:shd w:val="clear" w:color="auto" w:fill="auto"/>
            <w:vAlign w:val="center"/>
            <w:hideMark/>
          </w:tcPr>
          <w:p w:rsidR="00EA2492" w:rsidRPr="00F7311D" w:rsidP="00EA2492" w14:paraId="43E9BC5D" w14:textId="77777777">
            <w:pPr>
              <w:spacing w:after="0" w:line="240" w:lineRule="auto"/>
              <w:rPr>
                <w:rFonts w:ascii="Calibri" w:eastAsia="Times New Roman" w:hAnsi="Calibri" w:cs="Calibri"/>
                <w:color w:val="000000"/>
                <w:sz w:val="18"/>
                <w:szCs w:val="18"/>
              </w:rPr>
            </w:pPr>
          </w:p>
        </w:tc>
      </w:tr>
      <w:tr w14:paraId="6995B77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18289C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Part-time student</w:t>
            </w:r>
          </w:p>
        </w:tc>
        <w:tc>
          <w:tcPr>
            <w:tcW w:w="8558" w:type="dxa"/>
            <w:shd w:val="clear" w:color="auto" w:fill="auto"/>
            <w:vAlign w:val="center"/>
            <w:hideMark/>
          </w:tcPr>
          <w:p w:rsidR="00EA2492" w:rsidRPr="00F7311D" w:rsidP="00EA2492" w14:paraId="57EC00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Undergraduate: A student enrolled for either less than 12 semester or quarter credits, or less than 24 clock hours a week each term. Graduate: A student enrolled for less than 9 semester or quarter credits.</w:t>
            </w:r>
          </w:p>
        </w:tc>
        <w:tc>
          <w:tcPr>
            <w:tcW w:w="2097" w:type="dxa"/>
            <w:shd w:val="clear" w:color="auto" w:fill="auto"/>
            <w:vAlign w:val="center"/>
            <w:hideMark/>
          </w:tcPr>
          <w:p w:rsidR="00EA2492" w:rsidRPr="00F7311D" w:rsidP="00EA2492" w14:paraId="13CE3A0D" w14:textId="32CFABDE">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7030A0"/>
                <w:sz w:val="18"/>
                <w:szCs w:val="18"/>
              </w:rPr>
              <w:t>Attendance status</w:t>
            </w:r>
          </w:p>
        </w:tc>
      </w:tr>
      <w:tr w14:paraId="3643CB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FAB8F7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Password</w:t>
            </w:r>
          </w:p>
        </w:tc>
        <w:tc>
          <w:tcPr>
            <w:tcW w:w="8558" w:type="dxa"/>
            <w:shd w:val="clear" w:color="auto" w:fill="auto"/>
            <w:vAlign w:val="center"/>
            <w:hideMark/>
          </w:tcPr>
          <w:p w:rsidR="00EA2492" w:rsidRPr="00F7311D" w:rsidP="00EA2492" w14:paraId="63ACB102" w14:textId="1E9A7CB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series of numbers or letters that can be used either alone or with a User ID to gain access to the IPEDS data collection system.</w:t>
            </w:r>
          </w:p>
        </w:tc>
        <w:tc>
          <w:tcPr>
            <w:tcW w:w="2097" w:type="dxa"/>
            <w:shd w:val="clear" w:color="auto" w:fill="auto"/>
            <w:vAlign w:val="center"/>
            <w:hideMark/>
          </w:tcPr>
          <w:p w:rsidR="00EA2492" w:rsidRPr="00F7311D" w:rsidP="00EA2492" w14:paraId="730F8A91" w14:textId="77777777">
            <w:pPr>
              <w:spacing w:after="0" w:line="240" w:lineRule="auto"/>
              <w:rPr>
                <w:rFonts w:ascii="Calibri" w:eastAsia="Times New Roman" w:hAnsi="Calibri" w:cs="Calibri"/>
                <w:color w:val="000000"/>
                <w:sz w:val="18"/>
                <w:szCs w:val="18"/>
              </w:rPr>
            </w:pPr>
          </w:p>
        </w:tc>
      </w:tr>
      <w:tr w14:paraId="6F04FAB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1E853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Patient contractual allowances</w:t>
            </w:r>
          </w:p>
        </w:tc>
        <w:tc>
          <w:tcPr>
            <w:tcW w:w="8558" w:type="dxa"/>
            <w:shd w:val="clear" w:color="auto" w:fill="auto"/>
            <w:vAlign w:val="center"/>
            <w:hideMark/>
          </w:tcPr>
          <w:p w:rsidR="00EA2492" w:rsidRPr="00F7311D" w:rsidP="00EA2492" w14:paraId="28CDD3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Contractual allowances provided to insurers or other group health providers which are deducted from fees for services provided by hospitals (thus not included in hospital revenues).</w:t>
            </w:r>
          </w:p>
        </w:tc>
        <w:tc>
          <w:tcPr>
            <w:tcW w:w="2097" w:type="dxa"/>
            <w:shd w:val="clear" w:color="auto" w:fill="auto"/>
            <w:vAlign w:val="center"/>
            <w:hideMark/>
          </w:tcPr>
          <w:p w:rsidR="00EA2492" w:rsidRPr="00F7311D" w:rsidP="00EA2492" w14:paraId="7B39AF3F" w14:textId="77777777">
            <w:pPr>
              <w:spacing w:after="0" w:line="240" w:lineRule="auto"/>
              <w:rPr>
                <w:rFonts w:ascii="Calibri" w:eastAsia="Times New Roman" w:hAnsi="Calibri" w:cs="Calibri"/>
                <w:color w:val="000000"/>
                <w:sz w:val="18"/>
                <w:szCs w:val="18"/>
              </w:rPr>
            </w:pPr>
          </w:p>
        </w:tc>
      </w:tr>
      <w:tr w14:paraId="36C7C7A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D13685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principal</w:t>
            </w:r>
          </w:p>
        </w:tc>
        <w:tc>
          <w:tcPr>
            <w:tcW w:w="8558" w:type="dxa"/>
            <w:shd w:val="clear" w:color="auto" w:fill="auto"/>
            <w:vAlign w:val="center"/>
            <w:hideMark/>
          </w:tcPr>
          <w:p w:rsidR="00EA2492" w:rsidRPr="00F7311D" w:rsidP="00EA2492" w14:paraId="5C96C9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Payments made on plant loan debt to reduce the principal of the loan, regardless of the source of funds.</w:t>
            </w:r>
          </w:p>
        </w:tc>
        <w:tc>
          <w:tcPr>
            <w:tcW w:w="2097" w:type="dxa"/>
            <w:shd w:val="clear" w:color="auto" w:fill="auto"/>
            <w:vAlign w:val="center"/>
            <w:hideMark/>
          </w:tcPr>
          <w:p w:rsidR="00EA2492" w:rsidRPr="00F7311D" w:rsidP="00EA2492" w14:paraId="1FB9D25C" w14:textId="77777777">
            <w:pPr>
              <w:spacing w:after="0" w:line="240" w:lineRule="auto"/>
              <w:rPr>
                <w:rFonts w:ascii="Calibri" w:eastAsia="Times New Roman" w:hAnsi="Calibri" w:cs="Calibri"/>
                <w:color w:val="000000"/>
                <w:sz w:val="18"/>
                <w:szCs w:val="18"/>
              </w:rPr>
            </w:pPr>
          </w:p>
        </w:tc>
      </w:tr>
      <w:tr w14:paraId="5C7CA42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42F5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Peer Analysis System (PAS)</w:t>
            </w:r>
          </w:p>
        </w:tc>
        <w:tc>
          <w:tcPr>
            <w:tcW w:w="8558" w:type="dxa"/>
            <w:shd w:val="clear" w:color="auto" w:fill="auto"/>
            <w:vAlign w:val="center"/>
            <w:hideMark/>
          </w:tcPr>
          <w:p w:rsidR="00EA2492" w:rsidRPr="00F7311D" w:rsidP="00EA2492" w14:paraId="08E1A85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early IPEDS data access tool, no longer available.  All the functions in the Peer Analysis System have been incorporated into the IPEDS Data Center.</w:t>
            </w:r>
          </w:p>
        </w:tc>
        <w:tc>
          <w:tcPr>
            <w:tcW w:w="2097" w:type="dxa"/>
            <w:shd w:val="clear" w:color="auto" w:fill="auto"/>
            <w:vAlign w:val="center"/>
            <w:hideMark/>
          </w:tcPr>
          <w:p w:rsidR="00EA2492" w:rsidRPr="00F7311D" w:rsidP="00EA2492" w14:paraId="5404F01E" w14:textId="77777777">
            <w:pPr>
              <w:spacing w:after="0" w:line="240" w:lineRule="auto"/>
              <w:rPr>
                <w:rFonts w:ascii="Calibri" w:eastAsia="Times New Roman" w:hAnsi="Calibri" w:cs="Calibri"/>
                <w:color w:val="000000"/>
                <w:sz w:val="18"/>
                <w:szCs w:val="18"/>
              </w:rPr>
            </w:pPr>
          </w:p>
        </w:tc>
      </w:tr>
      <w:tr w14:paraId="6517E50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4B29D0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Pell Grant program</w:t>
            </w:r>
          </w:p>
        </w:tc>
        <w:tc>
          <w:tcPr>
            <w:tcW w:w="8558" w:type="dxa"/>
            <w:shd w:val="clear" w:color="auto" w:fill="auto"/>
            <w:vAlign w:val="center"/>
            <w:hideMark/>
          </w:tcPr>
          <w:p w:rsidR="00EA2492" w:rsidRPr="00F7311D" w:rsidP="00EA2492" w14:paraId="433DD64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A, Subpart I, as amended.) Provides grant assistance to eligible undergraduate postsecondary students with demonstrated financial need to help meet education expenses.</w:t>
            </w:r>
          </w:p>
        </w:tc>
        <w:tc>
          <w:tcPr>
            <w:tcW w:w="2097" w:type="dxa"/>
            <w:shd w:val="clear" w:color="auto" w:fill="auto"/>
            <w:vAlign w:val="center"/>
            <w:hideMark/>
          </w:tcPr>
          <w:p w:rsidR="00EA2492" w:rsidRPr="00F7311D" w:rsidP="00EA2492" w14:paraId="36513981" w14:textId="77777777">
            <w:pPr>
              <w:spacing w:after="0" w:line="240" w:lineRule="auto"/>
              <w:rPr>
                <w:rFonts w:ascii="Calibri" w:eastAsia="Times New Roman" w:hAnsi="Calibri" w:cs="Calibri"/>
                <w:color w:val="000000"/>
                <w:sz w:val="18"/>
                <w:szCs w:val="18"/>
              </w:rPr>
            </w:pPr>
          </w:p>
        </w:tc>
      </w:tr>
      <w:tr w14:paraId="6D41C54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0BAF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Perkins Loan program</w:t>
            </w:r>
          </w:p>
        </w:tc>
        <w:tc>
          <w:tcPr>
            <w:tcW w:w="8558" w:type="dxa"/>
            <w:shd w:val="clear" w:color="auto" w:fill="auto"/>
            <w:vAlign w:val="center"/>
            <w:hideMark/>
          </w:tcPr>
          <w:p w:rsidR="00EA2492" w:rsidRPr="00F7311D" w:rsidP="00EA2492" w14:paraId="00F1AB3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(Higher Education Act of 1965, Title IV, Part E, as amended, Public Laws 89-329, 92-318, et al; 20 USC 1087aa-1087hh.). Formerly known as National Direct Student Loans (NDSL), the Perkins Loan program provides low interest loans to eligible postsecondary students (undergraduate, graduate, or professional students) with demonstrated financial need to help meet educational expenses.</w:t>
            </w:r>
          </w:p>
        </w:tc>
        <w:tc>
          <w:tcPr>
            <w:tcW w:w="2097" w:type="dxa"/>
            <w:shd w:val="clear" w:color="auto" w:fill="auto"/>
            <w:vAlign w:val="center"/>
            <w:hideMark/>
          </w:tcPr>
          <w:p w:rsidR="00EA2492" w:rsidRPr="00F7311D" w:rsidP="00EA2492" w14:paraId="5242F1C4" w14:textId="77777777">
            <w:pPr>
              <w:spacing w:after="0" w:line="240" w:lineRule="auto"/>
              <w:rPr>
                <w:rFonts w:ascii="Calibri" w:eastAsia="Times New Roman" w:hAnsi="Calibri" w:cs="Calibri"/>
                <w:color w:val="000000"/>
                <w:sz w:val="18"/>
                <w:szCs w:val="18"/>
              </w:rPr>
            </w:pPr>
          </w:p>
        </w:tc>
      </w:tr>
      <w:tr w14:paraId="3D2F59E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3AB2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 endowment</w:t>
            </w:r>
          </w:p>
        </w:tc>
        <w:tc>
          <w:tcPr>
            <w:tcW w:w="8558" w:type="dxa"/>
            <w:shd w:val="clear" w:color="auto" w:fill="auto"/>
            <w:vAlign w:val="center"/>
            <w:hideMark/>
          </w:tcPr>
          <w:p w:rsidR="00EA2492" w:rsidRPr="00F7311D" w:rsidP="00EA2492" w14:paraId="59DBD3E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held by an institution that must be held in perpetuity with only the income available for use. Endowments are usually the result of a gift or grant received that is required to be held in perpetuity by the donor or granting agency.</w:t>
            </w:r>
          </w:p>
        </w:tc>
        <w:tc>
          <w:tcPr>
            <w:tcW w:w="2097" w:type="dxa"/>
            <w:shd w:val="clear" w:color="auto" w:fill="auto"/>
            <w:vAlign w:val="center"/>
            <w:hideMark/>
          </w:tcPr>
          <w:p w:rsidR="00EA2492" w:rsidRPr="00F7311D" w:rsidP="00EA2492" w14:paraId="615CB8EE" w14:textId="77777777">
            <w:pPr>
              <w:spacing w:after="0" w:line="240" w:lineRule="auto"/>
              <w:rPr>
                <w:rFonts w:ascii="Calibri" w:eastAsia="Times New Roman" w:hAnsi="Calibri" w:cs="Calibri"/>
                <w:color w:val="000000"/>
                <w:sz w:val="18"/>
                <w:szCs w:val="18"/>
              </w:rPr>
            </w:pPr>
          </w:p>
        </w:tc>
      </w:tr>
      <w:tr w14:paraId="3626B8C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C98CBC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Permanently restricted</w:t>
            </w:r>
          </w:p>
        </w:tc>
        <w:tc>
          <w:tcPr>
            <w:tcW w:w="8558" w:type="dxa"/>
            <w:shd w:val="clear" w:color="auto" w:fill="auto"/>
            <w:vAlign w:val="center"/>
            <w:hideMark/>
          </w:tcPr>
          <w:p w:rsidR="00EA2492" w:rsidRPr="00F7311D" w:rsidP="00EA2492" w14:paraId="6CCEA1D4" w14:textId="6DE178AC">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FASB institutions that must be maintained in perpetuity. Permanently restricted net assets increase when institutions receive contributions for which donor-imposed restrictions limiting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use of an asset or its economic benefits neither expire with the passage of time nor can be removed by the organization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meeting certain requirements. Donor-imposed restrictions on the use of the investment income on the assets may also change the amount of such net assets. Permanent endowment funds are the most common example.</w:t>
            </w:r>
          </w:p>
        </w:tc>
        <w:tc>
          <w:tcPr>
            <w:tcW w:w="2097" w:type="dxa"/>
            <w:shd w:val="clear" w:color="auto" w:fill="auto"/>
            <w:vAlign w:val="center"/>
            <w:hideMark/>
          </w:tcPr>
          <w:p w:rsidR="00EA2492" w:rsidRPr="00F7311D" w:rsidP="00EA2492" w14:paraId="4E232A9D" w14:textId="77777777">
            <w:pPr>
              <w:spacing w:after="0" w:line="240" w:lineRule="auto"/>
              <w:rPr>
                <w:rFonts w:ascii="Calibri" w:eastAsia="Times New Roman" w:hAnsi="Calibri" w:cs="Calibri"/>
                <w:color w:val="000000"/>
                <w:sz w:val="18"/>
                <w:szCs w:val="18"/>
              </w:rPr>
            </w:pPr>
          </w:p>
        </w:tc>
      </w:tr>
      <w:tr w14:paraId="3CDD0F5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8A974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assets</w:t>
            </w:r>
          </w:p>
        </w:tc>
        <w:tc>
          <w:tcPr>
            <w:tcW w:w="8558" w:type="dxa"/>
            <w:shd w:val="clear" w:color="auto" w:fill="auto"/>
            <w:vAlign w:val="center"/>
            <w:hideMark/>
          </w:tcPr>
          <w:p w:rsidR="00EA2492" w:rsidRPr="00F7311D" w:rsidP="00EA2492" w14:paraId="0DDA96D3" w14:textId="48503F3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assets consist of land, buildings, improvements, equipment, and library books. Excluded are assets that are part of endowment or other capital fund investments in real estate. Construction in progress is excluded from this total until completed.</w:t>
            </w:r>
          </w:p>
        </w:tc>
        <w:tc>
          <w:tcPr>
            <w:tcW w:w="2097" w:type="dxa"/>
            <w:shd w:val="clear" w:color="auto" w:fill="auto"/>
            <w:vAlign w:val="center"/>
            <w:hideMark/>
          </w:tcPr>
          <w:p w:rsidR="00EA2492" w:rsidRPr="00F7311D" w:rsidP="00EA2492" w14:paraId="15D8E530" w14:textId="77777777">
            <w:pPr>
              <w:spacing w:after="0" w:line="240" w:lineRule="auto"/>
              <w:rPr>
                <w:rFonts w:ascii="Calibri" w:eastAsia="Times New Roman" w:hAnsi="Calibri" w:cs="Calibri"/>
                <w:color w:val="000000"/>
                <w:sz w:val="18"/>
                <w:szCs w:val="18"/>
              </w:rPr>
            </w:pPr>
          </w:p>
        </w:tc>
      </w:tr>
      <w:tr w14:paraId="1F9A504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7A18F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Physical plant indebtedness</w:t>
            </w:r>
          </w:p>
        </w:tc>
        <w:tc>
          <w:tcPr>
            <w:tcW w:w="8558" w:type="dxa"/>
            <w:shd w:val="clear" w:color="auto" w:fill="auto"/>
            <w:vAlign w:val="center"/>
            <w:hideMark/>
          </w:tcPr>
          <w:p w:rsidR="00EA2492" w:rsidRPr="00F7311D" w:rsidP="00EA2492" w14:paraId="5BFA1D38" w14:textId="185912B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Debt incurred in financing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capital assets, including bonds, mortgages, notes, capital leases, and any other outstanding debt that was incurred to acquire, construct, or improve capital assets such as land, buildings, and improvements other than buildings, equipment, and library books. Excludes indebtedness that is part of endowment or other capital fund investments in real estate. Also excludes construction in progress.</w:t>
            </w:r>
          </w:p>
        </w:tc>
        <w:tc>
          <w:tcPr>
            <w:tcW w:w="2097" w:type="dxa"/>
            <w:shd w:val="clear" w:color="auto" w:fill="auto"/>
            <w:vAlign w:val="center"/>
            <w:hideMark/>
          </w:tcPr>
          <w:p w:rsidR="00EA2492" w:rsidRPr="00F7311D" w:rsidP="00EA2492" w14:paraId="253FE754" w14:textId="77777777">
            <w:pPr>
              <w:spacing w:after="0" w:line="240" w:lineRule="auto"/>
              <w:rPr>
                <w:rFonts w:ascii="Calibri" w:eastAsia="Times New Roman" w:hAnsi="Calibri" w:cs="Calibri"/>
                <w:color w:val="000000"/>
                <w:sz w:val="18"/>
                <w:szCs w:val="18"/>
              </w:rPr>
            </w:pPr>
          </w:p>
        </w:tc>
      </w:tr>
      <w:tr w14:paraId="5400DE4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E0616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Placement services for program completers</w:t>
            </w:r>
          </w:p>
        </w:tc>
        <w:tc>
          <w:tcPr>
            <w:tcW w:w="8558" w:type="dxa"/>
            <w:shd w:val="clear" w:color="auto" w:fill="auto"/>
            <w:vAlign w:val="center"/>
            <w:hideMark/>
          </w:tcPr>
          <w:p w:rsidR="00EA2492" w:rsidRPr="00F7311D" w:rsidP="00EA2492" w14:paraId="4AA83E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Assistance for students in evaluating their career alternatives and in obtaining full-time employment upon leaving the institution.</w:t>
            </w:r>
          </w:p>
        </w:tc>
        <w:tc>
          <w:tcPr>
            <w:tcW w:w="2097" w:type="dxa"/>
            <w:shd w:val="clear" w:color="auto" w:fill="auto"/>
            <w:vAlign w:val="center"/>
            <w:hideMark/>
          </w:tcPr>
          <w:p w:rsidR="00EA2492" w:rsidRPr="00F7311D" w:rsidP="00EA2492" w14:paraId="3372BE72" w14:textId="77777777">
            <w:pPr>
              <w:spacing w:after="0" w:line="240" w:lineRule="auto"/>
              <w:rPr>
                <w:rFonts w:ascii="Calibri" w:eastAsia="Times New Roman" w:hAnsi="Calibri" w:cs="Calibri"/>
                <w:color w:val="000000"/>
                <w:sz w:val="18"/>
                <w:szCs w:val="18"/>
              </w:rPr>
            </w:pPr>
          </w:p>
        </w:tc>
      </w:tr>
      <w:tr w14:paraId="058769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5B17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 9/11 GI Bill</w:t>
            </w:r>
          </w:p>
        </w:tc>
        <w:tc>
          <w:tcPr>
            <w:tcW w:w="8558" w:type="dxa"/>
            <w:shd w:val="clear" w:color="auto" w:fill="auto"/>
            <w:vAlign w:val="center"/>
            <w:hideMark/>
          </w:tcPr>
          <w:p w:rsidR="00EA2492" w:rsidRPr="00F7311D" w:rsidP="00EA2492" w14:paraId="01B41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federal education benefit program for veterans, who served on active duty after September 10, 2001. This Department of Veteran Affairs benefit provides up to 36 months of education benefits at an approved institution for the following college costs: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w:t>
            </w:r>
          </w:p>
        </w:tc>
        <w:tc>
          <w:tcPr>
            <w:tcW w:w="2097" w:type="dxa"/>
            <w:shd w:val="clear" w:color="auto" w:fill="auto"/>
            <w:vAlign w:val="center"/>
            <w:hideMark/>
          </w:tcPr>
          <w:p w:rsidR="00EA2492" w:rsidRPr="00F7311D" w:rsidP="00EA2492" w14:paraId="75DB9F9E" w14:textId="77777777">
            <w:pPr>
              <w:spacing w:after="0" w:line="240" w:lineRule="auto"/>
              <w:rPr>
                <w:rFonts w:ascii="Calibri" w:eastAsia="Times New Roman" w:hAnsi="Calibri" w:cs="Calibri"/>
                <w:color w:val="000000"/>
                <w:sz w:val="18"/>
                <w:szCs w:val="18"/>
              </w:rPr>
            </w:pPr>
          </w:p>
        </w:tc>
      </w:tr>
      <w:tr w14:paraId="7495C4D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E698FB" w14:textId="3AFB9B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certificate</w:t>
            </w:r>
          </w:p>
        </w:tc>
        <w:tc>
          <w:tcPr>
            <w:tcW w:w="8558" w:type="dxa"/>
            <w:shd w:val="clear" w:color="auto" w:fill="auto"/>
            <w:vAlign w:val="center"/>
            <w:hideMark/>
          </w:tcPr>
          <w:p w:rsidR="00EA2492" w:rsidRPr="00F7311D" w:rsidP="00EA2492" w14:paraId="4787B458" w14:textId="7783498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beyond the 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but does not meet the requirements of academic degrees at the doctor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level.</w:t>
            </w:r>
          </w:p>
        </w:tc>
        <w:tc>
          <w:tcPr>
            <w:tcW w:w="2097" w:type="dxa"/>
            <w:shd w:val="clear" w:color="auto" w:fill="auto"/>
            <w:vAlign w:val="center"/>
            <w:hideMark/>
          </w:tcPr>
          <w:p w:rsidR="00EA2492" w:rsidRPr="00F7311D" w:rsidP="00EA2492" w14:paraId="3C1E61AC" w14:textId="77777777">
            <w:pPr>
              <w:spacing w:after="0" w:line="240" w:lineRule="auto"/>
              <w:rPr>
                <w:rFonts w:ascii="Calibri" w:eastAsia="Times New Roman" w:hAnsi="Calibri" w:cs="Calibri"/>
                <w:color w:val="000000"/>
                <w:sz w:val="18"/>
                <w:szCs w:val="18"/>
              </w:rPr>
            </w:pPr>
          </w:p>
        </w:tc>
      </w:tr>
      <w:tr w14:paraId="2D6DB4B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AC951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Postbaccalaureate certificate</w:t>
            </w:r>
          </w:p>
        </w:tc>
        <w:tc>
          <w:tcPr>
            <w:tcW w:w="8558" w:type="dxa"/>
            <w:shd w:val="clear" w:color="auto" w:fill="auto"/>
            <w:vAlign w:val="center"/>
            <w:hideMark/>
          </w:tcPr>
          <w:p w:rsidR="00EA2492" w:rsidRPr="00F7311D" w:rsidP="00EA2492" w14:paraId="67E157DE" w14:textId="50B2DEE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beyond the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It is designed for persons who have completed a baccalaureate degree but does not meet the requirements of a master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degree. NOTE: Even though Teacher Preparation certificate programs may require a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degree for admission, they are considered </w:t>
            </w:r>
            <w:r w:rsidRPr="00F7311D">
              <w:rPr>
                <w:rFonts w:ascii="Calibri" w:eastAsia="Times New Roman" w:hAnsi="Calibri" w:cs="Calibri"/>
                <w:color w:val="000000"/>
                <w:sz w:val="18"/>
                <w:szCs w:val="18"/>
              </w:rPr>
              <w:t>subbacalaureate</w:t>
            </w:r>
            <w:r w:rsidRPr="00F7311D">
              <w:rPr>
                <w:rFonts w:ascii="Calibri" w:eastAsia="Times New Roman" w:hAnsi="Calibri" w:cs="Calibri"/>
                <w:color w:val="000000"/>
                <w:sz w:val="18"/>
                <w:szCs w:val="18"/>
              </w:rPr>
              <w:t xml:space="preserve"> undergraduate programs, and students in these programs are undergraduate students.</w:t>
            </w:r>
          </w:p>
        </w:tc>
        <w:tc>
          <w:tcPr>
            <w:tcW w:w="2097" w:type="dxa"/>
            <w:shd w:val="clear" w:color="auto" w:fill="auto"/>
            <w:vAlign w:val="center"/>
            <w:hideMark/>
          </w:tcPr>
          <w:p w:rsidR="00EA2492" w:rsidRPr="00F7311D" w:rsidP="00EA2492" w14:paraId="4AF4D3C9" w14:textId="77777777">
            <w:pPr>
              <w:spacing w:after="0" w:line="240" w:lineRule="auto"/>
              <w:rPr>
                <w:rFonts w:ascii="Calibri" w:eastAsia="Times New Roman" w:hAnsi="Calibri" w:cs="Calibri"/>
                <w:color w:val="000000"/>
                <w:sz w:val="18"/>
                <w:szCs w:val="18"/>
              </w:rPr>
            </w:pPr>
          </w:p>
        </w:tc>
      </w:tr>
      <w:tr w14:paraId="0E4F35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B9A8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(1,800 or more clock hours, 60 or more semester or trimester credit hours, or 90 or more quarter credit hours)</w:t>
            </w:r>
          </w:p>
        </w:tc>
        <w:tc>
          <w:tcPr>
            <w:tcW w:w="8558" w:type="dxa"/>
            <w:shd w:val="clear" w:color="auto" w:fill="auto"/>
            <w:vAlign w:val="center"/>
            <w:hideMark/>
          </w:tcPr>
          <w:p w:rsidR="00EA2492" w:rsidRPr="00F7311D" w:rsidP="00EA2492" w14:paraId="41877A3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designed for completion in 1,800 or more clock hours, or 60 or more semester or trimester credit hours, or 90 or more quarter credit hours. Beginning in 2020-21, references to academic year equivalencies were removed from all levels of </w:t>
            </w:r>
            <w:r w:rsidRPr="00F7311D">
              <w:rPr>
                <w:rFonts w:ascii="Calibri" w:eastAsia="Times New Roman" w:hAnsi="Calibri" w:cs="Calibri"/>
                <w:color w:val="000000"/>
                <w:sz w:val="18"/>
                <w:szCs w:val="18"/>
              </w:rPr>
              <w:t>subbaccalaureate</w:t>
            </w:r>
            <w:r w:rsidRPr="00F7311D">
              <w:rPr>
                <w:rFonts w:ascii="Calibri" w:eastAsia="Times New Roman" w:hAnsi="Calibri" w:cs="Calibri"/>
                <w:color w:val="000000"/>
                <w:sz w:val="18"/>
                <w:szCs w:val="18"/>
              </w:rPr>
              <w:t xml:space="preserve"> certificates.</w:t>
            </w:r>
          </w:p>
        </w:tc>
        <w:tc>
          <w:tcPr>
            <w:tcW w:w="2097" w:type="dxa"/>
            <w:shd w:val="clear" w:color="auto" w:fill="auto"/>
            <w:vAlign w:val="center"/>
            <w:hideMark/>
          </w:tcPr>
          <w:p w:rsidR="00EA2492" w:rsidRPr="00F7311D" w:rsidP="00EA2492" w14:paraId="05685345" w14:textId="77777777">
            <w:pPr>
              <w:spacing w:after="0" w:line="240" w:lineRule="auto"/>
              <w:rPr>
                <w:rFonts w:ascii="Calibri" w:eastAsia="Times New Roman" w:hAnsi="Calibri" w:cs="Calibri"/>
                <w:color w:val="000000"/>
                <w:sz w:val="18"/>
                <w:szCs w:val="18"/>
              </w:rPr>
            </w:pPr>
          </w:p>
        </w:tc>
      </w:tr>
      <w:tr w14:paraId="2B3B799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FD32B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(300-899 clock hours, 9-29 semester or trimester credit hours, or 13-44 quarter credit hours)</w:t>
            </w:r>
          </w:p>
        </w:tc>
        <w:tc>
          <w:tcPr>
            <w:tcW w:w="8558" w:type="dxa"/>
            <w:shd w:val="clear" w:color="auto" w:fill="auto"/>
            <w:vAlign w:val="center"/>
            <w:hideMark/>
          </w:tcPr>
          <w:p w:rsidR="00EA2492" w:rsidRPr="00F7311D" w:rsidP="00EA2492" w14:paraId="333F0FA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at least 300 but less than 900 clock hours, or in at least 9 but less 30 semester or trimester credit hours, or in at least 13 but less than 45 quarter credit hours. Beginning in 2020-21, this award level category was one of two added options for reporting certificates of less than one academic year in length.</w:t>
            </w:r>
          </w:p>
        </w:tc>
        <w:tc>
          <w:tcPr>
            <w:tcW w:w="2097" w:type="dxa"/>
            <w:shd w:val="clear" w:color="auto" w:fill="auto"/>
            <w:vAlign w:val="center"/>
            <w:hideMark/>
          </w:tcPr>
          <w:p w:rsidR="00EA2492" w:rsidRPr="00F7311D" w:rsidP="00EA2492" w14:paraId="1548F714" w14:textId="77777777">
            <w:pPr>
              <w:spacing w:after="0" w:line="240" w:lineRule="auto"/>
              <w:rPr>
                <w:rFonts w:ascii="Calibri" w:eastAsia="Times New Roman" w:hAnsi="Calibri" w:cs="Calibri"/>
                <w:color w:val="000000"/>
                <w:sz w:val="18"/>
                <w:szCs w:val="18"/>
              </w:rPr>
            </w:pPr>
          </w:p>
        </w:tc>
      </w:tr>
      <w:tr w14:paraId="5305451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B40F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(900-1,800 clock hours, 30-60 semester or trimester credit hours, or 45-90 quarter credit hours)</w:t>
            </w:r>
          </w:p>
        </w:tc>
        <w:tc>
          <w:tcPr>
            <w:tcW w:w="8558" w:type="dxa"/>
            <w:shd w:val="clear" w:color="auto" w:fill="auto"/>
            <w:vAlign w:val="center"/>
            <w:hideMark/>
          </w:tcPr>
          <w:p w:rsidR="00EA2492" w:rsidRPr="00F7311D" w:rsidP="00EA2492" w14:paraId="4DBA57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award that requires completion of an organized program of study at the postsecondary level (below the baccalaureate degree) designed for completion in at least 900 but less than 1,800 clock hours, or in at least 30 but less than 60 semester or trimester credit hours, or in at least 45 but less than 90 quarter credit hours. Beginning in 2020-21, references to academic year equivalencies were removed from all levels of </w:t>
            </w:r>
            <w:r w:rsidRPr="00F7311D">
              <w:rPr>
                <w:rFonts w:ascii="Calibri" w:eastAsia="Times New Roman" w:hAnsi="Calibri" w:cs="Calibri"/>
                <w:color w:val="000000"/>
                <w:sz w:val="18"/>
                <w:szCs w:val="18"/>
              </w:rPr>
              <w:t>subbaccalaureate</w:t>
            </w:r>
            <w:r w:rsidRPr="00F7311D">
              <w:rPr>
                <w:rFonts w:ascii="Calibri" w:eastAsia="Times New Roman" w:hAnsi="Calibri" w:cs="Calibri"/>
                <w:color w:val="000000"/>
                <w:sz w:val="18"/>
                <w:szCs w:val="18"/>
              </w:rPr>
              <w:t xml:space="preserve"> certificates.</w:t>
            </w:r>
          </w:p>
        </w:tc>
        <w:tc>
          <w:tcPr>
            <w:tcW w:w="2097" w:type="dxa"/>
            <w:shd w:val="clear" w:color="auto" w:fill="auto"/>
            <w:vAlign w:val="center"/>
            <w:hideMark/>
          </w:tcPr>
          <w:p w:rsidR="00EA2492" w:rsidRPr="00F7311D" w:rsidP="00EA2492" w14:paraId="00C6505A" w14:textId="77777777">
            <w:pPr>
              <w:spacing w:after="0" w:line="240" w:lineRule="auto"/>
              <w:rPr>
                <w:rFonts w:ascii="Calibri" w:eastAsia="Times New Roman" w:hAnsi="Calibri" w:cs="Calibri"/>
                <w:color w:val="000000"/>
                <w:sz w:val="18"/>
                <w:szCs w:val="18"/>
              </w:rPr>
            </w:pPr>
          </w:p>
        </w:tc>
      </w:tr>
      <w:tr w14:paraId="5D7C363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C396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1 but less than 2 academic years) (old definition)</w:t>
            </w:r>
          </w:p>
        </w:tc>
        <w:tc>
          <w:tcPr>
            <w:tcW w:w="8558" w:type="dxa"/>
            <w:shd w:val="clear" w:color="auto" w:fill="auto"/>
            <w:vAlign w:val="center"/>
            <w:hideMark/>
          </w:tcPr>
          <w:p w:rsidR="00EA2492" w:rsidRPr="00F7311D" w:rsidP="00EA2492" w14:paraId="104FC3AC" w14:textId="24AD287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at least 1 but less than 2 full-time equivalent academic years, or designed for completion in at least 30 but less than 60 semester or trimester credit hours, or in at least 45 but less than 90 quarter credit hours, or in at least 900 but less than 1,800 clock hours.</w:t>
            </w:r>
          </w:p>
        </w:tc>
        <w:tc>
          <w:tcPr>
            <w:tcW w:w="2097" w:type="dxa"/>
            <w:shd w:val="clear" w:color="auto" w:fill="auto"/>
            <w:vAlign w:val="center"/>
            <w:hideMark/>
          </w:tcPr>
          <w:p w:rsidR="00EA2492" w:rsidRPr="00F7311D" w:rsidP="00EA2492" w14:paraId="5F12560E" w14:textId="77777777">
            <w:pPr>
              <w:spacing w:after="0" w:line="240" w:lineRule="auto"/>
              <w:rPr>
                <w:rFonts w:ascii="Calibri" w:eastAsia="Times New Roman" w:hAnsi="Calibri" w:cs="Calibri"/>
                <w:color w:val="000000"/>
                <w:sz w:val="18"/>
                <w:szCs w:val="18"/>
              </w:rPr>
            </w:pPr>
          </w:p>
        </w:tc>
      </w:tr>
      <w:tr w14:paraId="0D2361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139D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(at least 2 but less than 4 academic years) (old definition)</w:t>
            </w:r>
          </w:p>
        </w:tc>
        <w:tc>
          <w:tcPr>
            <w:tcW w:w="8558" w:type="dxa"/>
            <w:shd w:val="clear" w:color="auto" w:fill="auto"/>
            <w:vAlign w:val="center"/>
            <w:hideMark/>
          </w:tcPr>
          <w:p w:rsidR="00EA2492" w:rsidRPr="00F7311D" w:rsidP="00EA2492" w14:paraId="23D04E32" w14:textId="2F45A3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at least 2 but less than 4 full-time equivalent academic years, or designed for completion in at least 60 but less than 120 semester or trimester credit hours, or in at least 90 but less than 180 quarter credit hours, or in at least 1,800 but less than 3,600 clock hours.</w:t>
            </w:r>
          </w:p>
        </w:tc>
        <w:tc>
          <w:tcPr>
            <w:tcW w:w="2097" w:type="dxa"/>
            <w:shd w:val="clear" w:color="auto" w:fill="auto"/>
            <w:vAlign w:val="center"/>
            <w:hideMark/>
          </w:tcPr>
          <w:p w:rsidR="00EA2492" w:rsidRPr="00F7311D" w:rsidP="00EA2492" w14:paraId="095496A1" w14:textId="77777777">
            <w:pPr>
              <w:spacing w:after="0" w:line="240" w:lineRule="auto"/>
              <w:rPr>
                <w:rFonts w:ascii="Calibri" w:eastAsia="Times New Roman" w:hAnsi="Calibri" w:cs="Calibri"/>
                <w:color w:val="000000"/>
                <w:sz w:val="18"/>
                <w:szCs w:val="18"/>
              </w:rPr>
            </w:pPr>
          </w:p>
        </w:tc>
      </w:tr>
      <w:tr w14:paraId="730760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16F16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1 academic year) (old definition)</w:t>
            </w:r>
          </w:p>
        </w:tc>
        <w:tc>
          <w:tcPr>
            <w:tcW w:w="8558" w:type="dxa"/>
            <w:shd w:val="clear" w:color="auto" w:fill="auto"/>
            <w:vAlign w:val="center"/>
            <w:hideMark/>
          </w:tcPr>
          <w:p w:rsidR="00EA2492" w:rsidRPr="00F7311D" w:rsidP="00EA2492" w14:paraId="3DCF289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in less than 1 academic year (2 semesters or 3 quarters), or designed for completion in less than 30 semester or trimester credit hours, or in less than 45 quarter credit hours, or in less than 900 clock hours.</w:t>
            </w:r>
          </w:p>
        </w:tc>
        <w:tc>
          <w:tcPr>
            <w:tcW w:w="2097" w:type="dxa"/>
            <w:shd w:val="clear" w:color="auto" w:fill="auto"/>
            <w:vAlign w:val="center"/>
            <w:hideMark/>
          </w:tcPr>
          <w:p w:rsidR="00EA2492" w:rsidRPr="00F7311D" w:rsidP="00EA2492" w14:paraId="4F546083" w14:textId="77777777">
            <w:pPr>
              <w:spacing w:after="0" w:line="240" w:lineRule="auto"/>
              <w:rPr>
                <w:rFonts w:ascii="Calibri" w:eastAsia="Times New Roman" w:hAnsi="Calibri" w:cs="Calibri"/>
                <w:color w:val="000000"/>
                <w:sz w:val="18"/>
                <w:szCs w:val="18"/>
              </w:rPr>
            </w:pPr>
          </w:p>
        </w:tc>
      </w:tr>
      <w:tr w14:paraId="10FF2E5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0634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award, certificate, or diploma (less than 300 clock hours, 9 semester or trimester credit hours, or 13 quarter credit hours)</w:t>
            </w:r>
          </w:p>
        </w:tc>
        <w:tc>
          <w:tcPr>
            <w:tcW w:w="8558" w:type="dxa"/>
            <w:shd w:val="clear" w:color="auto" w:fill="auto"/>
            <w:vAlign w:val="center"/>
            <w:hideMark/>
          </w:tcPr>
          <w:p w:rsidR="00EA2492" w:rsidRPr="00F7311D" w:rsidP="00EA2492" w14:paraId="720E6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award that requires completion of an organized program of study at the postsecondary level (below the baccalaureate degree) designed for completion in less than 300 clock hours, or in less than 9 semester or trimester credit hours, or less than 13 quarter credit hours. Beginning in 2020-21, this award level category was one of two added options for reporting certificates of less than one academic year in length.</w:t>
            </w:r>
          </w:p>
        </w:tc>
        <w:tc>
          <w:tcPr>
            <w:tcW w:w="2097" w:type="dxa"/>
            <w:shd w:val="clear" w:color="auto" w:fill="auto"/>
            <w:vAlign w:val="center"/>
            <w:hideMark/>
          </w:tcPr>
          <w:p w:rsidR="00EA2492" w:rsidRPr="00F7311D" w:rsidP="00EA2492" w14:paraId="2ECD31E0" w14:textId="77777777">
            <w:pPr>
              <w:spacing w:after="0" w:line="240" w:lineRule="auto"/>
              <w:rPr>
                <w:rFonts w:ascii="Calibri" w:eastAsia="Times New Roman" w:hAnsi="Calibri" w:cs="Calibri"/>
                <w:color w:val="000000"/>
                <w:sz w:val="18"/>
                <w:szCs w:val="18"/>
              </w:rPr>
            </w:pPr>
          </w:p>
        </w:tc>
      </w:tr>
      <w:tr w14:paraId="0FC047E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A0F8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w:t>
            </w:r>
          </w:p>
        </w:tc>
        <w:tc>
          <w:tcPr>
            <w:tcW w:w="8558" w:type="dxa"/>
            <w:shd w:val="clear" w:color="auto" w:fill="auto"/>
            <w:vAlign w:val="center"/>
            <w:hideMark/>
          </w:tcPr>
          <w:p w:rsidR="00EA2492" w:rsidRPr="00F7311D" w:rsidP="00EA2492" w14:paraId="4272B17D" w14:textId="239B113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provision of a formal instructional program whose curriculum is designed primarily for students who are beyond the compulsory age for high school. This includes programs whose purpose is academic, vocational, and continuing professional education, and excludes avocational and adult basic education programs.</w:t>
            </w:r>
          </w:p>
        </w:tc>
        <w:tc>
          <w:tcPr>
            <w:tcW w:w="2097" w:type="dxa"/>
            <w:shd w:val="clear" w:color="auto" w:fill="auto"/>
            <w:vAlign w:val="center"/>
            <w:hideMark/>
          </w:tcPr>
          <w:p w:rsidR="00EA2492" w:rsidRPr="00F7311D" w:rsidP="00EA2492" w14:paraId="450FF1E9" w14:textId="77777777">
            <w:pPr>
              <w:spacing w:after="0" w:line="240" w:lineRule="auto"/>
              <w:rPr>
                <w:rFonts w:ascii="Calibri" w:eastAsia="Times New Roman" w:hAnsi="Calibri" w:cs="Calibri"/>
                <w:color w:val="000000"/>
                <w:sz w:val="18"/>
                <w:szCs w:val="18"/>
              </w:rPr>
            </w:pPr>
          </w:p>
        </w:tc>
      </w:tr>
      <w:tr w14:paraId="1A3409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92E44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education institution</w:t>
            </w:r>
          </w:p>
        </w:tc>
        <w:tc>
          <w:tcPr>
            <w:tcW w:w="8558" w:type="dxa"/>
            <w:shd w:val="clear" w:color="auto" w:fill="auto"/>
            <w:vAlign w:val="center"/>
            <w:hideMark/>
          </w:tcPr>
          <w:p w:rsidR="00EA2492" w:rsidRPr="00F7311D" w:rsidP="00EA2492" w14:paraId="444C21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 which has as its sole purpose or one of its primary missions, the provision of postsecondary education.</w:t>
            </w:r>
          </w:p>
        </w:tc>
        <w:tc>
          <w:tcPr>
            <w:tcW w:w="2097" w:type="dxa"/>
            <w:shd w:val="clear" w:color="auto" w:fill="auto"/>
            <w:vAlign w:val="center"/>
            <w:hideMark/>
          </w:tcPr>
          <w:p w:rsidR="00EA2492" w:rsidRPr="00F7311D" w:rsidP="00EA2492" w14:paraId="37A39912" w14:textId="77777777">
            <w:pPr>
              <w:spacing w:after="0" w:line="240" w:lineRule="auto"/>
              <w:rPr>
                <w:rFonts w:ascii="Calibri" w:eastAsia="Times New Roman" w:hAnsi="Calibri" w:cs="Calibri"/>
                <w:color w:val="000000"/>
                <w:sz w:val="18"/>
                <w:szCs w:val="18"/>
              </w:rPr>
            </w:pPr>
          </w:p>
        </w:tc>
      </w:tr>
      <w:tr w14:paraId="4467BD4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96500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Statistics Division (PSD)</w:t>
            </w:r>
          </w:p>
        </w:tc>
        <w:tc>
          <w:tcPr>
            <w:tcW w:w="8558" w:type="dxa"/>
            <w:shd w:val="clear" w:color="auto" w:fill="auto"/>
            <w:vAlign w:val="center"/>
            <w:hideMark/>
          </w:tcPr>
          <w:p w:rsidR="00EA2492" w:rsidRPr="00F7311D" w:rsidP="00EA2492" w14:paraId="12DBA9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Postsecondary Statistics Division (PSD) is the organizational unit within the National Center for Education Statistics (NCES) where IPEDS is conducted.</w:t>
            </w:r>
          </w:p>
        </w:tc>
        <w:tc>
          <w:tcPr>
            <w:tcW w:w="2097" w:type="dxa"/>
            <w:shd w:val="clear" w:color="auto" w:fill="auto"/>
            <w:vAlign w:val="center"/>
            <w:hideMark/>
          </w:tcPr>
          <w:p w:rsidR="00EA2492" w:rsidRPr="00F7311D" w:rsidP="00EA2492" w14:paraId="1005AA6C" w14:textId="77777777">
            <w:pPr>
              <w:spacing w:after="0" w:line="240" w:lineRule="auto"/>
              <w:rPr>
                <w:rFonts w:ascii="Calibri" w:eastAsia="Times New Roman" w:hAnsi="Calibri" w:cs="Calibri"/>
                <w:color w:val="000000"/>
                <w:sz w:val="18"/>
                <w:szCs w:val="18"/>
              </w:rPr>
            </w:pPr>
          </w:p>
        </w:tc>
      </w:tr>
      <w:tr w14:paraId="2C0AF2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AD581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Postsecondary Teachers</w:t>
            </w:r>
          </w:p>
        </w:tc>
        <w:tc>
          <w:tcPr>
            <w:tcW w:w="8558" w:type="dxa"/>
            <w:shd w:val="clear" w:color="auto" w:fill="auto"/>
            <w:vAlign w:val="center"/>
            <w:hideMark/>
          </w:tcPr>
          <w:p w:rsidR="00EA2492" w:rsidRPr="00F7311D" w:rsidP="00EA2492" w14:paraId="4BD0E9E9" w14:textId="68C7AA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in the 2018 Standard Occupational Classification (SOC) Manual with the SOC code 25-1000. This category is not an IPEDS reporting category.</w:t>
            </w:r>
          </w:p>
        </w:tc>
        <w:tc>
          <w:tcPr>
            <w:tcW w:w="2097" w:type="dxa"/>
            <w:shd w:val="clear" w:color="auto" w:fill="auto"/>
            <w:vAlign w:val="center"/>
            <w:hideMark/>
          </w:tcPr>
          <w:p w:rsidR="00EA2492" w:rsidRPr="00F7311D" w:rsidP="00EA2492" w14:paraId="28AA65AA" w14:textId="77777777">
            <w:pPr>
              <w:spacing w:after="0" w:line="240" w:lineRule="auto"/>
              <w:rPr>
                <w:rFonts w:ascii="Calibri" w:eastAsia="Times New Roman" w:hAnsi="Calibri" w:cs="Calibri"/>
                <w:color w:val="000000"/>
                <w:sz w:val="18"/>
                <w:szCs w:val="18"/>
              </w:rPr>
            </w:pPr>
          </w:p>
        </w:tc>
      </w:tr>
      <w:tr w14:paraId="6A7F589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AFED2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Predominant calendar system</w:t>
            </w:r>
          </w:p>
        </w:tc>
        <w:tc>
          <w:tcPr>
            <w:tcW w:w="8558" w:type="dxa"/>
            <w:shd w:val="clear" w:color="auto" w:fill="auto"/>
            <w:vAlign w:val="center"/>
            <w:hideMark/>
          </w:tcPr>
          <w:p w:rsidR="00EA2492" w:rsidRPr="00F7311D" w:rsidP="00EA2492" w14:paraId="5CEA30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method by which an institution structures most of its courses for the academic year.</w:t>
            </w:r>
          </w:p>
        </w:tc>
        <w:tc>
          <w:tcPr>
            <w:tcW w:w="2097" w:type="dxa"/>
            <w:shd w:val="clear" w:color="auto" w:fill="auto"/>
            <w:vAlign w:val="center"/>
            <w:hideMark/>
          </w:tcPr>
          <w:p w:rsidR="00EA2492" w:rsidRPr="00F7311D" w:rsidP="00EA2492" w14:paraId="1F5A691E" w14:textId="77777777">
            <w:pPr>
              <w:spacing w:after="0" w:line="240" w:lineRule="auto"/>
              <w:rPr>
                <w:rFonts w:ascii="Calibri" w:eastAsia="Times New Roman" w:hAnsi="Calibri" w:cs="Calibri"/>
                <w:color w:val="000000"/>
                <w:sz w:val="18"/>
                <w:szCs w:val="18"/>
              </w:rPr>
            </w:pPr>
          </w:p>
        </w:tc>
      </w:tr>
      <w:tr w14:paraId="547FB9F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275CD7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Prepaid tuition plan</w:t>
            </w:r>
          </w:p>
        </w:tc>
        <w:tc>
          <w:tcPr>
            <w:tcW w:w="8558" w:type="dxa"/>
            <w:shd w:val="clear" w:color="auto" w:fill="auto"/>
            <w:vAlign w:val="center"/>
            <w:hideMark/>
          </w:tcPr>
          <w:p w:rsidR="00EA2492" w:rsidRPr="00F7311D" w:rsidP="00EA2492" w14:paraId="6C58A5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or their families to purchase college tuition or tuition credits for future years, at current prices.</w:t>
            </w:r>
          </w:p>
        </w:tc>
        <w:tc>
          <w:tcPr>
            <w:tcW w:w="2097" w:type="dxa"/>
            <w:shd w:val="clear" w:color="auto" w:fill="auto"/>
            <w:vAlign w:val="center"/>
            <w:hideMark/>
          </w:tcPr>
          <w:p w:rsidR="00EA2492" w:rsidRPr="00F7311D" w:rsidP="00EA2492" w14:paraId="1FD1F3B9" w14:textId="77777777">
            <w:pPr>
              <w:spacing w:after="0" w:line="240" w:lineRule="auto"/>
              <w:rPr>
                <w:rFonts w:ascii="Calibri" w:eastAsia="Times New Roman" w:hAnsi="Calibri" w:cs="Calibri"/>
                <w:color w:val="000000"/>
                <w:sz w:val="18"/>
                <w:szCs w:val="18"/>
              </w:rPr>
            </w:pPr>
          </w:p>
        </w:tc>
      </w:tr>
      <w:tr w14:paraId="6008149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30E876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Preservation</w:t>
            </w:r>
          </w:p>
        </w:tc>
        <w:tc>
          <w:tcPr>
            <w:tcW w:w="8558" w:type="dxa"/>
            <w:shd w:val="clear" w:color="auto" w:fill="auto"/>
            <w:vAlign w:val="center"/>
            <w:hideMark/>
          </w:tcPr>
          <w:p w:rsidR="00EA2492" w:rsidRPr="00F7311D" w:rsidP="00EA2492" w14:paraId="1F6C93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Activities associated with maintain library and archival materials for use in their original form or some other usable way. Examples include rebinding, de-acidification, restoration, lamination, materials conservation and digitization.</w:t>
            </w:r>
          </w:p>
        </w:tc>
        <w:tc>
          <w:tcPr>
            <w:tcW w:w="2097" w:type="dxa"/>
            <w:shd w:val="clear" w:color="auto" w:fill="auto"/>
            <w:vAlign w:val="center"/>
            <w:hideMark/>
          </w:tcPr>
          <w:p w:rsidR="00EA2492" w:rsidRPr="00F7311D" w:rsidP="00EA2492" w14:paraId="2353C70D" w14:textId="77777777">
            <w:pPr>
              <w:spacing w:after="0" w:line="240" w:lineRule="auto"/>
              <w:rPr>
                <w:rFonts w:ascii="Calibri" w:eastAsia="Times New Roman" w:hAnsi="Calibri" w:cs="Calibri"/>
                <w:color w:val="000000"/>
                <w:sz w:val="18"/>
                <w:szCs w:val="18"/>
              </w:rPr>
            </w:pPr>
          </w:p>
        </w:tc>
      </w:tr>
      <w:tr w14:paraId="7948D47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09C6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Primarily Instruction</w:t>
            </w:r>
          </w:p>
        </w:tc>
        <w:tc>
          <w:tcPr>
            <w:tcW w:w="8558" w:type="dxa"/>
            <w:shd w:val="clear" w:color="auto" w:fill="auto"/>
            <w:vAlign w:val="center"/>
            <w:hideMark/>
          </w:tcPr>
          <w:p w:rsidR="00EA2492" w:rsidRPr="00F7311D" w:rsidP="00EA2492" w14:paraId="5F03D14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used to classify persons whose specific assignments customarily are made for the purpose of providing instruction or teaching. Regardless of title, academic rank, or tenure status, these employees formally spend the majority of their time providing instruction or teaching.</w:t>
            </w:r>
          </w:p>
        </w:tc>
        <w:tc>
          <w:tcPr>
            <w:tcW w:w="2097" w:type="dxa"/>
            <w:shd w:val="clear" w:color="auto" w:fill="auto"/>
            <w:vAlign w:val="center"/>
            <w:hideMark/>
          </w:tcPr>
          <w:p w:rsidR="00EA2492" w:rsidRPr="00F7311D" w:rsidP="00EA2492" w14:paraId="3081A94E" w14:textId="77777777">
            <w:pPr>
              <w:spacing w:after="0" w:line="240" w:lineRule="auto"/>
              <w:rPr>
                <w:rFonts w:ascii="Calibri" w:eastAsia="Times New Roman" w:hAnsi="Calibri" w:cs="Calibri"/>
                <w:color w:val="000000"/>
                <w:sz w:val="18"/>
                <w:szCs w:val="18"/>
              </w:rPr>
            </w:pPr>
          </w:p>
        </w:tc>
      </w:tr>
      <w:tr w14:paraId="561EE1B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A0D11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Primary occupational activity</w:t>
            </w:r>
          </w:p>
        </w:tc>
        <w:tc>
          <w:tcPr>
            <w:tcW w:w="8558" w:type="dxa"/>
            <w:shd w:val="clear" w:color="auto" w:fill="auto"/>
            <w:vAlign w:val="center"/>
            <w:hideMark/>
          </w:tcPr>
          <w:p w:rsidR="00EA2492" w:rsidRPr="00F7311D" w:rsidP="00EA2492" w14:paraId="62544F47" w14:textId="31007F6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principal activity of a staff member as determined by the institution. If an individual participates in two or more activities, the primary activity is normally determined by the amount of time spent in each activity. Occupational activities are designated as follows: Executive, administrative, and managerial; Faculty (instruction/research/public service); Graduate assistants; Other professional (support/service); Technical and paraprofessional; Clerical and secretarial; Skilled crafts; and Service/maintenance (see separate definitions). (Term used in the IPEDS HR survey component prior to 2012-13)</w:t>
            </w:r>
          </w:p>
        </w:tc>
        <w:tc>
          <w:tcPr>
            <w:tcW w:w="2097" w:type="dxa"/>
            <w:shd w:val="clear" w:color="auto" w:fill="auto"/>
            <w:vAlign w:val="center"/>
            <w:hideMark/>
          </w:tcPr>
          <w:p w:rsidR="00EA2492" w:rsidRPr="00F7311D" w:rsidP="00EA2492" w14:paraId="5772471C" w14:textId="77777777">
            <w:pPr>
              <w:spacing w:after="0" w:line="240" w:lineRule="auto"/>
              <w:rPr>
                <w:rFonts w:ascii="Calibri" w:eastAsia="Times New Roman" w:hAnsi="Calibri" w:cs="Calibri"/>
                <w:color w:val="000000"/>
                <w:sz w:val="18"/>
                <w:szCs w:val="18"/>
              </w:rPr>
            </w:pPr>
          </w:p>
        </w:tc>
      </w:tr>
      <w:tr w14:paraId="35BC5A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9C66D4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w:t>
            </w:r>
          </w:p>
        </w:tc>
        <w:tc>
          <w:tcPr>
            <w:tcW w:w="8558" w:type="dxa"/>
            <w:shd w:val="clear" w:color="auto" w:fill="auto"/>
            <w:vAlign w:val="center"/>
            <w:hideMark/>
          </w:tcPr>
          <w:p w:rsidR="00EA2492" w:rsidRPr="00F7311D" w:rsidP="00EA2492" w14:paraId="4C5ABB9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compensation other than wages, rent, or other expenses for the assumption of risk.</w:t>
            </w:r>
          </w:p>
        </w:tc>
        <w:tc>
          <w:tcPr>
            <w:tcW w:w="2097" w:type="dxa"/>
            <w:shd w:val="clear" w:color="auto" w:fill="auto"/>
            <w:vAlign w:val="center"/>
            <w:hideMark/>
          </w:tcPr>
          <w:p w:rsidR="00EA2492" w:rsidRPr="00F7311D" w:rsidP="00EA2492" w14:paraId="4FDB93A7" w14:textId="689085A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institution, Private not-for-profit institution, Public institution</w:t>
            </w:r>
          </w:p>
        </w:tc>
      </w:tr>
      <w:tr w14:paraId="55C9E27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5F89668" w14:textId="4C1DD9E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w:t>
            </w:r>
            <w:r w:rsidR="00B91E83">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shd w:val="clear" w:color="auto" w:fill="auto"/>
            <w:vAlign w:val="center"/>
            <w:hideMark/>
          </w:tcPr>
          <w:p w:rsidR="00EA2492" w:rsidRPr="00F7311D" w:rsidP="00EA2492" w14:paraId="7CAECD9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including revenues received from gift or contribution nonexchange transactions (including contributed services) except those from affiliated entities.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w:t>
            </w:r>
          </w:p>
        </w:tc>
        <w:tc>
          <w:tcPr>
            <w:tcW w:w="2097" w:type="dxa"/>
            <w:shd w:val="clear" w:color="auto" w:fill="auto"/>
            <w:vAlign w:val="center"/>
            <w:hideMark/>
          </w:tcPr>
          <w:p w:rsidR="00EA2492" w:rsidRPr="00F7311D" w:rsidP="00EA2492" w14:paraId="591355A8" w14:textId="77777777">
            <w:pPr>
              <w:spacing w:after="0" w:line="240" w:lineRule="auto"/>
              <w:rPr>
                <w:rFonts w:ascii="Calibri" w:eastAsia="Times New Roman" w:hAnsi="Calibri" w:cs="Calibri"/>
                <w:color w:val="000000"/>
                <w:sz w:val="18"/>
                <w:szCs w:val="18"/>
              </w:rPr>
            </w:pPr>
          </w:p>
        </w:tc>
      </w:tr>
      <w:tr w14:paraId="5C98C23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0230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gifts, grants and contracts (revenues)</w:t>
            </w:r>
          </w:p>
        </w:tc>
        <w:tc>
          <w:tcPr>
            <w:tcW w:w="8558" w:type="dxa"/>
            <w:shd w:val="clear" w:color="auto" w:fill="auto"/>
            <w:vAlign w:val="center"/>
            <w:hideMark/>
          </w:tcPr>
          <w:p w:rsidR="00EA2492" w:rsidRPr="00F7311D" w:rsidP="00EA2492" w14:paraId="181E75D7" w14:textId="2AD0F647">
            <w:pPr>
              <w:spacing w:after="0" w:line="240" w:lineRule="auto"/>
              <w:rPr>
                <w:rFonts w:ascii="Calibri" w:eastAsia="Times New Roman" w:hAnsi="Calibri" w:cs="Calibri"/>
                <w:color w:val="000000"/>
                <w:sz w:val="18"/>
                <w:szCs w:val="18"/>
              </w:rPr>
            </w:pPr>
            <w:r w:rsidRPr="47E59BC4">
              <w:rPr>
                <w:rFonts w:ascii="Calibri" w:eastAsia="Times New Roman" w:hAnsi="Calibri" w:cs="Calibri"/>
                <w:color w:val="000000" w:themeColor="text1"/>
                <w:sz w:val="18"/>
                <w:szCs w:val="18"/>
              </w:rPr>
              <w:t>Revenues from private donors for which no legal consideration is involved and from private contracts for specific goods and services provided to the funder as stipulation for receipt of the funds. Includes only those gifts, grants, and contracts that are directly related to instruction, research, public service, or other institutional purposes. Includes monies received as a result of gifts, grants, or contracts from a foreign government. Also includes the estimated dollar amount of contributed services.</w:t>
            </w:r>
          </w:p>
        </w:tc>
        <w:tc>
          <w:tcPr>
            <w:tcW w:w="2097" w:type="dxa"/>
            <w:shd w:val="clear" w:color="auto" w:fill="auto"/>
            <w:vAlign w:val="center"/>
            <w:hideMark/>
          </w:tcPr>
          <w:p w:rsidR="00EA2492" w:rsidRPr="00F7311D" w:rsidP="00EA2492" w14:paraId="639B6C5B" w14:textId="77777777">
            <w:pPr>
              <w:spacing w:after="0" w:line="240" w:lineRule="auto"/>
              <w:rPr>
                <w:rFonts w:ascii="Calibri" w:eastAsia="Times New Roman" w:hAnsi="Calibri" w:cs="Calibri"/>
                <w:color w:val="000000"/>
                <w:sz w:val="18"/>
                <w:szCs w:val="18"/>
              </w:rPr>
            </w:pPr>
          </w:p>
        </w:tc>
      </w:tr>
      <w:tr w14:paraId="0112FE1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B5E9130" w14:textId="1F2F0AA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grants and contracts (</w:t>
            </w:r>
            <w:r w:rsidR="00B91E83">
              <w:rPr>
                <w:rFonts w:ascii="Calibri" w:eastAsia="Times New Roman" w:hAnsi="Calibri" w:cs="Calibri"/>
                <w:color w:val="000000"/>
                <w:sz w:val="18"/>
                <w:szCs w:val="18"/>
              </w:rPr>
              <w:t>r</w:t>
            </w:r>
            <w:r w:rsidRPr="00F7311D">
              <w:rPr>
                <w:rFonts w:ascii="Calibri" w:eastAsia="Times New Roman" w:hAnsi="Calibri" w:cs="Calibri"/>
                <w:color w:val="000000"/>
                <w:sz w:val="18"/>
                <w:szCs w:val="18"/>
              </w:rPr>
              <w:t>evenues)</w:t>
            </w:r>
          </w:p>
        </w:tc>
        <w:tc>
          <w:tcPr>
            <w:tcW w:w="8558" w:type="dxa"/>
            <w:shd w:val="clear" w:color="auto" w:fill="auto"/>
            <w:vAlign w:val="center"/>
            <w:hideMark/>
          </w:tcPr>
          <w:p w:rsidR="00EA2492" w:rsidRPr="00F7311D" w:rsidP="00EA2492" w14:paraId="25F4D1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w:t>
            </w:r>
          </w:p>
        </w:tc>
        <w:tc>
          <w:tcPr>
            <w:tcW w:w="2097" w:type="dxa"/>
            <w:shd w:val="clear" w:color="auto" w:fill="auto"/>
            <w:vAlign w:val="center"/>
            <w:hideMark/>
          </w:tcPr>
          <w:p w:rsidR="00EA2492" w:rsidRPr="00F7311D" w:rsidP="00EA2492" w14:paraId="3C256150" w14:textId="77777777">
            <w:pPr>
              <w:spacing w:after="0" w:line="240" w:lineRule="auto"/>
              <w:rPr>
                <w:rFonts w:ascii="Calibri" w:eastAsia="Times New Roman" w:hAnsi="Calibri" w:cs="Calibri"/>
                <w:color w:val="000000"/>
                <w:sz w:val="18"/>
                <w:szCs w:val="18"/>
              </w:rPr>
            </w:pPr>
          </w:p>
        </w:tc>
      </w:tr>
      <w:tr w14:paraId="3F2C7B2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0AADC3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institution</w:t>
            </w:r>
          </w:p>
        </w:tc>
        <w:tc>
          <w:tcPr>
            <w:tcW w:w="8558" w:type="dxa"/>
            <w:shd w:val="clear" w:color="auto" w:fill="auto"/>
            <w:vAlign w:val="center"/>
            <w:hideMark/>
          </w:tcPr>
          <w:p w:rsidR="00EA2492" w:rsidRPr="00F7311D" w:rsidP="00EA2492" w14:paraId="45CF5A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educational institution controlled by a private individual(s) or by a nongovernmental agency, usually supported primarily by other than public funds, and operated by other than publicly elected or appointed officials. These institutions may be either for-profit or not-for-profit.</w:t>
            </w:r>
          </w:p>
        </w:tc>
        <w:tc>
          <w:tcPr>
            <w:tcW w:w="2097" w:type="dxa"/>
            <w:shd w:val="clear" w:color="auto" w:fill="auto"/>
            <w:vAlign w:val="center"/>
            <w:hideMark/>
          </w:tcPr>
          <w:p w:rsidR="00EA2492" w:rsidRPr="00F7311D" w:rsidP="00EA2492" w14:paraId="3EBEF792" w14:textId="3BB1297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not-for-profit institution, Public institution</w:t>
            </w:r>
          </w:p>
        </w:tc>
      </w:tr>
      <w:tr w14:paraId="2BA8F63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7C415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not-for-profit institution</w:t>
            </w:r>
          </w:p>
        </w:tc>
        <w:tc>
          <w:tcPr>
            <w:tcW w:w="8558" w:type="dxa"/>
            <w:shd w:val="clear" w:color="auto" w:fill="auto"/>
            <w:vAlign w:val="center"/>
            <w:hideMark/>
          </w:tcPr>
          <w:p w:rsidR="00EA2492" w:rsidRPr="00F7311D" w:rsidP="00EA2492" w14:paraId="41E42B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private institution in which the individual(s) or agency in control receives no compensation, other than wages, rent, or other expenses for the assumption of risk. These include both independent not-for-profit schools and those affiliated with a religious organization.</w:t>
            </w:r>
          </w:p>
        </w:tc>
        <w:tc>
          <w:tcPr>
            <w:tcW w:w="2097" w:type="dxa"/>
            <w:shd w:val="clear" w:color="auto" w:fill="auto"/>
            <w:vAlign w:val="center"/>
            <w:hideMark/>
          </w:tcPr>
          <w:p w:rsidR="00EA2492" w:rsidRPr="00F7311D" w:rsidP="00EA2492" w14:paraId="69743F30" w14:textId="443F1E72">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institution, Public institution</w:t>
            </w:r>
          </w:p>
        </w:tc>
      </w:tr>
      <w:tr w14:paraId="324F9D4C" w14:textId="77777777" w:rsidTr="0036249A">
        <w:tblPrEx>
          <w:tblW w:w="13616" w:type="dxa"/>
          <w:tblLook w:val="04A0"/>
        </w:tblPrEx>
        <w:trPr>
          <w:trHeight w:val="20"/>
        </w:trPr>
        <w:tc>
          <w:tcPr>
            <w:tcW w:w="2961" w:type="dxa"/>
            <w:shd w:val="clear" w:color="auto" w:fill="auto"/>
            <w:vAlign w:val="center"/>
          </w:tcPr>
          <w:p w:rsidR="00B70360" w:rsidRPr="002515CF" w:rsidP="00EA2492" w14:paraId="677DDB53" w14:textId="614C9EA7">
            <w:pPr>
              <w:spacing w:after="0" w:line="240" w:lineRule="auto"/>
              <w:rPr>
                <w:rFonts w:ascii="Calibri" w:eastAsia="Times New Roman" w:hAnsi="Calibri" w:cs="Calibri"/>
                <w:sz w:val="18"/>
                <w:szCs w:val="18"/>
              </w:rPr>
            </w:pPr>
            <w:bookmarkStart w:id="4" w:name="_Hlk103085258"/>
            <w:r w:rsidRPr="002515CF">
              <w:rPr>
                <w:rFonts w:ascii="Calibri" w:eastAsia="Times New Roman" w:hAnsi="Calibri" w:cs="Calibri"/>
                <w:sz w:val="18"/>
                <w:szCs w:val="18"/>
              </w:rPr>
              <w:t>Promise Program</w:t>
            </w:r>
          </w:p>
        </w:tc>
        <w:tc>
          <w:tcPr>
            <w:tcW w:w="8558" w:type="dxa"/>
            <w:shd w:val="clear" w:color="auto" w:fill="auto"/>
            <w:vAlign w:val="center"/>
          </w:tcPr>
          <w:p w:rsidR="00B70360" w:rsidRPr="002515CF" w:rsidP="00EA2492" w14:paraId="6253EB7F" w14:textId="3F446F52">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Residency-based s</w:t>
            </w:r>
            <w:r w:rsidRPr="002515CF">
              <w:rPr>
                <w:rFonts w:ascii="Calibri" w:eastAsia="Times New Roman" w:hAnsi="Calibri" w:cs="Calibri"/>
                <w:sz w:val="18"/>
                <w:szCs w:val="18"/>
              </w:rPr>
              <w:t xml:space="preserve">cholarship programs for high school graduates at </w:t>
            </w:r>
            <w:r w:rsidRPr="002515CF">
              <w:rPr>
                <w:rFonts w:ascii="Calibri" w:eastAsia="Times New Roman" w:hAnsi="Calibri" w:cs="Calibri"/>
                <w:sz w:val="18"/>
                <w:szCs w:val="18"/>
              </w:rPr>
              <w:t>selected p</w:t>
            </w:r>
            <w:r w:rsidRPr="002515CF">
              <w:rPr>
                <w:rFonts w:ascii="Calibri" w:eastAsia="Times New Roman" w:hAnsi="Calibri" w:cs="Calibri"/>
                <w:sz w:val="18"/>
                <w:szCs w:val="18"/>
              </w:rPr>
              <w:t xml:space="preserve">ostsecondary institutions. Programs may have additional requirements </w:t>
            </w:r>
            <w:r w:rsidRPr="002515CF" w:rsidR="008D2824">
              <w:rPr>
                <w:rFonts w:ascii="Calibri" w:eastAsia="Times New Roman" w:hAnsi="Calibri" w:cs="Calibri"/>
                <w:sz w:val="18"/>
                <w:szCs w:val="18"/>
              </w:rPr>
              <w:t>beyond residency</w:t>
            </w:r>
            <w:r w:rsidRPr="002515CF" w:rsidR="000D5A36">
              <w:rPr>
                <w:rFonts w:ascii="Calibri" w:eastAsia="Times New Roman" w:hAnsi="Calibri" w:cs="Calibri"/>
                <w:sz w:val="18"/>
                <w:szCs w:val="18"/>
              </w:rPr>
              <w:t xml:space="preserve"> and</w:t>
            </w:r>
            <w:r w:rsidRPr="002515CF" w:rsidR="008D2824">
              <w:rPr>
                <w:rFonts w:ascii="Calibri" w:eastAsia="Times New Roman" w:hAnsi="Calibri" w:cs="Calibri"/>
                <w:sz w:val="18"/>
                <w:szCs w:val="18"/>
              </w:rPr>
              <w:t xml:space="preserve"> can be either a first-dollar or last-dollar benefit. </w:t>
            </w:r>
          </w:p>
        </w:tc>
        <w:tc>
          <w:tcPr>
            <w:tcW w:w="2097" w:type="dxa"/>
            <w:shd w:val="clear" w:color="auto" w:fill="auto"/>
            <w:vAlign w:val="center"/>
          </w:tcPr>
          <w:p w:rsidR="00B70360" w:rsidRPr="00F7311D" w:rsidP="00EA2492" w14:paraId="487E5A00" w14:textId="77777777">
            <w:pPr>
              <w:spacing w:after="0" w:line="240" w:lineRule="auto"/>
              <w:rPr>
                <w:rFonts w:ascii="Calibri" w:eastAsia="Times New Roman" w:hAnsi="Calibri" w:cs="Calibri"/>
                <w:color w:val="000000"/>
                <w:sz w:val="18"/>
                <w:szCs w:val="18"/>
              </w:rPr>
            </w:pPr>
          </w:p>
        </w:tc>
      </w:tr>
      <w:bookmarkEnd w:id="4"/>
      <w:tr w14:paraId="101694C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FA9DC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Production, Transportation, and Material Moving Occupations</w:t>
            </w:r>
          </w:p>
        </w:tc>
        <w:tc>
          <w:tcPr>
            <w:tcW w:w="8558" w:type="dxa"/>
            <w:shd w:val="clear" w:color="auto" w:fill="auto"/>
            <w:vAlign w:val="center"/>
            <w:hideMark/>
          </w:tcPr>
          <w:p w:rsidR="00EA2492" w:rsidRPr="00F7311D" w:rsidP="00EA2492" w14:paraId="2882E608" w14:textId="2AC2954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two major groups in the 2018 Standard Occupational Classification (SOC) Manual: 1) Production Occupations (https://www.bls.gov/soc/2018/major_groups.htm#51-0000) and 2) Transportation and Material Moving Occupations (</w:t>
            </w:r>
            <w:hyperlink r:id="rId8" w:anchor="53-0000" w:history="1">
              <w:r w:rsidRPr="004D72BE" w:rsidR="00854B19">
                <w:rPr>
                  <w:rStyle w:val="Hyperlink"/>
                  <w:rFonts w:ascii="Calibri" w:eastAsia="Times New Roman" w:hAnsi="Calibri" w:cs="Calibri"/>
                  <w:sz w:val="18"/>
                  <w:szCs w:val="18"/>
                </w:rPr>
                <w:t>https://www.bls.gov/soc/2018/major_groups.htm#53-0000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40BF907B" w14:textId="77777777">
            <w:pPr>
              <w:spacing w:after="0" w:line="240" w:lineRule="auto"/>
              <w:rPr>
                <w:rFonts w:ascii="Calibri" w:eastAsia="Times New Roman" w:hAnsi="Calibri" w:cs="Calibri"/>
                <w:color w:val="000000"/>
                <w:sz w:val="18"/>
                <w:szCs w:val="18"/>
              </w:rPr>
            </w:pPr>
          </w:p>
        </w:tc>
      </w:tr>
      <w:tr w14:paraId="727AADA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5664D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w:t>
            </w:r>
          </w:p>
        </w:tc>
        <w:tc>
          <w:tcPr>
            <w:tcW w:w="8558" w:type="dxa"/>
            <w:shd w:val="clear" w:color="auto" w:fill="auto"/>
            <w:vAlign w:val="center"/>
            <w:hideMark/>
          </w:tcPr>
          <w:p w:rsidR="00EA2492" w:rsidRPr="00F7311D" w:rsidP="00EA2492" w14:paraId="06668D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combination of courses and related activities organized for the attainment of broad educational objectives as described by the institution.</w:t>
            </w:r>
          </w:p>
        </w:tc>
        <w:tc>
          <w:tcPr>
            <w:tcW w:w="2097" w:type="dxa"/>
            <w:shd w:val="clear" w:color="auto" w:fill="auto"/>
            <w:vAlign w:val="center"/>
            <w:hideMark/>
          </w:tcPr>
          <w:p w:rsidR="00EA2492" w:rsidRPr="00F7311D" w:rsidP="00EA2492" w14:paraId="27513C15" w14:textId="77777777">
            <w:pPr>
              <w:spacing w:after="0" w:line="240" w:lineRule="auto"/>
              <w:rPr>
                <w:rFonts w:ascii="Calibri" w:eastAsia="Times New Roman" w:hAnsi="Calibri" w:cs="Calibri"/>
                <w:color w:val="000000"/>
                <w:sz w:val="18"/>
                <w:szCs w:val="18"/>
              </w:rPr>
            </w:pPr>
          </w:p>
        </w:tc>
      </w:tr>
      <w:tr w14:paraId="1B62DEC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647FB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category</w:t>
            </w:r>
          </w:p>
        </w:tc>
        <w:tc>
          <w:tcPr>
            <w:tcW w:w="8558" w:type="dxa"/>
            <w:shd w:val="clear" w:color="auto" w:fill="auto"/>
            <w:vAlign w:val="center"/>
            <w:hideMark/>
          </w:tcPr>
          <w:p w:rsidR="00EA2492" w:rsidRPr="00F7311D" w:rsidP="00EA2492" w14:paraId="1585459D" w14:textId="4A765C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summary of groups of related instructional programs designated by the first 2 digits of its appropriate Classification of Instructional Programs (CIP) code.</w:t>
            </w:r>
          </w:p>
        </w:tc>
        <w:tc>
          <w:tcPr>
            <w:tcW w:w="2097" w:type="dxa"/>
            <w:shd w:val="clear" w:color="auto" w:fill="auto"/>
            <w:vAlign w:val="center"/>
            <w:hideMark/>
          </w:tcPr>
          <w:p w:rsidR="00EA2492" w:rsidRPr="00F7311D" w:rsidP="00EA2492" w14:paraId="34CC443E" w14:textId="77777777">
            <w:pPr>
              <w:spacing w:after="0" w:line="240" w:lineRule="auto"/>
              <w:rPr>
                <w:rFonts w:ascii="Calibri" w:eastAsia="Times New Roman" w:hAnsi="Calibri" w:cs="Calibri"/>
                <w:color w:val="000000"/>
                <w:sz w:val="18"/>
                <w:szCs w:val="18"/>
              </w:rPr>
            </w:pPr>
          </w:p>
        </w:tc>
      </w:tr>
      <w:tr w14:paraId="6D3CB75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B0A6E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Participation Agreement (PPA)</w:t>
            </w:r>
          </w:p>
        </w:tc>
        <w:tc>
          <w:tcPr>
            <w:tcW w:w="8558" w:type="dxa"/>
            <w:shd w:val="clear" w:color="auto" w:fill="auto"/>
            <w:vAlign w:val="center"/>
            <w:hideMark/>
          </w:tcPr>
          <w:p w:rsidR="00EA2492" w:rsidRPr="008C2332" w:rsidP="00EA2492" w14:paraId="1A37A97E" w14:textId="3FE21B30">
            <w:pPr>
              <w:spacing w:after="0" w:line="240" w:lineRule="auto"/>
              <w:rPr>
                <w:rFonts w:ascii="Calibri" w:eastAsia="Times New Roman" w:hAnsi="Calibri" w:cs="Calibri"/>
                <w:color w:val="000000"/>
                <w:sz w:val="18"/>
                <w:szCs w:val="18"/>
              </w:rPr>
            </w:pPr>
            <w:r w:rsidRPr="008C2332">
              <w:rPr>
                <w:rFonts w:ascii="Calibri" w:eastAsia="Times New Roman" w:hAnsi="Calibri" w:cs="Calibri"/>
                <w:color w:val="000000"/>
                <w:sz w:val="18"/>
                <w:szCs w:val="18"/>
              </w:rPr>
              <w:t xml:space="preserve">A written agreement between a postsecondary institution and the Secretary of Education. This agreement allows </w:t>
            </w:r>
            <w:r w:rsidRPr="008878BA">
              <w:rPr>
                <w:rFonts w:ascii="Calibri" w:eastAsia="Times New Roman" w:hAnsi="Calibri" w:cs="Calibri"/>
                <w:sz w:val="18"/>
                <w:szCs w:val="18"/>
              </w:rPr>
              <w:t xml:space="preserve">institutions to participate in any of the Title IV student assistance programs other than the </w:t>
            </w:r>
            <w:r w:rsidRPr="008878BA" w:rsidR="00BB6DF6">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 xml:space="preserve">State Student Incentive Grant </w:t>
            </w:r>
            <w:r w:rsidRPr="008878BA" w:rsidR="00BB6DF6">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SSIG and the National Early Intervention Scholarship and Partnership </w:t>
            </w:r>
            <w:r w:rsidRPr="008878BA" w:rsidR="00110E2A">
              <w:rPr>
                <w:rFonts w:ascii="Calibri" w:eastAsia="Times New Roman" w:hAnsi="Calibri" w:cs="Calibri"/>
                <w:sz w:val="18"/>
                <w:szCs w:val="18"/>
              </w:rPr>
              <w:t xml:space="preserve">or </w:t>
            </w:r>
            <w:r w:rsidRPr="008878BA">
              <w:rPr>
                <w:rFonts w:ascii="Calibri" w:eastAsia="Times New Roman" w:hAnsi="Calibri" w:cs="Calibri"/>
                <w:sz w:val="18"/>
                <w:szCs w:val="18"/>
              </w:rPr>
              <w:t xml:space="preserve">NEISP programs. The PPA conditions the initial and continued </w:t>
            </w:r>
            <w:r w:rsidRPr="008C2332">
              <w:rPr>
                <w:rFonts w:ascii="Calibri" w:eastAsia="Times New Roman" w:hAnsi="Calibri" w:cs="Calibri"/>
                <w:color w:val="000000"/>
                <w:sz w:val="18"/>
                <w:szCs w:val="18"/>
              </w:rPr>
              <w:t>participation of an eligible institution in any Title IV program upon compliance with the General Provisions regulations, the individual program regulations, and any additional conditions specified in the program participation agreement that the Department of Education requires the institution to meet. Institutions with such an agreement are referred to as Title IV institutions .</w:t>
            </w:r>
          </w:p>
        </w:tc>
        <w:tc>
          <w:tcPr>
            <w:tcW w:w="2097" w:type="dxa"/>
            <w:shd w:val="clear" w:color="auto" w:fill="auto"/>
            <w:vAlign w:val="center"/>
            <w:hideMark/>
          </w:tcPr>
          <w:p w:rsidR="00EA2492" w:rsidRPr="00F7311D" w:rsidP="00EA2492" w14:paraId="646E0EDA" w14:textId="77777777">
            <w:pPr>
              <w:spacing w:after="0" w:line="240" w:lineRule="auto"/>
              <w:rPr>
                <w:rFonts w:ascii="Calibri" w:eastAsia="Times New Roman" w:hAnsi="Calibri" w:cs="Calibri"/>
                <w:color w:val="000000"/>
                <w:sz w:val="18"/>
                <w:szCs w:val="18"/>
              </w:rPr>
            </w:pPr>
          </w:p>
        </w:tc>
      </w:tr>
      <w:tr w14:paraId="384D818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53090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specialty</w:t>
            </w:r>
          </w:p>
        </w:tc>
        <w:tc>
          <w:tcPr>
            <w:tcW w:w="8558" w:type="dxa"/>
            <w:shd w:val="clear" w:color="auto" w:fill="auto"/>
            <w:vAlign w:val="center"/>
            <w:hideMark/>
          </w:tcPr>
          <w:p w:rsidR="00EA2492" w:rsidRPr="00F7311D" w:rsidP="00EA2492" w14:paraId="058F46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specific instructional program that can be identified by a 6-digit Classification of Institutional Programs (CIP) Code.</w:t>
            </w:r>
          </w:p>
        </w:tc>
        <w:tc>
          <w:tcPr>
            <w:tcW w:w="2097" w:type="dxa"/>
            <w:shd w:val="clear" w:color="auto" w:fill="auto"/>
            <w:vAlign w:val="center"/>
            <w:hideMark/>
          </w:tcPr>
          <w:p w:rsidR="00EA2492" w:rsidRPr="00F7311D" w:rsidP="00EA2492" w14:paraId="6494B76B" w14:textId="77777777">
            <w:pPr>
              <w:spacing w:after="0" w:line="240" w:lineRule="auto"/>
              <w:rPr>
                <w:rFonts w:ascii="Calibri" w:eastAsia="Times New Roman" w:hAnsi="Calibri" w:cs="Calibri"/>
                <w:color w:val="000000"/>
                <w:sz w:val="18"/>
                <w:szCs w:val="18"/>
              </w:rPr>
            </w:pPr>
          </w:p>
        </w:tc>
      </w:tr>
      <w:tr w14:paraId="3A442CA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6EE2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 with no recognized postsecondary credential</w:t>
            </w:r>
          </w:p>
        </w:tc>
        <w:tc>
          <w:tcPr>
            <w:tcW w:w="8558" w:type="dxa"/>
            <w:shd w:val="clear" w:color="auto" w:fill="auto"/>
            <w:vAlign w:val="center"/>
            <w:hideMark/>
          </w:tcPr>
          <w:p w:rsidR="00EA2492" w:rsidRPr="00F7311D" w:rsidP="00EA2492" w14:paraId="0906368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Any formally organized program with stated educational objectives and well-defined completion requirements that does not lead to a recognized postsecondary credential.</w:t>
            </w:r>
          </w:p>
        </w:tc>
        <w:tc>
          <w:tcPr>
            <w:tcW w:w="2097" w:type="dxa"/>
            <w:shd w:val="clear" w:color="auto" w:fill="auto"/>
            <w:vAlign w:val="center"/>
            <w:hideMark/>
          </w:tcPr>
          <w:p w:rsidR="00EA2492" w:rsidRPr="00F7311D" w:rsidP="00EA2492" w14:paraId="4E660114" w14:textId="77777777">
            <w:pPr>
              <w:spacing w:after="0" w:line="240" w:lineRule="auto"/>
              <w:rPr>
                <w:rFonts w:ascii="Calibri" w:eastAsia="Times New Roman" w:hAnsi="Calibri" w:cs="Calibri"/>
                <w:color w:val="000000"/>
                <w:sz w:val="18"/>
                <w:szCs w:val="18"/>
              </w:rPr>
            </w:pPr>
          </w:p>
        </w:tc>
      </w:tr>
      <w:tr w14:paraId="397F574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4724B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2 years but less than 4 years</w:t>
            </w:r>
          </w:p>
        </w:tc>
        <w:tc>
          <w:tcPr>
            <w:tcW w:w="8558" w:type="dxa"/>
            <w:shd w:val="clear" w:color="auto" w:fill="auto"/>
            <w:vAlign w:val="center"/>
            <w:hideMark/>
          </w:tcPr>
          <w:p w:rsidR="00EA2492" w:rsidRPr="00F7311D" w:rsidP="00EA2492" w14:paraId="0FD1D8DA" w14:textId="3D6CE24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requiring at least 2 years but less than 4 years of full-time equivalent college level work, including associate</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degrees and </w:t>
            </w:r>
            <w:r w:rsidRPr="00F7311D" w:rsidR="002515CF">
              <w:rPr>
                <w:rFonts w:ascii="Calibri" w:eastAsia="Times New Roman" w:hAnsi="Calibri" w:cs="Calibri"/>
                <w:color w:val="000000"/>
                <w:sz w:val="18"/>
                <w:szCs w:val="18"/>
              </w:rPr>
              <w:t>programs that</w:t>
            </w:r>
            <w:r w:rsidRPr="00F7311D">
              <w:rPr>
                <w:rFonts w:ascii="Calibri" w:eastAsia="Times New Roman" w:hAnsi="Calibri" w:cs="Calibri"/>
                <w:color w:val="000000"/>
                <w:sz w:val="18"/>
                <w:szCs w:val="18"/>
              </w:rPr>
              <w:t xml:space="preserve"> can be completed in at least 1,800 but less than 3,600 clock </w:t>
            </w:r>
            <w:r w:rsidRPr="00F7311D" w:rsidR="002515CF">
              <w:rPr>
                <w:rFonts w:ascii="Calibri" w:eastAsia="Times New Roman" w:hAnsi="Calibri" w:cs="Calibri"/>
                <w:color w:val="000000"/>
                <w:sz w:val="18"/>
                <w:szCs w:val="18"/>
              </w:rPr>
              <w:t>hours to</w:t>
            </w:r>
            <w:r w:rsidRPr="00F7311D">
              <w:rPr>
                <w:rFonts w:ascii="Calibri" w:eastAsia="Times New Roman" w:hAnsi="Calibri" w:cs="Calibri"/>
                <w:color w:val="000000"/>
                <w:sz w:val="18"/>
                <w:szCs w:val="18"/>
              </w:rPr>
              <w:t xml:space="preserve"> obtain a degree, </w:t>
            </w:r>
            <w:r w:rsidRPr="00F7311D" w:rsidR="002515CF">
              <w:rPr>
                <w:rFonts w:ascii="Calibri" w:eastAsia="Times New Roman" w:hAnsi="Calibri" w:cs="Calibri"/>
                <w:color w:val="000000"/>
                <w:sz w:val="18"/>
                <w:szCs w:val="18"/>
              </w:rPr>
              <w:t>diploma, certificate</w:t>
            </w:r>
            <w:r w:rsidRPr="00F7311D">
              <w:rPr>
                <w:rFonts w:ascii="Calibri" w:eastAsia="Times New Roman" w:hAnsi="Calibri" w:cs="Calibri"/>
                <w:color w:val="000000"/>
                <w:sz w:val="18"/>
                <w:szCs w:val="18"/>
              </w:rPr>
              <w:t>, or other recognized postsecondary credential.</w:t>
            </w:r>
          </w:p>
        </w:tc>
        <w:tc>
          <w:tcPr>
            <w:tcW w:w="2097" w:type="dxa"/>
            <w:shd w:val="clear" w:color="auto" w:fill="auto"/>
            <w:vAlign w:val="center"/>
            <w:hideMark/>
          </w:tcPr>
          <w:p w:rsidR="00EA2492" w:rsidRPr="00F7311D" w:rsidP="00EA2492" w14:paraId="0078E895" w14:textId="77777777">
            <w:pPr>
              <w:spacing w:after="0" w:line="240" w:lineRule="auto"/>
              <w:rPr>
                <w:rFonts w:ascii="Calibri" w:eastAsia="Times New Roman" w:hAnsi="Calibri" w:cs="Calibri"/>
                <w:color w:val="000000"/>
                <w:sz w:val="18"/>
                <w:szCs w:val="18"/>
              </w:rPr>
            </w:pPr>
          </w:p>
        </w:tc>
      </w:tr>
      <w:tr w14:paraId="1F56C22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42F1C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at least 4 years</w:t>
            </w:r>
          </w:p>
        </w:tc>
        <w:tc>
          <w:tcPr>
            <w:tcW w:w="8558" w:type="dxa"/>
            <w:shd w:val="clear" w:color="auto" w:fill="auto"/>
            <w:vAlign w:val="center"/>
            <w:hideMark/>
          </w:tcPr>
          <w:p w:rsidR="00EA2492" w:rsidRPr="00F7311D" w:rsidP="00EA2492" w14:paraId="5442B8E2" w14:textId="6FCBEEF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Programs designed to be completed in at least 8 semesters or 12 quarters to obtain a degree, </w:t>
            </w:r>
            <w:r w:rsidRPr="00F7311D" w:rsidR="002515CF">
              <w:rPr>
                <w:rFonts w:ascii="Calibri" w:eastAsia="Times New Roman" w:hAnsi="Calibri" w:cs="Calibri"/>
                <w:color w:val="000000"/>
                <w:sz w:val="18"/>
                <w:szCs w:val="18"/>
              </w:rPr>
              <w:t>diploma, or</w:t>
            </w:r>
            <w:r w:rsidRPr="00F7311D">
              <w:rPr>
                <w:rFonts w:ascii="Calibri" w:eastAsia="Times New Roman" w:hAnsi="Calibri" w:cs="Calibri"/>
                <w:color w:val="000000"/>
                <w:sz w:val="18"/>
                <w:szCs w:val="18"/>
              </w:rPr>
              <w:t xml:space="preserve"> other recognized postsecondary credential. Includes programs resulting in all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s </w:t>
            </w:r>
            <w:r w:rsidRPr="00F7311D" w:rsidR="002515CF">
              <w:rPr>
                <w:rFonts w:ascii="Calibri" w:eastAsia="Times New Roman" w:hAnsi="Calibri" w:cs="Calibri"/>
                <w:color w:val="000000"/>
                <w:sz w:val="18"/>
                <w:szCs w:val="18"/>
              </w:rPr>
              <w:t>degrees and</w:t>
            </w:r>
            <w:r w:rsidRPr="00F7311D">
              <w:rPr>
                <w:rFonts w:ascii="Calibri" w:eastAsia="Times New Roman" w:hAnsi="Calibri" w:cs="Calibri"/>
                <w:color w:val="000000"/>
                <w:sz w:val="18"/>
                <w:szCs w:val="18"/>
              </w:rPr>
              <w:t xml:space="preserve"> other baccalaureate level or equivalent degrees, as well as 5-year cooperative programs, and those programs in which the normal 4 years of work are designed to be completed in 3 years.</w:t>
            </w:r>
          </w:p>
        </w:tc>
        <w:tc>
          <w:tcPr>
            <w:tcW w:w="2097" w:type="dxa"/>
            <w:shd w:val="clear" w:color="auto" w:fill="auto"/>
            <w:vAlign w:val="center"/>
            <w:hideMark/>
          </w:tcPr>
          <w:p w:rsidR="00EA2492" w:rsidRPr="00F7311D" w:rsidP="00EA2492" w14:paraId="1EBBA286" w14:textId="77777777">
            <w:pPr>
              <w:spacing w:after="0" w:line="240" w:lineRule="auto"/>
              <w:rPr>
                <w:rFonts w:ascii="Calibri" w:eastAsia="Times New Roman" w:hAnsi="Calibri" w:cs="Calibri"/>
                <w:color w:val="000000"/>
                <w:sz w:val="18"/>
                <w:szCs w:val="18"/>
              </w:rPr>
            </w:pPr>
          </w:p>
        </w:tc>
      </w:tr>
      <w:tr w14:paraId="389403E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E6312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of less than 2 years</w:t>
            </w:r>
          </w:p>
        </w:tc>
        <w:tc>
          <w:tcPr>
            <w:tcW w:w="8558" w:type="dxa"/>
            <w:shd w:val="clear" w:color="auto" w:fill="auto"/>
            <w:vAlign w:val="center"/>
            <w:hideMark/>
          </w:tcPr>
          <w:p w:rsidR="00EA2492" w:rsidRPr="00F7311D" w:rsidP="00EA2492" w14:paraId="19DC0599" w14:textId="5F375CD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Programs requiring less than 2 years of full-time equivalent college level work (4 semesters or 6 quarters) or less than 1,800 clock hours to obtain a </w:t>
            </w:r>
            <w:r w:rsidRPr="00F7311D" w:rsidR="002515CF">
              <w:rPr>
                <w:rFonts w:ascii="Calibri" w:eastAsia="Times New Roman" w:hAnsi="Calibri" w:cs="Calibri"/>
                <w:color w:val="000000"/>
                <w:sz w:val="18"/>
                <w:szCs w:val="18"/>
              </w:rPr>
              <w:t>degree, diploma, certificate</w:t>
            </w:r>
            <w:r w:rsidRPr="00F7311D">
              <w:rPr>
                <w:rFonts w:ascii="Calibri" w:eastAsia="Times New Roman" w:hAnsi="Calibri" w:cs="Calibri"/>
                <w:color w:val="000000"/>
                <w:sz w:val="18"/>
                <w:szCs w:val="18"/>
              </w:rPr>
              <w:t>,  or other recognized postsecondary credential.</w:t>
            </w:r>
          </w:p>
        </w:tc>
        <w:tc>
          <w:tcPr>
            <w:tcW w:w="2097" w:type="dxa"/>
            <w:shd w:val="clear" w:color="auto" w:fill="auto"/>
            <w:vAlign w:val="center"/>
            <w:hideMark/>
          </w:tcPr>
          <w:p w:rsidR="00EA2492" w:rsidRPr="00F7311D" w:rsidP="00EA2492" w14:paraId="28CF6CF7" w14:textId="77777777">
            <w:pPr>
              <w:spacing w:after="0" w:line="240" w:lineRule="auto"/>
              <w:rPr>
                <w:rFonts w:ascii="Calibri" w:eastAsia="Times New Roman" w:hAnsi="Calibri" w:cs="Calibri"/>
                <w:color w:val="000000"/>
                <w:sz w:val="18"/>
                <w:szCs w:val="18"/>
              </w:rPr>
            </w:pPr>
          </w:p>
        </w:tc>
      </w:tr>
      <w:tr w14:paraId="1733CB4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1670D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institution</w:t>
            </w:r>
          </w:p>
        </w:tc>
        <w:tc>
          <w:tcPr>
            <w:tcW w:w="8558" w:type="dxa"/>
            <w:shd w:val="clear" w:color="auto" w:fill="auto"/>
            <w:vAlign w:val="center"/>
            <w:hideMark/>
          </w:tcPr>
          <w:p w:rsidR="00EA2492" w:rsidRPr="00F7311D" w:rsidP="00EA2492" w14:paraId="096DE01C" w14:textId="40F6CF8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educational institution whose programs and activities are operated by publicly elected or appointed school officials and which is supported primarily by public funds.</w:t>
            </w:r>
          </w:p>
        </w:tc>
        <w:tc>
          <w:tcPr>
            <w:tcW w:w="2097" w:type="dxa"/>
            <w:shd w:val="clear" w:color="auto" w:fill="auto"/>
            <w:vAlign w:val="center"/>
            <w:hideMark/>
          </w:tcPr>
          <w:p w:rsidR="00EA2492" w:rsidRPr="00F7311D" w:rsidP="00EA2492" w14:paraId="573B40DA" w14:textId="3BC942E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Private for-profit institution, Private institution, Private not-for-profit institution</w:t>
            </w:r>
          </w:p>
        </w:tc>
      </w:tr>
      <w:tr w14:paraId="09A49DA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0951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w:t>
            </w:r>
          </w:p>
        </w:tc>
        <w:tc>
          <w:tcPr>
            <w:tcW w:w="8558" w:type="dxa"/>
            <w:shd w:val="clear" w:color="auto" w:fill="auto"/>
            <w:vAlign w:val="center"/>
            <w:hideMark/>
          </w:tcPr>
          <w:p w:rsidR="00EA2492" w:rsidRPr="00F7311D" w:rsidP="00EA2492" w14:paraId="357D3AD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w:t>
            </w:r>
            <w:r w:rsidRPr="00F7311D">
              <w:rPr>
                <w:rFonts w:ascii="Calibri" w:eastAsia="Times New Roman" w:hAnsi="Calibri" w:cs="Calibri"/>
                <w:color w:val="000000"/>
                <w:sz w:val="18"/>
                <w:szCs w:val="18"/>
              </w:rPr>
              <w:t>services, and public broadcasting services. Also includes information technology expenses related to the public service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20481D9C" w14:textId="77777777">
            <w:pPr>
              <w:spacing w:after="0" w:line="240" w:lineRule="auto"/>
              <w:rPr>
                <w:rFonts w:ascii="Calibri" w:eastAsia="Times New Roman" w:hAnsi="Calibri" w:cs="Calibri"/>
                <w:color w:val="000000"/>
                <w:sz w:val="18"/>
                <w:szCs w:val="18"/>
              </w:rPr>
            </w:pPr>
          </w:p>
        </w:tc>
      </w:tr>
      <w:tr w14:paraId="508AC94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ECC0D6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 Service staff</w:t>
            </w:r>
          </w:p>
        </w:tc>
        <w:tc>
          <w:tcPr>
            <w:tcW w:w="8558" w:type="dxa"/>
            <w:shd w:val="clear" w:color="auto" w:fill="auto"/>
            <w:vAlign w:val="center"/>
            <w:hideMark/>
          </w:tcPr>
          <w:p w:rsidR="00EA2492" w:rsidRPr="00F7311D" w:rsidP="00EA2492" w14:paraId="152AEBEE" w14:textId="278C349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used to classify persons whose specific assignments customarily are made for the purpose of carrying out public service activities such as agricultural extension services, clinical services, or continuing education. Regardless of title, academic rank, or tenure status, these employees formally spend the majority of their time carrying out public service activities. (This category includes employees with a public service assignment regardless of the location of the assignment (e.g., in the field rather than on campus)).(This category was called Primarily public service prior to 2012-13.)</w:t>
            </w:r>
          </w:p>
        </w:tc>
        <w:tc>
          <w:tcPr>
            <w:tcW w:w="2097" w:type="dxa"/>
            <w:shd w:val="clear" w:color="auto" w:fill="auto"/>
            <w:vAlign w:val="center"/>
            <w:hideMark/>
          </w:tcPr>
          <w:p w:rsidR="00EA2492" w:rsidRPr="00F7311D" w:rsidP="00EA2492" w14:paraId="2AA9D630" w14:textId="77777777">
            <w:pPr>
              <w:spacing w:after="0" w:line="240" w:lineRule="auto"/>
              <w:rPr>
                <w:rFonts w:ascii="Calibri" w:eastAsia="Times New Roman" w:hAnsi="Calibri" w:cs="Calibri"/>
                <w:color w:val="000000"/>
                <w:sz w:val="18"/>
                <w:szCs w:val="18"/>
              </w:rPr>
            </w:pPr>
          </w:p>
        </w:tc>
      </w:tr>
      <w:tr w14:paraId="2D01128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587A7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Qualified Audit Opinion</w:t>
            </w:r>
          </w:p>
        </w:tc>
        <w:tc>
          <w:tcPr>
            <w:tcW w:w="8558" w:type="dxa"/>
            <w:shd w:val="clear" w:color="auto" w:fill="auto"/>
            <w:vAlign w:val="center"/>
            <w:hideMark/>
          </w:tcPr>
          <w:p w:rsidR="00EA2492" w:rsidRPr="00F7311D" w:rsidP="00EA2492" w14:paraId="185F009F" w14:textId="2EA3BB0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written statement on their audit report that a client</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financial statements fairly represent their financial position in accordance with Generally Accepted Accounting Principles (GAAP), EXCEPT for the specified issues.</w:t>
            </w:r>
          </w:p>
        </w:tc>
        <w:tc>
          <w:tcPr>
            <w:tcW w:w="2097" w:type="dxa"/>
            <w:shd w:val="clear" w:color="auto" w:fill="auto"/>
            <w:vAlign w:val="center"/>
            <w:hideMark/>
          </w:tcPr>
          <w:p w:rsidR="00EA2492" w:rsidRPr="00F7311D" w:rsidP="00EA2492" w14:paraId="0FA7A211" w14:textId="77777777">
            <w:pPr>
              <w:spacing w:after="0" w:line="240" w:lineRule="auto"/>
              <w:rPr>
                <w:rFonts w:ascii="Calibri" w:eastAsia="Times New Roman" w:hAnsi="Calibri" w:cs="Calibri"/>
                <w:color w:val="000000"/>
                <w:sz w:val="18"/>
                <w:szCs w:val="18"/>
              </w:rPr>
            </w:pPr>
          </w:p>
        </w:tc>
      </w:tr>
      <w:tr w14:paraId="0A3C851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D30D9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Quarter (calendar system)</w:t>
            </w:r>
          </w:p>
        </w:tc>
        <w:tc>
          <w:tcPr>
            <w:tcW w:w="8558" w:type="dxa"/>
            <w:shd w:val="clear" w:color="auto" w:fill="auto"/>
            <w:vAlign w:val="center"/>
            <w:hideMark/>
          </w:tcPr>
          <w:p w:rsidR="00EA2492" w:rsidRPr="00F7311D" w:rsidP="00EA2492" w14:paraId="7619B06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calendar system in which the academic year consists of 3 sessions called quarters of about 12 weeks each. The range may be from 10 to 15 weeks as defined by the institution. There may be an additional quarter in the summer.</w:t>
            </w:r>
          </w:p>
        </w:tc>
        <w:tc>
          <w:tcPr>
            <w:tcW w:w="2097" w:type="dxa"/>
            <w:shd w:val="clear" w:color="auto" w:fill="auto"/>
            <w:vAlign w:val="center"/>
            <w:hideMark/>
          </w:tcPr>
          <w:p w:rsidR="00EA2492" w:rsidRPr="00F7311D" w:rsidP="00EA2492" w14:paraId="52907099" w14:textId="77777777">
            <w:pPr>
              <w:spacing w:after="0" w:line="240" w:lineRule="auto"/>
              <w:rPr>
                <w:rFonts w:ascii="Calibri" w:eastAsia="Times New Roman" w:hAnsi="Calibri" w:cs="Calibri"/>
                <w:color w:val="000000"/>
                <w:sz w:val="18"/>
                <w:szCs w:val="18"/>
              </w:rPr>
            </w:pPr>
          </w:p>
        </w:tc>
      </w:tr>
      <w:tr w14:paraId="49975F0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C9645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Quasi-endowment funds</w:t>
            </w:r>
          </w:p>
        </w:tc>
        <w:tc>
          <w:tcPr>
            <w:tcW w:w="8558" w:type="dxa"/>
            <w:shd w:val="clear" w:color="auto" w:fill="auto"/>
            <w:vAlign w:val="center"/>
            <w:hideMark/>
          </w:tcPr>
          <w:p w:rsidR="00EA2492" w:rsidRPr="00F7311D" w:rsidP="00EA2492" w14:paraId="1F1C54C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097" w:type="dxa"/>
            <w:shd w:val="clear" w:color="auto" w:fill="auto"/>
            <w:vAlign w:val="center"/>
            <w:hideMark/>
          </w:tcPr>
          <w:p w:rsidR="00EA2492" w:rsidRPr="00F7311D" w:rsidP="00EA2492" w14:paraId="1CECF59E" w14:textId="77777777">
            <w:pPr>
              <w:spacing w:after="0" w:line="240" w:lineRule="auto"/>
              <w:rPr>
                <w:rFonts w:ascii="Calibri" w:eastAsia="Times New Roman" w:hAnsi="Calibri" w:cs="Calibri"/>
                <w:color w:val="000000"/>
                <w:sz w:val="18"/>
                <w:szCs w:val="18"/>
              </w:rPr>
            </w:pPr>
          </w:p>
        </w:tc>
      </w:tr>
      <w:tr w14:paraId="4D6C5E8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F2564F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 and ethnicity unknown</w:t>
            </w:r>
          </w:p>
        </w:tc>
        <w:tc>
          <w:tcPr>
            <w:tcW w:w="8558" w:type="dxa"/>
            <w:shd w:val="clear" w:color="auto" w:fill="auto"/>
            <w:vAlign w:val="center"/>
            <w:hideMark/>
          </w:tcPr>
          <w:p w:rsidR="00EA2492" w:rsidRPr="00F7311D" w:rsidP="00EA2492" w14:paraId="689F0DE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category used to report students or employees whose race and ethnicity are not known.</w:t>
            </w:r>
          </w:p>
        </w:tc>
        <w:tc>
          <w:tcPr>
            <w:tcW w:w="2097" w:type="dxa"/>
            <w:shd w:val="clear" w:color="auto" w:fill="auto"/>
            <w:vAlign w:val="center"/>
            <w:hideMark/>
          </w:tcPr>
          <w:p w:rsidR="00EA2492" w:rsidRPr="00F7311D" w:rsidP="00EA2492" w14:paraId="38E53D45" w14:textId="77777777">
            <w:pPr>
              <w:spacing w:after="0" w:line="240" w:lineRule="auto"/>
              <w:rPr>
                <w:rFonts w:ascii="Calibri" w:eastAsia="Times New Roman" w:hAnsi="Calibri" w:cs="Calibri"/>
                <w:color w:val="000000"/>
                <w:sz w:val="18"/>
                <w:szCs w:val="18"/>
              </w:rPr>
            </w:pPr>
          </w:p>
        </w:tc>
      </w:tr>
      <w:tr w14:paraId="79EA362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17422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w:t>
            </w:r>
          </w:p>
        </w:tc>
        <w:tc>
          <w:tcPr>
            <w:tcW w:w="8558" w:type="dxa"/>
            <w:shd w:val="clear" w:color="auto" w:fill="auto"/>
            <w:vAlign w:val="center"/>
            <w:hideMark/>
          </w:tcPr>
          <w:p w:rsidR="00EA2492" w:rsidP="00EA2492" w14:paraId="180EE9E2" w14:textId="69F1E12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w:t>
            </w:r>
            <w:r w:rsidRPr="002515CF">
              <w:rPr>
                <w:rFonts w:ascii="Calibri" w:eastAsia="Times New Roman" w:hAnsi="Calibri" w:cs="Calibri"/>
                <w:sz w:val="18"/>
                <w:szCs w:val="18"/>
              </w:rPr>
              <w:t>s</w:t>
            </w:r>
            <w:r w:rsidRPr="00F7311D">
              <w:rPr>
                <w:rFonts w:ascii="Calibri" w:eastAsia="Times New Roman" w:hAnsi="Calibri" w:cs="Calibri"/>
                <w:color w:val="000000"/>
                <w:sz w:val="18"/>
                <w:szCs w:val="18"/>
              </w:rPr>
              <w:t>, and other eligible non-citizens.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 xml:space="preserve">Individuals are asked to first designate ethnicity as: </w:t>
            </w:r>
          </w:p>
          <w:p w:rsidR="00EA2492" w:rsidRPr="00D7256E" w:rsidP="00EA2492" w14:paraId="2247B230"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Hispanic or Latino or </w:t>
            </w:r>
          </w:p>
          <w:p w:rsidR="00EA2492" w:rsidRPr="00D7256E" w:rsidP="00EA2492" w14:paraId="0FA82E22" w14:textId="77777777">
            <w:pPr>
              <w:pStyle w:val="ListParagraph"/>
              <w:numPr>
                <w:ilvl w:val="0"/>
                <w:numId w:val="20"/>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Not Hispanic or Latino. </w:t>
            </w:r>
          </w:p>
          <w:p w:rsidR="00EA2492" w:rsidP="00EA2492" w14:paraId="5F7EE8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Second, individuals are asked to indicate all races that apply among the following: </w:t>
            </w:r>
          </w:p>
          <w:p w:rsidR="00EA2492" w:rsidRPr="00D7256E" w:rsidP="00EA2492" w14:paraId="2AFB17DC"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American Indian or Alaska Native </w:t>
            </w:r>
          </w:p>
          <w:p w:rsidR="00EA2492" w:rsidRPr="00D7256E" w:rsidP="00EA2492" w14:paraId="0BA2584E"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Asian </w:t>
            </w:r>
          </w:p>
          <w:p w:rsidR="00EA2492" w:rsidRPr="00D7256E" w:rsidP="00EA2492" w14:paraId="3928B537"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Black or African American </w:t>
            </w:r>
          </w:p>
          <w:p w:rsidR="00EA2492" w:rsidRPr="00D7256E" w:rsidP="00EA2492" w14:paraId="5F449B0D" w14:textId="77777777">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 xml:space="preserve">Native Hawaiian or Other Pacific Islander </w:t>
            </w:r>
          </w:p>
          <w:p w:rsidR="00EA2492" w:rsidRPr="00D7256E" w:rsidP="00EA2492" w14:paraId="6F6D1140" w14:textId="1D1239EB">
            <w:pPr>
              <w:pStyle w:val="ListParagraph"/>
              <w:numPr>
                <w:ilvl w:val="0"/>
                <w:numId w:val="19"/>
              </w:numPr>
              <w:spacing w:after="0" w:line="240" w:lineRule="auto"/>
              <w:rPr>
                <w:rFonts w:ascii="Calibri" w:eastAsia="Times New Roman" w:hAnsi="Calibri" w:cs="Calibri"/>
                <w:color w:val="000000"/>
                <w:sz w:val="18"/>
                <w:szCs w:val="18"/>
              </w:rPr>
            </w:pPr>
            <w:r w:rsidRPr="00D7256E">
              <w:rPr>
                <w:rFonts w:ascii="Calibri" w:eastAsia="Times New Roman" w:hAnsi="Calibri" w:cs="Calibri"/>
                <w:color w:val="000000"/>
                <w:sz w:val="18"/>
                <w:szCs w:val="18"/>
              </w:rPr>
              <w:t>White</w:t>
            </w:r>
          </w:p>
        </w:tc>
        <w:tc>
          <w:tcPr>
            <w:tcW w:w="2097" w:type="dxa"/>
            <w:shd w:val="clear" w:color="auto" w:fill="auto"/>
            <w:vAlign w:val="center"/>
            <w:hideMark/>
          </w:tcPr>
          <w:p w:rsidR="00EA2492" w:rsidRPr="00F7311D" w:rsidP="00EA2492" w14:paraId="463BA9B4" w14:textId="77777777">
            <w:pPr>
              <w:spacing w:after="0" w:line="240" w:lineRule="auto"/>
              <w:rPr>
                <w:rFonts w:ascii="Calibri" w:eastAsia="Times New Roman" w:hAnsi="Calibri" w:cs="Calibri"/>
                <w:color w:val="000000"/>
                <w:sz w:val="18"/>
                <w:szCs w:val="18"/>
              </w:rPr>
            </w:pPr>
          </w:p>
        </w:tc>
      </w:tr>
      <w:tr w14:paraId="3501395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92B8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Race/ethnicity (old definition)</w:t>
            </w:r>
          </w:p>
        </w:tc>
        <w:tc>
          <w:tcPr>
            <w:tcW w:w="8558" w:type="dxa"/>
            <w:shd w:val="clear" w:color="auto" w:fill="auto"/>
            <w:vAlign w:val="center"/>
            <w:hideMark/>
          </w:tcPr>
          <w:p w:rsidR="00EA2492" w:rsidRPr="00F7311D" w:rsidP="00EA2492" w14:paraId="058FAD6A" w14:textId="62889B3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Categories used to describe groups to which individuals belong, identify with, or belong in the eyes of the community. The categories do not denote scientific definitions of anthropological origins. A person may be counted in only one group. The groups used to categorize U.S. citizens, resident</w:t>
            </w:r>
            <w:r w:rsidRPr="00D7256E">
              <w:rPr>
                <w:rFonts w:ascii="Calibri" w:eastAsia="Times New Roman" w:hAnsi="Calibri" w:cs="Calibri"/>
                <w:sz w:val="18"/>
                <w:szCs w:val="18"/>
              </w:rPr>
              <w:t xml:space="preserve"> aliens</w:t>
            </w:r>
            <w:r w:rsidRPr="00F7311D">
              <w:rPr>
                <w:rFonts w:ascii="Calibri" w:eastAsia="Times New Roman" w:hAnsi="Calibri" w:cs="Calibri"/>
                <w:color w:val="000000"/>
                <w:sz w:val="18"/>
                <w:szCs w:val="18"/>
              </w:rPr>
              <w:t>, and other eligible non-citizens are as follows: Black, non-Hispanic, American Indian/Alaska Native, Asian/Pacific Islander, Hispanic, White, non-Hispanic.</w:t>
            </w:r>
          </w:p>
        </w:tc>
        <w:tc>
          <w:tcPr>
            <w:tcW w:w="2097" w:type="dxa"/>
            <w:shd w:val="clear" w:color="auto" w:fill="auto"/>
            <w:vAlign w:val="center"/>
            <w:hideMark/>
          </w:tcPr>
          <w:p w:rsidR="00EA2492" w:rsidRPr="00F7311D" w:rsidP="00EA2492" w14:paraId="73FC66D0" w14:textId="77777777">
            <w:pPr>
              <w:spacing w:after="0" w:line="240" w:lineRule="auto"/>
              <w:rPr>
                <w:rFonts w:ascii="Calibri" w:eastAsia="Times New Roman" w:hAnsi="Calibri" w:cs="Calibri"/>
                <w:color w:val="000000"/>
                <w:sz w:val="18"/>
                <w:szCs w:val="18"/>
              </w:rPr>
            </w:pPr>
          </w:p>
        </w:tc>
      </w:tr>
      <w:tr w14:paraId="3A9997B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00A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Realized capital gains</w:t>
            </w:r>
          </w:p>
        </w:tc>
        <w:tc>
          <w:tcPr>
            <w:tcW w:w="8558" w:type="dxa"/>
            <w:shd w:val="clear" w:color="auto" w:fill="auto"/>
            <w:vAlign w:val="center"/>
            <w:hideMark/>
          </w:tcPr>
          <w:p w:rsidR="00EA2492" w:rsidRPr="00F7311D" w:rsidP="00EA2492" w14:paraId="330900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capital gain on securities held in a portfolio that has become actual by the sale or other type of surrender of one or many securities.</w:t>
            </w:r>
          </w:p>
        </w:tc>
        <w:tc>
          <w:tcPr>
            <w:tcW w:w="2097" w:type="dxa"/>
            <w:shd w:val="clear" w:color="auto" w:fill="auto"/>
            <w:vAlign w:val="center"/>
            <w:hideMark/>
          </w:tcPr>
          <w:p w:rsidR="00EA2492" w:rsidRPr="00F7311D" w:rsidP="00EA2492" w14:paraId="7B5D0519" w14:textId="77777777">
            <w:pPr>
              <w:spacing w:after="0" w:line="240" w:lineRule="auto"/>
              <w:rPr>
                <w:rFonts w:ascii="Calibri" w:eastAsia="Times New Roman" w:hAnsi="Calibri" w:cs="Calibri"/>
                <w:color w:val="000000"/>
                <w:sz w:val="18"/>
                <w:szCs w:val="18"/>
              </w:rPr>
            </w:pPr>
          </w:p>
        </w:tc>
      </w:tr>
      <w:tr w14:paraId="5D2C634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5DA5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Received aid</w:t>
            </w:r>
          </w:p>
        </w:tc>
        <w:tc>
          <w:tcPr>
            <w:tcW w:w="8558" w:type="dxa"/>
            <w:shd w:val="clear" w:color="auto" w:fill="auto"/>
            <w:vAlign w:val="center"/>
            <w:hideMark/>
          </w:tcPr>
          <w:p w:rsidR="00EA2492" w:rsidRPr="00F7311D" w:rsidP="00EA2492" w14:paraId="70A46E1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097" w:type="dxa"/>
            <w:shd w:val="clear" w:color="auto" w:fill="auto"/>
            <w:vAlign w:val="center"/>
            <w:hideMark/>
          </w:tcPr>
          <w:p w:rsidR="00EA2492" w:rsidRPr="00F7311D" w:rsidP="00EA2492" w14:paraId="6F20ECE1" w14:textId="77777777">
            <w:pPr>
              <w:spacing w:after="0" w:line="240" w:lineRule="auto"/>
              <w:rPr>
                <w:rFonts w:ascii="Calibri" w:eastAsia="Times New Roman" w:hAnsi="Calibri" w:cs="Calibri"/>
                <w:color w:val="000000"/>
                <w:sz w:val="18"/>
                <w:szCs w:val="18"/>
              </w:rPr>
            </w:pPr>
          </w:p>
        </w:tc>
      </w:tr>
      <w:tr w14:paraId="66B679B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AEA930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Recognized postsecondary credential</w:t>
            </w:r>
          </w:p>
        </w:tc>
        <w:tc>
          <w:tcPr>
            <w:tcW w:w="8558" w:type="dxa"/>
            <w:shd w:val="clear" w:color="auto" w:fill="auto"/>
            <w:vAlign w:val="center"/>
            <w:hideMark/>
          </w:tcPr>
          <w:p w:rsidR="00EA2492" w:rsidRPr="00F7311D" w:rsidP="00EA2492" w14:paraId="64168E3D" w14:textId="454C898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recognized postsecondary credential includes any </w:t>
            </w:r>
            <w:r w:rsidRPr="00FB5A34">
              <w:rPr>
                <w:rFonts w:ascii="Calibri" w:eastAsia="Times New Roman" w:hAnsi="Calibri" w:cs="Calibri"/>
                <w:color w:val="000000" w:themeColor="text1"/>
                <w:sz w:val="18"/>
                <w:szCs w:val="18"/>
              </w:rPr>
              <w:t xml:space="preserve">credential that is </w:t>
            </w:r>
            <w:r w:rsidRPr="00FB5A34" w:rsidR="0087417C">
              <w:rPr>
                <w:rFonts w:ascii="Calibri" w:eastAsia="Times New Roman" w:hAnsi="Calibri" w:cs="Calibri"/>
                <w:color w:val="000000" w:themeColor="text1"/>
                <w:sz w:val="18"/>
                <w:szCs w:val="18"/>
              </w:rPr>
              <w:t xml:space="preserve">recognized by the institution’s appropriate governing body and </w:t>
            </w:r>
            <w:r w:rsidRPr="00FB5A34">
              <w:rPr>
                <w:rFonts w:ascii="Calibri" w:eastAsia="Times New Roman" w:hAnsi="Calibri" w:cs="Calibri"/>
                <w:color w:val="000000" w:themeColor="text1"/>
                <w:sz w:val="18"/>
                <w:szCs w:val="18"/>
              </w:rPr>
              <w:t>received after completion of a</w:t>
            </w:r>
            <w:r w:rsidRPr="00FB5A34" w:rsidR="00C163BF">
              <w:rPr>
                <w:rFonts w:ascii="Calibri" w:eastAsia="Times New Roman" w:hAnsi="Calibri" w:cs="Calibri"/>
                <w:color w:val="000000" w:themeColor="text1"/>
                <w:sz w:val="18"/>
                <w:szCs w:val="18"/>
              </w:rPr>
              <w:t>n academic</w:t>
            </w:r>
            <w:r w:rsidRPr="00FB5A34">
              <w:rPr>
                <w:rFonts w:ascii="Calibri" w:eastAsia="Times New Roman" w:hAnsi="Calibri" w:cs="Calibri"/>
                <w:color w:val="000000" w:themeColor="text1"/>
                <w:sz w:val="18"/>
                <w:szCs w:val="18"/>
              </w:rPr>
              <w:t xml:space="preserve"> program or that is awarded in recognition of an </w:t>
            </w:r>
            <w:r w:rsidRPr="00FB5A34">
              <w:rPr>
                <w:rFonts w:ascii="Calibri" w:eastAsia="Times New Roman" w:hAnsi="Calibri" w:cs="Calibri"/>
                <w:color w:val="000000" w:themeColor="text1"/>
                <w:sz w:val="18"/>
                <w:szCs w:val="18"/>
              </w:rPr>
              <w:t>individual</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s attainment of measurable technical or industry/occupational skills necessary to obtain employment </w:t>
            </w:r>
            <w:r w:rsidRPr="00F7311D">
              <w:rPr>
                <w:rFonts w:ascii="Calibri" w:eastAsia="Times New Roman" w:hAnsi="Calibri" w:cs="Calibri"/>
                <w:color w:val="000000"/>
                <w:sz w:val="18"/>
                <w:szCs w:val="18"/>
              </w:rPr>
              <w:t>or advance within an industry/occupation. These technical or industry/occupational skills generally are based on standards developed or endorsed by employers or industry associations.</w:t>
            </w:r>
          </w:p>
        </w:tc>
        <w:tc>
          <w:tcPr>
            <w:tcW w:w="2097" w:type="dxa"/>
            <w:shd w:val="clear" w:color="auto" w:fill="auto"/>
            <w:vAlign w:val="center"/>
            <w:hideMark/>
          </w:tcPr>
          <w:p w:rsidR="00EA2492" w:rsidRPr="00F7311D" w:rsidP="00EA2492" w14:paraId="505BA42F" w14:textId="77777777">
            <w:pPr>
              <w:spacing w:after="0" w:line="240" w:lineRule="auto"/>
              <w:rPr>
                <w:rFonts w:ascii="Calibri" w:eastAsia="Times New Roman" w:hAnsi="Calibri" w:cs="Calibri"/>
                <w:color w:val="000000"/>
                <w:sz w:val="18"/>
                <w:szCs w:val="18"/>
              </w:rPr>
            </w:pPr>
          </w:p>
        </w:tc>
      </w:tr>
      <w:tr w14:paraId="3789484E" w14:textId="77777777" w:rsidTr="0036249A">
        <w:tblPrEx>
          <w:tblW w:w="13616" w:type="dxa"/>
          <w:tblLook w:val="04A0"/>
        </w:tblPrEx>
        <w:trPr>
          <w:trHeight w:val="20"/>
        </w:trPr>
        <w:tc>
          <w:tcPr>
            <w:tcW w:w="2961" w:type="dxa"/>
            <w:shd w:val="clear" w:color="auto" w:fill="auto"/>
            <w:vAlign w:val="center"/>
          </w:tcPr>
          <w:p w:rsidR="00EA2492" w:rsidRPr="00FB5A34" w:rsidP="00EA2492" w14:paraId="1479409A" w14:textId="6D526267">
            <w:pPr>
              <w:spacing w:after="0" w:line="240" w:lineRule="auto"/>
              <w:rPr>
                <w:rFonts w:ascii="Calibri" w:eastAsia="Times New Roman" w:hAnsi="Calibri" w:cs="Calibri"/>
                <w:strike/>
                <w:color w:val="000000" w:themeColor="text1"/>
                <w:sz w:val="18"/>
                <w:szCs w:val="18"/>
              </w:rPr>
            </w:pPr>
            <w:r w:rsidRPr="00FB5A34">
              <w:rPr>
                <w:rFonts w:ascii="Calibri" w:eastAsia="Times New Roman" w:hAnsi="Calibri" w:cs="Calibri"/>
                <w:color w:val="000000" w:themeColor="text1"/>
                <w:sz w:val="18"/>
                <w:szCs w:val="18"/>
              </w:rPr>
              <w:t xml:space="preserve">Developmental </w:t>
            </w:r>
            <w:r w:rsidRPr="00FB5A34">
              <w:rPr>
                <w:rFonts w:ascii="Calibri" w:eastAsia="Times New Roman" w:hAnsi="Calibri" w:cs="Calibri"/>
                <w:color w:val="000000" w:themeColor="text1"/>
                <w:sz w:val="18"/>
                <w:szCs w:val="18"/>
              </w:rPr>
              <w:t>education</w:t>
            </w:r>
          </w:p>
        </w:tc>
        <w:tc>
          <w:tcPr>
            <w:tcW w:w="8558" w:type="dxa"/>
            <w:shd w:val="clear" w:color="auto" w:fill="auto"/>
            <w:vAlign w:val="center"/>
          </w:tcPr>
          <w:p w:rsidR="00EA2492" w:rsidRPr="00FB5A34" w:rsidP="00EA2492" w14:paraId="0AB0085C" w14:textId="37CDAFBC">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Courses or programs designed to develop the reading, writing, and/or math skills of students who are determined–typically by a standardized test¬–to be academically underprepared for college-level, credit-bearing courses.</w:t>
            </w:r>
          </w:p>
        </w:tc>
        <w:tc>
          <w:tcPr>
            <w:tcW w:w="2097" w:type="dxa"/>
            <w:shd w:val="clear" w:color="auto" w:fill="auto"/>
            <w:vAlign w:val="center"/>
          </w:tcPr>
          <w:p w:rsidR="00EA2492" w:rsidRPr="00F7311D" w:rsidP="00EA2492" w14:paraId="1E3D7A4B" w14:textId="77777777">
            <w:pPr>
              <w:spacing w:after="0" w:line="240" w:lineRule="auto"/>
              <w:rPr>
                <w:rFonts w:ascii="Calibri" w:eastAsia="Times New Roman" w:hAnsi="Calibri" w:cs="Calibri"/>
                <w:color w:val="000000"/>
                <w:sz w:val="18"/>
                <w:szCs w:val="18"/>
              </w:rPr>
            </w:pPr>
          </w:p>
        </w:tc>
      </w:tr>
      <w:tr w14:paraId="5E4AD6D2"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2C3E69D3" w14:textId="0C96071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Developmental </w:t>
            </w:r>
            <w:r w:rsidRPr="00FB5A34">
              <w:rPr>
                <w:rFonts w:ascii="Calibri" w:eastAsia="Times New Roman" w:hAnsi="Calibri" w:cs="Calibri"/>
                <w:color w:val="000000" w:themeColor="text1"/>
                <w:sz w:val="18"/>
                <w:szCs w:val="18"/>
              </w:rPr>
              <w:t>services</w:t>
            </w:r>
          </w:p>
        </w:tc>
        <w:tc>
          <w:tcPr>
            <w:tcW w:w="8558" w:type="dxa"/>
            <w:shd w:val="clear" w:color="auto" w:fill="auto"/>
            <w:vAlign w:val="center"/>
            <w:hideMark/>
          </w:tcPr>
          <w:p w:rsidR="00EA2492" w:rsidRPr="00FB5A34" w:rsidP="00EA2492" w14:paraId="716E8211"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Instructional activities designed for students deficient in the general competencies necessary for a regular postsecondary curriculum and educational setting.</w:t>
            </w:r>
          </w:p>
        </w:tc>
        <w:tc>
          <w:tcPr>
            <w:tcW w:w="2097" w:type="dxa"/>
            <w:shd w:val="clear" w:color="auto" w:fill="auto"/>
            <w:vAlign w:val="center"/>
            <w:hideMark/>
          </w:tcPr>
          <w:p w:rsidR="00EA2492" w:rsidRPr="00F7311D" w:rsidP="00EA2492" w14:paraId="3780ABC8" w14:textId="77777777">
            <w:pPr>
              <w:spacing w:after="0" w:line="240" w:lineRule="auto"/>
              <w:rPr>
                <w:rFonts w:ascii="Calibri" w:eastAsia="Times New Roman" w:hAnsi="Calibri" w:cs="Calibri"/>
                <w:color w:val="000000"/>
                <w:sz w:val="18"/>
                <w:szCs w:val="18"/>
              </w:rPr>
            </w:pPr>
          </w:p>
        </w:tc>
      </w:tr>
      <w:tr w14:paraId="6264F0E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2014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Required fees</w:t>
            </w:r>
          </w:p>
        </w:tc>
        <w:tc>
          <w:tcPr>
            <w:tcW w:w="8558" w:type="dxa"/>
            <w:shd w:val="clear" w:color="auto" w:fill="auto"/>
            <w:vAlign w:val="center"/>
            <w:hideMark/>
          </w:tcPr>
          <w:p w:rsidR="00EA2492" w:rsidRPr="00F7311D" w:rsidP="00EA2492" w14:paraId="01CCAB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Fixed sum charged to students for items not covered by tuition and required of such a large proportion of all students that the student who does not pay the charge is an exception.</w:t>
            </w:r>
          </w:p>
        </w:tc>
        <w:tc>
          <w:tcPr>
            <w:tcW w:w="2097" w:type="dxa"/>
            <w:shd w:val="clear" w:color="auto" w:fill="auto"/>
            <w:vAlign w:val="center"/>
            <w:hideMark/>
          </w:tcPr>
          <w:p w:rsidR="00EA2492" w:rsidRPr="00F7311D" w:rsidP="00EA2492" w14:paraId="23DCA2F9" w14:textId="77777777">
            <w:pPr>
              <w:spacing w:after="0" w:line="240" w:lineRule="auto"/>
              <w:rPr>
                <w:rFonts w:ascii="Calibri" w:eastAsia="Times New Roman" w:hAnsi="Calibri" w:cs="Calibri"/>
                <w:color w:val="000000"/>
                <w:sz w:val="18"/>
                <w:szCs w:val="18"/>
              </w:rPr>
            </w:pPr>
          </w:p>
        </w:tc>
      </w:tr>
      <w:tr w14:paraId="28D1AE6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57A41C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w:t>
            </w:r>
          </w:p>
        </w:tc>
        <w:tc>
          <w:tcPr>
            <w:tcW w:w="8558" w:type="dxa"/>
            <w:shd w:val="clear" w:color="auto" w:fill="auto"/>
            <w:vAlign w:val="center"/>
            <w:hideMark/>
          </w:tcPr>
          <w:p w:rsidR="00EA2492" w:rsidRPr="00F7311D" w:rsidP="00EA2492" w14:paraId="4E3A5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w:t>
            </w:r>
            <w:r w:rsidRPr="00F7311D">
              <w:rPr>
                <w:rFonts w:ascii="Calibri" w:eastAsia="Times New Roman" w:hAnsi="Calibri" w:cs="Calibri"/>
                <w:color w:val="000000"/>
                <w:sz w:val="18"/>
                <w:szCs w:val="18"/>
              </w:rPr>
              <w:t>nonresearch</w:t>
            </w:r>
            <w:r w:rsidRPr="00F7311D">
              <w:rPr>
                <w:rFonts w:ascii="Calibri" w:eastAsia="Times New Roman" w:hAnsi="Calibri" w:cs="Calibri"/>
                <w:color w:val="000000"/>
                <w:sz w:val="18"/>
                <w:szCs w:val="18"/>
              </w:rPr>
              <w:t xml:space="preserve"> sponsored programs (e.g., training programs). Also included are information technology expenses related to research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097" w:type="dxa"/>
            <w:shd w:val="clear" w:color="auto" w:fill="auto"/>
            <w:vAlign w:val="center"/>
            <w:hideMark/>
          </w:tcPr>
          <w:p w:rsidR="00EA2492" w:rsidRPr="00F7311D" w:rsidP="00EA2492" w14:paraId="30618901" w14:textId="77777777">
            <w:pPr>
              <w:spacing w:after="0" w:line="240" w:lineRule="auto"/>
              <w:rPr>
                <w:rFonts w:ascii="Calibri" w:eastAsia="Times New Roman" w:hAnsi="Calibri" w:cs="Calibri"/>
                <w:color w:val="000000"/>
                <w:sz w:val="18"/>
                <w:szCs w:val="18"/>
              </w:rPr>
            </w:pPr>
          </w:p>
        </w:tc>
      </w:tr>
      <w:tr w14:paraId="0521A77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84A429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Research Staff</w:t>
            </w:r>
          </w:p>
        </w:tc>
        <w:tc>
          <w:tcPr>
            <w:tcW w:w="8558" w:type="dxa"/>
            <w:shd w:val="clear" w:color="auto" w:fill="auto"/>
            <w:vAlign w:val="center"/>
            <w:hideMark/>
          </w:tcPr>
          <w:p w:rsidR="00EA2492" w:rsidRPr="00F7311D" w:rsidP="00EA2492" w14:paraId="53E95B5E" w14:textId="6BBA75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used to classify persons whose specific assignments customarily are made for the purpose of conducting research. Regardless of title, academic rank, or tenure status, these employees formally spend the majority of their time conducting research. (This category was called Primarily research prior to 2012-13.) </w:t>
            </w:r>
          </w:p>
        </w:tc>
        <w:tc>
          <w:tcPr>
            <w:tcW w:w="2097" w:type="dxa"/>
            <w:shd w:val="clear" w:color="auto" w:fill="auto"/>
            <w:vAlign w:val="center"/>
            <w:hideMark/>
          </w:tcPr>
          <w:p w:rsidR="00EA2492" w:rsidRPr="00F7311D" w:rsidP="00EA2492" w14:paraId="3A630E20" w14:textId="77777777">
            <w:pPr>
              <w:spacing w:after="0" w:line="240" w:lineRule="auto"/>
              <w:rPr>
                <w:rFonts w:ascii="Calibri" w:eastAsia="Times New Roman" w:hAnsi="Calibri" w:cs="Calibri"/>
                <w:color w:val="000000"/>
                <w:sz w:val="18"/>
                <w:szCs w:val="18"/>
              </w:rPr>
            </w:pPr>
          </w:p>
        </w:tc>
      </w:tr>
      <w:tr w14:paraId="4BF05C2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22186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Reserve Officer Training Corps (ROTC)</w:t>
            </w:r>
          </w:p>
        </w:tc>
        <w:tc>
          <w:tcPr>
            <w:tcW w:w="8558" w:type="dxa"/>
            <w:shd w:val="clear" w:color="auto" w:fill="auto"/>
            <w:vAlign w:val="center"/>
            <w:hideMark/>
          </w:tcPr>
          <w:p w:rsidR="00EA2492" w:rsidRPr="00F7311D" w:rsidP="00EA2492" w14:paraId="7210277F" w14:textId="1DDF929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augment the service academies in producing leaders and managers for the armed forces. Each branch of the service has a specific set of courses and training that a student must complete prior to becoming a commissioned officer. ROTC programs allow students to do this while completing their college education. Upon graduation members are commissioned (certified) by the President of the United States to serve as an officer in active, reserve or guard components of each branch</w:t>
            </w:r>
          </w:p>
        </w:tc>
        <w:tc>
          <w:tcPr>
            <w:tcW w:w="2097" w:type="dxa"/>
            <w:shd w:val="clear" w:color="auto" w:fill="auto"/>
            <w:vAlign w:val="center"/>
            <w:hideMark/>
          </w:tcPr>
          <w:p w:rsidR="00EA2492" w:rsidRPr="00F7311D" w:rsidP="00EA2492" w14:paraId="70C836EF" w14:textId="77777777">
            <w:pPr>
              <w:spacing w:after="0" w:line="240" w:lineRule="auto"/>
              <w:rPr>
                <w:rFonts w:ascii="Calibri" w:eastAsia="Times New Roman" w:hAnsi="Calibri" w:cs="Calibri"/>
                <w:color w:val="000000"/>
                <w:sz w:val="18"/>
                <w:szCs w:val="18"/>
              </w:rPr>
            </w:pPr>
          </w:p>
        </w:tc>
      </w:tr>
      <w:tr w14:paraId="65A313A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F0BD1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Residence</w:t>
            </w:r>
          </w:p>
        </w:tc>
        <w:tc>
          <w:tcPr>
            <w:tcW w:w="8558" w:type="dxa"/>
            <w:shd w:val="clear" w:color="auto" w:fill="auto"/>
            <w:vAlign w:val="center"/>
            <w:hideMark/>
          </w:tcPr>
          <w:p w:rsidR="00EA2492" w:rsidRPr="00F7311D" w:rsidP="00EA2492" w14:paraId="637F87CB" w14:textId="42F7042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permanent address determined by such evidence as a driver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license or voter registration. For entering freshmen, residence may be the legal residence of a parent or guardian.</w:t>
            </w:r>
          </w:p>
        </w:tc>
        <w:tc>
          <w:tcPr>
            <w:tcW w:w="2097" w:type="dxa"/>
            <w:shd w:val="clear" w:color="auto" w:fill="auto"/>
            <w:vAlign w:val="center"/>
            <w:hideMark/>
          </w:tcPr>
          <w:p w:rsidR="00EA2492" w:rsidRPr="00F7311D" w:rsidP="00EA2492" w14:paraId="2E895588" w14:textId="77777777">
            <w:pPr>
              <w:spacing w:after="0" w:line="240" w:lineRule="auto"/>
              <w:rPr>
                <w:rFonts w:ascii="Calibri" w:eastAsia="Times New Roman" w:hAnsi="Calibri" w:cs="Calibri"/>
                <w:color w:val="000000"/>
                <w:sz w:val="18"/>
                <w:szCs w:val="18"/>
              </w:rPr>
            </w:pPr>
          </w:p>
        </w:tc>
      </w:tr>
      <w:tr w14:paraId="4FFAF7B2"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3C34DD6E" w14:textId="16FFE931">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Resident (and other eligible non-citizens)</w:t>
            </w:r>
          </w:p>
        </w:tc>
        <w:tc>
          <w:tcPr>
            <w:tcW w:w="8558" w:type="dxa"/>
            <w:shd w:val="clear" w:color="auto" w:fill="auto"/>
            <w:vAlign w:val="center"/>
            <w:hideMark/>
          </w:tcPr>
          <w:p w:rsidR="00EA2492" w:rsidRPr="002515CF" w:rsidP="00EA2492" w14:paraId="531FABE9" w14:textId="4A8CCF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person who is not a citizen or national of the United States but who has been admitted as a legal immigrant for the purpose of obtaining permanent resident status (and who holds either a registration card (Form I-551 or I-151), a Temporary Resident Card (Form I-688), or an Arrival-Departure Record (Form I-94) with a notation that conveys legal immigrant status such as Section 207 Refugee, Section 208 Asylee, Conditional Entrant Parolee or Cuban-Haitian).</w:t>
            </w:r>
          </w:p>
        </w:tc>
        <w:tc>
          <w:tcPr>
            <w:tcW w:w="2097" w:type="dxa"/>
            <w:shd w:val="clear" w:color="auto" w:fill="auto"/>
            <w:vAlign w:val="center"/>
            <w:hideMark/>
          </w:tcPr>
          <w:p w:rsidR="00EA2492" w:rsidRPr="002515CF" w:rsidP="00EA2492" w14:paraId="0112F984" w14:textId="72A1B1E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 xml:space="preserve">U.S. </w:t>
            </w:r>
            <w:r w:rsidRPr="002515CF">
              <w:rPr>
                <w:rFonts w:ascii="Calibri" w:eastAsia="Times New Roman" w:hAnsi="Calibri" w:cs="Calibri"/>
                <w:sz w:val="18"/>
                <w:szCs w:val="18"/>
              </w:rPr>
              <w:t>Nonresident</w:t>
            </w:r>
          </w:p>
        </w:tc>
      </w:tr>
      <w:tr w14:paraId="62B5BE9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9FD511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Respondent burden estimate</w:t>
            </w:r>
          </w:p>
        </w:tc>
        <w:tc>
          <w:tcPr>
            <w:tcW w:w="8558" w:type="dxa"/>
            <w:shd w:val="clear" w:color="auto" w:fill="auto"/>
            <w:vAlign w:val="center"/>
            <w:hideMark/>
          </w:tcPr>
          <w:p w:rsidR="00EA2492" w:rsidRPr="00F7311D" w:rsidP="00EA2492" w14:paraId="361CB41A" w14:textId="4C3D232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estimated amount of time that it takes to fulfill IPEDS reporting responsibilities, including the time it takes to review instructions, query and search data sources, complete and review the components, and submit the data through the Data Collection System.</w:t>
            </w:r>
          </w:p>
        </w:tc>
        <w:tc>
          <w:tcPr>
            <w:tcW w:w="2097" w:type="dxa"/>
            <w:shd w:val="clear" w:color="auto" w:fill="auto"/>
            <w:vAlign w:val="center"/>
            <w:hideMark/>
          </w:tcPr>
          <w:p w:rsidR="00EA2492" w:rsidRPr="00F7311D" w:rsidP="00EA2492" w14:paraId="06360DA2" w14:textId="77777777">
            <w:pPr>
              <w:spacing w:after="0" w:line="240" w:lineRule="auto"/>
              <w:rPr>
                <w:rFonts w:ascii="Calibri" w:eastAsia="Times New Roman" w:hAnsi="Calibri" w:cs="Calibri"/>
                <w:color w:val="000000"/>
                <w:sz w:val="18"/>
                <w:szCs w:val="18"/>
              </w:rPr>
            </w:pPr>
          </w:p>
        </w:tc>
      </w:tr>
      <w:tr w14:paraId="2893937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15C9B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current funds</w:t>
            </w:r>
          </w:p>
        </w:tc>
        <w:tc>
          <w:tcPr>
            <w:tcW w:w="8558" w:type="dxa"/>
            <w:shd w:val="clear" w:color="auto" w:fill="auto"/>
            <w:vAlign w:val="center"/>
            <w:hideMark/>
          </w:tcPr>
          <w:p w:rsidR="00EA2492" w:rsidRPr="00F7311D" w:rsidP="00EA2492" w14:paraId="08D1696E" w14:textId="3CD723D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available for financing operations but which are limited by donors or other external agencies to specific purposes, programs, departments, or schools. These funds are subject to externally imposed restrictions which are different from the internal designations imposed by the governing board on unrestricted funds.</w:t>
            </w:r>
          </w:p>
        </w:tc>
        <w:tc>
          <w:tcPr>
            <w:tcW w:w="2097" w:type="dxa"/>
            <w:shd w:val="clear" w:color="auto" w:fill="auto"/>
            <w:vAlign w:val="center"/>
            <w:hideMark/>
          </w:tcPr>
          <w:p w:rsidR="00EA2492" w:rsidRPr="00F7311D" w:rsidP="00EA2492" w14:paraId="64C65ABB" w14:textId="77777777">
            <w:pPr>
              <w:spacing w:after="0" w:line="240" w:lineRule="auto"/>
              <w:rPr>
                <w:rFonts w:ascii="Calibri" w:eastAsia="Times New Roman" w:hAnsi="Calibri" w:cs="Calibri"/>
                <w:color w:val="000000"/>
                <w:sz w:val="18"/>
                <w:szCs w:val="18"/>
              </w:rPr>
            </w:pPr>
          </w:p>
        </w:tc>
      </w:tr>
      <w:tr w14:paraId="64A854D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08E47A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 net assets (FASB institutions only)</w:t>
            </w:r>
          </w:p>
        </w:tc>
        <w:tc>
          <w:tcPr>
            <w:tcW w:w="8558" w:type="dxa"/>
            <w:shd w:val="clear" w:color="auto" w:fill="auto"/>
            <w:vAlign w:val="center"/>
            <w:hideMark/>
          </w:tcPr>
          <w:p w:rsidR="00EA2492" w:rsidRPr="00F7311D" w:rsidP="00EA2492" w14:paraId="2D5EB2D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Assets held by the institution upon which restrictions have been placed by donors. These restrictions may be temporary or permanent. They restrict the institution in its use of the assets and/or the period of time for which the restriction applies.</w:t>
            </w:r>
          </w:p>
        </w:tc>
        <w:tc>
          <w:tcPr>
            <w:tcW w:w="2097" w:type="dxa"/>
            <w:shd w:val="clear" w:color="auto" w:fill="auto"/>
            <w:vAlign w:val="center"/>
            <w:hideMark/>
          </w:tcPr>
          <w:p w:rsidR="00EA2492" w:rsidRPr="00F7311D" w:rsidP="00EA2492" w14:paraId="24FEF922" w14:textId="77777777">
            <w:pPr>
              <w:spacing w:after="0" w:line="240" w:lineRule="auto"/>
              <w:rPr>
                <w:rFonts w:ascii="Calibri" w:eastAsia="Times New Roman" w:hAnsi="Calibri" w:cs="Calibri"/>
                <w:color w:val="000000"/>
                <w:sz w:val="18"/>
                <w:szCs w:val="18"/>
              </w:rPr>
            </w:pPr>
          </w:p>
        </w:tc>
      </w:tr>
      <w:tr w14:paraId="4E07274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8CB54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Restricted-expendable (net assets)</w:t>
            </w:r>
          </w:p>
        </w:tc>
        <w:tc>
          <w:tcPr>
            <w:tcW w:w="8558" w:type="dxa"/>
            <w:shd w:val="clear" w:color="auto" w:fill="auto"/>
            <w:vAlign w:val="center"/>
            <w:hideMark/>
          </w:tcPr>
          <w:p w:rsidR="00EA2492" w:rsidRPr="00F7311D" w:rsidP="00EA2492" w14:paraId="1B6868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that are expendable but subject to imposed restrictions. Restrictions exist when constraints placed on use are either (a) externally imposed by creditors, grantors, contributors, or laws and regulations of other governments, or (b) imposed by law through constitutional provisions or enabling legislation.</w:t>
            </w:r>
          </w:p>
        </w:tc>
        <w:tc>
          <w:tcPr>
            <w:tcW w:w="2097" w:type="dxa"/>
            <w:shd w:val="clear" w:color="auto" w:fill="auto"/>
            <w:vAlign w:val="center"/>
            <w:hideMark/>
          </w:tcPr>
          <w:p w:rsidR="00EA2492" w:rsidRPr="00F7311D" w:rsidP="00EA2492" w14:paraId="0F6FC5E2" w14:textId="77777777">
            <w:pPr>
              <w:spacing w:after="0" w:line="240" w:lineRule="auto"/>
              <w:rPr>
                <w:rFonts w:ascii="Calibri" w:eastAsia="Times New Roman" w:hAnsi="Calibri" w:cs="Calibri"/>
                <w:color w:val="000000"/>
                <w:sz w:val="18"/>
                <w:szCs w:val="18"/>
              </w:rPr>
            </w:pPr>
          </w:p>
        </w:tc>
      </w:tr>
      <w:tr w14:paraId="512615C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37B714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Restricted-nonexpendable (net assets)</w:t>
            </w:r>
          </w:p>
        </w:tc>
        <w:tc>
          <w:tcPr>
            <w:tcW w:w="8558" w:type="dxa"/>
            <w:shd w:val="clear" w:color="auto" w:fill="auto"/>
            <w:vAlign w:val="center"/>
            <w:hideMark/>
          </w:tcPr>
          <w:p w:rsidR="00EA2492" w:rsidRPr="00F7311D" w:rsidP="00EA2492" w14:paraId="31B606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GASB institutions subject to restrictions that prohibit the expenditure of the net assets in perpetuity. Restrictions exist when constraints placed on use are either (a) externally imposed by creditors, grantors, contributors, or laws and regulations of other governments, or (b) imposed by law through constitutional provisions or enabling legislation. Permanent endowments  are the most common example.</w:t>
            </w:r>
          </w:p>
        </w:tc>
        <w:tc>
          <w:tcPr>
            <w:tcW w:w="2097" w:type="dxa"/>
            <w:shd w:val="clear" w:color="auto" w:fill="auto"/>
            <w:vAlign w:val="center"/>
            <w:hideMark/>
          </w:tcPr>
          <w:p w:rsidR="00EA2492" w:rsidRPr="00F7311D" w:rsidP="00EA2492" w14:paraId="2F184544" w14:textId="77777777">
            <w:pPr>
              <w:spacing w:after="0" w:line="240" w:lineRule="auto"/>
              <w:rPr>
                <w:rFonts w:ascii="Calibri" w:eastAsia="Times New Roman" w:hAnsi="Calibri" w:cs="Calibri"/>
                <w:color w:val="000000"/>
                <w:sz w:val="18"/>
                <w:szCs w:val="18"/>
              </w:rPr>
            </w:pPr>
          </w:p>
        </w:tc>
      </w:tr>
      <w:tr w14:paraId="7604F0C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D1E1F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Retention rate</w:t>
            </w:r>
          </w:p>
        </w:tc>
        <w:tc>
          <w:tcPr>
            <w:tcW w:w="8558" w:type="dxa"/>
            <w:shd w:val="clear" w:color="auto" w:fill="auto"/>
            <w:vAlign w:val="center"/>
            <w:hideMark/>
          </w:tcPr>
          <w:p w:rsidR="00EA2492" w:rsidRPr="00F7311D" w:rsidP="00EA2492" w14:paraId="479CF26E" w14:textId="113DF4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measure of the rate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w:t>
            </w:r>
          </w:p>
        </w:tc>
        <w:tc>
          <w:tcPr>
            <w:tcW w:w="2097" w:type="dxa"/>
            <w:shd w:val="clear" w:color="auto" w:fill="auto"/>
            <w:vAlign w:val="center"/>
            <w:hideMark/>
          </w:tcPr>
          <w:p w:rsidR="00EA2492" w:rsidRPr="00F7311D" w:rsidP="00EA2492" w14:paraId="6B0D3DB3" w14:textId="77777777">
            <w:pPr>
              <w:spacing w:after="0" w:line="240" w:lineRule="auto"/>
              <w:rPr>
                <w:rFonts w:ascii="Calibri" w:eastAsia="Times New Roman" w:hAnsi="Calibri" w:cs="Calibri"/>
                <w:color w:val="000000"/>
                <w:sz w:val="18"/>
                <w:szCs w:val="18"/>
              </w:rPr>
            </w:pPr>
          </w:p>
        </w:tc>
      </w:tr>
      <w:tr w14:paraId="27804AB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69569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Returnables</w:t>
            </w:r>
          </w:p>
        </w:tc>
        <w:tc>
          <w:tcPr>
            <w:tcW w:w="8558" w:type="dxa"/>
            <w:shd w:val="clear" w:color="auto" w:fill="auto"/>
            <w:vAlign w:val="center"/>
            <w:hideMark/>
          </w:tcPr>
          <w:p w:rsidR="00EA2492" w:rsidRPr="00F7311D" w:rsidP="00EA2492" w14:paraId="1CEB9C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Materials that the library expects to have returned. Examples of </w:t>
            </w:r>
            <w:r w:rsidRPr="00F7311D">
              <w:rPr>
                <w:rFonts w:ascii="Calibri" w:eastAsia="Times New Roman" w:hAnsi="Calibri" w:cs="Calibri"/>
                <w:color w:val="000000"/>
                <w:sz w:val="18"/>
                <w:szCs w:val="18"/>
              </w:rPr>
              <w:t>returnables</w:t>
            </w:r>
            <w:r w:rsidRPr="00F7311D">
              <w:rPr>
                <w:rFonts w:ascii="Calibri" w:eastAsia="Times New Roman" w:hAnsi="Calibri" w:cs="Calibri"/>
                <w:color w:val="000000"/>
                <w:sz w:val="18"/>
                <w:szCs w:val="18"/>
              </w:rPr>
              <w:t xml:space="preserve"> include books, dissertations and theses, microfilm reels, sound recordings, and audiovisual material.</w:t>
            </w:r>
          </w:p>
        </w:tc>
        <w:tc>
          <w:tcPr>
            <w:tcW w:w="2097" w:type="dxa"/>
            <w:shd w:val="clear" w:color="auto" w:fill="auto"/>
            <w:vAlign w:val="center"/>
            <w:hideMark/>
          </w:tcPr>
          <w:p w:rsidR="00EA2492" w:rsidRPr="00F7311D" w:rsidP="00EA2492" w14:paraId="15E90562" w14:textId="77777777">
            <w:pPr>
              <w:spacing w:after="0" w:line="240" w:lineRule="auto"/>
              <w:rPr>
                <w:rFonts w:ascii="Calibri" w:eastAsia="Times New Roman" w:hAnsi="Calibri" w:cs="Calibri"/>
                <w:color w:val="000000"/>
                <w:sz w:val="18"/>
                <w:szCs w:val="18"/>
              </w:rPr>
            </w:pPr>
          </w:p>
        </w:tc>
      </w:tr>
      <w:tr w14:paraId="3333D0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BECD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w:t>
            </w:r>
          </w:p>
        </w:tc>
        <w:tc>
          <w:tcPr>
            <w:tcW w:w="8558" w:type="dxa"/>
            <w:shd w:val="clear" w:color="auto" w:fill="auto"/>
            <w:vAlign w:val="center"/>
            <w:hideMark/>
          </w:tcPr>
          <w:p w:rsidR="00EA2492" w:rsidRPr="00F7311D" w:rsidP="00EA2492" w14:paraId="55ED1F8E" w14:textId="2F24CF2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inflow of resources or other enhancement of net assets (or fund balance) of an institution or settlements of its liabilities (or a combination of both) from delivering or producing goods, rendering services, or other activities that constitute the institution</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ongoing major or central operations. Includes revenues from fees and charges, appropriations, auxiliary enterprises, and contributions and other nonexchange transactions. Revenues are reported net of discounts and allowances (that is, the revenue reported is reduced by the amount of discounts and allowances) for FASB institutions and for GASB institutions that have implemented GASB Statement No. 34.</w:t>
            </w:r>
          </w:p>
        </w:tc>
        <w:tc>
          <w:tcPr>
            <w:tcW w:w="2097" w:type="dxa"/>
            <w:shd w:val="clear" w:color="auto" w:fill="auto"/>
            <w:vAlign w:val="center"/>
            <w:hideMark/>
          </w:tcPr>
          <w:p w:rsidR="00EA2492" w:rsidRPr="00F7311D" w:rsidP="00EA2492" w14:paraId="04E07D4E" w14:textId="77777777">
            <w:pPr>
              <w:spacing w:after="0" w:line="240" w:lineRule="auto"/>
              <w:rPr>
                <w:rFonts w:ascii="Calibri" w:eastAsia="Times New Roman" w:hAnsi="Calibri" w:cs="Calibri"/>
                <w:color w:val="000000"/>
                <w:sz w:val="18"/>
                <w:szCs w:val="18"/>
              </w:rPr>
            </w:pPr>
          </w:p>
        </w:tc>
      </w:tr>
      <w:tr w14:paraId="7E8DBED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5CC33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Revised cohort</w:t>
            </w:r>
          </w:p>
        </w:tc>
        <w:tc>
          <w:tcPr>
            <w:tcW w:w="8558" w:type="dxa"/>
            <w:shd w:val="clear" w:color="auto" w:fill="auto"/>
            <w:vAlign w:val="center"/>
            <w:hideMark/>
          </w:tcPr>
          <w:p w:rsidR="00EA2492" w:rsidRPr="00F7311D" w:rsidP="00EA2492" w14:paraId="65D35D0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Initial cohort after revisions are made. Cohorts may be revised if an institution discovers that incorrect data were reported in an earlier year.</w:t>
            </w:r>
          </w:p>
        </w:tc>
        <w:tc>
          <w:tcPr>
            <w:tcW w:w="2097" w:type="dxa"/>
            <w:shd w:val="clear" w:color="auto" w:fill="auto"/>
            <w:vAlign w:val="center"/>
            <w:hideMark/>
          </w:tcPr>
          <w:p w:rsidR="00EA2492" w:rsidRPr="00F7311D" w:rsidP="00EA2492" w14:paraId="78A57531" w14:textId="77777777">
            <w:pPr>
              <w:spacing w:after="0" w:line="240" w:lineRule="auto"/>
              <w:rPr>
                <w:rFonts w:ascii="Calibri" w:eastAsia="Times New Roman" w:hAnsi="Calibri" w:cs="Calibri"/>
                <w:color w:val="000000"/>
                <w:sz w:val="18"/>
                <w:szCs w:val="18"/>
              </w:rPr>
            </w:pPr>
          </w:p>
        </w:tc>
      </w:tr>
      <w:tr w14:paraId="28AB4E09"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1EDF9A52" w14:textId="3CEFE46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Housing</w:t>
            </w:r>
            <w:r w:rsidRPr="00FB5A34" w:rsidR="60DAE3AF">
              <w:rPr>
                <w:rFonts w:ascii="Calibri" w:eastAsia="Times New Roman" w:hAnsi="Calibri" w:cs="Calibri"/>
                <w:color w:val="000000" w:themeColor="text1"/>
                <w:sz w:val="18"/>
                <w:szCs w:val="18"/>
              </w:rPr>
              <w:t xml:space="preserve"> </w:t>
            </w:r>
            <w:r w:rsidRPr="00FB5A34" w:rsidR="028B72D2">
              <w:rPr>
                <w:rFonts w:ascii="Calibri" w:eastAsia="Times New Roman" w:hAnsi="Calibri" w:cs="Calibri"/>
                <w:color w:val="000000" w:themeColor="text1"/>
                <w:sz w:val="18"/>
                <w:szCs w:val="18"/>
              </w:rPr>
              <w:t xml:space="preserve">charges (formerly </w:t>
            </w:r>
            <w:r w:rsidRPr="00FB5A34">
              <w:rPr>
                <w:rFonts w:ascii="Calibri" w:eastAsia="Times New Roman" w:hAnsi="Calibri" w:cs="Calibri"/>
                <w:color w:val="000000" w:themeColor="text1"/>
                <w:sz w:val="18"/>
                <w:szCs w:val="18"/>
              </w:rPr>
              <w:t>r</w:t>
            </w:r>
            <w:r w:rsidRPr="00FB5A34" w:rsidR="338FF004">
              <w:rPr>
                <w:rFonts w:ascii="Calibri" w:eastAsia="Times New Roman" w:hAnsi="Calibri" w:cs="Calibri"/>
                <w:color w:val="000000" w:themeColor="text1"/>
                <w:sz w:val="18"/>
                <w:szCs w:val="18"/>
              </w:rPr>
              <w:t>oom charges</w:t>
            </w:r>
            <w:r w:rsidRPr="00FB5A34">
              <w:rPr>
                <w:rFonts w:ascii="Calibri" w:eastAsia="Times New Roman" w:hAnsi="Calibri" w:cs="Calibri"/>
                <w:color w:val="000000" w:themeColor="text1"/>
                <w:sz w:val="18"/>
                <w:szCs w:val="18"/>
              </w:rPr>
              <w:t>)</w:t>
            </w:r>
          </w:p>
        </w:tc>
        <w:tc>
          <w:tcPr>
            <w:tcW w:w="8558" w:type="dxa"/>
            <w:shd w:val="clear" w:color="auto" w:fill="auto"/>
            <w:vAlign w:val="center"/>
            <w:hideMark/>
          </w:tcPr>
          <w:p w:rsidR="00EA2492" w:rsidRPr="00FB5A34" w:rsidP="00EA2492" w14:paraId="03300FA3" w14:textId="465B0CE4">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The charges for an academic year for </w:t>
            </w:r>
            <w:r w:rsidRPr="00FB5A34" w:rsidR="00590757">
              <w:rPr>
                <w:rFonts w:ascii="Calibri" w:eastAsia="Times New Roman" w:hAnsi="Calibri" w:cs="Calibri"/>
                <w:color w:val="000000" w:themeColor="text1"/>
                <w:sz w:val="18"/>
                <w:szCs w:val="18"/>
              </w:rPr>
              <w:t xml:space="preserve">housing </w:t>
            </w:r>
            <w:r w:rsidRPr="00FB5A34">
              <w:rPr>
                <w:rFonts w:ascii="Calibri" w:eastAsia="Times New Roman" w:hAnsi="Calibri" w:cs="Calibri"/>
                <w:color w:val="000000" w:themeColor="text1"/>
                <w:sz w:val="18"/>
                <w:szCs w:val="18"/>
              </w:rPr>
              <w:t>accommodations for a typical student sharing a room with one other student.</w:t>
            </w:r>
          </w:p>
        </w:tc>
        <w:tc>
          <w:tcPr>
            <w:tcW w:w="2097" w:type="dxa"/>
            <w:shd w:val="clear" w:color="auto" w:fill="auto"/>
            <w:vAlign w:val="center"/>
            <w:hideMark/>
          </w:tcPr>
          <w:p w:rsidR="00EA2492" w:rsidRPr="00F7311D" w:rsidP="00EA2492" w14:paraId="65D49D81" w14:textId="77777777">
            <w:pPr>
              <w:spacing w:after="0" w:line="240" w:lineRule="auto"/>
              <w:rPr>
                <w:rFonts w:ascii="Calibri" w:eastAsia="Times New Roman" w:hAnsi="Calibri" w:cs="Calibri"/>
                <w:color w:val="000000"/>
                <w:sz w:val="18"/>
                <w:szCs w:val="18"/>
              </w:rPr>
            </w:pPr>
          </w:p>
        </w:tc>
      </w:tr>
      <w:tr w14:paraId="13C516DD"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4EDD7687"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Salaries and wages</w:t>
            </w:r>
          </w:p>
        </w:tc>
        <w:tc>
          <w:tcPr>
            <w:tcW w:w="8558" w:type="dxa"/>
            <w:shd w:val="clear" w:color="auto" w:fill="auto"/>
            <w:vAlign w:val="center"/>
            <w:hideMark/>
          </w:tcPr>
          <w:p w:rsidR="00EA2492" w:rsidRPr="00FB5A34" w:rsidP="00EA2492" w14:paraId="2118E8EB" w14:textId="5551104D">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Amounts paid as compensation for services to all employees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faculty, staff, part-time, full-time, regular employees, and student employees. This includes regular or periodic payment to a person for the regular or periodic performance of work or a service and payment to a person for more sporadic performance of work or a service (overtime, extra compensation, summer compensation, bonuses, sick or annual leave, etc.).</w:t>
            </w:r>
          </w:p>
        </w:tc>
        <w:tc>
          <w:tcPr>
            <w:tcW w:w="2097" w:type="dxa"/>
            <w:shd w:val="clear" w:color="auto" w:fill="auto"/>
            <w:vAlign w:val="center"/>
            <w:hideMark/>
          </w:tcPr>
          <w:p w:rsidR="00EA2492" w:rsidRPr="00F7311D" w:rsidP="00EA2492" w14:paraId="53AC4AF9" w14:textId="77777777">
            <w:pPr>
              <w:spacing w:after="0" w:line="240" w:lineRule="auto"/>
              <w:rPr>
                <w:rFonts w:ascii="Calibri" w:eastAsia="Times New Roman" w:hAnsi="Calibri" w:cs="Calibri"/>
                <w:color w:val="000000"/>
                <w:sz w:val="18"/>
                <w:szCs w:val="18"/>
              </w:rPr>
            </w:pPr>
          </w:p>
        </w:tc>
      </w:tr>
      <w:tr w14:paraId="023C8BC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0ADF0D" w14:textId="7C880BE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Salary </w:t>
            </w:r>
            <w:r w:rsidR="007F7E64">
              <w:rPr>
                <w:rFonts w:ascii="Calibri" w:eastAsia="Times New Roman" w:hAnsi="Calibri" w:cs="Calibri"/>
                <w:color w:val="000000"/>
                <w:sz w:val="18"/>
                <w:szCs w:val="18"/>
              </w:rPr>
              <w:t>o</w:t>
            </w:r>
            <w:r w:rsidRPr="00F7311D">
              <w:rPr>
                <w:rFonts w:ascii="Calibri" w:eastAsia="Times New Roman" w:hAnsi="Calibri" w:cs="Calibri"/>
                <w:color w:val="000000"/>
                <w:sz w:val="18"/>
                <w:szCs w:val="18"/>
              </w:rPr>
              <w:t>utlay</w:t>
            </w:r>
          </w:p>
        </w:tc>
        <w:tc>
          <w:tcPr>
            <w:tcW w:w="8558" w:type="dxa"/>
            <w:shd w:val="clear" w:color="auto" w:fill="auto"/>
            <w:vAlign w:val="center"/>
            <w:hideMark/>
          </w:tcPr>
          <w:p w:rsidR="00EA2492" w:rsidRPr="00F7311D" w:rsidP="00EA2492" w14:paraId="3B1BA3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Projected annual expenditure for salaries.</w:t>
            </w:r>
          </w:p>
        </w:tc>
        <w:tc>
          <w:tcPr>
            <w:tcW w:w="2097" w:type="dxa"/>
            <w:shd w:val="clear" w:color="auto" w:fill="auto"/>
            <w:vAlign w:val="center"/>
            <w:hideMark/>
          </w:tcPr>
          <w:p w:rsidR="00EA2492" w:rsidRPr="00F7311D" w:rsidP="00EA2492" w14:paraId="2E4E05AD" w14:textId="77777777">
            <w:pPr>
              <w:spacing w:after="0" w:line="240" w:lineRule="auto"/>
              <w:rPr>
                <w:rFonts w:ascii="Calibri" w:eastAsia="Times New Roman" w:hAnsi="Calibri" w:cs="Calibri"/>
                <w:color w:val="000000"/>
                <w:sz w:val="18"/>
                <w:szCs w:val="18"/>
              </w:rPr>
            </w:pPr>
          </w:p>
        </w:tc>
      </w:tr>
      <w:tr w14:paraId="0860AA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7CB012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Related Occupations</w:t>
            </w:r>
          </w:p>
        </w:tc>
        <w:tc>
          <w:tcPr>
            <w:tcW w:w="8558" w:type="dxa"/>
            <w:shd w:val="clear" w:color="auto" w:fill="auto"/>
            <w:vAlign w:val="center"/>
            <w:hideMark/>
          </w:tcPr>
          <w:p w:rsidR="00EA2492" w:rsidRPr="00F7311D" w:rsidP="00EA2492" w14:paraId="71F8D172" w14:textId="5CF38C6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An occupational category based on the major group in the 2018 Standard Occupational Classification (SOC) Manual called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Sales and Related Occupations.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For detailed information refer to the following website: </w:t>
            </w:r>
            <w:hyperlink r:id="rId8" w:anchor="41-0000" w:history="1">
              <w:r w:rsidRPr="004D72BE" w:rsidR="00854B19">
                <w:rPr>
                  <w:rStyle w:val="Hyperlink"/>
                  <w:rFonts w:ascii="Calibri" w:eastAsia="Times New Roman" w:hAnsi="Calibri" w:cs="Calibri"/>
                  <w:sz w:val="18"/>
                  <w:szCs w:val="18"/>
                </w:rPr>
                <w:t>https://www.bls.gov/soc/2018/major_groups.htm#41-0000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7187F8CC" w14:textId="77777777">
            <w:pPr>
              <w:spacing w:after="0" w:line="240" w:lineRule="auto"/>
              <w:rPr>
                <w:rFonts w:ascii="Calibri" w:eastAsia="Times New Roman" w:hAnsi="Calibri" w:cs="Calibri"/>
                <w:color w:val="000000"/>
                <w:sz w:val="18"/>
                <w:szCs w:val="18"/>
              </w:rPr>
            </w:pPr>
          </w:p>
        </w:tc>
      </w:tr>
      <w:tr w14:paraId="36943C7B"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F67115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educational activities (revenues)</w:t>
            </w:r>
          </w:p>
        </w:tc>
        <w:tc>
          <w:tcPr>
            <w:tcW w:w="8558" w:type="dxa"/>
            <w:shd w:val="clear" w:color="auto" w:fill="auto"/>
            <w:vAlign w:val="center"/>
            <w:hideMark/>
          </w:tcPr>
          <w:p w:rsidR="00EA2492" w:rsidRPr="00F7311D" w:rsidP="00EA2492" w14:paraId="30108DFF" w14:textId="1729D12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the sales of goods or services that are incidental to the conduct of instruction, research or public service. Examples include film rentals, sales of scientific and literary publications, testing services, university presses, dairy products, machine shop products, data processing services, cosmetology services, and sales of handcrafts prepared in classes.</w:t>
            </w:r>
          </w:p>
        </w:tc>
        <w:tc>
          <w:tcPr>
            <w:tcW w:w="2097" w:type="dxa"/>
            <w:shd w:val="clear" w:color="auto" w:fill="auto"/>
            <w:vAlign w:val="center"/>
            <w:hideMark/>
          </w:tcPr>
          <w:p w:rsidR="00EA2492" w:rsidRPr="00F7311D" w:rsidP="00EA2492" w14:paraId="06243865" w14:textId="77777777">
            <w:pPr>
              <w:spacing w:after="0" w:line="240" w:lineRule="auto"/>
              <w:rPr>
                <w:rFonts w:ascii="Calibri" w:eastAsia="Times New Roman" w:hAnsi="Calibri" w:cs="Calibri"/>
                <w:color w:val="000000"/>
                <w:sz w:val="18"/>
                <w:szCs w:val="18"/>
              </w:rPr>
            </w:pPr>
          </w:p>
        </w:tc>
      </w:tr>
      <w:tr w14:paraId="22C1FC4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E100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Sales and services of hospitals (revenues)</w:t>
            </w:r>
          </w:p>
        </w:tc>
        <w:tc>
          <w:tcPr>
            <w:tcW w:w="8558" w:type="dxa"/>
            <w:shd w:val="clear" w:color="auto" w:fill="auto"/>
            <w:vAlign w:val="center"/>
            <w:hideMark/>
          </w:tcPr>
          <w:p w:rsidR="00EA2492" w:rsidRPr="00F7311D" w:rsidP="00EA2492" w14:paraId="25E08CC1" w14:textId="47D80296">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(net of discounts, allowances, and provisions for uncollectible accounts receivable) generated by hospitals from daily patient, special and other services. Revenues of health clinics that are part of a hospital should be included in this category, unless such clinics are part of the student health services program.</w:t>
            </w:r>
          </w:p>
        </w:tc>
        <w:tc>
          <w:tcPr>
            <w:tcW w:w="2097" w:type="dxa"/>
            <w:shd w:val="clear" w:color="auto" w:fill="auto"/>
            <w:vAlign w:val="center"/>
            <w:hideMark/>
          </w:tcPr>
          <w:p w:rsidR="00EA2492" w:rsidRPr="00F7311D" w:rsidP="00EA2492" w14:paraId="3284912B" w14:textId="77777777">
            <w:pPr>
              <w:spacing w:after="0" w:line="240" w:lineRule="auto"/>
              <w:rPr>
                <w:rFonts w:ascii="Calibri" w:eastAsia="Times New Roman" w:hAnsi="Calibri" w:cs="Calibri"/>
                <w:color w:val="000000"/>
                <w:sz w:val="18"/>
                <w:szCs w:val="18"/>
              </w:rPr>
            </w:pPr>
          </w:p>
        </w:tc>
      </w:tr>
      <w:tr w14:paraId="377288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6F831F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SAT</w:t>
            </w:r>
          </w:p>
        </w:tc>
        <w:tc>
          <w:tcPr>
            <w:tcW w:w="8558" w:type="dxa"/>
            <w:shd w:val="clear" w:color="auto" w:fill="auto"/>
            <w:vAlign w:val="center"/>
            <w:hideMark/>
          </w:tcPr>
          <w:p w:rsidR="00EA2492" w:rsidRPr="00F7311D" w:rsidP="00EA2492" w14:paraId="7AA0D7F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Previously known as the Scholastic Aptitude Test, this is an examination administered by the Educational Testing Service (ETS) and used to predict the facility with which an individual will progress in learning college-level academic subjects.</w:t>
            </w:r>
          </w:p>
        </w:tc>
        <w:tc>
          <w:tcPr>
            <w:tcW w:w="2097" w:type="dxa"/>
            <w:shd w:val="clear" w:color="auto" w:fill="auto"/>
            <w:vAlign w:val="center"/>
            <w:hideMark/>
          </w:tcPr>
          <w:p w:rsidR="00EA2492" w:rsidRPr="00F7311D" w:rsidP="00EA2492" w14:paraId="07894040" w14:textId="77777777">
            <w:pPr>
              <w:spacing w:after="0" w:line="240" w:lineRule="auto"/>
              <w:rPr>
                <w:rFonts w:ascii="Calibri" w:eastAsia="Times New Roman" w:hAnsi="Calibri" w:cs="Calibri"/>
                <w:color w:val="000000"/>
                <w:sz w:val="18"/>
                <w:szCs w:val="18"/>
              </w:rPr>
            </w:pPr>
          </w:p>
        </w:tc>
      </w:tr>
      <w:tr w14:paraId="7FD435B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FFBD65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w:t>
            </w:r>
          </w:p>
        </w:tc>
        <w:tc>
          <w:tcPr>
            <w:tcW w:w="8558" w:type="dxa"/>
            <w:shd w:val="clear" w:color="auto" w:fill="auto"/>
            <w:vAlign w:val="center"/>
            <w:hideMark/>
          </w:tcPr>
          <w:p w:rsidR="00EA2492" w:rsidRPr="00F7311D" w:rsidP="00EA2492" w14:paraId="3B5ADD8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Grants-in-aid, trainee stipends, tuition and required fee waivers, prizes or other monetary awards given to undergraduate students.</w:t>
            </w:r>
          </w:p>
        </w:tc>
        <w:tc>
          <w:tcPr>
            <w:tcW w:w="2097" w:type="dxa"/>
            <w:shd w:val="clear" w:color="auto" w:fill="auto"/>
            <w:vAlign w:val="center"/>
            <w:hideMark/>
          </w:tcPr>
          <w:p w:rsidR="00EA2492" w:rsidRPr="00F7311D" w:rsidP="00EA2492" w14:paraId="27F1BC5E" w14:textId="77777777">
            <w:pPr>
              <w:spacing w:after="0" w:line="240" w:lineRule="auto"/>
              <w:rPr>
                <w:rFonts w:ascii="Calibri" w:eastAsia="Times New Roman" w:hAnsi="Calibri" w:cs="Calibri"/>
                <w:color w:val="000000"/>
                <w:sz w:val="18"/>
                <w:szCs w:val="18"/>
              </w:rPr>
            </w:pPr>
          </w:p>
        </w:tc>
      </w:tr>
      <w:tr w14:paraId="46A23C0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B1CB5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Scholarships and fellowships</w:t>
            </w:r>
          </w:p>
        </w:tc>
        <w:tc>
          <w:tcPr>
            <w:tcW w:w="8558" w:type="dxa"/>
            <w:shd w:val="clear" w:color="auto" w:fill="auto"/>
            <w:vAlign w:val="center"/>
            <w:hideMark/>
          </w:tcPr>
          <w:p w:rsidR="00EA2492" w:rsidRPr="00F7311D" w:rsidP="00EA2492" w14:paraId="6769B0DA" w14:textId="04F36A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Outright grants-in-aid, trainee stipends, tuition and fee waivers, and prizes awarded to students by the institution, including Pell grants. Awards to undergraduate students are most commonly referred to as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scholarships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and those to graduate students as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fellowships.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These awards do not require the performance of services while a student (such as teaching) or subsequently as a result of the scholarship or fellowship. The term does not include loans to students (subject to repayment), College Work-Study Program (CWS), or awards </w:t>
            </w:r>
            <w:r w:rsidRPr="00F7311D">
              <w:rPr>
                <w:rFonts w:ascii="Calibri" w:eastAsia="Times New Roman" w:hAnsi="Calibri" w:cs="Calibri"/>
                <w:color w:val="000000"/>
                <w:sz w:val="18"/>
                <w:szCs w:val="18"/>
              </w:rPr>
              <w:t>granted to a parent of a student because of the parent</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faculty or staff status. Also not included are awards to students where the selection of the student recipient is not made by the institution.</w:t>
            </w:r>
          </w:p>
        </w:tc>
        <w:tc>
          <w:tcPr>
            <w:tcW w:w="2097" w:type="dxa"/>
            <w:shd w:val="clear" w:color="auto" w:fill="auto"/>
            <w:vAlign w:val="center"/>
            <w:hideMark/>
          </w:tcPr>
          <w:p w:rsidR="00EA2492" w:rsidRPr="00F7311D" w:rsidP="00EA2492" w14:paraId="5CB27E40" w14:textId="77777777">
            <w:pPr>
              <w:spacing w:after="0" w:line="240" w:lineRule="auto"/>
              <w:rPr>
                <w:rFonts w:ascii="Calibri" w:eastAsia="Times New Roman" w:hAnsi="Calibri" w:cs="Calibri"/>
                <w:color w:val="000000"/>
                <w:sz w:val="18"/>
                <w:szCs w:val="18"/>
              </w:rPr>
            </w:pPr>
          </w:p>
        </w:tc>
      </w:tr>
      <w:tr w14:paraId="5AC50FD4"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58E5F67E"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Scholarships and fellowships (expenses)</w:t>
            </w:r>
          </w:p>
        </w:tc>
        <w:tc>
          <w:tcPr>
            <w:tcW w:w="8558" w:type="dxa"/>
            <w:shd w:val="clear" w:color="auto" w:fill="auto"/>
            <w:vAlign w:val="center"/>
            <w:hideMark/>
          </w:tcPr>
          <w:p w:rsidR="00EA2492" w:rsidRPr="00FB5A34" w:rsidP="47E59BC4" w14:paraId="092E15B8" w14:textId="5849141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 xml:space="preserve">That portion of scholarships and fellowships granted that exceeds the amount applied to institutional charges such as tuition and fees or </w:t>
            </w:r>
            <w:r w:rsidRPr="00FB5A34" w:rsidR="0DA0BC27">
              <w:rPr>
                <w:rFonts w:ascii="Calibri" w:eastAsia="Calibri" w:hAnsi="Calibri" w:cs="Calibri"/>
                <w:color w:val="000000" w:themeColor="text1"/>
                <w:sz w:val="18"/>
                <w:szCs w:val="18"/>
              </w:rPr>
              <w:t>food and housing</w:t>
            </w:r>
            <w:r w:rsidRPr="00FB5A34">
              <w:rPr>
                <w:rFonts w:ascii="Calibri" w:eastAsia="Times New Roman" w:hAnsi="Calibri" w:cs="Calibri"/>
                <w:color w:val="000000" w:themeColor="text1"/>
                <w:sz w:val="18"/>
                <w:szCs w:val="18"/>
              </w:rPr>
              <w:t xml:space="preserve">. The amount reported as expense excludes allowances and discounts. The FASB survey uses the term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net grants in aid to students</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 xml:space="preserve"> rather than </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scholarships and fellowships.</w:t>
            </w:r>
            <w:r w:rsidR="00854B19">
              <w:rPr>
                <w:rFonts w:ascii="Calibri" w:eastAsia="Times New Roman" w:hAnsi="Calibri" w:cs="Calibri"/>
                <w:color w:val="000000" w:themeColor="text1"/>
                <w:sz w:val="18"/>
                <w:szCs w:val="18"/>
              </w:rPr>
              <w:t>’</w:t>
            </w:r>
          </w:p>
        </w:tc>
        <w:tc>
          <w:tcPr>
            <w:tcW w:w="2097" w:type="dxa"/>
            <w:shd w:val="clear" w:color="auto" w:fill="auto"/>
            <w:vAlign w:val="center"/>
            <w:hideMark/>
          </w:tcPr>
          <w:p w:rsidR="00EA2492" w:rsidRPr="00F7311D" w:rsidP="00EA2492" w14:paraId="4803F46F" w14:textId="77777777">
            <w:pPr>
              <w:spacing w:after="0" w:line="240" w:lineRule="auto"/>
              <w:rPr>
                <w:rFonts w:ascii="Calibri" w:eastAsia="Times New Roman" w:hAnsi="Calibri" w:cs="Calibri"/>
                <w:color w:val="000000"/>
                <w:sz w:val="18"/>
                <w:szCs w:val="18"/>
              </w:rPr>
            </w:pPr>
          </w:p>
        </w:tc>
      </w:tr>
      <w:tr w14:paraId="707D108B" w14:textId="77777777" w:rsidTr="0036249A">
        <w:tblPrEx>
          <w:tblW w:w="13616" w:type="dxa"/>
          <w:tblLook w:val="04A0"/>
        </w:tblPrEx>
        <w:trPr>
          <w:trHeight w:val="20"/>
        </w:trPr>
        <w:tc>
          <w:tcPr>
            <w:tcW w:w="2961" w:type="dxa"/>
            <w:shd w:val="clear" w:color="auto" w:fill="auto"/>
            <w:vAlign w:val="center"/>
            <w:hideMark/>
          </w:tcPr>
          <w:p w:rsidR="00EA2492" w:rsidRPr="00FB5A34" w:rsidP="00EA2492" w14:paraId="54FD191F" w14:textId="77777777">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Schools of art, music, and design (Carnegie)</w:t>
            </w:r>
          </w:p>
        </w:tc>
        <w:tc>
          <w:tcPr>
            <w:tcW w:w="8558" w:type="dxa"/>
            <w:shd w:val="clear" w:color="auto" w:fill="auto"/>
            <w:vAlign w:val="center"/>
            <w:hideMark/>
          </w:tcPr>
          <w:p w:rsidR="00EA2492" w:rsidRPr="00FB5A34" w:rsidP="00EA2492" w14:paraId="0CB9A3B0" w14:textId="4E15D2B5">
            <w:pPr>
              <w:spacing w:after="0" w:line="240" w:lineRule="auto"/>
              <w:rPr>
                <w:rFonts w:ascii="Calibri" w:eastAsia="Times New Roman" w:hAnsi="Calibri" w:cs="Calibri"/>
                <w:color w:val="000000" w:themeColor="text1"/>
                <w:sz w:val="18"/>
                <w:szCs w:val="18"/>
              </w:rPr>
            </w:pPr>
            <w:r w:rsidRPr="00FB5A34">
              <w:rPr>
                <w:rFonts w:ascii="Calibri" w:eastAsia="Times New Roman" w:hAnsi="Calibri" w:cs="Calibri"/>
                <w:color w:val="000000" w:themeColor="text1"/>
                <w:sz w:val="18"/>
                <w:szCs w:val="18"/>
              </w:rPr>
              <w:t>An institutional classification developed by the Andrew W. Carnegie Foundation for the Advancement of Teaching. Schools of Art, Music, and Design award most of their bachelor</w:t>
            </w:r>
            <w:r w:rsidR="00854B19">
              <w:rPr>
                <w:rFonts w:ascii="Calibri" w:eastAsia="Times New Roman" w:hAnsi="Calibri" w:cs="Calibri"/>
                <w:color w:val="000000" w:themeColor="text1"/>
                <w:sz w:val="18"/>
                <w:szCs w:val="18"/>
              </w:rPr>
              <w:t>’</w:t>
            </w:r>
            <w:r w:rsidRPr="00FB5A34">
              <w:rPr>
                <w:rFonts w:ascii="Calibri" w:eastAsia="Times New Roman" w:hAnsi="Calibri" w:cs="Calibri"/>
                <w:color w:val="000000" w:themeColor="text1"/>
                <w:sz w:val="18"/>
                <w:szCs w:val="18"/>
              </w:rPr>
              <w:t>s or graduate degrees in art, music, design, architecture, or some combination of such fields.</w:t>
            </w:r>
          </w:p>
        </w:tc>
        <w:tc>
          <w:tcPr>
            <w:tcW w:w="2097" w:type="dxa"/>
            <w:shd w:val="clear" w:color="auto" w:fill="auto"/>
            <w:vAlign w:val="center"/>
            <w:hideMark/>
          </w:tcPr>
          <w:p w:rsidR="00EA2492" w:rsidRPr="00F7311D" w:rsidP="00EA2492" w14:paraId="48C96038" w14:textId="118636A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5CA5BE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8F09A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business and management (Carnegie)</w:t>
            </w:r>
          </w:p>
        </w:tc>
        <w:tc>
          <w:tcPr>
            <w:tcW w:w="8558" w:type="dxa"/>
            <w:shd w:val="clear" w:color="auto" w:fill="auto"/>
            <w:vAlign w:val="center"/>
            <w:hideMark/>
          </w:tcPr>
          <w:p w:rsidR="00EA2492" w:rsidRPr="00F7311D" w:rsidP="00EA2492" w14:paraId="115BAAAE" w14:textId="429AAD8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Business and Management award most of their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business or business-related programs.</w:t>
            </w:r>
          </w:p>
        </w:tc>
        <w:tc>
          <w:tcPr>
            <w:tcW w:w="2097" w:type="dxa"/>
            <w:shd w:val="clear" w:color="auto" w:fill="auto"/>
            <w:vAlign w:val="center"/>
            <w:hideMark/>
          </w:tcPr>
          <w:p w:rsidR="00EA2492" w:rsidRPr="00F7311D" w:rsidP="00EA2492" w14:paraId="04AF859E" w14:textId="240FE9B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B7E08EE"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5D99D98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engineering and technology (Carnegie)</w:t>
            </w:r>
          </w:p>
        </w:tc>
        <w:tc>
          <w:tcPr>
            <w:tcW w:w="8558" w:type="dxa"/>
            <w:shd w:val="clear" w:color="auto" w:fill="auto"/>
            <w:vAlign w:val="center"/>
            <w:hideMark/>
          </w:tcPr>
          <w:p w:rsidR="00EA2492" w:rsidRPr="00F7311D" w:rsidP="00EA2492" w14:paraId="723B8EB9" w14:textId="77A94A6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Engineering and Technology award most of their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or graduate degrees in technical fields of study.</w:t>
            </w:r>
          </w:p>
        </w:tc>
        <w:tc>
          <w:tcPr>
            <w:tcW w:w="2097" w:type="dxa"/>
            <w:shd w:val="clear" w:color="auto" w:fill="auto"/>
            <w:vAlign w:val="center"/>
            <w:hideMark/>
          </w:tcPr>
          <w:p w:rsidR="00EA2492" w:rsidRPr="00F7311D" w:rsidP="00EA2492" w14:paraId="71DF3841" w14:textId="5D05014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16E6D21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D295AE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Schools of law (Carnegie)</w:t>
            </w:r>
          </w:p>
        </w:tc>
        <w:tc>
          <w:tcPr>
            <w:tcW w:w="8558" w:type="dxa"/>
            <w:shd w:val="clear" w:color="auto" w:fill="auto"/>
            <w:vAlign w:val="center"/>
            <w:hideMark/>
          </w:tcPr>
          <w:p w:rsidR="00EA2492" w:rsidRPr="00F7311D" w:rsidP="00EA2492" w14:paraId="4691B5A6" w14:textId="6CFB8068">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Schools of Law award most of their degrees in law.</w:t>
            </w:r>
          </w:p>
        </w:tc>
        <w:tc>
          <w:tcPr>
            <w:tcW w:w="2097" w:type="dxa"/>
            <w:shd w:val="clear" w:color="auto" w:fill="auto"/>
            <w:vAlign w:val="center"/>
            <w:hideMark/>
          </w:tcPr>
          <w:p w:rsidR="00EA2492" w:rsidRPr="00F7311D" w:rsidP="00EA2492" w14:paraId="5EF277B2" w14:textId="4594156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r w:rsidR="000667E7">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Specialized institutions (Carnegie)</w:t>
            </w:r>
          </w:p>
        </w:tc>
      </w:tr>
      <w:tr w14:paraId="6C0D1C8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01586F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Sector</w:t>
            </w:r>
          </w:p>
        </w:tc>
        <w:tc>
          <w:tcPr>
            <w:tcW w:w="8558" w:type="dxa"/>
            <w:shd w:val="clear" w:color="auto" w:fill="auto"/>
            <w:vAlign w:val="center"/>
            <w:hideMark/>
          </w:tcPr>
          <w:p w:rsidR="00EA2492" w:rsidRPr="00F7311D" w:rsidP="00EA2492" w14:paraId="44E721F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of nine institutional categories resulting from dividing the universe according to control and level. Control categories are public, private not-for-profit, and private for-profit. Level categories are 4-year and higher (4 year), 2-but-less-than 4-year (2 year), and less than 2-year. For example: Public, 4-year is one of the institution sectors.</w:t>
            </w:r>
          </w:p>
        </w:tc>
        <w:tc>
          <w:tcPr>
            <w:tcW w:w="2097" w:type="dxa"/>
            <w:shd w:val="clear" w:color="auto" w:fill="auto"/>
            <w:vAlign w:val="center"/>
            <w:hideMark/>
          </w:tcPr>
          <w:p w:rsidR="00EA2492" w:rsidRPr="00F7311D" w:rsidP="00EA2492" w14:paraId="721007EE" w14:textId="77777777">
            <w:pPr>
              <w:spacing w:after="0" w:line="240" w:lineRule="auto"/>
              <w:rPr>
                <w:rFonts w:ascii="Calibri" w:eastAsia="Times New Roman" w:hAnsi="Calibri" w:cs="Calibri"/>
                <w:color w:val="000000"/>
                <w:sz w:val="18"/>
                <w:szCs w:val="18"/>
              </w:rPr>
            </w:pPr>
          </w:p>
        </w:tc>
      </w:tr>
      <w:tr w14:paraId="63C119E9"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4E0D97C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Semester (calendar system)</w:t>
            </w:r>
          </w:p>
        </w:tc>
        <w:tc>
          <w:tcPr>
            <w:tcW w:w="8558" w:type="dxa"/>
            <w:shd w:val="clear" w:color="auto" w:fill="auto"/>
            <w:vAlign w:val="center"/>
            <w:hideMark/>
          </w:tcPr>
          <w:p w:rsidR="00EA2492" w:rsidRPr="00F7311D" w:rsidP="00EA2492" w14:paraId="7A83A00D" w14:textId="5C8A569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calendar </w:t>
            </w:r>
            <w:r w:rsidRPr="002515CF">
              <w:rPr>
                <w:rFonts w:ascii="Calibri" w:eastAsia="Times New Roman" w:hAnsi="Calibri" w:cs="Calibri"/>
                <w:sz w:val="18"/>
                <w:szCs w:val="18"/>
              </w:rPr>
              <w:t xml:space="preserve">system that consists of two sessions called semesters during the academic year with about 15 weeks for each semester of instruction. There may be an additional summer session. Note: the standard term length range is defined by the Office of Postsecondary Education. More information can </w:t>
            </w:r>
            <w:r w:rsidRPr="00F7311D">
              <w:rPr>
                <w:rFonts w:ascii="Calibri" w:eastAsia="Times New Roman" w:hAnsi="Calibri" w:cs="Calibri"/>
                <w:color w:val="000000"/>
                <w:sz w:val="18"/>
                <w:szCs w:val="18"/>
              </w:rPr>
              <w:t xml:space="preserve">be found at: </w:t>
            </w:r>
            <w:hyperlink r:id="rId9" w:history="1">
              <w:r w:rsidRPr="004D72BE" w:rsidR="00854B19">
                <w:rPr>
                  <w:rStyle w:val="Hyperlink"/>
                  <w:rFonts w:ascii="Calibri" w:eastAsia="Times New Roman" w:hAnsi="Calibri" w:cs="Calibri"/>
                  <w:sz w:val="18"/>
                  <w:szCs w:val="18"/>
                </w:rPr>
                <w:t>https://ifap.ed.gov/electronic-announcements/110519RevisionGuidelinesApplicableStandardTerms</w:t>
              </w:r>
            </w:hyperlink>
          </w:p>
        </w:tc>
        <w:tc>
          <w:tcPr>
            <w:tcW w:w="2097" w:type="dxa"/>
            <w:shd w:val="clear" w:color="auto" w:fill="auto"/>
            <w:vAlign w:val="center"/>
            <w:hideMark/>
          </w:tcPr>
          <w:p w:rsidR="00EA2492" w:rsidRPr="00F7311D" w:rsidP="00EA2492" w14:paraId="26A003DE" w14:textId="77777777">
            <w:pPr>
              <w:spacing w:after="0" w:line="240" w:lineRule="auto"/>
              <w:rPr>
                <w:rFonts w:ascii="Calibri" w:eastAsia="Times New Roman" w:hAnsi="Calibri" w:cs="Calibri"/>
                <w:color w:val="000000"/>
                <w:sz w:val="18"/>
                <w:szCs w:val="18"/>
              </w:rPr>
            </w:pPr>
          </w:p>
        </w:tc>
      </w:tr>
      <w:tr w14:paraId="6C80C3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020BFDA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w:t>
            </w:r>
          </w:p>
        </w:tc>
        <w:tc>
          <w:tcPr>
            <w:tcW w:w="8558" w:type="dxa"/>
            <w:shd w:val="clear" w:color="auto" w:fill="auto"/>
            <w:vAlign w:val="center"/>
            <w:hideMark/>
          </w:tcPr>
          <w:p w:rsidR="00EA2492" w:rsidRPr="00F7311D" w:rsidP="00EA2492" w14:paraId="210F9D4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serial is a publication in any medium issued in successive parts bearing numerical or chronological designations and intended to be continued indefinitely. This definition includes periodicals, newspapers, and annuals (reports, yearbooks, etc.); the journals, memoirs, proceedings, transactions, etc. of societies; and numbered monographic series.</w:t>
            </w:r>
          </w:p>
        </w:tc>
        <w:tc>
          <w:tcPr>
            <w:tcW w:w="2097" w:type="dxa"/>
            <w:shd w:val="clear" w:color="auto" w:fill="auto"/>
            <w:vAlign w:val="center"/>
            <w:hideMark/>
          </w:tcPr>
          <w:p w:rsidR="00EA2492" w:rsidRPr="00F7311D" w:rsidP="00EA2492" w14:paraId="6F10A46C" w14:textId="77777777">
            <w:pPr>
              <w:spacing w:after="0" w:line="240" w:lineRule="auto"/>
              <w:rPr>
                <w:rFonts w:ascii="Calibri" w:eastAsia="Times New Roman" w:hAnsi="Calibri" w:cs="Calibri"/>
                <w:color w:val="000000"/>
                <w:sz w:val="18"/>
                <w:szCs w:val="18"/>
              </w:rPr>
            </w:pPr>
          </w:p>
        </w:tc>
      </w:tr>
      <w:tr w14:paraId="4D5ADB0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EA909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back-files</w:t>
            </w:r>
          </w:p>
        </w:tc>
        <w:tc>
          <w:tcPr>
            <w:tcW w:w="8558" w:type="dxa"/>
            <w:shd w:val="clear" w:color="auto" w:fill="auto"/>
            <w:vAlign w:val="center"/>
            <w:hideMark/>
          </w:tcPr>
          <w:p w:rsidR="00EA2492" w:rsidRPr="00F7311D" w:rsidP="00EA2492" w14:paraId="1BBA54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Previous issues of serial titles that libraries buy back (such as back issues of magazines).</w:t>
            </w:r>
          </w:p>
        </w:tc>
        <w:tc>
          <w:tcPr>
            <w:tcW w:w="2097" w:type="dxa"/>
            <w:shd w:val="clear" w:color="auto" w:fill="auto"/>
            <w:vAlign w:val="center"/>
            <w:hideMark/>
          </w:tcPr>
          <w:p w:rsidR="00EA2492" w:rsidRPr="00F7311D" w:rsidP="00EA2492" w14:paraId="565671DC" w14:textId="77777777">
            <w:pPr>
              <w:spacing w:after="0" w:line="240" w:lineRule="auto"/>
              <w:rPr>
                <w:rFonts w:ascii="Calibri" w:eastAsia="Times New Roman" w:hAnsi="Calibri" w:cs="Calibri"/>
                <w:color w:val="000000"/>
                <w:sz w:val="18"/>
                <w:szCs w:val="18"/>
              </w:rPr>
            </w:pPr>
          </w:p>
        </w:tc>
      </w:tr>
      <w:tr w14:paraId="0D9A907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190F6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subscriptions</w:t>
            </w:r>
          </w:p>
        </w:tc>
        <w:tc>
          <w:tcPr>
            <w:tcW w:w="8558" w:type="dxa"/>
            <w:shd w:val="clear" w:color="auto" w:fill="auto"/>
            <w:vAlign w:val="center"/>
            <w:hideMark/>
          </w:tcPr>
          <w:p w:rsidR="00EA2492" w:rsidRPr="00F7311D" w:rsidP="00EA2492" w14:paraId="215FBC7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Publications issued in successive parts, usually at regular intervals, and, as a rule, intended to be continued indefinitely. Serial subscriptions include periodicals, newspapers, annuals (reports, yearbooks, etc.), memoirs, proceedings, and transactions of societies.</w:t>
            </w:r>
          </w:p>
        </w:tc>
        <w:tc>
          <w:tcPr>
            <w:tcW w:w="2097" w:type="dxa"/>
            <w:shd w:val="clear" w:color="auto" w:fill="auto"/>
            <w:vAlign w:val="center"/>
            <w:hideMark/>
          </w:tcPr>
          <w:p w:rsidR="00EA2492" w:rsidRPr="00F7311D" w:rsidP="00EA2492" w14:paraId="70CD4345" w14:textId="77777777">
            <w:pPr>
              <w:spacing w:after="0" w:line="240" w:lineRule="auto"/>
              <w:rPr>
                <w:rFonts w:ascii="Calibri" w:eastAsia="Times New Roman" w:hAnsi="Calibri" w:cs="Calibri"/>
                <w:color w:val="000000"/>
                <w:sz w:val="18"/>
                <w:szCs w:val="18"/>
              </w:rPr>
            </w:pPr>
          </w:p>
        </w:tc>
      </w:tr>
      <w:tr w14:paraId="1017D360"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A452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Serial titles</w:t>
            </w:r>
          </w:p>
        </w:tc>
        <w:tc>
          <w:tcPr>
            <w:tcW w:w="8558" w:type="dxa"/>
            <w:shd w:val="clear" w:color="auto" w:fill="auto"/>
            <w:vAlign w:val="center"/>
            <w:hideMark/>
          </w:tcPr>
          <w:p w:rsidR="00EA2492" w:rsidRPr="00F7311D" w:rsidP="00EA2492" w14:paraId="23F5917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Titles of serials collected.</w:t>
            </w:r>
          </w:p>
        </w:tc>
        <w:tc>
          <w:tcPr>
            <w:tcW w:w="2097" w:type="dxa"/>
            <w:shd w:val="clear" w:color="auto" w:fill="auto"/>
            <w:vAlign w:val="center"/>
            <w:hideMark/>
          </w:tcPr>
          <w:p w:rsidR="00EA2492" w:rsidRPr="00F7311D" w:rsidP="00EA2492" w14:paraId="1ED94424" w14:textId="77777777">
            <w:pPr>
              <w:spacing w:after="0" w:line="240" w:lineRule="auto"/>
              <w:rPr>
                <w:rFonts w:ascii="Calibri" w:eastAsia="Times New Roman" w:hAnsi="Calibri" w:cs="Calibri"/>
                <w:color w:val="000000"/>
                <w:sz w:val="18"/>
                <w:szCs w:val="18"/>
              </w:rPr>
            </w:pPr>
          </w:p>
        </w:tc>
      </w:tr>
      <w:tr w14:paraId="5AFBFF34"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D14C97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 Occupations</w:t>
            </w:r>
          </w:p>
        </w:tc>
        <w:tc>
          <w:tcPr>
            <w:tcW w:w="8558" w:type="dxa"/>
            <w:shd w:val="clear" w:color="auto" w:fill="auto"/>
            <w:vAlign w:val="center"/>
            <w:hideMark/>
          </w:tcPr>
          <w:p w:rsidR="00EA2492" w:rsidRPr="00F7311D" w:rsidP="00EA2492" w14:paraId="2182A26B" w14:textId="47AFC9F4">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five major groups in the 2018 Standard Occupational Classification (SOC) Manual: 1) Healthcare Support Occupations (https://www.bls.gov/soc/2018/major_groups.htm#31-0000); 2) Protective Service Occupations (https://www.bls.gov/soc/2018/major_groups.htm#33-0000); 3) Food Preparation and Serving Related Occupations (https://www.bls.gov/soc/2018/major_groups.htm#35-0000); 4) Building and Grounds Cleaning and Maintenance Occupations (https://www.bls.gov/soc/2018/major_groups.htm#37-0000); and 5) Personal Care and Service Occupations (</w:t>
            </w:r>
            <w:hyperlink r:id="rId8" w:anchor="39-0000" w:history="1">
              <w:r w:rsidRPr="004D72BE" w:rsidR="00854B19">
                <w:rPr>
                  <w:rStyle w:val="Hyperlink"/>
                  <w:rFonts w:ascii="Calibri" w:eastAsia="Times New Roman" w:hAnsi="Calibri" w:cs="Calibri"/>
                  <w:sz w:val="18"/>
                  <w:szCs w:val="18"/>
                </w:rPr>
                <w:t>https://www.bls.gov/soc/2018/major_groups.htm#39-0000</w:t>
              </w:r>
            </w:hyperlink>
            <w:r w:rsidRPr="00F7311D">
              <w:rPr>
                <w:rFonts w:ascii="Calibri" w:eastAsia="Times New Roman" w:hAnsi="Calibri" w:cs="Calibri"/>
                <w:color w:val="000000"/>
                <w:sz w:val="18"/>
                <w:szCs w:val="18"/>
              </w:rPr>
              <w:t>).</w:t>
            </w:r>
          </w:p>
        </w:tc>
        <w:tc>
          <w:tcPr>
            <w:tcW w:w="2097" w:type="dxa"/>
            <w:shd w:val="clear" w:color="auto" w:fill="auto"/>
            <w:vAlign w:val="center"/>
            <w:hideMark/>
          </w:tcPr>
          <w:p w:rsidR="00EA2492" w:rsidRPr="00F7311D" w:rsidP="00EA2492" w14:paraId="2B9DACD4" w14:textId="77777777">
            <w:pPr>
              <w:spacing w:after="0" w:line="240" w:lineRule="auto"/>
              <w:rPr>
                <w:rFonts w:ascii="Calibri" w:eastAsia="Times New Roman" w:hAnsi="Calibri" w:cs="Calibri"/>
                <w:color w:val="000000"/>
                <w:sz w:val="18"/>
                <w:szCs w:val="18"/>
              </w:rPr>
            </w:pPr>
          </w:p>
        </w:tc>
      </w:tr>
      <w:tr w14:paraId="19FDE956"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07A64F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Service/maintenance</w:t>
            </w:r>
          </w:p>
        </w:tc>
        <w:tc>
          <w:tcPr>
            <w:tcW w:w="8558" w:type="dxa"/>
            <w:shd w:val="clear" w:color="auto" w:fill="auto"/>
            <w:vAlign w:val="center"/>
            <w:hideMark/>
          </w:tcPr>
          <w:p w:rsidR="00EA2492" w:rsidRPr="00F7311D" w:rsidP="00EA2492" w14:paraId="427FB02B" w14:textId="31A0FC1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primary function or occupational activity category used to classify persons whose assignments require limited degrees of previously acquired skills and knowledge and in which workers perform duties that result in or contribute to the comfort, convenience, and hygiene of personnel and the student body or that contribute to the upkeep of the institutional property. Includes titles such as fire fighters; law enforcement workers; parking enforcement workers; police officers; security guards; lifeguards; ski patrol; cooks and food preparation workers; food and beverage serving workers; fast food and counter workers; waiters and waitresses; other food </w:t>
            </w:r>
            <w:r w:rsidRPr="00F7311D">
              <w:rPr>
                <w:rFonts w:ascii="Calibri" w:eastAsia="Times New Roman" w:hAnsi="Calibri" w:cs="Calibri"/>
                <w:color w:val="000000"/>
                <w:sz w:val="18"/>
                <w:szCs w:val="18"/>
              </w:rPr>
              <w:t>preparation and serving related workers; building cleaning and pest control workers; grounds maintenance workers; electrical and electronic equipment mechanics; installers and repairers; radio and telecommunications equipment installers and repairers; avionics technicians; electric motor, power tool, and related repairers; vehicle and mobile equipment mechanics, installers, and repairers; control and valve installers and repairers; heating, air conditioning, and refrigeration mechanics and installers; air transportation workers; motor vehicle operators; and parking lot attendants.(Term used in the IPEDS HR survey component prior to 2012-13)</w:t>
            </w:r>
          </w:p>
        </w:tc>
        <w:tc>
          <w:tcPr>
            <w:tcW w:w="2097" w:type="dxa"/>
            <w:shd w:val="clear" w:color="auto" w:fill="auto"/>
            <w:vAlign w:val="center"/>
            <w:hideMark/>
          </w:tcPr>
          <w:p w:rsidR="00EA2492" w:rsidRPr="00F7311D" w:rsidP="00EA2492" w14:paraId="37963F0F" w14:textId="77777777">
            <w:pPr>
              <w:spacing w:after="0" w:line="240" w:lineRule="auto"/>
              <w:rPr>
                <w:rFonts w:ascii="Calibri" w:eastAsia="Times New Roman" w:hAnsi="Calibri" w:cs="Calibri"/>
                <w:color w:val="000000"/>
                <w:sz w:val="18"/>
                <w:szCs w:val="18"/>
              </w:rPr>
            </w:pPr>
          </w:p>
        </w:tc>
      </w:tr>
      <w:tr w14:paraId="1A7C34D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CED354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Servicemembers Opportunity Colleges</w:t>
            </w:r>
          </w:p>
        </w:tc>
        <w:tc>
          <w:tcPr>
            <w:tcW w:w="8558" w:type="dxa"/>
            <w:shd w:val="clear" w:color="auto" w:fill="auto"/>
            <w:vAlign w:val="center"/>
            <w:hideMark/>
          </w:tcPr>
          <w:p w:rsidR="00EA2492" w:rsidRPr="00F7311D" w:rsidP="00EA2492" w14:paraId="73219EA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membership group of over 1,700 institutions that functions to expand and improve voluntary postsecondary opportunities for servicemembers worldwide. It is funded by the Department of Defense through a contract with the American Association of State Colleges and Universities (AASCU).</w:t>
            </w:r>
          </w:p>
        </w:tc>
        <w:tc>
          <w:tcPr>
            <w:tcW w:w="2097" w:type="dxa"/>
            <w:shd w:val="clear" w:color="auto" w:fill="auto"/>
            <w:vAlign w:val="center"/>
            <w:hideMark/>
          </w:tcPr>
          <w:p w:rsidR="00EA2492" w:rsidRPr="00F7311D" w:rsidP="00EA2492" w14:paraId="6BCFB5BE" w14:textId="77777777">
            <w:pPr>
              <w:spacing w:after="0" w:line="240" w:lineRule="auto"/>
              <w:rPr>
                <w:rFonts w:ascii="Calibri" w:eastAsia="Times New Roman" w:hAnsi="Calibri" w:cs="Calibri"/>
                <w:color w:val="000000"/>
                <w:sz w:val="18"/>
                <w:szCs w:val="18"/>
              </w:rPr>
            </w:pPr>
          </w:p>
        </w:tc>
      </w:tr>
      <w:tr w14:paraId="357CEB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A039E2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Shared library</w:t>
            </w:r>
          </w:p>
        </w:tc>
        <w:tc>
          <w:tcPr>
            <w:tcW w:w="8558" w:type="dxa"/>
            <w:shd w:val="clear" w:color="auto" w:fill="auto"/>
            <w:vAlign w:val="center"/>
            <w:hideMark/>
          </w:tcPr>
          <w:p w:rsidR="00EA2492" w:rsidRPr="00F7311D" w:rsidP="00EA2492" w14:paraId="67D62E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facility housing an organized collection of printed, microform, and audiovisual materials, and (a) is jointly administered by more than one educational institution, or (b) whose funds or operating expenditures have been received from more than one educational institution. The location of the facility is not a determining factor.</w:t>
            </w:r>
          </w:p>
        </w:tc>
        <w:tc>
          <w:tcPr>
            <w:tcW w:w="2097" w:type="dxa"/>
            <w:shd w:val="clear" w:color="auto" w:fill="auto"/>
            <w:vAlign w:val="center"/>
            <w:hideMark/>
          </w:tcPr>
          <w:p w:rsidR="00EA2492" w:rsidRPr="00F7311D" w:rsidP="00EA2492" w14:paraId="1EB58A07" w14:textId="77777777">
            <w:pPr>
              <w:spacing w:after="0" w:line="240" w:lineRule="auto"/>
              <w:rPr>
                <w:rFonts w:ascii="Calibri" w:eastAsia="Times New Roman" w:hAnsi="Calibri" w:cs="Calibri"/>
                <w:color w:val="000000"/>
                <w:sz w:val="18"/>
                <w:szCs w:val="18"/>
              </w:rPr>
            </w:pPr>
          </w:p>
        </w:tc>
      </w:tr>
      <w:tr w14:paraId="1C655E62"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146A7AC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Skilled crafts</w:t>
            </w:r>
          </w:p>
        </w:tc>
        <w:tc>
          <w:tcPr>
            <w:tcW w:w="8558" w:type="dxa"/>
            <w:shd w:val="clear" w:color="auto" w:fill="auto"/>
            <w:vAlign w:val="center"/>
            <w:hideMark/>
          </w:tcPr>
          <w:p w:rsidR="00EA2492" w:rsidRPr="00F7311D" w:rsidP="00EA2492" w14:paraId="53F60FB2" w14:textId="515898AE">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primary function or occupational activity category used to classify persons whose assignments typically require special manual skills and a thorough and comprehensive knowledge of the processes involved in the work, acquired through on-the-job-training and experience or through apprenticeship or other formal training programs. Includes occupational titles such as welders, cutters, </w:t>
            </w:r>
            <w:r w:rsidRPr="00F7311D">
              <w:rPr>
                <w:rFonts w:ascii="Calibri" w:eastAsia="Times New Roman" w:hAnsi="Calibri" w:cs="Calibri"/>
                <w:color w:val="000000"/>
                <w:sz w:val="18"/>
                <w:szCs w:val="18"/>
              </w:rPr>
              <w:t>solderers</w:t>
            </w:r>
            <w:r w:rsidRPr="00F7311D">
              <w:rPr>
                <w:rFonts w:ascii="Calibri" w:eastAsia="Times New Roman" w:hAnsi="Calibri" w:cs="Calibri"/>
                <w:color w:val="000000"/>
                <w:sz w:val="18"/>
                <w:szCs w:val="18"/>
              </w:rPr>
              <w:t xml:space="preserve"> and </w:t>
            </w:r>
            <w:r w:rsidRPr="00F7311D">
              <w:rPr>
                <w:rFonts w:ascii="Calibri" w:eastAsia="Times New Roman" w:hAnsi="Calibri" w:cs="Calibri"/>
                <w:color w:val="000000"/>
                <w:sz w:val="18"/>
                <w:szCs w:val="18"/>
              </w:rPr>
              <w:t>brazers</w:t>
            </w:r>
            <w:r w:rsidRPr="00F7311D">
              <w:rPr>
                <w:rFonts w:ascii="Calibri" w:eastAsia="Times New Roman" w:hAnsi="Calibri" w:cs="Calibri"/>
                <w:color w:val="000000"/>
                <w:sz w:val="18"/>
                <w:szCs w:val="18"/>
              </w:rPr>
              <w:t>; bookbinders and bindery workers; printers; cabinetmakers and bench carpenters; plant and system operators; stationary engineers and boiler operators; water and liquid waste treatment plant and system operators; crushing, grinding, polishing, mixing, and blending workers; medical, dental, and ophthalmic laboratory technicians; painting workers; photographic process workers and processing machine operators; and etchers and engravers.(Term used in the IPEDS HR survey component prior to 2012-13)</w:t>
            </w:r>
          </w:p>
        </w:tc>
        <w:tc>
          <w:tcPr>
            <w:tcW w:w="2097" w:type="dxa"/>
            <w:shd w:val="clear" w:color="auto" w:fill="auto"/>
            <w:vAlign w:val="center"/>
            <w:hideMark/>
          </w:tcPr>
          <w:p w:rsidR="00EA2492" w:rsidRPr="00F7311D" w:rsidP="00EA2492" w14:paraId="21C4F7DB" w14:textId="77777777">
            <w:pPr>
              <w:spacing w:after="0" w:line="240" w:lineRule="auto"/>
              <w:rPr>
                <w:rFonts w:ascii="Calibri" w:eastAsia="Times New Roman" w:hAnsi="Calibri" w:cs="Calibri"/>
                <w:color w:val="000000"/>
                <w:sz w:val="18"/>
                <w:szCs w:val="18"/>
              </w:rPr>
            </w:pPr>
          </w:p>
        </w:tc>
      </w:tr>
      <w:tr w14:paraId="65DBAD3A"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7E2969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 admissions tests</w:t>
            </w:r>
          </w:p>
        </w:tc>
        <w:tc>
          <w:tcPr>
            <w:tcW w:w="8558" w:type="dxa"/>
            <w:shd w:val="clear" w:color="auto" w:fill="auto"/>
            <w:vAlign w:val="center"/>
            <w:hideMark/>
          </w:tcPr>
          <w:p w:rsidR="00EA2492" w:rsidRPr="00F7311D" w:rsidP="00EA2492" w14:paraId="4AB6FEA9" w14:textId="764921B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by or for a particular institution, or state (for some state institutions) and administered by the institution, for purposes of determining prospective students</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skills and competencies.</w:t>
            </w:r>
          </w:p>
        </w:tc>
        <w:tc>
          <w:tcPr>
            <w:tcW w:w="2097" w:type="dxa"/>
            <w:shd w:val="clear" w:color="auto" w:fill="auto"/>
            <w:vAlign w:val="center"/>
            <w:hideMark/>
          </w:tcPr>
          <w:p w:rsidR="00EA2492" w:rsidRPr="00F7311D" w:rsidP="00EA2492" w14:paraId="6954660B" w14:textId="77777777">
            <w:pPr>
              <w:spacing w:after="0" w:line="240" w:lineRule="auto"/>
              <w:rPr>
                <w:rFonts w:ascii="Calibri" w:eastAsia="Times New Roman" w:hAnsi="Calibri" w:cs="Calibri"/>
                <w:color w:val="000000"/>
                <w:sz w:val="18"/>
                <w:szCs w:val="18"/>
              </w:rPr>
            </w:pPr>
          </w:p>
        </w:tc>
      </w:tr>
      <w:tr w14:paraId="2DA4B40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791863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accreditation</w:t>
            </w:r>
          </w:p>
        </w:tc>
        <w:tc>
          <w:tcPr>
            <w:tcW w:w="8558" w:type="dxa"/>
            <w:shd w:val="clear" w:color="auto" w:fill="auto"/>
            <w:vAlign w:val="center"/>
            <w:hideMark/>
          </w:tcPr>
          <w:p w:rsidR="00EA2492" w:rsidRPr="00F7311D" w:rsidP="00EA2492" w14:paraId="64D73815" w14:textId="0161774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Specialized accreditation normally applies to the evaluation of programs, departments, or schools which usually are parts of a total collegiate or other postsecondary institution. The unit accredited may be as large as a college or school within a university or as small as a curriculum within a discipline. Most of the specialized accrediting agencies review units within a postsecondary institution which is accredited by one of the regional accrediting commissions. However, certain of the specialized accrediting agencies accredit professional schools and other specialized or vocational or other postsecondary institutions which are free-standing in their operations. Thus, a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specialized</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or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programmatic</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may also function in the capacity of an </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institutional</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 xml:space="preserve"> accrediting agency. In addition, a number of specialized accrediting agencies accredit educational programs within non-educational settings, such as hospitals.</w:t>
            </w:r>
          </w:p>
        </w:tc>
        <w:tc>
          <w:tcPr>
            <w:tcW w:w="2097" w:type="dxa"/>
            <w:shd w:val="clear" w:color="auto" w:fill="auto"/>
            <w:vAlign w:val="center"/>
            <w:hideMark/>
          </w:tcPr>
          <w:p w:rsidR="00EA2492" w:rsidRPr="00F7311D" w:rsidP="00EA2492" w14:paraId="2F8F75BE" w14:textId="126032D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Accrediting agencies,</w:t>
            </w:r>
            <w:r w:rsidR="002515CF">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Accrediting bodies</w:t>
            </w:r>
          </w:p>
        </w:tc>
      </w:tr>
      <w:tr w14:paraId="563DA54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29AED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Specialized institutions (Carnegie)</w:t>
            </w:r>
          </w:p>
        </w:tc>
        <w:tc>
          <w:tcPr>
            <w:tcW w:w="8558" w:type="dxa"/>
            <w:shd w:val="clear" w:color="auto" w:fill="auto"/>
            <w:vAlign w:val="center"/>
            <w:hideMark/>
          </w:tcPr>
          <w:p w:rsidR="00EA2492" w:rsidRPr="00F7311D" w:rsidP="00EA2492" w14:paraId="2CA642DD" w14:textId="0CCF06C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These institutions offer degrees ranging from the bachelor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to the doctor</w:t>
            </w:r>
            <w:r w:rsidR="00854B19">
              <w:rPr>
                <w:rFonts w:ascii="Calibri" w:eastAsia="Times New Roman" w:hAnsi="Calibri" w:cs="Calibri"/>
                <w:color w:val="000000"/>
                <w:sz w:val="18"/>
                <w:szCs w:val="18"/>
              </w:rPr>
              <w:t>’</w:t>
            </w:r>
            <w:r w:rsidRPr="00F7311D">
              <w:rPr>
                <w:rFonts w:ascii="Calibri" w:eastAsia="Times New Roman" w:hAnsi="Calibri" w:cs="Calibri"/>
                <w:color w:val="000000"/>
                <w:sz w:val="18"/>
                <w:szCs w:val="18"/>
              </w:rPr>
              <w:t>s, and typically award a majority of degrees in a single field or combination of related fields.</w:t>
            </w:r>
          </w:p>
        </w:tc>
        <w:tc>
          <w:tcPr>
            <w:tcW w:w="2097" w:type="dxa"/>
            <w:shd w:val="clear" w:color="auto" w:fill="auto"/>
            <w:vAlign w:val="center"/>
            <w:hideMark/>
          </w:tcPr>
          <w:p w:rsidR="00EA2492" w:rsidRPr="00F7311D" w:rsidP="00EA2492" w14:paraId="015FE0B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Medical schools and medical centers (Carnegie),Other separate health profession schools (Carnegie),Other specialized institutions (Carnegie),Schools of art, music, and design (Carnegie),Schools of business and management (Carnegie),Schools of engineering and technology (Carnegie),Schools of law </w:t>
            </w:r>
            <w:r w:rsidRPr="00F7311D">
              <w:rPr>
                <w:rFonts w:ascii="Calibri" w:eastAsia="Times New Roman" w:hAnsi="Calibri" w:cs="Calibri"/>
                <w:color w:val="000000"/>
                <w:sz w:val="18"/>
                <w:szCs w:val="18"/>
              </w:rPr>
              <w:t>(Carnegie),Teachers colleges (Carnegie),Theological seminaries and other specialized faith-related institutions (Carnegie)</w:t>
            </w:r>
          </w:p>
        </w:tc>
      </w:tr>
      <w:tr w14:paraId="1627439C" w14:textId="77777777" w:rsidTr="0036249A">
        <w:tblPrEx>
          <w:tblW w:w="13616" w:type="dxa"/>
          <w:tblLook w:val="04A0"/>
        </w:tblPrEx>
        <w:trPr>
          <w:trHeight w:val="20"/>
        </w:trPr>
        <w:tc>
          <w:tcPr>
            <w:tcW w:w="2961" w:type="dxa"/>
            <w:shd w:val="clear" w:color="auto" w:fill="auto"/>
            <w:vAlign w:val="center"/>
            <w:hideMark/>
          </w:tcPr>
          <w:p w:rsidR="00EA2492" w:rsidRPr="002515CF" w:rsidP="00EA2492" w14:paraId="15FB515E"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Stafford Loans</w:t>
            </w:r>
          </w:p>
        </w:tc>
        <w:tc>
          <w:tcPr>
            <w:tcW w:w="8558" w:type="dxa"/>
            <w:shd w:val="clear" w:color="auto" w:fill="auto"/>
            <w:vAlign w:val="center"/>
            <w:hideMark/>
          </w:tcPr>
          <w:p w:rsidR="00EA2492" w:rsidRPr="002515CF" w:rsidP="00EA2492" w14:paraId="656D52A5" w14:textId="21D3B5F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(Higher Education Act of 1965, Title IV-B, as amended, Public Law 89-329; 20 USC 1071.) Provides guaranteed loans for educational expenses from eligible lenders to vocational or academic undergraduate, graduate, and first-professional students at eligible postsecondary institutions.</w:t>
            </w:r>
          </w:p>
        </w:tc>
        <w:tc>
          <w:tcPr>
            <w:tcW w:w="2097" w:type="dxa"/>
            <w:shd w:val="clear" w:color="auto" w:fill="auto"/>
            <w:vAlign w:val="center"/>
            <w:hideMark/>
          </w:tcPr>
          <w:p w:rsidR="00EA2492" w:rsidRPr="00F7311D" w:rsidP="00EA2492" w14:paraId="2E08796E" w14:textId="77777777">
            <w:pPr>
              <w:spacing w:after="0" w:line="240" w:lineRule="auto"/>
              <w:rPr>
                <w:rFonts w:ascii="Calibri" w:eastAsia="Times New Roman" w:hAnsi="Calibri" w:cs="Calibri"/>
                <w:color w:val="000000"/>
                <w:sz w:val="18"/>
                <w:szCs w:val="18"/>
              </w:rPr>
            </w:pPr>
          </w:p>
        </w:tc>
      </w:tr>
      <w:tr w14:paraId="21C63D4C" w14:textId="77777777" w:rsidTr="0036249A">
        <w:tblPrEx>
          <w:tblW w:w="13616" w:type="dxa"/>
          <w:tblLook w:val="04A0"/>
        </w:tblPrEx>
        <w:trPr>
          <w:trHeight w:val="20"/>
        </w:trPr>
        <w:tc>
          <w:tcPr>
            <w:tcW w:w="2961" w:type="dxa"/>
            <w:shd w:val="clear" w:color="auto" w:fill="auto"/>
          </w:tcPr>
          <w:p w:rsidR="00EA2492" w:rsidRPr="002515CF" w:rsidP="00EA2492" w14:paraId="64FBE69B" w14:textId="3966D8F1">
            <w:pPr>
              <w:spacing w:after="0" w:line="240" w:lineRule="auto"/>
              <w:rPr>
                <w:rFonts w:ascii="Calibri" w:eastAsia="Times New Roman" w:hAnsi="Calibri" w:cs="Calibri"/>
                <w:sz w:val="18"/>
                <w:szCs w:val="18"/>
              </w:rPr>
            </w:pPr>
            <w:r w:rsidRPr="002515CF">
              <w:rPr>
                <w:sz w:val="18"/>
                <w:szCs w:val="18"/>
              </w:rPr>
              <w:t>Standard term</w:t>
            </w:r>
          </w:p>
        </w:tc>
        <w:tc>
          <w:tcPr>
            <w:tcW w:w="8558" w:type="dxa"/>
            <w:shd w:val="clear" w:color="auto" w:fill="auto"/>
          </w:tcPr>
          <w:p w:rsidR="00EA2492" w:rsidRPr="002515CF" w:rsidP="00EA2492" w14:paraId="2ECAACB7" w14:textId="399D5697">
            <w:pPr>
              <w:spacing w:after="0" w:line="240" w:lineRule="auto"/>
              <w:rPr>
                <w:rFonts w:ascii="Calibri" w:eastAsia="Times New Roman" w:hAnsi="Calibri" w:cs="Calibri"/>
                <w:sz w:val="18"/>
                <w:szCs w:val="18"/>
              </w:rPr>
            </w:pPr>
            <w:r w:rsidRPr="002515CF">
              <w:rPr>
                <w:sz w:val="18"/>
                <w:szCs w:val="18"/>
              </w:rPr>
              <w:t>For Title IV purposes, a standard term is a semester, quarter, or trimester</w:t>
            </w:r>
          </w:p>
        </w:tc>
        <w:tc>
          <w:tcPr>
            <w:tcW w:w="2097" w:type="dxa"/>
            <w:shd w:val="clear" w:color="auto" w:fill="auto"/>
            <w:vAlign w:val="center"/>
          </w:tcPr>
          <w:p w:rsidR="00EA2492" w:rsidRPr="00F7311D" w:rsidP="00EA2492" w14:paraId="3050AB3E" w14:textId="77777777">
            <w:pPr>
              <w:spacing w:after="0" w:line="240" w:lineRule="auto"/>
              <w:rPr>
                <w:rFonts w:ascii="Calibri" w:eastAsia="Times New Roman" w:hAnsi="Calibri" w:cs="Calibri"/>
                <w:color w:val="000000"/>
                <w:sz w:val="18"/>
                <w:szCs w:val="18"/>
              </w:rPr>
            </w:pPr>
          </w:p>
        </w:tc>
      </w:tr>
      <w:tr w14:paraId="0152F783"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7B59788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Standardized admissions tests</w:t>
            </w:r>
          </w:p>
        </w:tc>
        <w:tc>
          <w:tcPr>
            <w:tcW w:w="8558" w:type="dxa"/>
            <w:shd w:val="clear" w:color="auto" w:fill="auto"/>
            <w:vAlign w:val="center"/>
            <w:hideMark/>
          </w:tcPr>
          <w:p w:rsidR="00EA2492" w:rsidRPr="00F7311D" w:rsidP="00EA2492" w14:paraId="3272EB5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Tests prepared and administered by an agency that is independent of any postsecondary education institution. Tests provide information about prospective students and their academic qualifications relative to a national sample. Examples are the SAT and the ACT.</w:t>
            </w:r>
          </w:p>
        </w:tc>
        <w:tc>
          <w:tcPr>
            <w:tcW w:w="2097" w:type="dxa"/>
            <w:shd w:val="clear" w:color="auto" w:fill="auto"/>
            <w:vAlign w:val="center"/>
            <w:hideMark/>
          </w:tcPr>
          <w:p w:rsidR="00EA2492" w:rsidRPr="00F7311D" w:rsidP="00EA2492" w14:paraId="7DBAC636" w14:textId="77777777">
            <w:pPr>
              <w:spacing w:after="0" w:line="240" w:lineRule="auto"/>
              <w:rPr>
                <w:rFonts w:ascii="Calibri" w:eastAsia="Times New Roman" w:hAnsi="Calibri" w:cs="Calibri"/>
                <w:color w:val="000000"/>
                <w:sz w:val="18"/>
                <w:szCs w:val="18"/>
              </w:rPr>
            </w:pPr>
          </w:p>
        </w:tc>
      </w:tr>
      <w:tr w14:paraId="7F6AA9E0"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66EE13A9"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w:t>
            </w:r>
          </w:p>
        </w:tc>
        <w:tc>
          <w:tcPr>
            <w:tcW w:w="8558" w:type="dxa"/>
            <w:shd w:val="clear" w:color="auto" w:fill="auto"/>
            <w:vAlign w:val="center"/>
            <w:hideMark/>
          </w:tcPr>
          <w:p w:rsidR="00EA2492" w:rsidRPr="008878BA" w:rsidP="00EA2492" w14:paraId="567527A4" w14:textId="3ABF4CB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State and local monies awarded to the institution under state and local student aid programs, including the state portion of </w:t>
            </w:r>
            <w:r w:rsidRPr="008878BA" w:rsidR="00CC4833">
              <w:rPr>
                <w:rFonts w:ascii="Calibri" w:eastAsia="Times New Roman" w:hAnsi="Calibri" w:cs="Calibri"/>
                <w:sz w:val="18"/>
                <w:szCs w:val="18"/>
              </w:rPr>
              <w:t xml:space="preserve">Leveraging Educational Assistance Partnerships (LEAP) </w:t>
            </w:r>
            <w:r w:rsidRPr="008878BA" w:rsidR="00854B19">
              <w:rPr>
                <w:rFonts w:ascii="Calibri" w:eastAsia="Times New Roman" w:hAnsi="Calibri" w:cs="Calibri"/>
                <w:sz w:val="18"/>
                <w:szCs w:val="18"/>
              </w:rPr>
              <w:t xml:space="preserve">program </w:t>
            </w:r>
            <w:r w:rsidRPr="008878BA" w:rsidR="00CC4833">
              <w:rPr>
                <w:rFonts w:ascii="Calibri" w:eastAsia="Times New Roman" w:hAnsi="Calibri" w:cs="Calibri"/>
                <w:sz w:val="18"/>
                <w:szCs w:val="18"/>
              </w:rPr>
              <w:t xml:space="preserve">(formerly </w:t>
            </w:r>
            <w:r w:rsidRPr="008878BA">
              <w:rPr>
                <w:rFonts w:ascii="Calibri" w:eastAsia="Times New Roman" w:hAnsi="Calibri" w:cs="Calibri"/>
                <w:sz w:val="18"/>
                <w:szCs w:val="18"/>
              </w:rPr>
              <w:t>State Student Incentive Grant</w:t>
            </w:r>
            <w:r w:rsidRPr="008878BA" w:rsidR="00854B19">
              <w:rPr>
                <w:rFonts w:ascii="Calibri" w:eastAsia="Times New Roman" w:hAnsi="Calibri" w:cs="Calibri"/>
                <w:sz w:val="18"/>
                <w:szCs w:val="18"/>
              </w:rPr>
              <w:t xml:space="preserve"> program</w:t>
            </w:r>
            <w:r w:rsidRPr="008878BA">
              <w:rPr>
                <w:rFonts w:ascii="Calibri" w:eastAsia="Times New Roman" w:hAnsi="Calibri" w:cs="Calibri"/>
                <w:sz w:val="18"/>
                <w:szCs w:val="18"/>
              </w:rPr>
              <w:t xml:space="preserve"> </w:t>
            </w:r>
            <w:r w:rsidRPr="008878BA" w:rsidR="00CC4833">
              <w:rPr>
                <w:rFonts w:ascii="Calibri" w:eastAsia="Times New Roman" w:hAnsi="Calibri" w:cs="Calibri"/>
                <w:sz w:val="18"/>
                <w:szCs w:val="18"/>
              </w:rPr>
              <w:t>or</w:t>
            </w:r>
            <w:r w:rsidRPr="008878BA" w:rsidR="00892787">
              <w:rPr>
                <w:rFonts w:ascii="Calibri" w:eastAsia="Times New Roman" w:hAnsi="Calibri" w:cs="Calibri"/>
                <w:sz w:val="18"/>
                <w:szCs w:val="18"/>
              </w:rPr>
              <w:t xml:space="preserve"> </w:t>
            </w:r>
            <w:r w:rsidRPr="008878BA">
              <w:rPr>
                <w:rFonts w:ascii="Calibri" w:eastAsia="Times New Roman" w:hAnsi="Calibri" w:cs="Calibri"/>
                <w:sz w:val="18"/>
                <w:szCs w:val="18"/>
              </w:rPr>
              <w:t xml:space="preserve">SSIG). (Used for reporting </w:t>
            </w:r>
            <w:r w:rsidRPr="008878BA" w:rsidR="00B1224C">
              <w:rPr>
                <w:rFonts w:ascii="Calibri" w:eastAsia="Times New Roman" w:hAnsi="Calibri" w:cs="Calibri"/>
                <w:sz w:val="18"/>
                <w:szCs w:val="18"/>
              </w:rPr>
              <w:t xml:space="preserve">on the </w:t>
            </w:r>
            <w:r w:rsidRPr="008878BA">
              <w:rPr>
                <w:rFonts w:ascii="Calibri" w:eastAsia="Times New Roman" w:hAnsi="Calibri" w:cs="Calibri"/>
                <w:sz w:val="18"/>
                <w:szCs w:val="18"/>
              </w:rPr>
              <w:t>Student Financial Aid</w:t>
            </w:r>
            <w:r w:rsidRPr="008878BA" w:rsidR="00B1224C">
              <w:rPr>
                <w:rFonts w:ascii="Calibri" w:eastAsia="Times New Roman" w:hAnsi="Calibri" w:cs="Calibri"/>
                <w:sz w:val="18"/>
                <w:szCs w:val="18"/>
              </w:rPr>
              <w:t xml:space="preserve"> component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677E9D6F" w14:textId="77777777">
            <w:pPr>
              <w:spacing w:after="0" w:line="240" w:lineRule="auto"/>
              <w:rPr>
                <w:rFonts w:ascii="Calibri" w:eastAsia="Times New Roman" w:hAnsi="Calibri" w:cs="Calibri"/>
                <w:color w:val="000000"/>
                <w:sz w:val="18"/>
                <w:szCs w:val="18"/>
              </w:rPr>
            </w:pPr>
          </w:p>
        </w:tc>
      </w:tr>
      <w:tr w14:paraId="5BFB26CB"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3A03EE90"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government grants and contracts (revenues)</w:t>
            </w:r>
          </w:p>
        </w:tc>
        <w:tc>
          <w:tcPr>
            <w:tcW w:w="8558" w:type="dxa"/>
            <w:shd w:val="clear" w:color="auto" w:fill="auto"/>
            <w:vAlign w:val="center"/>
            <w:hideMark/>
          </w:tcPr>
          <w:p w:rsidR="00EA2492" w:rsidRPr="008878BA" w:rsidP="00EA2492" w14:paraId="43E3CB47" w14:textId="446C8155">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Revenues from state and local government agencies that are for training programs and similar activities for which amounts are received or expenditures are reimbursable under the terms of a state or local government grant or contract.</w:t>
            </w:r>
          </w:p>
        </w:tc>
        <w:tc>
          <w:tcPr>
            <w:tcW w:w="2097" w:type="dxa"/>
            <w:shd w:val="clear" w:color="auto" w:fill="auto"/>
            <w:vAlign w:val="center"/>
            <w:hideMark/>
          </w:tcPr>
          <w:p w:rsidR="00EA2492" w:rsidRPr="00F7311D" w:rsidP="00EA2492" w14:paraId="14FA28C7" w14:textId="77777777">
            <w:pPr>
              <w:spacing w:after="0" w:line="240" w:lineRule="auto"/>
              <w:rPr>
                <w:rFonts w:ascii="Calibri" w:eastAsia="Times New Roman" w:hAnsi="Calibri" w:cs="Calibri"/>
                <w:color w:val="000000"/>
                <w:sz w:val="18"/>
                <w:szCs w:val="18"/>
              </w:rPr>
            </w:pPr>
          </w:p>
        </w:tc>
      </w:tr>
      <w:tr w14:paraId="73CDCCC6" w14:textId="77777777" w:rsidTr="0036249A">
        <w:tblPrEx>
          <w:tblW w:w="13616" w:type="dxa"/>
          <w:tblLook w:val="04A0"/>
        </w:tblPrEx>
        <w:trPr>
          <w:trHeight w:val="20"/>
        </w:trPr>
        <w:tc>
          <w:tcPr>
            <w:tcW w:w="2961" w:type="dxa"/>
            <w:shd w:val="clear" w:color="auto" w:fill="auto"/>
            <w:vAlign w:val="center"/>
            <w:hideMark/>
          </w:tcPr>
          <w:p w:rsidR="00EA2492" w:rsidRPr="008878BA" w:rsidP="00EA2492" w14:paraId="4D0C250B"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State and local grants</w:t>
            </w:r>
          </w:p>
        </w:tc>
        <w:tc>
          <w:tcPr>
            <w:tcW w:w="8558" w:type="dxa"/>
            <w:shd w:val="clear" w:color="auto" w:fill="auto"/>
            <w:vAlign w:val="center"/>
            <w:hideMark/>
          </w:tcPr>
          <w:p w:rsidR="00EA2492" w:rsidRPr="008878BA" w:rsidP="00EA2492" w14:paraId="65F5F507" w14:textId="56358F64">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Grant monies provided by the state such as Leveraging Educational Assistance Partnerships (LEAP) </w:t>
            </w:r>
            <w:r w:rsidRPr="008878BA" w:rsidR="00854B19">
              <w:rPr>
                <w:rFonts w:ascii="Calibri" w:eastAsia="Times New Roman" w:hAnsi="Calibri" w:cs="Calibri"/>
                <w:sz w:val="18"/>
                <w:szCs w:val="18"/>
              </w:rPr>
              <w:t xml:space="preserve">program </w:t>
            </w:r>
            <w:r w:rsidRPr="008878BA">
              <w:rPr>
                <w:rFonts w:ascii="Calibri" w:eastAsia="Times New Roman" w:hAnsi="Calibri" w:cs="Calibri"/>
                <w:sz w:val="18"/>
                <w:szCs w:val="18"/>
              </w:rPr>
              <w:t xml:space="preserve">(formerly </w:t>
            </w:r>
            <w:r w:rsidRPr="008878BA" w:rsidR="00E302B8">
              <w:rPr>
                <w:rFonts w:ascii="Calibri" w:eastAsia="Times New Roman" w:hAnsi="Calibri" w:cs="Calibri"/>
                <w:sz w:val="18"/>
                <w:szCs w:val="18"/>
              </w:rPr>
              <w:t>State Student Incentive Grant</w:t>
            </w:r>
            <w:r w:rsidRPr="008878BA" w:rsidR="00854B19">
              <w:rPr>
                <w:rFonts w:ascii="Calibri" w:eastAsia="Times New Roman" w:hAnsi="Calibri" w:cs="Calibri"/>
                <w:sz w:val="18"/>
                <w:szCs w:val="18"/>
              </w:rPr>
              <w:t xml:space="preserve"> program</w:t>
            </w:r>
            <w:r w:rsidRPr="008878BA" w:rsidR="00E302B8">
              <w:rPr>
                <w:rFonts w:ascii="Calibri" w:eastAsia="Times New Roman" w:hAnsi="Calibri" w:cs="Calibri"/>
                <w:sz w:val="18"/>
                <w:szCs w:val="18"/>
              </w:rPr>
              <w:t xml:space="preserve"> or </w:t>
            </w:r>
            <w:r w:rsidRPr="008878BA">
              <w:rPr>
                <w:rFonts w:ascii="Calibri" w:eastAsia="Times New Roman" w:hAnsi="Calibri" w:cs="Calibri"/>
                <w:sz w:val="18"/>
                <w:szCs w:val="18"/>
              </w:rPr>
              <w:t>SSIG); merit scholarships provided by the state; and tuition and fee waivers for which the institution was reimbursed by a state agency. Local government grants include scholarships or gift-aid awarded directly to the student. (Used for reporting for private for-profit institutions</w:t>
            </w:r>
            <w:r w:rsidRPr="008878BA" w:rsidR="00B1224C">
              <w:rPr>
                <w:rFonts w:ascii="Calibri" w:eastAsia="Times New Roman" w:hAnsi="Calibri" w:cs="Calibri"/>
                <w:sz w:val="18"/>
                <w:szCs w:val="18"/>
              </w:rPr>
              <w:t xml:space="preserve"> on the Finance </w:t>
            </w:r>
            <w:r w:rsidRPr="008878BA" w:rsidR="00BC4716">
              <w:rPr>
                <w:rFonts w:ascii="Calibri" w:eastAsia="Times New Roman" w:hAnsi="Calibri" w:cs="Calibri"/>
                <w:sz w:val="18"/>
                <w:szCs w:val="18"/>
              </w:rPr>
              <w:t>component</w:t>
            </w:r>
            <w:r w:rsidRPr="008878BA">
              <w:rPr>
                <w:rFonts w:ascii="Calibri" w:eastAsia="Times New Roman" w:hAnsi="Calibri" w:cs="Calibri"/>
                <w:sz w:val="18"/>
                <w:szCs w:val="18"/>
              </w:rPr>
              <w:t>)</w:t>
            </w:r>
          </w:p>
        </w:tc>
        <w:tc>
          <w:tcPr>
            <w:tcW w:w="2097" w:type="dxa"/>
            <w:shd w:val="clear" w:color="auto" w:fill="auto"/>
            <w:vAlign w:val="center"/>
            <w:hideMark/>
          </w:tcPr>
          <w:p w:rsidR="00EA2492" w:rsidRPr="00F7311D" w:rsidP="00EA2492" w14:paraId="27C60C2C" w14:textId="77777777">
            <w:pPr>
              <w:spacing w:after="0" w:line="240" w:lineRule="auto"/>
              <w:rPr>
                <w:rFonts w:ascii="Calibri" w:eastAsia="Times New Roman" w:hAnsi="Calibri" w:cs="Calibri"/>
                <w:color w:val="000000"/>
                <w:sz w:val="18"/>
                <w:szCs w:val="18"/>
              </w:rPr>
            </w:pPr>
          </w:p>
        </w:tc>
      </w:tr>
      <w:tr w14:paraId="083D75C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935AB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government grants and contracts (revenues)</w:t>
            </w:r>
          </w:p>
        </w:tc>
        <w:tc>
          <w:tcPr>
            <w:tcW w:w="8558" w:type="dxa"/>
            <w:shd w:val="clear" w:color="auto" w:fill="auto"/>
            <w:vAlign w:val="center"/>
            <w:hideMark/>
          </w:tcPr>
          <w:p w:rsidR="00EA2492" w:rsidRPr="00F7311D" w:rsidP="00EA2492" w14:paraId="5AF32412" w14:textId="53D7226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Revenues from state Government agencies that are for training programs and similar activities for which amounts are received or expenditures are reimbursable under the terms of a state government grant or contract.</w:t>
            </w:r>
          </w:p>
        </w:tc>
        <w:tc>
          <w:tcPr>
            <w:tcW w:w="2097" w:type="dxa"/>
            <w:shd w:val="clear" w:color="auto" w:fill="auto"/>
            <w:vAlign w:val="center"/>
            <w:hideMark/>
          </w:tcPr>
          <w:p w:rsidR="00EA2492" w:rsidRPr="00F7311D" w:rsidP="00EA2492" w14:paraId="3CBBB5E2" w14:textId="77777777">
            <w:pPr>
              <w:spacing w:after="0" w:line="240" w:lineRule="auto"/>
              <w:rPr>
                <w:rFonts w:ascii="Calibri" w:eastAsia="Times New Roman" w:hAnsi="Calibri" w:cs="Calibri"/>
                <w:color w:val="000000"/>
                <w:sz w:val="18"/>
                <w:szCs w:val="18"/>
              </w:rPr>
            </w:pPr>
          </w:p>
        </w:tc>
      </w:tr>
      <w:tr w14:paraId="2E69ACF5"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8DCCCA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grants (revenues)</w:t>
            </w:r>
          </w:p>
        </w:tc>
        <w:tc>
          <w:tcPr>
            <w:tcW w:w="8558" w:type="dxa"/>
            <w:shd w:val="clear" w:color="auto" w:fill="auto"/>
            <w:vAlign w:val="center"/>
            <w:hideMark/>
          </w:tcPr>
          <w:p w:rsidR="00EA2492" w:rsidRPr="00F7311D" w:rsidP="00EA2492" w14:paraId="09A40F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sum of money or property bestowed on a postsecondary institution by a state government.</w:t>
            </w:r>
          </w:p>
        </w:tc>
        <w:tc>
          <w:tcPr>
            <w:tcW w:w="2097" w:type="dxa"/>
            <w:shd w:val="clear" w:color="auto" w:fill="auto"/>
            <w:vAlign w:val="center"/>
            <w:hideMark/>
          </w:tcPr>
          <w:p w:rsidR="00EA2492" w:rsidRPr="00F7311D" w:rsidP="00EA2492" w14:paraId="75FAB7CA" w14:textId="77777777">
            <w:pPr>
              <w:spacing w:after="0" w:line="240" w:lineRule="auto"/>
              <w:rPr>
                <w:rFonts w:ascii="Calibri" w:eastAsia="Times New Roman" w:hAnsi="Calibri" w:cs="Calibri"/>
                <w:color w:val="000000"/>
                <w:sz w:val="18"/>
                <w:szCs w:val="18"/>
              </w:rPr>
            </w:pPr>
          </w:p>
        </w:tc>
      </w:tr>
      <w:tr w14:paraId="3996C8AF"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71CEE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of residence</w:t>
            </w:r>
          </w:p>
        </w:tc>
        <w:tc>
          <w:tcPr>
            <w:tcW w:w="8558" w:type="dxa"/>
            <w:shd w:val="clear" w:color="auto" w:fill="auto"/>
            <w:vAlign w:val="center"/>
            <w:hideMark/>
          </w:tcPr>
          <w:p w:rsidR="00EA2492" w:rsidRPr="00F7311D" w:rsidP="00EA2492" w14:paraId="1BE801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person's permanent address as determined by such evidence as a driver's license or voter registration. For entering freshmen, state of residence may be the legal state of residence of a parent or guardian.</w:t>
            </w:r>
          </w:p>
        </w:tc>
        <w:tc>
          <w:tcPr>
            <w:tcW w:w="2097" w:type="dxa"/>
            <w:shd w:val="clear" w:color="auto" w:fill="auto"/>
            <w:vAlign w:val="center"/>
            <w:hideMark/>
          </w:tcPr>
          <w:p w:rsidR="00EA2492" w:rsidRPr="00F7311D" w:rsidP="00EA2492" w14:paraId="2E81834C" w14:textId="77777777">
            <w:pPr>
              <w:spacing w:after="0" w:line="240" w:lineRule="auto"/>
              <w:rPr>
                <w:rFonts w:ascii="Calibri" w:eastAsia="Times New Roman" w:hAnsi="Calibri" w:cs="Calibri"/>
                <w:color w:val="000000"/>
                <w:sz w:val="18"/>
                <w:szCs w:val="18"/>
              </w:rPr>
            </w:pPr>
          </w:p>
        </w:tc>
      </w:tr>
      <w:tr w14:paraId="532DF0A7"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89DC5C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State unknown</w:t>
            </w:r>
          </w:p>
        </w:tc>
        <w:tc>
          <w:tcPr>
            <w:tcW w:w="8558" w:type="dxa"/>
            <w:shd w:val="clear" w:color="auto" w:fill="auto"/>
            <w:vAlign w:val="center"/>
            <w:hideMark/>
          </w:tcPr>
          <w:p w:rsidR="00EA2492" w:rsidRPr="00F7311D" w:rsidP="00EA2492" w14:paraId="07B851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used when the reporting institution is unable to determine from existing records the home state or residence of the student.</w:t>
            </w:r>
          </w:p>
        </w:tc>
        <w:tc>
          <w:tcPr>
            <w:tcW w:w="2097" w:type="dxa"/>
            <w:shd w:val="clear" w:color="auto" w:fill="auto"/>
            <w:vAlign w:val="center"/>
            <w:hideMark/>
          </w:tcPr>
          <w:p w:rsidR="00EA2492" w:rsidRPr="00F7311D" w:rsidP="00EA2492" w14:paraId="45150A03" w14:textId="77777777">
            <w:pPr>
              <w:spacing w:after="0" w:line="240" w:lineRule="auto"/>
              <w:rPr>
                <w:rFonts w:ascii="Calibri" w:eastAsia="Times New Roman" w:hAnsi="Calibri" w:cs="Calibri"/>
                <w:color w:val="000000"/>
                <w:sz w:val="18"/>
                <w:szCs w:val="18"/>
              </w:rPr>
            </w:pPr>
          </w:p>
        </w:tc>
      </w:tr>
      <w:tr w14:paraId="41297A7D"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4760F2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date</w:t>
            </w:r>
          </w:p>
        </w:tc>
        <w:tc>
          <w:tcPr>
            <w:tcW w:w="8558" w:type="dxa"/>
            <w:shd w:val="clear" w:color="auto" w:fill="auto"/>
            <w:vAlign w:val="center"/>
            <w:hideMark/>
          </w:tcPr>
          <w:p w:rsidR="00EA2492" w:rsidRPr="00F7311D" w:rsidP="00EA2492" w14:paraId="60305F3A" w14:textId="52DB6EE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In the collection of Graduation Rates data, institutions report on the status of the students in their cohort as of August 31 of the reporting year.</w:t>
            </w:r>
          </w:p>
        </w:tc>
        <w:tc>
          <w:tcPr>
            <w:tcW w:w="2097" w:type="dxa"/>
            <w:shd w:val="clear" w:color="auto" w:fill="auto"/>
            <w:vAlign w:val="center"/>
            <w:hideMark/>
          </w:tcPr>
          <w:p w:rsidR="00EA2492" w:rsidRPr="00F7311D" w:rsidP="00EA2492" w14:paraId="3AC20AEA" w14:textId="77777777">
            <w:pPr>
              <w:spacing w:after="0" w:line="240" w:lineRule="auto"/>
              <w:rPr>
                <w:rFonts w:ascii="Calibri" w:eastAsia="Times New Roman" w:hAnsi="Calibri" w:cs="Calibri"/>
                <w:color w:val="000000"/>
                <w:sz w:val="18"/>
                <w:szCs w:val="18"/>
              </w:rPr>
            </w:pPr>
          </w:p>
        </w:tc>
      </w:tr>
      <w:tr w14:paraId="129D7D88"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6F4CF23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c>
          <w:tcPr>
            <w:tcW w:w="8558" w:type="dxa"/>
            <w:shd w:val="clear" w:color="auto" w:fill="auto"/>
            <w:vAlign w:val="center"/>
            <w:hideMark/>
          </w:tcPr>
          <w:p w:rsidR="00EA2492" w:rsidP="00EA2492" w14:paraId="262F377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Used in the IPEDS data collection system to identify progress toward satisfying reporting (compliance) requirements. The survey status indicators are as follows: </w:t>
            </w:r>
          </w:p>
          <w:p w:rsidR="00EA2492" w:rsidRPr="00153B9A" w:rsidP="00EA2492" w14:paraId="6E7E403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Not Applicable - The institution is not required to complete the component because the content is not relevant to the institution.</w:t>
            </w:r>
          </w:p>
          <w:p w:rsidR="00EA2492" w:rsidRPr="00153B9A" w:rsidP="00EA2492" w14:paraId="5EE9EFD5"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Screening questions have not been answered. Responses to all screening questions are required before data collection pages will be generated. </w:t>
            </w:r>
          </w:p>
          <w:p w:rsidR="00EA2492" w:rsidRPr="00153B9A" w:rsidP="00EA2492" w14:paraId="2E964CE9"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No Data - No data provided. </w:t>
            </w:r>
          </w:p>
          <w:p w:rsidR="00EA2492" w:rsidRPr="00153B9A" w:rsidP="00EA2492" w14:paraId="4DBE289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Has Data - Data have been entered. 'Perform Edits' must be run to determine if data are clean. </w:t>
            </w:r>
          </w:p>
          <w:p w:rsidR="00EA2492" w:rsidRPr="00153B9A" w:rsidP="00EA2492" w14:paraId="12FEE8E6"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Edited - Edits have been run; institutions should go to the edit report to resolve edit errors. </w:t>
            </w:r>
          </w:p>
          <w:p w:rsidR="00EA2492" w:rsidRPr="00153B9A" w:rsidP="00EA2492" w14:paraId="32ECDE51"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Clean - All edit errors have been resolved; data are clean; proceed to Lock. </w:t>
            </w:r>
          </w:p>
          <w:p w:rsidR="00EA2492" w:rsidRPr="00153B9A" w:rsidP="00EA2492" w14:paraId="231861BA" w14:textId="77777777">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 xml:space="preserve">Locked - Data have been successfully submitted. Final lock must still be applied. </w:t>
            </w:r>
          </w:p>
          <w:p w:rsidR="00EA2492" w:rsidRPr="00153B9A" w:rsidP="00EA2492" w14:paraId="75F4010A" w14:textId="44198BE3">
            <w:pPr>
              <w:pStyle w:val="ListParagraph"/>
              <w:numPr>
                <w:ilvl w:val="0"/>
                <w:numId w:val="21"/>
              </w:numPr>
              <w:spacing w:after="0" w:line="240" w:lineRule="auto"/>
              <w:rPr>
                <w:rFonts w:ascii="Calibri" w:eastAsia="Times New Roman" w:hAnsi="Calibri" w:cs="Calibri"/>
                <w:color w:val="000000"/>
                <w:sz w:val="18"/>
                <w:szCs w:val="18"/>
              </w:rPr>
            </w:pPr>
            <w:r w:rsidRPr="00153B9A">
              <w:rPr>
                <w:rFonts w:ascii="Calibri" w:eastAsia="Times New Roman" w:hAnsi="Calibri" w:cs="Calibri"/>
                <w:color w:val="000000"/>
                <w:sz w:val="18"/>
                <w:szCs w:val="18"/>
              </w:rPr>
              <w:t>Complete - All locks have been applied.</w:t>
            </w:r>
          </w:p>
        </w:tc>
        <w:tc>
          <w:tcPr>
            <w:tcW w:w="2097" w:type="dxa"/>
            <w:shd w:val="clear" w:color="auto" w:fill="auto"/>
            <w:vAlign w:val="center"/>
            <w:hideMark/>
          </w:tcPr>
          <w:p w:rsidR="00EA2492" w:rsidRPr="00F7311D" w:rsidP="00EA2492" w14:paraId="2CD8C22A" w14:textId="77777777">
            <w:pPr>
              <w:spacing w:after="0" w:line="240" w:lineRule="auto"/>
              <w:rPr>
                <w:rFonts w:ascii="Calibri" w:eastAsia="Times New Roman" w:hAnsi="Calibri" w:cs="Calibri"/>
                <w:color w:val="000000"/>
                <w:sz w:val="18"/>
                <w:szCs w:val="18"/>
              </w:rPr>
            </w:pPr>
          </w:p>
        </w:tc>
      </w:tr>
      <w:tr w14:paraId="6C2D5BCC"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3EE58D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Stop out</w:t>
            </w:r>
          </w:p>
        </w:tc>
        <w:tc>
          <w:tcPr>
            <w:tcW w:w="8558" w:type="dxa"/>
            <w:shd w:val="clear" w:color="auto" w:fill="auto"/>
            <w:vAlign w:val="center"/>
            <w:hideMark/>
          </w:tcPr>
          <w:p w:rsidR="00EA2492" w:rsidRPr="00F7311D" w:rsidP="00EA2492" w14:paraId="07799D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left the institution and returned at a later date.</w:t>
            </w:r>
          </w:p>
        </w:tc>
        <w:tc>
          <w:tcPr>
            <w:tcW w:w="2097" w:type="dxa"/>
            <w:shd w:val="clear" w:color="auto" w:fill="auto"/>
            <w:vAlign w:val="center"/>
            <w:hideMark/>
          </w:tcPr>
          <w:p w:rsidR="00EA2492" w:rsidRPr="00F7311D" w:rsidP="00EA2492" w14:paraId="5F9B843F" w14:textId="77777777">
            <w:pPr>
              <w:spacing w:after="0" w:line="240" w:lineRule="auto"/>
              <w:rPr>
                <w:rFonts w:ascii="Calibri" w:eastAsia="Times New Roman" w:hAnsi="Calibri" w:cs="Calibri"/>
                <w:color w:val="000000"/>
                <w:sz w:val="18"/>
                <w:szCs w:val="18"/>
              </w:rPr>
            </w:pPr>
          </w:p>
        </w:tc>
      </w:tr>
      <w:tr w14:paraId="32149981" w14:textId="77777777" w:rsidTr="0036249A">
        <w:tblPrEx>
          <w:tblW w:w="13616" w:type="dxa"/>
          <w:tblLook w:val="04A0"/>
        </w:tblPrEx>
        <w:trPr>
          <w:trHeight w:val="20"/>
        </w:trPr>
        <w:tc>
          <w:tcPr>
            <w:tcW w:w="2961" w:type="dxa"/>
            <w:shd w:val="clear" w:color="auto" w:fill="auto"/>
            <w:vAlign w:val="center"/>
            <w:hideMark/>
          </w:tcPr>
          <w:p w:rsidR="00EA2492" w:rsidRPr="00F7311D" w:rsidP="00EA2492" w14:paraId="2327851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activities</w:t>
            </w:r>
          </w:p>
        </w:tc>
        <w:tc>
          <w:tcPr>
            <w:tcW w:w="8558" w:type="dxa"/>
            <w:shd w:val="clear" w:color="auto" w:fill="auto"/>
            <w:vAlign w:val="center"/>
            <w:hideMark/>
          </w:tcPr>
          <w:p w:rsidR="00EA2492" w:rsidRPr="00F7311D" w:rsidP="00EA2492" w14:paraId="3E289CA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Programs designed to support and complement the institution's academic mission and enhance the educational experience of students, individually and through student groups.  Includes exposure to and participation in social, cultural, recreational, intellectual, and governance activities.</w:t>
            </w:r>
          </w:p>
        </w:tc>
        <w:tc>
          <w:tcPr>
            <w:tcW w:w="2097" w:type="dxa"/>
            <w:shd w:val="clear" w:color="auto" w:fill="auto"/>
            <w:vAlign w:val="center"/>
            <w:hideMark/>
          </w:tcPr>
          <w:p w:rsidR="00EA2492" w:rsidRPr="00F7311D" w:rsidP="00EA2492" w14:paraId="370E13A6" w14:textId="77777777">
            <w:pPr>
              <w:spacing w:after="0" w:line="240" w:lineRule="auto"/>
              <w:rPr>
                <w:rFonts w:ascii="Calibri" w:eastAsia="Times New Roman" w:hAnsi="Calibri" w:cs="Calibri"/>
                <w:color w:val="000000"/>
                <w:sz w:val="18"/>
                <w:szCs w:val="18"/>
              </w:rPr>
            </w:pPr>
          </w:p>
        </w:tc>
      </w:tr>
      <w:tr w14:paraId="58BAE6D6" w14:textId="77777777" w:rsidTr="2F8BA43F">
        <w:tblPrEx>
          <w:tblW w:w="13616" w:type="dxa"/>
          <w:tblLook w:val="04A0"/>
        </w:tblPrEx>
        <w:trPr>
          <w:trHeight w:val="20"/>
        </w:trPr>
        <w:tc>
          <w:tcPr>
            <w:tcW w:w="29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9E747D" w:rsidRPr="008878BA" w:rsidP="009E747D" w14:paraId="7B5C82BF" w14:textId="0BF0DC4A">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aid assets</w:t>
            </w:r>
          </w:p>
        </w:tc>
        <w:tc>
          <w:tcPr>
            <w:tcW w:w="85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rsidR="009E747D" w:rsidRPr="008878BA" w:rsidP="008C2332" w14:paraId="2710E222" w14:textId="31C90BC2">
            <w:pPr>
              <w:rPr>
                <w:sz w:val="18"/>
                <w:szCs w:val="18"/>
              </w:rPr>
            </w:pPr>
            <w:r w:rsidRPr="008878BA">
              <w:rPr>
                <w:sz w:val="18"/>
                <w:szCs w:val="18"/>
              </w:rPr>
              <w:t>The net value of assets that students and other contributors to the Free Application for Federal Student Aid (FAFSA</w:t>
            </w:r>
            <w:r w:rsidRPr="008878BA">
              <w:rPr>
                <w:sz w:val="18"/>
                <w:szCs w:val="18"/>
                <w:vertAlign w:val="superscript"/>
              </w:rPr>
              <w:t>©</w:t>
            </w:r>
            <w:r w:rsidRPr="008878BA">
              <w:rPr>
                <w:sz w:val="18"/>
                <w:szCs w:val="18"/>
              </w:rPr>
              <w:t>) are typically required to report when they fill out that form. Assets include the total amount of cash, checking and savings accounts, cryptocurrency, as well as time deposits, money market funds, investments, trusts, stocks, bonds, derivatives, securities, mutual funds, tax shelters, qualified education benefits, the annual amount of child support received; and the net value of real estate, vacation homes, income producing property, and business and farm assets. However, they can also include other assets that postsecondary schools ask for to determine how much institutional aid they award to students. An example of this is the net value of the family’s home, which is explicitly excluded from the FAFSA form but which many schools require when determining their own aid.</w:t>
            </w:r>
          </w:p>
        </w:tc>
        <w:tc>
          <w:tcPr>
            <w:tcW w:w="20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9E747D" w:rsidRPr="008C2332" w:rsidP="009E747D" w14:paraId="4DBFF8DC" w14:textId="585A29B3">
            <w:pPr>
              <w:spacing w:after="0" w:line="240" w:lineRule="auto"/>
              <w:rPr>
                <w:rFonts w:ascii="Calibri" w:eastAsia="Times New Roman" w:hAnsi="Calibri" w:cs="Calibri"/>
                <w:color w:val="7030A0"/>
                <w:sz w:val="18"/>
                <w:szCs w:val="18"/>
              </w:rPr>
            </w:pPr>
          </w:p>
        </w:tc>
      </w:tr>
      <w:tr w14:paraId="5B0BF144"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B51A74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and Academic Affairs and Other Education Services Occupations</w:t>
            </w:r>
          </w:p>
        </w:tc>
        <w:tc>
          <w:tcPr>
            <w:tcW w:w="8558" w:type="dxa"/>
            <w:shd w:val="clear" w:color="auto" w:fill="auto"/>
            <w:vAlign w:val="center"/>
            <w:hideMark/>
          </w:tcPr>
          <w:p w:rsidR="009E747D" w:rsidRPr="00F7311D" w:rsidP="009E747D" w14:paraId="668C3313" w14:textId="151F66E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occupational category based on the following three minor groups in the 2018 Standard Occupational Classification (SOC) Manual: 1) Pre-school, Primary, Secondary, and Special Education School Teachers (SOC code 25-2000) (https://www.bls.gov/soc/2018/major_groups.htm#25-0000); 2) Other Teachers and Instructors (SOC code 25-3000) (https://www.bls.gov/soc/2018/major_groups.htm#25-0000); and 3) Other Education Instruction and Library Occupations (SOC code 25-9000) (https://www.bls.gov/soc/2018/major_groups.htm#25-0000).</w:t>
            </w:r>
          </w:p>
        </w:tc>
        <w:tc>
          <w:tcPr>
            <w:tcW w:w="2097" w:type="dxa"/>
            <w:shd w:val="clear" w:color="auto" w:fill="auto"/>
            <w:vAlign w:val="center"/>
            <w:hideMark/>
          </w:tcPr>
          <w:p w:rsidR="009E747D" w:rsidRPr="00F7311D" w:rsidP="009E747D" w14:paraId="2B9054A4" w14:textId="77777777">
            <w:pPr>
              <w:spacing w:after="0" w:line="240" w:lineRule="auto"/>
              <w:rPr>
                <w:rFonts w:ascii="Calibri" w:eastAsia="Times New Roman" w:hAnsi="Calibri" w:cs="Calibri"/>
                <w:color w:val="000000"/>
                <w:sz w:val="18"/>
                <w:szCs w:val="18"/>
              </w:rPr>
            </w:pPr>
          </w:p>
        </w:tc>
      </w:tr>
      <w:tr w14:paraId="20D7A54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433A7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counts</w:t>
            </w:r>
          </w:p>
        </w:tc>
        <w:tc>
          <w:tcPr>
            <w:tcW w:w="8558" w:type="dxa"/>
            <w:shd w:val="clear" w:color="auto" w:fill="auto"/>
            <w:vAlign w:val="center"/>
            <w:hideMark/>
          </w:tcPr>
          <w:p w:rsidR="009E747D" w:rsidRPr="00F7311D" w:rsidP="009E747D" w14:paraId="7CB94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number of individuals for whom instruction is provided in an educational program under the jurisdiction of a school or educational institution.</w:t>
            </w:r>
          </w:p>
        </w:tc>
        <w:tc>
          <w:tcPr>
            <w:tcW w:w="2097" w:type="dxa"/>
            <w:shd w:val="clear" w:color="auto" w:fill="auto"/>
            <w:vAlign w:val="center"/>
            <w:hideMark/>
          </w:tcPr>
          <w:p w:rsidR="009E747D" w:rsidRPr="00F7311D" w:rsidP="009E747D" w14:paraId="6A9CEA5B" w14:textId="77777777">
            <w:pPr>
              <w:spacing w:after="0" w:line="240" w:lineRule="auto"/>
              <w:rPr>
                <w:rFonts w:ascii="Calibri" w:eastAsia="Times New Roman" w:hAnsi="Calibri" w:cs="Calibri"/>
                <w:color w:val="000000"/>
                <w:sz w:val="18"/>
                <w:szCs w:val="18"/>
              </w:rPr>
            </w:pPr>
          </w:p>
        </w:tc>
      </w:tr>
      <w:tr w14:paraId="45C02F66"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0BEBCD04"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Financial Aid (SFA)</w:t>
            </w:r>
          </w:p>
        </w:tc>
        <w:tc>
          <w:tcPr>
            <w:tcW w:w="8558" w:type="dxa"/>
            <w:shd w:val="clear" w:color="auto" w:fill="auto"/>
            <w:vAlign w:val="center"/>
            <w:hideMark/>
          </w:tcPr>
          <w:p w:rsidR="009E747D" w:rsidRPr="008878BA" w:rsidP="009E747D" w14:paraId="7024C57A" w14:textId="31249A4E">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This annual component of IPEDS began with a pilot test in 1999 and collected both institution price and student financial aid data. The 2000-01 data collection included questions regarding the total number of full-time first-time degree/certificate-students receiving financial assistance for the previous year, the number of those students who received financial assistance by type of aid, and, for aid recipients, the average amounts. </w:t>
            </w:r>
          </w:p>
        </w:tc>
        <w:tc>
          <w:tcPr>
            <w:tcW w:w="2097" w:type="dxa"/>
            <w:shd w:val="clear" w:color="auto" w:fill="auto"/>
            <w:vAlign w:val="center"/>
            <w:hideMark/>
          </w:tcPr>
          <w:p w:rsidR="009E747D" w:rsidRPr="008878BA" w:rsidP="009E747D" w14:paraId="4DB8CDE9" w14:textId="77777777">
            <w:pPr>
              <w:spacing w:after="0" w:line="240" w:lineRule="auto"/>
              <w:rPr>
                <w:rFonts w:ascii="Calibri" w:eastAsia="Times New Roman" w:hAnsi="Calibri" w:cs="Calibri"/>
                <w:sz w:val="18"/>
                <w:szCs w:val="18"/>
              </w:rPr>
            </w:pPr>
          </w:p>
        </w:tc>
      </w:tr>
      <w:tr w14:paraId="2DA06306" w14:textId="77777777" w:rsidTr="0036249A">
        <w:tblPrEx>
          <w:tblW w:w="13616" w:type="dxa"/>
          <w:tblLook w:val="04A0"/>
        </w:tblPrEx>
        <w:trPr>
          <w:trHeight w:val="20"/>
        </w:trPr>
        <w:tc>
          <w:tcPr>
            <w:tcW w:w="2961" w:type="dxa"/>
            <w:shd w:val="clear" w:color="auto" w:fill="auto"/>
            <w:vAlign w:val="center"/>
          </w:tcPr>
          <w:p w:rsidR="00455637" w:rsidRPr="008878BA" w:rsidP="009E747D" w14:paraId="5CB4C7D4" w14:textId="04B97F76">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Student level</w:t>
            </w:r>
          </w:p>
        </w:tc>
        <w:tc>
          <w:tcPr>
            <w:tcW w:w="8558" w:type="dxa"/>
            <w:shd w:val="clear" w:color="auto" w:fill="auto"/>
            <w:vAlign w:val="center"/>
          </w:tcPr>
          <w:p w:rsidR="00455637" w:rsidRPr="008878BA" w:rsidP="009E747D" w14:paraId="1E62F073" w14:textId="2DB6162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classification of a stud</w:t>
            </w:r>
            <w:r w:rsidRPr="008878BA" w:rsidR="001E6D06">
              <w:rPr>
                <w:rFonts w:ascii="Calibri" w:eastAsia="Times New Roman" w:hAnsi="Calibri" w:cs="Calibri"/>
                <w:sz w:val="18"/>
                <w:szCs w:val="18"/>
              </w:rPr>
              <w:t>ent</w:t>
            </w:r>
            <w:r w:rsidRPr="008878BA" w:rsidR="002435B9">
              <w:rPr>
                <w:rFonts w:ascii="Calibri" w:eastAsia="Times New Roman" w:hAnsi="Calibri" w:cs="Calibri"/>
                <w:sz w:val="18"/>
                <w:szCs w:val="18"/>
              </w:rPr>
              <w:t xml:space="preserve"> </w:t>
            </w:r>
            <w:r w:rsidRPr="008878BA" w:rsidR="00963135">
              <w:rPr>
                <w:rFonts w:ascii="Calibri" w:eastAsia="Times New Roman" w:hAnsi="Calibri" w:cs="Calibri"/>
                <w:sz w:val="18"/>
                <w:szCs w:val="18"/>
              </w:rPr>
              <w:t xml:space="preserve">whether </w:t>
            </w:r>
            <w:r w:rsidRPr="008878BA" w:rsidR="002435B9">
              <w:rPr>
                <w:rFonts w:ascii="Calibri" w:eastAsia="Times New Roman" w:hAnsi="Calibri" w:cs="Calibri"/>
                <w:sz w:val="18"/>
                <w:szCs w:val="18"/>
              </w:rPr>
              <w:t>as an</w:t>
            </w:r>
            <w:r w:rsidRPr="008878BA" w:rsidR="00FF11A7">
              <w:rPr>
                <w:rFonts w:ascii="Calibri" w:eastAsia="Times New Roman" w:hAnsi="Calibri" w:cs="Calibri"/>
                <w:sz w:val="18"/>
                <w:szCs w:val="18"/>
              </w:rPr>
              <w:t xml:space="preserve"> </w:t>
            </w:r>
            <w:r w:rsidRPr="008878BA" w:rsidR="000755F0">
              <w:rPr>
                <w:rFonts w:ascii="Calibri" w:eastAsia="Times New Roman" w:hAnsi="Calibri" w:cs="Calibri"/>
                <w:sz w:val="18"/>
                <w:szCs w:val="18"/>
              </w:rPr>
              <w:t xml:space="preserve">undergraduate student </w:t>
            </w:r>
            <w:r w:rsidRPr="008878BA" w:rsidR="009F1C56">
              <w:rPr>
                <w:rFonts w:ascii="Calibri" w:eastAsia="Times New Roman" w:hAnsi="Calibri" w:cs="Calibri"/>
                <w:sz w:val="18"/>
                <w:szCs w:val="18"/>
              </w:rPr>
              <w:t xml:space="preserve">or </w:t>
            </w:r>
            <w:r w:rsidRPr="008878BA" w:rsidR="000755F0">
              <w:rPr>
                <w:rFonts w:ascii="Calibri" w:eastAsia="Times New Roman" w:hAnsi="Calibri" w:cs="Calibri"/>
                <w:sz w:val="18"/>
                <w:szCs w:val="18"/>
              </w:rPr>
              <w:t xml:space="preserve">graduate </w:t>
            </w:r>
            <w:r w:rsidRPr="008878BA" w:rsidR="002435B9">
              <w:rPr>
                <w:rFonts w:ascii="Calibri" w:eastAsia="Times New Roman" w:hAnsi="Calibri" w:cs="Calibri"/>
                <w:sz w:val="18"/>
                <w:szCs w:val="18"/>
              </w:rPr>
              <w:t>student</w:t>
            </w:r>
            <w:r w:rsidRPr="008878BA" w:rsidR="009F1C56">
              <w:rPr>
                <w:rFonts w:ascii="Calibri" w:eastAsia="Times New Roman" w:hAnsi="Calibri" w:cs="Calibri"/>
                <w:sz w:val="18"/>
                <w:szCs w:val="18"/>
              </w:rPr>
              <w:t xml:space="preserve">. </w:t>
            </w:r>
          </w:p>
        </w:tc>
        <w:tc>
          <w:tcPr>
            <w:tcW w:w="2097" w:type="dxa"/>
            <w:shd w:val="clear" w:color="auto" w:fill="auto"/>
            <w:vAlign w:val="center"/>
          </w:tcPr>
          <w:p w:rsidR="00455637" w:rsidRPr="008878BA" w:rsidP="009E747D" w14:paraId="54AF3CD9" w14:textId="59E5EA0F">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w:t>
            </w:r>
            <w:r w:rsidRPr="008878BA" w:rsidR="00924BEF">
              <w:rPr>
                <w:rFonts w:ascii="Calibri" w:eastAsia="Times New Roman" w:hAnsi="Calibri" w:cs="Calibri"/>
                <w:sz w:val="18"/>
                <w:szCs w:val="18"/>
              </w:rPr>
              <w:t xml:space="preserve"> student</w:t>
            </w:r>
            <w:r w:rsidRPr="008878BA">
              <w:rPr>
                <w:rFonts w:ascii="Calibri" w:eastAsia="Times New Roman" w:hAnsi="Calibri" w:cs="Calibri"/>
                <w:sz w:val="18"/>
                <w:szCs w:val="18"/>
              </w:rPr>
              <w:t>, Graduate</w:t>
            </w:r>
            <w:r w:rsidRPr="008878BA" w:rsidR="00924BEF">
              <w:rPr>
                <w:rFonts w:ascii="Calibri" w:eastAsia="Times New Roman" w:hAnsi="Calibri" w:cs="Calibri"/>
                <w:sz w:val="18"/>
                <w:szCs w:val="18"/>
              </w:rPr>
              <w:t xml:space="preserve"> student</w:t>
            </w:r>
          </w:p>
        </w:tc>
      </w:tr>
      <w:tr w14:paraId="1A681B6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8E7280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Right-to-Know Act</w:t>
            </w:r>
          </w:p>
        </w:tc>
        <w:tc>
          <w:tcPr>
            <w:tcW w:w="8558" w:type="dxa"/>
            <w:shd w:val="clear" w:color="auto" w:fill="auto"/>
            <w:vAlign w:val="center"/>
            <w:hideMark/>
          </w:tcPr>
          <w:p w:rsidR="009E747D" w:rsidRPr="00F7311D" w:rsidP="009E747D" w14:paraId="56F79BCA" w14:textId="2C7A48B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Also known as the 'Student Right-to-Know and Campus Security Act' (P.L. 101-542), which was passed by Congress November 9, 1990. Title I, Section 103, requires institutions eligible for Title IV funding to calculate completion or graduation rates of certificate- or degree-seeking, full-time students entering that institution, and to disclose these rates to all students and prospective students. Further, Section 104 requires each institution that participates in any Title IV program and is attended by students receiving athletically-related student aid to submit a report to the Secretary of Education annually. This report is to contain, among other things, graduation/completion rates of all students as well as students receiving athletically-related student aid by race/ethnicity and gender and by sport, and the average completion or graduation rate for the four most recent years. These data are also required to be disclosed to parents, coaches, and potential student athletes when the institution offers athletically-related student aid. The Graduation Rates component of IPEDS was developed specifically to help institutions respond to these requirements.  See Graduation Rates for the current description of data collected.</w:t>
            </w:r>
          </w:p>
        </w:tc>
        <w:tc>
          <w:tcPr>
            <w:tcW w:w="2097" w:type="dxa"/>
            <w:shd w:val="clear" w:color="auto" w:fill="auto"/>
            <w:vAlign w:val="center"/>
            <w:hideMark/>
          </w:tcPr>
          <w:p w:rsidR="009E747D" w:rsidRPr="00F7311D" w:rsidP="009E747D" w14:paraId="742068F9" w14:textId="77777777">
            <w:pPr>
              <w:spacing w:after="0" w:line="240" w:lineRule="auto"/>
              <w:rPr>
                <w:rFonts w:ascii="Calibri" w:eastAsia="Times New Roman" w:hAnsi="Calibri" w:cs="Calibri"/>
                <w:color w:val="000000"/>
                <w:sz w:val="18"/>
                <w:szCs w:val="18"/>
              </w:rPr>
            </w:pPr>
          </w:p>
        </w:tc>
      </w:tr>
      <w:tr w14:paraId="481B905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6F1384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 services</w:t>
            </w:r>
          </w:p>
        </w:tc>
        <w:tc>
          <w:tcPr>
            <w:tcW w:w="8558" w:type="dxa"/>
            <w:shd w:val="clear" w:color="auto" w:fill="auto"/>
            <w:vAlign w:val="center"/>
            <w:hideMark/>
          </w:tcPr>
          <w:p w:rsidR="009E747D" w:rsidRPr="00F7311D" w:rsidP="009E747D" w14:paraId="0F08FC8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functional expense category that includes expenses for admissions, registrar activities, and activities whose primary purpose is to contribute to students emotional and physical well-being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self-supporting auxiliary enterprises. Also may include information technology expenses related to student service activities if the institution separately budgets and expenses information technology resources (otherwise these expenses are included in institutional support.) Institutions include actual or allocated costs for operation and maintenance of plant, interest, and depreciation.</w:t>
            </w:r>
          </w:p>
        </w:tc>
        <w:tc>
          <w:tcPr>
            <w:tcW w:w="2097" w:type="dxa"/>
            <w:shd w:val="clear" w:color="auto" w:fill="auto"/>
            <w:vAlign w:val="center"/>
            <w:hideMark/>
          </w:tcPr>
          <w:p w:rsidR="009E747D" w:rsidRPr="00F7311D" w:rsidP="009E747D" w14:paraId="66CC5667" w14:textId="77777777">
            <w:pPr>
              <w:spacing w:after="0" w:line="240" w:lineRule="auto"/>
              <w:rPr>
                <w:rFonts w:ascii="Calibri" w:eastAsia="Times New Roman" w:hAnsi="Calibri" w:cs="Calibri"/>
                <w:color w:val="000000"/>
                <w:sz w:val="18"/>
                <w:szCs w:val="18"/>
              </w:rPr>
            </w:pPr>
          </w:p>
        </w:tc>
      </w:tr>
      <w:tr w14:paraId="779B8C5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F5E44C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Student-to-faculty ratio</w:t>
            </w:r>
          </w:p>
        </w:tc>
        <w:tc>
          <w:tcPr>
            <w:tcW w:w="8558" w:type="dxa"/>
            <w:shd w:val="clear" w:color="auto" w:fill="auto"/>
            <w:vAlign w:val="center"/>
            <w:hideMark/>
          </w:tcPr>
          <w:p w:rsidR="009E747D" w:rsidRPr="00F7311D" w:rsidP="009E747D" w14:paraId="1E81B075" w14:textId="792527C3">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ratio of FTE students to FTE instructional staff, i.e., students divided by staff. Students enrolled in 'stand-alone' graduate or professional programs and instructional staff teaching in these programs are excluded from both full-time and part-time counts. ‘Stand-alone' graduate or professional programs are those programs such as medicine, law, veterinary, dentistry, social work, or public health, in which faculty teach virtually only graduate-level students (also referred to as 'independent' programs).</w:t>
            </w:r>
            <w:r>
              <w:rPr>
                <w:rFonts w:ascii="Calibri" w:eastAsia="Times New Roman" w:hAnsi="Calibri" w:cs="Calibri"/>
                <w:color w:val="000000"/>
                <w:sz w:val="18"/>
                <w:szCs w:val="18"/>
              </w:rPr>
              <w:t xml:space="preserve"> </w:t>
            </w:r>
            <w:r w:rsidRPr="00F7311D">
              <w:rPr>
                <w:rFonts w:ascii="Calibri" w:eastAsia="Times New Roman" w:hAnsi="Calibri" w:cs="Calibri"/>
                <w:color w:val="000000"/>
                <w:sz w:val="18"/>
                <w:szCs w:val="18"/>
              </w:rPr>
              <w:t>Each FTE value is equal to the number of full-time students/staff  plus 1/3 the number of part-time students/staff.</w:t>
            </w:r>
          </w:p>
        </w:tc>
        <w:tc>
          <w:tcPr>
            <w:tcW w:w="2097" w:type="dxa"/>
            <w:shd w:val="clear" w:color="auto" w:fill="auto"/>
            <w:vAlign w:val="center"/>
            <w:hideMark/>
          </w:tcPr>
          <w:p w:rsidR="009E747D" w:rsidRPr="00F7311D" w:rsidP="009E747D" w14:paraId="705B3F62" w14:textId="77777777">
            <w:pPr>
              <w:spacing w:after="0" w:line="240" w:lineRule="auto"/>
              <w:rPr>
                <w:rFonts w:ascii="Calibri" w:eastAsia="Times New Roman" w:hAnsi="Calibri" w:cs="Calibri"/>
                <w:color w:val="000000"/>
                <w:sz w:val="18"/>
                <w:szCs w:val="18"/>
              </w:rPr>
            </w:pPr>
          </w:p>
        </w:tc>
      </w:tr>
      <w:tr w14:paraId="26B26B3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56485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Study abroad</w:t>
            </w:r>
          </w:p>
        </w:tc>
        <w:tc>
          <w:tcPr>
            <w:tcW w:w="8558" w:type="dxa"/>
            <w:shd w:val="clear" w:color="auto" w:fill="auto"/>
            <w:vAlign w:val="center"/>
            <w:hideMark/>
          </w:tcPr>
          <w:p w:rsidR="009E747D" w:rsidRPr="00F7311D" w:rsidP="009E747D" w14:paraId="1C6A33F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Arrangement by which a student completes part of the college program studying in another country. Can be at a campus abroad or through a cooperative agreement with some other U.S. college or an institution of another country.</w:t>
            </w:r>
          </w:p>
        </w:tc>
        <w:tc>
          <w:tcPr>
            <w:tcW w:w="2097" w:type="dxa"/>
            <w:shd w:val="clear" w:color="auto" w:fill="auto"/>
            <w:vAlign w:val="center"/>
            <w:hideMark/>
          </w:tcPr>
          <w:p w:rsidR="009E747D" w:rsidRPr="00F7311D" w:rsidP="009E747D" w14:paraId="315861F3" w14:textId="77777777">
            <w:pPr>
              <w:spacing w:after="0" w:line="240" w:lineRule="auto"/>
              <w:rPr>
                <w:rFonts w:ascii="Calibri" w:eastAsia="Times New Roman" w:hAnsi="Calibri" w:cs="Calibri"/>
                <w:color w:val="000000"/>
                <w:sz w:val="18"/>
                <w:szCs w:val="18"/>
              </w:rPr>
            </w:pPr>
          </w:p>
        </w:tc>
      </w:tr>
      <w:tr w14:paraId="7D4D227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5C8D35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Subcohort</w:t>
            </w:r>
          </w:p>
        </w:tc>
        <w:tc>
          <w:tcPr>
            <w:tcW w:w="8558" w:type="dxa"/>
            <w:shd w:val="clear" w:color="auto" w:fill="auto"/>
            <w:vAlign w:val="center"/>
            <w:hideMark/>
          </w:tcPr>
          <w:p w:rsidR="009E747D" w:rsidRPr="00F7311D" w:rsidP="009E747D" w14:paraId="24604B5B" w14:textId="1ECAB780">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predefined subset of the initial cohort or the revised cohort established for tracking purposes. Degree/certificate-seeking students in the bachelor’s degree-seeking group in the Graduation Rates(GR) component and Pell-Grant, non-first-time, part-time students in the Outcome Measures(OM) component are examples of </w:t>
            </w:r>
            <w:r w:rsidRPr="00F7311D">
              <w:rPr>
                <w:rFonts w:ascii="Calibri" w:eastAsia="Times New Roman" w:hAnsi="Calibri" w:cs="Calibri"/>
                <w:color w:val="000000"/>
                <w:sz w:val="18"/>
                <w:szCs w:val="18"/>
              </w:rPr>
              <w:t>subcohorts</w:t>
            </w:r>
            <w:r w:rsidRPr="00F7311D">
              <w:rPr>
                <w:rFonts w:ascii="Calibri" w:eastAsia="Times New Roman" w:hAnsi="Calibri" w:cs="Calibri"/>
                <w:color w:val="000000"/>
                <w:sz w:val="18"/>
                <w:szCs w:val="18"/>
              </w:rPr>
              <w:t>.</w:t>
            </w:r>
          </w:p>
        </w:tc>
        <w:tc>
          <w:tcPr>
            <w:tcW w:w="2097" w:type="dxa"/>
            <w:shd w:val="clear" w:color="auto" w:fill="auto"/>
            <w:vAlign w:val="center"/>
            <w:hideMark/>
          </w:tcPr>
          <w:p w:rsidR="009E747D" w:rsidRPr="00F7311D" w:rsidP="009E747D" w14:paraId="1D37B5FB" w14:textId="77777777">
            <w:pPr>
              <w:spacing w:after="0" w:line="240" w:lineRule="auto"/>
              <w:rPr>
                <w:rFonts w:ascii="Calibri" w:eastAsia="Times New Roman" w:hAnsi="Calibri" w:cs="Calibri"/>
                <w:color w:val="000000"/>
                <w:sz w:val="18"/>
                <w:szCs w:val="18"/>
              </w:rPr>
            </w:pPr>
          </w:p>
        </w:tc>
      </w:tr>
      <w:tr w14:paraId="249D0ABC"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09E95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Survey status</w:t>
            </w:r>
          </w:p>
        </w:tc>
        <w:tc>
          <w:tcPr>
            <w:tcW w:w="8558" w:type="dxa"/>
            <w:shd w:val="clear" w:color="auto" w:fill="auto"/>
            <w:vAlign w:val="center"/>
            <w:hideMark/>
          </w:tcPr>
          <w:p w:rsidR="009E747D" w:rsidRPr="00F7311D" w:rsidP="009E747D" w14:paraId="1EE9E31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designation used by survey operations personnel to identify the progress made on the various IPEDS components by institutional respondents.</w:t>
            </w:r>
          </w:p>
        </w:tc>
        <w:tc>
          <w:tcPr>
            <w:tcW w:w="2097" w:type="dxa"/>
            <w:shd w:val="clear" w:color="auto" w:fill="auto"/>
            <w:vAlign w:val="center"/>
            <w:hideMark/>
          </w:tcPr>
          <w:p w:rsidR="009E747D" w:rsidRPr="00F7311D" w:rsidP="009E747D" w14:paraId="0DB99B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indicators</w:t>
            </w:r>
          </w:p>
        </w:tc>
      </w:tr>
      <w:tr w14:paraId="61F32C69"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7B1908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System</w:t>
            </w:r>
          </w:p>
        </w:tc>
        <w:tc>
          <w:tcPr>
            <w:tcW w:w="8558" w:type="dxa"/>
            <w:shd w:val="clear" w:color="auto" w:fill="auto"/>
            <w:vAlign w:val="center"/>
            <w:hideMark/>
          </w:tcPr>
          <w:p w:rsidR="009E747D" w:rsidRPr="00F7311D" w:rsidP="009E747D" w14:paraId="3202A1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organization of two or more institutions of higher education under the control or supervision of a common administrative governing body. Governing bodies generally have the power to act in their own name, to hire and fire personnel, enter into contracts, etc. A coordinating body without these powers or a section of a state agency usually would not be considered a system office.</w:t>
            </w:r>
          </w:p>
        </w:tc>
        <w:tc>
          <w:tcPr>
            <w:tcW w:w="2097" w:type="dxa"/>
            <w:shd w:val="clear" w:color="auto" w:fill="auto"/>
            <w:vAlign w:val="center"/>
            <w:hideMark/>
          </w:tcPr>
          <w:p w:rsidR="009E747D" w:rsidRPr="00F7311D" w:rsidP="009E747D" w14:paraId="29EC1BCC" w14:textId="77777777">
            <w:pPr>
              <w:spacing w:after="0" w:line="240" w:lineRule="auto"/>
              <w:rPr>
                <w:rFonts w:ascii="Calibri" w:eastAsia="Times New Roman" w:hAnsi="Calibri" w:cs="Calibri"/>
                <w:color w:val="000000"/>
                <w:sz w:val="18"/>
                <w:szCs w:val="18"/>
              </w:rPr>
            </w:pPr>
          </w:p>
        </w:tc>
      </w:tr>
      <w:tr w14:paraId="0E9BFEA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8FBA70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 certification program</w:t>
            </w:r>
          </w:p>
        </w:tc>
        <w:tc>
          <w:tcPr>
            <w:tcW w:w="8558" w:type="dxa"/>
            <w:shd w:val="clear" w:color="auto" w:fill="auto"/>
            <w:vAlign w:val="center"/>
            <w:hideMark/>
          </w:tcPr>
          <w:p w:rsidR="009E747D" w:rsidRPr="00F7311D" w:rsidP="009E747D" w14:paraId="7943FDE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designed to prepare students to meet the requirements for certification as teachers in elementary, middle/junior high, and secondary schools.</w:t>
            </w:r>
          </w:p>
        </w:tc>
        <w:tc>
          <w:tcPr>
            <w:tcW w:w="2097" w:type="dxa"/>
            <w:shd w:val="clear" w:color="auto" w:fill="auto"/>
            <w:vAlign w:val="center"/>
            <w:hideMark/>
          </w:tcPr>
          <w:p w:rsidR="009E747D" w:rsidRPr="00F7311D" w:rsidP="009E747D" w14:paraId="406F7303" w14:textId="77777777">
            <w:pPr>
              <w:spacing w:after="0" w:line="240" w:lineRule="auto"/>
              <w:rPr>
                <w:rFonts w:ascii="Calibri" w:eastAsia="Times New Roman" w:hAnsi="Calibri" w:cs="Calibri"/>
                <w:color w:val="000000"/>
                <w:sz w:val="18"/>
                <w:szCs w:val="18"/>
              </w:rPr>
            </w:pPr>
          </w:p>
        </w:tc>
      </w:tr>
      <w:tr w14:paraId="44166935"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18507D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Teachers colleges (Carnegie)</w:t>
            </w:r>
          </w:p>
        </w:tc>
        <w:tc>
          <w:tcPr>
            <w:tcW w:w="8558" w:type="dxa"/>
            <w:shd w:val="clear" w:color="auto" w:fill="auto"/>
            <w:vAlign w:val="center"/>
            <w:hideMark/>
          </w:tcPr>
          <w:p w:rsidR="009E747D" w:rsidRPr="00F7311D" w:rsidP="009E747D" w14:paraId="378B6FCB" w14:textId="55A5A1A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Teachers Colleges award most of their bachelor's or graduate degrees in education or education-related fields.</w:t>
            </w:r>
          </w:p>
        </w:tc>
        <w:tc>
          <w:tcPr>
            <w:tcW w:w="2097" w:type="dxa"/>
            <w:shd w:val="clear" w:color="auto" w:fill="auto"/>
            <w:vAlign w:val="center"/>
            <w:hideMark/>
          </w:tcPr>
          <w:p w:rsidR="009E747D" w:rsidRPr="00F7311D" w:rsidP="009E747D" w14:paraId="7B4C95A9" w14:textId="669EBFA5">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 Specialized institutions (Carnegie)</w:t>
            </w:r>
          </w:p>
        </w:tc>
      </w:tr>
      <w:tr w14:paraId="0AFF7EBA"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ACEF6F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Technical and paraprofessional</w:t>
            </w:r>
          </w:p>
        </w:tc>
        <w:tc>
          <w:tcPr>
            <w:tcW w:w="8558" w:type="dxa"/>
            <w:shd w:val="clear" w:color="auto" w:fill="auto"/>
            <w:vAlign w:val="center"/>
            <w:hideMark/>
          </w:tcPr>
          <w:p w:rsidR="009E747D" w:rsidRPr="00F7311D" w:rsidP="009E747D" w14:paraId="60E60E7E" w14:textId="4E773329">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primary function or occupational activity category used to classify persons whose assignments require specialized knowledge or skills which may be acquired through experience, apprenticeship, on-the-job-training, or academic work in occupationally specific programs that result in a 2-year degree or other certificate or diploma. Includes persons who perform some of the duties of a professional in a supportive role, which usually requires less formal training and/or experience than normally required for professional status. Includes mathematical technicians; life, physical, and social science technicians; agricultural and food science technicians; chemical technicians; geological and petroleum technicians; nuclear technicians; paralegals and legal assistants; miscellaneous legal support workers; health technologists and technicians; dietetic technicians; pharmacy technicians; licensed practical and licensed vocational nurses; medical records and health information technicians; opticians, dispensing; healthcare support occupations; nursing aides, orderlies, and attendants; physical therapist assistants and aides; massage therapists; dental assistants; medical assistants; and pharmacy aides.(Term used in the IPEDS HR survey component prior to 2012-13)</w:t>
            </w:r>
          </w:p>
        </w:tc>
        <w:tc>
          <w:tcPr>
            <w:tcW w:w="2097" w:type="dxa"/>
            <w:shd w:val="clear" w:color="auto" w:fill="auto"/>
            <w:vAlign w:val="center"/>
            <w:hideMark/>
          </w:tcPr>
          <w:p w:rsidR="009E747D" w:rsidRPr="00F7311D" w:rsidP="009E747D" w14:paraId="74C6D5A8" w14:textId="77777777">
            <w:pPr>
              <w:spacing w:after="0" w:line="240" w:lineRule="auto"/>
              <w:rPr>
                <w:rFonts w:ascii="Calibri" w:eastAsia="Times New Roman" w:hAnsi="Calibri" w:cs="Calibri"/>
                <w:color w:val="000000"/>
                <w:sz w:val="18"/>
                <w:szCs w:val="18"/>
              </w:rPr>
            </w:pPr>
          </w:p>
        </w:tc>
      </w:tr>
      <w:tr w14:paraId="16A36C4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6AD603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Temporarily restricted</w:t>
            </w:r>
          </w:p>
        </w:tc>
        <w:tc>
          <w:tcPr>
            <w:tcW w:w="8558" w:type="dxa"/>
            <w:shd w:val="clear" w:color="auto" w:fill="auto"/>
            <w:vAlign w:val="center"/>
            <w:hideMark/>
          </w:tcPr>
          <w:p w:rsidR="009E747D" w:rsidRPr="00F7311D" w:rsidP="009E747D" w14:paraId="4451E69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Net assets of FASB institutions whose use by the institution has been limited by donor specification as to use or the time when use may occur (such as a later period of time or after specified events have occurred).</w:t>
            </w:r>
          </w:p>
        </w:tc>
        <w:tc>
          <w:tcPr>
            <w:tcW w:w="2097" w:type="dxa"/>
            <w:shd w:val="clear" w:color="auto" w:fill="auto"/>
            <w:vAlign w:val="center"/>
            <w:hideMark/>
          </w:tcPr>
          <w:p w:rsidR="009E747D" w:rsidRPr="00F7311D" w:rsidP="009E747D" w14:paraId="150908CD" w14:textId="77777777">
            <w:pPr>
              <w:spacing w:after="0" w:line="240" w:lineRule="auto"/>
              <w:rPr>
                <w:rFonts w:ascii="Calibri" w:eastAsia="Times New Roman" w:hAnsi="Calibri" w:cs="Calibri"/>
                <w:color w:val="000000"/>
                <w:sz w:val="18"/>
                <w:szCs w:val="18"/>
              </w:rPr>
            </w:pPr>
          </w:p>
        </w:tc>
      </w:tr>
      <w:tr w14:paraId="7C84080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67E98E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w:t>
            </w:r>
          </w:p>
        </w:tc>
        <w:tc>
          <w:tcPr>
            <w:tcW w:w="8558" w:type="dxa"/>
            <w:shd w:val="clear" w:color="auto" w:fill="auto"/>
            <w:vAlign w:val="center"/>
            <w:hideMark/>
          </w:tcPr>
          <w:p w:rsidR="009E747D" w:rsidRPr="00F7311D" w:rsidP="009E747D" w14:paraId="11BD4C23"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Status of a personnel position with respect to permanence of the position.</w:t>
            </w:r>
          </w:p>
        </w:tc>
        <w:tc>
          <w:tcPr>
            <w:tcW w:w="2097" w:type="dxa"/>
            <w:shd w:val="clear" w:color="auto" w:fill="auto"/>
            <w:vAlign w:val="center"/>
            <w:hideMark/>
          </w:tcPr>
          <w:p w:rsidR="009E747D" w:rsidRPr="00F7311D" w:rsidP="009E747D" w14:paraId="261E893F" w14:textId="77777777">
            <w:pPr>
              <w:spacing w:after="0" w:line="240" w:lineRule="auto"/>
              <w:rPr>
                <w:rFonts w:ascii="Calibri" w:eastAsia="Times New Roman" w:hAnsi="Calibri" w:cs="Calibri"/>
                <w:color w:val="000000"/>
                <w:sz w:val="18"/>
                <w:szCs w:val="18"/>
              </w:rPr>
            </w:pPr>
          </w:p>
        </w:tc>
      </w:tr>
      <w:tr w14:paraId="724B9E4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034118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Tenure track</w:t>
            </w:r>
          </w:p>
        </w:tc>
        <w:tc>
          <w:tcPr>
            <w:tcW w:w="8558" w:type="dxa"/>
            <w:shd w:val="clear" w:color="auto" w:fill="auto"/>
            <w:vAlign w:val="center"/>
            <w:hideMark/>
          </w:tcPr>
          <w:p w:rsidR="009E747D" w:rsidRPr="00F7311D" w:rsidP="009E747D" w14:paraId="18929D4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Personnel positions that lead to consideration for tenure.</w:t>
            </w:r>
          </w:p>
        </w:tc>
        <w:tc>
          <w:tcPr>
            <w:tcW w:w="2097" w:type="dxa"/>
            <w:shd w:val="clear" w:color="auto" w:fill="auto"/>
            <w:vAlign w:val="center"/>
            <w:hideMark/>
          </w:tcPr>
          <w:p w:rsidR="009E747D" w:rsidRPr="00F7311D" w:rsidP="009E747D" w14:paraId="4BA7754B" w14:textId="77777777">
            <w:pPr>
              <w:spacing w:after="0" w:line="240" w:lineRule="auto"/>
              <w:rPr>
                <w:rFonts w:ascii="Calibri" w:eastAsia="Times New Roman" w:hAnsi="Calibri" w:cs="Calibri"/>
                <w:color w:val="000000"/>
                <w:sz w:val="18"/>
                <w:szCs w:val="18"/>
              </w:rPr>
            </w:pPr>
          </w:p>
        </w:tc>
      </w:tr>
      <w:tr w14:paraId="0C68902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A04EAE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Term endowment funds</w:t>
            </w:r>
          </w:p>
        </w:tc>
        <w:tc>
          <w:tcPr>
            <w:tcW w:w="8558" w:type="dxa"/>
            <w:shd w:val="clear" w:color="auto" w:fill="auto"/>
            <w:vAlign w:val="center"/>
            <w:hideMark/>
          </w:tcPr>
          <w:p w:rsidR="009E747D" w:rsidRPr="00F7311D" w:rsidP="009E747D" w14:paraId="09B5892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Funds for which the donor has stipulated that the principal may be expended after a stated period or on the occurrence of a certain event.</w:t>
            </w:r>
          </w:p>
        </w:tc>
        <w:tc>
          <w:tcPr>
            <w:tcW w:w="2097" w:type="dxa"/>
            <w:shd w:val="clear" w:color="auto" w:fill="auto"/>
            <w:vAlign w:val="center"/>
            <w:hideMark/>
          </w:tcPr>
          <w:p w:rsidR="009E747D" w:rsidRPr="00F7311D" w:rsidP="009E747D" w14:paraId="145B44BC" w14:textId="77777777">
            <w:pPr>
              <w:spacing w:after="0" w:line="240" w:lineRule="auto"/>
              <w:rPr>
                <w:rFonts w:ascii="Calibri" w:eastAsia="Times New Roman" w:hAnsi="Calibri" w:cs="Calibri"/>
                <w:color w:val="000000"/>
                <w:sz w:val="18"/>
                <w:szCs w:val="18"/>
              </w:rPr>
            </w:pPr>
          </w:p>
        </w:tc>
      </w:tr>
      <w:tr w14:paraId="02C13BA3"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226FEAD0"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Test of English as a Foreign Language (TOEFL)</w:t>
            </w:r>
          </w:p>
        </w:tc>
        <w:tc>
          <w:tcPr>
            <w:tcW w:w="8558" w:type="dxa"/>
            <w:shd w:val="clear" w:color="auto" w:fill="auto"/>
            <w:vAlign w:val="center"/>
            <w:hideMark/>
          </w:tcPr>
          <w:p w:rsidR="009E747D" w:rsidRPr="002515CF" w:rsidP="009E747D" w14:paraId="3A8FE695" w14:textId="2A744BC8">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 standardized test designed to determine an applicant's ability to benefit from instruction in English.</w:t>
            </w:r>
          </w:p>
        </w:tc>
        <w:tc>
          <w:tcPr>
            <w:tcW w:w="2097" w:type="dxa"/>
            <w:shd w:val="clear" w:color="auto" w:fill="auto"/>
            <w:vAlign w:val="center"/>
            <w:hideMark/>
          </w:tcPr>
          <w:p w:rsidR="009E747D" w:rsidRPr="002515CF" w:rsidP="009E747D" w14:paraId="3D8DC4BC" w14:textId="24E4F525">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English Proficiency Test</w:t>
            </w:r>
          </w:p>
        </w:tc>
      </w:tr>
      <w:tr w14:paraId="445C25F3"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4A199FCD"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Theological seminaries and other specialized faith-related institutions (Carnegie)</w:t>
            </w:r>
          </w:p>
        </w:tc>
        <w:tc>
          <w:tcPr>
            <w:tcW w:w="8558" w:type="dxa"/>
            <w:shd w:val="clear" w:color="auto" w:fill="auto"/>
            <w:vAlign w:val="center"/>
            <w:hideMark/>
          </w:tcPr>
          <w:p w:rsidR="009E747D" w:rsidRPr="002515CF" w:rsidP="009E747D" w14:paraId="54144F2B"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An institutional classification developed by the Andrew W. Carnegie Foundation for the Advancement of Teaching. Theological seminaries and other specialized faith-related institutions primarily offer religious instruction or train members of the clergy.</w:t>
            </w:r>
          </w:p>
        </w:tc>
        <w:tc>
          <w:tcPr>
            <w:tcW w:w="2097" w:type="dxa"/>
            <w:shd w:val="clear" w:color="auto" w:fill="auto"/>
            <w:vAlign w:val="center"/>
            <w:hideMark/>
          </w:tcPr>
          <w:p w:rsidR="009E747D" w:rsidRPr="002515CF" w:rsidP="009E747D" w14:paraId="2A2E1158" w14:textId="18D43534">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Carnegie Classification, Specialized institutions (Carnegie)</w:t>
            </w:r>
          </w:p>
        </w:tc>
      </w:tr>
      <w:tr w14:paraId="5FAD0CA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E28B1F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Title</w:t>
            </w:r>
          </w:p>
        </w:tc>
        <w:tc>
          <w:tcPr>
            <w:tcW w:w="8558" w:type="dxa"/>
            <w:shd w:val="clear" w:color="auto" w:fill="auto"/>
            <w:vAlign w:val="center"/>
            <w:hideMark/>
          </w:tcPr>
          <w:p w:rsidR="009E747D" w:rsidRPr="00F7311D" w:rsidP="009E747D" w14:paraId="1A40570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 the ANSI/NISO Z39.7-2004 definition for title as follows:  The designation of a separate bibliographic whole, whether issued in one or several parts. A book or serial title may be distinguished from other such titles by its unique International Standard Book Number (ISBN) or International Standard Serial Number (ISSN). This definition applies equally to print, electronic, audiovisual, and other library materials. For unpublished works, the term is used to designate a manuscript collection or an archival record series. Two subscriptions to Science magazine, for example, are counted as one title.</w:t>
            </w:r>
          </w:p>
        </w:tc>
        <w:tc>
          <w:tcPr>
            <w:tcW w:w="2097" w:type="dxa"/>
            <w:shd w:val="clear" w:color="auto" w:fill="auto"/>
            <w:vAlign w:val="center"/>
            <w:hideMark/>
          </w:tcPr>
          <w:p w:rsidR="009E747D" w:rsidRPr="00F7311D" w:rsidP="009E747D" w14:paraId="31568806" w14:textId="77777777">
            <w:pPr>
              <w:spacing w:after="0" w:line="240" w:lineRule="auto"/>
              <w:rPr>
                <w:rFonts w:ascii="Calibri" w:eastAsia="Times New Roman" w:hAnsi="Calibri" w:cs="Calibri"/>
                <w:color w:val="000000"/>
                <w:sz w:val="18"/>
                <w:szCs w:val="18"/>
              </w:rPr>
            </w:pPr>
          </w:p>
        </w:tc>
      </w:tr>
      <w:tr w14:paraId="6F98EC18" w14:textId="77777777" w:rsidTr="0036249A">
        <w:tblPrEx>
          <w:tblW w:w="13616" w:type="dxa"/>
          <w:tblLook w:val="04A0"/>
        </w:tblPrEx>
        <w:trPr>
          <w:trHeight w:val="20"/>
        </w:trPr>
        <w:tc>
          <w:tcPr>
            <w:tcW w:w="2961" w:type="dxa"/>
            <w:shd w:val="clear" w:color="auto" w:fill="auto"/>
            <w:vAlign w:val="center"/>
            <w:hideMark/>
          </w:tcPr>
          <w:p w:rsidR="009E747D" w:rsidRPr="002515CF" w:rsidP="009E747D" w14:paraId="0CCBE8B2" w14:textId="77777777">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Title IV aid</w:t>
            </w:r>
          </w:p>
        </w:tc>
        <w:tc>
          <w:tcPr>
            <w:tcW w:w="8558" w:type="dxa"/>
            <w:shd w:val="clear" w:color="auto" w:fill="auto"/>
            <w:vAlign w:val="center"/>
            <w:hideMark/>
          </w:tcPr>
          <w:p w:rsidR="009E747D" w:rsidRPr="002515CF" w:rsidP="009E747D" w14:paraId="05AAAFB6" w14:textId="23230AC0">
            <w:pPr>
              <w:spacing w:after="0" w:line="240" w:lineRule="auto"/>
              <w:rPr>
                <w:rFonts w:eastAsia="Times New Roman" w:cstheme="minorHAnsi"/>
                <w:sz w:val="18"/>
                <w:szCs w:val="18"/>
              </w:rPr>
            </w:pPr>
            <w:r w:rsidRPr="002515CF">
              <w:rPr>
                <w:rFonts w:cstheme="minorHAnsi"/>
                <w:sz w:val="18"/>
                <w:szCs w:val="18"/>
              </w:rPr>
              <w:t>Title IV aid to students includes grant aid, work study aid, and loan aid. Current and historical programs include: Federal Pell Grant, Federal Supplemental Educational Opportunity Grant (FSEOG), Academic Competitiveness Grant (ACG), National Science and Mathematics Access to Retain Talent Grant (National SMART Grant), Teacher Education Assistance for College and Higher Education (TEACH) Grant, Federal Work-Study, Federal Perkins Loan (formerly the National Direct Student loan or NDSL program), Subsidized and Unsubsidized Federal Family Education Loan (FFEL) also known as the Stafford Loan (formerly the Guaranteed Student Loan or GSL program), and Subsidized and Unsubsidized William D. Ford Direct Loan.</w:t>
            </w:r>
          </w:p>
        </w:tc>
        <w:tc>
          <w:tcPr>
            <w:tcW w:w="2097" w:type="dxa"/>
            <w:shd w:val="clear" w:color="auto" w:fill="auto"/>
            <w:vAlign w:val="center"/>
            <w:hideMark/>
          </w:tcPr>
          <w:p w:rsidR="009E747D" w:rsidRPr="00F7311D" w:rsidP="009E747D" w14:paraId="002391B1" w14:textId="77777777">
            <w:pPr>
              <w:spacing w:after="0" w:line="240" w:lineRule="auto"/>
              <w:rPr>
                <w:rFonts w:ascii="Calibri" w:eastAsia="Times New Roman" w:hAnsi="Calibri" w:cs="Calibri"/>
                <w:color w:val="000000"/>
                <w:sz w:val="18"/>
                <w:szCs w:val="18"/>
              </w:rPr>
            </w:pPr>
          </w:p>
        </w:tc>
      </w:tr>
      <w:tr w14:paraId="1F145843"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58A648C8"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Title IV institution</w:t>
            </w:r>
          </w:p>
        </w:tc>
        <w:tc>
          <w:tcPr>
            <w:tcW w:w="8558" w:type="dxa"/>
            <w:shd w:val="clear" w:color="auto" w:fill="auto"/>
            <w:vAlign w:val="center"/>
            <w:hideMark/>
          </w:tcPr>
          <w:p w:rsidR="009E747D" w:rsidRPr="008878BA" w:rsidP="009E747D" w14:paraId="7E4316D1" w14:textId="48DC7BE8">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An institution that has a written agreement with the Secretary of Education that allows the institution to participate in any of the Title IV federal student financial assistance programs (other than the </w:t>
            </w:r>
            <w:r w:rsidRPr="008878BA">
              <w:rPr>
                <w:rFonts w:ascii="Calibri" w:eastAsia="Calibri" w:hAnsi="Calibri" w:cs="Times New Roman"/>
                <w:sz w:val="18"/>
                <w:szCs w:val="18"/>
              </w:rPr>
              <w:t xml:space="preserve">Leveraging Educational Assistance Partnerships or LEAP, formerly </w:t>
            </w:r>
            <w:r w:rsidRPr="008878BA">
              <w:rPr>
                <w:rFonts w:ascii="Calibri" w:eastAsia="Times New Roman" w:hAnsi="Calibri" w:cs="Calibri"/>
                <w:sz w:val="18"/>
                <w:szCs w:val="18"/>
              </w:rPr>
              <w:t>State Student Incentive Grant or SSIG and the National Early Intervention Scholarship and Partnership or NEISP programs).</w:t>
            </w:r>
          </w:p>
        </w:tc>
        <w:tc>
          <w:tcPr>
            <w:tcW w:w="2097" w:type="dxa"/>
            <w:shd w:val="clear" w:color="auto" w:fill="auto"/>
            <w:vAlign w:val="center"/>
            <w:hideMark/>
          </w:tcPr>
          <w:p w:rsidR="009E747D" w:rsidRPr="008878BA" w:rsidP="009E747D" w14:paraId="6ECF3AEC"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Program Participation Agreement (PPA)</w:t>
            </w:r>
          </w:p>
        </w:tc>
      </w:tr>
      <w:tr w14:paraId="0011E06F" w14:textId="77777777" w:rsidTr="0036249A">
        <w:tblPrEx>
          <w:tblW w:w="13616" w:type="dxa"/>
          <w:tblLook w:val="04A0"/>
        </w:tblPrEx>
        <w:trPr>
          <w:trHeight w:val="20"/>
        </w:trPr>
        <w:tc>
          <w:tcPr>
            <w:tcW w:w="2961" w:type="dxa"/>
            <w:shd w:val="clear" w:color="auto" w:fill="auto"/>
          </w:tcPr>
          <w:p w:rsidR="009E747D" w:rsidRPr="008878BA" w:rsidP="009E747D" w14:paraId="547B13DD" w14:textId="6BF482E4">
            <w:pPr>
              <w:spacing w:after="0" w:line="240" w:lineRule="auto"/>
              <w:rPr>
                <w:rFonts w:ascii="Calibri" w:eastAsia="Times New Roman" w:hAnsi="Calibri" w:cs="Calibri"/>
                <w:sz w:val="18"/>
                <w:szCs w:val="18"/>
              </w:rPr>
            </w:pPr>
            <w:r w:rsidRPr="008878BA">
              <w:rPr>
                <w:sz w:val="18"/>
                <w:szCs w:val="18"/>
              </w:rPr>
              <w:t>Total cost of attendance</w:t>
            </w:r>
          </w:p>
        </w:tc>
        <w:tc>
          <w:tcPr>
            <w:tcW w:w="8558" w:type="dxa"/>
            <w:shd w:val="clear" w:color="auto" w:fill="auto"/>
          </w:tcPr>
          <w:p w:rsidR="009E747D" w:rsidRPr="008878BA" w:rsidP="009E747D" w14:paraId="10B5F156" w14:textId="3E534F00">
            <w:pPr>
              <w:spacing w:after="0" w:line="240" w:lineRule="auto"/>
              <w:rPr>
                <w:rFonts w:ascii="Calibri" w:eastAsia="Times New Roman" w:hAnsi="Calibri" w:cs="Calibri"/>
                <w:sz w:val="18"/>
                <w:szCs w:val="18"/>
              </w:rPr>
            </w:pPr>
            <w:r w:rsidRPr="008878BA">
              <w:rPr>
                <w:sz w:val="18"/>
                <w:szCs w:val="18"/>
              </w:rPr>
              <w:t xml:space="preserve">The sum of the cost of attendance components used to compute the average net price for first-time, full-time degree or certificate seeking students for IPEDS reporting purposes. This amount is typically based on a nine-month period for institutions using a traditional academic calendar. Program reporters annualize one month of costs for IPEDS reporting purposes. </w:t>
            </w:r>
          </w:p>
        </w:tc>
        <w:tc>
          <w:tcPr>
            <w:tcW w:w="2097" w:type="dxa"/>
            <w:shd w:val="clear" w:color="auto" w:fill="auto"/>
            <w:vAlign w:val="center"/>
          </w:tcPr>
          <w:p w:rsidR="009E747D" w:rsidRPr="008878BA" w:rsidP="009E747D" w14:paraId="2EF820DF" w14:textId="3981E45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Cost of Attendance (COA)</w:t>
            </w:r>
          </w:p>
        </w:tc>
      </w:tr>
      <w:tr w14:paraId="36601FBA" w14:textId="77777777" w:rsidTr="0036249A">
        <w:tblPrEx>
          <w:tblW w:w="13616" w:type="dxa"/>
          <w:tblLook w:val="04A0"/>
        </w:tblPrEx>
        <w:trPr>
          <w:trHeight w:val="20"/>
        </w:trPr>
        <w:tc>
          <w:tcPr>
            <w:tcW w:w="2961" w:type="dxa"/>
            <w:shd w:val="clear" w:color="auto" w:fill="auto"/>
          </w:tcPr>
          <w:p w:rsidR="009E747D" w:rsidRPr="002515CF" w:rsidP="009E747D" w14:paraId="0FCEC234" w14:textId="63FCCC0A">
            <w:pPr>
              <w:spacing w:after="0" w:line="240" w:lineRule="auto"/>
              <w:rPr>
                <w:sz w:val="18"/>
                <w:szCs w:val="18"/>
              </w:rPr>
            </w:pPr>
            <w:r w:rsidRPr="002515CF">
              <w:rPr>
                <w:sz w:val="18"/>
                <w:szCs w:val="18"/>
              </w:rPr>
              <w:t>Total student charges</w:t>
            </w:r>
          </w:p>
        </w:tc>
        <w:tc>
          <w:tcPr>
            <w:tcW w:w="8558" w:type="dxa"/>
            <w:shd w:val="clear" w:color="auto" w:fill="auto"/>
          </w:tcPr>
          <w:p w:rsidR="009E747D" w:rsidRPr="002515CF" w:rsidP="009E747D" w14:paraId="09FCFA65" w14:textId="742C8414">
            <w:pPr>
              <w:spacing w:after="0" w:line="240" w:lineRule="auto"/>
              <w:rPr>
                <w:sz w:val="18"/>
                <w:szCs w:val="18"/>
              </w:rPr>
            </w:pPr>
            <w:r w:rsidRPr="002515CF">
              <w:rPr>
                <w:sz w:val="18"/>
                <w:szCs w:val="18"/>
              </w:rPr>
              <w:t xml:space="preserve">The total amount on the student’s bill from the institution—account balance. For students and parents, this includes all charges and financial assistance applied to the student’s account at the institution. It may or may not include all financial aid credit balance check amounts or refunds the institution pays back to the financial aid program, student, parent, or other payee when applicable. </w:t>
            </w:r>
            <w:r w:rsidRPr="002515CF">
              <w:rPr>
                <w:b/>
                <w:bCs/>
                <w:sz w:val="18"/>
                <w:szCs w:val="18"/>
              </w:rPr>
              <w:t>All award amounts the student was eligible to receive</w:t>
            </w:r>
            <w:r w:rsidRPr="002515CF">
              <w:rPr>
                <w:sz w:val="18"/>
                <w:szCs w:val="18"/>
              </w:rPr>
              <w:t xml:space="preserve">, including credit balance checks and refund amounts, </w:t>
            </w:r>
            <w:r w:rsidRPr="002515CF">
              <w:rPr>
                <w:b/>
                <w:bCs/>
                <w:sz w:val="18"/>
                <w:szCs w:val="18"/>
              </w:rPr>
              <w:t>should be reported to IPEDS.</w:t>
            </w:r>
          </w:p>
        </w:tc>
        <w:tc>
          <w:tcPr>
            <w:tcW w:w="2097" w:type="dxa"/>
            <w:shd w:val="clear" w:color="auto" w:fill="auto"/>
            <w:vAlign w:val="center"/>
          </w:tcPr>
          <w:p w:rsidR="009E747D" w:rsidRPr="00F7311D" w:rsidP="009E747D" w14:paraId="491E9C54" w14:textId="77777777">
            <w:pPr>
              <w:spacing w:after="0" w:line="240" w:lineRule="auto"/>
              <w:rPr>
                <w:rFonts w:ascii="Calibri" w:eastAsia="Times New Roman" w:hAnsi="Calibri" w:cs="Calibri"/>
                <w:color w:val="000000"/>
                <w:sz w:val="18"/>
                <w:szCs w:val="18"/>
              </w:rPr>
            </w:pPr>
          </w:p>
        </w:tc>
      </w:tr>
      <w:tr w14:paraId="03CFB93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A8AC4C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Transcript</w:t>
            </w:r>
          </w:p>
        </w:tc>
        <w:tc>
          <w:tcPr>
            <w:tcW w:w="8558" w:type="dxa"/>
            <w:shd w:val="clear" w:color="auto" w:fill="auto"/>
            <w:vAlign w:val="center"/>
            <w:hideMark/>
          </w:tcPr>
          <w:p w:rsidR="009E747D" w:rsidRPr="00F7311D" w:rsidP="009E747D" w14:paraId="68ACCA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official record of student performance showing all schoolwork completed at a given school and the final mark or other evaluation received in each portion of the instruction. Transcripts often include an explanation of the marking scale used by the school.</w:t>
            </w:r>
          </w:p>
        </w:tc>
        <w:tc>
          <w:tcPr>
            <w:tcW w:w="2097" w:type="dxa"/>
            <w:shd w:val="clear" w:color="auto" w:fill="auto"/>
            <w:vAlign w:val="center"/>
            <w:hideMark/>
          </w:tcPr>
          <w:p w:rsidR="009E747D" w:rsidRPr="00F7311D" w:rsidP="009E747D" w14:paraId="47EA551B" w14:textId="77777777">
            <w:pPr>
              <w:spacing w:after="0" w:line="240" w:lineRule="auto"/>
              <w:rPr>
                <w:rFonts w:ascii="Calibri" w:eastAsia="Times New Roman" w:hAnsi="Calibri" w:cs="Calibri"/>
                <w:color w:val="000000"/>
                <w:sz w:val="18"/>
                <w:szCs w:val="18"/>
              </w:rPr>
            </w:pPr>
          </w:p>
        </w:tc>
      </w:tr>
      <w:tr w14:paraId="6B2BAF2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302172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credit</w:t>
            </w:r>
          </w:p>
        </w:tc>
        <w:tc>
          <w:tcPr>
            <w:tcW w:w="8558" w:type="dxa"/>
            <w:shd w:val="clear" w:color="auto" w:fill="auto"/>
            <w:vAlign w:val="center"/>
            <w:hideMark/>
          </w:tcPr>
          <w:p w:rsidR="009E747D" w:rsidRPr="00F7311D" w:rsidP="009E747D" w14:paraId="123E08C9" w14:textId="0F65DDEA">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policies and procedures used to determine the extent to which educational experiences or courses undertaken by a student while attending another institution may be counted for credit at the current institution.</w:t>
            </w:r>
          </w:p>
        </w:tc>
        <w:tc>
          <w:tcPr>
            <w:tcW w:w="2097" w:type="dxa"/>
            <w:shd w:val="clear" w:color="auto" w:fill="auto"/>
            <w:vAlign w:val="center"/>
            <w:hideMark/>
          </w:tcPr>
          <w:p w:rsidR="009E747D" w:rsidRPr="00F7311D" w:rsidP="009E747D" w14:paraId="70E3B88B" w14:textId="77777777">
            <w:pPr>
              <w:spacing w:after="0" w:line="240" w:lineRule="auto"/>
              <w:rPr>
                <w:rFonts w:ascii="Calibri" w:eastAsia="Times New Roman" w:hAnsi="Calibri" w:cs="Calibri"/>
                <w:color w:val="000000"/>
                <w:sz w:val="18"/>
                <w:szCs w:val="18"/>
              </w:rPr>
            </w:pPr>
          </w:p>
        </w:tc>
      </w:tr>
      <w:tr w14:paraId="325A7EE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5EBFC6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 of Entitlement Option</w:t>
            </w:r>
          </w:p>
        </w:tc>
        <w:tc>
          <w:tcPr>
            <w:tcW w:w="8558" w:type="dxa"/>
            <w:shd w:val="clear" w:color="auto" w:fill="auto"/>
            <w:vAlign w:val="center"/>
            <w:hideMark/>
          </w:tcPr>
          <w:p w:rsidR="009E747D" w:rsidRPr="00F7311D" w:rsidP="009E747D" w14:paraId="493FF2E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through which any unused Post 9/11 GI Bill may be transferred to a spouse or dependent(s) as long as servicemembers or veterans meet the additional Department of Veterans Affairs criteria. Only Department of Defense (DoD) can approve transfer of benefits requests.</w:t>
            </w:r>
          </w:p>
        </w:tc>
        <w:tc>
          <w:tcPr>
            <w:tcW w:w="2097" w:type="dxa"/>
            <w:shd w:val="clear" w:color="auto" w:fill="auto"/>
            <w:vAlign w:val="center"/>
            <w:hideMark/>
          </w:tcPr>
          <w:p w:rsidR="009E747D" w:rsidRPr="00F7311D" w:rsidP="009E747D" w14:paraId="3555A9A9" w14:textId="77777777">
            <w:pPr>
              <w:spacing w:after="0" w:line="240" w:lineRule="auto"/>
              <w:rPr>
                <w:rFonts w:ascii="Calibri" w:eastAsia="Times New Roman" w:hAnsi="Calibri" w:cs="Calibri"/>
                <w:color w:val="000000"/>
                <w:sz w:val="18"/>
                <w:szCs w:val="18"/>
              </w:rPr>
            </w:pPr>
          </w:p>
        </w:tc>
      </w:tr>
      <w:tr w14:paraId="0482C87C"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4C33AD5" w14:textId="0F3EA2DB">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Transfer-in student</w:t>
            </w:r>
          </w:p>
        </w:tc>
        <w:tc>
          <w:tcPr>
            <w:tcW w:w="8558" w:type="dxa"/>
            <w:shd w:val="clear" w:color="auto" w:fill="auto"/>
            <w:vAlign w:val="center"/>
            <w:hideMark/>
          </w:tcPr>
          <w:p w:rsidR="009E747D" w:rsidRPr="008878BA" w:rsidP="009E747D" w14:paraId="60B4F231" w14:textId="43E746DC">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A degree/certificate-seeking undergraduate student entering the IPEDS reporting institution for the first time but known to have previously enrolled at a different postsecondary institution (not as a high school student)</w:t>
            </w:r>
            <w:r w:rsidRPr="008878BA" w:rsidR="008878BA">
              <w:rPr>
                <w:rFonts w:ascii="Calibri" w:eastAsia="Times New Roman" w:hAnsi="Calibri" w:cs="Calibri"/>
                <w:sz w:val="18"/>
                <w:szCs w:val="18"/>
              </w:rPr>
              <w:t xml:space="preserve">. </w:t>
            </w:r>
            <w:r w:rsidRPr="008878BA">
              <w:rPr>
                <w:rFonts w:ascii="Calibri" w:eastAsia="Times New Roman" w:hAnsi="Calibri" w:cs="Calibri"/>
                <w:sz w:val="18"/>
                <w:szCs w:val="18"/>
              </w:rPr>
              <w:t>The student may transfer with or without credit. For systems of coordinated institutions (multi-campus system), students are to be identified as transfer-in students upon entering an institution from another institution within the same coordinated system.</w:t>
            </w:r>
          </w:p>
        </w:tc>
        <w:tc>
          <w:tcPr>
            <w:tcW w:w="2097" w:type="dxa"/>
            <w:shd w:val="clear" w:color="auto" w:fill="auto"/>
            <w:vAlign w:val="center"/>
            <w:hideMark/>
          </w:tcPr>
          <w:p w:rsidR="009E747D" w:rsidRPr="00F7311D" w:rsidP="009E747D" w14:paraId="18BC2276" w14:textId="77777777">
            <w:pPr>
              <w:spacing w:after="0" w:line="240" w:lineRule="auto"/>
              <w:rPr>
                <w:rFonts w:ascii="Calibri" w:eastAsia="Times New Roman" w:hAnsi="Calibri" w:cs="Calibri"/>
                <w:color w:val="000000"/>
                <w:sz w:val="18"/>
                <w:szCs w:val="18"/>
              </w:rPr>
            </w:pPr>
          </w:p>
        </w:tc>
      </w:tr>
      <w:tr w14:paraId="119FC479"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851F8B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rate</w:t>
            </w:r>
          </w:p>
        </w:tc>
        <w:tc>
          <w:tcPr>
            <w:tcW w:w="8558" w:type="dxa"/>
            <w:shd w:val="clear" w:color="auto" w:fill="auto"/>
            <w:vAlign w:val="center"/>
            <w:hideMark/>
          </w:tcPr>
          <w:p w:rsidR="009E747D" w:rsidRPr="008878BA" w:rsidP="009E747D" w14:paraId="6BBE6841" w14:textId="77777777">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Total number of students who are known to have transferred out of the reporting institution within 150% of normal time to completion divided by the adjusted cohort.</w:t>
            </w:r>
          </w:p>
        </w:tc>
        <w:tc>
          <w:tcPr>
            <w:tcW w:w="2097" w:type="dxa"/>
            <w:shd w:val="clear" w:color="auto" w:fill="auto"/>
            <w:vAlign w:val="center"/>
            <w:hideMark/>
          </w:tcPr>
          <w:p w:rsidR="009E747D" w:rsidRPr="00F7311D" w:rsidP="009E747D" w14:paraId="02B26A2C" w14:textId="77777777">
            <w:pPr>
              <w:spacing w:after="0" w:line="240" w:lineRule="auto"/>
              <w:rPr>
                <w:rFonts w:ascii="Calibri" w:eastAsia="Times New Roman" w:hAnsi="Calibri" w:cs="Calibri"/>
                <w:color w:val="000000"/>
                <w:sz w:val="18"/>
                <w:szCs w:val="18"/>
              </w:rPr>
            </w:pPr>
          </w:p>
        </w:tc>
      </w:tr>
      <w:tr w14:paraId="6C418E2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941091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Transfer-out student</w:t>
            </w:r>
          </w:p>
        </w:tc>
        <w:tc>
          <w:tcPr>
            <w:tcW w:w="8558" w:type="dxa"/>
            <w:shd w:val="clear" w:color="auto" w:fill="auto"/>
            <w:vAlign w:val="center"/>
            <w:hideMark/>
          </w:tcPr>
          <w:p w:rsidR="009E747D" w:rsidRPr="00F7311D" w:rsidP="009E747D" w14:paraId="0F0570A6" w14:textId="6F79FF62">
            <w:pPr>
              <w:spacing w:after="0" w:line="240" w:lineRule="auto"/>
              <w:rPr>
                <w:rFonts w:ascii="Calibri" w:eastAsia="Times New Roman" w:hAnsi="Calibri" w:cs="Calibri"/>
                <w:color w:val="000000"/>
                <w:sz w:val="18"/>
                <w:szCs w:val="18"/>
              </w:rPr>
            </w:pPr>
            <w:r w:rsidRPr="008878BA">
              <w:rPr>
                <w:rFonts w:ascii="Calibri" w:eastAsia="Times New Roman" w:hAnsi="Calibri" w:cs="Calibri"/>
                <w:sz w:val="18"/>
                <w:szCs w:val="18"/>
              </w:rPr>
              <w:t xml:space="preserve">A student who discontinues enrollment at the IPEDS reporting institution and enrolls at a different postsecondary institution. For systems of coordinated institutions (multi-campus system), students are to be identified as transfer-out students </w:t>
            </w:r>
            <w:r w:rsidRPr="00F7311D">
              <w:rPr>
                <w:rFonts w:ascii="Calibri" w:eastAsia="Times New Roman" w:hAnsi="Calibri" w:cs="Calibri"/>
                <w:color w:val="000000"/>
                <w:sz w:val="18"/>
                <w:szCs w:val="18"/>
              </w:rPr>
              <w:t>when leaving an institution to enroll into another institution within the same coordinated system.</w:t>
            </w:r>
          </w:p>
        </w:tc>
        <w:tc>
          <w:tcPr>
            <w:tcW w:w="2097" w:type="dxa"/>
            <w:shd w:val="clear" w:color="auto" w:fill="auto"/>
            <w:vAlign w:val="center"/>
            <w:hideMark/>
          </w:tcPr>
          <w:p w:rsidR="009E747D" w:rsidRPr="00F7311D" w:rsidP="009E747D" w14:paraId="5EBF4EDE" w14:textId="77777777">
            <w:pPr>
              <w:spacing w:after="0" w:line="240" w:lineRule="auto"/>
              <w:rPr>
                <w:rFonts w:ascii="Calibri" w:eastAsia="Times New Roman" w:hAnsi="Calibri" w:cs="Calibri"/>
                <w:color w:val="000000"/>
                <w:sz w:val="18"/>
                <w:szCs w:val="18"/>
              </w:rPr>
            </w:pPr>
          </w:p>
        </w:tc>
      </w:tr>
      <w:tr w14:paraId="2D89AD35"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9F8A4B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Transfer-preparatory program</w:t>
            </w:r>
          </w:p>
        </w:tc>
        <w:tc>
          <w:tcPr>
            <w:tcW w:w="8558" w:type="dxa"/>
            <w:shd w:val="clear" w:color="auto" w:fill="auto"/>
            <w:vAlign w:val="center"/>
            <w:hideMark/>
          </w:tcPr>
          <w:p w:rsidR="009E747D" w:rsidRPr="00F7311D" w:rsidP="009E747D" w14:paraId="42D42C9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program designed specifically to provide a student with the basic knowledge needed to transfer into a higher level program. For example, this may be the first 2 years of a baccalaureate level program for which the </w:t>
            </w:r>
            <w:r w:rsidRPr="00F7311D">
              <w:rPr>
                <w:rFonts w:ascii="Calibri" w:eastAsia="Times New Roman" w:hAnsi="Calibri" w:cs="Calibri"/>
                <w:color w:val="000000"/>
                <w:sz w:val="18"/>
                <w:szCs w:val="18"/>
              </w:rPr>
              <w:t>institution does not offer an award, or 2 years of undergraduate study needed for entrance into a first-professional program, or 1 or more years of undergraduate study needed for entrance into health services fields.</w:t>
            </w:r>
          </w:p>
        </w:tc>
        <w:tc>
          <w:tcPr>
            <w:tcW w:w="2097" w:type="dxa"/>
            <w:shd w:val="clear" w:color="auto" w:fill="auto"/>
            <w:vAlign w:val="center"/>
            <w:hideMark/>
          </w:tcPr>
          <w:p w:rsidR="009E747D" w:rsidRPr="00F7311D" w:rsidP="009E747D" w14:paraId="60BF7F76" w14:textId="77777777">
            <w:pPr>
              <w:spacing w:after="0" w:line="240" w:lineRule="auto"/>
              <w:rPr>
                <w:rFonts w:ascii="Calibri" w:eastAsia="Times New Roman" w:hAnsi="Calibri" w:cs="Calibri"/>
                <w:color w:val="000000"/>
                <w:sz w:val="18"/>
                <w:szCs w:val="18"/>
              </w:rPr>
            </w:pPr>
          </w:p>
        </w:tc>
      </w:tr>
      <w:tr w14:paraId="7F8023D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5C68DD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Transfer-ready students</w:t>
            </w:r>
          </w:p>
        </w:tc>
        <w:tc>
          <w:tcPr>
            <w:tcW w:w="8558" w:type="dxa"/>
            <w:shd w:val="clear" w:color="auto" w:fill="auto"/>
            <w:vAlign w:val="center"/>
            <w:hideMark/>
          </w:tcPr>
          <w:p w:rsidR="009E747D" w:rsidRPr="00F7311D" w:rsidP="009E747D" w14:paraId="7D3C44C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who has successfully completed a transfer-preparatory program.</w:t>
            </w:r>
          </w:p>
        </w:tc>
        <w:tc>
          <w:tcPr>
            <w:tcW w:w="2097" w:type="dxa"/>
            <w:shd w:val="clear" w:color="auto" w:fill="auto"/>
            <w:vAlign w:val="center"/>
            <w:hideMark/>
          </w:tcPr>
          <w:p w:rsidR="009E747D" w:rsidRPr="00F7311D" w:rsidP="009E747D" w14:paraId="0C284232" w14:textId="77777777">
            <w:pPr>
              <w:spacing w:after="0" w:line="240" w:lineRule="auto"/>
              <w:rPr>
                <w:rFonts w:ascii="Calibri" w:eastAsia="Times New Roman" w:hAnsi="Calibri" w:cs="Calibri"/>
                <w:color w:val="000000"/>
                <w:sz w:val="18"/>
                <w:szCs w:val="18"/>
              </w:rPr>
            </w:pPr>
          </w:p>
        </w:tc>
      </w:tr>
      <w:tr w14:paraId="1B3F20D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1EC11B2"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Transfers from the endowment fund to the current fund</w:t>
            </w:r>
          </w:p>
        </w:tc>
        <w:tc>
          <w:tcPr>
            <w:tcW w:w="8558" w:type="dxa"/>
            <w:shd w:val="clear" w:color="auto" w:fill="auto"/>
            <w:vAlign w:val="center"/>
            <w:hideMark/>
          </w:tcPr>
          <w:p w:rsidR="009E747D" w:rsidRPr="00F7311D" w:rsidP="009E747D" w14:paraId="086FE02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the capital gains on the endowment fund that is allocated to be spent for current fund activities.</w:t>
            </w:r>
          </w:p>
        </w:tc>
        <w:tc>
          <w:tcPr>
            <w:tcW w:w="2097" w:type="dxa"/>
            <w:shd w:val="clear" w:color="auto" w:fill="auto"/>
            <w:vAlign w:val="center"/>
            <w:hideMark/>
          </w:tcPr>
          <w:p w:rsidR="009E747D" w:rsidRPr="00F7311D" w:rsidP="009E747D" w14:paraId="46F76088" w14:textId="77777777">
            <w:pPr>
              <w:spacing w:after="0" w:line="240" w:lineRule="auto"/>
              <w:rPr>
                <w:rFonts w:ascii="Calibri" w:eastAsia="Times New Roman" w:hAnsi="Calibri" w:cs="Calibri"/>
                <w:color w:val="000000"/>
                <w:sz w:val="18"/>
                <w:szCs w:val="18"/>
              </w:rPr>
            </w:pPr>
          </w:p>
        </w:tc>
      </w:tr>
      <w:tr w14:paraId="2CEE8694" w14:textId="77777777" w:rsidTr="0036249A">
        <w:tblPrEx>
          <w:tblW w:w="13616" w:type="dxa"/>
          <w:tblLook w:val="04A0"/>
        </w:tblPrEx>
        <w:trPr>
          <w:trHeight w:val="20"/>
        </w:trPr>
        <w:tc>
          <w:tcPr>
            <w:tcW w:w="2961" w:type="dxa"/>
            <w:shd w:val="clear" w:color="auto" w:fill="auto"/>
            <w:vAlign w:val="center"/>
            <w:hideMark/>
          </w:tcPr>
          <w:p w:rsidR="009E747D" w:rsidRPr="00E2713B" w:rsidP="009E747D" w14:paraId="06157038" w14:textId="5B24BE89">
            <w:pPr>
              <w:spacing w:line="240" w:lineRule="auto"/>
              <w:rPr>
                <w:rFonts w:ascii="Calibri" w:eastAsia="Times New Roman" w:hAnsi="Calibri" w:cs="Calibri"/>
                <w:color w:val="000000" w:themeColor="text1"/>
                <w:sz w:val="18"/>
                <w:szCs w:val="18"/>
              </w:rPr>
            </w:pPr>
            <w:r w:rsidRPr="00E2713B">
              <w:rPr>
                <w:rFonts w:ascii="Calibri" w:eastAsia="Times New Roman" w:hAnsi="Calibri" w:cs="Calibri"/>
                <w:color w:val="000000" w:themeColor="text1"/>
                <w:sz w:val="18"/>
                <w:szCs w:val="18"/>
              </w:rPr>
              <w:t>Transportation expense</w:t>
            </w:r>
          </w:p>
        </w:tc>
        <w:tc>
          <w:tcPr>
            <w:tcW w:w="8558" w:type="dxa"/>
            <w:shd w:val="clear" w:color="auto" w:fill="auto"/>
            <w:vAlign w:val="center"/>
            <w:hideMark/>
          </w:tcPr>
          <w:p w:rsidR="009E747D" w:rsidRPr="00E2713B" w:rsidP="009E747D" w14:paraId="5E1FF7E6" w14:textId="5AD55604">
            <w:pPr>
              <w:rPr>
                <w:color w:val="000000" w:themeColor="text1"/>
                <w:sz w:val="18"/>
                <w:szCs w:val="18"/>
              </w:rPr>
            </w:pPr>
            <w:r w:rsidRPr="00E2713B">
              <w:rPr>
                <w:color w:val="000000" w:themeColor="text1"/>
                <w:sz w:val="18"/>
                <w:szCs w:val="18"/>
              </w:rPr>
              <w:t>An allowance, as determined by the institution, for student travel costs between campus, residences, and the student’s job. It is separate from the miscellaneous expense cost component and may include vehicle maintenance costs and roundtrip travel costs home during scheduled breaks.</w:t>
            </w:r>
          </w:p>
        </w:tc>
        <w:tc>
          <w:tcPr>
            <w:tcW w:w="2097" w:type="dxa"/>
            <w:shd w:val="clear" w:color="auto" w:fill="auto"/>
            <w:vAlign w:val="center"/>
            <w:hideMark/>
          </w:tcPr>
          <w:p w:rsidR="009E747D" w:rsidRPr="00E2713B" w:rsidP="009E747D" w14:paraId="2875D15A" w14:textId="65EDA895">
            <w:pPr>
              <w:spacing w:line="240" w:lineRule="auto"/>
              <w:rPr>
                <w:rFonts w:ascii="Calibri" w:eastAsia="Times New Roman" w:hAnsi="Calibri" w:cs="Calibri"/>
                <w:color w:val="000000" w:themeColor="text1"/>
                <w:sz w:val="18"/>
                <w:szCs w:val="18"/>
              </w:rPr>
            </w:pPr>
          </w:p>
        </w:tc>
      </w:tr>
      <w:tr w14:paraId="234EFEC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FDCA7D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Tribal Colleges and Universities (Carnegie)</w:t>
            </w:r>
          </w:p>
        </w:tc>
        <w:tc>
          <w:tcPr>
            <w:tcW w:w="8558" w:type="dxa"/>
            <w:shd w:val="clear" w:color="auto" w:fill="auto"/>
            <w:vAlign w:val="center"/>
            <w:hideMark/>
          </w:tcPr>
          <w:p w:rsidR="009E747D" w:rsidRPr="00F7311D" w:rsidP="009E747D" w14:paraId="2F207A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institutional classification developed by the Andrew W. Carnegie Foundation for the Advancement of Teaching. Tribal Colleges and Universities, with few exceptions, are tribally controlled and located on reservations. They are all members of the American Indian Higher Education Consortium.</w:t>
            </w:r>
          </w:p>
        </w:tc>
        <w:tc>
          <w:tcPr>
            <w:tcW w:w="2097" w:type="dxa"/>
            <w:shd w:val="clear" w:color="auto" w:fill="auto"/>
            <w:vAlign w:val="center"/>
            <w:hideMark/>
          </w:tcPr>
          <w:p w:rsidR="009E747D" w:rsidRPr="00F7311D" w:rsidP="009E747D" w14:paraId="0BFA7B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Carnegie Classification</w:t>
            </w:r>
          </w:p>
        </w:tc>
      </w:tr>
      <w:tr w14:paraId="0CD661E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8920C5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Trimester (calendar system)</w:t>
            </w:r>
          </w:p>
        </w:tc>
        <w:tc>
          <w:tcPr>
            <w:tcW w:w="8558" w:type="dxa"/>
            <w:shd w:val="clear" w:color="auto" w:fill="auto"/>
            <w:vAlign w:val="center"/>
            <w:hideMark/>
          </w:tcPr>
          <w:p w:rsidR="009E747D" w:rsidRPr="00F7311D" w:rsidP="009E747D" w14:paraId="05EF2CF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academic year consisting of 3 terms of about 15 weeks each.</w:t>
            </w:r>
          </w:p>
        </w:tc>
        <w:tc>
          <w:tcPr>
            <w:tcW w:w="2097" w:type="dxa"/>
            <w:shd w:val="clear" w:color="auto" w:fill="auto"/>
            <w:vAlign w:val="center"/>
            <w:hideMark/>
          </w:tcPr>
          <w:p w:rsidR="009E747D" w:rsidRPr="00F7311D" w:rsidP="009E747D" w14:paraId="439D83CF" w14:textId="77777777">
            <w:pPr>
              <w:spacing w:after="0" w:line="240" w:lineRule="auto"/>
              <w:rPr>
                <w:rFonts w:ascii="Calibri" w:eastAsia="Times New Roman" w:hAnsi="Calibri" w:cs="Calibri"/>
                <w:color w:val="000000"/>
                <w:sz w:val="18"/>
                <w:szCs w:val="18"/>
              </w:rPr>
            </w:pPr>
          </w:p>
        </w:tc>
      </w:tr>
      <w:tr w14:paraId="2426649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775F21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w:t>
            </w:r>
          </w:p>
        </w:tc>
        <w:tc>
          <w:tcPr>
            <w:tcW w:w="8558" w:type="dxa"/>
            <w:shd w:val="clear" w:color="auto" w:fill="auto"/>
            <w:vAlign w:val="center"/>
            <w:hideMark/>
          </w:tcPr>
          <w:p w:rsidR="009E747D" w:rsidRPr="00F7311D" w:rsidP="009E747D" w14:paraId="22D5582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money charged to students for instructional services. Tuition may be charged per term, per course, or per credit.</w:t>
            </w:r>
          </w:p>
        </w:tc>
        <w:tc>
          <w:tcPr>
            <w:tcW w:w="2097" w:type="dxa"/>
            <w:shd w:val="clear" w:color="auto" w:fill="auto"/>
            <w:vAlign w:val="center"/>
            <w:hideMark/>
          </w:tcPr>
          <w:p w:rsidR="009E747D" w:rsidRPr="00F7311D" w:rsidP="009E747D" w14:paraId="6DA31340" w14:textId="77777777">
            <w:pPr>
              <w:spacing w:after="0" w:line="240" w:lineRule="auto"/>
              <w:rPr>
                <w:rFonts w:ascii="Calibri" w:eastAsia="Times New Roman" w:hAnsi="Calibri" w:cs="Calibri"/>
                <w:color w:val="000000"/>
                <w:sz w:val="18"/>
                <w:szCs w:val="18"/>
              </w:rPr>
            </w:pPr>
          </w:p>
        </w:tc>
      </w:tr>
      <w:tr w14:paraId="20FE593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FEE46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and fees (published charges)</w:t>
            </w:r>
          </w:p>
        </w:tc>
        <w:tc>
          <w:tcPr>
            <w:tcW w:w="8558" w:type="dxa"/>
            <w:shd w:val="clear" w:color="auto" w:fill="auto"/>
            <w:vAlign w:val="center"/>
            <w:hideMark/>
          </w:tcPr>
          <w:p w:rsidR="009E747D" w:rsidRPr="00F7311D" w:rsidP="009E747D" w14:paraId="2316856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such a large proportion of all students that the student who does not pay the charges is an exception.</w:t>
            </w:r>
          </w:p>
        </w:tc>
        <w:tc>
          <w:tcPr>
            <w:tcW w:w="2097" w:type="dxa"/>
            <w:shd w:val="clear" w:color="auto" w:fill="auto"/>
            <w:vAlign w:val="center"/>
            <w:hideMark/>
          </w:tcPr>
          <w:p w:rsidR="009E747D" w:rsidRPr="00F7311D" w:rsidP="009E747D" w14:paraId="320911D8" w14:textId="77777777">
            <w:pPr>
              <w:spacing w:after="0" w:line="240" w:lineRule="auto"/>
              <w:rPr>
                <w:rFonts w:ascii="Calibri" w:eastAsia="Times New Roman" w:hAnsi="Calibri" w:cs="Calibri"/>
                <w:color w:val="000000"/>
                <w:sz w:val="18"/>
                <w:szCs w:val="18"/>
              </w:rPr>
            </w:pPr>
          </w:p>
        </w:tc>
      </w:tr>
      <w:tr w14:paraId="79005AC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8B28E3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guarantee</w:t>
            </w:r>
          </w:p>
        </w:tc>
        <w:tc>
          <w:tcPr>
            <w:tcW w:w="8558" w:type="dxa"/>
            <w:shd w:val="clear" w:color="auto" w:fill="auto"/>
            <w:vAlign w:val="center"/>
            <w:hideMark/>
          </w:tcPr>
          <w:p w:rsidR="009E747D" w:rsidRPr="00F7311D" w:rsidP="009E747D" w14:paraId="5505D28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where the institution guarantees, to entering first-time students, that tuition will not increase for the years they are enrolled. These guarantees are generally time-bound for four or five years.</w:t>
            </w:r>
          </w:p>
        </w:tc>
        <w:tc>
          <w:tcPr>
            <w:tcW w:w="2097" w:type="dxa"/>
            <w:shd w:val="clear" w:color="auto" w:fill="auto"/>
            <w:vAlign w:val="center"/>
            <w:hideMark/>
          </w:tcPr>
          <w:p w:rsidR="009E747D" w:rsidRPr="00F7311D" w:rsidP="009E747D" w14:paraId="5B697D7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First-time student (undergraduate),Entering students (undergraduate)</w:t>
            </w:r>
          </w:p>
        </w:tc>
      </w:tr>
      <w:tr w14:paraId="38D4078D"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1DA7AF3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payment plan</w:t>
            </w:r>
          </w:p>
        </w:tc>
        <w:tc>
          <w:tcPr>
            <w:tcW w:w="8558" w:type="dxa"/>
            <w:shd w:val="clear" w:color="auto" w:fill="auto"/>
            <w:vAlign w:val="center"/>
            <w:hideMark/>
          </w:tcPr>
          <w:p w:rsidR="009E747D" w:rsidRPr="00F7311D" w:rsidP="009E747D" w14:paraId="44F9442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tuition to be paid in installments spread out over an agreed upon period of time, sometimes without interest or finance charges.</w:t>
            </w:r>
          </w:p>
        </w:tc>
        <w:tc>
          <w:tcPr>
            <w:tcW w:w="2097" w:type="dxa"/>
            <w:shd w:val="clear" w:color="auto" w:fill="auto"/>
            <w:vAlign w:val="center"/>
            <w:hideMark/>
          </w:tcPr>
          <w:p w:rsidR="009E747D" w:rsidRPr="00F7311D" w:rsidP="009E747D" w14:paraId="29B8FD24" w14:textId="77777777">
            <w:pPr>
              <w:spacing w:after="0" w:line="240" w:lineRule="auto"/>
              <w:rPr>
                <w:rFonts w:ascii="Calibri" w:eastAsia="Times New Roman" w:hAnsi="Calibri" w:cs="Calibri"/>
                <w:color w:val="000000"/>
                <w:sz w:val="18"/>
                <w:szCs w:val="18"/>
              </w:rPr>
            </w:pPr>
          </w:p>
        </w:tc>
      </w:tr>
      <w:tr w14:paraId="2D0D0326"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39326BE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Tuition plan (restricted)</w:t>
            </w:r>
          </w:p>
        </w:tc>
        <w:tc>
          <w:tcPr>
            <w:tcW w:w="8558" w:type="dxa"/>
            <w:shd w:val="clear" w:color="auto" w:fill="auto"/>
            <w:vAlign w:val="center"/>
            <w:hideMark/>
          </w:tcPr>
          <w:p w:rsidR="009E747D" w:rsidRPr="00F7311D" w:rsidP="009E747D" w14:paraId="5E62B29E" w14:textId="27BE6F3F">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Plans for dependents (including spouses) of faculty members which restrict the beneficiary to attendance at only the institution where the faculty member is employed. Term used prior to 2011-12 in the Human Resources component.</w:t>
            </w:r>
          </w:p>
        </w:tc>
        <w:tc>
          <w:tcPr>
            <w:tcW w:w="2097" w:type="dxa"/>
            <w:shd w:val="clear" w:color="auto" w:fill="auto"/>
            <w:vAlign w:val="center"/>
            <w:hideMark/>
          </w:tcPr>
          <w:p w:rsidR="009E747D" w:rsidRPr="00F7311D" w:rsidP="009E747D" w14:paraId="0B6B4399" w14:textId="77777777">
            <w:pPr>
              <w:spacing w:after="0" w:line="240" w:lineRule="auto"/>
              <w:rPr>
                <w:rFonts w:ascii="Calibri" w:eastAsia="Times New Roman" w:hAnsi="Calibri" w:cs="Calibri"/>
                <w:color w:val="000000"/>
                <w:sz w:val="18"/>
                <w:szCs w:val="18"/>
              </w:rPr>
            </w:pPr>
          </w:p>
        </w:tc>
      </w:tr>
      <w:tr w14:paraId="66155E8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73E95F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Two-year institution</w:t>
            </w:r>
          </w:p>
        </w:tc>
        <w:tc>
          <w:tcPr>
            <w:tcW w:w="8558" w:type="dxa"/>
            <w:shd w:val="clear" w:color="auto" w:fill="auto"/>
            <w:vAlign w:val="center"/>
            <w:hideMark/>
          </w:tcPr>
          <w:p w:rsidR="009E747D" w:rsidRPr="00F7311D" w:rsidP="009E747D" w14:paraId="670C9B7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postsecondary institution that offers programs of at least 2 but less than 4 years duration. Includes occupational and vocational schools with programs of at least 1800 hours and academic institutions with programs of less than 4 years. Does not include bachelor's degree-granting institutions where the baccalaureate program can be completed in 3 years.</w:t>
            </w:r>
          </w:p>
        </w:tc>
        <w:tc>
          <w:tcPr>
            <w:tcW w:w="2097" w:type="dxa"/>
            <w:shd w:val="clear" w:color="auto" w:fill="auto"/>
            <w:vAlign w:val="center"/>
            <w:hideMark/>
          </w:tcPr>
          <w:p w:rsidR="009E747D" w:rsidRPr="00F7311D" w:rsidP="009E747D" w14:paraId="69B529E6" w14:textId="77777777">
            <w:pPr>
              <w:spacing w:after="0" w:line="240" w:lineRule="auto"/>
              <w:rPr>
                <w:rFonts w:ascii="Calibri" w:eastAsia="Times New Roman" w:hAnsi="Calibri" w:cs="Calibri"/>
                <w:color w:val="000000"/>
                <w:sz w:val="18"/>
                <w:szCs w:val="18"/>
              </w:rPr>
            </w:pPr>
          </w:p>
        </w:tc>
      </w:tr>
      <w:tr w14:paraId="586B47E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CD94D0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Unclassified student</w:t>
            </w:r>
          </w:p>
        </w:tc>
        <w:tc>
          <w:tcPr>
            <w:tcW w:w="8558" w:type="dxa"/>
            <w:shd w:val="clear" w:color="auto" w:fill="auto"/>
            <w:vAlign w:val="center"/>
            <w:hideMark/>
          </w:tcPr>
          <w:p w:rsidR="009E747D" w:rsidRPr="00F7311D" w:rsidP="009E747D" w14:paraId="176D8893" w14:textId="5A9F6951">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student taking courses creditable toward a degree or other recognized postsecondary credential who cannot be classified by academic level. For example, this could include a transfer student whose earned credits have not been determined at the time of the fall report.</w:t>
            </w:r>
          </w:p>
        </w:tc>
        <w:tc>
          <w:tcPr>
            <w:tcW w:w="2097" w:type="dxa"/>
            <w:shd w:val="clear" w:color="auto" w:fill="auto"/>
            <w:vAlign w:val="center"/>
            <w:hideMark/>
          </w:tcPr>
          <w:p w:rsidR="009E747D" w:rsidRPr="00F7311D" w:rsidP="009E747D" w14:paraId="601D2041" w14:textId="77777777">
            <w:pPr>
              <w:spacing w:after="0" w:line="240" w:lineRule="auto"/>
              <w:rPr>
                <w:rFonts w:ascii="Calibri" w:eastAsia="Times New Roman" w:hAnsi="Calibri" w:cs="Calibri"/>
                <w:color w:val="000000"/>
                <w:sz w:val="18"/>
                <w:szCs w:val="18"/>
              </w:rPr>
            </w:pPr>
          </w:p>
        </w:tc>
      </w:tr>
      <w:tr w14:paraId="2DE55595" w14:textId="77777777" w:rsidTr="0036249A">
        <w:tblPrEx>
          <w:tblW w:w="13616" w:type="dxa"/>
          <w:tblLook w:val="04A0"/>
        </w:tblPrEx>
        <w:trPr>
          <w:trHeight w:val="20"/>
        </w:trPr>
        <w:tc>
          <w:tcPr>
            <w:tcW w:w="2961" w:type="dxa"/>
            <w:shd w:val="clear" w:color="auto" w:fill="auto"/>
            <w:vAlign w:val="center"/>
            <w:hideMark/>
          </w:tcPr>
          <w:p w:rsidR="009E747D" w:rsidRPr="008878BA" w:rsidP="009E747D" w14:paraId="26B3925D" w14:textId="49F7C9E0">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Undergraduate student</w:t>
            </w:r>
          </w:p>
        </w:tc>
        <w:tc>
          <w:tcPr>
            <w:tcW w:w="8558" w:type="dxa"/>
            <w:shd w:val="clear" w:color="auto" w:fill="auto"/>
            <w:vAlign w:val="center"/>
            <w:hideMark/>
          </w:tcPr>
          <w:p w:rsidR="009E747D" w:rsidRPr="008878BA" w:rsidP="009E747D" w14:paraId="5202BAE6" w14:textId="36473AC1">
            <w:pPr>
              <w:spacing w:after="0" w:line="240" w:lineRule="auto"/>
              <w:rPr>
                <w:rFonts w:ascii="Calibri" w:eastAsia="Times New Roman" w:hAnsi="Calibri" w:cs="Calibri"/>
                <w:sz w:val="18"/>
                <w:szCs w:val="18"/>
              </w:rPr>
            </w:pPr>
            <w:r w:rsidRPr="008878BA">
              <w:rPr>
                <w:rFonts w:ascii="Calibri" w:eastAsia="Times New Roman" w:hAnsi="Calibri" w:cs="Calibri"/>
                <w:sz w:val="18"/>
                <w:szCs w:val="18"/>
              </w:rPr>
              <w:t xml:space="preserve">A student who is taking courses at the baccalaureate or below the baccalaureate level. These students may or may not be enrolled in undergraduate programs. </w:t>
            </w:r>
          </w:p>
        </w:tc>
        <w:tc>
          <w:tcPr>
            <w:tcW w:w="2097" w:type="dxa"/>
            <w:shd w:val="clear" w:color="auto" w:fill="auto"/>
            <w:vAlign w:val="center"/>
            <w:hideMark/>
          </w:tcPr>
          <w:p w:rsidR="009E747D" w:rsidRPr="00F7311D" w:rsidP="009E747D" w14:paraId="4DC8DD79" w14:textId="77777777">
            <w:pPr>
              <w:spacing w:after="0" w:line="240" w:lineRule="auto"/>
              <w:rPr>
                <w:rFonts w:ascii="Calibri" w:eastAsia="Times New Roman" w:hAnsi="Calibri" w:cs="Calibri"/>
                <w:color w:val="000000"/>
                <w:sz w:val="18"/>
                <w:szCs w:val="18"/>
              </w:rPr>
            </w:pPr>
          </w:p>
        </w:tc>
      </w:tr>
      <w:tr w14:paraId="436BFFE6"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5210FAD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Unduplicated count</w:t>
            </w:r>
          </w:p>
        </w:tc>
        <w:tc>
          <w:tcPr>
            <w:tcW w:w="8558" w:type="dxa"/>
            <w:shd w:val="clear" w:color="auto" w:fill="auto"/>
            <w:vAlign w:val="center"/>
            <w:hideMark/>
          </w:tcPr>
          <w:p w:rsidR="009E747D" w:rsidRPr="00F7311D" w:rsidP="009E747D" w14:paraId="7072D48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sum of students enrolled for credit with each student counted only once during the reporting period, regardless of when the student enrolled.</w:t>
            </w:r>
          </w:p>
        </w:tc>
        <w:tc>
          <w:tcPr>
            <w:tcW w:w="2097" w:type="dxa"/>
            <w:shd w:val="clear" w:color="auto" w:fill="auto"/>
            <w:vAlign w:val="center"/>
            <w:hideMark/>
          </w:tcPr>
          <w:p w:rsidR="009E747D" w:rsidRPr="00F7311D" w:rsidP="009E747D" w14:paraId="00512102" w14:textId="77777777">
            <w:pPr>
              <w:spacing w:after="0" w:line="240" w:lineRule="auto"/>
              <w:rPr>
                <w:rFonts w:ascii="Calibri" w:eastAsia="Times New Roman" w:hAnsi="Calibri" w:cs="Calibri"/>
                <w:color w:val="000000"/>
                <w:sz w:val="18"/>
                <w:szCs w:val="18"/>
              </w:rPr>
            </w:pPr>
          </w:p>
        </w:tc>
      </w:tr>
      <w:tr w14:paraId="624BA671"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14500E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plant fund balances</w:t>
            </w:r>
          </w:p>
        </w:tc>
        <w:tc>
          <w:tcPr>
            <w:tcW w:w="8558" w:type="dxa"/>
            <w:shd w:val="clear" w:color="auto" w:fill="auto"/>
            <w:vAlign w:val="center"/>
            <w:hideMark/>
          </w:tcPr>
          <w:p w:rsidR="009E747D" w:rsidRPr="00F7311D" w:rsidP="009E747D" w14:paraId="6F40B12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Unexpended resources in the plant fund derived from various sources to finance the acquisition of long-lived plant assets and their associated liabilities.</w:t>
            </w:r>
          </w:p>
        </w:tc>
        <w:tc>
          <w:tcPr>
            <w:tcW w:w="2097" w:type="dxa"/>
            <w:shd w:val="clear" w:color="auto" w:fill="auto"/>
            <w:vAlign w:val="center"/>
            <w:hideMark/>
          </w:tcPr>
          <w:p w:rsidR="009E747D" w:rsidRPr="00F7311D" w:rsidP="009E747D" w14:paraId="1FD8FC16" w14:textId="77777777">
            <w:pPr>
              <w:spacing w:after="0" w:line="240" w:lineRule="auto"/>
              <w:rPr>
                <w:rFonts w:ascii="Calibri" w:eastAsia="Times New Roman" w:hAnsi="Calibri" w:cs="Calibri"/>
                <w:color w:val="000000"/>
                <w:sz w:val="18"/>
                <w:szCs w:val="18"/>
              </w:rPr>
            </w:pPr>
          </w:p>
        </w:tc>
      </w:tr>
      <w:tr w14:paraId="30E69DD6" w14:textId="77777777" w:rsidTr="0036249A">
        <w:tblPrEx>
          <w:tblW w:w="13616" w:type="dxa"/>
          <w:tblLook w:val="04A0"/>
        </w:tblPrEx>
        <w:trPr>
          <w:trHeight w:val="20"/>
        </w:trPr>
        <w:tc>
          <w:tcPr>
            <w:tcW w:w="2961" w:type="dxa"/>
            <w:shd w:val="clear" w:color="auto" w:fill="auto"/>
            <w:vAlign w:val="center"/>
          </w:tcPr>
          <w:p w:rsidR="009E747D" w:rsidRPr="002515CF" w:rsidP="009E747D" w14:paraId="4E741900" w14:textId="0DB8F4DF">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Unique Entity Identifier (UEI)</w:t>
            </w:r>
          </w:p>
        </w:tc>
        <w:tc>
          <w:tcPr>
            <w:tcW w:w="8558" w:type="dxa"/>
            <w:shd w:val="clear" w:color="auto" w:fill="auto"/>
            <w:vAlign w:val="center"/>
          </w:tcPr>
          <w:p w:rsidR="009E747D" w:rsidRPr="002515CF" w:rsidP="009E747D" w14:paraId="56EFE732" w14:textId="4C524F16">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The official identifier for doing business with the U.S. Government. Replaces the DUNs number starting in April of 2022. For more information, please visit the GSA page at https://www.gsa.gov/about-us/organization/federal-acquisition-service/office-of-systems-management/integrated-award-environment-iae/iae-systems-information-kit/unique-entity-identifier-update.</w:t>
            </w:r>
          </w:p>
        </w:tc>
        <w:tc>
          <w:tcPr>
            <w:tcW w:w="2097" w:type="dxa"/>
            <w:shd w:val="clear" w:color="auto" w:fill="auto"/>
            <w:vAlign w:val="center"/>
          </w:tcPr>
          <w:p w:rsidR="009E747D" w:rsidRPr="002515CF" w:rsidP="009E747D" w14:paraId="4C854CF8" w14:textId="4B0F92CC">
            <w:pPr>
              <w:spacing w:after="0" w:line="240" w:lineRule="auto"/>
              <w:rPr>
                <w:rFonts w:ascii="Calibri" w:eastAsia="Times New Roman" w:hAnsi="Calibri" w:cs="Calibri"/>
                <w:sz w:val="18"/>
                <w:szCs w:val="18"/>
              </w:rPr>
            </w:pPr>
            <w:r w:rsidRPr="002515CF">
              <w:rPr>
                <w:rFonts w:ascii="Calibri" w:eastAsia="Times New Roman" w:hAnsi="Calibri" w:cs="Calibri"/>
                <w:sz w:val="18"/>
                <w:szCs w:val="18"/>
              </w:rPr>
              <w:t>Data Universal Numbering System (DUNS) number</w:t>
            </w:r>
          </w:p>
        </w:tc>
      </w:tr>
      <w:tr w14:paraId="024D5082"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B3D1DB6"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UnitID</w:t>
            </w:r>
          </w:p>
        </w:tc>
        <w:tc>
          <w:tcPr>
            <w:tcW w:w="8558" w:type="dxa"/>
            <w:shd w:val="clear" w:color="auto" w:fill="auto"/>
            <w:vAlign w:val="center"/>
            <w:hideMark/>
          </w:tcPr>
          <w:p w:rsidR="009E747D" w:rsidRPr="00F7311D" w:rsidP="009E747D" w14:paraId="42A98EBB" w14:textId="57EB966D">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Unique identification number assigned to postsecondary institutions surveyed through the Integrated Postsecondary Education Data System (IPEDS). Also referred to as UNITID or IPEDS ID.</w:t>
            </w:r>
          </w:p>
        </w:tc>
        <w:tc>
          <w:tcPr>
            <w:tcW w:w="2097" w:type="dxa"/>
            <w:shd w:val="clear" w:color="auto" w:fill="auto"/>
            <w:vAlign w:val="center"/>
            <w:hideMark/>
          </w:tcPr>
          <w:p w:rsidR="009E747D" w:rsidRPr="00F7311D" w:rsidP="009E747D" w14:paraId="7DD57DF0" w14:textId="77777777">
            <w:pPr>
              <w:spacing w:after="0" w:line="240" w:lineRule="auto"/>
              <w:rPr>
                <w:rFonts w:ascii="Calibri" w:eastAsia="Times New Roman" w:hAnsi="Calibri" w:cs="Calibri"/>
                <w:color w:val="000000"/>
                <w:sz w:val="18"/>
                <w:szCs w:val="18"/>
              </w:rPr>
            </w:pPr>
          </w:p>
        </w:tc>
      </w:tr>
      <w:tr w14:paraId="4B578A7B"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B1649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Unqualified Audit Opinion</w:t>
            </w:r>
          </w:p>
        </w:tc>
        <w:tc>
          <w:tcPr>
            <w:tcW w:w="8558" w:type="dxa"/>
            <w:shd w:val="clear" w:color="auto" w:fill="auto"/>
            <w:vAlign w:val="center"/>
            <w:hideMark/>
          </w:tcPr>
          <w:p w:rsidR="009E747D" w:rsidRPr="00F7311D" w:rsidP="009E747D" w14:paraId="510E3E7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An independent auditor's written statement on their audit report that a client's financial statements fairly represent their financial position in accordance with Generally Accepted Accounting Principles (GAAP).</w:t>
            </w:r>
          </w:p>
        </w:tc>
        <w:tc>
          <w:tcPr>
            <w:tcW w:w="2097" w:type="dxa"/>
            <w:shd w:val="clear" w:color="auto" w:fill="auto"/>
            <w:vAlign w:val="center"/>
            <w:hideMark/>
          </w:tcPr>
          <w:p w:rsidR="009E747D" w:rsidRPr="00F7311D" w:rsidP="009E747D" w14:paraId="2A7E5389" w14:textId="77777777">
            <w:pPr>
              <w:spacing w:after="0" w:line="240" w:lineRule="auto"/>
              <w:rPr>
                <w:rFonts w:ascii="Calibri" w:eastAsia="Times New Roman" w:hAnsi="Calibri" w:cs="Calibri"/>
                <w:color w:val="000000"/>
                <w:sz w:val="18"/>
                <w:szCs w:val="18"/>
              </w:rPr>
            </w:pPr>
          </w:p>
        </w:tc>
      </w:tr>
      <w:tr w14:paraId="01FC620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868771C"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current funds</w:t>
            </w:r>
          </w:p>
        </w:tc>
        <w:tc>
          <w:tcPr>
            <w:tcW w:w="8558" w:type="dxa"/>
            <w:shd w:val="clear" w:color="auto" w:fill="auto"/>
            <w:vAlign w:val="center"/>
            <w:hideMark/>
          </w:tcPr>
          <w:p w:rsidR="009E747D" w:rsidRPr="00F7311D" w:rsidP="009E747D" w14:paraId="5AAE52A0"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All funds, including institutional funds, received for which no stipulation was made by the donor or other external agency as to the purpose for which the funds should be expended.</w:t>
            </w:r>
          </w:p>
        </w:tc>
        <w:tc>
          <w:tcPr>
            <w:tcW w:w="2097" w:type="dxa"/>
            <w:shd w:val="clear" w:color="auto" w:fill="auto"/>
            <w:vAlign w:val="center"/>
            <w:hideMark/>
          </w:tcPr>
          <w:p w:rsidR="009E747D" w:rsidRPr="00F7311D" w:rsidP="009E747D" w14:paraId="6CA49BDD" w14:textId="77777777">
            <w:pPr>
              <w:spacing w:after="0" w:line="240" w:lineRule="auto"/>
              <w:rPr>
                <w:rFonts w:ascii="Calibri" w:eastAsia="Times New Roman" w:hAnsi="Calibri" w:cs="Calibri"/>
                <w:color w:val="000000"/>
                <w:sz w:val="18"/>
                <w:szCs w:val="18"/>
              </w:rPr>
            </w:pPr>
          </w:p>
        </w:tc>
      </w:tr>
      <w:tr w14:paraId="09815E00"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A495A0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Unrestricted net assets</w:t>
            </w:r>
          </w:p>
        </w:tc>
        <w:tc>
          <w:tcPr>
            <w:tcW w:w="8558" w:type="dxa"/>
            <w:shd w:val="clear" w:color="auto" w:fill="auto"/>
            <w:vAlign w:val="center"/>
            <w:hideMark/>
          </w:tcPr>
          <w:p w:rsidR="009E747D" w:rsidRPr="00F7311D" w:rsidP="009E747D" w14:paraId="7B0F437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The net assets of both FASB and GASB institutions that do not fit the definition of other categories of net assets. These are net assets held by the institution upon which no restrictions have been placed by the donor or other party external to the institution.</w:t>
            </w:r>
          </w:p>
        </w:tc>
        <w:tc>
          <w:tcPr>
            <w:tcW w:w="2097" w:type="dxa"/>
            <w:shd w:val="clear" w:color="auto" w:fill="auto"/>
            <w:vAlign w:val="center"/>
            <w:hideMark/>
          </w:tcPr>
          <w:p w:rsidR="009E747D" w:rsidRPr="00F7311D" w:rsidP="009E747D" w14:paraId="139D02CE" w14:textId="77777777">
            <w:pPr>
              <w:spacing w:after="0" w:line="240" w:lineRule="auto"/>
              <w:rPr>
                <w:rFonts w:ascii="Calibri" w:eastAsia="Times New Roman" w:hAnsi="Calibri" w:cs="Calibri"/>
                <w:color w:val="000000"/>
                <w:sz w:val="18"/>
                <w:szCs w:val="18"/>
              </w:rPr>
            </w:pPr>
          </w:p>
        </w:tc>
      </w:tr>
      <w:tr w14:paraId="36DE5718"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42FFCC37"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User ID</w:t>
            </w:r>
          </w:p>
        </w:tc>
        <w:tc>
          <w:tcPr>
            <w:tcW w:w="8558" w:type="dxa"/>
            <w:shd w:val="clear" w:color="auto" w:fill="auto"/>
            <w:vAlign w:val="center"/>
            <w:hideMark/>
          </w:tcPr>
          <w:p w:rsidR="009E747D" w:rsidRPr="00F7311D" w:rsidP="009E747D" w14:paraId="6A4A25E1"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 xml:space="preserve">A series of numbers possibly with an alpha prefix that is created for a specific user to be able to access a system. Each user is required to have a </w:t>
            </w:r>
            <w:r w:rsidRPr="00F7311D">
              <w:rPr>
                <w:rFonts w:ascii="Calibri" w:eastAsia="Times New Roman" w:hAnsi="Calibri" w:cs="Calibri"/>
                <w:color w:val="000000"/>
                <w:sz w:val="18"/>
                <w:szCs w:val="18"/>
              </w:rPr>
              <w:t>UserID</w:t>
            </w:r>
            <w:r w:rsidRPr="00F7311D">
              <w:rPr>
                <w:rFonts w:ascii="Calibri" w:eastAsia="Times New Roman" w:hAnsi="Calibri" w:cs="Calibri"/>
                <w:color w:val="000000"/>
                <w:sz w:val="18"/>
                <w:szCs w:val="18"/>
              </w:rPr>
              <w:t xml:space="preserve"> and a password in order to access the Integrated Postsecondary Education Data System (IPEDS) data collection system for security purposes.</w:t>
            </w:r>
          </w:p>
        </w:tc>
        <w:tc>
          <w:tcPr>
            <w:tcW w:w="2097" w:type="dxa"/>
            <w:shd w:val="clear" w:color="auto" w:fill="auto"/>
            <w:vAlign w:val="center"/>
            <w:hideMark/>
          </w:tcPr>
          <w:p w:rsidR="009E747D" w:rsidRPr="00F7311D" w:rsidP="009E747D" w14:paraId="399C2904" w14:textId="77777777">
            <w:pPr>
              <w:spacing w:after="0" w:line="240" w:lineRule="auto"/>
              <w:rPr>
                <w:rFonts w:ascii="Calibri" w:eastAsia="Times New Roman" w:hAnsi="Calibri" w:cs="Calibri"/>
                <w:color w:val="000000"/>
                <w:sz w:val="18"/>
                <w:szCs w:val="18"/>
              </w:rPr>
            </w:pPr>
          </w:p>
        </w:tc>
      </w:tr>
      <w:tr w14:paraId="2E331B0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AC008FE"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Variable</w:t>
            </w:r>
          </w:p>
        </w:tc>
        <w:tc>
          <w:tcPr>
            <w:tcW w:w="8558" w:type="dxa"/>
            <w:shd w:val="clear" w:color="auto" w:fill="auto"/>
            <w:vAlign w:val="center"/>
            <w:hideMark/>
          </w:tcPr>
          <w:p w:rsidR="009E747D" w:rsidRPr="00F7311D" w:rsidP="009E747D" w14:paraId="0425A08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fundamental unit of data contained in a file which is given a unique label.</w:t>
            </w:r>
          </w:p>
        </w:tc>
        <w:tc>
          <w:tcPr>
            <w:tcW w:w="2097" w:type="dxa"/>
            <w:shd w:val="clear" w:color="auto" w:fill="auto"/>
            <w:vAlign w:val="center"/>
            <w:hideMark/>
          </w:tcPr>
          <w:p w:rsidR="009E747D" w:rsidRPr="00F7311D" w:rsidP="009E747D" w14:paraId="328B89D2" w14:textId="77777777">
            <w:pPr>
              <w:spacing w:after="0" w:line="240" w:lineRule="auto"/>
              <w:rPr>
                <w:rFonts w:ascii="Calibri" w:eastAsia="Times New Roman" w:hAnsi="Calibri" w:cs="Calibri"/>
                <w:color w:val="000000"/>
                <w:sz w:val="18"/>
                <w:szCs w:val="18"/>
              </w:rPr>
            </w:pPr>
          </w:p>
        </w:tc>
      </w:tr>
      <w:tr w14:paraId="4BA716B3"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79A097EF"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Vested retirement plan</w:t>
            </w:r>
          </w:p>
        </w:tc>
        <w:tc>
          <w:tcPr>
            <w:tcW w:w="8558" w:type="dxa"/>
            <w:shd w:val="clear" w:color="auto" w:fill="auto"/>
            <w:vAlign w:val="center"/>
            <w:hideMark/>
          </w:tcPr>
          <w:p w:rsidR="009E747D" w:rsidRPr="00F7311D" w:rsidP="009E747D" w14:paraId="20F1951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One in which the full amount of the contribution by the institution and by the state and local government, with accumulations thereon, will be made available as a benefit in case of death while in service and with no forfeiture in case of resignation or dismissal from the institution.</w:t>
            </w:r>
          </w:p>
        </w:tc>
        <w:tc>
          <w:tcPr>
            <w:tcW w:w="2097" w:type="dxa"/>
            <w:shd w:val="clear" w:color="auto" w:fill="auto"/>
            <w:vAlign w:val="center"/>
            <w:hideMark/>
          </w:tcPr>
          <w:p w:rsidR="009E747D" w:rsidRPr="00F7311D" w:rsidP="009E747D" w14:paraId="6EF1C1DC" w14:textId="77777777">
            <w:pPr>
              <w:spacing w:after="0" w:line="240" w:lineRule="auto"/>
              <w:rPr>
                <w:rFonts w:ascii="Calibri" w:eastAsia="Times New Roman" w:hAnsi="Calibri" w:cs="Calibri"/>
                <w:color w:val="000000"/>
                <w:sz w:val="18"/>
                <w:szCs w:val="18"/>
              </w:rPr>
            </w:pPr>
          </w:p>
        </w:tc>
      </w:tr>
      <w:tr w14:paraId="5C6E1892"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641E9B9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Veterans Administration (VA) Education Benefits</w:t>
            </w:r>
          </w:p>
        </w:tc>
        <w:tc>
          <w:tcPr>
            <w:tcW w:w="8558" w:type="dxa"/>
            <w:shd w:val="clear" w:color="auto" w:fill="auto"/>
            <w:vAlign w:val="center"/>
            <w:hideMark/>
          </w:tcPr>
          <w:p w:rsidR="009E747D" w:rsidRPr="00F7311D" w:rsidP="009E747D" w14:paraId="054372B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Those benefits available to military personnel and their families for financial assistance at approved postsecondary education institutions.  There can be three types of beneficiaries:  Surviving spouses and children; Discharged veterans; and Active military personnel in special programs.</w:t>
            </w:r>
          </w:p>
        </w:tc>
        <w:tc>
          <w:tcPr>
            <w:tcW w:w="2097" w:type="dxa"/>
            <w:shd w:val="clear" w:color="auto" w:fill="auto"/>
            <w:vAlign w:val="center"/>
            <w:hideMark/>
          </w:tcPr>
          <w:p w:rsidR="009E747D" w:rsidRPr="00F7311D" w:rsidP="009E747D" w14:paraId="0794397D" w14:textId="77777777">
            <w:pPr>
              <w:spacing w:after="0" w:line="240" w:lineRule="auto"/>
              <w:rPr>
                <w:rFonts w:ascii="Calibri" w:eastAsia="Times New Roman" w:hAnsi="Calibri" w:cs="Calibri"/>
                <w:color w:val="000000"/>
                <w:sz w:val="18"/>
                <w:szCs w:val="18"/>
              </w:rPr>
            </w:pPr>
          </w:p>
        </w:tc>
      </w:tr>
      <w:tr w14:paraId="33B0E74E"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6B180A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Weekend/evening college</w:t>
            </w:r>
          </w:p>
        </w:tc>
        <w:tc>
          <w:tcPr>
            <w:tcW w:w="8558" w:type="dxa"/>
            <w:shd w:val="clear" w:color="auto" w:fill="auto"/>
            <w:vAlign w:val="center"/>
            <w:hideMark/>
          </w:tcPr>
          <w:p w:rsidR="009E747D" w:rsidRPr="00F7311D" w:rsidP="009E747D" w14:paraId="62A1DB9D"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program that allows students to take a complete course of study and attend classes only on weekends or only in the evenings.</w:t>
            </w:r>
          </w:p>
        </w:tc>
        <w:tc>
          <w:tcPr>
            <w:tcW w:w="2097" w:type="dxa"/>
            <w:shd w:val="clear" w:color="auto" w:fill="auto"/>
            <w:vAlign w:val="center"/>
            <w:hideMark/>
          </w:tcPr>
          <w:p w:rsidR="009E747D" w:rsidRPr="00F7311D" w:rsidP="009E747D" w14:paraId="7672F86A" w14:textId="77777777">
            <w:pPr>
              <w:spacing w:after="0" w:line="240" w:lineRule="auto"/>
              <w:rPr>
                <w:rFonts w:ascii="Calibri" w:eastAsia="Times New Roman" w:hAnsi="Calibri" w:cs="Calibri"/>
                <w:color w:val="000000"/>
                <w:sz w:val="18"/>
                <w:szCs w:val="18"/>
              </w:rPr>
            </w:pPr>
          </w:p>
        </w:tc>
      </w:tr>
      <w:tr w14:paraId="15B652B7"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24A66B49"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w:t>
            </w:r>
          </w:p>
        </w:tc>
        <w:tc>
          <w:tcPr>
            <w:tcW w:w="8558" w:type="dxa"/>
            <w:shd w:val="clear" w:color="auto" w:fill="auto"/>
            <w:vAlign w:val="center"/>
            <w:hideMark/>
          </w:tcPr>
          <w:p w:rsidR="009E747D" w:rsidRPr="00F7311D" w:rsidP="009E747D" w14:paraId="1F6EA218"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the Middle East, or North Africa.</w:t>
            </w:r>
          </w:p>
        </w:tc>
        <w:tc>
          <w:tcPr>
            <w:tcW w:w="2097" w:type="dxa"/>
            <w:shd w:val="clear" w:color="auto" w:fill="auto"/>
            <w:vAlign w:val="center"/>
            <w:hideMark/>
          </w:tcPr>
          <w:p w:rsidR="009E747D" w:rsidRPr="00F7311D" w:rsidP="009E747D" w14:paraId="724D2CA3" w14:textId="77777777">
            <w:pPr>
              <w:spacing w:after="0" w:line="240" w:lineRule="auto"/>
              <w:rPr>
                <w:rFonts w:ascii="Calibri" w:eastAsia="Times New Roman" w:hAnsi="Calibri" w:cs="Calibri"/>
                <w:color w:val="000000"/>
                <w:sz w:val="18"/>
                <w:szCs w:val="18"/>
              </w:rPr>
            </w:pPr>
          </w:p>
        </w:tc>
      </w:tr>
      <w:tr w14:paraId="512B833F"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E9006BB"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White, non-Hispanic (old definition)</w:t>
            </w:r>
          </w:p>
        </w:tc>
        <w:tc>
          <w:tcPr>
            <w:tcW w:w="8558" w:type="dxa"/>
            <w:shd w:val="clear" w:color="auto" w:fill="auto"/>
            <w:vAlign w:val="center"/>
            <w:hideMark/>
          </w:tcPr>
          <w:p w:rsidR="009E747D" w:rsidRPr="00F7311D" w:rsidP="009E747D" w14:paraId="465EFC04"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person having origins in any of the original peoples of Europe, North Africa, or the Middle East (except those of Hispanic origin).</w:t>
            </w:r>
          </w:p>
        </w:tc>
        <w:tc>
          <w:tcPr>
            <w:tcW w:w="2097" w:type="dxa"/>
            <w:shd w:val="clear" w:color="auto" w:fill="auto"/>
            <w:vAlign w:val="center"/>
            <w:hideMark/>
          </w:tcPr>
          <w:p w:rsidR="009E747D" w:rsidRPr="00F7311D" w:rsidP="009E747D" w14:paraId="44F6F540" w14:textId="77777777">
            <w:pPr>
              <w:spacing w:after="0" w:line="240" w:lineRule="auto"/>
              <w:rPr>
                <w:rFonts w:ascii="Calibri" w:eastAsia="Times New Roman" w:hAnsi="Calibri" w:cs="Calibri"/>
                <w:color w:val="000000"/>
                <w:sz w:val="18"/>
                <w:szCs w:val="18"/>
              </w:rPr>
            </w:pPr>
          </w:p>
        </w:tc>
      </w:tr>
      <w:tr w14:paraId="43F45BFA" w14:textId="77777777" w:rsidTr="0036249A">
        <w:tblPrEx>
          <w:tblW w:w="13616" w:type="dxa"/>
          <w:tblLook w:val="04A0"/>
        </w:tblPrEx>
        <w:trPr>
          <w:trHeight w:val="20"/>
        </w:trPr>
        <w:tc>
          <w:tcPr>
            <w:tcW w:w="2961" w:type="dxa"/>
            <w:shd w:val="clear" w:color="auto" w:fill="auto"/>
            <w:vAlign w:val="center"/>
            <w:hideMark/>
          </w:tcPr>
          <w:p w:rsidR="009E747D" w:rsidRPr="00F7311D" w:rsidP="009E747D" w14:paraId="0D56F06A"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Yellow Ribbon Program</w:t>
            </w:r>
          </w:p>
        </w:tc>
        <w:tc>
          <w:tcPr>
            <w:tcW w:w="8558" w:type="dxa"/>
            <w:shd w:val="clear" w:color="auto" w:fill="auto"/>
            <w:vAlign w:val="center"/>
            <w:hideMark/>
          </w:tcPr>
          <w:p w:rsidR="009E747D" w:rsidRPr="00F7311D" w:rsidP="009E747D" w14:paraId="5B51D4E5" w14:textId="77777777">
            <w:pPr>
              <w:spacing w:after="0" w:line="240" w:lineRule="auto"/>
              <w:rPr>
                <w:rFonts w:ascii="Calibri" w:eastAsia="Times New Roman" w:hAnsi="Calibri" w:cs="Calibri"/>
                <w:color w:val="000000"/>
                <w:sz w:val="18"/>
                <w:szCs w:val="18"/>
              </w:rPr>
            </w:pPr>
            <w:r w:rsidRPr="00F7311D">
              <w:rPr>
                <w:rFonts w:ascii="Calibri" w:eastAsia="Times New Roman" w:hAnsi="Calibri" w:cs="Calibri"/>
                <w:color w:val="000000"/>
                <w:sz w:val="18"/>
                <w:szCs w:val="18"/>
              </w:rPr>
              <w:t>A voluntary program through which participating public and private institutions can provide veterans and eligible beneficiaries additional institutional aid to cover the costs of tuition and fees at their institutions. The Yellow Ribbon Program is a supplementary program to the Post 9/11 GI Bill coverage of in-state tuition and fees. The Department of Veterans Affairs matches the institutional aid provided beyond the in-state tuition and fees, but up to a certain limit each year.</w:t>
            </w:r>
          </w:p>
        </w:tc>
        <w:tc>
          <w:tcPr>
            <w:tcW w:w="2097" w:type="dxa"/>
            <w:shd w:val="clear" w:color="auto" w:fill="auto"/>
            <w:vAlign w:val="center"/>
            <w:hideMark/>
          </w:tcPr>
          <w:p w:rsidR="009E747D" w:rsidRPr="00F7311D" w:rsidP="009E747D" w14:paraId="6D612C7B" w14:textId="77777777">
            <w:pPr>
              <w:spacing w:after="0" w:line="240" w:lineRule="auto"/>
              <w:rPr>
                <w:rFonts w:ascii="Calibri" w:eastAsia="Times New Roman" w:hAnsi="Calibri" w:cs="Calibri"/>
                <w:color w:val="000000"/>
                <w:sz w:val="18"/>
                <w:szCs w:val="18"/>
              </w:rPr>
            </w:pPr>
          </w:p>
        </w:tc>
      </w:tr>
    </w:tbl>
    <w:p w:rsidR="00A80ECB" w:rsidP="00F7311D" w14:paraId="62CE9892" w14:textId="77777777">
      <w:pPr>
        <w:pStyle w:val="NoSpacing"/>
      </w:pPr>
    </w:p>
    <w:sectPr w:rsidSect="007B5B58">
      <w:footerReference w:type="default" r:id="rId10"/>
      <w:pgSz w:w="15840" w:h="12240" w:orient="landscape"/>
      <w:pgMar w:top="720" w:right="720" w:bottom="720" w:left="72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2E5" w:rsidP="00FD12E5" w14:paraId="47F8E7F5" w14:textId="30BC4A70">
    <w:pPr>
      <w:pStyle w:val="Footer"/>
      <w:tabs>
        <w:tab w:val="clear" w:pos="4680"/>
        <w:tab w:val="clear" w:pos="9360"/>
      </w:tabs>
      <w:jc w:val="center"/>
      <w:rPr>
        <w:caps/>
        <w:noProof/>
        <w:color w:val="4472C4" w:themeColor="accent1"/>
      </w:rPr>
    </w:pPr>
    <w:r>
      <w:rPr>
        <w:caps/>
        <w:color w:val="4472C4" w:themeColor="accent1"/>
      </w:rPr>
      <w:t>ipeds glossary 202</w:t>
    </w:r>
    <w:r w:rsidR="00E2713B">
      <w:rPr>
        <w:caps/>
        <w:color w:val="4472C4" w:themeColor="accent1"/>
      </w:rPr>
      <w:t>4</w:t>
    </w:r>
    <w:r>
      <w:rPr>
        <w:caps/>
        <w:color w:val="4472C4" w:themeColor="accent1"/>
      </w:rPr>
      <w:t>-2</w:t>
    </w:r>
    <w:r w:rsidR="00E2713B">
      <w:rPr>
        <w:caps/>
        <w:color w:val="4472C4" w:themeColor="accent1"/>
      </w:rPr>
      <w:t>5</w:t>
    </w:r>
    <w:r>
      <w:rPr>
        <w:caps/>
        <w:color w:val="4472C4" w:themeColor="accent1"/>
      </w:rPr>
      <w:t xml:space="preserve"> THROUGH 202</w:t>
    </w:r>
    <w:r w:rsidR="00E2713B">
      <w:rPr>
        <w:caps/>
        <w:color w:val="4472C4" w:themeColor="accent1"/>
      </w:rPr>
      <w:t>6</w:t>
    </w:r>
    <w:r>
      <w:rPr>
        <w:caps/>
        <w:color w:val="4472C4" w:themeColor="accent1"/>
      </w:rPr>
      <w:t>-2</w:t>
    </w:r>
    <w:r w:rsidR="00E2713B">
      <w:rPr>
        <w:caps/>
        <w:color w:val="4472C4" w:themeColor="accent1"/>
      </w:rPr>
      <w:t>7</w:t>
    </w:r>
    <w:r>
      <w:rPr>
        <w:caps/>
        <w:color w:val="4472C4" w:themeColor="accent1"/>
      </w:rPr>
      <w:t xml:space="preserve">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rsidR="00FD12E5" w:rsidRPr="00FD12E5" w:rsidP="00FD12E5" w14:paraId="0B5231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A7C66"/>
    <w:multiLevelType w:val="hybridMultilevel"/>
    <w:tmpl w:val="32765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938BB"/>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CD2195D"/>
    <w:multiLevelType w:val="hybridMultilevel"/>
    <w:tmpl w:val="915E3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63CAA"/>
    <w:multiLevelType w:val="multilevel"/>
    <w:tmpl w:val="1EA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929EE"/>
    <w:multiLevelType w:val="hybridMultilevel"/>
    <w:tmpl w:val="3DAAF34A"/>
    <w:lvl w:ilvl="0">
      <w:start w:val="1"/>
      <w:numFmt w:val="bullet"/>
      <w:lvlText w:val=""/>
      <w:lvlJc w:val="left"/>
      <w:pPr>
        <w:ind w:left="135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1AD5D3E"/>
    <w:multiLevelType w:val="hybridMultilevel"/>
    <w:tmpl w:val="D63C43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68AA"/>
    <w:multiLevelType w:val="hybridMultilevel"/>
    <w:tmpl w:val="10D41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93556B"/>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11A35"/>
    <w:multiLevelType w:val="hybridMultilevel"/>
    <w:tmpl w:val="32AEB8FA"/>
    <w:lvl w:ilvl="0">
      <w:start w:val="1"/>
      <w:numFmt w:val="bullet"/>
      <w:lvlText w:val=""/>
      <w:lvlJc w:val="left"/>
      <w:rPr>
        <w:rFonts w:ascii="Symbol" w:hAnsi="Symbo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9">
    <w:nsid w:val="1B3A2C40"/>
    <w:multiLevelType w:val="hybridMultilevel"/>
    <w:tmpl w:val="8EBE9B1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3621D9"/>
    <w:multiLevelType w:val="hybridMultilevel"/>
    <w:tmpl w:val="79CE3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5F2F3B"/>
    <w:multiLevelType w:val="multilevel"/>
    <w:tmpl w:val="5912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D3F43"/>
    <w:multiLevelType w:val="hybridMultilevel"/>
    <w:tmpl w:val="1340C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8B71B1"/>
    <w:multiLevelType w:val="hybridMultilevel"/>
    <w:tmpl w:val="A822A3BA"/>
    <w:lvl w:ilvl="0">
      <w:start w:val="1"/>
      <w:numFmt w:val="bullet"/>
      <w:lvlText w:val=""/>
      <w:lvlJc w:val="left"/>
      <w:pPr>
        <w:ind w:left="417" w:hanging="360"/>
      </w:pPr>
      <w:rPr>
        <w:rFonts w:ascii="Wingdings" w:hAnsi="Wingdings"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14">
    <w:nsid w:val="2E4C582E"/>
    <w:multiLevelType w:val="hybridMultilevel"/>
    <w:tmpl w:val="28780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7E4003"/>
    <w:multiLevelType w:val="hybridMultilevel"/>
    <w:tmpl w:val="C3481A1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AF048F"/>
    <w:multiLevelType w:val="hybridMultilevel"/>
    <w:tmpl w:val="996A23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DB2EC"/>
    <w:multiLevelType w:val="hybridMultilevel"/>
    <w:tmpl w:val="04267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4AA623E"/>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9">
    <w:nsid w:val="49BB3E3D"/>
    <w:multiLevelType w:val="hybridMultilevel"/>
    <w:tmpl w:val="E4E4B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D1156C"/>
    <w:multiLevelType w:val="hybridMultilevel"/>
    <w:tmpl w:val="21CAC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75179C"/>
    <w:multiLevelType w:val="hybridMultilevel"/>
    <w:tmpl w:val="F7EA7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A86E59"/>
    <w:multiLevelType w:val="hybridMultilevel"/>
    <w:tmpl w:val="265AB762"/>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F024C3"/>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836DB2"/>
    <w:multiLevelType w:val="hybridMultilevel"/>
    <w:tmpl w:val="FFAAC2A8"/>
    <w:lvl w:ilvl="0">
      <w:start w:val="0"/>
      <w:numFmt w:val="bullet"/>
      <w:lvlText w:val="•"/>
      <w:lvlJc w:val="left"/>
      <w:pPr>
        <w:ind w:left="417" w:hanging="360"/>
      </w:pPr>
      <w:rPr>
        <w:rFonts w:ascii="Arial" w:eastAsia="Times New Roman" w:hAnsi="Arial" w:cs="Arial" w:hint="default"/>
      </w:rPr>
    </w:lvl>
    <w:lvl w:ilvl="1" w:tentative="1">
      <w:start w:val="1"/>
      <w:numFmt w:val="bullet"/>
      <w:lvlText w:val="o"/>
      <w:lvlJc w:val="left"/>
      <w:pPr>
        <w:ind w:left="1137" w:hanging="360"/>
      </w:pPr>
      <w:rPr>
        <w:rFonts w:ascii="Courier New" w:hAnsi="Courier New" w:cs="Courier New" w:hint="default"/>
      </w:rPr>
    </w:lvl>
    <w:lvl w:ilvl="2" w:tentative="1">
      <w:start w:val="1"/>
      <w:numFmt w:val="bullet"/>
      <w:lvlText w:val=""/>
      <w:lvlJc w:val="left"/>
      <w:pPr>
        <w:ind w:left="1857" w:hanging="360"/>
      </w:pPr>
      <w:rPr>
        <w:rFonts w:ascii="Wingdings" w:hAnsi="Wingdings" w:hint="default"/>
      </w:rPr>
    </w:lvl>
    <w:lvl w:ilvl="3" w:tentative="1">
      <w:start w:val="1"/>
      <w:numFmt w:val="bullet"/>
      <w:lvlText w:val=""/>
      <w:lvlJc w:val="left"/>
      <w:pPr>
        <w:ind w:left="2577" w:hanging="360"/>
      </w:pPr>
      <w:rPr>
        <w:rFonts w:ascii="Symbol" w:hAnsi="Symbol" w:hint="default"/>
      </w:rPr>
    </w:lvl>
    <w:lvl w:ilvl="4" w:tentative="1">
      <w:start w:val="1"/>
      <w:numFmt w:val="bullet"/>
      <w:lvlText w:val="o"/>
      <w:lvlJc w:val="left"/>
      <w:pPr>
        <w:ind w:left="3297" w:hanging="360"/>
      </w:pPr>
      <w:rPr>
        <w:rFonts w:ascii="Courier New" w:hAnsi="Courier New" w:cs="Courier New" w:hint="default"/>
      </w:rPr>
    </w:lvl>
    <w:lvl w:ilvl="5" w:tentative="1">
      <w:start w:val="1"/>
      <w:numFmt w:val="bullet"/>
      <w:lvlText w:val=""/>
      <w:lvlJc w:val="left"/>
      <w:pPr>
        <w:ind w:left="4017" w:hanging="360"/>
      </w:pPr>
      <w:rPr>
        <w:rFonts w:ascii="Wingdings" w:hAnsi="Wingdings" w:hint="default"/>
      </w:rPr>
    </w:lvl>
    <w:lvl w:ilvl="6" w:tentative="1">
      <w:start w:val="1"/>
      <w:numFmt w:val="bullet"/>
      <w:lvlText w:val=""/>
      <w:lvlJc w:val="left"/>
      <w:pPr>
        <w:ind w:left="4737" w:hanging="360"/>
      </w:pPr>
      <w:rPr>
        <w:rFonts w:ascii="Symbol" w:hAnsi="Symbol" w:hint="default"/>
      </w:rPr>
    </w:lvl>
    <w:lvl w:ilvl="7" w:tentative="1">
      <w:start w:val="1"/>
      <w:numFmt w:val="bullet"/>
      <w:lvlText w:val="o"/>
      <w:lvlJc w:val="left"/>
      <w:pPr>
        <w:ind w:left="5457" w:hanging="360"/>
      </w:pPr>
      <w:rPr>
        <w:rFonts w:ascii="Courier New" w:hAnsi="Courier New" w:cs="Courier New" w:hint="default"/>
      </w:rPr>
    </w:lvl>
    <w:lvl w:ilvl="8" w:tentative="1">
      <w:start w:val="1"/>
      <w:numFmt w:val="bullet"/>
      <w:lvlText w:val=""/>
      <w:lvlJc w:val="left"/>
      <w:pPr>
        <w:ind w:left="6177" w:hanging="360"/>
      </w:pPr>
      <w:rPr>
        <w:rFonts w:ascii="Wingdings" w:hAnsi="Wingdings" w:hint="default"/>
      </w:rPr>
    </w:lvl>
  </w:abstractNum>
  <w:abstractNum w:abstractNumId="25">
    <w:nsid w:val="5DDF7863"/>
    <w:multiLevelType w:val="hybridMultilevel"/>
    <w:tmpl w:val="3DAAF34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69720605"/>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27FD9"/>
    <w:multiLevelType w:val="hybridMultilevel"/>
    <w:tmpl w:val="C0C03E24"/>
    <w:lvl w:ilvl="0">
      <w:start w:val="1"/>
      <w:numFmt w:val="lowerRoman"/>
      <w:lvlText w:val="%1."/>
      <w:lvlJc w:val="left"/>
      <w:pPr>
        <w:ind w:left="36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883842"/>
    <w:multiLevelType w:val="hybridMultilevel"/>
    <w:tmpl w:val="146E42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54AEDE"/>
    <w:multiLevelType w:val="hybridMultilevel"/>
    <w:tmpl w:val="F61EA1B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2EC0C32"/>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293A32"/>
    <w:multiLevelType w:val="hybridMultilevel"/>
    <w:tmpl w:val="A1B88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5A153C"/>
    <w:multiLevelType w:val="hybridMultilevel"/>
    <w:tmpl w:val="3DAAF3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E2505C"/>
    <w:multiLevelType w:val="hybridMultilevel"/>
    <w:tmpl w:val="535C8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1507672">
    <w:abstractNumId w:val="29"/>
  </w:num>
  <w:num w:numId="2" w16cid:durableId="1133987402">
    <w:abstractNumId w:val="17"/>
  </w:num>
  <w:num w:numId="3" w16cid:durableId="127937106">
    <w:abstractNumId w:val="12"/>
  </w:num>
  <w:num w:numId="4" w16cid:durableId="1070426376">
    <w:abstractNumId w:val="10"/>
  </w:num>
  <w:num w:numId="5" w16cid:durableId="161817517">
    <w:abstractNumId w:val="9"/>
  </w:num>
  <w:num w:numId="6" w16cid:durableId="702823390">
    <w:abstractNumId w:val="22"/>
  </w:num>
  <w:num w:numId="7" w16cid:durableId="1195072250">
    <w:abstractNumId w:val="7"/>
  </w:num>
  <w:num w:numId="8" w16cid:durableId="1715691197">
    <w:abstractNumId w:val="25"/>
  </w:num>
  <w:num w:numId="9" w16cid:durableId="1704675514">
    <w:abstractNumId w:val="1"/>
  </w:num>
  <w:num w:numId="10" w16cid:durableId="112139034">
    <w:abstractNumId w:val="23"/>
  </w:num>
  <w:num w:numId="11" w16cid:durableId="465120606">
    <w:abstractNumId w:val="32"/>
  </w:num>
  <w:num w:numId="12" w16cid:durableId="1175534747">
    <w:abstractNumId w:val="30"/>
  </w:num>
  <w:num w:numId="13" w16cid:durableId="604462347">
    <w:abstractNumId w:val="18"/>
  </w:num>
  <w:num w:numId="14" w16cid:durableId="1194197939">
    <w:abstractNumId w:val="4"/>
  </w:num>
  <w:num w:numId="15" w16cid:durableId="1185243238">
    <w:abstractNumId w:val="11"/>
  </w:num>
  <w:num w:numId="16" w16cid:durableId="542249232">
    <w:abstractNumId w:val="19"/>
  </w:num>
  <w:num w:numId="17" w16cid:durableId="524446155">
    <w:abstractNumId w:val="3"/>
  </w:num>
  <w:num w:numId="18" w16cid:durableId="124397782">
    <w:abstractNumId w:val="6"/>
  </w:num>
  <w:num w:numId="19" w16cid:durableId="1227649711">
    <w:abstractNumId w:val="31"/>
  </w:num>
  <w:num w:numId="20" w16cid:durableId="457529590">
    <w:abstractNumId w:val="0"/>
  </w:num>
  <w:num w:numId="21" w16cid:durableId="2013216982">
    <w:abstractNumId w:val="20"/>
  </w:num>
  <w:num w:numId="22" w16cid:durableId="2049645343">
    <w:abstractNumId w:val="24"/>
  </w:num>
  <w:num w:numId="23" w16cid:durableId="348021869">
    <w:abstractNumId w:val="13"/>
  </w:num>
  <w:num w:numId="24" w16cid:durableId="1900902008">
    <w:abstractNumId w:val="8"/>
  </w:num>
  <w:num w:numId="25" w16cid:durableId="347412245">
    <w:abstractNumId w:val="28"/>
  </w:num>
  <w:num w:numId="26" w16cid:durableId="185490371">
    <w:abstractNumId w:val="16"/>
  </w:num>
  <w:num w:numId="27" w16cid:durableId="815026180">
    <w:abstractNumId w:val="26"/>
  </w:num>
  <w:num w:numId="28" w16cid:durableId="1307590117">
    <w:abstractNumId w:val="14"/>
  </w:num>
  <w:num w:numId="29" w16cid:durableId="1346324415">
    <w:abstractNumId w:val="15"/>
  </w:num>
  <w:num w:numId="30" w16cid:durableId="203562671">
    <w:abstractNumId w:val="27"/>
  </w:num>
  <w:num w:numId="31" w16cid:durableId="1366098399">
    <w:abstractNumId w:val="21"/>
  </w:num>
  <w:num w:numId="32" w16cid:durableId="1275361066">
    <w:abstractNumId w:val="2"/>
  </w:num>
  <w:num w:numId="33" w16cid:durableId="367948035">
    <w:abstractNumId w:val="5"/>
  </w:num>
  <w:num w:numId="34" w16cid:durableId="15780574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D"/>
    <w:rsid w:val="000000BF"/>
    <w:rsid w:val="00000BFB"/>
    <w:rsid w:val="000035D3"/>
    <w:rsid w:val="00004E50"/>
    <w:rsid w:val="00005DA5"/>
    <w:rsid w:val="00014CD3"/>
    <w:rsid w:val="00015AA6"/>
    <w:rsid w:val="000242CA"/>
    <w:rsid w:val="00025128"/>
    <w:rsid w:val="000251BD"/>
    <w:rsid w:val="00047E2B"/>
    <w:rsid w:val="0005178E"/>
    <w:rsid w:val="000554E5"/>
    <w:rsid w:val="000558CF"/>
    <w:rsid w:val="00060FFE"/>
    <w:rsid w:val="000667E7"/>
    <w:rsid w:val="00066E36"/>
    <w:rsid w:val="000755F0"/>
    <w:rsid w:val="00087EA0"/>
    <w:rsid w:val="00090578"/>
    <w:rsid w:val="0009511A"/>
    <w:rsid w:val="000B1675"/>
    <w:rsid w:val="000B2F2F"/>
    <w:rsid w:val="000B367E"/>
    <w:rsid w:val="000B7275"/>
    <w:rsid w:val="000C3911"/>
    <w:rsid w:val="000C491C"/>
    <w:rsid w:val="000C62A4"/>
    <w:rsid w:val="000D5A36"/>
    <w:rsid w:val="000D63C1"/>
    <w:rsid w:val="000E211E"/>
    <w:rsid w:val="000E774B"/>
    <w:rsid w:val="000F0DF4"/>
    <w:rsid w:val="000F441B"/>
    <w:rsid w:val="000F5544"/>
    <w:rsid w:val="00100EBE"/>
    <w:rsid w:val="001050BD"/>
    <w:rsid w:val="00107205"/>
    <w:rsid w:val="00110E2A"/>
    <w:rsid w:val="00111320"/>
    <w:rsid w:val="001415EF"/>
    <w:rsid w:val="00142ABC"/>
    <w:rsid w:val="00153B9A"/>
    <w:rsid w:val="00157AC4"/>
    <w:rsid w:val="001626FC"/>
    <w:rsid w:val="00172CDC"/>
    <w:rsid w:val="001867BE"/>
    <w:rsid w:val="001939B5"/>
    <w:rsid w:val="00193A51"/>
    <w:rsid w:val="00194FFF"/>
    <w:rsid w:val="001961AE"/>
    <w:rsid w:val="00197CBE"/>
    <w:rsid w:val="001A2DD7"/>
    <w:rsid w:val="001A4FE3"/>
    <w:rsid w:val="001A79D6"/>
    <w:rsid w:val="001A7B63"/>
    <w:rsid w:val="001B14D2"/>
    <w:rsid w:val="001B17C8"/>
    <w:rsid w:val="001B1F03"/>
    <w:rsid w:val="001B4765"/>
    <w:rsid w:val="001B524C"/>
    <w:rsid w:val="001C2721"/>
    <w:rsid w:val="001C366A"/>
    <w:rsid w:val="001C3714"/>
    <w:rsid w:val="001C50DF"/>
    <w:rsid w:val="001C6CB2"/>
    <w:rsid w:val="001E1030"/>
    <w:rsid w:val="001E2035"/>
    <w:rsid w:val="001E6D06"/>
    <w:rsid w:val="001EDE4A"/>
    <w:rsid w:val="001F1140"/>
    <w:rsid w:val="001F3EAC"/>
    <w:rsid w:val="001F4AF7"/>
    <w:rsid w:val="001F4D61"/>
    <w:rsid w:val="0020014C"/>
    <w:rsid w:val="002017B3"/>
    <w:rsid w:val="00213B3D"/>
    <w:rsid w:val="00213EF3"/>
    <w:rsid w:val="002143A8"/>
    <w:rsid w:val="0022138B"/>
    <w:rsid w:val="00223A3A"/>
    <w:rsid w:val="0023064B"/>
    <w:rsid w:val="00236C0C"/>
    <w:rsid w:val="002435B9"/>
    <w:rsid w:val="0024656C"/>
    <w:rsid w:val="002515CF"/>
    <w:rsid w:val="00252BBC"/>
    <w:rsid w:val="00255B14"/>
    <w:rsid w:val="00266C07"/>
    <w:rsid w:val="00275E94"/>
    <w:rsid w:val="002760B2"/>
    <w:rsid w:val="00284BA2"/>
    <w:rsid w:val="0029027A"/>
    <w:rsid w:val="0029193D"/>
    <w:rsid w:val="002A2A42"/>
    <w:rsid w:val="002A5368"/>
    <w:rsid w:val="002A7BC7"/>
    <w:rsid w:val="002B1DB6"/>
    <w:rsid w:val="002B2553"/>
    <w:rsid w:val="002B609F"/>
    <w:rsid w:val="002B6B2B"/>
    <w:rsid w:val="002B7EF7"/>
    <w:rsid w:val="002C1050"/>
    <w:rsid w:val="002C22C0"/>
    <w:rsid w:val="002D13A7"/>
    <w:rsid w:val="002D779E"/>
    <w:rsid w:val="002D7C25"/>
    <w:rsid w:val="002E7019"/>
    <w:rsid w:val="002F5E14"/>
    <w:rsid w:val="00303310"/>
    <w:rsid w:val="003063E6"/>
    <w:rsid w:val="00311464"/>
    <w:rsid w:val="0032121D"/>
    <w:rsid w:val="003263DB"/>
    <w:rsid w:val="00331038"/>
    <w:rsid w:val="003332BF"/>
    <w:rsid w:val="00340315"/>
    <w:rsid w:val="00340CEC"/>
    <w:rsid w:val="0034515A"/>
    <w:rsid w:val="0034570D"/>
    <w:rsid w:val="00351DA2"/>
    <w:rsid w:val="00353CF0"/>
    <w:rsid w:val="00357C29"/>
    <w:rsid w:val="00362195"/>
    <w:rsid w:val="0036249A"/>
    <w:rsid w:val="00371DB0"/>
    <w:rsid w:val="00372207"/>
    <w:rsid w:val="00375DF2"/>
    <w:rsid w:val="00376614"/>
    <w:rsid w:val="003770EA"/>
    <w:rsid w:val="00382AC2"/>
    <w:rsid w:val="00387712"/>
    <w:rsid w:val="00393D1F"/>
    <w:rsid w:val="00396D5C"/>
    <w:rsid w:val="003A144A"/>
    <w:rsid w:val="003A2FD1"/>
    <w:rsid w:val="003A64CD"/>
    <w:rsid w:val="003B38AA"/>
    <w:rsid w:val="003C09EB"/>
    <w:rsid w:val="003C7C78"/>
    <w:rsid w:val="003D5689"/>
    <w:rsid w:val="003D56CC"/>
    <w:rsid w:val="003E1D5D"/>
    <w:rsid w:val="003E2755"/>
    <w:rsid w:val="003F1A3E"/>
    <w:rsid w:val="003F320B"/>
    <w:rsid w:val="003F6B18"/>
    <w:rsid w:val="00412144"/>
    <w:rsid w:val="0041278B"/>
    <w:rsid w:val="00420F5E"/>
    <w:rsid w:val="00426F18"/>
    <w:rsid w:val="0043146E"/>
    <w:rsid w:val="004315CE"/>
    <w:rsid w:val="00431B15"/>
    <w:rsid w:val="00435A46"/>
    <w:rsid w:val="00443ACE"/>
    <w:rsid w:val="00455637"/>
    <w:rsid w:val="00457577"/>
    <w:rsid w:val="004601B5"/>
    <w:rsid w:val="00461596"/>
    <w:rsid w:val="00462C49"/>
    <w:rsid w:val="00463A42"/>
    <w:rsid w:val="0046688D"/>
    <w:rsid w:val="004714D1"/>
    <w:rsid w:val="00473D22"/>
    <w:rsid w:val="004819D4"/>
    <w:rsid w:val="00481F0E"/>
    <w:rsid w:val="00490B76"/>
    <w:rsid w:val="00494040"/>
    <w:rsid w:val="004A2581"/>
    <w:rsid w:val="004A2F81"/>
    <w:rsid w:val="004A38D6"/>
    <w:rsid w:val="004A53BE"/>
    <w:rsid w:val="004B686F"/>
    <w:rsid w:val="004B77AB"/>
    <w:rsid w:val="004B7FBB"/>
    <w:rsid w:val="004C2024"/>
    <w:rsid w:val="004C4E89"/>
    <w:rsid w:val="004C63D2"/>
    <w:rsid w:val="004D1625"/>
    <w:rsid w:val="004D1851"/>
    <w:rsid w:val="004D5842"/>
    <w:rsid w:val="004D72A0"/>
    <w:rsid w:val="004D72BE"/>
    <w:rsid w:val="00500072"/>
    <w:rsid w:val="00503F1D"/>
    <w:rsid w:val="00511BD6"/>
    <w:rsid w:val="00513298"/>
    <w:rsid w:val="005134EA"/>
    <w:rsid w:val="00531D06"/>
    <w:rsid w:val="00543F4C"/>
    <w:rsid w:val="005504A7"/>
    <w:rsid w:val="00552964"/>
    <w:rsid w:val="0055C77C"/>
    <w:rsid w:val="00561570"/>
    <w:rsid w:val="005617C4"/>
    <w:rsid w:val="005661EA"/>
    <w:rsid w:val="00567C80"/>
    <w:rsid w:val="00570CF2"/>
    <w:rsid w:val="00571C9C"/>
    <w:rsid w:val="00573E47"/>
    <w:rsid w:val="00586992"/>
    <w:rsid w:val="00590757"/>
    <w:rsid w:val="005A0716"/>
    <w:rsid w:val="005B0B66"/>
    <w:rsid w:val="005B3FC4"/>
    <w:rsid w:val="005B7989"/>
    <w:rsid w:val="005B7F73"/>
    <w:rsid w:val="005B84A5"/>
    <w:rsid w:val="005C118F"/>
    <w:rsid w:val="005C5E8C"/>
    <w:rsid w:val="005C74B2"/>
    <w:rsid w:val="005D3DD5"/>
    <w:rsid w:val="005E5F2A"/>
    <w:rsid w:val="005E6E64"/>
    <w:rsid w:val="00600981"/>
    <w:rsid w:val="00601DF8"/>
    <w:rsid w:val="00602978"/>
    <w:rsid w:val="00604EAC"/>
    <w:rsid w:val="00610843"/>
    <w:rsid w:val="006252C9"/>
    <w:rsid w:val="0063301C"/>
    <w:rsid w:val="00634600"/>
    <w:rsid w:val="0063564D"/>
    <w:rsid w:val="0064015E"/>
    <w:rsid w:val="00640499"/>
    <w:rsid w:val="00644D23"/>
    <w:rsid w:val="00655638"/>
    <w:rsid w:val="00662D2A"/>
    <w:rsid w:val="00664712"/>
    <w:rsid w:val="006748E5"/>
    <w:rsid w:val="00680D37"/>
    <w:rsid w:val="006817F6"/>
    <w:rsid w:val="00681EE5"/>
    <w:rsid w:val="006902F3"/>
    <w:rsid w:val="006921BA"/>
    <w:rsid w:val="006926FD"/>
    <w:rsid w:val="00697509"/>
    <w:rsid w:val="006A0038"/>
    <w:rsid w:val="006A0A09"/>
    <w:rsid w:val="006A4F82"/>
    <w:rsid w:val="006B197D"/>
    <w:rsid w:val="006B3675"/>
    <w:rsid w:val="006B5E7C"/>
    <w:rsid w:val="006B6A0E"/>
    <w:rsid w:val="006C2015"/>
    <w:rsid w:val="006C402E"/>
    <w:rsid w:val="006F1F58"/>
    <w:rsid w:val="006F2AAA"/>
    <w:rsid w:val="006F5399"/>
    <w:rsid w:val="007033C0"/>
    <w:rsid w:val="00704CAE"/>
    <w:rsid w:val="00714AD9"/>
    <w:rsid w:val="00714CAD"/>
    <w:rsid w:val="00720492"/>
    <w:rsid w:val="00724B83"/>
    <w:rsid w:val="0072690C"/>
    <w:rsid w:val="007311BD"/>
    <w:rsid w:val="007373AF"/>
    <w:rsid w:val="00745270"/>
    <w:rsid w:val="00754BC9"/>
    <w:rsid w:val="00761351"/>
    <w:rsid w:val="00761519"/>
    <w:rsid w:val="0076412E"/>
    <w:rsid w:val="00781FB0"/>
    <w:rsid w:val="0078340B"/>
    <w:rsid w:val="00784BC1"/>
    <w:rsid w:val="00787DB3"/>
    <w:rsid w:val="00792934"/>
    <w:rsid w:val="007A0DD7"/>
    <w:rsid w:val="007B5B58"/>
    <w:rsid w:val="007C3FA3"/>
    <w:rsid w:val="007C652A"/>
    <w:rsid w:val="007C665E"/>
    <w:rsid w:val="007C7433"/>
    <w:rsid w:val="007D6F1E"/>
    <w:rsid w:val="007D7F4A"/>
    <w:rsid w:val="007E0341"/>
    <w:rsid w:val="007E5D11"/>
    <w:rsid w:val="007F55FA"/>
    <w:rsid w:val="007F627D"/>
    <w:rsid w:val="007F7E64"/>
    <w:rsid w:val="00801418"/>
    <w:rsid w:val="00802103"/>
    <w:rsid w:val="00821134"/>
    <w:rsid w:val="00831C2D"/>
    <w:rsid w:val="008464BF"/>
    <w:rsid w:val="0085045A"/>
    <w:rsid w:val="00854B19"/>
    <w:rsid w:val="00856C43"/>
    <w:rsid w:val="00857F9D"/>
    <w:rsid w:val="008733E0"/>
    <w:rsid w:val="0087417C"/>
    <w:rsid w:val="00883B63"/>
    <w:rsid w:val="008878BA"/>
    <w:rsid w:val="00892787"/>
    <w:rsid w:val="00897554"/>
    <w:rsid w:val="008A766B"/>
    <w:rsid w:val="008B1800"/>
    <w:rsid w:val="008B7819"/>
    <w:rsid w:val="008C2332"/>
    <w:rsid w:val="008D2824"/>
    <w:rsid w:val="008D2D8A"/>
    <w:rsid w:val="008D2F1C"/>
    <w:rsid w:val="008E019C"/>
    <w:rsid w:val="008F0F5E"/>
    <w:rsid w:val="00900FB2"/>
    <w:rsid w:val="009062D5"/>
    <w:rsid w:val="00906445"/>
    <w:rsid w:val="00907F33"/>
    <w:rsid w:val="00913BA5"/>
    <w:rsid w:val="00921762"/>
    <w:rsid w:val="00921E78"/>
    <w:rsid w:val="00923DD8"/>
    <w:rsid w:val="00924BEF"/>
    <w:rsid w:val="00933EFE"/>
    <w:rsid w:val="00934FC3"/>
    <w:rsid w:val="00937262"/>
    <w:rsid w:val="00950F42"/>
    <w:rsid w:val="00954F6E"/>
    <w:rsid w:val="00955573"/>
    <w:rsid w:val="00955FDD"/>
    <w:rsid w:val="00961635"/>
    <w:rsid w:val="00963135"/>
    <w:rsid w:val="00973667"/>
    <w:rsid w:val="00982778"/>
    <w:rsid w:val="00984C50"/>
    <w:rsid w:val="00990132"/>
    <w:rsid w:val="009940AB"/>
    <w:rsid w:val="009955EC"/>
    <w:rsid w:val="00996828"/>
    <w:rsid w:val="009A5B69"/>
    <w:rsid w:val="009A7A44"/>
    <w:rsid w:val="009B1F61"/>
    <w:rsid w:val="009C3039"/>
    <w:rsid w:val="009C3222"/>
    <w:rsid w:val="009E747D"/>
    <w:rsid w:val="009E7B3F"/>
    <w:rsid w:val="009F0CF5"/>
    <w:rsid w:val="009F1C56"/>
    <w:rsid w:val="009F76E7"/>
    <w:rsid w:val="00A0275B"/>
    <w:rsid w:val="00A05687"/>
    <w:rsid w:val="00A10686"/>
    <w:rsid w:val="00A1207A"/>
    <w:rsid w:val="00A15A28"/>
    <w:rsid w:val="00A17C87"/>
    <w:rsid w:val="00A208EE"/>
    <w:rsid w:val="00A20B87"/>
    <w:rsid w:val="00A259AE"/>
    <w:rsid w:val="00A3238E"/>
    <w:rsid w:val="00A3241A"/>
    <w:rsid w:val="00A40314"/>
    <w:rsid w:val="00A42012"/>
    <w:rsid w:val="00A51B61"/>
    <w:rsid w:val="00A53960"/>
    <w:rsid w:val="00A56F9F"/>
    <w:rsid w:val="00A61506"/>
    <w:rsid w:val="00A64927"/>
    <w:rsid w:val="00A65A6F"/>
    <w:rsid w:val="00A65D4C"/>
    <w:rsid w:val="00A70B0D"/>
    <w:rsid w:val="00A70F46"/>
    <w:rsid w:val="00A728C2"/>
    <w:rsid w:val="00A776A2"/>
    <w:rsid w:val="00A80ECB"/>
    <w:rsid w:val="00A84FA6"/>
    <w:rsid w:val="00A910C4"/>
    <w:rsid w:val="00AA25C8"/>
    <w:rsid w:val="00AA6356"/>
    <w:rsid w:val="00AC403A"/>
    <w:rsid w:val="00AC778E"/>
    <w:rsid w:val="00AD49AA"/>
    <w:rsid w:val="00AD74A7"/>
    <w:rsid w:val="00AE743B"/>
    <w:rsid w:val="00AF67A4"/>
    <w:rsid w:val="00AF775D"/>
    <w:rsid w:val="00B051DF"/>
    <w:rsid w:val="00B05C09"/>
    <w:rsid w:val="00B068C1"/>
    <w:rsid w:val="00B1224C"/>
    <w:rsid w:val="00B208A9"/>
    <w:rsid w:val="00B2534C"/>
    <w:rsid w:val="00B31328"/>
    <w:rsid w:val="00B33F59"/>
    <w:rsid w:val="00B357CF"/>
    <w:rsid w:val="00B49E1D"/>
    <w:rsid w:val="00B56083"/>
    <w:rsid w:val="00B63D59"/>
    <w:rsid w:val="00B649C9"/>
    <w:rsid w:val="00B671D6"/>
    <w:rsid w:val="00B67585"/>
    <w:rsid w:val="00B70360"/>
    <w:rsid w:val="00B70ECD"/>
    <w:rsid w:val="00B72739"/>
    <w:rsid w:val="00B749C1"/>
    <w:rsid w:val="00B91E83"/>
    <w:rsid w:val="00B956B3"/>
    <w:rsid w:val="00B97C07"/>
    <w:rsid w:val="00BA112B"/>
    <w:rsid w:val="00BA1A46"/>
    <w:rsid w:val="00BA6614"/>
    <w:rsid w:val="00BA72E9"/>
    <w:rsid w:val="00BA7AA3"/>
    <w:rsid w:val="00BB6DF6"/>
    <w:rsid w:val="00BB7323"/>
    <w:rsid w:val="00BC4716"/>
    <w:rsid w:val="00BC783C"/>
    <w:rsid w:val="00BD47E6"/>
    <w:rsid w:val="00BE369C"/>
    <w:rsid w:val="00BE46FE"/>
    <w:rsid w:val="00BE5295"/>
    <w:rsid w:val="00BF0223"/>
    <w:rsid w:val="00BF2326"/>
    <w:rsid w:val="00BF4D7B"/>
    <w:rsid w:val="00C05FA1"/>
    <w:rsid w:val="00C11516"/>
    <w:rsid w:val="00C13273"/>
    <w:rsid w:val="00C14522"/>
    <w:rsid w:val="00C14DDA"/>
    <w:rsid w:val="00C163BF"/>
    <w:rsid w:val="00C16451"/>
    <w:rsid w:val="00C25C82"/>
    <w:rsid w:val="00C27BFD"/>
    <w:rsid w:val="00C34166"/>
    <w:rsid w:val="00C34E2B"/>
    <w:rsid w:val="00C35A9B"/>
    <w:rsid w:val="00C47122"/>
    <w:rsid w:val="00C52747"/>
    <w:rsid w:val="00C5303A"/>
    <w:rsid w:val="00C6536F"/>
    <w:rsid w:val="00C66CAD"/>
    <w:rsid w:val="00C68D27"/>
    <w:rsid w:val="00C85AED"/>
    <w:rsid w:val="00C90834"/>
    <w:rsid w:val="00C97168"/>
    <w:rsid w:val="00CA7231"/>
    <w:rsid w:val="00CB0376"/>
    <w:rsid w:val="00CB07F4"/>
    <w:rsid w:val="00CB4B4B"/>
    <w:rsid w:val="00CB751F"/>
    <w:rsid w:val="00CC3199"/>
    <w:rsid w:val="00CC4833"/>
    <w:rsid w:val="00CC5154"/>
    <w:rsid w:val="00CC5C69"/>
    <w:rsid w:val="00CC7536"/>
    <w:rsid w:val="00CD206D"/>
    <w:rsid w:val="00CE0FED"/>
    <w:rsid w:val="00CE1D6D"/>
    <w:rsid w:val="00CE21BA"/>
    <w:rsid w:val="00CE72C7"/>
    <w:rsid w:val="00CF08AF"/>
    <w:rsid w:val="00CF304C"/>
    <w:rsid w:val="00D008F5"/>
    <w:rsid w:val="00D12159"/>
    <w:rsid w:val="00D14FC3"/>
    <w:rsid w:val="00D1795A"/>
    <w:rsid w:val="00D2172C"/>
    <w:rsid w:val="00D35AD1"/>
    <w:rsid w:val="00D3713A"/>
    <w:rsid w:val="00D532C4"/>
    <w:rsid w:val="00D56674"/>
    <w:rsid w:val="00D5704D"/>
    <w:rsid w:val="00D614B9"/>
    <w:rsid w:val="00D637B7"/>
    <w:rsid w:val="00D67368"/>
    <w:rsid w:val="00D70E39"/>
    <w:rsid w:val="00D7256E"/>
    <w:rsid w:val="00D76F80"/>
    <w:rsid w:val="00D823E1"/>
    <w:rsid w:val="00D82431"/>
    <w:rsid w:val="00D854C8"/>
    <w:rsid w:val="00DA73BB"/>
    <w:rsid w:val="00DB2BD0"/>
    <w:rsid w:val="00DB7406"/>
    <w:rsid w:val="00DC1085"/>
    <w:rsid w:val="00DC663B"/>
    <w:rsid w:val="00DD3EAA"/>
    <w:rsid w:val="00DE23F3"/>
    <w:rsid w:val="00DE514D"/>
    <w:rsid w:val="00DF3090"/>
    <w:rsid w:val="00DF48F7"/>
    <w:rsid w:val="00DF4B0B"/>
    <w:rsid w:val="00E12279"/>
    <w:rsid w:val="00E14754"/>
    <w:rsid w:val="00E2713B"/>
    <w:rsid w:val="00E302B8"/>
    <w:rsid w:val="00E305CA"/>
    <w:rsid w:val="00E305F8"/>
    <w:rsid w:val="00E4143D"/>
    <w:rsid w:val="00E43727"/>
    <w:rsid w:val="00E4588F"/>
    <w:rsid w:val="00E47C5A"/>
    <w:rsid w:val="00E52A53"/>
    <w:rsid w:val="00E620BB"/>
    <w:rsid w:val="00E62C74"/>
    <w:rsid w:val="00E64395"/>
    <w:rsid w:val="00E65CBC"/>
    <w:rsid w:val="00E818A3"/>
    <w:rsid w:val="00E830B8"/>
    <w:rsid w:val="00E8510F"/>
    <w:rsid w:val="00E90151"/>
    <w:rsid w:val="00EA2492"/>
    <w:rsid w:val="00EA793F"/>
    <w:rsid w:val="00EB2074"/>
    <w:rsid w:val="00EB4E12"/>
    <w:rsid w:val="00EB67D7"/>
    <w:rsid w:val="00EC0BB4"/>
    <w:rsid w:val="00EC4D51"/>
    <w:rsid w:val="00EC7392"/>
    <w:rsid w:val="00ED5ED5"/>
    <w:rsid w:val="00EE1F5D"/>
    <w:rsid w:val="00EE7111"/>
    <w:rsid w:val="00EE7426"/>
    <w:rsid w:val="00EF0FEC"/>
    <w:rsid w:val="00EF7A88"/>
    <w:rsid w:val="00F03732"/>
    <w:rsid w:val="00F12B10"/>
    <w:rsid w:val="00F2040A"/>
    <w:rsid w:val="00F36F5D"/>
    <w:rsid w:val="00F37FCA"/>
    <w:rsid w:val="00F40D5A"/>
    <w:rsid w:val="00F4338C"/>
    <w:rsid w:val="00F45AED"/>
    <w:rsid w:val="00F505BB"/>
    <w:rsid w:val="00F5454C"/>
    <w:rsid w:val="00F60A08"/>
    <w:rsid w:val="00F64C59"/>
    <w:rsid w:val="00F6714E"/>
    <w:rsid w:val="00F72A83"/>
    <w:rsid w:val="00F7311D"/>
    <w:rsid w:val="00F74687"/>
    <w:rsid w:val="00F76D08"/>
    <w:rsid w:val="00F96405"/>
    <w:rsid w:val="00F96BC9"/>
    <w:rsid w:val="00F96C1C"/>
    <w:rsid w:val="00FA5C5C"/>
    <w:rsid w:val="00FA6CF6"/>
    <w:rsid w:val="00FB0A03"/>
    <w:rsid w:val="00FB57C7"/>
    <w:rsid w:val="00FB5A34"/>
    <w:rsid w:val="00FC7817"/>
    <w:rsid w:val="00FD0E84"/>
    <w:rsid w:val="00FD12E5"/>
    <w:rsid w:val="00FD4939"/>
    <w:rsid w:val="00FD4FB0"/>
    <w:rsid w:val="00FE3923"/>
    <w:rsid w:val="00FE588D"/>
    <w:rsid w:val="00FE685B"/>
    <w:rsid w:val="00FF11A7"/>
    <w:rsid w:val="00FF345F"/>
    <w:rsid w:val="015813C5"/>
    <w:rsid w:val="01795E9C"/>
    <w:rsid w:val="028357EC"/>
    <w:rsid w:val="028B72D2"/>
    <w:rsid w:val="02C73FE3"/>
    <w:rsid w:val="037DEAE2"/>
    <w:rsid w:val="040B5080"/>
    <w:rsid w:val="040F03EF"/>
    <w:rsid w:val="0470B71E"/>
    <w:rsid w:val="04D039BA"/>
    <w:rsid w:val="062DA8A5"/>
    <w:rsid w:val="073B4C08"/>
    <w:rsid w:val="0786B941"/>
    <w:rsid w:val="07E45D1C"/>
    <w:rsid w:val="07FD77D0"/>
    <w:rsid w:val="08E94D3D"/>
    <w:rsid w:val="09691428"/>
    <w:rsid w:val="0A976DD0"/>
    <w:rsid w:val="0BCF2889"/>
    <w:rsid w:val="0C5EB3A6"/>
    <w:rsid w:val="0D04E730"/>
    <w:rsid w:val="0DA0BC27"/>
    <w:rsid w:val="0DCF0E92"/>
    <w:rsid w:val="0E335111"/>
    <w:rsid w:val="0E514AC3"/>
    <w:rsid w:val="0ECE2B3D"/>
    <w:rsid w:val="0F51B696"/>
    <w:rsid w:val="10C18594"/>
    <w:rsid w:val="11272E12"/>
    <w:rsid w:val="11314EF6"/>
    <w:rsid w:val="113DBF9D"/>
    <w:rsid w:val="1192DE10"/>
    <w:rsid w:val="11A0C00E"/>
    <w:rsid w:val="11C7334C"/>
    <w:rsid w:val="12DB700D"/>
    <w:rsid w:val="13186748"/>
    <w:rsid w:val="132EAE71"/>
    <w:rsid w:val="1438BE50"/>
    <w:rsid w:val="14B925AA"/>
    <w:rsid w:val="14CA7ED2"/>
    <w:rsid w:val="14F40399"/>
    <w:rsid w:val="15324785"/>
    <w:rsid w:val="16248B05"/>
    <w:rsid w:val="163F94D6"/>
    <w:rsid w:val="16664F33"/>
    <w:rsid w:val="169FF1F9"/>
    <w:rsid w:val="16DFE93C"/>
    <w:rsid w:val="176B8E2C"/>
    <w:rsid w:val="1842479A"/>
    <w:rsid w:val="18EDC230"/>
    <w:rsid w:val="1A273FC7"/>
    <w:rsid w:val="1AA32EEE"/>
    <w:rsid w:val="1B48AE55"/>
    <w:rsid w:val="1BB99323"/>
    <w:rsid w:val="1D79DB4A"/>
    <w:rsid w:val="1F29D833"/>
    <w:rsid w:val="1FE14DC8"/>
    <w:rsid w:val="231E89C3"/>
    <w:rsid w:val="252F0E76"/>
    <w:rsid w:val="25B0B46E"/>
    <w:rsid w:val="262EBEA6"/>
    <w:rsid w:val="26C8B1F5"/>
    <w:rsid w:val="28DF41C1"/>
    <w:rsid w:val="29385837"/>
    <w:rsid w:val="2A7280D9"/>
    <w:rsid w:val="2AABCFE3"/>
    <w:rsid w:val="2AD9EA63"/>
    <w:rsid w:val="2AFDB237"/>
    <w:rsid w:val="2B7AD29A"/>
    <w:rsid w:val="2BAEC32E"/>
    <w:rsid w:val="2D253215"/>
    <w:rsid w:val="2D8B7569"/>
    <w:rsid w:val="2E3CD500"/>
    <w:rsid w:val="2E55004C"/>
    <w:rsid w:val="2EA8C1B9"/>
    <w:rsid w:val="2F8BA43F"/>
    <w:rsid w:val="300B6CFA"/>
    <w:rsid w:val="30A1D0C1"/>
    <w:rsid w:val="30D9173D"/>
    <w:rsid w:val="30DEBD60"/>
    <w:rsid w:val="3122D49C"/>
    <w:rsid w:val="31395763"/>
    <w:rsid w:val="31E2AEF6"/>
    <w:rsid w:val="32E865CE"/>
    <w:rsid w:val="338FF004"/>
    <w:rsid w:val="33B04AC4"/>
    <w:rsid w:val="33ECCC04"/>
    <w:rsid w:val="3457FB12"/>
    <w:rsid w:val="353ACF94"/>
    <w:rsid w:val="35D6A194"/>
    <w:rsid w:val="374702EA"/>
    <w:rsid w:val="37500B1E"/>
    <w:rsid w:val="375221DA"/>
    <w:rsid w:val="387D386E"/>
    <w:rsid w:val="398B04FF"/>
    <w:rsid w:val="3995429A"/>
    <w:rsid w:val="3A2157EF"/>
    <w:rsid w:val="3A34B69B"/>
    <w:rsid w:val="3ADC82FA"/>
    <w:rsid w:val="3AF33DF9"/>
    <w:rsid w:val="3BA338ED"/>
    <w:rsid w:val="3CE6A1E1"/>
    <w:rsid w:val="3D1307EB"/>
    <w:rsid w:val="3DC170F3"/>
    <w:rsid w:val="3E2768B1"/>
    <w:rsid w:val="3E32CC41"/>
    <w:rsid w:val="3F54B433"/>
    <w:rsid w:val="3F679AE0"/>
    <w:rsid w:val="4035EC3D"/>
    <w:rsid w:val="417545E7"/>
    <w:rsid w:val="4236EA91"/>
    <w:rsid w:val="43E4C226"/>
    <w:rsid w:val="444DBA1E"/>
    <w:rsid w:val="459F60A3"/>
    <w:rsid w:val="469A8A65"/>
    <w:rsid w:val="476712CF"/>
    <w:rsid w:val="47E59BC4"/>
    <w:rsid w:val="4806B806"/>
    <w:rsid w:val="48147FD6"/>
    <w:rsid w:val="48C5B870"/>
    <w:rsid w:val="4AB036AB"/>
    <w:rsid w:val="4B201CFA"/>
    <w:rsid w:val="4B2716FC"/>
    <w:rsid w:val="4BB13F06"/>
    <w:rsid w:val="4C0DE761"/>
    <w:rsid w:val="4C20FB72"/>
    <w:rsid w:val="4D062A8F"/>
    <w:rsid w:val="4E34509D"/>
    <w:rsid w:val="4EDFC2A2"/>
    <w:rsid w:val="4EF0FD79"/>
    <w:rsid w:val="4F7D7B0D"/>
    <w:rsid w:val="4F871E96"/>
    <w:rsid w:val="4FB49BD0"/>
    <w:rsid w:val="4FCB980F"/>
    <w:rsid w:val="507A6F16"/>
    <w:rsid w:val="50CAA0D9"/>
    <w:rsid w:val="50EA8883"/>
    <w:rsid w:val="517DD97C"/>
    <w:rsid w:val="5224067B"/>
    <w:rsid w:val="527D90AA"/>
    <w:rsid w:val="530338D1"/>
    <w:rsid w:val="536CC0F3"/>
    <w:rsid w:val="5392CEEF"/>
    <w:rsid w:val="53CC8FA3"/>
    <w:rsid w:val="54A905EE"/>
    <w:rsid w:val="5543325C"/>
    <w:rsid w:val="55DDB90C"/>
    <w:rsid w:val="56B1FAAE"/>
    <w:rsid w:val="570C4E16"/>
    <w:rsid w:val="572AE917"/>
    <w:rsid w:val="57698BDB"/>
    <w:rsid w:val="579B2093"/>
    <w:rsid w:val="57A5500D"/>
    <w:rsid w:val="57E81254"/>
    <w:rsid w:val="585555EB"/>
    <w:rsid w:val="5908A2BF"/>
    <w:rsid w:val="5976B46C"/>
    <w:rsid w:val="5978F551"/>
    <w:rsid w:val="5A1D9A93"/>
    <w:rsid w:val="5A483180"/>
    <w:rsid w:val="5A6B9130"/>
    <w:rsid w:val="5ACEE556"/>
    <w:rsid w:val="5BB26871"/>
    <w:rsid w:val="5C425CB6"/>
    <w:rsid w:val="5F511AF8"/>
    <w:rsid w:val="5F6F58DC"/>
    <w:rsid w:val="5FC75AEF"/>
    <w:rsid w:val="5FF0818A"/>
    <w:rsid w:val="608696B2"/>
    <w:rsid w:val="60B364D8"/>
    <w:rsid w:val="60DAE3AF"/>
    <w:rsid w:val="616ABD50"/>
    <w:rsid w:val="617D8C3A"/>
    <w:rsid w:val="61BBD15F"/>
    <w:rsid w:val="62151948"/>
    <w:rsid w:val="626A87AA"/>
    <w:rsid w:val="62BD745D"/>
    <w:rsid w:val="65796DEE"/>
    <w:rsid w:val="65A9246B"/>
    <w:rsid w:val="663FC286"/>
    <w:rsid w:val="665FC30E"/>
    <w:rsid w:val="672B97F3"/>
    <w:rsid w:val="674D2192"/>
    <w:rsid w:val="67E9ACDB"/>
    <w:rsid w:val="67F280F5"/>
    <w:rsid w:val="696520BF"/>
    <w:rsid w:val="6A440EA1"/>
    <w:rsid w:val="6B2231A9"/>
    <w:rsid w:val="6CAF040A"/>
    <w:rsid w:val="6D4CBC75"/>
    <w:rsid w:val="6D93FD77"/>
    <w:rsid w:val="6DB0105D"/>
    <w:rsid w:val="6DD0C933"/>
    <w:rsid w:val="6EA4109F"/>
    <w:rsid w:val="6ED5FF30"/>
    <w:rsid w:val="706E1DF4"/>
    <w:rsid w:val="70A11C01"/>
    <w:rsid w:val="70D27A39"/>
    <w:rsid w:val="70E7B11F"/>
    <w:rsid w:val="712F2A83"/>
    <w:rsid w:val="71F49C6F"/>
    <w:rsid w:val="7211800A"/>
    <w:rsid w:val="7263DB64"/>
    <w:rsid w:val="726E4A9A"/>
    <w:rsid w:val="73B6C231"/>
    <w:rsid w:val="73BB1EF0"/>
    <w:rsid w:val="74AB6347"/>
    <w:rsid w:val="756060B0"/>
    <w:rsid w:val="756E3430"/>
    <w:rsid w:val="7596381E"/>
    <w:rsid w:val="75B7225C"/>
    <w:rsid w:val="75B8640D"/>
    <w:rsid w:val="77E712D6"/>
    <w:rsid w:val="77E761AE"/>
    <w:rsid w:val="780ADF0E"/>
    <w:rsid w:val="783342CC"/>
    <w:rsid w:val="7909B7D0"/>
    <w:rsid w:val="7910B0BE"/>
    <w:rsid w:val="799EC41D"/>
    <w:rsid w:val="79AA050F"/>
    <w:rsid w:val="7B058B3B"/>
    <w:rsid w:val="7B427FD0"/>
    <w:rsid w:val="7B526FB0"/>
    <w:rsid w:val="7BB3D4FC"/>
    <w:rsid w:val="7BE23B11"/>
    <w:rsid w:val="7D6B64CA"/>
    <w:rsid w:val="7E8B654E"/>
    <w:rsid w:val="7E917A05"/>
    <w:rsid w:val="7EA2D3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3EF514"/>
  <w15:chartTrackingRefBased/>
  <w15:docId w15:val="{083A5534-D3D4-412C-9707-174AEA50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5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311D"/>
    <w:pPr>
      <w:spacing w:after="0" w:line="240" w:lineRule="auto"/>
    </w:pPr>
  </w:style>
  <w:style w:type="paragraph" w:styleId="ListParagraph">
    <w:name w:val="List Paragraph"/>
    <w:basedOn w:val="Normal"/>
    <w:uiPriority w:val="34"/>
    <w:qFormat/>
    <w:rsid w:val="00431B15"/>
    <w:pPr>
      <w:ind w:left="720"/>
      <w:contextualSpacing/>
    </w:pPr>
  </w:style>
  <w:style w:type="paragraph" w:customStyle="1" w:styleId="TableParagraph">
    <w:name w:val="Table Paragraph"/>
    <w:basedOn w:val="Normal"/>
    <w:uiPriority w:val="1"/>
    <w:qFormat/>
    <w:rsid w:val="00A323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FD12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D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E5"/>
  </w:style>
  <w:style w:type="paragraph" w:styleId="Footer">
    <w:name w:val="footer"/>
    <w:basedOn w:val="Normal"/>
    <w:link w:val="FooterChar"/>
    <w:uiPriority w:val="99"/>
    <w:unhideWhenUsed/>
    <w:rsid w:val="00FD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E5"/>
  </w:style>
  <w:style w:type="character" w:customStyle="1" w:styleId="Heading3Char">
    <w:name w:val="Heading 3 Char"/>
    <w:basedOn w:val="DefaultParagraphFont"/>
    <w:link w:val="Heading3"/>
    <w:uiPriority w:val="9"/>
    <w:rsid w:val="00FD12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D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CBE"/>
    <w:rPr>
      <w:color w:val="0563C1" w:themeColor="hyperlink"/>
      <w:u w:val="single"/>
    </w:rPr>
  </w:style>
  <w:style w:type="character" w:styleId="UnresolvedMention">
    <w:name w:val="Unresolved Mention"/>
    <w:basedOn w:val="DefaultParagraphFont"/>
    <w:uiPriority w:val="99"/>
    <w:unhideWhenUsed/>
    <w:rsid w:val="00197CBE"/>
    <w:rPr>
      <w:color w:val="605E5C"/>
      <w:shd w:val="clear" w:color="auto" w:fill="E1DFDD"/>
    </w:rPr>
  </w:style>
  <w:style w:type="character" w:customStyle="1" w:styleId="Heading1Char">
    <w:name w:val="Heading 1 Char"/>
    <w:basedOn w:val="DefaultParagraphFont"/>
    <w:link w:val="Heading1"/>
    <w:uiPriority w:val="9"/>
    <w:rsid w:val="007B5B58"/>
    <w:rPr>
      <w:rFonts w:asciiTheme="majorHAnsi" w:eastAsiaTheme="majorEastAsia" w:hAnsiTheme="majorHAnsi" w:cstheme="majorBidi"/>
      <w:color w:val="2F5496" w:themeColor="accent1" w:themeShade="BF"/>
      <w:sz w:val="32"/>
      <w:szCs w:val="32"/>
    </w:rPr>
  </w:style>
  <w:style w:type="paragraph" w:customStyle="1" w:styleId="Volume">
    <w:name w:val="Volume"/>
    <w:basedOn w:val="Normal"/>
    <w:autoRedefine/>
    <w:uiPriority w:val="99"/>
    <w:rsid w:val="00CE0FE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7B5B58"/>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7C7433"/>
    <w:rPr>
      <w:sz w:val="16"/>
      <w:szCs w:val="16"/>
    </w:rPr>
  </w:style>
  <w:style w:type="paragraph" w:styleId="CommentText">
    <w:name w:val="annotation text"/>
    <w:basedOn w:val="Normal"/>
    <w:link w:val="CommentTextChar"/>
    <w:uiPriority w:val="99"/>
    <w:unhideWhenUsed/>
    <w:rsid w:val="007C7433"/>
    <w:pPr>
      <w:spacing w:line="240" w:lineRule="auto"/>
    </w:pPr>
    <w:rPr>
      <w:sz w:val="20"/>
      <w:szCs w:val="20"/>
    </w:rPr>
  </w:style>
  <w:style w:type="character" w:customStyle="1" w:styleId="CommentTextChar">
    <w:name w:val="Comment Text Char"/>
    <w:basedOn w:val="DefaultParagraphFont"/>
    <w:link w:val="CommentText"/>
    <w:uiPriority w:val="99"/>
    <w:rsid w:val="007C7433"/>
    <w:rPr>
      <w:sz w:val="20"/>
      <w:szCs w:val="20"/>
    </w:rPr>
  </w:style>
  <w:style w:type="paragraph" w:styleId="CommentSubject">
    <w:name w:val="annotation subject"/>
    <w:basedOn w:val="CommentText"/>
    <w:next w:val="CommentText"/>
    <w:link w:val="CommentSubjectChar"/>
    <w:uiPriority w:val="99"/>
    <w:semiHidden/>
    <w:unhideWhenUsed/>
    <w:rsid w:val="007C7433"/>
    <w:rPr>
      <w:b/>
      <w:bCs/>
    </w:rPr>
  </w:style>
  <w:style w:type="character" w:customStyle="1" w:styleId="CommentSubjectChar">
    <w:name w:val="Comment Subject Char"/>
    <w:basedOn w:val="CommentTextChar"/>
    <w:link w:val="CommentSubject"/>
    <w:uiPriority w:val="99"/>
    <w:semiHidden/>
    <w:rsid w:val="007C7433"/>
    <w:rPr>
      <w:b/>
      <w:bCs/>
      <w:sz w:val="20"/>
      <w:szCs w:val="20"/>
    </w:rPr>
  </w:style>
  <w:style w:type="character" w:styleId="Mention">
    <w:name w:val="Mention"/>
    <w:basedOn w:val="DefaultParagraphFont"/>
    <w:uiPriority w:val="99"/>
    <w:unhideWhenUsed/>
    <w:rsid w:val="00193A51"/>
    <w:rPr>
      <w:color w:val="2B579A"/>
      <w:shd w:val="clear" w:color="auto" w:fill="E1DFDD"/>
    </w:rPr>
  </w:style>
  <w:style w:type="character" w:styleId="FollowedHyperlink">
    <w:name w:val="FollowedHyperlink"/>
    <w:basedOn w:val="DefaultParagraphFont"/>
    <w:uiPriority w:val="99"/>
    <w:semiHidden/>
    <w:unhideWhenUsed/>
    <w:rsid w:val="005617C4"/>
    <w:rPr>
      <w:color w:val="954F72" w:themeColor="followedHyperlink"/>
      <w:u w:val="single"/>
    </w:rPr>
  </w:style>
  <w:style w:type="character" w:customStyle="1" w:styleId="NoSpacingChar">
    <w:name w:val="No Spacing Char"/>
    <w:basedOn w:val="DefaultParagraphFont"/>
    <w:link w:val="NoSpacing"/>
    <w:uiPriority w:val="1"/>
    <w:rsid w:val="005B3FC4"/>
  </w:style>
  <w:style w:type="paragraph" w:styleId="Revision">
    <w:name w:val="Revision"/>
    <w:hidden/>
    <w:uiPriority w:val="99"/>
    <w:semiHidden/>
    <w:rsid w:val="00D14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soc/2018/major_groups.htm" TargetMode="External" /><Relationship Id="rId9" Type="http://schemas.openxmlformats.org/officeDocument/2006/relationships/hyperlink" Target="https://ifap.ed.gov/electronic-announcements/110519RevisionGuidelinesApplicableStandard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3AA5-7674-4838-827B-6EC3A00DFA5C}">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2.xml><?xml version="1.0" encoding="utf-8"?>
<ds:datastoreItem xmlns:ds="http://schemas.openxmlformats.org/officeDocument/2006/customXml" ds:itemID="{4138BE17-B803-4A8C-AD2A-C73E7F7C4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0C702-874F-4B32-8026-FBAFAB150591}">
  <ds:schemaRefs>
    <ds:schemaRef ds:uri="http://schemas.microsoft.com/sharepoint/v3/contenttype/forms"/>
  </ds:schemaRefs>
</ds:datastoreItem>
</file>

<file path=customXml/itemProps4.xml><?xml version="1.0" encoding="utf-8"?>
<ds:datastoreItem xmlns:ds="http://schemas.openxmlformats.org/officeDocument/2006/customXml" ds:itemID="{963CFBF9-E75D-4632-9A24-1638E32D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35850</Words>
  <Characters>204349</Characters>
  <Application>Microsoft Office Word</Application>
  <DocSecurity>0</DocSecurity>
  <Lines>1702</Lines>
  <Paragraphs>479</Paragraphs>
  <ScaleCrop>false</ScaleCrop>
  <Company/>
  <LinksUpToDate>false</LinksUpToDate>
  <CharactersWithSpaces>239720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5</cp:revision>
  <dcterms:created xsi:type="dcterms:W3CDTF">2024-01-15T22:47:00Z</dcterms:created>
  <dcterms:modified xsi:type="dcterms:W3CDTF">2024-02-27T23:36:00Z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