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D34BBE" w:rsidP="00D34BBE" w14:paraId="3E5D780A" w14:textId="77777777"/>
    <w:p w:rsidR="00D34BBE" w:rsidRPr="00CF7018" w:rsidP="00D34BBE" w14:paraId="22D2E63C" w14:textId="77777777">
      <w:pPr>
        <w:pStyle w:val="Heading2"/>
        <w:spacing w:before="0" w:after="0"/>
        <w:jc w:val="center"/>
        <w:rPr>
          <w:rStyle w:val="Emphasis"/>
          <w:rFonts w:ascii="Times New Roman" w:hAnsi="Times New Roman" w:cs="Times New Roman"/>
          <w:sz w:val="24"/>
          <w:szCs w:val="24"/>
        </w:rPr>
      </w:pPr>
      <w:r w:rsidRPr="00CF7018">
        <w:rPr>
          <w:rStyle w:val="Emphasis"/>
          <w:rFonts w:ascii="Times New Roman" w:hAnsi="Times New Roman" w:cs="Times New Roman"/>
          <w:sz w:val="24"/>
          <w:szCs w:val="24"/>
        </w:rPr>
        <w:t>DEPARTMENT OF JUSTICE</w:t>
      </w:r>
    </w:p>
    <w:p w:rsidR="00D34BBE" w:rsidRPr="00CF7018" w:rsidP="00D34BBE" w14:paraId="0FD75408" w14:textId="77777777">
      <w:pPr>
        <w:pStyle w:val="Heading2"/>
        <w:spacing w:before="0" w:after="0"/>
        <w:jc w:val="center"/>
        <w:rPr>
          <w:rStyle w:val="Emphasis"/>
          <w:rFonts w:ascii="Times New Roman" w:hAnsi="Times New Roman" w:cs="Times New Roman"/>
          <w:sz w:val="24"/>
          <w:szCs w:val="24"/>
        </w:rPr>
      </w:pPr>
      <w:r w:rsidRPr="00CF7018">
        <w:rPr>
          <w:rStyle w:val="Emphasis"/>
          <w:rFonts w:ascii="Times New Roman" w:hAnsi="Times New Roman" w:cs="Times New Roman"/>
          <w:sz w:val="24"/>
          <w:szCs w:val="24"/>
        </w:rPr>
        <w:t>BUREAU OF ALCOHOL, TOBACCO, FIREARMS AND EXPLOSIVES</w:t>
      </w:r>
    </w:p>
    <w:p w:rsidR="00D34BBE" w:rsidRPr="00CF7018" w:rsidP="00D34BBE" w14:paraId="52BF6E47" w14:textId="77777777">
      <w:pPr>
        <w:pStyle w:val="Heading2"/>
        <w:spacing w:before="0" w:after="0"/>
        <w:jc w:val="center"/>
        <w:rPr>
          <w:rStyle w:val="Emphasis"/>
          <w:rFonts w:ascii="Times New Roman" w:hAnsi="Times New Roman" w:cs="Times New Roman"/>
          <w:sz w:val="24"/>
          <w:szCs w:val="24"/>
        </w:rPr>
      </w:pPr>
      <w:r w:rsidRPr="00CF7018">
        <w:rPr>
          <w:rStyle w:val="Emphasis"/>
          <w:rFonts w:ascii="Times New Roman" w:hAnsi="Times New Roman" w:cs="Times New Roman"/>
          <w:sz w:val="24"/>
          <w:szCs w:val="24"/>
        </w:rPr>
        <w:t>Supporting Statement</w:t>
      </w:r>
    </w:p>
    <w:p w:rsidR="00D34BBE" w:rsidRPr="00CF7018" w:rsidP="00D34BBE" w14:paraId="14F67C8D" w14:textId="77777777">
      <w:pPr>
        <w:pStyle w:val="Heading2"/>
        <w:spacing w:before="0" w:after="0"/>
        <w:jc w:val="center"/>
        <w:rPr>
          <w:rStyle w:val="Emphasis"/>
          <w:rFonts w:ascii="Times New Roman" w:hAnsi="Times New Roman" w:cs="Times New Roman"/>
          <w:sz w:val="24"/>
          <w:szCs w:val="24"/>
        </w:rPr>
      </w:pPr>
      <w:r w:rsidRPr="00CF7018">
        <w:rPr>
          <w:rStyle w:val="Emphasis"/>
          <w:rFonts w:ascii="Times New Roman" w:hAnsi="Times New Roman" w:cs="Times New Roman"/>
          <w:sz w:val="24"/>
          <w:szCs w:val="24"/>
        </w:rPr>
        <w:t>1140-0007</w:t>
      </w:r>
    </w:p>
    <w:p w:rsidR="000B6FB6" w:rsidRPr="00CF7018" w:rsidP="00D34BBE" w14:paraId="1CF8A88F" w14:textId="50B87D8A">
      <w:pPr>
        <w:pStyle w:val="Heading2"/>
        <w:spacing w:before="0" w:after="0"/>
        <w:jc w:val="center"/>
        <w:rPr>
          <w:rFonts w:ascii="Times New Roman" w:hAnsi="Times New Roman" w:cs="Times New Roman"/>
          <w:sz w:val="24"/>
          <w:szCs w:val="24"/>
        </w:rPr>
      </w:pPr>
      <w:r w:rsidRPr="00CF7018">
        <w:rPr>
          <w:rStyle w:val="Emphasis"/>
          <w:rFonts w:ascii="Times New Roman" w:hAnsi="Times New Roman" w:cs="Times New Roman"/>
          <w:sz w:val="24"/>
          <w:szCs w:val="24"/>
        </w:rPr>
        <w:t>Release and Receipt of Imported Firearms, Ammunition, and Defense Articles - ATF F 6A (5330.3C</w:t>
      </w:r>
      <w:r w:rsidRPr="00CF7018">
        <w:rPr>
          <w:rFonts w:ascii="Times New Roman" w:hAnsi="Times New Roman" w:cs="Times New Roman"/>
          <w:sz w:val="24"/>
          <w:szCs w:val="24"/>
        </w:rPr>
        <w:t>)</w:t>
      </w:r>
    </w:p>
    <w:p w:rsidR="00D34BBE" w:rsidRPr="00D34BBE" w:rsidP="00D34BBE" w14:paraId="47CF9AAA" w14:textId="77777777">
      <w:pPr>
        <w:jc w:val="center"/>
      </w:pPr>
    </w:p>
    <w:p w:rsidR="00690F56" w:rsidRPr="00807331" w:rsidP="00807331" w14:paraId="375316BB" w14:textId="090B55F3">
      <w:pPr>
        <w:widowControl/>
        <w:numPr>
          <w:ilvl w:val="0"/>
          <w:numId w:val="8"/>
        </w:numPr>
        <w:spacing w:after="240"/>
        <w:ind w:left="540" w:hanging="450"/>
        <w:rPr>
          <w:rFonts w:ascii="Times New Roman" w:hAnsi="Times New Roman"/>
          <w:b/>
          <w:bCs/>
        </w:rPr>
      </w:pPr>
      <w:r w:rsidRPr="00A47DA7">
        <w:rPr>
          <w:rFonts w:ascii="Times New Roman" w:hAnsi="Times New Roman"/>
          <w:b/>
          <w:bCs/>
        </w:rPr>
        <w:t>JUSTIFICATION</w:t>
      </w:r>
    </w:p>
    <w:p w:rsidR="00690F56" w:rsidP="00690F56" w14:paraId="38CEE6AD" w14:textId="6D3624AE">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34BBE" w:rsidRPr="00D34BBE" w:rsidP="00CE5780" w14:paraId="4775B5E8" w14:textId="77F89C5B">
      <w:pPr>
        <w:pStyle w:val="paragraph"/>
        <w:spacing w:before="0" w:beforeAutospacing="0" w:after="0" w:afterAutospacing="0"/>
        <w:textAlignment w:val="baseline"/>
        <w:rPr>
          <w:color w:val="000000"/>
        </w:rPr>
      </w:pPr>
      <w:r w:rsidRPr="00D34BBE">
        <w:rPr>
          <w:color w:val="000000"/>
        </w:rPr>
        <w:t>Under 18 U.S.C. 925(a), 22 U.S.C. 2778, and 26 U.S.C. 5844, the importation of firearms, ammunition and defense articles into the United States is restricted.  The importation of articles coming within the purview of these statutes is prohibited.  The statutes also require that persons engaged in the business of importing such articles be licensed and/or registered.  Implementing regulations in 27 CFR Parts, 447, 478, and 479, prescribe the forms and procedures necessary to fulfill the import permit requirements.  Through these requirements, the law and regulations establish a comprehensive system for regulating the importation of firearms, ammunition, and defense articles.</w:t>
      </w:r>
    </w:p>
    <w:p w:rsidR="00D34BBE" w:rsidRPr="00D34BBE" w:rsidP="002A2742" w14:paraId="6D79E17C" w14:textId="5B52A35E">
      <w:pPr>
        <w:pStyle w:val="paragraph"/>
        <w:spacing w:before="0" w:beforeAutospacing="0" w:after="240" w:afterAutospacing="0"/>
        <w:textAlignment w:val="baseline"/>
        <w:rPr>
          <w:color w:val="000000"/>
        </w:rPr>
      </w:pPr>
      <w:r w:rsidRPr="00D34BBE">
        <w:rPr>
          <w:color w:val="000000"/>
        </w:rPr>
        <w:t>ATF requests approval to make the following changes to OMB1140-0007 (Release and Receipt of Imported Firearms, Ammunition and Defense Articles) – ATF Form 6A (5330.3c):</w:t>
      </w:r>
    </w:p>
    <w:p w:rsidR="00D34BBE" w:rsidRPr="00D34BBE" w:rsidP="002A2742" w14:paraId="77CC4B34" w14:textId="1A1D90F7">
      <w:pPr>
        <w:pStyle w:val="paragraph"/>
        <w:spacing w:before="0" w:beforeAutospacing="0" w:after="240" w:afterAutospacing="0"/>
        <w:textAlignment w:val="baseline"/>
        <w:rPr>
          <w:color w:val="000000"/>
        </w:rPr>
      </w:pPr>
      <w:r w:rsidRPr="00D34BBE">
        <w:rPr>
          <w:color w:val="000000"/>
        </w:rPr>
        <w:t>•</w:t>
      </w:r>
      <w:r w:rsidRPr="00D34BBE">
        <w:rPr>
          <w:color w:val="000000"/>
        </w:rPr>
        <w:tab/>
        <w:t>Section I Imp</w:t>
      </w:r>
      <w:r w:rsidR="002A2742">
        <w:rPr>
          <w:color w:val="000000"/>
        </w:rPr>
        <w:t>7</w:t>
      </w:r>
      <w:r w:rsidRPr="00D34BBE">
        <w:rPr>
          <w:color w:val="000000"/>
        </w:rPr>
        <w:t xml:space="preserve">ortation Information:  </w:t>
      </w:r>
    </w:p>
    <w:p w:rsidR="00D34BBE" w:rsidRPr="00D34BBE" w:rsidP="002A2742" w14:paraId="5070ADA0" w14:textId="7B4F1417">
      <w:pPr>
        <w:pStyle w:val="paragraph"/>
        <w:spacing w:before="0" w:beforeAutospacing="0" w:after="240" w:afterAutospacing="0"/>
        <w:textAlignment w:val="baseline"/>
        <w:rPr>
          <w:color w:val="000000"/>
        </w:rPr>
      </w:pPr>
      <w:r w:rsidRPr="00D34BBE">
        <w:rPr>
          <w:color w:val="000000"/>
        </w:rPr>
        <w:t>o</w:t>
      </w:r>
      <w:r w:rsidRPr="00D34BBE">
        <w:rPr>
          <w:color w:val="000000"/>
        </w:rPr>
        <w:tab/>
        <w:t xml:space="preserve">Change in first block under Importation Information from (Use a separate ATF Form 6A (5330.3C) to describe articles imported under each approved ATF Form 6 (5330.3A) permit.  Also, use a separate form for each shipment under the same permit.) to An ATF Form 6A (5330.3C) may contain only the description of articles imported under one Form 6 permit. A separate ATF Form 6A must be submitted for each shipment, even if the permit number remains the same. All information provided must match the information on the approved permit exactly. </w:t>
      </w:r>
    </w:p>
    <w:p w:rsidR="00D34BBE" w:rsidRPr="00D34BBE" w:rsidP="002A2742" w14:paraId="5C121A83" w14:textId="30B4A147">
      <w:pPr>
        <w:pStyle w:val="paragraph"/>
        <w:spacing w:before="0" w:beforeAutospacing="0" w:after="240" w:afterAutospacing="0"/>
        <w:textAlignment w:val="baseline"/>
        <w:rPr>
          <w:color w:val="000000"/>
        </w:rPr>
      </w:pPr>
      <w:r w:rsidRPr="00D34BBE">
        <w:rPr>
          <w:color w:val="000000"/>
        </w:rPr>
        <w:t>o</w:t>
      </w:r>
      <w:r w:rsidRPr="00D34BBE">
        <w:rPr>
          <w:color w:val="000000"/>
        </w:rPr>
        <w:tab/>
        <w:t>Block 1   Change Name and Address of Importer (Required) to Name and Address of Importer and Email Address of Importer (Required)</w:t>
      </w:r>
    </w:p>
    <w:p w:rsidR="00D34BBE" w:rsidRPr="00D34BBE" w:rsidP="002A2742" w14:paraId="556F0850" w14:textId="082D356F">
      <w:pPr>
        <w:pStyle w:val="paragraph"/>
        <w:spacing w:before="0" w:beforeAutospacing="0" w:after="240" w:afterAutospacing="0"/>
        <w:textAlignment w:val="baseline"/>
        <w:rPr>
          <w:color w:val="000000"/>
        </w:rPr>
      </w:pPr>
      <w:r w:rsidRPr="00D34BBE">
        <w:rPr>
          <w:color w:val="000000"/>
        </w:rPr>
        <w:t>o</w:t>
      </w:r>
      <w:r w:rsidRPr="00D34BBE">
        <w:rPr>
          <w:color w:val="000000"/>
        </w:rPr>
        <w:tab/>
        <w:t xml:space="preserve">Block 5   Change from Country Where Manufactured (Required) to Country of Exportation (Required) </w:t>
      </w:r>
    </w:p>
    <w:p w:rsidR="00D34BBE" w:rsidRPr="00D34BBE" w:rsidP="002A2742" w14:paraId="2A44BC1D" w14:textId="2C46647A">
      <w:pPr>
        <w:pStyle w:val="paragraph"/>
        <w:spacing w:before="0" w:beforeAutospacing="0" w:after="240" w:afterAutospacing="0"/>
        <w:textAlignment w:val="baseline"/>
        <w:rPr>
          <w:color w:val="000000"/>
        </w:rPr>
      </w:pPr>
      <w:r w:rsidRPr="00D34BBE">
        <w:rPr>
          <w:color w:val="000000"/>
        </w:rPr>
        <w:t>o</w:t>
      </w:r>
      <w:r w:rsidRPr="00D34BBE">
        <w:rPr>
          <w:color w:val="000000"/>
        </w:rPr>
        <w:tab/>
        <w:t>Block 6  in the parenthesis with Required add ONLY ONE permit number per 6A)</w:t>
      </w:r>
    </w:p>
    <w:p w:rsidR="00D34BBE" w:rsidRPr="00D34BBE" w:rsidP="002A2742" w14:paraId="2F8A260F" w14:textId="179283E1">
      <w:pPr>
        <w:pStyle w:val="paragraph"/>
        <w:spacing w:before="0" w:beforeAutospacing="0" w:after="240" w:afterAutospacing="0"/>
        <w:textAlignment w:val="baseline"/>
        <w:rPr>
          <w:color w:val="000000"/>
        </w:rPr>
      </w:pPr>
      <w:r w:rsidRPr="00D34BBE">
        <w:rPr>
          <w:color w:val="000000"/>
        </w:rPr>
        <w:t>o</w:t>
      </w:r>
      <w:r w:rsidRPr="00D34BBE">
        <w:rPr>
          <w:color w:val="000000"/>
        </w:rPr>
        <w:tab/>
        <w:t>Block 7  after Telephone No. add (Required)</w:t>
      </w:r>
    </w:p>
    <w:p w:rsidR="00D34BBE" w:rsidRPr="00D34BBE" w:rsidP="002A2742" w14:paraId="5637D16E" w14:textId="735983D7">
      <w:pPr>
        <w:pStyle w:val="paragraph"/>
        <w:spacing w:before="0" w:beforeAutospacing="0" w:after="240" w:afterAutospacing="0"/>
        <w:textAlignment w:val="baseline"/>
        <w:rPr>
          <w:color w:val="000000"/>
        </w:rPr>
      </w:pPr>
      <w:r w:rsidRPr="00D34BBE">
        <w:rPr>
          <w:color w:val="000000"/>
        </w:rPr>
        <w:t>o</w:t>
      </w:r>
      <w:r w:rsidRPr="00D34BBE">
        <w:rPr>
          <w:color w:val="000000"/>
        </w:rPr>
        <w:tab/>
        <w:t>Block 9 Change from Shipment of Firearms, Ammunition, and/or Defense Articles (Form firearms enter (SG)-Shotgun; (RI)-Rifle: (RE)-Revolver; (DD)-Destructive Device; (MG)-</w:t>
      </w:r>
      <w:r w:rsidRPr="00D34BBE">
        <w:rPr>
          <w:color w:val="000000"/>
        </w:rPr>
        <w:t>Machinegun: (SI)-Silencer, Frame or Receiver.  For ammunition, circle the appropriate type:  Ball, Incendiary, Wadcutter, Shot, (AP)-Armor Piercing, or Tracer to Description of Firearms, Ammunition, and/or Defense Articles (For example, for type of firearm enter (SG)-Shotgun; (RI)-Rifle; (RE)-Revolver, etc. For ammunition, circle the appropriate type: Ball, Incendiary, Wadcutter, Shot, AP or Tracer) (Information provided MUST exactly match information provided on the Form 6 Part I or Form 6 Part II)</w:t>
      </w:r>
    </w:p>
    <w:p w:rsidR="00D34BBE" w:rsidRPr="00D34BBE" w:rsidP="002A2742" w14:paraId="246F3135" w14:textId="2C422A91">
      <w:pPr>
        <w:pStyle w:val="paragraph"/>
        <w:spacing w:before="0" w:beforeAutospacing="0" w:after="240" w:afterAutospacing="0"/>
        <w:textAlignment w:val="baseline"/>
        <w:rPr>
          <w:color w:val="000000"/>
        </w:rPr>
      </w:pPr>
      <w:r w:rsidRPr="00D34BBE">
        <w:rPr>
          <w:color w:val="000000"/>
        </w:rPr>
        <w:t>o</w:t>
      </w:r>
      <w:r w:rsidRPr="00D34BBE">
        <w:rPr>
          <w:color w:val="000000"/>
        </w:rPr>
        <w:tab/>
        <w:t>Block 9a.  Change Name of Manufacturer to Name and Country of Manufacturer</w:t>
      </w:r>
    </w:p>
    <w:p w:rsidR="00D34BBE" w:rsidRPr="00D34BBE" w:rsidP="002A2742" w14:paraId="28A05ACB" w14:textId="238736D4">
      <w:pPr>
        <w:pStyle w:val="paragraph"/>
        <w:spacing w:before="0" w:beforeAutospacing="0" w:after="240" w:afterAutospacing="0"/>
        <w:textAlignment w:val="baseline"/>
        <w:rPr>
          <w:color w:val="000000"/>
        </w:rPr>
      </w:pPr>
      <w:r w:rsidRPr="00D34BBE">
        <w:rPr>
          <w:color w:val="000000"/>
        </w:rPr>
        <w:t>o</w:t>
      </w:r>
      <w:r w:rsidRPr="00D34BBE">
        <w:rPr>
          <w:color w:val="000000"/>
        </w:rPr>
        <w:tab/>
        <w:t>Block 9 Add Check Boxes Add Text in the Firearms, Defense Articles, and Ammunition sections to say See Attachment and under Ammunition section (Blocks f. and g.), merge two grayed out cells, uncolor them and add text: Core Material (Lead, Steel, etc.)</w:t>
      </w:r>
    </w:p>
    <w:p w:rsidR="00D34BBE" w:rsidRPr="00D34BBE" w:rsidP="00964DC1" w14:paraId="53CB4EAA" w14:textId="26A11C8E">
      <w:pPr>
        <w:pStyle w:val="paragraph"/>
        <w:spacing w:before="240" w:beforeAutospacing="0" w:after="240" w:afterAutospacing="0"/>
        <w:textAlignment w:val="baseline"/>
        <w:rPr>
          <w:color w:val="000000"/>
        </w:rPr>
      </w:pPr>
      <w:r w:rsidRPr="00D34BBE">
        <w:rPr>
          <w:color w:val="000000"/>
        </w:rPr>
        <w:t>•</w:t>
      </w:r>
      <w:r w:rsidRPr="00D34BBE">
        <w:rPr>
          <w:color w:val="000000"/>
        </w:rPr>
        <w:tab/>
        <w:t xml:space="preserve">Section III Verification of Importation (completed by licensed and/or registered importers only):  </w:t>
      </w:r>
    </w:p>
    <w:p w:rsidR="00D34BBE" w:rsidRPr="00D34BBE" w:rsidP="00964DC1" w14:paraId="3EDA15C5" w14:textId="52253452">
      <w:pPr>
        <w:pStyle w:val="paragraph"/>
        <w:spacing w:before="0" w:beforeAutospacing="0" w:after="240" w:afterAutospacing="0"/>
        <w:textAlignment w:val="baseline"/>
        <w:rPr>
          <w:color w:val="000000"/>
        </w:rPr>
      </w:pPr>
      <w:r w:rsidRPr="00D34BBE">
        <w:rPr>
          <w:color w:val="000000"/>
        </w:rPr>
        <w:t>o</w:t>
      </w:r>
      <w:r w:rsidRPr="00D34BBE">
        <w:rPr>
          <w:color w:val="000000"/>
        </w:rPr>
        <w:tab/>
        <w:t>Remove underline.</w:t>
      </w:r>
    </w:p>
    <w:p w:rsidR="00D34BBE" w:rsidRPr="00D34BBE" w:rsidP="00964DC1" w14:paraId="49172A4C" w14:textId="34FC0297">
      <w:pPr>
        <w:pStyle w:val="paragraph"/>
        <w:spacing w:before="0" w:beforeAutospacing="0" w:after="240" w:afterAutospacing="0"/>
        <w:textAlignment w:val="baseline"/>
        <w:rPr>
          <w:color w:val="000000"/>
        </w:rPr>
      </w:pPr>
      <w:r w:rsidRPr="00D34BBE">
        <w:rPr>
          <w:color w:val="000000"/>
        </w:rPr>
        <w:t>•</w:t>
      </w:r>
      <w:r w:rsidRPr="00D34BBE">
        <w:rPr>
          <w:color w:val="000000"/>
        </w:rPr>
        <w:tab/>
        <w:t>Instructions for Federally Licensed and/or Registered Importers</w:t>
      </w:r>
    </w:p>
    <w:p w:rsidR="00D34BBE" w:rsidRPr="00D34BBE" w:rsidP="00964DC1" w14:paraId="6131992B" w14:textId="20CE6314">
      <w:pPr>
        <w:pStyle w:val="paragraph"/>
        <w:spacing w:before="0" w:beforeAutospacing="0" w:after="240" w:afterAutospacing="0"/>
        <w:textAlignment w:val="baseline"/>
        <w:rPr>
          <w:color w:val="000000"/>
        </w:rPr>
      </w:pPr>
      <w:r w:rsidRPr="00D34BBE">
        <w:rPr>
          <w:color w:val="000000"/>
        </w:rPr>
        <w:t>o</w:t>
      </w:r>
      <w:r w:rsidRPr="00D34BBE">
        <w:rPr>
          <w:color w:val="000000"/>
        </w:rPr>
        <w:tab/>
        <w:t>2. Section I – Change his to the</w:t>
      </w:r>
    </w:p>
    <w:p w:rsidR="00D34BBE" w:rsidRPr="00D34BBE" w:rsidP="00964DC1" w14:paraId="66E8F558" w14:textId="2A688847">
      <w:pPr>
        <w:pStyle w:val="paragraph"/>
        <w:spacing w:before="0" w:beforeAutospacing="0" w:after="240" w:afterAutospacing="0"/>
        <w:textAlignment w:val="baseline"/>
        <w:rPr>
          <w:color w:val="000000"/>
        </w:rPr>
      </w:pPr>
      <w:r w:rsidRPr="00D34BBE">
        <w:rPr>
          <w:color w:val="000000"/>
        </w:rPr>
        <w:t>o</w:t>
      </w:r>
      <w:r w:rsidRPr="00D34BBE">
        <w:rPr>
          <w:color w:val="000000"/>
        </w:rPr>
        <w:tab/>
        <w:t>2. Section I – change submit Form 6 to submit the ATF Form 6 Part I</w:t>
      </w:r>
    </w:p>
    <w:p w:rsidR="00D34BBE" w:rsidRPr="00D34BBE" w:rsidP="00964DC1" w14:paraId="43510647" w14:textId="160AD5BA">
      <w:pPr>
        <w:pStyle w:val="paragraph"/>
        <w:spacing w:before="0" w:beforeAutospacing="0" w:after="240" w:afterAutospacing="0"/>
        <w:textAlignment w:val="baseline"/>
        <w:rPr>
          <w:color w:val="000000"/>
        </w:rPr>
      </w:pPr>
      <w:r w:rsidRPr="00D34BBE">
        <w:rPr>
          <w:color w:val="000000"/>
        </w:rPr>
        <w:t>o</w:t>
      </w:r>
      <w:r w:rsidRPr="00D34BBE">
        <w:rPr>
          <w:color w:val="000000"/>
        </w:rPr>
        <w:tab/>
        <w:t>2. Section I – Change Ace to ACE</w:t>
      </w:r>
    </w:p>
    <w:p w:rsidR="00D34BBE" w:rsidRPr="00D34BBE" w:rsidP="00964DC1" w14:paraId="16AE875C" w14:textId="65A9829A">
      <w:pPr>
        <w:pStyle w:val="paragraph"/>
        <w:spacing w:before="0" w:beforeAutospacing="0" w:after="240" w:afterAutospacing="0"/>
        <w:textAlignment w:val="baseline"/>
        <w:rPr>
          <w:color w:val="000000"/>
        </w:rPr>
      </w:pPr>
      <w:r w:rsidRPr="00D34BBE">
        <w:rPr>
          <w:color w:val="000000"/>
        </w:rPr>
        <w:t>o</w:t>
      </w:r>
      <w:r w:rsidRPr="00D34BBE">
        <w:rPr>
          <w:color w:val="000000"/>
        </w:rPr>
        <w:tab/>
        <w:t>2. Section I - at the end of first paragraph add:  Items described on the Form 6A must exactly match items on the Form 6 Part I permit.</w:t>
      </w:r>
    </w:p>
    <w:p w:rsidR="00E3117F" w:rsidRPr="00E3117F" w:rsidP="00E3117F" w14:paraId="553D4A7E" w14:textId="77777777">
      <w:pPr>
        <w:pStyle w:val="paragraph"/>
        <w:spacing w:before="0" w:beforeAutospacing="0" w:after="240" w:afterAutospacing="0"/>
        <w:textAlignment w:val="baseline"/>
        <w:rPr>
          <w:color w:val="000000"/>
        </w:rPr>
      </w:pPr>
      <w:r w:rsidRPr="00D34BBE">
        <w:rPr>
          <w:color w:val="000000"/>
        </w:rPr>
        <w:t>o</w:t>
      </w:r>
      <w:r w:rsidRPr="00D34BBE">
        <w:rPr>
          <w:color w:val="000000"/>
        </w:rPr>
        <w:tab/>
        <w:t xml:space="preserve">4. Section III – at the end of the first paragraph add: </w:t>
      </w:r>
      <w:r w:rsidRPr="00E3117F">
        <w:rPr>
          <w:color w:val="000000"/>
        </w:rPr>
        <w:t>: If firearm serial numbers were not known or reported at the time of importation, the importer must report those serial numbers in an attachment to Block 18. Any discrepancies in the shipment must be listed in this section.</w:t>
      </w:r>
    </w:p>
    <w:p w:rsidR="00E3117F" w:rsidRPr="00E3117F" w:rsidP="00E3117F" w14:paraId="38395B39" w14:textId="5406EA1E">
      <w:pPr>
        <w:pStyle w:val="paragraph"/>
        <w:spacing w:before="0" w:beforeAutospacing="0" w:after="240" w:afterAutospacing="0"/>
        <w:textAlignment w:val="baseline"/>
        <w:rPr>
          <w:rFonts w:eastAsia="Calibri"/>
        </w:rPr>
      </w:pPr>
      <w:r w:rsidRPr="00E3117F">
        <w:rPr>
          <w:color w:val="000000"/>
        </w:rPr>
        <w:t>o</w:t>
      </w:r>
      <w:r w:rsidRPr="00E3117F">
        <w:rPr>
          <w:color w:val="000000"/>
        </w:rPr>
        <w:tab/>
      </w:r>
      <w:r w:rsidRPr="00E3117F">
        <w:rPr>
          <w:rFonts w:eastAsia="Calibri"/>
        </w:rPr>
        <w:t>4. Section III – Second Paragraph: remove If firearms serial numbers were not known or reported at the time of import, the importer must report those serial numbers in an attachment to Block 18.</w:t>
      </w:r>
    </w:p>
    <w:p w:rsidR="00D34BBE" w:rsidRPr="00D34BBE" w:rsidP="00964DC1" w14:paraId="63FD3E5F" w14:textId="1EA5A711">
      <w:pPr>
        <w:pStyle w:val="paragraph"/>
        <w:spacing w:before="0" w:beforeAutospacing="0" w:after="240" w:afterAutospacing="0"/>
        <w:textAlignment w:val="baseline"/>
        <w:rPr>
          <w:color w:val="000000"/>
        </w:rPr>
      </w:pPr>
      <w:r w:rsidRPr="00E3117F">
        <w:rPr>
          <w:color w:val="000000"/>
        </w:rPr>
        <w:t>o</w:t>
      </w:r>
      <w:r w:rsidRPr="00D34BBE">
        <w:rPr>
          <w:color w:val="000000"/>
        </w:rPr>
        <w:tab/>
        <w:t>4. Section III – change He to They and his to their</w:t>
      </w:r>
    </w:p>
    <w:p w:rsidR="00D34BBE" w:rsidRPr="00D34BBE" w:rsidP="00964DC1" w14:paraId="369F9A09" w14:textId="67E86F0D">
      <w:pPr>
        <w:pStyle w:val="paragraph"/>
        <w:spacing w:before="0" w:beforeAutospacing="0" w:after="240" w:afterAutospacing="0"/>
        <w:textAlignment w:val="baseline"/>
        <w:rPr>
          <w:color w:val="000000"/>
        </w:rPr>
      </w:pPr>
      <w:r w:rsidRPr="00D34BBE">
        <w:rPr>
          <w:color w:val="000000"/>
        </w:rPr>
        <w:t>•</w:t>
      </w:r>
      <w:r w:rsidRPr="00D34BBE">
        <w:rPr>
          <w:color w:val="000000"/>
        </w:rPr>
        <w:tab/>
        <w:t>Instructions for Federal Firearms Licensees other than Importers</w:t>
      </w:r>
    </w:p>
    <w:p w:rsidR="00D34BBE" w:rsidRPr="00D34BBE" w:rsidP="00964DC1" w14:paraId="37BC7C6D" w14:textId="092BCC7B">
      <w:pPr>
        <w:pStyle w:val="paragraph"/>
        <w:spacing w:before="0" w:beforeAutospacing="0" w:after="240" w:afterAutospacing="0"/>
        <w:textAlignment w:val="baseline"/>
        <w:rPr>
          <w:color w:val="000000"/>
        </w:rPr>
      </w:pPr>
      <w:r w:rsidRPr="00D34BBE">
        <w:rPr>
          <w:color w:val="000000"/>
        </w:rPr>
        <w:t>o</w:t>
      </w:r>
      <w:r w:rsidRPr="00D34BBE">
        <w:rPr>
          <w:color w:val="000000"/>
        </w:rPr>
        <w:tab/>
        <w:t>2. Section I – change submit Form 6 to submit the ATF Form 6 Part I</w:t>
      </w:r>
    </w:p>
    <w:p w:rsidR="00D34BBE" w:rsidRPr="00D34BBE" w:rsidP="00964DC1" w14:paraId="6FF1A590" w14:textId="76661CCD">
      <w:pPr>
        <w:pStyle w:val="paragraph"/>
        <w:spacing w:before="0" w:beforeAutospacing="0" w:after="240" w:afterAutospacing="0"/>
        <w:textAlignment w:val="baseline"/>
        <w:rPr>
          <w:color w:val="000000"/>
        </w:rPr>
      </w:pPr>
      <w:r w:rsidRPr="00D34BBE">
        <w:rPr>
          <w:color w:val="000000"/>
        </w:rPr>
        <w:t>o</w:t>
      </w:r>
      <w:r w:rsidRPr="00D34BBE">
        <w:rPr>
          <w:color w:val="000000"/>
        </w:rPr>
        <w:tab/>
        <w:t>2. Section I - at the end of first paragraph add:  Items described on the Form 6A must exactly match items on the Form 6 Part I permit.</w:t>
      </w:r>
    </w:p>
    <w:p w:rsidR="00D34BBE" w:rsidRPr="00D34BBE" w:rsidP="00964DC1" w14:paraId="7C59CB8C" w14:textId="589C5CBE">
      <w:pPr>
        <w:pStyle w:val="paragraph"/>
        <w:spacing w:before="0" w:beforeAutospacing="0" w:after="240" w:afterAutospacing="0"/>
        <w:textAlignment w:val="baseline"/>
        <w:rPr>
          <w:color w:val="000000"/>
        </w:rPr>
      </w:pPr>
      <w:r w:rsidRPr="00D34BBE">
        <w:rPr>
          <w:color w:val="000000"/>
        </w:rPr>
        <w:t>•</w:t>
      </w:r>
      <w:r w:rsidRPr="00D34BBE">
        <w:rPr>
          <w:color w:val="000000"/>
        </w:rPr>
        <w:tab/>
        <w:t>Instructions for Members of the U.S. Armed Forces</w:t>
      </w:r>
    </w:p>
    <w:p w:rsidR="00D34BBE" w:rsidRPr="00D34BBE" w:rsidP="00964DC1" w14:paraId="60E6CD91" w14:textId="58342353">
      <w:pPr>
        <w:pStyle w:val="paragraph"/>
        <w:spacing w:before="0" w:beforeAutospacing="0" w:after="240" w:afterAutospacing="0"/>
        <w:textAlignment w:val="baseline"/>
        <w:rPr>
          <w:color w:val="000000"/>
        </w:rPr>
      </w:pPr>
      <w:r w:rsidRPr="00D34BBE">
        <w:rPr>
          <w:color w:val="000000"/>
        </w:rPr>
        <w:t>o</w:t>
      </w:r>
      <w:r w:rsidRPr="00D34BBE">
        <w:rPr>
          <w:color w:val="000000"/>
        </w:rPr>
        <w:tab/>
        <w:t>2. Section I – change his to the</w:t>
      </w:r>
    </w:p>
    <w:p w:rsidR="00D34BBE" w:rsidRPr="00D34BBE" w:rsidP="00964DC1" w14:paraId="2DFFEDD0" w14:textId="1D58B58F">
      <w:pPr>
        <w:pStyle w:val="paragraph"/>
        <w:spacing w:before="0" w:beforeAutospacing="0" w:after="240" w:afterAutospacing="0"/>
        <w:textAlignment w:val="baseline"/>
        <w:rPr>
          <w:color w:val="000000"/>
        </w:rPr>
      </w:pPr>
      <w:r w:rsidRPr="00D34BBE">
        <w:rPr>
          <w:color w:val="000000"/>
        </w:rPr>
        <w:t>o</w:t>
      </w:r>
      <w:r w:rsidRPr="00D34BBE">
        <w:rPr>
          <w:color w:val="000000"/>
        </w:rPr>
        <w:tab/>
        <w:t>2. Section I - at the end of first paragraph add:  Items described on the Form 6A must exactly match items on the Form 6 Part II permit.</w:t>
      </w:r>
    </w:p>
    <w:p w:rsidR="00D34BBE" w:rsidRPr="00D34BBE" w:rsidP="00964DC1" w14:paraId="62D6C8B6" w14:textId="0F3509D3">
      <w:pPr>
        <w:pStyle w:val="paragraph"/>
        <w:spacing w:before="0" w:beforeAutospacing="0" w:after="240" w:afterAutospacing="0"/>
        <w:textAlignment w:val="baseline"/>
        <w:rPr>
          <w:color w:val="000000"/>
        </w:rPr>
      </w:pPr>
      <w:r w:rsidRPr="00D34BBE">
        <w:rPr>
          <w:color w:val="000000"/>
        </w:rPr>
        <w:t>•</w:t>
      </w:r>
      <w:r w:rsidRPr="00D34BBE">
        <w:rPr>
          <w:color w:val="000000"/>
        </w:rPr>
        <w:tab/>
        <w:t>Instructions for Persons Not Licensed by or Registered with ATF</w:t>
      </w:r>
    </w:p>
    <w:p w:rsidR="00D34BBE" w:rsidRPr="00D34BBE" w:rsidP="00964DC1" w14:paraId="56F0D6E4" w14:textId="717CDFC4">
      <w:pPr>
        <w:pStyle w:val="paragraph"/>
        <w:spacing w:before="0" w:beforeAutospacing="0" w:after="240" w:afterAutospacing="0"/>
        <w:textAlignment w:val="baseline"/>
        <w:rPr>
          <w:color w:val="000000"/>
        </w:rPr>
      </w:pPr>
      <w:r w:rsidRPr="00D34BBE">
        <w:rPr>
          <w:color w:val="000000"/>
        </w:rPr>
        <w:t>o</w:t>
      </w:r>
      <w:r w:rsidRPr="00D34BBE">
        <w:rPr>
          <w:color w:val="000000"/>
        </w:rPr>
        <w:tab/>
        <w:t>1. Section I – change his to the</w:t>
      </w:r>
    </w:p>
    <w:p w:rsidR="00D34BBE" w:rsidRPr="00D34BBE" w:rsidP="00964DC1" w14:paraId="33C8CAB0" w14:textId="6386EFA9">
      <w:pPr>
        <w:pStyle w:val="paragraph"/>
        <w:spacing w:before="0" w:beforeAutospacing="0" w:after="240" w:afterAutospacing="0"/>
        <w:textAlignment w:val="baseline"/>
        <w:rPr>
          <w:color w:val="000000"/>
        </w:rPr>
      </w:pPr>
      <w:r w:rsidRPr="00D34BBE">
        <w:rPr>
          <w:color w:val="000000"/>
        </w:rPr>
        <w:t>o</w:t>
      </w:r>
      <w:r w:rsidRPr="00D34BBE">
        <w:rPr>
          <w:color w:val="000000"/>
        </w:rPr>
        <w:tab/>
        <w:t>1. Section I - at the end of first paragraph add:  Items described on the Form 6A must exactly match items on the Form 6 Part I permit.</w:t>
      </w:r>
    </w:p>
    <w:p w:rsidR="00D34BBE" w:rsidRPr="00D34BBE" w:rsidP="00964DC1" w14:paraId="7EBAA663" w14:textId="349D94F7">
      <w:pPr>
        <w:pStyle w:val="paragraph"/>
        <w:spacing w:before="0" w:beforeAutospacing="0" w:after="240" w:afterAutospacing="0"/>
        <w:textAlignment w:val="baseline"/>
        <w:rPr>
          <w:color w:val="000000"/>
        </w:rPr>
      </w:pPr>
      <w:r w:rsidRPr="00D34BBE">
        <w:rPr>
          <w:color w:val="000000"/>
        </w:rPr>
        <w:t>•</w:t>
      </w:r>
      <w:r w:rsidRPr="00D34BBE">
        <w:rPr>
          <w:color w:val="000000"/>
        </w:rPr>
        <w:tab/>
        <w:t>Footers</w:t>
      </w:r>
    </w:p>
    <w:p w:rsidR="00D34BBE" w:rsidRPr="00D34BBE" w:rsidP="00964DC1" w14:paraId="3AE1987A" w14:textId="1C688732">
      <w:pPr>
        <w:pStyle w:val="paragraph"/>
        <w:spacing w:before="0" w:beforeAutospacing="0" w:after="240" w:afterAutospacing="0"/>
        <w:textAlignment w:val="baseline"/>
        <w:rPr>
          <w:color w:val="000000"/>
        </w:rPr>
      </w:pPr>
      <w:r w:rsidRPr="00D34BBE">
        <w:rPr>
          <w:color w:val="000000"/>
        </w:rPr>
        <w:t>o</w:t>
      </w:r>
      <w:r w:rsidRPr="00D34BBE">
        <w:rPr>
          <w:color w:val="000000"/>
        </w:rPr>
        <w:tab/>
        <w:t>Add on left side footer: Previous Editions Obsolete</w:t>
      </w:r>
    </w:p>
    <w:p w:rsidR="00D34BBE" w:rsidRPr="00D34BBE" w:rsidP="00964DC1" w14:paraId="450025FB" w14:textId="430265E1">
      <w:pPr>
        <w:pStyle w:val="paragraph"/>
        <w:spacing w:before="0" w:beforeAutospacing="0" w:after="240" w:afterAutospacing="0"/>
        <w:textAlignment w:val="baseline"/>
        <w:rPr>
          <w:color w:val="000000"/>
        </w:rPr>
      </w:pPr>
      <w:r w:rsidRPr="00D34BBE">
        <w:rPr>
          <w:color w:val="000000"/>
        </w:rPr>
        <w:t>•</w:t>
      </w:r>
      <w:r w:rsidRPr="00D34BBE">
        <w:rPr>
          <w:color w:val="000000"/>
        </w:rPr>
        <w:tab/>
        <w:t xml:space="preserve">Attachment Pages </w:t>
      </w:r>
    </w:p>
    <w:p w:rsidR="00CE5780" w:rsidRPr="00964DC1" w:rsidP="00964DC1" w14:paraId="30F834B5" w14:textId="4E2D13EF">
      <w:pPr>
        <w:pStyle w:val="paragraph"/>
        <w:numPr>
          <w:ilvl w:val="0"/>
          <w:numId w:val="16"/>
        </w:numPr>
        <w:spacing w:before="0" w:beforeAutospacing="0" w:after="240" w:afterAutospacing="0"/>
        <w:textAlignment w:val="baseline"/>
        <w:rPr>
          <w:color w:val="000000"/>
        </w:rPr>
      </w:pPr>
      <w:r w:rsidRPr="00D34BBE">
        <w:rPr>
          <w:color w:val="000000"/>
        </w:rPr>
        <w:t>Add attachment pages for Firearms, Defense Articles, and Ammunition</w:t>
      </w:r>
    </w:p>
    <w:p w:rsidR="00C25E66" w:rsidP="00964DC1" w14:paraId="5EFBC942" w14:textId="79958574">
      <w:pPr>
        <w:widowControl/>
        <w:spacing w:after="240"/>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802A30" w:rsidRPr="00964DC1" w:rsidP="00964DC1" w14:paraId="34E41BA0" w14:textId="30CB4276">
      <w:pPr>
        <w:widowControl/>
        <w:spacing w:after="240"/>
        <w:rPr>
          <w:rFonts w:ascii="Times New Roman" w:hAnsi="Times New Roman"/>
        </w:rPr>
      </w:pPr>
      <w:r w:rsidRPr="00CE5780">
        <w:rPr>
          <w:rFonts w:ascii="Times New Roman" w:hAnsi="Times New Roman"/>
        </w:rPr>
        <w:t>The data provided by this information collection request are used by the Bureau to determine if articles imported meet the statutory and regulatory criteria for importation and if the articles shown on the permit application have actually been imported.  The Release and Receipt of Imported Firearms, Ammunition and Defense Articles ATF F 6A (5330.3C) serves as the certification of release and receipt of the articles described on the permit application.  The form is used by federally licensed and/or registered importers, Federal firearms licensees other than importers, members of the U.S. Armed Forces and persons not licensed by or registered with ATF.</w:t>
      </w:r>
    </w:p>
    <w:p w:rsidR="00690F56" w:rsidRPr="00964DC1" w:rsidP="00964DC1" w14:paraId="04006A6E" w14:textId="37A1A72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RPr="006A4637" w:rsidP="0032384D" w14:paraId="1EFFB376" w14:textId="19EC21E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rPr>
      </w:pPr>
      <w:r w:rsidRPr="00CE5780">
        <w:rPr>
          <w:rFonts w:ascii="Times New Roman" w:hAnsi="Times New Roman"/>
        </w:rPr>
        <w:t xml:space="preserve">ATF F 6A (5330.3C) is available on the ATF website www.atf.gov and is fillable.  The form may be printed and mailed to ATF at </w:t>
      </w:r>
      <w:r>
        <w:rPr>
          <w:rFonts w:ascii="Times New Roman" w:hAnsi="Times New Roman"/>
        </w:rPr>
        <w:t>244 Needy Road, Martinsburg, WV 25405</w:t>
      </w:r>
      <w:r w:rsidRPr="00CE5780">
        <w:rPr>
          <w:rFonts w:ascii="Times New Roman" w:hAnsi="Times New Roman"/>
        </w:rPr>
        <w:t xml:space="preserve">.  The form may also be completed, signed, and submitted electronically to ATF via the Eforms platform: (www.atfonline.gov).  The respondent must present the information collected via this form to U.S. Customs and Border Protection (CBP).  If CBP is satisfied that the Director of ATF has authorized the importation, CBP will release the shipment.  The importer’s copy that is manually generated must be mailed back to ATF.  ATF regulations require that the Form 6A be filed in duplicate. This provides ATF with notification that the defense articles have entered in the US.  </w:t>
      </w:r>
      <w:r w:rsidRPr="00CE5780">
        <w:rPr>
          <w:rFonts w:ascii="Times New Roman" w:hAnsi="Times New Roman"/>
        </w:rPr>
        <w:t xml:space="preserve">Within 15 days of release from CBP custody, the licensed and/or registered importer is required to examine the shipment, complete Section III as appropriate, attach any serial number as required and forward the form to ATF.  CBP does not necessarily examine the actual shipment – their notification is merely that the articles have come into the US.  The licensed/registered importer is required to examine the shipment, notify ATF of any discrepancies (so our records will note it), and report the serial numbers as applicable.    </w:t>
      </w:r>
    </w:p>
    <w:p w:rsidR="0032384D" w:rsidP="0032384D" w14:paraId="645F1EF8" w14:textId="38C196C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32384D" w:rsidRPr="00A973AA" w:rsidP="0032384D" w14:paraId="7DFCA1FB" w14:textId="5FDF0CB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rPr>
      </w:pPr>
      <w:r w:rsidRPr="00CE5780">
        <w:rPr>
          <w:rFonts w:ascii="Times New Roman" w:hAnsi="Times New Roman"/>
        </w:rPr>
        <w:t>ATF uses a subject classification system to identify duplication and to ensure that any similar information already available cannot be used or modified for use for the purpose of this information collection.</w:t>
      </w:r>
    </w:p>
    <w:p w:rsidR="00690F56" w:rsidRPr="0032384D" w:rsidP="0032384D" w14:paraId="034A882C" w14:textId="3AAB338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CE5780" w:rsidRPr="00A973AA" w:rsidP="0032384D" w14:paraId="3B65BC2D" w14:textId="52BB79E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rPr>
      </w:pPr>
      <w:r w:rsidRPr="00CE5780">
        <w:rPr>
          <w:rFonts w:ascii="Times New Roman" w:hAnsi="Times New Roman"/>
        </w:rPr>
        <w:t>This information collection has no impact on small businesses.</w:t>
      </w:r>
    </w:p>
    <w:p w:rsidR="00CE5780" w:rsidRPr="0032384D" w:rsidP="0032384D" w14:paraId="70650DC3" w14:textId="6436D04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RPr="00A47DA7" w:rsidP="0032384D" w14:paraId="7C4C2F67" w14:textId="136E6BF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rPr>
      </w:pPr>
      <w:r w:rsidRPr="00CE5780">
        <w:rPr>
          <w:rFonts w:ascii="Times New Roman" w:hAnsi="Times New Roman"/>
        </w:rPr>
        <w:t>The consequences of discontinuing the requirement for ATF F 6A are that licensed importers, dealers, and military personnel would be unable to import firearms, ammunition, and defense articles as allowed by statute.  Shipments would be detained by CBP resulting in unnecessary expense to the industry.  Less frequent collection of this information would substantially increase the potential possibility for the illegal introduction into domestic commerce of firearms, ammunition, and defense articles.  This would pose a threat to public safety by exacerbating crime and violence and undermining the declared law enforcement, foreign policy, and revenue purposes of 18 U.S.C. 925(a), 22 U.S.C. 2778, and 26 U.S.C. 5844.</w:t>
      </w:r>
    </w:p>
    <w:p w:rsidR="00690F56" w:rsidRPr="00D53DEB" w:rsidP="0032384D" w14:paraId="144BC160" w14:textId="5702A5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32384D" w:rsidP="0032384D" w14:paraId="589F4DAA" w14:textId="010FCAAF">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b/>
          <w:bCs/>
        </w:rPr>
      </w:pPr>
      <w:r w:rsidRPr="00D53DEB">
        <w:rPr>
          <w:b/>
          <w:bCs/>
        </w:rPr>
        <w:t>r</w:t>
      </w:r>
      <w:r w:rsidRPr="00D53DEB">
        <w:rPr>
          <w:b/>
          <w:bCs/>
        </w:rPr>
        <w:t>equiring respondents to report information to the agency more often than quarterly;</w:t>
      </w:r>
    </w:p>
    <w:p w:rsidR="00690F56" w:rsidRPr="0032384D" w:rsidP="0032384D" w14:paraId="4C5CBA9B" w14:textId="3C2073A3">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b/>
          <w:bCs/>
        </w:rPr>
      </w:pPr>
      <w:r w:rsidRPr="00D53DEB">
        <w:rPr>
          <w:b/>
          <w:bCs/>
        </w:rPr>
        <w:t>r</w:t>
      </w:r>
      <w:r w:rsidRPr="00D53DEB">
        <w:rPr>
          <w:b/>
          <w:bCs/>
        </w:rPr>
        <w:t>equiring respondents to prepare a written response to a collection of information in fewer than 30 days after receipt of it;</w:t>
      </w:r>
    </w:p>
    <w:p w:rsidR="00690F56" w:rsidRPr="0032384D" w:rsidP="0032384D" w14:paraId="04E0B37A" w14:textId="0A3BF8BF">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b/>
          <w:bCs/>
        </w:rPr>
      </w:pPr>
      <w:r w:rsidRPr="00D53DEB">
        <w:rPr>
          <w:b/>
          <w:bCs/>
        </w:rPr>
        <w:t>r</w:t>
      </w:r>
      <w:r w:rsidRPr="00D53DEB">
        <w:rPr>
          <w:b/>
          <w:bCs/>
        </w:rPr>
        <w:t>equiring respondents to submit more than an original and two copies of any document;</w:t>
      </w:r>
    </w:p>
    <w:p w:rsidR="00690F56" w:rsidRPr="0032384D" w:rsidP="0032384D" w14:paraId="54A3D962" w14:textId="4378F601">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b/>
          <w:bCs/>
        </w:rPr>
      </w:pPr>
      <w:r w:rsidRPr="00D53DEB">
        <w:rPr>
          <w:b/>
          <w:bCs/>
        </w:rPr>
        <w:t>r</w:t>
      </w:r>
      <w:r w:rsidRPr="00D53DEB">
        <w:rPr>
          <w:b/>
          <w:bCs/>
        </w:rPr>
        <w:t>equiring respondents to retain records, other than health, medical, government contract, grant-in-aid, or tax records for more than three years;</w:t>
      </w:r>
    </w:p>
    <w:p w:rsidR="00690F56" w:rsidRPr="0032384D" w:rsidP="0032384D" w14:paraId="5F3D507A" w14:textId="3EB64B6B">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study;</w:t>
      </w:r>
    </w:p>
    <w:p w:rsidR="00690F56" w:rsidRPr="0032384D" w:rsidP="0032384D" w14:paraId="52933EAF" w14:textId="544360C9">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b/>
          <w:bCs/>
        </w:rPr>
      </w:pPr>
      <w:r w:rsidRPr="00D53DEB">
        <w:rPr>
          <w:b/>
          <w:bCs/>
        </w:rPr>
        <w:t>r</w:t>
      </w:r>
      <w:r w:rsidRPr="00D53DEB">
        <w:rPr>
          <w:b/>
          <w:bCs/>
        </w:rPr>
        <w:t>equiring the use of statistical data classification that has not been reviewed and approved by OMB;</w:t>
      </w:r>
    </w:p>
    <w:p w:rsidR="00690F56" w:rsidRPr="0032384D" w:rsidP="0032384D" w14:paraId="109C5387" w14:textId="19392579">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42220" w:rsidRPr="00D53DEB" w:rsidP="0032384D" w14:paraId="3DCDBA31" w14:textId="5483272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D53DEB">
        <w:rPr>
          <w:b/>
          <w:bCs/>
        </w:rPr>
        <w:t>r</w:t>
      </w:r>
      <w:r w:rsidRPr="00D53DEB" w:rsidR="00690F56">
        <w:rPr>
          <w:b/>
          <w:bCs/>
        </w:rPr>
        <w:t xml:space="preserve">equiring respondents to submit proprietary trade secret, or other confidential information unless the agency can </w:t>
      </w:r>
      <w:r w:rsidRPr="00D53DEB">
        <w:rPr>
          <w:b/>
          <w:bCs/>
        </w:rPr>
        <w:t>demonstrate</w:t>
      </w:r>
      <w:r w:rsidRPr="00D53DEB" w:rsidR="00690F56">
        <w:rPr>
          <w:b/>
          <w:bCs/>
        </w:rPr>
        <w:t xml:space="preserve"> that it has instituted procedures to protect the information's confidentially to the extent permitted by law.</w:t>
      </w:r>
    </w:p>
    <w:p w:rsidR="00CE5780" w:rsidRPr="00871CA6" w:rsidP="00EF6529" w14:paraId="20A23B67" w14:textId="333018C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rPr>
      </w:pPr>
      <w:r w:rsidRPr="00CE5780">
        <w:rPr>
          <w:rFonts w:ascii="Times New Roman" w:hAnsi="Times New Roman"/>
        </w:rPr>
        <w:t>This information collection is conducted in a manner consistent with the guidelines of 5 CFR 1320.6.</w:t>
      </w:r>
    </w:p>
    <w:p w:rsidR="00690F56" w:rsidRPr="00D53DEB" w:rsidP="00EF6529" w14:paraId="6D77C5FA" w14:textId="5FFACF4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EF6529" w14:paraId="51B060B8" w14:textId="226EF06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EF6529" w:rsidP="00EF6529" w14:paraId="7644A432" w14:textId="6E3B4E4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DA7DC9" w:rsidRPr="00EF6529" w:rsidP="00EF6529" w14:paraId="0C933CDF" w14:textId="4357F6C7">
      <w:pPr>
        <w:widowControl/>
        <w:autoSpaceDE/>
        <w:autoSpaceDN/>
        <w:adjustRightInd/>
        <w:spacing w:after="240"/>
        <w:rPr>
          <w:rFonts w:ascii="Times New Roman" w:hAnsi="Times New Roman"/>
        </w:rPr>
      </w:pPr>
      <w:r w:rsidRPr="00666277">
        <w:rPr>
          <w:rFonts w:ascii="Times New Roman" w:hAnsi="Times New Roman"/>
        </w:rPr>
        <w:t>No comments were received during the 60-day or the 30-day Federal Register notice period.</w:t>
      </w:r>
    </w:p>
    <w:p w:rsidR="00690F56" w:rsidRPr="00A47DA7" w:rsidP="00EF6529" w14:paraId="3EC59954" w14:textId="5AB7E5E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B64496" w:rsidRPr="00871CA6" w:rsidP="00EF6529" w14:paraId="3D0608DC" w14:textId="6925CFE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rPr>
      </w:pPr>
      <w:r w:rsidRPr="004328D9">
        <w:rPr>
          <w:rFonts w:ascii="Times New Roman" w:hAnsi="Times New Roman"/>
        </w:rPr>
        <w:t>No government funds will be used as payment or for gifts to respondents</w:t>
      </w:r>
      <w:r w:rsidRPr="00262716" w:rsidR="00262716">
        <w:rPr>
          <w:rFonts w:ascii="Times New Roman" w:hAnsi="Times New Roman"/>
        </w:rPr>
        <w:t>.</w:t>
      </w:r>
    </w:p>
    <w:p w:rsidR="00690F56" w:rsidRPr="00A47DA7" w:rsidP="00EF6529" w14:paraId="41D6A133" w14:textId="3FE8331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66277" w:rsidRPr="00871CA6" w:rsidP="00EF6529" w14:paraId="7E772462" w14:textId="1D83999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rPr>
      </w:pPr>
      <w:r w:rsidRPr="00666277">
        <w:rPr>
          <w:rFonts w:ascii="Times New Roman" w:hAnsi="Times New Roman"/>
        </w:rPr>
        <w:t>Disclosure of the information by the applicant is mandatory for the release and receipt of imported firearms, ammunition, and defense articles.  The information is kept in a secured location.  Confidentiality is not assured.</w:t>
      </w:r>
    </w:p>
    <w:p w:rsidR="00BD21CA" w:rsidRPr="00D53DEB" w:rsidP="00EF6529" w14:paraId="13A55570" w14:textId="589C5E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b/>
          <w:bCs/>
        </w:rPr>
      </w:pPr>
      <w:r w:rsidRPr="00D53DEB">
        <w:rPr>
          <w:rFonts w:ascii="Times New Roman" w:hAnsi="Times New Roman"/>
          <w:b/>
          <w:bCs/>
        </w:rPr>
        <w:t xml:space="preserve">11. </w:t>
      </w:r>
      <w:r w:rsidRPr="00D53DEB"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66277" w:rsidRPr="00871CA6" w:rsidP="00EF6529" w14:paraId="2189A764" w14:textId="01E6378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rPr>
      </w:pPr>
      <w:r w:rsidRPr="00666277">
        <w:rPr>
          <w:rFonts w:ascii="Times New Roman" w:hAnsi="Times New Roman"/>
        </w:rPr>
        <w:t>No questions of a sensitive nature are asked.</w:t>
      </w:r>
    </w:p>
    <w:p w:rsidR="00690F56" w:rsidRPr="00D53DEB" w:rsidP="00EF6529" w14:paraId="0DE6D347" w14:textId="16C1F2A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EF6529" w:rsidP="00EF6529" w14:paraId="2CF1128C" w14:textId="0D120B41">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882B1D" w:rsidRPr="00EF6529" w:rsidP="00EF6529" w14:paraId="2B026727" w14:textId="571CDD9B">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b/>
          <w:bCs/>
        </w:rPr>
      </w:pPr>
      <w:r w:rsidRPr="00D53DEB">
        <w:rPr>
          <w:b/>
        </w:rPr>
        <w:t xml:space="preserve">If this </w:t>
      </w:r>
      <w:r w:rsidRPr="00D53DEB">
        <w:rPr>
          <w:b/>
          <w:bCs/>
        </w:rPr>
        <w:t>request for approval covers more than one form, provide separate hour burden estimates for each form.</w:t>
      </w:r>
    </w:p>
    <w:p w:rsidR="00690F56" w:rsidRPr="00EF6529" w:rsidP="00EF6529" w14:paraId="1904007E" w14:textId="26F2674F">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10069" w:type="dxa"/>
        <w:tblLook w:val="04A0"/>
      </w:tblPr>
      <w:tblGrid>
        <w:gridCol w:w="1439"/>
        <w:gridCol w:w="1415"/>
        <w:gridCol w:w="1219"/>
        <w:gridCol w:w="1182"/>
        <w:gridCol w:w="1097"/>
        <w:gridCol w:w="950"/>
        <w:gridCol w:w="1438"/>
        <w:gridCol w:w="1329"/>
      </w:tblGrid>
      <w:tr w14:paraId="4AA59B92" w14:textId="77777777" w:rsidTr="00CC07CF">
        <w:tblPrEx>
          <w:tblW w:w="10069" w:type="dxa"/>
          <w:tblLook w:val="04A0"/>
        </w:tblPrEx>
        <w:tc>
          <w:tcPr>
            <w:tcW w:w="1439" w:type="dxa"/>
            <w:shd w:val="clear" w:color="auto" w:fill="ADB9CA" w:themeFill="text2" w:themeFillTint="66"/>
          </w:tcPr>
          <w:p w:rsidR="003908B9"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3908B9"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3908B9"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3908B9"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3908B9"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3908B9"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c>
          <w:tcPr>
            <w:tcW w:w="1438" w:type="dxa"/>
            <w:shd w:val="clear" w:color="auto" w:fill="ADB9CA" w:themeFill="text2" w:themeFillTint="66"/>
          </w:tcPr>
          <w:p w:rsidR="003908B9" w:rsidRPr="008F47CB" w:rsidP="008C6A87" w14:paraId="66A83D48" w14:textId="77777777">
            <w:pPr>
              <w:rPr>
                <w:rFonts w:ascii="Times New Roman" w:hAnsi="Times New Roman"/>
                <w:b/>
                <w:sz w:val="22"/>
                <w:szCs w:val="22"/>
              </w:rPr>
            </w:pPr>
            <w:r w:rsidRPr="008F47CB">
              <w:rPr>
                <w:rFonts w:ascii="Times New Roman" w:hAnsi="Times New Roman"/>
                <w:b/>
                <w:sz w:val="22"/>
                <w:szCs w:val="22"/>
              </w:rPr>
              <w:t xml:space="preserve">Hourly </w:t>
            </w:r>
            <w:r w:rsidRPr="008F47CB">
              <w:rPr>
                <w:rFonts w:ascii="Times New Roman" w:hAnsi="Times New Roman"/>
                <w:b/>
                <w:sz w:val="22"/>
                <w:szCs w:val="22"/>
              </w:rPr>
              <w:t>Rate</w:t>
            </w:r>
            <w:r>
              <w:rPr>
                <w:rFonts w:ascii="Times New Roman" w:hAnsi="Times New Roman"/>
                <w:b/>
                <w:sz w:val="22"/>
                <w:szCs w:val="22"/>
              </w:rPr>
              <w:t>*</w:t>
            </w:r>
          </w:p>
        </w:tc>
        <w:tc>
          <w:tcPr>
            <w:tcW w:w="1329" w:type="dxa"/>
            <w:shd w:val="clear" w:color="auto" w:fill="ADB9CA" w:themeFill="text2" w:themeFillTint="66"/>
          </w:tcPr>
          <w:p w:rsidR="003908B9" w:rsidRPr="008F47CB" w:rsidP="008C6A87" w14:paraId="5F43E499" w14:textId="77777777">
            <w:pPr>
              <w:rPr>
                <w:rFonts w:ascii="Times New Roman" w:hAnsi="Times New Roman"/>
                <w:b/>
                <w:sz w:val="22"/>
                <w:szCs w:val="22"/>
              </w:rPr>
            </w:pPr>
            <w:r w:rsidRPr="008F47CB">
              <w:rPr>
                <w:rFonts w:ascii="Times New Roman" w:hAnsi="Times New Roman"/>
                <w:b/>
                <w:sz w:val="22"/>
                <w:szCs w:val="22"/>
              </w:rPr>
              <w:t>Monetized Value of Respondent Time</w:t>
            </w:r>
          </w:p>
        </w:tc>
      </w:tr>
      <w:tr w14:paraId="079EF15D" w14:textId="77777777" w:rsidTr="00CC07CF">
        <w:tblPrEx>
          <w:tblW w:w="10069" w:type="dxa"/>
          <w:tblLook w:val="04A0"/>
        </w:tblPrEx>
        <w:tc>
          <w:tcPr>
            <w:tcW w:w="1439" w:type="dxa"/>
            <w:vAlign w:val="bottom"/>
          </w:tcPr>
          <w:p w:rsidR="003908B9" w:rsidRPr="008F47CB" w:rsidP="008C6A87" w14:paraId="4E4E0FA6" w14:textId="453A1742">
            <w:pPr>
              <w:jc w:val="right"/>
              <w:rPr>
                <w:rFonts w:ascii="Times New Roman" w:hAnsi="Times New Roman"/>
                <w:sz w:val="22"/>
                <w:szCs w:val="22"/>
              </w:rPr>
            </w:pPr>
            <w:r>
              <w:rPr>
                <w:rFonts w:ascii="Times New Roman" w:hAnsi="Times New Roman"/>
                <w:sz w:val="22"/>
                <w:szCs w:val="22"/>
              </w:rPr>
              <w:t>ATF Form 6A (5330.3A)</w:t>
            </w:r>
          </w:p>
        </w:tc>
        <w:tc>
          <w:tcPr>
            <w:tcW w:w="1415" w:type="dxa"/>
            <w:vAlign w:val="bottom"/>
          </w:tcPr>
          <w:p w:rsidR="003908B9" w:rsidRPr="008F47CB" w:rsidP="008C6A87" w14:paraId="23BB2474" w14:textId="78B9150E">
            <w:pPr>
              <w:jc w:val="right"/>
              <w:rPr>
                <w:rFonts w:ascii="Times New Roman" w:hAnsi="Times New Roman"/>
                <w:sz w:val="22"/>
                <w:szCs w:val="22"/>
              </w:rPr>
            </w:pPr>
            <w:r>
              <w:rPr>
                <w:rFonts w:ascii="Times New Roman" w:hAnsi="Times New Roman"/>
                <w:sz w:val="22"/>
                <w:szCs w:val="22"/>
              </w:rPr>
              <w:t>25,000</w:t>
            </w:r>
          </w:p>
        </w:tc>
        <w:tc>
          <w:tcPr>
            <w:tcW w:w="1219" w:type="dxa"/>
            <w:vAlign w:val="bottom"/>
          </w:tcPr>
          <w:p w:rsidR="003908B9" w:rsidRPr="008F47CB" w:rsidP="008C6A87" w14:paraId="5D72451D" w14:textId="2626FAFD">
            <w:pPr>
              <w:jc w:val="right"/>
              <w:rPr>
                <w:rFonts w:ascii="Times New Roman" w:hAnsi="Times New Roman"/>
                <w:sz w:val="22"/>
                <w:szCs w:val="22"/>
              </w:rPr>
            </w:pPr>
            <w:r>
              <w:rPr>
                <w:rFonts w:ascii="Times New Roman" w:hAnsi="Times New Roman"/>
                <w:sz w:val="22"/>
                <w:szCs w:val="22"/>
              </w:rPr>
              <w:t>1</w:t>
            </w:r>
          </w:p>
        </w:tc>
        <w:tc>
          <w:tcPr>
            <w:tcW w:w="1182" w:type="dxa"/>
            <w:vAlign w:val="bottom"/>
          </w:tcPr>
          <w:p w:rsidR="003908B9" w:rsidRPr="008F47CB" w:rsidP="008C6A87" w14:paraId="03D2549D" w14:textId="35D0B0BD">
            <w:pPr>
              <w:jc w:val="right"/>
              <w:rPr>
                <w:rFonts w:ascii="Times New Roman" w:hAnsi="Times New Roman"/>
                <w:sz w:val="22"/>
                <w:szCs w:val="22"/>
              </w:rPr>
            </w:pPr>
            <w:r>
              <w:rPr>
                <w:rFonts w:ascii="Times New Roman" w:hAnsi="Times New Roman"/>
                <w:sz w:val="22"/>
                <w:szCs w:val="22"/>
              </w:rPr>
              <w:t>25,000</w:t>
            </w:r>
          </w:p>
        </w:tc>
        <w:tc>
          <w:tcPr>
            <w:tcW w:w="1097" w:type="dxa"/>
            <w:vAlign w:val="bottom"/>
          </w:tcPr>
          <w:p w:rsidR="003908B9" w:rsidRPr="008F47CB" w:rsidP="008C6A87" w14:paraId="3704ADCE" w14:textId="39B49D2C">
            <w:pPr>
              <w:jc w:val="right"/>
              <w:rPr>
                <w:rFonts w:ascii="Times New Roman" w:hAnsi="Times New Roman"/>
                <w:sz w:val="22"/>
                <w:szCs w:val="22"/>
              </w:rPr>
            </w:pPr>
            <w:r>
              <w:rPr>
                <w:rFonts w:ascii="Times New Roman" w:hAnsi="Times New Roman"/>
                <w:sz w:val="22"/>
                <w:szCs w:val="22"/>
              </w:rPr>
              <w:t>3</w:t>
            </w:r>
            <w:r w:rsidR="000114C0">
              <w:rPr>
                <w:rFonts w:ascii="Times New Roman" w:hAnsi="Times New Roman"/>
                <w:sz w:val="22"/>
                <w:szCs w:val="22"/>
              </w:rPr>
              <w:t>5min</w:t>
            </w:r>
          </w:p>
        </w:tc>
        <w:tc>
          <w:tcPr>
            <w:tcW w:w="950" w:type="dxa"/>
            <w:vAlign w:val="bottom"/>
          </w:tcPr>
          <w:p w:rsidR="003908B9" w:rsidRPr="008F47CB" w:rsidP="008C6A87" w14:paraId="498C761A" w14:textId="6ACA4930">
            <w:pPr>
              <w:jc w:val="right"/>
              <w:rPr>
                <w:rFonts w:ascii="Times New Roman" w:hAnsi="Times New Roman"/>
                <w:sz w:val="22"/>
                <w:szCs w:val="22"/>
              </w:rPr>
            </w:pPr>
            <w:r>
              <w:rPr>
                <w:rFonts w:ascii="Times New Roman" w:hAnsi="Times New Roman"/>
                <w:sz w:val="22"/>
                <w:szCs w:val="22"/>
              </w:rPr>
              <w:t>14,285</w:t>
            </w:r>
          </w:p>
        </w:tc>
        <w:tc>
          <w:tcPr>
            <w:tcW w:w="1438" w:type="dxa"/>
            <w:vAlign w:val="bottom"/>
          </w:tcPr>
          <w:p w:rsidR="003908B9" w:rsidRPr="008F47CB" w:rsidP="008C6A87" w14:paraId="2C9B9B1D" w14:textId="6FE47E75">
            <w:pPr>
              <w:jc w:val="right"/>
              <w:rPr>
                <w:rFonts w:ascii="Times New Roman" w:hAnsi="Times New Roman"/>
                <w:sz w:val="22"/>
                <w:szCs w:val="22"/>
              </w:rPr>
            </w:pPr>
          </w:p>
        </w:tc>
        <w:tc>
          <w:tcPr>
            <w:tcW w:w="1329" w:type="dxa"/>
            <w:vAlign w:val="bottom"/>
          </w:tcPr>
          <w:p w:rsidR="003908B9" w:rsidRPr="008F47CB" w:rsidP="008C6A87" w14:paraId="689A6EF1" w14:textId="2BD442B8">
            <w:pPr>
              <w:jc w:val="right"/>
              <w:rPr>
                <w:rFonts w:ascii="Times New Roman" w:hAnsi="Times New Roman"/>
                <w:sz w:val="22"/>
                <w:szCs w:val="22"/>
              </w:rPr>
            </w:pPr>
          </w:p>
        </w:tc>
      </w:tr>
      <w:tr w14:paraId="578B68EB" w14:textId="77777777" w:rsidTr="00CC07CF">
        <w:tblPrEx>
          <w:tblW w:w="10069" w:type="dxa"/>
          <w:tblLook w:val="04A0"/>
        </w:tblPrEx>
        <w:tc>
          <w:tcPr>
            <w:tcW w:w="1439" w:type="dxa"/>
          </w:tcPr>
          <w:p w:rsidR="00CC07CF" w:rsidRPr="008F47CB" w:rsidP="00CC07CF"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CC07CF" w:rsidRPr="008F47CB" w:rsidP="00CC07CF" w14:paraId="32AB6B8A" w14:textId="37C704F2">
            <w:pPr>
              <w:jc w:val="right"/>
              <w:rPr>
                <w:rFonts w:ascii="Times New Roman" w:hAnsi="Times New Roman"/>
                <w:b/>
                <w:i/>
                <w:sz w:val="22"/>
                <w:szCs w:val="22"/>
              </w:rPr>
            </w:pPr>
            <w:r>
              <w:rPr>
                <w:rFonts w:ascii="Times New Roman" w:hAnsi="Times New Roman"/>
                <w:sz w:val="22"/>
                <w:szCs w:val="22"/>
              </w:rPr>
              <w:t>25,000</w:t>
            </w:r>
          </w:p>
        </w:tc>
        <w:tc>
          <w:tcPr>
            <w:tcW w:w="1219" w:type="dxa"/>
            <w:vAlign w:val="bottom"/>
          </w:tcPr>
          <w:p w:rsidR="00CC07CF" w:rsidRPr="008F47CB" w:rsidP="00CC07CF" w14:paraId="75495CB4" w14:textId="69157A99">
            <w:pPr>
              <w:jc w:val="center"/>
              <w:rPr>
                <w:rFonts w:ascii="Times New Roman" w:hAnsi="Times New Roman"/>
                <w:b/>
                <w:i/>
                <w:sz w:val="22"/>
                <w:szCs w:val="22"/>
              </w:rPr>
            </w:pPr>
            <w:r>
              <w:rPr>
                <w:rFonts w:ascii="Times New Roman" w:hAnsi="Times New Roman"/>
                <w:sz w:val="22"/>
                <w:szCs w:val="22"/>
              </w:rPr>
              <w:t>1</w:t>
            </w:r>
          </w:p>
        </w:tc>
        <w:tc>
          <w:tcPr>
            <w:tcW w:w="1182" w:type="dxa"/>
            <w:vAlign w:val="bottom"/>
          </w:tcPr>
          <w:p w:rsidR="00CC07CF" w:rsidRPr="008F47CB" w:rsidP="00CC07CF" w14:paraId="1A7661D9" w14:textId="780D32BE">
            <w:pPr>
              <w:jc w:val="right"/>
              <w:rPr>
                <w:rFonts w:ascii="Times New Roman" w:hAnsi="Times New Roman"/>
                <w:b/>
                <w:i/>
                <w:sz w:val="22"/>
                <w:szCs w:val="22"/>
              </w:rPr>
            </w:pPr>
            <w:r>
              <w:rPr>
                <w:rFonts w:ascii="Times New Roman" w:hAnsi="Times New Roman"/>
                <w:sz w:val="22"/>
                <w:szCs w:val="22"/>
              </w:rPr>
              <w:t>25,000</w:t>
            </w:r>
          </w:p>
        </w:tc>
        <w:tc>
          <w:tcPr>
            <w:tcW w:w="1097" w:type="dxa"/>
            <w:vAlign w:val="bottom"/>
          </w:tcPr>
          <w:p w:rsidR="00CC07CF" w:rsidRPr="008F47CB" w:rsidP="00CC07CF" w14:paraId="4A94906E" w14:textId="2D60AA32">
            <w:pPr>
              <w:jc w:val="right"/>
              <w:rPr>
                <w:rFonts w:ascii="Times New Roman" w:hAnsi="Times New Roman"/>
                <w:b/>
                <w:i/>
                <w:sz w:val="22"/>
                <w:szCs w:val="22"/>
              </w:rPr>
            </w:pPr>
            <w:r>
              <w:rPr>
                <w:rFonts w:ascii="Times New Roman" w:hAnsi="Times New Roman"/>
                <w:sz w:val="22"/>
                <w:szCs w:val="22"/>
              </w:rPr>
              <w:t>35min</w:t>
            </w:r>
          </w:p>
        </w:tc>
        <w:tc>
          <w:tcPr>
            <w:tcW w:w="950" w:type="dxa"/>
            <w:vAlign w:val="bottom"/>
          </w:tcPr>
          <w:p w:rsidR="00CC07CF" w:rsidRPr="008F47CB" w:rsidP="00CC07CF" w14:paraId="4075BA8E" w14:textId="706E0DB6">
            <w:pPr>
              <w:jc w:val="right"/>
              <w:rPr>
                <w:rFonts w:ascii="Times New Roman" w:hAnsi="Times New Roman"/>
                <w:b/>
                <w:i/>
                <w:sz w:val="22"/>
                <w:szCs w:val="22"/>
              </w:rPr>
            </w:pPr>
            <w:r>
              <w:rPr>
                <w:rFonts w:ascii="Times New Roman" w:hAnsi="Times New Roman"/>
                <w:sz w:val="22"/>
                <w:szCs w:val="22"/>
              </w:rPr>
              <w:t>14,285</w:t>
            </w:r>
          </w:p>
        </w:tc>
        <w:tc>
          <w:tcPr>
            <w:tcW w:w="1438" w:type="dxa"/>
            <w:vAlign w:val="bottom"/>
          </w:tcPr>
          <w:p w:rsidR="00CC07CF" w:rsidRPr="008F47CB" w:rsidP="00CC07CF" w14:paraId="7F82B751" w14:textId="50FAEA02">
            <w:pPr>
              <w:jc w:val="right"/>
              <w:rPr>
                <w:rFonts w:ascii="Times New Roman" w:hAnsi="Times New Roman"/>
                <w:b/>
                <w:i/>
                <w:sz w:val="22"/>
                <w:szCs w:val="22"/>
              </w:rPr>
            </w:pPr>
          </w:p>
        </w:tc>
        <w:tc>
          <w:tcPr>
            <w:tcW w:w="1329" w:type="dxa"/>
            <w:vAlign w:val="bottom"/>
          </w:tcPr>
          <w:p w:rsidR="00CC07CF" w:rsidRPr="008F47CB" w:rsidP="00CC07CF" w14:paraId="54BFA78B" w14:textId="44F029FD">
            <w:pPr>
              <w:jc w:val="right"/>
              <w:rPr>
                <w:rFonts w:ascii="Times New Roman" w:hAnsi="Times New Roman"/>
                <w:b/>
                <w:i/>
                <w:sz w:val="22"/>
                <w:szCs w:val="22"/>
              </w:rPr>
            </w:pPr>
          </w:p>
        </w:tc>
      </w:tr>
    </w:tbl>
    <w:p w:rsidR="00D472BE" w:rsidP="00EF6529" w14:paraId="1758C1F3" w14:textId="7C90956B">
      <w:pPr>
        <w:widowControl/>
        <w:autoSpaceDE/>
        <w:autoSpaceDN/>
        <w:adjustRightInd/>
        <w:spacing w:after="240"/>
        <w:rPr>
          <w:rFonts w:ascii="Times New Roman" w:hAnsi="Times New Roman"/>
          <w:highlight w:val="yellow"/>
        </w:rPr>
      </w:pPr>
    </w:p>
    <w:p w:rsidR="00EE2223" w:rsidRPr="00EF6529" w:rsidP="00EF6529" w14:paraId="73540948" w14:textId="1B01F27F">
      <w:pPr>
        <w:widowControl/>
        <w:autoSpaceDE/>
        <w:autoSpaceDN/>
        <w:adjustRightInd/>
        <w:spacing w:after="240"/>
        <w:rPr>
          <w:rFonts w:ascii="Times New Roman" w:hAnsi="Times New Roman"/>
          <w:i/>
          <w:iCs/>
        </w:rPr>
      </w:pPr>
      <w:r w:rsidRPr="00EE2223">
        <w:rPr>
          <w:rFonts w:ascii="Times New Roman" w:hAnsi="Times New Roman"/>
          <w:i/>
          <w:iCs/>
        </w:rPr>
        <w:t>Hourly rate source citation</w:t>
      </w:r>
      <w:r w:rsidR="002E6F9C">
        <w:rPr>
          <w:rFonts w:ascii="Times New Roman" w:hAnsi="Times New Roman"/>
          <w:i/>
          <w:iCs/>
        </w:rPr>
        <w:t xml:space="preserve"> or you may enter a footnote</w:t>
      </w:r>
      <w:r w:rsidRPr="00EE2223">
        <w:rPr>
          <w:rFonts w:ascii="Times New Roman" w:hAnsi="Times New Roman"/>
          <w:i/>
          <w:iCs/>
        </w:rPr>
        <w:t xml:space="preserve">: </w:t>
      </w:r>
    </w:p>
    <w:p w:rsidR="00CD215D" w:rsidRPr="00D53DEB" w:rsidP="00EF6529" w14:paraId="168FFC6B" w14:textId="7B5689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D53DEB" w:rsidP="00EF6529" w14:paraId="10DEAAA9" w14:textId="534A835F">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EF6529" w:rsidP="00EF6529" w14:paraId="148E4C51" w14:textId="224352B8">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83BD5" w:rsidRPr="00EF6529" w:rsidP="00EF6529" w14:paraId="0C74C3A3" w14:textId="201D2B1C">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C07CF" w:rsidRPr="00F4518C" w:rsidP="00EF6529" w14:paraId="3DDCF66A" w14:textId="59FCA90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rPr>
      </w:pPr>
      <w:r w:rsidRPr="00CC07CF">
        <w:rPr>
          <w:rFonts w:ascii="Times New Roman" w:hAnsi="Times New Roman"/>
        </w:rPr>
        <w:t>There is no start-up cost associated with this collection. The respondents that do not file electronically must mail the form to ATF.  Approximately 15% of the respondents file electronically. The costs to respondents choose not to file electronically is postage.  The postage cost is based on 25,000 x .51 postage = $12,750.</w:t>
      </w:r>
    </w:p>
    <w:p w:rsidR="00083BD5" w:rsidP="00EF6529" w14:paraId="7452A419" w14:textId="45C86A6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 xml:space="preserve">without this collection of information.  Agencies also may aggregate cost estimates from Items 12, 13, and 14 into a </w:t>
      </w:r>
      <w:r w:rsidRPr="00D53DEB">
        <w:rPr>
          <w:rFonts w:ascii="Times New Roman" w:hAnsi="Times New Roman"/>
          <w:b/>
          <w:bCs/>
        </w:rPr>
        <w:t>single table</w:t>
      </w:r>
      <w:r w:rsidRPr="00D53DEB">
        <w:rPr>
          <w:rFonts w:ascii="Times New Roman" w:hAnsi="Times New Roman"/>
          <w:b/>
          <w:bCs/>
        </w:rPr>
        <w:t>.</w:t>
      </w:r>
    </w:p>
    <w:p w:rsidR="00BB2AA1" w:rsidP="001376D3" w14:paraId="2708E903" w14:textId="7682004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C07CF">
        <w:rPr>
          <w:rFonts w:ascii="Times New Roman" w:hAnsi="Times New Roman"/>
        </w:rPr>
        <w:t xml:space="preserve">Estimates of annual cost to the Federal Government are:  </w:t>
      </w:r>
    </w:p>
    <w:tbl>
      <w:tblPr>
        <w:tblStyle w:val="TableGrid"/>
        <w:tblW w:w="0" w:type="auto"/>
        <w:tblLook w:val="04A0"/>
      </w:tblPr>
      <w:tblGrid>
        <w:gridCol w:w="4675"/>
        <w:gridCol w:w="4675"/>
      </w:tblGrid>
      <w:tr w14:paraId="5D470AD1" w14:textId="77777777" w:rsidTr="00CC07CF">
        <w:tblPrEx>
          <w:tblW w:w="0" w:type="auto"/>
          <w:tblLook w:val="04A0"/>
        </w:tblPrEx>
        <w:tc>
          <w:tcPr>
            <w:tcW w:w="4675" w:type="dxa"/>
          </w:tcPr>
          <w:p w:rsidR="00CC07CF" w:rsidP="001376D3" w14:paraId="726ACD6A" w14:textId="4E6A722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Printing:</w:t>
            </w:r>
          </w:p>
        </w:tc>
        <w:tc>
          <w:tcPr>
            <w:tcW w:w="4675" w:type="dxa"/>
          </w:tcPr>
          <w:p w:rsidR="00CC07CF" w:rsidP="001376D3" w14:paraId="065746E2" w14:textId="77DE7F6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$2,200</w:t>
            </w:r>
          </w:p>
        </w:tc>
      </w:tr>
      <w:tr w14:paraId="25EED7E8" w14:textId="77777777" w:rsidTr="00CC07CF">
        <w:tblPrEx>
          <w:tblW w:w="0" w:type="auto"/>
          <w:tblLook w:val="04A0"/>
        </w:tblPrEx>
        <w:tc>
          <w:tcPr>
            <w:tcW w:w="4675" w:type="dxa"/>
          </w:tcPr>
          <w:p w:rsidR="00CC07CF" w:rsidP="001376D3" w14:paraId="0976CF0B" w14:textId="6F15737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Labor:</w:t>
            </w:r>
          </w:p>
        </w:tc>
        <w:tc>
          <w:tcPr>
            <w:tcW w:w="4675" w:type="dxa"/>
          </w:tcPr>
          <w:p w:rsidR="00CC07CF" w:rsidP="001376D3" w14:paraId="2DF187AE" w14:textId="3021932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$42,000</w:t>
            </w:r>
          </w:p>
        </w:tc>
      </w:tr>
      <w:tr w14:paraId="4D76D4DE" w14:textId="77777777" w:rsidTr="00CC07CF">
        <w:tblPrEx>
          <w:tblW w:w="0" w:type="auto"/>
          <w:tblLook w:val="04A0"/>
        </w:tblPrEx>
        <w:tc>
          <w:tcPr>
            <w:tcW w:w="4675" w:type="dxa"/>
          </w:tcPr>
          <w:p w:rsidR="00CC07CF" w:rsidP="001376D3" w14:paraId="56DDB3E0" w14:textId="79B45DA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Total:</w:t>
            </w:r>
          </w:p>
        </w:tc>
        <w:tc>
          <w:tcPr>
            <w:tcW w:w="4675" w:type="dxa"/>
          </w:tcPr>
          <w:p w:rsidR="00CC07CF" w:rsidP="001376D3" w14:paraId="124A74FD" w14:textId="6F28579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$44,200</w:t>
            </w:r>
          </w:p>
        </w:tc>
      </w:tr>
    </w:tbl>
    <w:p w:rsidR="00F96885" w:rsidRPr="00871CA6" w:rsidP="00F121BB" w14:paraId="1A15C4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rPr>
      </w:pPr>
    </w:p>
    <w:p w:rsidR="00316D89" w:rsidRPr="000C1A95" w:rsidP="000C1A95" w14:paraId="3AD22953" w14:textId="0C3DED1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983CA7" w:rsidRPr="00F4518C" w:rsidP="000C1A95" w14:paraId="33AED649" w14:textId="3C46625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rPr>
      </w:pPr>
      <w:r w:rsidRPr="0066788B">
        <w:rPr>
          <w:rFonts w:ascii="Times New Roman" w:hAnsi="Times New Roman"/>
        </w:rPr>
        <w:t>There are no program changes or adjustments associated with this collection.</w:t>
      </w:r>
    </w:p>
    <w:p w:rsidR="00083BD5" w:rsidP="000C1A95" w14:paraId="1E674153" w14:textId="10791E0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RPr="00871CA6" w:rsidP="000C1A95" w14:paraId="41B59CA5" w14:textId="6C1E6DC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rPr>
      </w:pPr>
      <w:r w:rsidRPr="00083BD5">
        <w:rPr>
          <w:rFonts w:ascii="Times New Roman" w:hAnsi="Times New Roman"/>
        </w:rPr>
        <w:t>The results of this collection will not be published.</w:t>
      </w:r>
    </w:p>
    <w:p w:rsidR="00690F56" w:rsidRPr="000C1A95" w:rsidP="000C1A95" w14:paraId="1B1630F4" w14:textId="4303C3F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9B6955" w:rsidRPr="00A973AA" w:rsidP="000C1A95" w14:paraId="12701956" w14:textId="1182590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p>
    <w:p w:rsidR="000C3A92" w:rsidRPr="000C1A95" w:rsidP="000C1A95" w14:paraId="641E1E6D" w14:textId="50885C4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b/>
        </w:rPr>
      </w:pPr>
      <w:r w:rsidRPr="00D53DEB">
        <w:rPr>
          <w:rFonts w:ascii="Times New Roman" w:hAnsi="Times New Roman"/>
          <w:b/>
        </w:rPr>
        <w:t>18.  Explain each exception to the certification statement.</w:t>
      </w:r>
    </w:p>
    <w:p w:rsidR="00690F56" w:rsidRPr="00871CA6" w:rsidP="000C1A95" w14:paraId="7282302F" w14:textId="326D116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4DCA8A71">
      <w:pPr>
        <w:rPr>
          <w:rFonts w:ascii="Times New Roman" w:hAnsi="Times New Roman"/>
        </w:rPr>
      </w:pPr>
      <w:r>
        <w:rPr>
          <w:rFonts w:ascii="Times New Roman" w:hAnsi="Times New Roman"/>
        </w:rPr>
        <w:t>This collection</w:t>
      </w:r>
      <w:r w:rsidR="00CC1B60">
        <w:rPr>
          <w:rFonts w:ascii="Times New Roman" w:hAnsi="Times New Roman"/>
        </w:rPr>
        <w:t xml:space="preserve"> does not</w:t>
      </w:r>
      <w:r>
        <w:rPr>
          <w:rFonts w:ascii="Times New Roman" w:hAnsi="Times New Roman"/>
        </w:rPr>
        <w:t xml:space="preserve"> contain statistical data.</w:t>
      </w:r>
    </w:p>
    <w:sectPr w:rsidSect="00C07F7F">
      <w:headerReference w:type="default" r:id="rId5"/>
      <w:footerReference w:type="even" r:id="rId6"/>
      <w:footerReference w:type="default" r:id="rId7"/>
      <w:headerReference w:type="first" r:id="rId8"/>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86973" w:rsidRPr="006626FF" w:rsidP="00F8164B" w14:paraId="4C516217" w14:textId="1574BA82">
    <w:pPr>
      <w:pStyle w:val="Header"/>
      <w:rPr>
        <w:rFonts w:ascii="Times New Roman" w:hAnsi="Times New Roman"/>
        <w:bCs/>
        <w:sz w:val="20"/>
        <w:szCs w:val="20"/>
      </w:rPr>
    </w:pPr>
    <w:r>
      <w:rPr>
        <w:rFonts w:ascii="Times New Roman" w:hAnsi="Times New Roman"/>
        <w:bCs/>
        <w:sz w:val="20"/>
        <w:szCs w:val="20"/>
      </w:rPr>
      <w:t>[COLLECTION TITLE]</w:t>
    </w:r>
  </w:p>
  <w:p w:rsidR="00EC0B43" w14:paraId="52F50703" w14:textId="2260296A">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996A5D">
      <w:rPr>
        <w:rFonts w:ascii="Times New Roman" w:hAnsi="Times New Roman"/>
        <w:sz w:val="20"/>
        <w:szCs w:val="20"/>
      </w:rPr>
      <w:t>XXXX-XXXX</w:t>
    </w:r>
  </w:p>
  <w:p w:rsidR="00304132" w14:paraId="29EBD65C" w14:textId="02C10ED4">
    <w:pPr>
      <w:pStyle w:val="Header"/>
      <w:rPr>
        <w:rFonts w:ascii="Times New Roman" w:hAnsi="Times New Roman"/>
        <w:sz w:val="20"/>
        <w:szCs w:val="20"/>
      </w:rPr>
    </w:pPr>
    <w:r>
      <w:rPr>
        <w:rFonts w:ascii="Times New Roman" w:hAnsi="Times New Roman"/>
        <w:sz w:val="20"/>
        <w:szCs w:val="20"/>
      </w:rPr>
      <w:t xml:space="preserve">OMB Expiration Date: </w:t>
    </w:r>
    <w:r w:rsidR="00996A5D">
      <w:rPr>
        <w:rFonts w:ascii="Times New Roman" w:hAnsi="Times New Roman"/>
        <w:sz w:val="20"/>
        <w:szCs w:val="20"/>
      </w:rPr>
      <w:t>XX/XX/XXXX</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0C77CC"/>
    <w:multiLevelType w:val="hybridMultilevel"/>
    <w:tmpl w:val="38987C4A"/>
    <w:lvl w:ilvl="0">
      <w:start w:val="1140"/>
      <w:numFmt w:val="bullet"/>
      <w:lvlText w:val=""/>
      <w:lvlJc w:val="left"/>
      <w:pPr>
        <w:ind w:left="1080" w:hanging="72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5">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8">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2">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5C5494A"/>
    <w:multiLevelType w:val="hybridMultilevel"/>
    <w:tmpl w:val="C02628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4"/>
  </w:num>
  <w:num w:numId="4" w16cid:durableId="188491091">
    <w:abstractNumId w:val="10"/>
  </w:num>
  <w:num w:numId="5" w16cid:durableId="2103139837">
    <w:abstractNumId w:val="3"/>
  </w:num>
  <w:num w:numId="6" w16cid:durableId="1756973642">
    <w:abstractNumId w:val="5"/>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2"/>
  </w:num>
  <w:num w:numId="9" w16cid:durableId="312102842">
    <w:abstractNumId w:val="1"/>
  </w:num>
  <w:num w:numId="10" w16cid:durableId="1376466984">
    <w:abstractNumId w:val="11"/>
  </w:num>
  <w:num w:numId="11" w16cid:durableId="1904831391">
    <w:abstractNumId w:val="7"/>
  </w:num>
  <w:num w:numId="12" w16cid:durableId="1478107046">
    <w:abstractNumId w:val="9"/>
  </w:num>
  <w:num w:numId="13" w16cid:durableId="1542084800">
    <w:abstractNumId w:val="6"/>
  </w:num>
  <w:num w:numId="14" w16cid:durableId="136800702">
    <w:abstractNumId w:val="13"/>
  </w:num>
  <w:num w:numId="15" w16cid:durableId="1217090383">
    <w:abstractNumId w:val="8"/>
  </w:num>
  <w:num w:numId="16" w16cid:durableId="1843272750">
    <w:abstractNumId w:val="2"/>
  </w:num>
  <w:num w:numId="17" w16cid:durableId="184485408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moah, Mammyaa (JMD) (CTR)">
    <w15:presenceInfo w15:providerId="AD" w15:userId="S::Mammyaa.Amoah@usdoj.gov::5fa775a4-674a-4628-b6ec-4642be94f9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oNotDisplayPageBoundari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20F69"/>
    <w:rsid w:val="00022303"/>
    <w:rsid w:val="0003073D"/>
    <w:rsid w:val="0004107F"/>
    <w:rsid w:val="00042CBD"/>
    <w:rsid w:val="00052174"/>
    <w:rsid w:val="00061F6C"/>
    <w:rsid w:val="00064E28"/>
    <w:rsid w:val="000655CC"/>
    <w:rsid w:val="0007383F"/>
    <w:rsid w:val="00083BD5"/>
    <w:rsid w:val="00094A5E"/>
    <w:rsid w:val="00095C30"/>
    <w:rsid w:val="00097C15"/>
    <w:rsid w:val="000A7853"/>
    <w:rsid w:val="000B0391"/>
    <w:rsid w:val="000B4875"/>
    <w:rsid w:val="000B6FB6"/>
    <w:rsid w:val="000C1A95"/>
    <w:rsid w:val="000C257C"/>
    <w:rsid w:val="000C3A92"/>
    <w:rsid w:val="000C74FB"/>
    <w:rsid w:val="000D7F95"/>
    <w:rsid w:val="000E1C64"/>
    <w:rsid w:val="000F6836"/>
    <w:rsid w:val="001040D4"/>
    <w:rsid w:val="001078BB"/>
    <w:rsid w:val="00116CD5"/>
    <w:rsid w:val="00117CA5"/>
    <w:rsid w:val="00133C47"/>
    <w:rsid w:val="00133E3D"/>
    <w:rsid w:val="001376D3"/>
    <w:rsid w:val="0014556E"/>
    <w:rsid w:val="0014601E"/>
    <w:rsid w:val="0015322B"/>
    <w:rsid w:val="0015365E"/>
    <w:rsid w:val="00157A90"/>
    <w:rsid w:val="00167AD4"/>
    <w:rsid w:val="00180E5A"/>
    <w:rsid w:val="00192711"/>
    <w:rsid w:val="001A47D9"/>
    <w:rsid w:val="001B4BB9"/>
    <w:rsid w:val="001C39F6"/>
    <w:rsid w:val="001D10ED"/>
    <w:rsid w:val="001D2D09"/>
    <w:rsid w:val="001D67BB"/>
    <w:rsid w:val="001E0E7F"/>
    <w:rsid w:val="001E2932"/>
    <w:rsid w:val="001E3596"/>
    <w:rsid w:val="001E5213"/>
    <w:rsid w:val="001F056F"/>
    <w:rsid w:val="001F2E8E"/>
    <w:rsid w:val="001F552E"/>
    <w:rsid w:val="002036A1"/>
    <w:rsid w:val="00210A61"/>
    <w:rsid w:val="002134B4"/>
    <w:rsid w:val="002203C9"/>
    <w:rsid w:val="00234341"/>
    <w:rsid w:val="00237691"/>
    <w:rsid w:val="00242CA0"/>
    <w:rsid w:val="00243432"/>
    <w:rsid w:val="0024438F"/>
    <w:rsid w:val="00247146"/>
    <w:rsid w:val="002517E4"/>
    <w:rsid w:val="00262716"/>
    <w:rsid w:val="00273D58"/>
    <w:rsid w:val="00277C1F"/>
    <w:rsid w:val="002866AD"/>
    <w:rsid w:val="00286BE3"/>
    <w:rsid w:val="00287A6F"/>
    <w:rsid w:val="00287ACB"/>
    <w:rsid w:val="00287B7D"/>
    <w:rsid w:val="0029135D"/>
    <w:rsid w:val="00292951"/>
    <w:rsid w:val="00293CD1"/>
    <w:rsid w:val="002A2742"/>
    <w:rsid w:val="002A3962"/>
    <w:rsid w:val="002A5972"/>
    <w:rsid w:val="002A6FB5"/>
    <w:rsid w:val="002C5AE9"/>
    <w:rsid w:val="002E238B"/>
    <w:rsid w:val="002E4200"/>
    <w:rsid w:val="002E6DF9"/>
    <w:rsid w:val="002E6F9C"/>
    <w:rsid w:val="002F3BB8"/>
    <w:rsid w:val="00304132"/>
    <w:rsid w:val="00304EAD"/>
    <w:rsid w:val="00312124"/>
    <w:rsid w:val="00313820"/>
    <w:rsid w:val="00313AC0"/>
    <w:rsid w:val="00316D89"/>
    <w:rsid w:val="00322C1B"/>
    <w:rsid w:val="0032384D"/>
    <w:rsid w:val="0032649A"/>
    <w:rsid w:val="00332F98"/>
    <w:rsid w:val="0033578D"/>
    <w:rsid w:val="003430A6"/>
    <w:rsid w:val="003448FC"/>
    <w:rsid w:val="003548D8"/>
    <w:rsid w:val="00363CC2"/>
    <w:rsid w:val="00370C9A"/>
    <w:rsid w:val="00371EEC"/>
    <w:rsid w:val="003876F3"/>
    <w:rsid w:val="00390426"/>
    <w:rsid w:val="003908B9"/>
    <w:rsid w:val="00394AEB"/>
    <w:rsid w:val="003A4476"/>
    <w:rsid w:val="003A6353"/>
    <w:rsid w:val="003B2F28"/>
    <w:rsid w:val="003C13C6"/>
    <w:rsid w:val="003D5958"/>
    <w:rsid w:val="003D6AC7"/>
    <w:rsid w:val="003E15A0"/>
    <w:rsid w:val="003E49A6"/>
    <w:rsid w:val="003E5E34"/>
    <w:rsid w:val="003E6021"/>
    <w:rsid w:val="003F53FB"/>
    <w:rsid w:val="00400B4D"/>
    <w:rsid w:val="00401F18"/>
    <w:rsid w:val="00403B06"/>
    <w:rsid w:val="004056B7"/>
    <w:rsid w:val="00410AC8"/>
    <w:rsid w:val="00414664"/>
    <w:rsid w:val="004172C1"/>
    <w:rsid w:val="00423E3A"/>
    <w:rsid w:val="004328D9"/>
    <w:rsid w:val="00435E05"/>
    <w:rsid w:val="0043771F"/>
    <w:rsid w:val="00442410"/>
    <w:rsid w:val="00443460"/>
    <w:rsid w:val="0044773C"/>
    <w:rsid w:val="00461B8A"/>
    <w:rsid w:val="004672B5"/>
    <w:rsid w:val="004844D1"/>
    <w:rsid w:val="0048559D"/>
    <w:rsid w:val="0049001D"/>
    <w:rsid w:val="00494A93"/>
    <w:rsid w:val="00494D75"/>
    <w:rsid w:val="004A1763"/>
    <w:rsid w:val="004B1E83"/>
    <w:rsid w:val="004D1C78"/>
    <w:rsid w:val="004D441E"/>
    <w:rsid w:val="004D46D1"/>
    <w:rsid w:val="004E1D9E"/>
    <w:rsid w:val="004E5B39"/>
    <w:rsid w:val="00501A15"/>
    <w:rsid w:val="005164DC"/>
    <w:rsid w:val="00522B8D"/>
    <w:rsid w:val="0052585C"/>
    <w:rsid w:val="00530EBD"/>
    <w:rsid w:val="005622FE"/>
    <w:rsid w:val="00567912"/>
    <w:rsid w:val="00570098"/>
    <w:rsid w:val="005805E7"/>
    <w:rsid w:val="005825A4"/>
    <w:rsid w:val="00583F5D"/>
    <w:rsid w:val="0058424C"/>
    <w:rsid w:val="00584F8D"/>
    <w:rsid w:val="005A0350"/>
    <w:rsid w:val="005A7D9E"/>
    <w:rsid w:val="005B2697"/>
    <w:rsid w:val="005B5990"/>
    <w:rsid w:val="005C6147"/>
    <w:rsid w:val="005D5F8C"/>
    <w:rsid w:val="005E5148"/>
    <w:rsid w:val="0060114B"/>
    <w:rsid w:val="00603D4A"/>
    <w:rsid w:val="00611DE2"/>
    <w:rsid w:val="00614A1C"/>
    <w:rsid w:val="006227B3"/>
    <w:rsid w:val="00627B1F"/>
    <w:rsid w:val="00642220"/>
    <w:rsid w:val="0065148D"/>
    <w:rsid w:val="00652ED1"/>
    <w:rsid w:val="006626FF"/>
    <w:rsid w:val="006650A8"/>
    <w:rsid w:val="00666277"/>
    <w:rsid w:val="0066788B"/>
    <w:rsid w:val="0067772C"/>
    <w:rsid w:val="00683A96"/>
    <w:rsid w:val="00685435"/>
    <w:rsid w:val="00687746"/>
    <w:rsid w:val="00690F56"/>
    <w:rsid w:val="006A4637"/>
    <w:rsid w:val="006C39F8"/>
    <w:rsid w:val="006E1A08"/>
    <w:rsid w:val="006E4433"/>
    <w:rsid w:val="006E54FE"/>
    <w:rsid w:val="006E604F"/>
    <w:rsid w:val="006E63C6"/>
    <w:rsid w:val="006F2132"/>
    <w:rsid w:val="006F66F9"/>
    <w:rsid w:val="006F6E13"/>
    <w:rsid w:val="007010C5"/>
    <w:rsid w:val="007011F1"/>
    <w:rsid w:val="007127A1"/>
    <w:rsid w:val="00713ACE"/>
    <w:rsid w:val="00715F82"/>
    <w:rsid w:val="0071749C"/>
    <w:rsid w:val="00721E05"/>
    <w:rsid w:val="007412B6"/>
    <w:rsid w:val="00753389"/>
    <w:rsid w:val="00755761"/>
    <w:rsid w:val="007636EC"/>
    <w:rsid w:val="00767D37"/>
    <w:rsid w:val="00774503"/>
    <w:rsid w:val="007754A0"/>
    <w:rsid w:val="00777CD2"/>
    <w:rsid w:val="00780272"/>
    <w:rsid w:val="0078038F"/>
    <w:rsid w:val="0078153B"/>
    <w:rsid w:val="00785FE9"/>
    <w:rsid w:val="00786E04"/>
    <w:rsid w:val="007A7F79"/>
    <w:rsid w:val="007C124D"/>
    <w:rsid w:val="007D46C2"/>
    <w:rsid w:val="007E3065"/>
    <w:rsid w:val="007F3B38"/>
    <w:rsid w:val="007F3C02"/>
    <w:rsid w:val="00802605"/>
    <w:rsid w:val="00802A30"/>
    <w:rsid w:val="008043E5"/>
    <w:rsid w:val="00804A1A"/>
    <w:rsid w:val="00807331"/>
    <w:rsid w:val="0081073D"/>
    <w:rsid w:val="00813CC0"/>
    <w:rsid w:val="008323ED"/>
    <w:rsid w:val="00835955"/>
    <w:rsid w:val="00846701"/>
    <w:rsid w:val="008624D5"/>
    <w:rsid w:val="00871CA6"/>
    <w:rsid w:val="00882AB5"/>
    <w:rsid w:val="00882B1D"/>
    <w:rsid w:val="0088672C"/>
    <w:rsid w:val="008A1F0C"/>
    <w:rsid w:val="008A3558"/>
    <w:rsid w:val="008A40D1"/>
    <w:rsid w:val="008B3128"/>
    <w:rsid w:val="008B541B"/>
    <w:rsid w:val="008C656B"/>
    <w:rsid w:val="008C6A87"/>
    <w:rsid w:val="008F47CB"/>
    <w:rsid w:val="00901003"/>
    <w:rsid w:val="0090158E"/>
    <w:rsid w:val="00901EF6"/>
    <w:rsid w:val="0090413E"/>
    <w:rsid w:val="00923B37"/>
    <w:rsid w:val="009271B1"/>
    <w:rsid w:val="0093485F"/>
    <w:rsid w:val="009407FC"/>
    <w:rsid w:val="009441E2"/>
    <w:rsid w:val="00963680"/>
    <w:rsid w:val="00964D3F"/>
    <w:rsid w:val="00964DC1"/>
    <w:rsid w:val="009700D9"/>
    <w:rsid w:val="00983CA7"/>
    <w:rsid w:val="00985369"/>
    <w:rsid w:val="00985C15"/>
    <w:rsid w:val="00996A5D"/>
    <w:rsid w:val="009A6DCA"/>
    <w:rsid w:val="009B00FD"/>
    <w:rsid w:val="009B38D1"/>
    <w:rsid w:val="009B4116"/>
    <w:rsid w:val="009B689F"/>
    <w:rsid w:val="009B6955"/>
    <w:rsid w:val="009C2A10"/>
    <w:rsid w:val="009D0BBA"/>
    <w:rsid w:val="009D1EA2"/>
    <w:rsid w:val="009E0141"/>
    <w:rsid w:val="009E234B"/>
    <w:rsid w:val="009F52F3"/>
    <w:rsid w:val="00A10441"/>
    <w:rsid w:val="00A15094"/>
    <w:rsid w:val="00A217C3"/>
    <w:rsid w:val="00A21F98"/>
    <w:rsid w:val="00A2391E"/>
    <w:rsid w:val="00A33AAC"/>
    <w:rsid w:val="00A41C21"/>
    <w:rsid w:val="00A47DA7"/>
    <w:rsid w:val="00A52DE7"/>
    <w:rsid w:val="00A55023"/>
    <w:rsid w:val="00A56B86"/>
    <w:rsid w:val="00A632EF"/>
    <w:rsid w:val="00A677E9"/>
    <w:rsid w:val="00A740AB"/>
    <w:rsid w:val="00A834BF"/>
    <w:rsid w:val="00A90769"/>
    <w:rsid w:val="00A973AA"/>
    <w:rsid w:val="00AA177A"/>
    <w:rsid w:val="00AA418C"/>
    <w:rsid w:val="00AB4DC3"/>
    <w:rsid w:val="00AC775D"/>
    <w:rsid w:val="00AD022F"/>
    <w:rsid w:val="00AD113F"/>
    <w:rsid w:val="00AD75AC"/>
    <w:rsid w:val="00AE0D00"/>
    <w:rsid w:val="00AF2C11"/>
    <w:rsid w:val="00AF3788"/>
    <w:rsid w:val="00AF5262"/>
    <w:rsid w:val="00AF7928"/>
    <w:rsid w:val="00B13844"/>
    <w:rsid w:val="00B20E84"/>
    <w:rsid w:val="00B26E3E"/>
    <w:rsid w:val="00B35DAD"/>
    <w:rsid w:val="00B417B3"/>
    <w:rsid w:val="00B47443"/>
    <w:rsid w:val="00B5043F"/>
    <w:rsid w:val="00B5377A"/>
    <w:rsid w:val="00B6181C"/>
    <w:rsid w:val="00B64496"/>
    <w:rsid w:val="00B66231"/>
    <w:rsid w:val="00B674DE"/>
    <w:rsid w:val="00B67A3F"/>
    <w:rsid w:val="00B9439C"/>
    <w:rsid w:val="00B96E43"/>
    <w:rsid w:val="00BA6A42"/>
    <w:rsid w:val="00BA6C9C"/>
    <w:rsid w:val="00BB2AA1"/>
    <w:rsid w:val="00BB3BEF"/>
    <w:rsid w:val="00BC5F22"/>
    <w:rsid w:val="00BD21CA"/>
    <w:rsid w:val="00BD34F2"/>
    <w:rsid w:val="00BF0E96"/>
    <w:rsid w:val="00C02E4A"/>
    <w:rsid w:val="00C05B4B"/>
    <w:rsid w:val="00C05B88"/>
    <w:rsid w:val="00C07F7F"/>
    <w:rsid w:val="00C12530"/>
    <w:rsid w:val="00C14429"/>
    <w:rsid w:val="00C16FA7"/>
    <w:rsid w:val="00C247D8"/>
    <w:rsid w:val="00C25486"/>
    <w:rsid w:val="00C25E66"/>
    <w:rsid w:val="00C34009"/>
    <w:rsid w:val="00C4763A"/>
    <w:rsid w:val="00C63D1E"/>
    <w:rsid w:val="00C667F3"/>
    <w:rsid w:val="00C712D2"/>
    <w:rsid w:val="00C77B5C"/>
    <w:rsid w:val="00C824C6"/>
    <w:rsid w:val="00C8275F"/>
    <w:rsid w:val="00C87068"/>
    <w:rsid w:val="00C9162F"/>
    <w:rsid w:val="00CA2F0A"/>
    <w:rsid w:val="00CB1ECE"/>
    <w:rsid w:val="00CB3579"/>
    <w:rsid w:val="00CB5C31"/>
    <w:rsid w:val="00CC0731"/>
    <w:rsid w:val="00CC07CF"/>
    <w:rsid w:val="00CC1B60"/>
    <w:rsid w:val="00CC770C"/>
    <w:rsid w:val="00CD215D"/>
    <w:rsid w:val="00CD4F92"/>
    <w:rsid w:val="00CD6628"/>
    <w:rsid w:val="00CE5780"/>
    <w:rsid w:val="00CF7018"/>
    <w:rsid w:val="00D00B48"/>
    <w:rsid w:val="00D110C5"/>
    <w:rsid w:val="00D2331B"/>
    <w:rsid w:val="00D34BBE"/>
    <w:rsid w:val="00D36BB6"/>
    <w:rsid w:val="00D472BE"/>
    <w:rsid w:val="00D53DEB"/>
    <w:rsid w:val="00D57DE8"/>
    <w:rsid w:val="00D735B0"/>
    <w:rsid w:val="00D73AAD"/>
    <w:rsid w:val="00D75842"/>
    <w:rsid w:val="00D802D6"/>
    <w:rsid w:val="00D86A15"/>
    <w:rsid w:val="00D86FF7"/>
    <w:rsid w:val="00DA7DC9"/>
    <w:rsid w:val="00DB7B7C"/>
    <w:rsid w:val="00DD6DF0"/>
    <w:rsid w:val="00E0031C"/>
    <w:rsid w:val="00E0138A"/>
    <w:rsid w:val="00E06430"/>
    <w:rsid w:val="00E13DE5"/>
    <w:rsid w:val="00E163CF"/>
    <w:rsid w:val="00E20D5B"/>
    <w:rsid w:val="00E22463"/>
    <w:rsid w:val="00E23871"/>
    <w:rsid w:val="00E3117F"/>
    <w:rsid w:val="00E322E9"/>
    <w:rsid w:val="00E400EA"/>
    <w:rsid w:val="00E46EE5"/>
    <w:rsid w:val="00E57F5E"/>
    <w:rsid w:val="00E60FB0"/>
    <w:rsid w:val="00E614A1"/>
    <w:rsid w:val="00E674A9"/>
    <w:rsid w:val="00E700AD"/>
    <w:rsid w:val="00E74ABD"/>
    <w:rsid w:val="00E81C88"/>
    <w:rsid w:val="00E829F2"/>
    <w:rsid w:val="00E83023"/>
    <w:rsid w:val="00E83271"/>
    <w:rsid w:val="00E833E4"/>
    <w:rsid w:val="00E86973"/>
    <w:rsid w:val="00E909D5"/>
    <w:rsid w:val="00E92EED"/>
    <w:rsid w:val="00E93A0F"/>
    <w:rsid w:val="00EA3E66"/>
    <w:rsid w:val="00EC0B43"/>
    <w:rsid w:val="00EC4383"/>
    <w:rsid w:val="00EC5D7E"/>
    <w:rsid w:val="00ED49C1"/>
    <w:rsid w:val="00EE2223"/>
    <w:rsid w:val="00EF6529"/>
    <w:rsid w:val="00EF70DB"/>
    <w:rsid w:val="00F11AA8"/>
    <w:rsid w:val="00F121BB"/>
    <w:rsid w:val="00F12F81"/>
    <w:rsid w:val="00F24787"/>
    <w:rsid w:val="00F27223"/>
    <w:rsid w:val="00F3623C"/>
    <w:rsid w:val="00F41116"/>
    <w:rsid w:val="00F44D20"/>
    <w:rsid w:val="00F4518C"/>
    <w:rsid w:val="00F4529D"/>
    <w:rsid w:val="00F53F09"/>
    <w:rsid w:val="00F56B20"/>
    <w:rsid w:val="00F6219B"/>
    <w:rsid w:val="00F64E0B"/>
    <w:rsid w:val="00F72D66"/>
    <w:rsid w:val="00F8164B"/>
    <w:rsid w:val="00F935EE"/>
    <w:rsid w:val="00F96885"/>
    <w:rsid w:val="00FA3D8C"/>
    <w:rsid w:val="00FB026D"/>
    <w:rsid w:val="00FB587F"/>
    <w:rsid w:val="00FD35DD"/>
    <w:rsid w:val="00FD532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1">
    <w:name w:val="heading 1"/>
    <w:basedOn w:val="Normal"/>
    <w:next w:val="Normal"/>
    <w:link w:val="Heading1Char"/>
    <w:qFormat/>
    <w:rsid w:val="00D34BB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 w:type="character" w:customStyle="1" w:styleId="Heading1Char">
    <w:name w:val="Heading 1 Char"/>
    <w:basedOn w:val="DefaultParagraphFont"/>
    <w:link w:val="Heading1"/>
    <w:rsid w:val="00D34BBE"/>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qFormat/>
    <w:rsid w:val="00B20E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2849</Words>
  <Characters>15624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Kenney, Victoria C. (ATF)</cp:lastModifiedBy>
  <cp:revision>8</cp:revision>
  <cp:lastPrinted>2020-02-19T15:46:00Z</cp:lastPrinted>
  <dcterms:created xsi:type="dcterms:W3CDTF">2023-10-25T10:56:00Z</dcterms:created>
  <dcterms:modified xsi:type="dcterms:W3CDTF">2023-10-27T11:40:00Z</dcterms:modified>
</cp:coreProperties>
</file>