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3104" w:rsidP="00893104" w14:paraId="6E010AFA" w14:textId="77777777"/>
    <w:p w:rsidR="00893104" w:rsidRPr="00676C65" w:rsidP="00893104" w14:paraId="390EFD4D" w14:textId="77777777">
      <w:pPr>
        <w:rPr>
          <w:iCs/>
          <w:u w:val="single"/>
        </w:rPr>
      </w:pPr>
      <w:r w:rsidRPr="00676C65">
        <w:rPr>
          <w:u w:val="single"/>
        </w:rPr>
        <w:t xml:space="preserve">Requested Amendment to OMB-Approved Project: </w:t>
      </w:r>
      <w:r w:rsidRPr="00676C65">
        <w:rPr>
          <w:iCs/>
          <w:u w:val="single"/>
        </w:rPr>
        <w:t>“Human Services and Environmental and Climate Justice: Considering Community Concerns and Program Options” (NOA date 9/12/22)</w:t>
      </w:r>
    </w:p>
    <w:p w:rsidR="00893104" w:rsidP="00893104" w14:paraId="0F183CC8" w14:textId="77777777"/>
    <w:p w:rsidR="00893104" w:rsidP="00893104" w14:paraId="2FE074E9" w14:textId="2C635C1F">
      <w:pPr>
        <w:spacing w:before="120" w:after="120" w:line="276" w:lineRule="auto"/>
        <w:rPr>
          <w:iCs/>
        </w:rPr>
      </w:pPr>
      <w:r>
        <w:rPr>
          <w:iCs/>
        </w:rPr>
        <w:t>We are submitting an amendment to approved project “</w:t>
      </w:r>
      <w:r w:rsidRPr="008817FA">
        <w:rPr>
          <w:iCs/>
        </w:rPr>
        <w:t>Human Services and Environmental and Climate Justice: Considering Community Concerns and Program Options</w:t>
      </w:r>
      <w:r>
        <w:rPr>
          <w:iCs/>
        </w:rPr>
        <w:t xml:space="preserve">” (NOA date 9/12/22), requesting two changes: 1) the addition </w:t>
      </w:r>
      <w:r w:rsidRPr="00F32272">
        <w:rPr>
          <w:iCs/>
        </w:rPr>
        <w:t>of 34.5 participant</w:t>
      </w:r>
      <w:r>
        <w:rPr>
          <w:iCs/>
        </w:rPr>
        <w:t xml:space="preserve"> hours for program-participant </w:t>
      </w:r>
      <w:r w:rsidR="00735863">
        <w:rPr>
          <w:iCs/>
        </w:rPr>
        <w:t xml:space="preserve">individual </w:t>
      </w:r>
      <w:r>
        <w:rPr>
          <w:iCs/>
        </w:rPr>
        <w:t xml:space="preserve">interviews and </w:t>
      </w:r>
      <w:r w:rsidR="00735863">
        <w:rPr>
          <w:iCs/>
        </w:rPr>
        <w:t>small group interview</w:t>
      </w:r>
      <w:r>
        <w:rPr>
          <w:iCs/>
        </w:rPr>
        <w:t xml:space="preserve">s (14 virtual interviews and two in-person </w:t>
      </w:r>
      <w:r w:rsidR="00735863">
        <w:rPr>
          <w:iCs/>
        </w:rPr>
        <w:t>small group interview</w:t>
      </w:r>
      <w:r>
        <w:rPr>
          <w:iCs/>
        </w:rPr>
        <w:t xml:space="preserve">s of eight people each), and 2) an increase in the participant incentive.  No other changes to the study are anticipated or requested. These requests are made in response to lessons learned during data collection undertaken for the study so far and additional information on the importance of including people with lived experience in exploratory policy research to enhance the quality of its findings and </w:t>
      </w:r>
      <w:r w:rsidR="00BE5CBC">
        <w:rPr>
          <w:iCs/>
        </w:rPr>
        <w:t xml:space="preserve">advance </w:t>
      </w:r>
      <w:r>
        <w:rPr>
          <w:iCs/>
        </w:rPr>
        <w:t xml:space="preserve">critical equity goals. We intend to conduct these </w:t>
      </w:r>
      <w:r w:rsidR="00735863">
        <w:rPr>
          <w:iCs/>
        </w:rPr>
        <w:t xml:space="preserve">individual </w:t>
      </w:r>
      <w:r>
        <w:rPr>
          <w:iCs/>
        </w:rPr>
        <w:t xml:space="preserve">interviews and </w:t>
      </w:r>
      <w:r w:rsidR="00735863">
        <w:rPr>
          <w:iCs/>
        </w:rPr>
        <w:t>small group interview</w:t>
      </w:r>
      <w:r>
        <w:rPr>
          <w:iCs/>
        </w:rPr>
        <w:t xml:space="preserve">s in </w:t>
      </w:r>
      <w:r w:rsidR="00735863">
        <w:rPr>
          <w:iCs/>
        </w:rPr>
        <w:t>February</w:t>
      </w:r>
      <w:r>
        <w:rPr>
          <w:iCs/>
        </w:rPr>
        <w:t>-</w:t>
      </w:r>
      <w:r w:rsidR="00735863">
        <w:rPr>
          <w:iCs/>
        </w:rPr>
        <w:t>April</w:t>
      </w:r>
      <w:r>
        <w:rPr>
          <w:iCs/>
        </w:rPr>
        <w:t xml:space="preserve"> 2024 in the same locations and with participants in the same HHS programs as outlined in the original submission, and to use the same methods, with the addition of two in-person </w:t>
      </w:r>
      <w:r w:rsidR="00735863">
        <w:rPr>
          <w:iCs/>
        </w:rPr>
        <w:t>small group interview</w:t>
      </w:r>
      <w:r>
        <w:rPr>
          <w:iCs/>
        </w:rPr>
        <w:t xml:space="preserve">s of approximately 90 minutes each. The interviews and </w:t>
      </w:r>
      <w:r w:rsidR="00735863">
        <w:rPr>
          <w:iCs/>
        </w:rPr>
        <w:t>small group interview</w:t>
      </w:r>
      <w:r>
        <w:rPr>
          <w:iCs/>
        </w:rPr>
        <w:t xml:space="preserve">s will use the same discussion guide as approved in the original submission. </w:t>
      </w:r>
    </w:p>
    <w:p w:rsidR="00893104" w:rsidP="00893104" w14:paraId="50F1E795" w14:textId="77777777">
      <w:pPr>
        <w:tabs>
          <w:tab w:val="num" w:pos="720"/>
        </w:tabs>
        <w:spacing w:before="120" w:after="120" w:line="276" w:lineRule="auto"/>
      </w:pPr>
      <w:r>
        <w:rPr>
          <w:iCs/>
        </w:rPr>
        <w:t xml:space="preserve">As the original PRA submission noted, the intended purpose of the study is to “inform </w:t>
      </w:r>
      <w:r>
        <w:t>a larger initiative by the Department of Health and Human Services to identify and facilitate opportunities for staff and partners in federal human services programs to advance environmental and climate justice among their participants and programs…The broad project goal is to better understand local environmental and climate concerns that affect the people that human services programs serve; program, community, and participant perspectives on these concerns; and potential ways to better address environmental and climate risks within the context of human services. The project is motivated by Executive Order 13985, “Advancing Racial Equity and Support for Underserved Communities Through the Federal Government,”</w:t>
      </w:r>
      <w:r>
        <w:rPr>
          <w:rStyle w:val="FootnoteReference"/>
        </w:rPr>
        <w:footnoteReference w:id="2"/>
      </w:r>
      <w:r>
        <w:t xml:space="preserve"> and Executive Order 14008, “</w:t>
      </w:r>
      <w:bookmarkStart w:id="1" w:name="_Hlk108016169"/>
      <w:r>
        <w:t>Tackling the Climate Crisis at Home and Abroad</w:t>
      </w:r>
      <w:bookmarkEnd w:id="1"/>
      <w:r>
        <w:t>,” which calls on agencies to “deliver environmental justice in communities all across America.”</w:t>
      </w:r>
      <w:r>
        <w:rPr>
          <w:rStyle w:val="FootnoteReference"/>
        </w:rPr>
        <w:footnoteReference w:id="3"/>
      </w:r>
      <w:r>
        <w:t xml:space="preserve"> Both Executive Orders require a “whole of government” approach” that our office seeks to support.  </w:t>
      </w:r>
    </w:p>
    <w:p w:rsidR="00893104" w:rsidP="00893104" w14:paraId="6B4E3045" w14:textId="77777777">
      <w:pPr>
        <w:tabs>
          <w:tab w:val="num" w:pos="720"/>
        </w:tabs>
        <w:spacing w:before="120" w:after="120" w:line="276" w:lineRule="auto"/>
      </w:pPr>
      <w:r>
        <w:t>Since the original PRA submission, a third Executive Order, #14096, “</w:t>
      </w:r>
      <w:bookmarkStart w:id="2" w:name="_Hlk152693053"/>
      <w:r>
        <w:t>Revitalizing Our Nation’s Commitment to Environmental Justice for All</w:t>
      </w:r>
      <w:bookmarkEnd w:id="2"/>
      <w:r>
        <w:t>,”</w:t>
      </w:r>
      <w:r>
        <w:rPr>
          <w:rStyle w:val="FootnoteReference"/>
        </w:rPr>
        <w:footnoteReference w:id="4"/>
      </w:r>
      <w:r>
        <w:t xml:space="preserve"> reinforces the importance of this work across federal agencies.  </w:t>
      </w:r>
    </w:p>
    <w:p w:rsidR="00893104" w:rsidP="00893104" w14:paraId="319EAB8C" w14:textId="77777777">
      <w:pPr>
        <w:tabs>
          <w:tab w:val="num" w:pos="720"/>
        </w:tabs>
        <w:spacing w:before="120" w:after="120" w:line="276" w:lineRule="auto"/>
      </w:pPr>
      <w:r>
        <w:t>We learned from the study’s completed interviews and other sources about the importance to the goals of research quality and equity of participation in research by people with lived experience such as program participants.</w:t>
      </w:r>
      <w:r>
        <w:rPr>
          <w:rStyle w:val="FootnoteReference"/>
        </w:rPr>
        <w:footnoteReference w:id="5"/>
      </w:r>
      <w:r>
        <w:t xml:space="preserve"> This has also been reinforced by several additional executive orders such as Executive Order</w:t>
      </w:r>
      <w:r w:rsidRPr="00600309">
        <w:t xml:space="preserve"> 14091</w:t>
      </w:r>
      <w:r>
        <w:t>, “</w:t>
      </w:r>
      <w:r w:rsidRPr="00600309">
        <w:t>Further Advancing Racial Equity and Support for Underserved Communities Through the Federal Government</w:t>
      </w:r>
      <w:r>
        <w:t>,”</w:t>
      </w:r>
      <w:r>
        <w:rPr>
          <w:rStyle w:val="FootnoteReference"/>
        </w:rPr>
        <w:footnoteReference w:id="6"/>
      </w:r>
      <w:r>
        <w:t xml:space="preserve"> and Executive Order 14058, “</w:t>
      </w:r>
      <w:bookmarkStart w:id="3" w:name="_Hlk152692797"/>
      <w:r>
        <w:t>Transforming Federal Customer Experience and Service Delivery to Rebuild Trust in Government</w:t>
      </w:r>
      <w:bookmarkEnd w:id="3"/>
      <w:r>
        <w:t>,”</w:t>
      </w:r>
      <w:r>
        <w:rPr>
          <w:rStyle w:val="FootnoteReference"/>
        </w:rPr>
        <w:footnoteReference w:id="7"/>
      </w:r>
      <w:r>
        <w:t xml:space="preserve"> in addition to Executive Order 13895, noted above.  </w:t>
      </w:r>
    </w:p>
    <w:p w:rsidR="00893104" w:rsidP="00893104" w14:paraId="2F27E3AA" w14:textId="14247A41">
      <w:pPr>
        <w:tabs>
          <w:tab w:val="num" w:pos="720"/>
        </w:tabs>
        <w:spacing w:before="120" w:after="120" w:line="276" w:lineRule="auto"/>
      </w:pPr>
      <w:r>
        <w:t>Fairly compensating people with lived experience, such as program participants, for the value of their time and their insights is a critical component of research that relies on their perspectives.</w:t>
      </w:r>
      <w:r>
        <w:rPr>
          <w:rStyle w:val="FootnoteReference"/>
        </w:rPr>
        <w:footnoteReference w:id="8"/>
      </w:r>
      <w:r>
        <w:t xml:space="preserve">  It is also essential for facilitating the participation of program clients in a study with limited time for recruitment. These two factors motivate our decision to increase the incentive for participation in interviews to $50.  Further, for HHS program participants in in-person </w:t>
      </w:r>
      <w:r w:rsidR="00735863">
        <w:t xml:space="preserve">small </w:t>
      </w:r>
      <w:r>
        <w:t>group</w:t>
      </w:r>
      <w:r w:rsidR="00735863">
        <w:t xml:space="preserve"> interview</w:t>
      </w:r>
      <w:r>
        <w:t xml:space="preserve">s we </w:t>
      </w:r>
      <w:r w:rsidR="00BE5CBC">
        <w:t>intend</w:t>
      </w:r>
      <w:r>
        <w:t xml:space="preserve"> to provide an additional $25 to compensate them for the costs of transportation and child care or other care </w:t>
      </w:r>
      <w:r w:rsidR="00BE5CBC">
        <w:t xml:space="preserve">responsibilities </w:t>
      </w:r>
      <w:r>
        <w:t>during their participation, coming to a total payment of $75 for these study participants.</w:t>
      </w:r>
      <w:r w:rsidRPr="009469DA">
        <w:t xml:space="preserve"> </w:t>
      </w:r>
      <w:r>
        <w:t xml:space="preserve">Program participants are, by definition, </w:t>
      </w:r>
      <w:r w:rsidRPr="0048158A">
        <w:t>low-income</w:t>
      </w:r>
      <w:r>
        <w:t xml:space="preserve">, many are parents, and many </w:t>
      </w:r>
      <w:r w:rsidRPr="0048158A">
        <w:t>have hourly jobs.</w:t>
      </w:r>
      <w:r>
        <w:t xml:space="preserve"> </w:t>
      </w:r>
      <w:r w:rsidRPr="00972188">
        <w:t xml:space="preserve">Low-income status also places additional barriers to </w:t>
      </w:r>
      <w:r w:rsidR="00735863">
        <w:t>small group interview</w:t>
      </w:r>
      <w:r w:rsidRPr="00972188">
        <w:t xml:space="preserve"> participation</w:t>
      </w:r>
      <w:r>
        <w:t xml:space="preserve">. </w:t>
      </w:r>
    </w:p>
    <w:p w:rsidR="00893104" w:rsidP="00893104" w14:paraId="2855C760" w14:textId="3EFFE246">
      <w:pPr>
        <w:tabs>
          <w:tab w:val="num" w:pos="720"/>
        </w:tabs>
        <w:spacing w:before="120" w:after="120" w:line="276" w:lineRule="auto"/>
      </w:pPr>
      <w:r>
        <w:t>E</w:t>
      </w:r>
      <w:r w:rsidRPr="00972188">
        <w:t xml:space="preserve">vidence shows that monetary remuneration bolsters recruitment and </w:t>
      </w:r>
      <w:r w:rsidR="00735863">
        <w:t>small group interview</w:t>
      </w:r>
      <w:r w:rsidRPr="00972188">
        <w:t xml:space="preserve"> attendance.  According to Krueger and Casey (2014), </w:t>
      </w:r>
      <w:r>
        <w:t xml:space="preserve">it is </w:t>
      </w:r>
      <w:r w:rsidRPr="00972188">
        <w:t>“more efficient to pay more for incentives…. [to] increase the likelihood that people will show up,” conclud</w:t>
      </w:r>
      <w:r>
        <w:t>ing</w:t>
      </w:r>
      <w:r w:rsidRPr="00972188">
        <w:t xml:space="preserve"> that “…amounts of $50 to $75 usually work for public and nonprofit studies” (p. 78).  In addition to increasing attendance, Krueger and Casey also note that “…as the incentive goes up, recruiting time goes down,” (p. 78).  This is especially important for the current study because of the tight timeline </w:t>
      </w:r>
      <w:r w:rsidRPr="00972188">
        <w:t xml:space="preserve">for recruiting and the challenges in ensuring that </w:t>
      </w:r>
      <w:r>
        <w:t xml:space="preserve">participants </w:t>
      </w:r>
      <w:r w:rsidRPr="00972188">
        <w:t xml:space="preserve">who have actually used </w:t>
      </w:r>
      <w:r>
        <w:t xml:space="preserve">HHS human services programs </w:t>
      </w:r>
      <w:r w:rsidRPr="00972188">
        <w:t xml:space="preserve">participate in the </w:t>
      </w:r>
      <w:r w:rsidR="00735863">
        <w:t>small group interview</w:t>
      </w:r>
      <w:r w:rsidRPr="00972188">
        <w:t xml:space="preserve"> discussions.</w:t>
      </w:r>
    </w:p>
    <w:p w:rsidR="00893104" w:rsidP="00893104" w14:paraId="7DCE86D0" w14:textId="77777777">
      <w:pPr>
        <w:spacing w:before="120" w:after="120" w:line="276" w:lineRule="auto"/>
        <w:rPr>
          <w:iCs/>
        </w:rPr>
      </w:pPr>
      <w:r>
        <w:rPr>
          <w:iCs/>
        </w:rPr>
        <w:t xml:space="preserve">A revised burden hour chart with revisions tracked is included here (no changes were made to the study participation of program staff, only to that of program participants). The requested changes to the study result in an increase </w:t>
      </w:r>
      <w:r w:rsidRPr="00F32272">
        <w:rPr>
          <w:iCs/>
        </w:rPr>
        <w:t>of 34.5</w:t>
      </w:r>
      <w:r>
        <w:rPr>
          <w:iCs/>
        </w:rPr>
        <w:t xml:space="preserve"> total burden hours (from 45 to 79.5 hours), and an increase in burden cost </w:t>
      </w:r>
      <w:r w:rsidRPr="00F32272">
        <w:rPr>
          <w:iCs/>
        </w:rPr>
        <w:t>of $517.50 (from $923.40 to $1,440.90).</w:t>
      </w:r>
      <w:r>
        <w:rPr>
          <w:iCs/>
        </w:rPr>
        <w:t xml:space="preserve"> </w:t>
      </w:r>
    </w:p>
    <w:p w:rsidR="00C73177" w:rsidP="00F70160" w14:paraId="72A94A45" w14:textId="77777777">
      <w:pPr>
        <w:rPr>
          <w:b/>
        </w:rPr>
      </w:pPr>
    </w:p>
    <w:p w:rsidR="00F70160" w:rsidP="00F70160" w14:paraId="3884F345" w14:textId="766A9A2B">
      <w:pPr>
        <w:rPr>
          <w:i/>
        </w:rPr>
      </w:pPr>
      <w:r>
        <w:rPr>
          <w:b/>
        </w:rPr>
        <w:t>BURDEN HOUR COMPUTATION</w:t>
      </w:r>
      <w:r>
        <w:t xml:space="preserve"> </w:t>
      </w:r>
      <w:r>
        <w:rPr>
          <w:i/>
        </w:rPr>
        <w:t>(Number of responses (X) estimated response or participation time in minutes (/60) = annual burden hours):</w:t>
      </w:r>
    </w:p>
    <w:p w:rsidR="00F70160" w:rsidP="00F70160" w14:paraId="5F75750E" w14:textId="77777777">
      <w:pPr>
        <w:keepNext/>
        <w:keepLines/>
        <w:rPr>
          <w:b/>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1793"/>
        <w:gridCol w:w="1619"/>
        <w:gridCol w:w="1877"/>
      </w:tblGrid>
      <w:tr w14:paraId="29AC6858" w14:textId="77777777" w:rsidTr="00CF0712">
        <w:tblPrEx>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jc w:val="center"/>
        </w:trPr>
        <w:tc>
          <w:tcPr>
            <w:tcW w:w="2696" w:type="dxa"/>
            <w:tcBorders>
              <w:top w:val="single" w:sz="4" w:space="0" w:color="auto"/>
              <w:left w:val="single" w:sz="4" w:space="0" w:color="auto"/>
              <w:bottom w:val="single" w:sz="4" w:space="0" w:color="auto"/>
              <w:right w:val="single" w:sz="4" w:space="0" w:color="auto"/>
            </w:tcBorders>
            <w:shd w:val="clear" w:color="auto" w:fill="E0E0E0"/>
            <w:hideMark/>
          </w:tcPr>
          <w:p w:rsidR="00F70160" w:rsidP="00CF0712" w14:paraId="381895DE" w14:textId="77777777">
            <w:pPr>
              <w:jc w:val="center"/>
              <w:rPr>
                <w:b/>
              </w:rPr>
            </w:pPr>
            <w:r>
              <w:rPr>
                <w:b/>
              </w:rPr>
              <w:t>Category of Respondent</w:t>
            </w:r>
          </w:p>
        </w:tc>
        <w:tc>
          <w:tcPr>
            <w:tcW w:w="1793" w:type="dxa"/>
            <w:tcBorders>
              <w:top w:val="single" w:sz="4" w:space="0" w:color="auto"/>
              <w:left w:val="single" w:sz="4" w:space="0" w:color="auto"/>
              <w:bottom w:val="single" w:sz="4" w:space="0" w:color="auto"/>
              <w:right w:val="single" w:sz="4" w:space="0" w:color="auto"/>
            </w:tcBorders>
            <w:shd w:val="clear" w:color="auto" w:fill="E0E0E0"/>
            <w:hideMark/>
          </w:tcPr>
          <w:p w:rsidR="00F70160" w:rsidP="00CF0712" w14:paraId="223A4230" w14:textId="77777777">
            <w:pPr>
              <w:jc w:val="center"/>
              <w:rPr>
                <w:b/>
              </w:rPr>
            </w:pPr>
            <w:r>
              <w:rPr>
                <w:b/>
              </w:rPr>
              <w:t>No. of Respondents</w:t>
            </w:r>
          </w:p>
        </w:tc>
        <w:tc>
          <w:tcPr>
            <w:tcW w:w="1619" w:type="dxa"/>
            <w:tcBorders>
              <w:top w:val="single" w:sz="4" w:space="0" w:color="auto"/>
              <w:left w:val="single" w:sz="4" w:space="0" w:color="auto"/>
              <w:bottom w:val="single" w:sz="4" w:space="0" w:color="auto"/>
              <w:right w:val="single" w:sz="4" w:space="0" w:color="auto"/>
            </w:tcBorders>
            <w:shd w:val="clear" w:color="auto" w:fill="E0E0E0"/>
            <w:hideMark/>
          </w:tcPr>
          <w:p w:rsidR="00F70160" w:rsidP="00CF0712" w14:paraId="3009EB6D" w14:textId="77777777">
            <w:pPr>
              <w:jc w:val="center"/>
              <w:rPr>
                <w:b/>
              </w:rPr>
            </w:pPr>
            <w:r>
              <w:rPr>
                <w:b/>
              </w:rPr>
              <w:t>Participation Time</w:t>
            </w:r>
          </w:p>
        </w:tc>
        <w:tc>
          <w:tcPr>
            <w:tcW w:w="1877" w:type="dxa"/>
            <w:tcBorders>
              <w:top w:val="single" w:sz="4" w:space="0" w:color="auto"/>
              <w:left w:val="single" w:sz="4" w:space="0" w:color="auto"/>
              <w:bottom w:val="single" w:sz="4" w:space="0" w:color="auto"/>
              <w:right w:val="single" w:sz="4" w:space="0" w:color="auto"/>
            </w:tcBorders>
            <w:shd w:val="clear" w:color="auto" w:fill="E0E0E0"/>
            <w:vAlign w:val="bottom"/>
            <w:hideMark/>
          </w:tcPr>
          <w:p w:rsidR="00F70160" w:rsidP="00CF0712" w14:paraId="07999316" w14:textId="77777777">
            <w:pPr>
              <w:jc w:val="center"/>
              <w:rPr>
                <w:b/>
              </w:rPr>
            </w:pPr>
            <w:r>
              <w:rPr>
                <w:b/>
              </w:rPr>
              <w:t>Burden</w:t>
            </w:r>
          </w:p>
        </w:tc>
      </w:tr>
      <w:tr w14:paraId="3CC37AC3" w14:textId="77777777" w:rsidTr="00CF0712">
        <w:tblPrEx>
          <w:tblW w:w="7985" w:type="dxa"/>
          <w:jc w:val="center"/>
          <w:tblLook w:val="01E0"/>
        </w:tblPrEx>
        <w:trPr>
          <w:trHeight w:val="274"/>
          <w:jc w:val="center"/>
        </w:trPr>
        <w:tc>
          <w:tcPr>
            <w:tcW w:w="2696" w:type="dxa"/>
            <w:tcBorders>
              <w:top w:val="single" w:sz="4" w:space="0" w:color="auto"/>
              <w:left w:val="single" w:sz="4" w:space="0" w:color="auto"/>
              <w:bottom w:val="single" w:sz="4" w:space="0" w:color="auto"/>
              <w:right w:val="single" w:sz="4" w:space="0" w:color="auto"/>
            </w:tcBorders>
            <w:hideMark/>
          </w:tcPr>
          <w:p w:rsidR="00F70160" w:rsidP="00CF0712" w14:paraId="562BB808" w14:textId="1EAC1833">
            <w:r>
              <w:t>State, tribal, local, or community human services program staff</w:t>
            </w:r>
            <w:r w:rsidR="00E12289">
              <w:t xml:space="preserve"> [no change fr</w:t>
            </w:r>
            <w:r w:rsidR="00D113F1">
              <w:t>om</w:t>
            </w:r>
            <w:r w:rsidR="00E12289">
              <w:t xml:space="preserve"> original submission]</w:t>
            </w:r>
          </w:p>
        </w:tc>
        <w:tc>
          <w:tcPr>
            <w:tcW w:w="1793" w:type="dxa"/>
            <w:tcBorders>
              <w:top w:val="single" w:sz="4" w:space="0" w:color="auto"/>
              <w:left w:val="single" w:sz="4" w:space="0" w:color="auto"/>
              <w:bottom w:val="single" w:sz="4" w:space="0" w:color="auto"/>
              <w:right w:val="single" w:sz="4" w:space="0" w:color="auto"/>
            </w:tcBorders>
            <w:hideMark/>
          </w:tcPr>
          <w:p w:rsidR="00F70160" w:rsidP="00CF0712" w14:paraId="663FF05B" w14:textId="77777777">
            <w:pPr>
              <w:jc w:val="center"/>
            </w:pPr>
            <w:r>
              <w:t xml:space="preserve">40 </w:t>
            </w:r>
          </w:p>
        </w:tc>
        <w:tc>
          <w:tcPr>
            <w:tcW w:w="1619" w:type="dxa"/>
            <w:tcBorders>
              <w:top w:val="single" w:sz="4" w:space="0" w:color="auto"/>
              <w:left w:val="single" w:sz="4" w:space="0" w:color="auto"/>
              <w:bottom w:val="single" w:sz="4" w:space="0" w:color="auto"/>
              <w:right w:val="single" w:sz="4" w:space="0" w:color="auto"/>
            </w:tcBorders>
            <w:hideMark/>
          </w:tcPr>
          <w:p w:rsidR="00F70160" w:rsidP="00CF0712" w14:paraId="3DF4D103" w14:textId="77777777">
            <w:pPr>
              <w:jc w:val="center"/>
            </w:pPr>
            <w:r>
              <w:t>45 minutes</w:t>
            </w:r>
          </w:p>
        </w:tc>
        <w:tc>
          <w:tcPr>
            <w:tcW w:w="1877" w:type="dxa"/>
            <w:tcBorders>
              <w:top w:val="single" w:sz="4" w:space="0" w:color="auto"/>
              <w:left w:val="single" w:sz="4" w:space="0" w:color="auto"/>
              <w:bottom w:val="single" w:sz="4" w:space="0" w:color="auto"/>
              <w:right w:val="single" w:sz="4" w:space="0" w:color="auto"/>
            </w:tcBorders>
            <w:hideMark/>
          </w:tcPr>
          <w:p w:rsidR="00F70160" w:rsidP="00CF0712" w14:paraId="740346E3" w14:textId="77777777">
            <w:pPr>
              <w:jc w:val="center"/>
            </w:pPr>
            <w:r>
              <w:t>30 hours</w:t>
            </w:r>
          </w:p>
        </w:tc>
      </w:tr>
      <w:tr w14:paraId="1381C295" w14:textId="77777777" w:rsidTr="00CF0712">
        <w:tblPrEx>
          <w:tblW w:w="7985" w:type="dxa"/>
          <w:jc w:val="center"/>
          <w:tblLook w:val="01E0"/>
        </w:tblPrEx>
        <w:trPr>
          <w:trHeight w:val="274"/>
          <w:jc w:val="center"/>
        </w:trPr>
        <w:tc>
          <w:tcPr>
            <w:tcW w:w="2696" w:type="dxa"/>
            <w:tcBorders>
              <w:top w:val="single" w:sz="4" w:space="0" w:color="auto"/>
              <w:left w:val="single" w:sz="4" w:space="0" w:color="auto"/>
              <w:bottom w:val="single" w:sz="4" w:space="0" w:color="auto"/>
              <w:right w:val="single" w:sz="4" w:space="0" w:color="auto"/>
            </w:tcBorders>
            <w:hideMark/>
          </w:tcPr>
          <w:p w:rsidR="00F70160" w:rsidP="00CF0712" w14:paraId="32494DE7" w14:textId="63554DB6">
            <w:r>
              <w:t xml:space="preserve">Program participants </w:t>
            </w:r>
            <w:r w:rsidR="00E12289">
              <w:t>(</w:t>
            </w:r>
            <w:r w:rsidR="00735863">
              <w:t xml:space="preserve">individual </w:t>
            </w:r>
            <w:r w:rsidR="00E12289">
              <w:t>interviews)</w:t>
            </w:r>
          </w:p>
        </w:tc>
        <w:tc>
          <w:tcPr>
            <w:tcW w:w="1793" w:type="dxa"/>
            <w:tcBorders>
              <w:top w:val="single" w:sz="4" w:space="0" w:color="auto"/>
              <w:left w:val="single" w:sz="4" w:space="0" w:color="auto"/>
              <w:bottom w:val="single" w:sz="4" w:space="0" w:color="auto"/>
              <w:right w:val="single" w:sz="4" w:space="0" w:color="auto"/>
            </w:tcBorders>
            <w:hideMark/>
          </w:tcPr>
          <w:p w:rsidR="00F70160" w:rsidP="00CF0712" w14:paraId="413E6033" w14:textId="0ABD91DC">
            <w:pPr>
              <w:jc w:val="center"/>
            </w:pPr>
            <w:r w:rsidR="00E12289">
              <w:t>34</w:t>
            </w:r>
          </w:p>
        </w:tc>
        <w:tc>
          <w:tcPr>
            <w:tcW w:w="1619" w:type="dxa"/>
            <w:tcBorders>
              <w:top w:val="single" w:sz="4" w:space="0" w:color="auto"/>
              <w:left w:val="single" w:sz="4" w:space="0" w:color="auto"/>
              <w:bottom w:val="single" w:sz="4" w:space="0" w:color="auto"/>
              <w:right w:val="single" w:sz="4" w:space="0" w:color="auto"/>
            </w:tcBorders>
            <w:hideMark/>
          </w:tcPr>
          <w:p w:rsidR="00F70160" w:rsidP="00CF0712" w14:paraId="10FD50BC" w14:textId="77777777">
            <w:pPr>
              <w:jc w:val="center"/>
            </w:pPr>
            <w:r>
              <w:t>45 minutes</w:t>
            </w:r>
          </w:p>
        </w:tc>
        <w:tc>
          <w:tcPr>
            <w:tcW w:w="1877" w:type="dxa"/>
            <w:tcBorders>
              <w:top w:val="single" w:sz="4" w:space="0" w:color="auto"/>
              <w:left w:val="single" w:sz="4" w:space="0" w:color="auto"/>
              <w:bottom w:val="single" w:sz="4" w:space="0" w:color="auto"/>
              <w:right w:val="single" w:sz="4" w:space="0" w:color="auto"/>
            </w:tcBorders>
            <w:hideMark/>
          </w:tcPr>
          <w:p w:rsidR="00F70160" w:rsidP="00CF0712" w14:paraId="610EE55B" w14:textId="7583820E">
            <w:pPr>
              <w:jc w:val="center"/>
            </w:pPr>
            <w:r w:rsidR="00D113F1">
              <w:t>25.5</w:t>
            </w:r>
            <w:r>
              <w:t xml:space="preserve"> hours</w:t>
            </w:r>
          </w:p>
        </w:tc>
      </w:tr>
      <w:tr w14:paraId="601225D2" w14:textId="77777777" w:rsidTr="00CF0712">
        <w:tblPrEx>
          <w:tblW w:w="7985" w:type="dxa"/>
          <w:jc w:val="center"/>
          <w:tblLook w:val="01E0"/>
        </w:tblPrEx>
        <w:trPr>
          <w:trHeight w:val="274"/>
          <w:jc w:val="center"/>
        </w:trPr>
        <w:tc>
          <w:tcPr>
            <w:tcW w:w="2696" w:type="dxa"/>
            <w:tcBorders>
              <w:top w:val="single" w:sz="4" w:space="0" w:color="auto"/>
              <w:left w:val="single" w:sz="4" w:space="0" w:color="auto"/>
              <w:bottom w:val="single" w:sz="4" w:space="0" w:color="auto"/>
              <w:right w:val="single" w:sz="4" w:space="0" w:color="auto"/>
            </w:tcBorders>
          </w:tcPr>
          <w:p w:rsidR="0019474C" w:rsidP="00CF0712" w14:paraId="4D48F89C" w14:textId="68EAADFA">
            <w:r>
              <w:t>Program participants (</w:t>
            </w:r>
            <w:r w:rsidR="00735863">
              <w:t>small group interview</w:t>
            </w:r>
            <w:r>
              <w:t>s)</w:t>
            </w:r>
          </w:p>
        </w:tc>
        <w:tc>
          <w:tcPr>
            <w:tcW w:w="1793" w:type="dxa"/>
            <w:tcBorders>
              <w:top w:val="single" w:sz="4" w:space="0" w:color="auto"/>
              <w:left w:val="single" w:sz="4" w:space="0" w:color="auto"/>
              <w:bottom w:val="single" w:sz="4" w:space="0" w:color="auto"/>
              <w:right w:val="single" w:sz="4" w:space="0" w:color="auto"/>
            </w:tcBorders>
          </w:tcPr>
          <w:p w:rsidR="0019474C" w:rsidP="00CF0712" w14:paraId="462B5C94" w14:textId="77777777">
            <w:pPr>
              <w:jc w:val="center"/>
            </w:pPr>
          </w:p>
          <w:p w:rsidR="00E12289" w:rsidP="00CF0712" w14:paraId="03766060" w14:textId="4FA11ABD">
            <w:pPr>
              <w:jc w:val="center"/>
            </w:pPr>
            <w:r>
              <w:t>16</w:t>
            </w:r>
          </w:p>
        </w:tc>
        <w:tc>
          <w:tcPr>
            <w:tcW w:w="1619" w:type="dxa"/>
            <w:tcBorders>
              <w:top w:val="single" w:sz="4" w:space="0" w:color="auto"/>
              <w:left w:val="single" w:sz="4" w:space="0" w:color="auto"/>
              <w:bottom w:val="single" w:sz="4" w:space="0" w:color="auto"/>
              <w:right w:val="single" w:sz="4" w:space="0" w:color="auto"/>
            </w:tcBorders>
          </w:tcPr>
          <w:p w:rsidR="0019474C" w:rsidP="00CF0712" w14:paraId="63782202" w14:textId="77777777">
            <w:pPr>
              <w:jc w:val="center"/>
            </w:pPr>
          </w:p>
          <w:p w:rsidR="00E12289" w:rsidP="00CF0712" w14:paraId="6F5C0555" w14:textId="7C170E7C">
            <w:pPr>
              <w:jc w:val="center"/>
            </w:pPr>
            <w:r>
              <w:t>90 minutes</w:t>
            </w:r>
          </w:p>
        </w:tc>
        <w:tc>
          <w:tcPr>
            <w:tcW w:w="1877" w:type="dxa"/>
            <w:tcBorders>
              <w:top w:val="single" w:sz="4" w:space="0" w:color="auto"/>
              <w:left w:val="single" w:sz="4" w:space="0" w:color="auto"/>
              <w:bottom w:val="single" w:sz="4" w:space="0" w:color="auto"/>
              <w:right w:val="single" w:sz="4" w:space="0" w:color="auto"/>
            </w:tcBorders>
          </w:tcPr>
          <w:p w:rsidR="0019474C" w:rsidP="00CF0712" w14:paraId="1193E758" w14:textId="77777777">
            <w:pPr>
              <w:jc w:val="center"/>
            </w:pPr>
          </w:p>
          <w:p w:rsidR="00E12289" w:rsidP="00CF0712" w14:paraId="38459281" w14:textId="360A21EF">
            <w:pPr>
              <w:jc w:val="center"/>
            </w:pPr>
            <w:r>
              <w:t>24</w:t>
            </w:r>
          </w:p>
        </w:tc>
      </w:tr>
      <w:tr w14:paraId="3CF96701" w14:textId="77777777" w:rsidTr="00CF0712">
        <w:tblPrEx>
          <w:tblW w:w="7985" w:type="dxa"/>
          <w:jc w:val="center"/>
          <w:tblLook w:val="01E0"/>
        </w:tblPrEx>
        <w:trPr>
          <w:trHeight w:val="274"/>
          <w:jc w:val="center"/>
        </w:trPr>
        <w:tc>
          <w:tcPr>
            <w:tcW w:w="2696" w:type="dxa"/>
            <w:tcBorders>
              <w:top w:val="single" w:sz="4" w:space="0" w:color="auto"/>
              <w:left w:val="single" w:sz="4" w:space="0" w:color="auto"/>
              <w:bottom w:val="single" w:sz="4" w:space="0" w:color="auto"/>
              <w:right w:val="single" w:sz="4" w:space="0" w:color="auto"/>
            </w:tcBorders>
            <w:shd w:val="clear" w:color="auto" w:fill="D9D9D9"/>
            <w:hideMark/>
          </w:tcPr>
          <w:p w:rsidR="00F70160" w:rsidP="00CF0712" w14:paraId="74127E88" w14:textId="77777777">
            <w:pPr>
              <w:rPr>
                <w:b/>
              </w:rPr>
            </w:pPr>
            <w:r>
              <w:rPr>
                <w:b/>
              </w:rPr>
              <w:t>Total</w:t>
            </w:r>
          </w:p>
        </w:tc>
        <w:tc>
          <w:tcPr>
            <w:tcW w:w="1793" w:type="dxa"/>
            <w:tcBorders>
              <w:top w:val="single" w:sz="4" w:space="0" w:color="auto"/>
              <w:left w:val="single" w:sz="4" w:space="0" w:color="auto"/>
              <w:bottom w:val="single" w:sz="4" w:space="0" w:color="auto"/>
              <w:right w:val="single" w:sz="4" w:space="0" w:color="auto"/>
            </w:tcBorders>
            <w:shd w:val="clear" w:color="auto" w:fill="D9D9D9"/>
            <w:hideMark/>
          </w:tcPr>
          <w:p w:rsidR="00F70160" w:rsidP="00CF0712" w14:paraId="048D0E49" w14:textId="738F5D8F">
            <w:pPr>
              <w:jc w:val="center"/>
              <w:rPr>
                <w:b/>
              </w:rPr>
            </w:pPr>
            <w:r w:rsidR="00D113F1">
              <w:rPr>
                <w:b/>
              </w:rPr>
              <w:t>90</w:t>
            </w:r>
          </w:p>
        </w:tc>
        <w:tc>
          <w:tcPr>
            <w:tcW w:w="1619" w:type="dxa"/>
            <w:tcBorders>
              <w:top w:val="single" w:sz="4" w:space="0" w:color="auto"/>
              <w:left w:val="single" w:sz="4" w:space="0" w:color="auto"/>
              <w:bottom w:val="single" w:sz="4" w:space="0" w:color="auto"/>
              <w:right w:val="single" w:sz="4" w:space="0" w:color="auto"/>
            </w:tcBorders>
            <w:shd w:val="clear" w:color="auto" w:fill="D9D9D9"/>
            <w:hideMark/>
          </w:tcPr>
          <w:p w:rsidR="00F70160" w:rsidP="00CF0712" w14:paraId="3269C922" w14:textId="77777777">
            <w:pPr>
              <w:jc w:val="center"/>
              <w:rPr>
                <w:b/>
              </w:rPr>
            </w:pPr>
            <w:r>
              <w:rPr>
                <w:b/>
              </w:rPr>
              <w:t>-</w:t>
            </w:r>
          </w:p>
        </w:tc>
        <w:tc>
          <w:tcPr>
            <w:tcW w:w="1877" w:type="dxa"/>
            <w:tcBorders>
              <w:top w:val="single" w:sz="4" w:space="0" w:color="auto"/>
              <w:left w:val="single" w:sz="4" w:space="0" w:color="auto"/>
              <w:bottom w:val="single" w:sz="4" w:space="0" w:color="auto"/>
              <w:right w:val="single" w:sz="4" w:space="0" w:color="auto"/>
            </w:tcBorders>
            <w:shd w:val="clear" w:color="auto" w:fill="D9D9D9"/>
            <w:hideMark/>
          </w:tcPr>
          <w:p w:rsidR="00F70160" w:rsidP="00CF0712" w14:paraId="1F55E330" w14:textId="1FF7134B">
            <w:pPr>
              <w:jc w:val="center"/>
              <w:rPr>
                <w:b/>
              </w:rPr>
            </w:pPr>
            <w:r>
              <w:rPr>
                <w:b/>
              </w:rPr>
              <w:t xml:space="preserve"> </w:t>
            </w:r>
            <w:r w:rsidR="00D113F1">
              <w:rPr>
                <w:b/>
              </w:rPr>
              <w:t>79.5</w:t>
            </w:r>
            <w:r>
              <w:rPr>
                <w:b/>
              </w:rPr>
              <w:t xml:space="preserve"> hours</w:t>
            </w:r>
          </w:p>
        </w:tc>
      </w:tr>
    </w:tbl>
    <w:p w:rsidR="00F70160" w:rsidP="00F70160" w14:paraId="46F15E8A" w14:textId="77777777"/>
    <w:p w:rsidR="00F70160" w:rsidP="00F70160" w14:paraId="34C4B16B" w14:textId="77777777">
      <w:pPr>
        <w:spacing w:after="120"/>
        <w:rPr>
          <w:b/>
        </w:rPr>
      </w:pPr>
      <w:r>
        <w:rPr>
          <w:b/>
        </w:rPr>
        <w:t>BURDEN COST COMPUTATION</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5"/>
        <w:gridCol w:w="1523"/>
        <w:gridCol w:w="1123"/>
        <w:gridCol w:w="1432"/>
        <w:gridCol w:w="1846"/>
      </w:tblGrid>
      <w:tr w14:paraId="440083DE" w14:textId="77777777" w:rsidTr="00CF0712">
        <w:tblPrEx>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jc w:val="center"/>
        </w:trPr>
        <w:tc>
          <w:tcPr>
            <w:tcW w:w="2025" w:type="dxa"/>
            <w:tcBorders>
              <w:top w:val="single" w:sz="4" w:space="0" w:color="auto"/>
              <w:left w:val="single" w:sz="4" w:space="0" w:color="auto"/>
              <w:bottom w:val="single" w:sz="4" w:space="0" w:color="auto"/>
              <w:right w:val="single" w:sz="4" w:space="0" w:color="auto"/>
            </w:tcBorders>
            <w:shd w:val="clear" w:color="auto" w:fill="E0E0E0"/>
            <w:vAlign w:val="bottom"/>
            <w:hideMark/>
          </w:tcPr>
          <w:p w:rsidR="00F70160" w:rsidP="00CF0712" w14:paraId="78D7352D" w14:textId="77777777">
            <w:pPr>
              <w:rPr>
                <w:b/>
              </w:rPr>
            </w:pPr>
            <w:r>
              <w:rPr>
                <w:b/>
              </w:rPr>
              <w:t xml:space="preserve">Category of Respondent </w:t>
            </w:r>
          </w:p>
        </w:tc>
        <w:tc>
          <w:tcPr>
            <w:tcW w:w="1523" w:type="dxa"/>
            <w:tcBorders>
              <w:top w:val="single" w:sz="4" w:space="0" w:color="auto"/>
              <w:left w:val="single" w:sz="4" w:space="0" w:color="auto"/>
              <w:bottom w:val="single" w:sz="4" w:space="0" w:color="auto"/>
              <w:right w:val="single" w:sz="4" w:space="0" w:color="auto"/>
            </w:tcBorders>
            <w:shd w:val="clear" w:color="auto" w:fill="E0E0E0"/>
            <w:vAlign w:val="bottom"/>
            <w:hideMark/>
          </w:tcPr>
          <w:p w:rsidR="00F70160" w:rsidP="00CF0712" w14:paraId="73200158" w14:textId="77777777">
            <w:pPr>
              <w:rPr>
                <w:b/>
              </w:rPr>
            </w:pPr>
            <w:r>
              <w:rPr>
                <w:b/>
              </w:rPr>
              <w:t>No. of Respondents</w:t>
            </w:r>
          </w:p>
        </w:tc>
        <w:tc>
          <w:tcPr>
            <w:tcW w:w="1123" w:type="dxa"/>
            <w:tcBorders>
              <w:top w:val="single" w:sz="4" w:space="0" w:color="auto"/>
              <w:left w:val="single" w:sz="4" w:space="0" w:color="auto"/>
              <w:bottom w:val="single" w:sz="4" w:space="0" w:color="auto"/>
              <w:right w:val="single" w:sz="4" w:space="0" w:color="auto"/>
            </w:tcBorders>
            <w:shd w:val="clear" w:color="auto" w:fill="E0E0E0"/>
            <w:hideMark/>
          </w:tcPr>
          <w:p w:rsidR="00F70160" w:rsidP="00CF0712" w14:paraId="2DE092DE" w14:textId="77777777">
            <w:pPr>
              <w:rPr>
                <w:b/>
              </w:rPr>
            </w:pPr>
            <w:r>
              <w:rPr>
                <w:b/>
              </w:rPr>
              <w:t xml:space="preserve">Hourly </w:t>
            </w:r>
          </w:p>
          <w:p w:rsidR="00F70160" w:rsidP="00CF0712" w14:paraId="1B6F18E8" w14:textId="77777777">
            <w:pPr>
              <w:rPr>
                <w:b/>
              </w:rPr>
            </w:pPr>
            <w:r>
              <w:rPr>
                <w:b/>
              </w:rPr>
              <w:t>Rate</w:t>
            </w:r>
          </w:p>
        </w:tc>
        <w:tc>
          <w:tcPr>
            <w:tcW w:w="1432" w:type="dxa"/>
            <w:tcBorders>
              <w:top w:val="single" w:sz="4" w:space="0" w:color="auto"/>
              <w:left w:val="single" w:sz="4" w:space="0" w:color="auto"/>
              <w:bottom w:val="single" w:sz="4" w:space="0" w:color="auto"/>
              <w:right w:val="single" w:sz="4" w:space="0" w:color="auto"/>
            </w:tcBorders>
            <w:shd w:val="clear" w:color="auto" w:fill="E0E0E0"/>
            <w:hideMark/>
          </w:tcPr>
          <w:p w:rsidR="00F70160" w:rsidP="00CF0712" w14:paraId="101B2FFC" w14:textId="77777777">
            <w:pPr>
              <w:rPr>
                <w:b/>
              </w:rPr>
            </w:pPr>
            <w:r>
              <w:rPr>
                <w:b/>
              </w:rPr>
              <w:t>Response Time (hours)</w:t>
            </w:r>
          </w:p>
        </w:tc>
        <w:tc>
          <w:tcPr>
            <w:tcW w:w="1846" w:type="dxa"/>
            <w:tcBorders>
              <w:top w:val="single" w:sz="4" w:space="0" w:color="auto"/>
              <w:left w:val="single" w:sz="4" w:space="0" w:color="auto"/>
              <w:bottom w:val="single" w:sz="4" w:space="0" w:color="auto"/>
              <w:right w:val="single" w:sz="4" w:space="0" w:color="auto"/>
            </w:tcBorders>
            <w:shd w:val="clear" w:color="auto" w:fill="E0E0E0"/>
            <w:vAlign w:val="bottom"/>
            <w:hideMark/>
          </w:tcPr>
          <w:p w:rsidR="00F70160" w:rsidP="00CF0712" w14:paraId="7E0C96C2" w14:textId="77777777">
            <w:pPr>
              <w:rPr>
                <w:b/>
              </w:rPr>
            </w:pPr>
            <w:r>
              <w:rPr>
                <w:b/>
              </w:rPr>
              <w:t>Total</w:t>
            </w:r>
          </w:p>
        </w:tc>
      </w:tr>
      <w:tr w14:paraId="60F82ED3" w14:textId="77777777" w:rsidTr="00CF0712">
        <w:tblPrEx>
          <w:tblW w:w="7949" w:type="dxa"/>
          <w:jc w:val="center"/>
          <w:tblLook w:val="01E0"/>
        </w:tblPrEx>
        <w:trPr>
          <w:trHeight w:val="274"/>
          <w:jc w:val="center"/>
        </w:trPr>
        <w:tc>
          <w:tcPr>
            <w:tcW w:w="2025" w:type="dxa"/>
            <w:tcBorders>
              <w:top w:val="single" w:sz="4" w:space="0" w:color="auto"/>
              <w:left w:val="single" w:sz="4" w:space="0" w:color="auto"/>
              <w:bottom w:val="single" w:sz="4" w:space="0" w:color="auto"/>
              <w:right w:val="single" w:sz="4" w:space="0" w:color="auto"/>
            </w:tcBorders>
            <w:hideMark/>
          </w:tcPr>
          <w:p w:rsidR="00F70160" w:rsidP="00CF0712" w14:paraId="62CFAAFF" w14:textId="47B95C7F">
            <w:r>
              <w:t>State, tribal, local, or community human services program staff</w:t>
            </w:r>
            <w:r w:rsidR="00C73177">
              <w:t xml:space="preserve"> [no change from original submission]</w:t>
            </w:r>
          </w:p>
        </w:tc>
        <w:tc>
          <w:tcPr>
            <w:tcW w:w="1523" w:type="dxa"/>
            <w:tcBorders>
              <w:top w:val="single" w:sz="4" w:space="0" w:color="auto"/>
              <w:left w:val="single" w:sz="4" w:space="0" w:color="auto"/>
              <w:bottom w:val="single" w:sz="4" w:space="0" w:color="auto"/>
              <w:right w:val="single" w:sz="4" w:space="0" w:color="auto"/>
            </w:tcBorders>
            <w:hideMark/>
          </w:tcPr>
          <w:p w:rsidR="00F70160" w:rsidP="00C73177" w14:paraId="53DFE030" w14:textId="77777777">
            <w:pPr>
              <w:jc w:val="center"/>
            </w:pPr>
            <w:r>
              <w:t>40</w:t>
            </w:r>
          </w:p>
        </w:tc>
        <w:tc>
          <w:tcPr>
            <w:tcW w:w="1123" w:type="dxa"/>
            <w:tcBorders>
              <w:top w:val="single" w:sz="4" w:space="0" w:color="auto"/>
              <w:left w:val="single" w:sz="4" w:space="0" w:color="auto"/>
              <w:bottom w:val="single" w:sz="4" w:space="0" w:color="auto"/>
              <w:right w:val="single" w:sz="4" w:space="0" w:color="auto"/>
            </w:tcBorders>
            <w:hideMark/>
          </w:tcPr>
          <w:p w:rsidR="00F70160" w:rsidP="00D113F1" w14:paraId="4EA86C53" w14:textId="77777777">
            <w:pPr>
              <w:spacing w:after="60"/>
              <w:jc w:val="center"/>
            </w:pPr>
            <w:r>
              <w:t>$23.28</w:t>
            </w:r>
          </w:p>
        </w:tc>
        <w:tc>
          <w:tcPr>
            <w:tcW w:w="1432" w:type="dxa"/>
            <w:tcBorders>
              <w:top w:val="single" w:sz="4" w:space="0" w:color="auto"/>
              <w:left w:val="single" w:sz="4" w:space="0" w:color="auto"/>
              <w:bottom w:val="single" w:sz="4" w:space="0" w:color="auto"/>
              <w:right w:val="single" w:sz="4" w:space="0" w:color="auto"/>
            </w:tcBorders>
            <w:hideMark/>
          </w:tcPr>
          <w:p w:rsidR="00F70160" w:rsidP="00D113F1" w14:paraId="2E5092A8" w14:textId="77777777">
            <w:pPr>
              <w:spacing w:after="60"/>
              <w:jc w:val="center"/>
            </w:pPr>
            <w:r>
              <w:t>.75 hours</w:t>
            </w:r>
          </w:p>
        </w:tc>
        <w:tc>
          <w:tcPr>
            <w:tcW w:w="1846" w:type="dxa"/>
            <w:tcBorders>
              <w:top w:val="single" w:sz="4" w:space="0" w:color="auto"/>
              <w:left w:val="single" w:sz="4" w:space="0" w:color="auto"/>
              <w:bottom w:val="single" w:sz="4" w:space="0" w:color="auto"/>
              <w:right w:val="single" w:sz="4" w:space="0" w:color="auto"/>
            </w:tcBorders>
            <w:hideMark/>
          </w:tcPr>
          <w:p w:rsidR="00F70160" w:rsidP="00D113F1" w14:paraId="6416FD16" w14:textId="77777777">
            <w:pPr>
              <w:spacing w:after="60"/>
              <w:jc w:val="center"/>
            </w:pPr>
            <w:r>
              <w:t>$698.40</w:t>
            </w:r>
          </w:p>
        </w:tc>
      </w:tr>
      <w:tr w14:paraId="6C5F0CFF" w14:textId="77777777" w:rsidTr="00CF0712">
        <w:tblPrEx>
          <w:tblW w:w="7949" w:type="dxa"/>
          <w:jc w:val="center"/>
          <w:tblLook w:val="01E0"/>
        </w:tblPrEx>
        <w:trPr>
          <w:trHeight w:val="274"/>
          <w:jc w:val="center"/>
        </w:trPr>
        <w:tc>
          <w:tcPr>
            <w:tcW w:w="2025" w:type="dxa"/>
            <w:tcBorders>
              <w:top w:val="single" w:sz="4" w:space="0" w:color="auto"/>
              <w:left w:val="single" w:sz="4" w:space="0" w:color="auto"/>
              <w:bottom w:val="single" w:sz="4" w:space="0" w:color="auto"/>
              <w:right w:val="single" w:sz="4" w:space="0" w:color="auto"/>
            </w:tcBorders>
            <w:hideMark/>
          </w:tcPr>
          <w:p w:rsidR="00F70160" w:rsidP="00CF0712" w14:paraId="2C293BD5" w14:textId="75A183DE">
            <w:r>
              <w:t xml:space="preserve">Program participants </w:t>
            </w:r>
            <w:r w:rsidR="00E12289">
              <w:t>(</w:t>
            </w:r>
            <w:r w:rsidR="00735863">
              <w:t xml:space="preserve">individual </w:t>
            </w:r>
            <w:r w:rsidR="00E12289">
              <w:t>interviews)</w:t>
            </w:r>
          </w:p>
        </w:tc>
        <w:tc>
          <w:tcPr>
            <w:tcW w:w="1523" w:type="dxa"/>
            <w:tcBorders>
              <w:top w:val="single" w:sz="4" w:space="0" w:color="auto"/>
              <w:left w:val="single" w:sz="4" w:space="0" w:color="auto"/>
              <w:bottom w:val="single" w:sz="4" w:space="0" w:color="auto"/>
              <w:right w:val="single" w:sz="4" w:space="0" w:color="auto"/>
            </w:tcBorders>
            <w:hideMark/>
          </w:tcPr>
          <w:p w:rsidR="00F70160" w:rsidP="00C73177" w14:paraId="44E9126D" w14:textId="6A6A4C4E">
            <w:pPr>
              <w:jc w:val="center"/>
            </w:pPr>
            <w:r>
              <w:t>34</w:t>
            </w:r>
          </w:p>
        </w:tc>
        <w:tc>
          <w:tcPr>
            <w:tcW w:w="1123" w:type="dxa"/>
            <w:tcBorders>
              <w:top w:val="single" w:sz="4" w:space="0" w:color="auto"/>
              <w:left w:val="nil"/>
              <w:bottom w:val="single" w:sz="4" w:space="0" w:color="auto"/>
              <w:right w:val="single" w:sz="4" w:space="0" w:color="auto"/>
            </w:tcBorders>
            <w:hideMark/>
          </w:tcPr>
          <w:p w:rsidR="00F70160" w:rsidP="00D113F1" w14:paraId="3C74B458" w14:textId="77777777">
            <w:pPr>
              <w:spacing w:after="60"/>
              <w:jc w:val="center"/>
            </w:pPr>
            <w:r>
              <w:t>$15.00</w:t>
            </w:r>
          </w:p>
        </w:tc>
        <w:tc>
          <w:tcPr>
            <w:tcW w:w="1432" w:type="dxa"/>
            <w:tcBorders>
              <w:top w:val="single" w:sz="4" w:space="0" w:color="auto"/>
              <w:left w:val="single" w:sz="4" w:space="0" w:color="auto"/>
              <w:bottom w:val="single" w:sz="4" w:space="0" w:color="auto"/>
              <w:right w:val="single" w:sz="4" w:space="0" w:color="auto"/>
            </w:tcBorders>
            <w:hideMark/>
          </w:tcPr>
          <w:p w:rsidR="00F70160" w:rsidP="00D113F1" w14:paraId="64375827" w14:textId="77777777">
            <w:pPr>
              <w:spacing w:after="60"/>
              <w:jc w:val="center"/>
            </w:pPr>
            <w:r>
              <w:t>.75 hour</w:t>
            </w:r>
          </w:p>
        </w:tc>
        <w:tc>
          <w:tcPr>
            <w:tcW w:w="1846" w:type="dxa"/>
            <w:tcBorders>
              <w:top w:val="single" w:sz="4" w:space="0" w:color="auto"/>
              <w:left w:val="single" w:sz="4" w:space="0" w:color="auto"/>
              <w:bottom w:val="single" w:sz="4" w:space="0" w:color="auto"/>
              <w:right w:val="single" w:sz="4" w:space="0" w:color="auto"/>
            </w:tcBorders>
            <w:hideMark/>
          </w:tcPr>
          <w:p w:rsidR="00F70160" w:rsidP="00D113F1" w14:paraId="3A3DB53F" w14:textId="7B3AE809">
            <w:pPr>
              <w:spacing w:after="60"/>
              <w:jc w:val="center"/>
            </w:pPr>
            <w:r>
              <w:t>$</w:t>
            </w:r>
            <w:r w:rsidR="00D113F1">
              <w:t>382.50</w:t>
            </w:r>
          </w:p>
        </w:tc>
      </w:tr>
      <w:tr w14:paraId="28F6E379" w14:textId="77777777" w:rsidTr="00CF0712">
        <w:tblPrEx>
          <w:tblW w:w="7949" w:type="dxa"/>
          <w:jc w:val="center"/>
          <w:tblLook w:val="01E0"/>
        </w:tblPrEx>
        <w:trPr>
          <w:trHeight w:val="274"/>
          <w:jc w:val="center"/>
        </w:trPr>
        <w:tc>
          <w:tcPr>
            <w:tcW w:w="2025" w:type="dxa"/>
            <w:tcBorders>
              <w:top w:val="single" w:sz="4" w:space="0" w:color="auto"/>
              <w:left w:val="single" w:sz="4" w:space="0" w:color="auto"/>
              <w:bottom w:val="single" w:sz="4" w:space="0" w:color="auto"/>
              <w:right w:val="single" w:sz="4" w:space="0" w:color="auto"/>
            </w:tcBorders>
          </w:tcPr>
          <w:p w:rsidR="00D113F1" w:rsidP="00CF0712" w14:paraId="1F09AE5C" w14:textId="2C6CE5DB">
            <w:r>
              <w:t>Program participants (</w:t>
            </w:r>
            <w:r w:rsidR="00735863">
              <w:t>small group interview</w:t>
            </w:r>
            <w:r>
              <w:t>s)</w:t>
            </w:r>
          </w:p>
        </w:tc>
        <w:tc>
          <w:tcPr>
            <w:tcW w:w="1523" w:type="dxa"/>
            <w:tcBorders>
              <w:top w:val="single" w:sz="4" w:space="0" w:color="auto"/>
              <w:left w:val="single" w:sz="4" w:space="0" w:color="auto"/>
              <w:bottom w:val="single" w:sz="4" w:space="0" w:color="auto"/>
              <w:right w:val="single" w:sz="4" w:space="0" w:color="auto"/>
            </w:tcBorders>
          </w:tcPr>
          <w:p w:rsidR="00D113F1" w:rsidP="00C73177" w14:paraId="7C23C6A1" w14:textId="4388C16D">
            <w:pPr>
              <w:jc w:val="center"/>
            </w:pPr>
            <w:r>
              <w:t>16</w:t>
            </w:r>
          </w:p>
          <w:p w:rsidR="00D113F1" w:rsidP="00C73177" w14:paraId="5172C734" w14:textId="38645529">
            <w:pPr>
              <w:jc w:val="center"/>
            </w:pPr>
          </w:p>
        </w:tc>
        <w:tc>
          <w:tcPr>
            <w:tcW w:w="1123" w:type="dxa"/>
            <w:tcBorders>
              <w:top w:val="single" w:sz="4" w:space="0" w:color="auto"/>
              <w:left w:val="nil"/>
              <w:bottom w:val="single" w:sz="4" w:space="0" w:color="auto"/>
              <w:right w:val="single" w:sz="4" w:space="0" w:color="auto"/>
            </w:tcBorders>
          </w:tcPr>
          <w:p w:rsidR="00D113F1" w:rsidP="00D113F1" w14:paraId="3B50F02E" w14:textId="39AF7180">
            <w:pPr>
              <w:spacing w:after="60"/>
              <w:jc w:val="center"/>
            </w:pPr>
            <w:r>
              <w:t>$15.00</w:t>
            </w:r>
          </w:p>
        </w:tc>
        <w:tc>
          <w:tcPr>
            <w:tcW w:w="1432" w:type="dxa"/>
            <w:tcBorders>
              <w:top w:val="single" w:sz="4" w:space="0" w:color="auto"/>
              <w:left w:val="single" w:sz="4" w:space="0" w:color="auto"/>
              <w:bottom w:val="single" w:sz="4" w:space="0" w:color="auto"/>
              <w:right w:val="single" w:sz="4" w:space="0" w:color="auto"/>
            </w:tcBorders>
          </w:tcPr>
          <w:p w:rsidR="00D113F1" w:rsidP="00D113F1" w14:paraId="2B1AE9D5" w14:textId="16AF6400">
            <w:pPr>
              <w:spacing w:after="60"/>
              <w:jc w:val="center"/>
            </w:pPr>
            <w:r>
              <w:t>1.5 hours</w:t>
            </w:r>
          </w:p>
        </w:tc>
        <w:tc>
          <w:tcPr>
            <w:tcW w:w="1846" w:type="dxa"/>
            <w:tcBorders>
              <w:top w:val="single" w:sz="4" w:space="0" w:color="auto"/>
              <w:left w:val="single" w:sz="4" w:space="0" w:color="auto"/>
              <w:bottom w:val="single" w:sz="4" w:space="0" w:color="auto"/>
              <w:right w:val="single" w:sz="4" w:space="0" w:color="auto"/>
            </w:tcBorders>
          </w:tcPr>
          <w:p w:rsidR="00D113F1" w:rsidP="00D113F1" w14:paraId="4289510B" w14:textId="0795BA0C">
            <w:pPr>
              <w:spacing w:after="60"/>
              <w:jc w:val="center"/>
            </w:pPr>
            <w:r>
              <w:t>$360</w:t>
            </w:r>
          </w:p>
        </w:tc>
      </w:tr>
      <w:tr w14:paraId="7D45E767" w14:textId="77777777" w:rsidTr="00CF0712">
        <w:tblPrEx>
          <w:tblW w:w="7949" w:type="dxa"/>
          <w:jc w:val="center"/>
          <w:tblLook w:val="01E0"/>
        </w:tblPrEx>
        <w:trPr>
          <w:trHeight w:val="274"/>
          <w:jc w:val="center"/>
        </w:trPr>
        <w:tc>
          <w:tcPr>
            <w:tcW w:w="2025" w:type="dxa"/>
            <w:tcBorders>
              <w:top w:val="single" w:sz="4" w:space="0" w:color="auto"/>
              <w:left w:val="single" w:sz="4" w:space="0" w:color="auto"/>
              <w:bottom w:val="single" w:sz="4" w:space="0" w:color="auto"/>
              <w:right w:val="single" w:sz="4" w:space="0" w:color="auto"/>
            </w:tcBorders>
            <w:shd w:val="clear" w:color="auto" w:fill="D9D9D9"/>
            <w:hideMark/>
          </w:tcPr>
          <w:p w:rsidR="00F70160" w:rsidP="00CF0712" w14:paraId="15828E0C" w14:textId="77777777">
            <w:pPr>
              <w:rPr>
                <w:b/>
              </w:rPr>
            </w:pPr>
            <w:r>
              <w:rPr>
                <w:b/>
              </w:rPr>
              <w:t xml:space="preserve">Total </w:t>
            </w:r>
          </w:p>
        </w:tc>
        <w:tc>
          <w:tcPr>
            <w:tcW w:w="1523" w:type="dxa"/>
            <w:tcBorders>
              <w:top w:val="single" w:sz="4" w:space="0" w:color="auto"/>
              <w:left w:val="single" w:sz="4" w:space="0" w:color="auto"/>
              <w:bottom w:val="single" w:sz="4" w:space="0" w:color="auto"/>
              <w:right w:val="single" w:sz="4" w:space="0" w:color="auto"/>
            </w:tcBorders>
            <w:shd w:val="clear" w:color="auto" w:fill="D9D9D9"/>
            <w:hideMark/>
          </w:tcPr>
          <w:p w:rsidR="00F70160" w:rsidP="00C73177" w14:paraId="4C901C21" w14:textId="106AD649">
            <w:pPr>
              <w:jc w:val="center"/>
              <w:rPr>
                <w:b/>
              </w:rPr>
            </w:pPr>
            <w:r w:rsidR="00C73177">
              <w:rPr>
                <w:b/>
              </w:rPr>
              <w:t>9</w:t>
            </w:r>
            <w:r>
              <w:rPr>
                <w:b/>
              </w:rPr>
              <w:t>0</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bottom"/>
          </w:tcPr>
          <w:p w:rsidR="00F70160" w:rsidP="00D113F1" w14:paraId="4F93F98D" w14:textId="77777777">
            <w:pPr>
              <w:jc w:val="center"/>
              <w:rPr>
                <w:b/>
              </w:rPr>
            </w:pPr>
          </w:p>
        </w:tc>
        <w:tc>
          <w:tcPr>
            <w:tcW w:w="143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70160" w:rsidP="00D113F1" w14:paraId="7AD96EB6" w14:textId="41FD9DCA">
            <w:pPr>
              <w:jc w:val="center"/>
              <w:rPr>
                <w:b/>
              </w:rPr>
            </w:pPr>
            <w:r w:rsidR="00C73177">
              <w:rPr>
                <w:b/>
              </w:rPr>
              <w:t>79.5</w:t>
            </w:r>
            <w:r>
              <w:rPr>
                <w:b/>
              </w:rPr>
              <w:t xml:space="preserve"> hours</w:t>
            </w:r>
          </w:p>
        </w:tc>
        <w:tc>
          <w:tcPr>
            <w:tcW w:w="1846" w:type="dxa"/>
            <w:tcBorders>
              <w:top w:val="single" w:sz="4" w:space="0" w:color="auto"/>
              <w:left w:val="nil"/>
              <w:bottom w:val="single" w:sz="4" w:space="0" w:color="auto"/>
              <w:right w:val="single" w:sz="4" w:space="0" w:color="auto"/>
            </w:tcBorders>
            <w:shd w:val="clear" w:color="auto" w:fill="D9D9D9"/>
            <w:hideMark/>
          </w:tcPr>
          <w:p w:rsidR="00F70160" w:rsidP="00D113F1" w14:paraId="027929D1" w14:textId="1C6BC0C3">
            <w:pPr>
              <w:jc w:val="center"/>
              <w:rPr>
                <w:b/>
                <w:bCs/>
              </w:rPr>
            </w:pPr>
            <w:r>
              <w:rPr>
                <w:b/>
                <w:bCs/>
              </w:rPr>
              <w:t>$</w:t>
            </w:r>
            <w:r w:rsidR="00C73177">
              <w:rPr>
                <w:b/>
                <w:bCs/>
              </w:rPr>
              <w:t>1,440.90</w:t>
            </w:r>
          </w:p>
        </w:tc>
      </w:tr>
    </w:tbl>
    <w:p w:rsidR="00F70160" w:rsidP="00F70160" w14:paraId="7DCB4843" w14:textId="77777777">
      <w:pPr>
        <w:spacing w:before="120" w:after="120" w:line="276" w:lineRule="auto"/>
        <w:rPr>
          <w:iCs/>
        </w:rPr>
      </w:pPr>
    </w:p>
    <w:p w:rsidR="000B381E" w14:paraId="79C698D5" w14:textId="77777777"/>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269225"/>
      <w:docPartObj>
        <w:docPartGallery w:val="Page Numbers (Bottom of Page)"/>
        <w:docPartUnique/>
      </w:docPartObj>
    </w:sdtPr>
    <w:sdtEndPr>
      <w:rPr>
        <w:noProof/>
      </w:rPr>
    </w:sdtEndPr>
    <w:sdtContent>
      <w:p w:rsidR="00893104" w14:paraId="6791453B" w14:textId="3794D9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93104" w14:paraId="3270EA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A6A7A" w:rsidP="00893104" w14:paraId="18035F13" w14:textId="77777777">
      <w:r>
        <w:separator/>
      </w:r>
    </w:p>
  </w:footnote>
  <w:footnote w:type="continuationSeparator" w:id="1">
    <w:p w:rsidR="007A6A7A" w:rsidP="00893104" w14:paraId="76B0D526" w14:textId="77777777">
      <w:r>
        <w:continuationSeparator/>
      </w:r>
    </w:p>
  </w:footnote>
  <w:footnote w:id="2">
    <w:p w:rsidR="00893104" w:rsidP="00893104" w14:paraId="406B4005" w14:textId="77777777">
      <w:pPr>
        <w:pStyle w:val="FootnoteText"/>
      </w:pPr>
      <w:r>
        <w:rPr>
          <w:rStyle w:val="FootnoteReference"/>
        </w:rPr>
        <w:footnoteRef/>
      </w:r>
      <w:r>
        <w:t xml:space="preserve"> </w:t>
      </w:r>
      <w:bookmarkStart w:id="0" w:name="_Hlk152692504"/>
      <w:r>
        <w:t xml:space="preserve">The Federal Register, “Advancing Racial Equity and Support for Underserved Communities Through the Federal Government.” 25 January 2021. </w:t>
      </w:r>
      <w:hyperlink r:id="rId1" w:history="1">
        <w:r>
          <w:rPr>
            <w:rStyle w:val="Hyperlink"/>
          </w:rPr>
          <w:t>https://www.federalregister.gov/documents/2021/01/25/2021-01753/advancing-racial-equity-and-support-for-underserved-communities-through-the-federal-government</w:t>
        </w:r>
      </w:hyperlink>
    </w:p>
    <w:bookmarkEnd w:id="0"/>
  </w:footnote>
  <w:footnote w:id="3">
    <w:p w:rsidR="00893104" w:rsidP="00893104" w14:paraId="6D83D78E" w14:textId="77777777">
      <w:pPr>
        <w:pStyle w:val="FootnoteText"/>
      </w:pPr>
      <w:r>
        <w:rPr>
          <w:rStyle w:val="FootnoteReference"/>
        </w:rPr>
        <w:footnoteRef/>
      </w:r>
      <w:r>
        <w:t xml:space="preserve"> The Federal Register, “Tackling the Climate Crisis at Home and Abroad.” 27 January 2021. </w:t>
      </w:r>
      <w:hyperlink r:id="rId2" w:history="1">
        <w:r>
          <w:rPr>
            <w:rStyle w:val="Hyperlink"/>
          </w:rPr>
          <w:t>https://www.federalregister.gov/documents/2021/02/01/2021-02177/tackling-the-climate-crisis-at-home-and-abroad</w:t>
        </w:r>
      </w:hyperlink>
    </w:p>
  </w:footnote>
  <w:footnote w:id="4">
    <w:p w:rsidR="00893104" w:rsidP="00893104" w14:paraId="75F15752" w14:textId="77777777">
      <w:pPr>
        <w:pStyle w:val="FootnoteText"/>
      </w:pPr>
      <w:r>
        <w:rPr>
          <w:rStyle w:val="FootnoteReference"/>
        </w:rPr>
        <w:footnoteRef/>
      </w:r>
      <w:r>
        <w:t xml:space="preserve"> The Federal Register, “</w:t>
      </w:r>
      <w:r w:rsidRPr="006F1175">
        <w:t>Revitalizing Our Nation’s Commitment to Environmental Justice for All</w:t>
      </w:r>
      <w:r>
        <w:t>.”</w:t>
      </w:r>
      <w:r w:rsidRPr="006F1175">
        <w:t xml:space="preserve"> </w:t>
      </w:r>
      <w:r>
        <w:t xml:space="preserve">21 April 2023. </w:t>
      </w:r>
      <w:hyperlink r:id="rId3" w:history="1">
        <w:r w:rsidRPr="004A0B4F">
          <w:rPr>
            <w:rStyle w:val="Hyperlink"/>
          </w:rPr>
          <w:t>https://www.federalregister.gov/documents/2023/04/26/2023-08955/revitalizing-our-nations-commitment-to-environmental-justice-for-all</w:t>
        </w:r>
      </w:hyperlink>
      <w:r>
        <w:t xml:space="preserve"> </w:t>
      </w:r>
    </w:p>
  </w:footnote>
  <w:footnote w:id="5">
    <w:p w:rsidR="00893104" w:rsidP="00893104" w14:paraId="46AFE4FE" w14:textId="77777777">
      <w:pPr>
        <w:pStyle w:val="FootnoteText"/>
      </w:pPr>
      <w:r>
        <w:rPr>
          <w:rStyle w:val="FootnoteReference"/>
        </w:rPr>
        <w:footnoteRef/>
      </w:r>
      <w:r>
        <w:t xml:space="preserve"> See, among other resources, Sonia Torres Rodríguez, Mikaela Tajo, </w:t>
      </w:r>
      <w:r>
        <w:t>Shamoiya</w:t>
      </w:r>
      <w:r>
        <w:t xml:space="preserve"> Washington, Ki</w:t>
      </w:r>
      <w:r w:rsidRPr="00A270F8">
        <w:t xml:space="preserve">mberly </w:t>
      </w:r>
      <w:r w:rsidRPr="00A270F8">
        <w:t>Burrowes</w:t>
      </w:r>
      <w:r>
        <w:t>. 2022. “Changing Power Dynamics among Researchers, Local Governments, and Community Members: A Community Engagement and Racial Equity Guidebook.” The Urban Institute.</w:t>
      </w:r>
      <w:r w:rsidRPr="00A270F8">
        <w:t xml:space="preserve"> </w:t>
      </w:r>
      <w:hyperlink r:id="rId4" w:history="1">
        <w:r w:rsidRPr="004A0B4F">
          <w:rPr>
            <w:rStyle w:val="Hyperlink"/>
          </w:rPr>
          <w:t>https://www.urban.org/research/publication/changing-power-dynamics-among-researchers-local-governments-and-community</w:t>
        </w:r>
      </w:hyperlink>
      <w:r>
        <w:t xml:space="preserve">.  </w:t>
      </w:r>
    </w:p>
  </w:footnote>
  <w:footnote w:id="6">
    <w:p w:rsidR="00893104" w:rsidP="00893104" w14:paraId="64F0B605" w14:textId="77777777">
      <w:pPr>
        <w:pStyle w:val="FootnoteText"/>
      </w:pPr>
      <w:r>
        <w:rPr>
          <w:rStyle w:val="FootnoteReference"/>
        </w:rPr>
        <w:footnoteRef/>
      </w:r>
      <w:r>
        <w:t>The Federal Register, “</w:t>
      </w:r>
      <w:r w:rsidRPr="00600309">
        <w:t>Further Advancing Racial Equity and Support for Underserved Communities Through the Federal Government</w:t>
      </w:r>
      <w:r>
        <w:t xml:space="preserve">.” 26 February 2023. </w:t>
      </w:r>
      <w:hyperlink r:id="rId5" w:history="1">
        <w:r w:rsidRPr="004A0B4F">
          <w:rPr>
            <w:rStyle w:val="Hyperlink"/>
          </w:rPr>
          <w:t>https://www.federalregister.gov/documents/2023/02/22/2023-03779/further-advancing-racial-equity-and-support-for-underserved-communities-through-the-federal</w:t>
        </w:r>
      </w:hyperlink>
      <w:r>
        <w:t xml:space="preserve">. </w:t>
      </w:r>
    </w:p>
  </w:footnote>
  <w:footnote w:id="7">
    <w:p w:rsidR="00893104" w:rsidP="00893104" w14:paraId="0183BE2E" w14:textId="77777777">
      <w:pPr>
        <w:pStyle w:val="FootnoteText"/>
      </w:pPr>
      <w:r>
        <w:rPr>
          <w:rStyle w:val="FootnoteReference"/>
        </w:rPr>
        <w:footnoteRef/>
      </w:r>
      <w:r>
        <w:t xml:space="preserve"> The Federal Register, “</w:t>
      </w:r>
      <w:r w:rsidRPr="00A270F8">
        <w:t>Transforming Federal Customer Experience and Service Delivery to Rebuild Trust in Government</w:t>
      </w:r>
      <w:r>
        <w:t>.” 13 December 2021.</w:t>
      </w:r>
      <w:r w:rsidRPr="006F1175">
        <w:t xml:space="preserve"> </w:t>
      </w:r>
      <w:hyperlink r:id="rId6" w:history="1">
        <w:r w:rsidRPr="004A0B4F">
          <w:rPr>
            <w:rStyle w:val="Hyperlink"/>
          </w:rPr>
          <w:t>https://www.federalregister.gov/documents/2021/12/16/2021-27380/transforming-federal-customer-experience-and-service-delivery-to-rebuild-trust-in-government</w:t>
        </w:r>
      </w:hyperlink>
      <w:r>
        <w:t xml:space="preserve">  </w:t>
      </w:r>
    </w:p>
  </w:footnote>
  <w:footnote w:id="8">
    <w:p w:rsidR="00893104" w:rsidP="00893104" w14:paraId="36238E74" w14:textId="3A656B9C">
      <w:pPr>
        <w:pStyle w:val="FootnoteText"/>
      </w:pPr>
      <w:r>
        <w:rPr>
          <w:rStyle w:val="FootnoteReference"/>
        </w:rPr>
        <w:footnoteRef/>
      </w:r>
      <w:r>
        <w:t xml:space="preserve"> See Mel </w:t>
      </w:r>
      <w:r>
        <w:t>Langness</w:t>
      </w:r>
      <w:r>
        <w:t xml:space="preserve">, Justin Winston Morgan, </w:t>
      </w:r>
      <w:r>
        <w:t>Saidy</w:t>
      </w:r>
      <w:r>
        <w:t xml:space="preserve"> </w:t>
      </w:r>
      <w:r>
        <w:t>Cedano</w:t>
      </w:r>
      <w:r>
        <w:t xml:space="preserve">, and Elsa </w:t>
      </w:r>
      <w:r>
        <w:t>Falkenburger</w:t>
      </w:r>
      <w:r>
        <w:t>. 2023. “</w:t>
      </w:r>
      <w:r w:rsidRPr="009469DA">
        <w:t>Equitable Compensation for Community Engagement Guidebook</w:t>
      </w:r>
      <w:r>
        <w:t>.</w:t>
      </w:r>
      <w:r w:rsidR="00BE5CBC">
        <w:t>”</w:t>
      </w:r>
      <w:r>
        <w:t xml:space="preserve"> The Urban Institute. </w:t>
      </w:r>
      <w:hyperlink r:id="rId7" w:history="1">
        <w:r w:rsidRPr="004A0B4F">
          <w:rPr>
            <w:rStyle w:val="Hyperlink"/>
          </w:rPr>
          <w:t>https://www.urban.org/research/publication/equitable-compensation-community-engagement-guidebook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104" w:rsidRPr="00333BBE" w:rsidP="00893104" w14:paraId="06605594" w14:textId="076132C1">
    <w:pPr>
      <w:rPr>
        <w:rFonts w:asciiTheme="majorHAnsi" w:hAnsiTheme="majorHAnsi"/>
      </w:rPr>
    </w:pPr>
    <w:r>
      <w:t>12-5-</w:t>
    </w:r>
    <w:r>
      <w:t>23</w:t>
    </w:r>
    <w:r w:rsidR="00735863">
      <w:t>;rev</w:t>
    </w:r>
    <w:r w:rsidR="00735863">
      <w:t xml:space="preserve"> 1-1</w:t>
    </w:r>
    <w:r w:rsidR="00F4549E">
      <w:t>2</w:t>
    </w:r>
    <w:r w:rsidR="00735863">
      <w:t>-24</w:t>
    </w:r>
    <w:r>
      <w:t xml:space="preserve">   </w:t>
    </w:r>
    <w:r w:rsidRPr="00333BBE">
      <w:rPr>
        <w:rFonts w:asciiTheme="majorHAnsi" w:hAnsiTheme="majorHAnsi"/>
      </w:rPr>
      <w:t>ASPE Generic Information Collection Request</w:t>
    </w:r>
    <w:r>
      <w:rPr>
        <w:rFonts w:asciiTheme="majorHAnsi" w:hAnsiTheme="majorHAnsi"/>
      </w:rPr>
      <w:t xml:space="preserve"> </w:t>
    </w:r>
    <w:r w:rsidR="00F4549E">
      <w:rPr>
        <w:rFonts w:asciiTheme="majorHAnsi" w:hAnsiTheme="majorHAnsi"/>
      </w:rPr>
      <w:t xml:space="preserve">Non-Substantive </w:t>
    </w:r>
    <w:r>
      <w:rPr>
        <w:rFonts w:asciiTheme="majorHAnsi" w:hAnsiTheme="majorHAnsi"/>
      </w:rPr>
      <w:t>Amendment</w:t>
    </w:r>
  </w:p>
  <w:p w:rsidR="00893104" w:rsidP="00893104" w14:paraId="65990372" w14:textId="38BFD4E6">
    <w:pPr>
      <w:pStyle w:val="Header"/>
    </w:pPr>
    <w:r w:rsidRPr="0041582B">
      <w:rPr>
        <w:rFonts w:asciiTheme="majorHAnsi" w:hAnsiTheme="majorHAnsi"/>
      </w:rPr>
      <w:t>OMB No. 0990-0421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SPE-HSP">
    <w15:presenceInfo w15:providerId="None" w15:userId="ASPE-HSP"/>
  </w15:person>
  <w15:person w15:author="ASPE-Human Services Policy">
    <w15:presenceInfo w15:providerId="None" w15:userId="ASPE-Human Services Poli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60"/>
    <w:rsid w:val="000B381E"/>
    <w:rsid w:val="0019474C"/>
    <w:rsid w:val="00205136"/>
    <w:rsid w:val="00333BBE"/>
    <w:rsid w:val="0041582B"/>
    <w:rsid w:val="0048158A"/>
    <w:rsid w:val="004A0B4F"/>
    <w:rsid w:val="004C5F5A"/>
    <w:rsid w:val="00550AD2"/>
    <w:rsid w:val="00600309"/>
    <w:rsid w:val="00676C65"/>
    <w:rsid w:val="006F1175"/>
    <w:rsid w:val="00735863"/>
    <w:rsid w:val="007A4B33"/>
    <w:rsid w:val="007A6A7A"/>
    <w:rsid w:val="008817FA"/>
    <w:rsid w:val="00893104"/>
    <w:rsid w:val="00900493"/>
    <w:rsid w:val="009469DA"/>
    <w:rsid w:val="00972188"/>
    <w:rsid w:val="00A270F8"/>
    <w:rsid w:val="00AA193A"/>
    <w:rsid w:val="00BE5CBC"/>
    <w:rsid w:val="00C51EB5"/>
    <w:rsid w:val="00C608BF"/>
    <w:rsid w:val="00C73177"/>
    <w:rsid w:val="00CF0712"/>
    <w:rsid w:val="00D113F1"/>
    <w:rsid w:val="00D3513C"/>
    <w:rsid w:val="00E12289"/>
    <w:rsid w:val="00F17075"/>
    <w:rsid w:val="00F32272"/>
    <w:rsid w:val="00F4549E"/>
    <w:rsid w:val="00F701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CF4497"/>
  <w15:chartTrackingRefBased/>
  <w15:docId w15:val="{8BCACF67-D728-4FA9-87B2-1072778E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9474C"/>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93104"/>
    <w:rPr>
      <w:sz w:val="20"/>
      <w:szCs w:val="20"/>
    </w:rPr>
  </w:style>
  <w:style w:type="character" w:customStyle="1" w:styleId="FootnoteTextChar">
    <w:name w:val="Footnote Text Char"/>
    <w:basedOn w:val="DefaultParagraphFont"/>
    <w:link w:val="FootnoteText"/>
    <w:uiPriority w:val="99"/>
    <w:rsid w:val="0089310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93104"/>
    <w:rPr>
      <w:vertAlign w:val="superscript"/>
    </w:rPr>
  </w:style>
  <w:style w:type="character" w:styleId="Hyperlink">
    <w:name w:val="Hyperlink"/>
    <w:unhideWhenUsed/>
    <w:rsid w:val="00893104"/>
    <w:rPr>
      <w:color w:val="0000FF"/>
      <w:u w:val="single"/>
    </w:rPr>
  </w:style>
  <w:style w:type="paragraph" w:styleId="Header">
    <w:name w:val="header"/>
    <w:basedOn w:val="Normal"/>
    <w:link w:val="HeaderChar"/>
    <w:uiPriority w:val="99"/>
    <w:unhideWhenUsed/>
    <w:rsid w:val="00893104"/>
    <w:pPr>
      <w:tabs>
        <w:tab w:val="center" w:pos="4680"/>
        <w:tab w:val="right" w:pos="9360"/>
      </w:tabs>
    </w:pPr>
  </w:style>
  <w:style w:type="character" w:customStyle="1" w:styleId="HeaderChar">
    <w:name w:val="Header Char"/>
    <w:basedOn w:val="DefaultParagraphFont"/>
    <w:link w:val="Header"/>
    <w:uiPriority w:val="99"/>
    <w:rsid w:val="008931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3104"/>
    <w:pPr>
      <w:tabs>
        <w:tab w:val="center" w:pos="4680"/>
        <w:tab w:val="right" w:pos="9360"/>
      </w:tabs>
    </w:pPr>
  </w:style>
  <w:style w:type="character" w:customStyle="1" w:styleId="FooterChar">
    <w:name w:val="Footer Char"/>
    <w:basedOn w:val="DefaultParagraphFont"/>
    <w:link w:val="Footer"/>
    <w:uiPriority w:val="99"/>
    <w:rsid w:val="0089310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3104"/>
    <w:rPr>
      <w:rFonts w:ascii="Tahoma" w:hAnsi="Tahoma" w:eastAsiaTheme="minorEastAsia" w:cs="Tahoma"/>
      <w:sz w:val="16"/>
      <w:szCs w:val="16"/>
    </w:rPr>
  </w:style>
  <w:style w:type="character" w:customStyle="1" w:styleId="BalloonTextChar">
    <w:name w:val="Balloon Text Char"/>
    <w:basedOn w:val="DefaultParagraphFont"/>
    <w:link w:val="BalloonText"/>
    <w:uiPriority w:val="99"/>
    <w:semiHidden/>
    <w:rsid w:val="00893104"/>
    <w:rPr>
      <w:rFonts w:ascii="Tahoma" w:hAnsi="Tahoma" w:eastAsiaTheme="minorEastAsi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microsoft.com/office/2011/relationships/people" Target="people.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1/01/25/2021-01753/advancing-racial-equity-and-support-for-underserved-communities-through-the-federal-government" TargetMode="External" /><Relationship Id="rId2" Type="http://schemas.openxmlformats.org/officeDocument/2006/relationships/hyperlink" Target="https://www.federalregister.gov/documents/2021/02/01/2021-02177/tackling-the-climate-crisis-at-home-and-abroad" TargetMode="External" /><Relationship Id="rId3" Type="http://schemas.openxmlformats.org/officeDocument/2006/relationships/hyperlink" Target="https://www.federalregister.gov/documents/2023/04/26/2023-08955/revitalizing-our-nations-commitment-to-environmental-justice-for-all" TargetMode="External" /><Relationship Id="rId4" Type="http://schemas.openxmlformats.org/officeDocument/2006/relationships/hyperlink" Target="https://www.urban.org/research/publication/changing-power-dynamics-among-researchers-local-governments-and-community" TargetMode="External" /><Relationship Id="rId5" Type="http://schemas.openxmlformats.org/officeDocument/2006/relationships/hyperlink" Target="https://www.federalregister.gov/documents/2023/02/22/2023-03779/further-advancing-racial-equity-and-support-for-underserved-communities-through-the-federal" TargetMode="External" /><Relationship Id="rId6" Type="http://schemas.openxmlformats.org/officeDocument/2006/relationships/hyperlink" Target="https://www.federalregister.gov/documents/2021/12/16/2021-27380/transforming-federal-customer-experience-and-service-delivery-to-rebuild-trust-in-government" TargetMode="External" /><Relationship Id="rId7" Type="http://schemas.openxmlformats.org/officeDocument/2006/relationships/hyperlink" Target="https://www.urban.org/research/publication/equitable-compensation-community-engagement-guid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ASPE-HSP</dc:creator>
  <cp:lastModifiedBy>Jones, Kaitlyn (HHS/ASPE)</cp:lastModifiedBy>
  <cp:revision>2</cp:revision>
  <dcterms:created xsi:type="dcterms:W3CDTF">2024-02-22T19:13:00Z</dcterms:created>
  <dcterms:modified xsi:type="dcterms:W3CDTF">2024-02-22T19:13:00Z</dcterms:modified>
</cp:coreProperties>
</file>