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FF7801" w:rsidP="00FF7801" w14:paraId="300A86DE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>
        <w:t>Melissa Johnson, Director, Division of Regional Operations</w:t>
      </w:r>
    </w:p>
    <w:p w:rsidR="00FF7801" w:rsidP="00FF7801" w14:paraId="1EE4BA6F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Child Support Services (OCSS)</w:t>
      </w:r>
    </w:p>
    <w:p w:rsidR="0005680D" w:rsidP="00FF7801" w14:paraId="15ABAFDA" w14:textId="47D0E840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CDFE50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E0EB3">
        <w:t>February 12,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05680D" w:rsidP="0005680D" w14:paraId="5036976F" w14:textId="25438C71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  <w:r w:rsidRPr="004E0796">
        <w:rPr>
          <w:b/>
          <w:bCs/>
        </w:rPr>
        <w:t>Subject:</w:t>
      </w:r>
      <w:r w:rsidRPr="004E0796">
        <w:tab/>
      </w:r>
      <w:r w:rsidR="00FF7801">
        <w:t>Non-substantive Change Request – Tribal Budget and Narrative Justification Template (OMB #0970-0548)</w:t>
      </w: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7039A2" w:rsidP="007039A2" w14:paraId="4DEB57DB" w14:textId="77777777">
      <w:r>
        <w:t xml:space="preserve">This memo requests approval of non-substantive changes to the approved information collection, Tribal Budget and Narrative Justification Template (OMB #0970-0548).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2280970F">
      <w:r w:rsidRPr="0020064D">
        <w:t xml:space="preserve">On May 30, 2023, OMB approved the extension of the Tribal Budget Narrative Justification Template (OMB #0970-0548) until May 31, 2026. On </w:t>
      </w:r>
      <w:r w:rsidR="009E0EB3">
        <w:t xml:space="preserve">February 12, </w:t>
      </w:r>
      <w:r w:rsidR="00221DED">
        <w:t>2024,</w:t>
      </w:r>
      <w:r w:rsidRPr="0020064D">
        <w:t xml:space="preserve"> the </w:t>
      </w:r>
      <w:hyperlink r:id="rId7" w:history="1">
        <w:r w:rsidRPr="0020064D">
          <w:rPr>
            <w:rStyle w:val="Hyperlink"/>
          </w:rPr>
          <w:t>Federal Register</w:t>
        </w:r>
      </w:hyperlink>
      <w:r w:rsidRPr="0020064D">
        <w:t xml:space="preserve"> published the</w:t>
      </w:r>
      <w:r>
        <w:t xml:space="preserve"> Final Rule for the </w:t>
      </w:r>
      <w:r w:rsidRPr="00B67C03">
        <w:t>Elimination of the Non-Federal Share</w:t>
      </w:r>
      <w:r w:rsidR="00221DED">
        <w:t xml:space="preserve"> </w:t>
      </w:r>
      <w:r w:rsidRPr="00221DED" w:rsidR="00221DED">
        <w:t>(see 89 FR 9784</w:t>
      </w:r>
      <w:r w:rsidR="00221DED">
        <w:t>)</w:t>
      </w:r>
      <w: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9FB4A48">
      <w:r>
        <w:t>The original templates have a place for tribes to insert how they plan to meet the non-federal share. With the Final Rule for the Elimination of the Non-Federal Share, tribes will no longer need to meet the non-federal share</w:t>
      </w:r>
      <w:r w:rsidR="00AC1EC4">
        <w:t xml:space="preserve"> beginning in FY 2025</w:t>
      </w:r>
      <w:r>
        <w:t xml:space="preserve">. Therefore, these columns, as well as the instructions on how to include the non-federal share </w:t>
      </w:r>
      <w:r w:rsidR="00D408C4">
        <w:t>are</w:t>
      </w:r>
      <w:r>
        <w:t xml:space="preserve"> no longer needed in the templates. As a result, OCSS removed references to the non-federal share. </w:t>
      </w:r>
    </w:p>
    <w:p w:rsidR="0005680D" w:rsidRPr="0005680D" w:rsidP="00BF696B" w14:paraId="76859545" w14:textId="77777777"/>
    <w:p w:rsidR="0005680D" w:rsidP="00BF696B" w14:paraId="7DBC6097" w14:textId="0A11ECD6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90179A" w:rsidRPr="0090179A" w:rsidP="00BF696B" w14:paraId="6631018E" w14:textId="60AB6D06">
      <w:pPr>
        <w:spacing w:after="120"/>
        <w:rPr>
          <w:bCs/>
          <w:iCs/>
        </w:rPr>
      </w:pPr>
      <w:r>
        <w:rPr>
          <w:bCs/>
          <w:iCs/>
        </w:rPr>
        <w:t xml:space="preserve">Tribal child support programs begin to work on their annual budget submissions in April of each year.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A30AB"/>
    <w:rsid w:val="00116024"/>
    <w:rsid w:val="0020064D"/>
    <w:rsid w:val="00201D4A"/>
    <w:rsid w:val="00221DED"/>
    <w:rsid w:val="00257C8C"/>
    <w:rsid w:val="002D569B"/>
    <w:rsid w:val="00416E1B"/>
    <w:rsid w:val="00430033"/>
    <w:rsid w:val="0046719A"/>
    <w:rsid w:val="004843FA"/>
    <w:rsid w:val="004A777C"/>
    <w:rsid w:val="004E0796"/>
    <w:rsid w:val="006C6DFB"/>
    <w:rsid w:val="007039A2"/>
    <w:rsid w:val="0090179A"/>
    <w:rsid w:val="00940CC4"/>
    <w:rsid w:val="00992C16"/>
    <w:rsid w:val="00995018"/>
    <w:rsid w:val="009E0EB3"/>
    <w:rsid w:val="00A44387"/>
    <w:rsid w:val="00AC1EC4"/>
    <w:rsid w:val="00B67C03"/>
    <w:rsid w:val="00BF696B"/>
    <w:rsid w:val="00CB2D13"/>
    <w:rsid w:val="00D408C4"/>
    <w:rsid w:val="00E525D4"/>
    <w:rsid w:val="00FF78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6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408C4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/2024-02110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Papadopoulos, Helen (ACF)</DisplayName>
        <AccountId>165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5" ma:contentTypeDescription="Create a new document." ma:contentTypeScope="" ma:versionID="26f7d1bb9a9da29e50596720f20bf693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4ec4b4cdd5f0520e0ea88e11f36fd44e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3.xml><?xml version="1.0" encoding="utf-8"?>
<ds:datastoreItem xmlns:ds="http://schemas.openxmlformats.org/officeDocument/2006/customXml" ds:itemID="{80199183-3656-45EE-9C39-49DF94517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2024-01-22T16:41:00Z</dcterms:created>
  <dcterms:modified xsi:type="dcterms:W3CDTF">2024-02-12T11:14:00Z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