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B621B8" w14:paraId="7DCE04EA" w14:textId="6EFC6DBE">
      <w:pPr>
        <w:pStyle w:val="Heading1-IPR"/>
      </w:pPr>
      <w:r>
        <w:t xml:space="preserve">C. </w:t>
      </w:r>
      <w:r w:rsidR="00B621B8">
        <w:t>Study Overview</w:t>
      </w:r>
    </w:p>
    <w:p w:rsidR="00585F1A" w:rsidP="008F5D17" w14:paraId="46E8CCAA" w14:textId="77777777">
      <w:pPr>
        <w:pStyle w:val="Heading2-IPR"/>
        <w:numPr>
          <w:ilvl w:val="0"/>
          <w:numId w:val="0"/>
        </w:numPr>
        <w:ind w:left="360" w:hanging="360"/>
        <w:sectPr w:rsidSect="00C90599">
          <w:footerReference w:type="default" r:id="rId8"/>
          <w:pgSz w:w="12240" w:h="15840"/>
          <w:pgMar w:top="1440" w:right="1440" w:bottom="1440" w:left="1440" w:header="720" w:footer="720" w:gutter="0"/>
          <w:pgNumType w:start="1"/>
          <w:cols w:space="720"/>
          <w:titlePg/>
          <w:docGrid w:linePitch="360"/>
        </w:sectPr>
      </w:pPr>
      <w:bookmarkStart w:id="0" w:name="_Toc124405475"/>
      <w:bookmarkStart w:id="1" w:name="_Toc126843616"/>
      <w:bookmarkStart w:id="2" w:name="_Toc126845071"/>
      <w:bookmarkStart w:id="3" w:name="_Toc137638339"/>
    </w:p>
    <w:p w:rsidR="008F5D17" w:rsidP="008F5D17" w14:paraId="3691C86D" w14:textId="6F390EBD">
      <w:pPr>
        <w:pStyle w:val="Heading2-IPR"/>
        <w:numPr>
          <w:ilvl w:val="0"/>
          <w:numId w:val="0"/>
        </w:numPr>
        <w:ind w:left="360" w:hanging="360"/>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-304800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489E" w:rsidRPr="000A6728" w:rsidP="0017489E"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17489E" w:rsidRPr="00051F00" w:rsidP="0017489E" w14:textId="77777777">
                            <w:pPr>
                              <w:rPr>
                                <w:b/>
                                <w:bCs/>
                                <w:color w:val="000000" w:themeColor="text1"/>
                              </w:rPr>
                            </w:pPr>
                          </w:p>
                          <w:p w:rsidR="0017489E" w:rsidP="0017489E" w14:textId="77777777"/>
                          <w:p w:rsidR="0017489E" w:rsidRPr="00051F00" w:rsidP="0017489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4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17489E" w:rsidRPr="000A6728" w:rsidP="0017489E" w14:paraId="5D9BFA3D"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17489E" w:rsidRPr="00051F00" w:rsidP="0017489E" w14:paraId="43DBD5B2" w14:textId="77777777">
                      <w:pPr>
                        <w:rPr>
                          <w:b/>
                          <w:bCs/>
                          <w:color w:val="000000" w:themeColor="text1"/>
                        </w:rPr>
                      </w:pPr>
                    </w:p>
                    <w:p w:rsidR="0017489E" w:rsidP="0017489E" w14:paraId="63A1D7D7" w14:textId="77777777"/>
                    <w:p w:rsidR="0017489E" w:rsidRPr="00051F00" w:rsidP="0017489E" w14:paraId="52E24C90" w14:textId="77777777"/>
                  </w:txbxContent>
                </v:textbox>
                <w10:wrap anchorx="margin"/>
              </v:rect>
            </w:pict>
          </mc:Fallback>
        </mc:AlternateContent>
      </w:r>
      <w:r w:rsidR="008F5D17">
        <w:t>Study Background</w:t>
      </w:r>
      <w:bookmarkEnd w:id="0"/>
      <w:bookmarkEnd w:id="1"/>
      <w:bookmarkEnd w:id="2"/>
      <w:bookmarkEnd w:id="3"/>
    </w:p>
    <w:p w:rsidR="008F5D17" w:rsidRPr="00B04303" w:rsidP="008F5D17" w14:paraId="11C2D03F" w14:textId="77777777">
      <w:pPr>
        <w:pStyle w:val="BodyText-IPR"/>
      </w:pPr>
      <w:r>
        <w:t xml:space="preserve">The U.S. Department of Agriculture’s Food and Nutrition Service (FNS) is sponsoring this research study, </w:t>
      </w:r>
      <w:r w:rsidRPr="6FDF9129">
        <w:rPr>
          <w:i/>
          <w:iCs/>
        </w:rPr>
        <w:t>Understanding Risk Assessment in Supplemental Nutrition Assistance Program (SNAP) Payment Accuracy</w:t>
      </w:r>
      <w:r>
        <w:t xml:space="preserve"> (SNAP RA study), to better understand how SNAP State agencies use case-profiling tools to estimate whether a case is at risk of payment error. Case-profiling tools may also be known as error-prone profiles or risk assessment tools. FNS contracted with Westat, an independent research organization, </w:t>
      </w:r>
      <w:r w:rsidRPr="6FDF9129">
        <w:rPr>
          <w:rFonts w:asciiTheme="minorHAnsi" w:hAnsiTheme="minorHAnsi"/>
        </w:rPr>
        <w:t>to conduct this study with t</w:t>
      </w:r>
      <w:r>
        <w:t>he following goals:</w:t>
      </w:r>
    </w:p>
    <w:p w:rsidR="008F5D17" w:rsidRPr="00B04303" w:rsidP="009F1BC5" w14:paraId="79BBC1C5" w14:textId="77777777">
      <w:pPr>
        <w:pStyle w:val="BulletsRed-IPR"/>
        <w:numPr>
          <w:ilvl w:val="0"/>
          <w:numId w:val="28"/>
        </w:numPr>
      </w:pPr>
      <w:r>
        <w:t>Identify where, when, and how State agencies use case-profiling tools to flag cases at risk of payment error.</w:t>
      </w:r>
    </w:p>
    <w:p w:rsidR="008F5D17" w:rsidRPr="00B04303" w:rsidP="009F1BC5" w14:paraId="3305AE4F" w14:textId="77777777">
      <w:pPr>
        <w:pStyle w:val="BulletsRed-IPR"/>
        <w:numPr>
          <w:ilvl w:val="0"/>
          <w:numId w:val="28"/>
        </w:numPr>
        <w:spacing w:after="240"/>
        <w:rPr>
          <w:rFonts w:cs="Calibri"/>
          <w:bdr w:val="none" w:sz="0" w:space="0" w:color="auto" w:frame="1"/>
        </w:rPr>
      </w:pPr>
      <w:r>
        <w:t>Determine any challenges or best practices in the development and use of the tools.</w:t>
      </w:r>
    </w:p>
    <w:p w:rsidR="008F5D17" w:rsidP="008F5D17" w14:paraId="7BFCDD65" w14:textId="77777777">
      <w:pPr>
        <w:pStyle w:val="BodyText-IPR"/>
        <w:rPr>
          <w:rStyle w:val="normaltextrun"/>
          <w:rFonts w:cs="Calibri"/>
          <w:bdr w:val="none" w:sz="0" w:space="0" w:color="auto" w:frame="1"/>
        </w:rPr>
      </w:pPr>
      <w:r w:rsidRPr="00B04303">
        <w:rPr>
          <w:rStyle w:val="normaltextrun"/>
          <w:rFonts w:cs="Calibri"/>
          <w:bdr w:val="none" w:sz="0" w:space="0" w:color="auto" w:frame="1"/>
        </w:rPr>
        <w:t>The findings will be used to compile strategies and lessons learned for developing and implementing case</w:t>
      </w:r>
      <w:r>
        <w:rPr>
          <w:rStyle w:val="normaltextrun"/>
          <w:rFonts w:cs="Calibri"/>
          <w:bdr w:val="none" w:sz="0" w:space="0" w:color="auto" w:frame="1"/>
        </w:rPr>
        <w:t>-</w:t>
      </w:r>
      <w:r w:rsidRPr="00B04303">
        <w:rPr>
          <w:rStyle w:val="normaltextrun"/>
          <w:rFonts w:cs="Calibri"/>
          <w:bdr w:val="none" w:sz="0" w:space="0" w:color="auto" w:frame="1"/>
        </w:rPr>
        <w:t>profiling tools and to inform guidance</w:t>
      </w:r>
      <w:r>
        <w:rPr>
          <w:rStyle w:val="normaltextrun"/>
          <w:rFonts w:cs="Calibri"/>
          <w:bdr w:val="none" w:sz="0" w:space="0" w:color="auto" w:frame="1"/>
        </w:rPr>
        <w:t xml:space="preserve"> and technical assistance to State agencies.</w:t>
      </w:r>
    </w:p>
    <w:p w:rsidR="008F5D17" w:rsidP="008F5D17" w14:paraId="2EC65D95" w14:textId="77777777">
      <w:pPr>
        <w:pStyle w:val="Heading2-IPR"/>
        <w:numPr>
          <w:ilvl w:val="0"/>
          <w:numId w:val="0"/>
        </w:numPr>
        <w:ind w:left="360" w:hanging="360"/>
      </w:pPr>
      <w:bookmarkStart w:id="4" w:name="_Toc124405476"/>
      <w:bookmarkStart w:id="5" w:name="_Toc126843617"/>
      <w:bookmarkStart w:id="6" w:name="_Toc126845072"/>
      <w:bookmarkStart w:id="7" w:name="_Toc137638340"/>
      <w:r>
        <w:t>Examples</w:t>
      </w:r>
      <w:bookmarkEnd w:id="4"/>
      <w:bookmarkEnd w:id="5"/>
      <w:bookmarkEnd w:id="6"/>
      <w:r w:rsidRPr="00A32B6C">
        <w:t xml:space="preserve"> </w:t>
      </w:r>
      <w:r>
        <w:t>of Case-Profiling Tools</w:t>
      </w:r>
      <w:bookmarkEnd w:id="7"/>
    </w:p>
    <w:p w:rsidR="008F5D17" w:rsidRPr="00173CD6" w:rsidP="008F5D17" w14:paraId="0B00FA91" w14:textId="77777777">
      <w:pPr>
        <w:pStyle w:val="BodyText-IPR"/>
        <w:rPr>
          <w:rFonts w:asciiTheme="minorHAnsi" w:hAnsiTheme="minorHAnsi"/>
        </w:rPr>
      </w:pPr>
      <w:r w:rsidRPr="00173CD6">
        <w:rPr>
          <w:rStyle w:val="cf01"/>
          <w:rFonts w:asciiTheme="minorHAnsi" w:hAnsiTheme="minorHAnsi"/>
          <w:sz w:val="22"/>
          <w:szCs w:val="22"/>
        </w:rPr>
        <w:t xml:space="preserve">SNAP case-profiling tools can range in sophistication from a simple checklist that helps eligibility workers identify cases likely to have a payment error to complex analytics tools incorporated into a </w:t>
      </w:r>
      <w:r w:rsidRPr="00173CD6">
        <w:rPr>
          <w:rStyle w:val="cf01"/>
          <w:rFonts w:asciiTheme="minorHAnsi" w:hAnsiTheme="minorHAnsi"/>
          <w:sz w:val="22"/>
          <w:szCs w:val="22"/>
        </w:rPr>
        <w:t>State’s</w:t>
      </w:r>
      <w:r w:rsidRPr="00173CD6">
        <w:rPr>
          <w:rStyle w:val="cf01"/>
          <w:rFonts w:asciiTheme="minorHAnsi" w:hAnsiTheme="minorHAnsi"/>
          <w:sz w:val="22"/>
          <w:szCs w:val="22"/>
        </w:rPr>
        <w:t xml:space="preserve"> eligibility system. Two hypothetical examples follow:</w:t>
      </w:r>
    </w:p>
    <w:p w:rsidR="008F5D17" w:rsidRPr="00173CD6" w:rsidP="008F5D17" w14:paraId="3F99538F" w14:textId="77777777">
      <w:pPr>
        <w:pStyle w:val="BodyText-IPR"/>
        <w:spacing w:after="120"/>
        <w:rPr>
          <w:rFonts w:asciiTheme="minorHAnsi" w:hAnsiTheme="minorHAnsi"/>
          <w:b/>
          <w:bCs/>
          <w:i/>
          <w:iCs/>
          <w:color w:val="000000" w:themeColor="text1"/>
        </w:rPr>
      </w:pPr>
      <w:r w:rsidRPr="00173CD6">
        <w:rPr>
          <w:rStyle w:val="cf11"/>
          <w:rFonts w:asciiTheme="minorHAnsi" w:hAnsiTheme="minorHAnsi"/>
          <w:b/>
          <w:bCs/>
          <w:color w:val="000000" w:themeColor="text1"/>
          <w:sz w:val="22"/>
          <w:szCs w:val="22"/>
        </w:rPr>
        <w:t xml:space="preserve">Example 1. Checklist of </w:t>
      </w:r>
      <w:r w:rsidRPr="00173CD6">
        <w:rPr>
          <w:rStyle w:val="cf11"/>
          <w:rFonts w:asciiTheme="minorHAnsi" w:hAnsiTheme="minorHAnsi" w:cstheme="minorHAnsi"/>
          <w:b/>
          <w:bCs/>
          <w:color w:val="000000" w:themeColor="text1"/>
          <w:sz w:val="22"/>
          <w:szCs w:val="22"/>
        </w:rPr>
        <w:t>Criteria</w:t>
      </w:r>
      <w:r w:rsidRPr="00173CD6">
        <w:rPr>
          <w:rStyle w:val="cf11"/>
          <w:rFonts w:asciiTheme="minorHAnsi" w:hAnsiTheme="minorHAnsi"/>
          <w:b/>
          <w:bCs/>
          <w:color w:val="000000" w:themeColor="text1"/>
          <w:sz w:val="22"/>
          <w:szCs w:val="22"/>
        </w:rPr>
        <w:t xml:space="preserve"> to </w:t>
      </w:r>
      <w:r w:rsidRPr="00173CD6">
        <w:rPr>
          <w:rStyle w:val="cf11"/>
          <w:rFonts w:asciiTheme="minorHAnsi" w:hAnsiTheme="minorHAnsi" w:cstheme="minorHAnsi"/>
          <w:b/>
          <w:bCs/>
          <w:color w:val="000000" w:themeColor="text1"/>
          <w:sz w:val="22"/>
          <w:szCs w:val="22"/>
        </w:rPr>
        <w:t>Flag Cases</w:t>
      </w:r>
      <w:r w:rsidRPr="00173CD6">
        <w:rPr>
          <w:rStyle w:val="cf11"/>
          <w:rFonts w:asciiTheme="minorHAnsi" w:hAnsiTheme="minorHAnsi"/>
          <w:b/>
          <w:bCs/>
          <w:color w:val="000000" w:themeColor="text1"/>
          <w:sz w:val="22"/>
          <w:szCs w:val="22"/>
        </w:rPr>
        <w:t xml:space="preserve"> for </w:t>
      </w:r>
      <w:r w:rsidRPr="00173CD6">
        <w:rPr>
          <w:rStyle w:val="cf11"/>
          <w:rFonts w:asciiTheme="minorHAnsi" w:hAnsiTheme="minorHAnsi" w:cstheme="minorHAnsi"/>
          <w:b/>
          <w:bCs/>
          <w:color w:val="000000" w:themeColor="text1"/>
          <w:sz w:val="22"/>
          <w:szCs w:val="22"/>
        </w:rPr>
        <w:t>Review</w:t>
      </w:r>
    </w:p>
    <w:p w:rsidR="008F5D17" w:rsidRPr="00173CD6" w:rsidP="008F5D17" w14:paraId="78276857" w14:textId="77777777">
      <w:pPr>
        <w:pStyle w:val="BodyText-IPR"/>
        <w:rPr>
          <w:rStyle w:val="cf01"/>
          <w:rFonts w:asciiTheme="minorHAnsi" w:hAnsiTheme="minorHAnsi"/>
          <w:sz w:val="22"/>
          <w:szCs w:val="22"/>
        </w:rPr>
      </w:pPr>
      <w:r w:rsidRPr="00173CD6">
        <w:rPr>
          <w:rStyle w:val="cf01"/>
          <w:rFonts w:asciiTheme="minorHAnsi" w:hAnsiTheme="minorHAnsi"/>
          <w:sz w:val="22"/>
          <w:szCs w:val="22"/>
        </w:rPr>
        <w:t xml:space="preserve">State agency A determined payment errors were concentrated in large households of six or more people and in households with no reported income. State agency leadership requires a second review for all applications meeting either criterion prior to eligibility </w:t>
      </w:r>
      <w:r w:rsidRPr="00173CD6">
        <w:rPr>
          <w:rStyle w:val="cf01"/>
          <w:rFonts w:asciiTheme="minorHAnsi" w:hAnsiTheme="minorHAnsi"/>
          <w:sz w:val="22"/>
          <w:szCs w:val="22"/>
        </w:rPr>
        <w:t>and</w:t>
      </w:r>
      <w:r w:rsidRPr="00173CD6">
        <w:rPr>
          <w:rStyle w:val="cf01"/>
          <w:rFonts w:asciiTheme="minorHAnsi" w:hAnsiTheme="minorHAnsi"/>
          <w:sz w:val="22"/>
          <w:szCs w:val="22"/>
        </w:rPr>
        <w:t xml:space="preserve"> benefit determination. When processing applications, eligibility workers flag all such cases for supervisors to review.</w:t>
      </w:r>
    </w:p>
    <w:p w:rsidR="008F5D17" w:rsidRPr="00173CD6" w:rsidP="008F5D17" w14:paraId="1ADAD82E" w14:textId="77777777">
      <w:pPr>
        <w:pStyle w:val="BodyText-IPR"/>
        <w:spacing w:after="120"/>
        <w:rPr>
          <w:rFonts w:asciiTheme="minorHAnsi" w:hAnsiTheme="minorHAnsi" w:cstheme="minorHAnsi"/>
          <w:b/>
          <w:bCs/>
          <w:i/>
          <w:iCs/>
          <w:color w:val="000000" w:themeColor="text1"/>
        </w:rPr>
      </w:pPr>
      <w:r w:rsidRPr="00173CD6">
        <w:rPr>
          <w:rStyle w:val="cf11"/>
          <w:rFonts w:asciiTheme="minorHAnsi" w:hAnsiTheme="minorHAnsi" w:cstheme="minorHAnsi"/>
          <w:b/>
          <w:bCs/>
          <w:color w:val="000000" w:themeColor="text1"/>
          <w:sz w:val="22"/>
          <w:szCs w:val="22"/>
        </w:rPr>
        <w:t>Example 2. Integrated Case-Profile</w:t>
      </w:r>
      <w:r w:rsidRPr="00173CD6">
        <w:rPr>
          <w:rStyle w:val="cf01"/>
          <w:rFonts w:asciiTheme="minorHAnsi" w:hAnsiTheme="minorHAnsi" w:cstheme="minorHAnsi"/>
          <w:b/>
          <w:bCs/>
          <w:iCs/>
          <w:color w:val="000000" w:themeColor="text1"/>
          <w:sz w:val="22"/>
          <w:szCs w:val="22"/>
        </w:rPr>
        <w:t xml:space="preserve"> </w:t>
      </w:r>
      <w:r w:rsidRPr="00173CD6">
        <w:rPr>
          <w:rStyle w:val="cf11"/>
          <w:rFonts w:asciiTheme="minorHAnsi" w:hAnsiTheme="minorHAnsi" w:cstheme="minorHAnsi"/>
          <w:b/>
          <w:bCs/>
          <w:color w:val="000000" w:themeColor="text1"/>
          <w:sz w:val="22"/>
          <w:szCs w:val="22"/>
        </w:rPr>
        <w:t>Tool</w:t>
      </w:r>
    </w:p>
    <w:p w:rsidR="008F5D17" w:rsidRPr="00173CD6" w:rsidP="008F5D17" w14:paraId="58A418E1" w14:textId="77777777">
      <w:pPr>
        <w:pStyle w:val="BodyText-IPR"/>
        <w:rPr>
          <w:rFonts w:asciiTheme="minorHAnsi" w:hAnsiTheme="minorHAnsi"/>
        </w:rPr>
      </w:pPr>
      <w:r w:rsidRPr="00173CD6">
        <w:rPr>
          <w:rStyle w:val="cf01"/>
          <w:rFonts w:asciiTheme="minorHAnsi" w:hAnsiTheme="minorHAnsi"/>
          <w:sz w:val="22"/>
          <w:szCs w:val="22"/>
        </w:rPr>
        <w:t>State agency B used several years of Quality Control data to develop a machine-learning model that predicts the most error-prone cases. The model is integrated into the eligibility system, which automatically assigns a risk score once case information is complete. If the score is above a certain threshold, the case is flagged as high risk and undergoes a quality assurance review within 30 days of becoming an active case.</w:t>
      </w:r>
    </w:p>
    <w:p w:rsidR="008F5D17" w:rsidP="008F5D17" w14:paraId="2A5B441C" w14:textId="77777777">
      <w:pPr>
        <w:pStyle w:val="Heading2-IPR"/>
        <w:numPr>
          <w:ilvl w:val="0"/>
          <w:numId w:val="0"/>
        </w:numPr>
        <w:ind w:left="360" w:hanging="360"/>
      </w:pPr>
      <w:bookmarkStart w:id="8" w:name="_Toc124405477"/>
      <w:bookmarkStart w:id="9" w:name="_Toc126843618"/>
      <w:bookmarkStart w:id="10" w:name="_Toc126845073"/>
      <w:bookmarkStart w:id="11" w:name="_Toc137638341"/>
      <w:r>
        <w:t>Data Collection Activities and Timeline</w:t>
      </w:r>
      <w:bookmarkEnd w:id="8"/>
      <w:bookmarkEnd w:id="9"/>
      <w:bookmarkEnd w:id="10"/>
      <w:bookmarkEnd w:id="11"/>
    </w:p>
    <w:p w:rsidR="008F5D17" w:rsidP="008F5D17" w14:paraId="0A50ADE2" w14:textId="77777777">
      <w:pPr>
        <w:pStyle w:val="BodyText-IPR"/>
        <w:rPr>
          <w:rFonts w:asciiTheme="minorHAnsi" w:hAnsiTheme="minorHAnsi" w:cstheme="minorHAnsi"/>
        </w:rPr>
      </w:pPr>
      <w:r>
        <w:rPr>
          <w:rFonts w:asciiTheme="minorHAnsi" w:hAnsiTheme="minorHAnsi" w:cstheme="minorHAnsi"/>
        </w:rPr>
        <w:t>Westat will conduct the following data collection activities:</w:t>
      </w:r>
    </w:p>
    <w:p w:rsidR="008F5D17" w:rsidRPr="005E3B63" w:rsidP="009F1BC5" w14:paraId="542B640F" w14:textId="77777777">
      <w:pPr>
        <w:pStyle w:val="BulletsRed-IPR"/>
        <w:numPr>
          <w:ilvl w:val="0"/>
          <w:numId w:val="28"/>
        </w:numPr>
      </w:pPr>
      <w:r w:rsidRPr="6FDF9129">
        <w:rPr>
          <w:b/>
          <w:bCs/>
        </w:rPr>
        <w:t xml:space="preserve">Survey </w:t>
      </w:r>
      <w:r>
        <w:t xml:space="preserve">of all State agencies to assess their use of risk assessment </w:t>
      </w:r>
      <w:r>
        <w:t>tools</w:t>
      </w:r>
    </w:p>
    <w:p w:rsidR="008F5D17" w:rsidRPr="00443FC0" w:rsidP="009F1BC5" w14:paraId="1FAA6CB1" w14:textId="77777777">
      <w:pPr>
        <w:pStyle w:val="BulletsRed-IPR"/>
        <w:numPr>
          <w:ilvl w:val="0"/>
          <w:numId w:val="28"/>
        </w:numPr>
        <w:rPr>
          <w:b/>
          <w:bCs/>
        </w:rPr>
      </w:pPr>
      <w:r w:rsidRPr="6FDF9129">
        <w:rPr>
          <w:b/>
          <w:bCs/>
        </w:rPr>
        <w:t xml:space="preserve">Interviews </w:t>
      </w:r>
      <w:r>
        <w:t xml:space="preserve">in six State agencies to gather </w:t>
      </w:r>
      <w:r>
        <w:t>indepth</w:t>
      </w:r>
      <w:r>
        <w:t xml:space="preserve"> information on the development and use of risk assessment </w:t>
      </w:r>
      <w:r>
        <w:t>tools</w:t>
      </w:r>
    </w:p>
    <w:p w:rsidR="008F5D17" w:rsidRPr="00855098" w:rsidP="009F1BC5" w14:paraId="68188296" w14:textId="77777777">
      <w:pPr>
        <w:pStyle w:val="BulletsRed-IPR"/>
        <w:numPr>
          <w:ilvl w:val="0"/>
          <w:numId w:val="28"/>
        </w:numPr>
        <w:rPr>
          <w:b/>
          <w:bCs/>
        </w:rPr>
      </w:pPr>
      <w:r w:rsidRPr="6FDF9129">
        <w:rPr>
          <w:b/>
          <w:bCs/>
        </w:rPr>
        <w:t xml:space="preserve">SNAP Administrative Data Request </w:t>
      </w:r>
      <w:r>
        <w:t>to assess the accuracy, equity, and effectiveness of case-profiling tools.</w:t>
      </w:r>
    </w:p>
    <w:p w:rsidR="008F5D17" w:rsidP="008F5D17" w14:paraId="0F56AEDA" w14:textId="5752FCDC">
      <w:pPr>
        <w:pStyle w:val="BulletsRed-IPR"/>
        <w:numPr>
          <w:ilvl w:val="0"/>
          <w:numId w:val="0"/>
        </w:numPr>
        <w:spacing w:after="240"/>
      </w:pPr>
      <w:r>
        <w:t xml:space="preserve">Table </w:t>
      </w:r>
      <w:r w:rsidR="002F4F51">
        <w:t>C.1</w:t>
      </w:r>
      <w:r w:rsidR="002A1F33">
        <w:t>.</w:t>
      </w:r>
      <w:r>
        <w:t xml:space="preserve"> displays the timeline for these activities.</w:t>
      </w:r>
    </w:p>
    <w:p w:rsidR="008F5D17" w:rsidRPr="00323898" w:rsidP="008F5D17" w14:paraId="0B7EAC6D" w14:textId="21A879BD">
      <w:pPr>
        <w:pStyle w:val="TableTitle-IPR"/>
      </w:pPr>
      <w:r>
        <w:t xml:space="preserve">Table </w:t>
      </w:r>
      <w:r w:rsidR="002F4F51">
        <w:t>C.1.</w:t>
      </w:r>
      <w:r>
        <w:t xml:space="preserve"> Data Collection Timeline</w:t>
      </w:r>
    </w:p>
    <w:tbl>
      <w:tblPr>
        <w:tblStyle w:val="InsightTable"/>
        <w:tblW w:w="5000" w:type="pct"/>
        <w:tblInd w:w="0" w:type="dxa"/>
        <w:tblCellMar>
          <w:left w:w="58" w:type="dxa"/>
          <w:right w:w="58" w:type="dxa"/>
        </w:tblCellMar>
        <w:tblLook w:val="04A0"/>
      </w:tblPr>
      <w:tblGrid>
        <w:gridCol w:w="4729"/>
        <w:gridCol w:w="4747"/>
      </w:tblGrid>
      <w:tr w14:paraId="230FD33D" w14:textId="77777777" w:rsidTr="009F1BC5">
        <w:tblPrEx>
          <w:tblW w:w="5000" w:type="pct"/>
          <w:tblInd w:w="0" w:type="dxa"/>
          <w:tblCellMar>
            <w:left w:w="58" w:type="dxa"/>
            <w:right w:w="58" w:type="dxa"/>
          </w:tblCellMar>
          <w:tblLook w:val="04A0"/>
        </w:tblPrEx>
        <w:trPr>
          <w:trHeight w:val="313"/>
        </w:trPr>
        <w:tc>
          <w:tcPr>
            <w:tcW w:w="2495" w:type="pct"/>
            <w:tcBorders>
              <w:top w:val="single" w:sz="8" w:space="0" w:color="003C79"/>
              <w:bottom w:val="single" w:sz="8" w:space="0" w:color="003C79"/>
            </w:tcBorders>
            <w:hideMark/>
          </w:tcPr>
          <w:p w:rsidR="008F5D17" w:rsidRPr="00F220E8" w:rsidP="002677C8" w14:paraId="15A9932A" w14:textId="77777777">
            <w:pPr>
              <w:textAlignment w:val="baseline"/>
              <w:rPr>
                <w:rFonts w:ascii="Lucida Sans" w:hAnsi="Lucida Sans"/>
                <w:b/>
                <w:bCs/>
                <w:sz w:val="18"/>
                <w:szCs w:val="18"/>
              </w:rPr>
            </w:pPr>
            <w:r w:rsidRPr="00F220E8">
              <w:rPr>
                <w:rFonts w:ascii="Lucida Sans" w:hAnsi="Lucida Sans" w:cs="Calibri"/>
                <w:b/>
                <w:bCs/>
                <w:sz w:val="18"/>
                <w:szCs w:val="18"/>
              </w:rPr>
              <w:t>Activity</w:t>
            </w:r>
          </w:p>
        </w:tc>
        <w:tc>
          <w:tcPr>
            <w:tcW w:w="2505" w:type="pct"/>
            <w:tcBorders>
              <w:top w:val="single" w:sz="8" w:space="0" w:color="003C79"/>
              <w:bottom w:val="single" w:sz="8" w:space="0" w:color="003C79"/>
            </w:tcBorders>
            <w:hideMark/>
          </w:tcPr>
          <w:p w:rsidR="008F5D17" w:rsidRPr="00F220E8" w:rsidP="002677C8" w14:paraId="257F6343" w14:textId="77777777">
            <w:pPr>
              <w:textAlignment w:val="baseline"/>
              <w:rPr>
                <w:rFonts w:ascii="Lucida Sans" w:hAnsi="Lucida Sans"/>
                <w:b/>
                <w:bCs/>
                <w:sz w:val="18"/>
                <w:szCs w:val="18"/>
              </w:rPr>
            </w:pPr>
            <w:r w:rsidRPr="00F220E8">
              <w:rPr>
                <w:rFonts w:ascii="Lucida Sans" w:hAnsi="Lucida Sans" w:cs="Calibri"/>
                <w:b/>
                <w:bCs/>
                <w:sz w:val="18"/>
                <w:szCs w:val="18"/>
              </w:rPr>
              <w:t>Expected Start Date</w:t>
            </w:r>
          </w:p>
        </w:tc>
      </w:tr>
      <w:tr w14:paraId="5A093E01" w14:textId="77777777" w:rsidTr="009F1BC5">
        <w:tblPrEx>
          <w:tblW w:w="5000" w:type="pct"/>
          <w:tblInd w:w="0" w:type="dxa"/>
          <w:tblCellMar>
            <w:left w:w="58" w:type="dxa"/>
            <w:right w:w="58" w:type="dxa"/>
          </w:tblCellMar>
          <w:tblLook w:val="04A0"/>
        </w:tblPrEx>
        <w:trPr>
          <w:trHeight w:val="288"/>
        </w:trPr>
        <w:tc>
          <w:tcPr>
            <w:tcW w:w="2495" w:type="pct"/>
            <w:tcBorders>
              <w:top w:val="single" w:sz="8" w:space="0" w:color="003C79"/>
            </w:tcBorders>
            <w:hideMark/>
          </w:tcPr>
          <w:p w:rsidR="008F5D17" w:rsidRPr="008F5D17" w:rsidP="002677C8" w14:paraId="31279318" w14:textId="77777777">
            <w:pPr>
              <w:pStyle w:val="Table-IPR"/>
              <w:rPr>
                <w:rFonts w:asciiTheme="minorHAnsi" w:hAnsiTheme="minorHAnsi" w:cstheme="minorHAnsi"/>
                <w:sz w:val="24"/>
                <w:szCs w:val="24"/>
              </w:rPr>
            </w:pPr>
            <w:r w:rsidRPr="008F5D17">
              <w:rPr>
                <w:rFonts w:asciiTheme="minorHAnsi" w:hAnsiTheme="minorHAnsi" w:cstheme="minorHAnsi"/>
              </w:rPr>
              <w:t>SNAP State Director Online Survey</w:t>
            </w:r>
          </w:p>
        </w:tc>
        <w:tc>
          <w:tcPr>
            <w:tcW w:w="2505" w:type="pct"/>
            <w:tcBorders>
              <w:top w:val="single" w:sz="8" w:space="0" w:color="003C79"/>
            </w:tcBorders>
            <w:shd w:val="clear" w:color="auto" w:fill="auto"/>
            <w:hideMark/>
          </w:tcPr>
          <w:p w:rsidR="008F5D17" w:rsidRPr="008F5D17" w:rsidP="002677C8" w14:paraId="5642C194" w14:textId="77777777">
            <w:pPr>
              <w:pStyle w:val="Table-IPR"/>
              <w:rPr>
                <w:rFonts w:asciiTheme="minorHAnsi" w:hAnsiTheme="minorHAnsi" w:cstheme="minorHAnsi"/>
                <w:sz w:val="24"/>
                <w:szCs w:val="24"/>
              </w:rPr>
            </w:pPr>
            <w:r w:rsidRPr="008F5D17">
              <w:rPr>
                <w:rFonts w:asciiTheme="minorHAnsi" w:hAnsiTheme="minorHAnsi" w:cstheme="minorHAnsi"/>
              </w:rPr>
              <w:t>June 2024</w:t>
            </w:r>
          </w:p>
        </w:tc>
      </w:tr>
      <w:tr w14:paraId="0AC33F5E" w14:textId="77777777" w:rsidTr="002677C8">
        <w:tblPrEx>
          <w:tblW w:w="5000" w:type="pct"/>
          <w:tblInd w:w="0" w:type="dxa"/>
          <w:tblCellMar>
            <w:left w:w="58" w:type="dxa"/>
            <w:right w:w="58" w:type="dxa"/>
          </w:tblCellMar>
          <w:tblLook w:val="04A0"/>
        </w:tblPrEx>
        <w:trPr>
          <w:trHeight w:val="288"/>
        </w:trPr>
        <w:tc>
          <w:tcPr>
            <w:tcW w:w="2495" w:type="pct"/>
            <w:hideMark/>
          </w:tcPr>
          <w:p w:rsidR="008F5D17" w:rsidRPr="008F5D17" w:rsidP="002677C8" w14:paraId="2F9C9424" w14:textId="77777777">
            <w:pPr>
              <w:pStyle w:val="Table-IPR"/>
              <w:rPr>
                <w:rFonts w:asciiTheme="minorHAnsi" w:hAnsiTheme="minorHAnsi" w:cstheme="minorHAnsi"/>
                <w:sz w:val="24"/>
                <w:szCs w:val="24"/>
              </w:rPr>
            </w:pPr>
            <w:r w:rsidRPr="008F5D17">
              <w:rPr>
                <w:rFonts w:asciiTheme="minorHAnsi" w:hAnsiTheme="minorHAnsi" w:cstheme="minorHAnsi"/>
              </w:rPr>
              <w:t>Key Informant Interviews in Six State Agencies</w:t>
            </w:r>
          </w:p>
        </w:tc>
        <w:tc>
          <w:tcPr>
            <w:tcW w:w="2505" w:type="pct"/>
            <w:shd w:val="clear" w:color="auto" w:fill="auto"/>
            <w:hideMark/>
          </w:tcPr>
          <w:p w:rsidR="008F5D17" w:rsidRPr="008F5D17" w:rsidP="002677C8" w14:paraId="24EBF283" w14:textId="77777777">
            <w:pPr>
              <w:pStyle w:val="Table-IPR"/>
              <w:rPr>
                <w:rFonts w:asciiTheme="minorHAnsi" w:hAnsiTheme="minorHAnsi" w:cstheme="minorHAnsi"/>
                <w:sz w:val="24"/>
                <w:szCs w:val="24"/>
              </w:rPr>
            </w:pPr>
            <w:r w:rsidRPr="008F5D17">
              <w:rPr>
                <w:rFonts w:asciiTheme="minorHAnsi" w:hAnsiTheme="minorHAnsi" w:cstheme="minorHAnsi"/>
              </w:rPr>
              <w:t>August 2024</w:t>
            </w:r>
          </w:p>
        </w:tc>
      </w:tr>
      <w:tr w14:paraId="6976FFD1" w14:textId="77777777" w:rsidTr="002677C8">
        <w:tblPrEx>
          <w:tblW w:w="5000" w:type="pct"/>
          <w:tblInd w:w="0" w:type="dxa"/>
          <w:tblCellMar>
            <w:left w:w="58" w:type="dxa"/>
            <w:right w:w="58" w:type="dxa"/>
          </w:tblCellMar>
          <w:tblLook w:val="04A0"/>
        </w:tblPrEx>
        <w:trPr>
          <w:trHeight w:val="288"/>
        </w:trPr>
        <w:tc>
          <w:tcPr>
            <w:tcW w:w="2495" w:type="pct"/>
          </w:tcPr>
          <w:p w:rsidR="008F5D17" w:rsidRPr="008F5D17" w:rsidP="002677C8" w14:paraId="7F62C054" w14:textId="77777777">
            <w:pPr>
              <w:pStyle w:val="Table-IPR"/>
              <w:rPr>
                <w:rFonts w:asciiTheme="minorHAnsi" w:hAnsiTheme="minorHAnsi" w:cstheme="minorHAnsi"/>
              </w:rPr>
            </w:pPr>
            <w:r w:rsidRPr="008F5D17">
              <w:rPr>
                <w:rFonts w:asciiTheme="minorHAnsi" w:hAnsiTheme="minorHAnsi" w:cstheme="minorHAnsi"/>
              </w:rPr>
              <w:t>SNAP Administrative Data Request</w:t>
            </w:r>
          </w:p>
        </w:tc>
        <w:tc>
          <w:tcPr>
            <w:tcW w:w="2505" w:type="pct"/>
          </w:tcPr>
          <w:p w:rsidR="008F5D17" w:rsidRPr="008F5D17" w:rsidP="002677C8" w14:paraId="0A7945CA" w14:textId="77777777">
            <w:pPr>
              <w:pStyle w:val="Table-IPR"/>
              <w:rPr>
                <w:rFonts w:asciiTheme="minorHAnsi" w:hAnsiTheme="minorHAnsi" w:cstheme="minorHAnsi"/>
                <w:highlight w:val="yellow"/>
              </w:rPr>
            </w:pPr>
            <w:r w:rsidRPr="008F5D17">
              <w:rPr>
                <w:rFonts w:asciiTheme="minorHAnsi" w:hAnsiTheme="minorHAnsi" w:cstheme="minorHAnsi"/>
              </w:rPr>
              <w:t>August 2024</w:t>
            </w:r>
          </w:p>
        </w:tc>
      </w:tr>
    </w:tbl>
    <w:p w:rsidR="008F5D17" w:rsidP="008F5D17" w14:paraId="1540DFED" w14:textId="77777777">
      <w:pPr>
        <w:pStyle w:val="Heading2-IPR"/>
        <w:numPr>
          <w:ilvl w:val="0"/>
          <w:numId w:val="0"/>
        </w:numPr>
        <w:spacing w:before="240"/>
        <w:ind w:left="360" w:hanging="360"/>
      </w:pPr>
      <w:bookmarkStart w:id="12" w:name="_Toc124405478"/>
      <w:bookmarkStart w:id="13" w:name="_Toc126843619"/>
      <w:bookmarkStart w:id="14" w:name="_Toc126845074"/>
      <w:bookmarkStart w:id="15" w:name="_Toc137638342"/>
      <w:r>
        <w:t>Frequently Asked Questions</w:t>
      </w:r>
      <w:bookmarkEnd w:id="12"/>
      <w:bookmarkEnd w:id="13"/>
      <w:bookmarkEnd w:id="14"/>
      <w:bookmarkEnd w:id="15"/>
    </w:p>
    <w:p w:rsidR="008F5D17" w:rsidRPr="00012967" w:rsidP="008F5D17" w14:paraId="74DB4942" w14:textId="77777777">
      <w:pPr>
        <w:pStyle w:val="Heading3-IPR"/>
        <w:rPr>
          <w:rStyle w:val="normaltextrun"/>
        </w:rPr>
      </w:pPr>
      <w:bookmarkStart w:id="16" w:name="_Toc126843620"/>
      <w:bookmarkStart w:id="17" w:name="_Toc126845075"/>
      <w:bookmarkStart w:id="18" w:name="_Toc137638343"/>
      <w:r w:rsidRPr="4D6139E2">
        <w:rPr>
          <w:rStyle w:val="normaltextrun"/>
        </w:rPr>
        <w:t xml:space="preserve">Who </w:t>
      </w:r>
      <w:r>
        <w:rPr>
          <w:rStyle w:val="normaltextrun"/>
        </w:rPr>
        <w:t>I</w:t>
      </w:r>
      <w:r w:rsidRPr="4D6139E2">
        <w:rPr>
          <w:rStyle w:val="normaltextrun"/>
        </w:rPr>
        <w:t xml:space="preserve">s </w:t>
      </w:r>
      <w:r>
        <w:rPr>
          <w:rStyle w:val="normaltextrun"/>
        </w:rPr>
        <w:t>B</w:t>
      </w:r>
      <w:r w:rsidRPr="4D6139E2">
        <w:rPr>
          <w:rStyle w:val="normaltextrun"/>
        </w:rPr>
        <w:t xml:space="preserve">eing </w:t>
      </w:r>
      <w:r>
        <w:rPr>
          <w:rStyle w:val="normaltextrun"/>
        </w:rPr>
        <w:t>A</w:t>
      </w:r>
      <w:r w:rsidRPr="4D6139E2">
        <w:rPr>
          <w:rStyle w:val="normaltextrun"/>
        </w:rPr>
        <w:t xml:space="preserve">sked to </w:t>
      </w:r>
      <w:r>
        <w:rPr>
          <w:rStyle w:val="normaltextrun"/>
        </w:rPr>
        <w:t>P</w:t>
      </w:r>
      <w:r w:rsidRPr="4D6139E2">
        <w:rPr>
          <w:rStyle w:val="normaltextrun"/>
        </w:rPr>
        <w:t xml:space="preserve">articipate in </w:t>
      </w:r>
      <w:r>
        <w:rPr>
          <w:rStyle w:val="normaltextrun"/>
        </w:rPr>
        <w:t>T</w:t>
      </w:r>
      <w:r w:rsidRPr="4D6139E2">
        <w:rPr>
          <w:rStyle w:val="normaltextrun"/>
        </w:rPr>
        <w:t xml:space="preserve">his </w:t>
      </w:r>
      <w:r>
        <w:rPr>
          <w:rStyle w:val="normaltextrun"/>
        </w:rPr>
        <w:t>S</w:t>
      </w:r>
      <w:r w:rsidRPr="4D6139E2">
        <w:rPr>
          <w:rStyle w:val="normaltextrun"/>
        </w:rPr>
        <w:t>tudy?</w:t>
      </w:r>
      <w:bookmarkEnd w:id="16"/>
      <w:bookmarkEnd w:id="17"/>
      <w:bookmarkEnd w:id="18"/>
    </w:p>
    <w:p w:rsidR="008F5D17" w:rsidP="008F5D17" w14:paraId="1B9651BB" w14:textId="77777777">
      <w:pPr>
        <w:pStyle w:val="BodyText-IPR"/>
        <w:rPr>
          <w:rStyle w:val="normaltextrun"/>
          <w:rFonts w:cs="Calibri"/>
          <w:shd w:val="clear" w:color="auto" w:fill="FFFFFF"/>
        </w:rPr>
      </w:pPr>
      <w:r>
        <w:rPr>
          <w:rStyle w:val="normaltextrun"/>
          <w:rFonts w:cs="Calibri"/>
          <w:shd w:val="clear" w:color="auto" w:fill="FFFFFF"/>
        </w:rPr>
        <w:t xml:space="preserve">We will conduct an online survey of all State agencies. The survey link will be sent to the SNAP Directors, who may share the link with other relevant staff as needed. </w:t>
      </w:r>
      <w:r w:rsidRPr="00893F6E">
        <w:rPr>
          <w:rFonts w:eastAsia="Times New Roman" w:cs="Calibri"/>
        </w:rPr>
        <w:t xml:space="preserve">The web survey should take about </w:t>
      </w:r>
      <w:r w:rsidRPr="00675EAD">
        <w:rPr>
          <w:rFonts w:eastAsia="Times New Roman" w:cs="Calibri"/>
          <w:i/>
          <w:iCs/>
        </w:rPr>
        <w:t>[</w:t>
      </w:r>
      <w:r w:rsidRPr="00675EAD">
        <w:rPr>
          <w:rFonts w:eastAsia="Times New Roman" w:cs="Calibri"/>
          <w:i/>
          <w:iCs/>
          <w:color w:val="C00000"/>
        </w:rPr>
        <w:t>X</w:t>
      </w:r>
      <w:r w:rsidRPr="00675EAD">
        <w:rPr>
          <w:i/>
          <w:iCs/>
        </w:rPr>
        <w:t>]</w:t>
      </w:r>
      <w:r w:rsidRPr="00893F6E">
        <w:rPr>
          <w:rFonts w:eastAsia="Times New Roman" w:cs="Calibri"/>
        </w:rPr>
        <w:t xml:space="preserve"> minutes to complete</w:t>
      </w:r>
      <w:r>
        <w:rPr>
          <w:rFonts w:eastAsia="Times New Roman" w:cs="Calibri"/>
        </w:rPr>
        <w:t>.</w:t>
      </w:r>
    </w:p>
    <w:p w:rsidR="008F5D17" w:rsidP="008F5D17" w14:paraId="70CA2402" w14:textId="77777777">
      <w:pPr>
        <w:pStyle w:val="BodyText-IPR"/>
        <w:rPr>
          <w:rStyle w:val="normaltextrun"/>
          <w:rFonts w:cs="Calibri"/>
          <w:shd w:val="clear" w:color="auto" w:fill="FFFFFF"/>
        </w:rPr>
      </w:pPr>
      <w:r>
        <w:rPr>
          <w:rStyle w:val="normaltextrun"/>
          <w:rFonts w:cs="Calibri"/>
          <w:shd w:val="clear" w:color="auto" w:fill="FFFFFF"/>
        </w:rPr>
        <w:t>Following the survey, we will select six State agencies for case studies. As part of those case studies, we will seek to interview the following types of staff via telephone or videoconference:</w:t>
      </w:r>
    </w:p>
    <w:p w:rsidR="008F5D17" w:rsidRPr="009F1BC5" w:rsidP="009F1BC5" w14:paraId="15D45FF5" w14:textId="77777777">
      <w:pPr>
        <w:pStyle w:val="BulletsRed-IPR"/>
        <w:numPr>
          <w:ilvl w:val="0"/>
          <w:numId w:val="28"/>
        </w:numPr>
      </w:pPr>
      <w:r w:rsidRPr="009F1BC5">
        <w:t xml:space="preserve">Program staff involved in developing the case-profiling </w:t>
      </w:r>
      <w:r w:rsidRPr="009F1BC5">
        <w:t>tool</w:t>
      </w:r>
    </w:p>
    <w:p w:rsidR="008F5D17" w:rsidRPr="009F1BC5" w:rsidP="009F1BC5" w14:paraId="0F71FDF8" w14:textId="77777777">
      <w:pPr>
        <w:pStyle w:val="BulletsRed-IPR"/>
        <w:numPr>
          <w:ilvl w:val="0"/>
          <w:numId w:val="28"/>
        </w:numPr>
      </w:pPr>
      <w:r w:rsidRPr="009F1BC5">
        <w:t xml:space="preserve">IT or data staff involved in developing and/or implementing the </w:t>
      </w:r>
      <w:r w:rsidRPr="009F1BC5">
        <w:t>tool</w:t>
      </w:r>
    </w:p>
    <w:p w:rsidR="008F5D17" w:rsidRPr="009F1BC5" w:rsidP="009F1BC5" w14:paraId="2328BCE8" w14:textId="77777777">
      <w:pPr>
        <w:pStyle w:val="BulletsRed-IPR"/>
        <w:numPr>
          <w:ilvl w:val="0"/>
          <w:numId w:val="28"/>
        </w:numPr>
      </w:pPr>
      <w:r w:rsidRPr="009F1BC5">
        <w:t>Staff who routinely use the tool</w:t>
      </w:r>
    </w:p>
    <w:p w:rsidR="008F5D17" w:rsidRPr="0049632C" w:rsidP="00C90599" w14:paraId="6CE3D164" w14:textId="77777777">
      <w:pPr>
        <w:pStyle w:val="BodyText-IPR"/>
      </w:pPr>
      <w:r>
        <w:t>The interviews will vary in length between 30 and 90 minutes, depending on the type of staff being interviewed.</w:t>
      </w:r>
    </w:p>
    <w:p w:rsidR="008F5D17" w:rsidRPr="00A22A70" w:rsidP="008F5D17" w14:paraId="7AE4E39C" w14:textId="77777777">
      <w:pPr>
        <w:pStyle w:val="Heading3-IPR"/>
        <w:rPr>
          <w:rFonts w:ascii="Segoe UI" w:hAnsi="Segoe UI" w:cs="Segoe UI"/>
          <w:sz w:val="18"/>
          <w:szCs w:val="18"/>
        </w:rPr>
      </w:pPr>
      <w:bookmarkStart w:id="19" w:name="_Toc126843621"/>
      <w:bookmarkStart w:id="20" w:name="_Toc126845076"/>
      <w:bookmarkStart w:id="21" w:name="_Toc137638344"/>
      <w:r>
        <w:t>Why Should I Participate?</w:t>
      </w:r>
      <w:bookmarkEnd w:id="19"/>
      <w:bookmarkEnd w:id="20"/>
      <w:bookmarkEnd w:id="21"/>
    </w:p>
    <w:p w:rsidR="008F5D17" w:rsidRPr="00B473CE" w:rsidP="008F5D17" w14:paraId="39FCC24C" w14:textId="77777777">
      <w:pPr>
        <w:pStyle w:val="BodyText-IPR"/>
      </w:pPr>
      <w:r>
        <w:t xml:space="preserve">Case-profiling tools have the potential to increase payment accuracy and reduce staff workloads. FNS may use the results of this study to inform future guidance on the use of these tools. Participation by all State agencies will provide the best possible understanding of case-profiling tools in SNAP administration. </w:t>
      </w:r>
      <w:r w:rsidRPr="003F3AA2">
        <w:t>Keep in mind that</w:t>
      </w:r>
      <w:r>
        <w:t xml:space="preserve"> this is a research study; it is not an audit or monitoring visit.</w:t>
      </w:r>
    </w:p>
    <w:p w:rsidR="008F5D17" w:rsidRPr="00C57405" w:rsidP="008F5D17" w14:paraId="30B6A35E" w14:textId="77777777">
      <w:pPr>
        <w:pStyle w:val="Heading3-IPR"/>
        <w:rPr>
          <w:rFonts w:ascii="Segoe UI" w:hAnsi="Segoe UI" w:cs="Segoe UI"/>
          <w:sz w:val="18"/>
          <w:szCs w:val="18"/>
        </w:rPr>
      </w:pPr>
      <w:bookmarkStart w:id="22" w:name="_Toc126843622"/>
      <w:bookmarkStart w:id="23" w:name="_Toc126845077"/>
      <w:bookmarkStart w:id="24" w:name="_Toc137638345"/>
      <w:r>
        <w:t>Will the Information I Provide Be Kept Private?</w:t>
      </w:r>
      <w:bookmarkEnd w:id="22"/>
      <w:bookmarkEnd w:id="23"/>
      <w:bookmarkEnd w:id="24"/>
    </w:p>
    <w:p w:rsidR="008F5D17" w:rsidP="008F5D17" w14:paraId="69A62B1B" w14:textId="4C7228F0">
      <w:pPr>
        <w:pStyle w:val="BodyText-IPR"/>
      </w:pPr>
      <w:r>
        <w:t xml:space="preserve">All information gathered will be used for research purposes only and kept private to the extent allowed by law. FNS will receive survey data that have been stripped of identifying information. All findings from survey and SNAP QC data will be reported in the aggregate </w:t>
      </w:r>
      <w:r w:rsidRPr="00ED52EB" w:rsidR="00952CAA">
        <w:rPr>
          <w:rFonts w:asciiTheme="minorHAnsi" w:hAnsiTheme="minorHAnsi" w:cstheme="minorHAnsi"/>
        </w:rPr>
        <w:t xml:space="preserve">and </w:t>
      </w:r>
      <w:r w:rsidR="00952CAA">
        <w:rPr>
          <w:rFonts w:asciiTheme="minorHAnsi" w:hAnsiTheme="minorHAnsi" w:cstheme="minorHAnsi"/>
        </w:rPr>
        <w:t>at the</w:t>
      </w:r>
      <w:r w:rsidRPr="00ED52EB" w:rsidR="00952CAA">
        <w:rPr>
          <w:rFonts w:asciiTheme="minorHAnsi" w:hAnsiTheme="minorHAnsi" w:cstheme="minorHAnsi"/>
        </w:rPr>
        <w:t xml:space="preserve"> individual State </w:t>
      </w:r>
      <w:r w:rsidR="00952CAA">
        <w:rPr>
          <w:rFonts w:asciiTheme="minorHAnsi" w:hAnsiTheme="minorHAnsi" w:cstheme="minorHAnsi"/>
        </w:rPr>
        <w:t>level.</w:t>
      </w:r>
      <w:r w:rsidR="00952CAA">
        <w:t xml:space="preserve"> No</w:t>
      </w:r>
      <w:r>
        <w:t xml:space="preserve"> individual persons </w:t>
      </w:r>
      <w:r w:rsidR="00952CAA">
        <w:t xml:space="preserve">will be identified or reported </w:t>
      </w:r>
      <w:r>
        <w:t>in the writeup of those findings. FNS will receive redacted transcripts of the interviews. Findings from interviews will be linked to the respondent’s State agency, but no other identifying information will be reported.</w:t>
      </w:r>
    </w:p>
    <w:p w:rsidR="008F5D17" w:rsidP="008F5D17" w14:paraId="26D0A279" w14:textId="77777777">
      <w:pPr>
        <w:pStyle w:val="Heading2-IPR"/>
        <w:numPr>
          <w:ilvl w:val="0"/>
          <w:numId w:val="0"/>
        </w:numPr>
        <w:ind w:left="360" w:hanging="360"/>
      </w:pPr>
      <w:bookmarkStart w:id="25" w:name="_Toc124405479"/>
      <w:bookmarkStart w:id="26" w:name="_Toc126843623"/>
      <w:bookmarkStart w:id="27" w:name="_Toc126845078"/>
      <w:bookmarkStart w:id="28" w:name="_Toc137638346"/>
      <w:r>
        <w:t>To Learn More</w:t>
      </w:r>
      <w:bookmarkEnd w:id="25"/>
      <w:bookmarkEnd w:id="26"/>
      <w:bookmarkEnd w:id="27"/>
      <w:bookmarkEnd w:id="28"/>
    </w:p>
    <w:p w:rsidR="00B621B8" w:rsidP="008F5D17" w14:paraId="30BCA61F" w14:textId="2CF5B282">
      <w:pPr>
        <w:pStyle w:val="BodyText-IPR"/>
      </w:pPr>
      <w:r>
        <w:t xml:space="preserve">Please email the </w:t>
      </w:r>
      <w:bookmarkStart w:id="29" w:name="_Hlk131594042"/>
      <w:r>
        <w:t>Westat Research Project Director</w:t>
      </w:r>
      <w:bookmarkEnd w:id="29"/>
      <w:r>
        <w:t xml:space="preserve">, Betsy Thorn, at </w:t>
      </w:r>
      <w:hyperlink r:id="rId9">
        <w:r w:rsidRPr="002107EE">
          <w:rPr>
            <w:rStyle w:val="Hyperlink"/>
          </w:rPr>
          <w:t>bthorn@insightpolicyresearch.com</w:t>
        </w:r>
      </w:hyperlink>
      <w:r>
        <w:t xml:space="preserve">, or the FNS Project Officer, Eric Williams, at </w:t>
      </w:r>
      <w:hyperlink r:id="rId10">
        <w:r w:rsidRPr="002107EE">
          <w:rPr>
            <w:rStyle w:val="Hyperlink"/>
          </w:rPr>
          <w:t>eric.williams@usda.gov</w:t>
        </w:r>
      </w:hyperlink>
      <w:r>
        <w:t>.</w:t>
      </w:r>
    </w:p>
    <w:p w:rsidR="0017489E" w:rsidP="008F5D17" w14:paraId="02C10ADB" w14:textId="442A20F6">
      <w:pPr>
        <w:pStyle w:val="BodyText-IPR"/>
      </w:pPr>
      <w:r w:rsidRPr="00F57C9A">
        <w:rPr>
          <w:b/>
          <w:bCs/>
          <w:noProof/>
        </w:rPr>
        <mc:AlternateContent>
          <mc:Choice Requires="wps">
            <w:drawing>
              <wp:inline distT="0" distB="0" distL="0" distR="0">
                <wp:extent cx="5943600" cy="1787525"/>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87525"/>
                        </a:xfrm>
                        <a:prstGeom prst="rect">
                          <a:avLst/>
                        </a:prstGeom>
                        <a:solidFill>
                          <a:sysClr val="window" lastClr="FFFFFF">
                            <a:lumMod val="95000"/>
                          </a:sysClr>
                        </a:solidFill>
                        <a:ln w="9525">
                          <a:noFill/>
                          <a:miter lim="800000"/>
                          <a:headEnd/>
                          <a:tailEnd/>
                        </a:ln>
                      </wps:spPr>
                      <wps:txbx>
                        <w:txbxContent>
                          <w:p w:rsidR="0017489E" w:rsidRPr="000A6728" w:rsidP="0017489E" w14:textId="5F389ED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A82B31">
                              <w:rPr>
                                <w:rFonts w:cstheme="minorHAnsi"/>
                                <w:sz w:val="18"/>
                              </w:rPr>
                              <w:t>0.042</w:t>
                            </w:r>
                            <w:r w:rsidRPr="000A6728">
                              <w:rPr>
                                <w:rFonts w:cstheme="minorHAnsi"/>
                                <w:sz w:val="18"/>
                              </w:rPr>
                              <w:t xml:space="preserve"> hours (</w:t>
                            </w:r>
                            <w:r w:rsidR="00BC1403">
                              <w:rPr>
                                <w:rFonts w:cstheme="minorHAnsi"/>
                                <w:sz w:val="18"/>
                              </w:rPr>
                              <w:t>2.5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40.75pt;mso-left-percent:-10001;mso-position-horizontal-relative:char;mso-position-vertical-relative:line;mso-top-percent:-10001;mso-wrap-style:square;visibility:visible;v-text-anchor:top" fillcolor="#f2f2f2" stroked="f">
                <v:textbox style="mso-fit-shape-to-text:t">
                  <w:txbxContent>
                    <w:p w:rsidR="0017489E" w:rsidRPr="000A6728" w:rsidP="0017489E" w14:paraId="42CA2C81" w14:textId="5F389ED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A82B31">
                        <w:rPr>
                          <w:rFonts w:cstheme="minorHAnsi"/>
                          <w:sz w:val="18"/>
                        </w:rPr>
                        <w:t>0.042</w:t>
                      </w:r>
                      <w:r w:rsidRPr="000A6728">
                        <w:rPr>
                          <w:rFonts w:cstheme="minorHAnsi"/>
                          <w:sz w:val="18"/>
                        </w:rPr>
                        <w:t xml:space="preserve"> hours (</w:t>
                      </w:r>
                      <w:r w:rsidR="00BC1403">
                        <w:rPr>
                          <w:rFonts w:cstheme="minorHAnsi"/>
                          <w:sz w:val="18"/>
                        </w:rPr>
                        <w:t>2.5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cstheme="minorHAnsi"/>
        <w:i/>
        <w:sz w:val="20"/>
      </w:rPr>
    </w:sdtEndPr>
    <w:sdtContent>
      <w:sdt>
        <w:sdtPr>
          <w:rPr>
            <w:i/>
            <w:sz w:val="20"/>
          </w:rPr>
          <w:id w:val="1733585187"/>
          <w:docPartObj>
            <w:docPartGallery w:val="Page Numbers (Bottom of Page)"/>
            <w:docPartUnique/>
          </w:docPartObj>
        </w:sdtPr>
        <w:sdtEndPr>
          <w:rPr>
            <w:rStyle w:val="FooterTitle-IPRChar"/>
          </w:rPr>
        </w:sdtEndPr>
        <w:sdtContent>
          <w:sdt>
            <w:sdtPr>
              <w:rPr>
                <w:rFonts w:cstheme="minorHAnsi"/>
                <w:i/>
                <w:sz w:val="20"/>
              </w:rPr>
              <w:id w:val="565996845"/>
              <w:docPartObj>
                <w:docPartGallery w:val="Page Numbers (Bottom of Page)"/>
                <w:docPartUnique/>
              </w:docPartObj>
            </w:sdtPr>
            <w:sdtEndPr>
              <w:rPr>
                <w:noProof/>
              </w:rPr>
            </w:sdtEndPr>
            <w:sdtContent>
              <w:p w:rsidR="009C475C" w:rsidRPr="00867892" w:rsidP="00585F1A" w14:paraId="4342AC61" w14:textId="5FD46430">
                <w:pPr>
                  <w:tabs>
                    <w:tab w:val="right" w:pos="9360"/>
                  </w:tabs>
                  <w:spacing w:after="0"/>
                  <w:rPr>
                    <w:rFonts w:cstheme="minorHAnsi"/>
                  </w:rPr>
                </w:pPr>
                <w:sdt>
                  <w:sdtPr>
                    <w:rPr>
                      <w:rFonts w:cstheme="minorHAnsi"/>
                      <w:i/>
                      <w:color w:val="2B579A"/>
                      <w:sz w:val="20"/>
                      <w:shd w:val="clear" w:color="auto" w:fill="E6E6E6"/>
                    </w:rPr>
                    <w:id w:val="-301155018"/>
                    <w:docPartObj>
                      <w:docPartGallery w:val="Page Numbers (Bottom of Page)"/>
                      <w:docPartUnique/>
                    </w:docPartObj>
                  </w:sdtPr>
                  <w:sdtContent>
                    <w:r w:rsidR="00867892">
                      <w:rPr>
                        <w:rStyle w:val="FooterTitle-IPRChar"/>
                        <w:rFonts w:cstheme="minorHAnsi"/>
                      </w:rPr>
                      <w:t xml:space="preserve"> </w:t>
                    </w:r>
                    <w:r w:rsidR="00867892">
                      <w:rPr>
                        <w:rStyle w:val="FooterTitle-IPRChar"/>
                        <w:rFonts w:cstheme="minorHAnsi"/>
                      </w:rPr>
                      <w:tab/>
                    </w:r>
                    <w:r w:rsidR="001D4E7E">
                      <w:rPr>
                        <w:rStyle w:val="FooterTitle-IPRChar"/>
                        <w:rFonts w:cstheme="minorHAnsi"/>
                      </w:rPr>
                      <w:t>C-</w:t>
                    </w:r>
                    <w:r w:rsidRPr="00182CF2" w:rsidR="00867892">
                      <w:rPr>
                        <w:rStyle w:val="FooterTitle-IPRChar"/>
                        <w:rFonts w:cstheme="minorHAnsi"/>
                      </w:rPr>
                      <w:fldChar w:fldCharType="begin"/>
                    </w:r>
                    <w:r w:rsidRPr="00182CF2" w:rsidR="00867892">
                      <w:rPr>
                        <w:rStyle w:val="FooterTitle-IPRChar"/>
                        <w:rFonts w:cstheme="minorHAnsi"/>
                      </w:rPr>
                      <w:instrText xml:space="preserve"> PAGE   \* MERGEFORMAT </w:instrText>
                    </w:r>
                    <w:r w:rsidRPr="00182CF2" w:rsidR="00867892">
                      <w:rPr>
                        <w:rStyle w:val="FooterTitle-IPRChar"/>
                        <w:rFonts w:cstheme="minorHAnsi"/>
                      </w:rPr>
                      <w:fldChar w:fldCharType="separate"/>
                    </w:r>
                    <w:r w:rsidR="00952CAA">
                      <w:rPr>
                        <w:rStyle w:val="FooterTitle-IPRChar"/>
                        <w:rFonts w:cstheme="minorHAnsi"/>
                        <w:noProof/>
                      </w:rPr>
                      <w:t>2</w:t>
                    </w:r>
                    <w:r w:rsidRPr="00182CF2" w:rsidR="00867892">
                      <w:rPr>
                        <w:rStyle w:val="FooterTitle-IPRChar"/>
                        <w:rFonts w:cstheme="minorHAnsi"/>
                      </w:rPr>
                      <w:fldChar w:fldCharType="end"/>
                    </w:r>
                  </w:sdtContent>
                </w:sdt>
              </w:p>
            </w:sdtContent>
          </w:sdt>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734D58"/>
    <w:multiLevelType w:val="multilevel"/>
    <w:tmpl w:val="94F2A9BA"/>
    <w:numStyleLink w:val="BulletListStyleRed-IPR"/>
  </w:abstractNum>
  <w:abstractNum w:abstractNumId="11">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2">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4">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4BC6EB8"/>
    <w:multiLevelType w:val="multilevel"/>
    <w:tmpl w:val="B84CE8A6"/>
    <w:numStyleLink w:val="TableRedNumbersList-IPR"/>
  </w:abstractNum>
  <w:abstractNum w:abstractNumId="20">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9A4D49"/>
    <w:multiLevelType w:val="multilevel"/>
    <w:tmpl w:val="E0FE1110"/>
    <w:numStyleLink w:val="TableRedBulletsList-IPR"/>
  </w:abstractNum>
  <w:abstractNum w:abstractNumId="2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A64C1C"/>
    <w:multiLevelType w:val="hybridMultilevel"/>
    <w:tmpl w:val="40128120"/>
    <w:lvl w:ilvl="0">
      <w:start w:val="1"/>
      <w:numFmt w:val="bullet"/>
      <w:lvlText w:val=""/>
      <w:lvlJc w:val="left"/>
      <w:pPr>
        <w:ind w:left="720" w:hanging="360"/>
      </w:pPr>
      <w:rPr>
        <w:rFonts w:ascii="Symbol" w:hAnsi="Symbol" w:hint="default"/>
        <w:color w:val="003C7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8742255">
    <w:abstractNumId w:val="24"/>
  </w:num>
  <w:num w:numId="2" w16cid:durableId="20017682">
    <w:abstractNumId w:val="17"/>
  </w:num>
  <w:num w:numId="3" w16cid:durableId="714542800">
    <w:abstractNumId w:val="0"/>
  </w:num>
  <w:num w:numId="4" w16cid:durableId="1257251042">
    <w:abstractNumId w:val="13"/>
  </w:num>
  <w:num w:numId="5" w16cid:durableId="1988168316">
    <w:abstractNumId w:val="5"/>
  </w:num>
  <w:num w:numId="6" w16cid:durableId="1790778789">
    <w:abstractNumId w:val="7"/>
  </w:num>
  <w:num w:numId="7" w16cid:durableId="171264789">
    <w:abstractNumId w:val="23"/>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2138793707">
    <w:abstractNumId w:val="1"/>
  </w:num>
  <w:num w:numId="9" w16cid:durableId="1518273247">
    <w:abstractNumId w:val="19"/>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15671614">
    <w:abstractNumId w:val="9"/>
  </w:num>
  <w:num w:numId="11" w16cid:durableId="2129665036">
    <w:abstractNumId w:val="2"/>
  </w:num>
  <w:num w:numId="12" w16cid:durableId="504369908">
    <w:abstractNumId w:val="3"/>
  </w:num>
  <w:num w:numId="13" w16cid:durableId="252395162">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2119566940">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895773900">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15462571">
    <w:abstractNumId w:val="12"/>
  </w:num>
  <w:num w:numId="17" w16cid:durableId="1851065539">
    <w:abstractNumId w:val="16"/>
  </w:num>
  <w:num w:numId="18" w16cid:durableId="1082530983">
    <w:abstractNumId w:val="20"/>
  </w:num>
  <w:num w:numId="19" w16cid:durableId="266277629">
    <w:abstractNumId w:val="8"/>
  </w:num>
  <w:num w:numId="20" w16cid:durableId="576087177">
    <w:abstractNumId w:val="6"/>
  </w:num>
  <w:num w:numId="21" w16cid:durableId="501701330">
    <w:abstractNumId w:val="15"/>
  </w:num>
  <w:num w:numId="22" w16cid:durableId="1369140515">
    <w:abstractNumId w:val="21"/>
  </w:num>
  <w:num w:numId="23" w16cid:durableId="1699892824">
    <w:abstractNumId w:val="22"/>
  </w:num>
  <w:num w:numId="24" w16cid:durableId="1212811076">
    <w:abstractNumId w:val="18"/>
  </w:num>
  <w:num w:numId="25" w16cid:durableId="1662008250">
    <w:abstractNumId w:val="11"/>
  </w:num>
  <w:num w:numId="26" w16cid:durableId="1013652098">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508300030">
    <w:abstractNumId w:val="14"/>
  </w:num>
  <w:num w:numId="28" w16cid:durableId="1398747585">
    <w:abstractNumId w:val="25"/>
  </w:num>
  <w:num w:numId="29" w16cid:durableId="2003776225">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12967"/>
    <w:rsid w:val="00027B3B"/>
    <w:rsid w:val="00036035"/>
    <w:rsid w:val="00037EC0"/>
    <w:rsid w:val="0004078C"/>
    <w:rsid w:val="00041885"/>
    <w:rsid w:val="00051F00"/>
    <w:rsid w:val="00065AB6"/>
    <w:rsid w:val="000759C0"/>
    <w:rsid w:val="00094CCB"/>
    <w:rsid w:val="000A0D8C"/>
    <w:rsid w:val="000A6728"/>
    <w:rsid w:val="000C68FF"/>
    <w:rsid w:val="000E2303"/>
    <w:rsid w:val="00122B35"/>
    <w:rsid w:val="00125DF4"/>
    <w:rsid w:val="0013196B"/>
    <w:rsid w:val="00150659"/>
    <w:rsid w:val="0016287B"/>
    <w:rsid w:val="00173CD6"/>
    <w:rsid w:val="00174035"/>
    <w:rsid w:val="0017489E"/>
    <w:rsid w:val="00182CF2"/>
    <w:rsid w:val="00191BB3"/>
    <w:rsid w:val="001C3C6B"/>
    <w:rsid w:val="001C5605"/>
    <w:rsid w:val="001C5AC9"/>
    <w:rsid w:val="001D4E7E"/>
    <w:rsid w:val="001E0736"/>
    <w:rsid w:val="001E4086"/>
    <w:rsid w:val="002107EE"/>
    <w:rsid w:val="00214A36"/>
    <w:rsid w:val="00244337"/>
    <w:rsid w:val="002677C8"/>
    <w:rsid w:val="002847D0"/>
    <w:rsid w:val="002906FA"/>
    <w:rsid w:val="00294BAD"/>
    <w:rsid w:val="002A1F33"/>
    <w:rsid w:val="002B3B39"/>
    <w:rsid w:val="002C2758"/>
    <w:rsid w:val="002D7582"/>
    <w:rsid w:val="002E4A32"/>
    <w:rsid w:val="002F4F51"/>
    <w:rsid w:val="00323898"/>
    <w:rsid w:val="003273F1"/>
    <w:rsid w:val="003374E0"/>
    <w:rsid w:val="00337D45"/>
    <w:rsid w:val="003541C9"/>
    <w:rsid w:val="00357E67"/>
    <w:rsid w:val="00364220"/>
    <w:rsid w:val="003C6499"/>
    <w:rsid w:val="003D041D"/>
    <w:rsid w:val="003D1254"/>
    <w:rsid w:val="003F3AA2"/>
    <w:rsid w:val="00427600"/>
    <w:rsid w:val="00441547"/>
    <w:rsid w:val="00442715"/>
    <w:rsid w:val="00443FC0"/>
    <w:rsid w:val="00475033"/>
    <w:rsid w:val="0048146D"/>
    <w:rsid w:val="0049632C"/>
    <w:rsid w:val="00496542"/>
    <w:rsid w:val="004B4F0D"/>
    <w:rsid w:val="004B796B"/>
    <w:rsid w:val="004C5DAC"/>
    <w:rsid w:val="004E0E2F"/>
    <w:rsid w:val="004E68B3"/>
    <w:rsid w:val="0050748F"/>
    <w:rsid w:val="005109B4"/>
    <w:rsid w:val="00516ABE"/>
    <w:rsid w:val="00526B66"/>
    <w:rsid w:val="00532636"/>
    <w:rsid w:val="00540CD6"/>
    <w:rsid w:val="00565C4D"/>
    <w:rsid w:val="00566470"/>
    <w:rsid w:val="00567980"/>
    <w:rsid w:val="00585F1A"/>
    <w:rsid w:val="0059035F"/>
    <w:rsid w:val="005A01EC"/>
    <w:rsid w:val="005A5BEE"/>
    <w:rsid w:val="005B02CF"/>
    <w:rsid w:val="005E3B63"/>
    <w:rsid w:val="005F2F55"/>
    <w:rsid w:val="00610673"/>
    <w:rsid w:val="00611B49"/>
    <w:rsid w:val="006150ED"/>
    <w:rsid w:val="00654431"/>
    <w:rsid w:val="00664A30"/>
    <w:rsid w:val="00675EAD"/>
    <w:rsid w:val="0068382F"/>
    <w:rsid w:val="00686046"/>
    <w:rsid w:val="00694E47"/>
    <w:rsid w:val="006A06D4"/>
    <w:rsid w:val="006A19A8"/>
    <w:rsid w:val="006B13A0"/>
    <w:rsid w:val="006B527B"/>
    <w:rsid w:val="006C199A"/>
    <w:rsid w:val="006C3940"/>
    <w:rsid w:val="006C51E3"/>
    <w:rsid w:val="006F3271"/>
    <w:rsid w:val="00704BED"/>
    <w:rsid w:val="00725E90"/>
    <w:rsid w:val="00773251"/>
    <w:rsid w:val="007A474F"/>
    <w:rsid w:val="007B4F48"/>
    <w:rsid w:val="007D1EF7"/>
    <w:rsid w:val="00800CF4"/>
    <w:rsid w:val="008204AD"/>
    <w:rsid w:val="00820E25"/>
    <w:rsid w:val="00855098"/>
    <w:rsid w:val="00867892"/>
    <w:rsid w:val="00890220"/>
    <w:rsid w:val="00893F6E"/>
    <w:rsid w:val="008C3AB3"/>
    <w:rsid w:val="008D75B1"/>
    <w:rsid w:val="008F174D"/>
    <w:rsid w:val="008F1857"/>
    <w:rsid w:val="008F51CF"/>
    <w:rsid w:val="008F5D17"/>
    <w:rsid w:val="00903BC9"/>
    <w:rsid w:val="00915138"/>
    <w:rsid w:val="00924AD8"/>
    <w:rsid w:val="00934818"/>
    <w:rsid w:val="00945039"/>
    <w:rsid w:val="00952CAA"/>
    <w:rsid w:val="009B0D30"/>
    <w:rsid w:val="009B2C98"/>
    <w:rsid w:val="009B61B1"/>
    <w:rsid w:val="009B65A2"/>
    <w:rsid w:val="009C1DDE"/>
    <w:rsid w:val="009C2773"/>
    <w:rsid w:val="009C475C"/>
    <w:rsid w:val="009D3A1D"/>
    <w:rsid w:val="009E27C6"/>
    <w:rsid w:val="009E42AA"/>
    <w:rsid w:val="009F1BC5"/>
    <w:rsid w:val="00A04349"/>
    <w:rsid w:val="00A0610B"/>
    <w:rsid w:val="00A11D5A"/>
    <w:rsid w:val="00A216EF"/>
    <w:rsid w:val="00A22A70"/>
    <w:rsid w:val="00A32B6C"/>
    <w:rsid w:val="00A37347"/>
    <w:rsid w:val="00A44617"/>
    <w:rsid w:val="00A82B31"/>
    <w:rsid w:val="00A87838"/>
    <w:rsid w:val="00A90F80"/>
    <w:rsid w:val="00AB140C"/>
    <w:rsid w:val="00AB6D5F"/>
    <w:rsid w:val="00AC596C"/>
    <w:rsid w:val="00AD6BC3"/>
    <w:rsid w:val="00AE0886"/>
    <w:rsid w:val="00AE5566"/>
    <w:rsid w:val="00B04303"/>
    <w:rsid w:val="00B0543A"/>
    <w:rsid w:val="00B15515"/>
    <w:rsid w:val="00B30E41"/>
    <w:rsid w:val="00B3413A"/>
    <w:rsid w:val="00B473CE"/>
    <w:rsid w:val="00B47C49"/>
    <w:rsid w:val="00B621B8"/>
    <w:rsid w:val="00B63CF8"/>
    <w:rsid w:val="00B65E01"/>
    <w:rsid w:val="00B70D5E"/>
    <w:rsid w:val="00B830B8"/>
    <w:rsid w:val="00BA0CB0"/>
    <w:rsid w:val="00BA4B2A"/>
    <w:rsid w:val="00BB08B5"/>
    <w:rsid w:val="00BB4285"/>
    <w:rsid w:val="00BC1403"/>
    <w:rsid w:val="00BD5B31"/>
    <w:rsid w:val="00C1299A"/>
    <w:rsid w:val="00C15787"/>
    <w:rsid w:val="00C17467"/>
    <w:rsid w:val="00C17CDF"/>
    <w:rsid w:val="00C369AD"/>
    <w:rsid w:val="00C4543D"/>
    <w:rsid w:val="00C5090D"/>
    <w:rsid w:val="00C56A6F"/>
    <w:rsid w:val="00C57405"/>
    <w:rsid w:val="00C70EFC"/>
    <w:rsid w:val="00C75CC3"/>
    <w:rsid w:val="00C761B9"/>
    <w:rsid w:val="00C7742B"/>
    <w:rsid w:val="00C90599"/>
    <w:rsid w:val="00CA414E"/>
    <w:rsid w:val="00CF59EC"/>
    <w:rsid w:val="00D00738"/>
    <w:rsid w:val="00D05C42"/>
    <w:rsid w:val="00D136EF"/>
    <w:rsid w:val="00D160A4"/>
    <w:rsid w:val="00D350EB"/>
    <w:rsid w:val="00D52CE2"/>
    <w:rsid w:val="00D62DC7"/>
    <w:rsid w:val="00D75DCB"/>
    <w:rsid w:val="00D86025"/>
    <w:rsid w:val="00D95978"/>
    <w:rsid w:val="00D96A9C"/>
    <w:rsid w:val="00DA6E74"/>
    <w:rsid w:val="00DA7708"/>
    <w:rsid w:val="00DD0D51"/>
    <w:rsid w:val="00DD6364"/>
    <w:rsid w:val="00E17AE2"/>
    <w:rsid w:val="00E34854"/>
    <w:rsid w:val="00E562CE"/>
    <w:rsid w:val="00E77747"/>
    <w:rsid w:val="00E81587"/>
    <w:rsid w:val="00EA0641"/>
    <w:rsid w:val="00EA7E0A"/>
    <w:rsid w:val="00EB625B"/>
    <w:rsid w:val="00EC4628"/>
    <w:rsid w:val="00EC741B"/>
    <w:rsid w:val="00ED52EB"/>
    <w:rsid w:val="00EE0CE6"/>
    <w:rsid w:val="00EE5A73"/>
    <w:rsid w:val="00F171BB"/>
    <w:rsid w:val="00F20FC5"/>
    <w:rsid w:val="00F220E8"/>
    <w:rsid w:val="00F51A13"/>
    <w:rsid w:val="00F5452C"/>
    <w:rsid w:val="00F57577"/>
    <w:rsid w:val="00F61B64"/>
    <w:rsid w:val="00F76EF9"/>
    <w:rsid w:val="00F770B2"/>
    <w:rsid w:val="00FA4FE8"/>
    <w:rsid w:val="00FB2BE9"/>
    <w:rsid w:val="00FC4E4A"/>
    <w:rsid w:val="00FE38F3"/>
    <w:rsid w:val="00FE5BE2"/>
    <w:rsid w:val="00FE649F"/>
    <w:rsid w:val="00FE7ECB"/>
    <w:rsid w:val="00FF408C"/>
    <w:rsid w:val="4D6139E2"/>
    <w:rsid w:val="6FDF912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90599"/>
    <w:pPr>
      <w:numPr>
        <w:numId w:val="15"/>
      </w:numPr>
      <w:spacing w:after="120" w:line="240" w:lineRule="auto"/>
    </w:pPr>
    <w:rPr>
      <w:rFonts w:ascii="Calibri" w:hAnsi="Calibri" w:cs="Times New Roman"/>
      <w:color w:val="auto"/>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90599"/>
    <w:rPr>
      <w:rFonts w:ascii="Calibri" w:hAnsi="Calibri" w:cs="Times New Roman"/>
      <w:color w:val="auto"/>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C90599"/>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003C79"/>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C90599"/>
    <w:pPr>
      <w:keepNext/>
      <w:numPr>
        <w:numId w:val="1"/>
      </w:numPr>
      <w:spacing w:after="240" w:line="240" w:lineRule="auto"/>
      <w:outlineLvl w:val="2"/>
    </w:pPr>
    <w:rPr>
      <w:rFonts w:ascii="Candara" w:eastAsia="Calibri" w:hAnsi="Candara" w:cs="Arial"/>
      <w:b/>
      <w:bCs/>
      <w:color w:val="003C79"/>
      <w:sz w:val="24"/>
      <w:szCs w:val="24"/>
    </w:rPr>
  </w:style>
  <w:style w:type="character" w:customStyle="1" w:styleId="Heading3-IPRChar">
    <w:name w:val="Heading3-IPR Char"/>
    <w:basedOn w:val="DefaultParagraphFont"/>
    <w:link w:val="Heading3-IPR"/>
    <w:rsid w:val="00C90599"/>
    <w:rPr>
      <w:rFonts w:ascii="Candara" w:eastAsia="Calibri" w:hAnsi="Candara" w:cs="Arial"/>
      <w:b/>
      <w:bCs/>
      <w:color w:val="003C79"/>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C90599"/>
    <w:rPr>
      <w:rFonts w:ascii="Candara" w:hAnsi="Candara" w:eastAsiaTheme="majorEastAsia" w:cstheme="majorBidi"/>
      <w:b/>
      <w:bCs/>
      <w:color w:val="003C79"/>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585F1A"/>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585F1A"/>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color w:val="auto"/>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color w:val="auto"/>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paragraph" w:styleId="Revision">
    <w:name w:val="Revision"/>
    <w:hidden/>
    <w:uiPriority w:val="99"/>
    <w:semiHidden/>
    <w:rsid w:val="00867892"/>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ric.williams@usd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bthorn@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DD31-BAD9-464A-8601-FE8E6089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66460-B0C5-44F9-93C7-FC9D72D0650D}">
  <ds:schemaRefs>
    <ds:schemaRef ds:uri="http://schemas.microsoft.com/sharepoint/v3/contenttype/forms"/>
  </ds:schemaRefs>
</ds:datastoreItem>
</file>

<file path=customXml/itemProps3.xml><?xml version="1.0" encoding="utf-8"?>
<ds:datastoreItem xmlns:ds="http://schemas.openxmlformats.org/officeDocument/2006/customXml" ds:itemID="{488018E7-A219-4562-9CC9-3AB02AFAD104}">
  <ds:schemaRefs>
    <ds:schemaRef ds:uri="http://schemas.microsoft.com/office/infopath/2007/PartnerControls"/>
    <ds:schemaRef ds:uri="http://schemas.microsoft.com/office/2006/documentManagement/types"/>
    <ds:schemaRef ds:uri="02d48562-ca8f-4072-bf71-9fef426ffa83"/>
    <ds:schemaRef ds:uri="http://purl.org/dc/dcmitype/"/>
    <ds:schemaRef ds:uri="http://purl.org/dc/elements/1.1/"/>
    <ds:schemaRef ds:uri="b105fc2d-49d5-4dbd-bff6-19252311612d"/>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B6F1C74-429D-4A42-8005-99008882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23</cp:revision>
  <cp:lastPrinted>2015-05-26T19:17:00Z</cp:lastPrinted>
  <dcterms:created xsi:type="dcterms:W3CDTF">2023-06-15T17:55:00Z</dcterms:created>
  <dcterms:modified xsi:type="dcterms:W3CDTF">2024-01-31T03:34:00Z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