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7CF6" w:rsidRPr="00804B88" w:rsidP="00804B88" w14:paraId="348ACF45" w14:textId="77777777">
      <w:pPr>
        <w:tabs>
          <w:tab w:val="left" w:pos="720"/>
        </w:tabs>
        <w:jc w:val="center"/>
        <w:rPr>
          <w:b/>
        </w:rPr>
      </w:pPr>
      <w:r w:rsidRPr="00804B88">
        <w:rPr>
          <w:b/>
        </w:rPr>
        <w:t>SUPPORTING STATEMENT</w:t>
      </w:r>
    </w:p>
    <w:p w:rsidR="00F07CF6" w:rsidRPr="00600A43" w:rsidP="00F07CF6" w14:paraId="4C3E46AF" w14:textId="77777777">
      <w:pPr>
        <w:tabs>
          <w:tab w:val="left" w:pos="720"/>
        </w:tabs>
        <w:rPr>
          <w:b/>
          <w:shd w:val="clear" w:color="auto" w:fill="FFFFFF"/>
        </w:rPr>
      </w:pPr>
    </w:p>
    <w:p w:rsidR="00F07CF6" w:rsidRPr="007E5EED" w:rsidP="00F07CF6" w14:paraId="0C2A7F65" w14:textId="77777777">
      <w:pPr>
        <w:numPr>
          <w:ilvl w:val="0"/>
          <w:numId w:val="1"/>
        </w:numPr>
        <w:tabs>
          <w:tab w:val="left" w:pos="720"/>
        </w:tabs>
        <w:ind w:left="0" w:firstLine="0"/>
        <w:rPr>
          <w:b/>
          <w:sz w:val="22"/>
          <w:szCs w:val="22"/>
          <w:shd w:val="clear" w:color="auto" w:fill="FFFFFF"/>
        </w:rPr>
      </w:pPr>
      <w:r w:rsidRPr="007E5EED">
        <w:rPr>
          <w:b/>
          <w:sz w:val="22"/>
          <w:szCs w:val="22"/>
          <w:shd w:val="clear" w:color="auto" w:fill="FFFFFF"/>
        </w:rPr>
        <w:t>Justification</w:t>
      </w:r>
      <w:r w:rsidRPr="007E5EED" w:rsidR="00561058">
        <w:rPr>
          <w:b/>
          <w:sz w:val="22"/>
          <w:szCs w:val="22"/>
          <w:shd w:val="clear" w:color="auto" w:fill="FFFFFF"/>
        </w:rPr>
        <w:t>:</w:t>
      </w:r>
    </w:p>
    <w:p w:rsidR="00F07CF6" w:rsidRPr="007E5EED" w:rsidP="00F07CF6" w14:paraId="5565F4AC" w14:textId="77777777">
      <w:pPr>
        <w:tabs>
          <w:tab w:val="left" w:pos="720"/>
        </w:tabs>
        <w:rPr>
          <w:b/>
          <w:sz w:val="22"/>
          <w:szCs w:val="22"/>
          <w:shd w:val="clear" w:color="auto" w:fill="FFFFFF"/>
        </w:rPr>
      </w:pPr>
    </w:p>
    <w:p w:rsidR="00C745A7" w:rsidRPr="007E5EED" w:rsidP="00F11086" w14:paraId="4368400D" w14:textId="77777777">
      <w:pPr>
        <w:tabs>
          <w:tab w:val="left" w:pos="360"/>
        </w:tabs>
        <w:rPr>
          <w:sz w:val="22"/>
          <w:szCs w:val="22"/>
          <w:shd w:val="clear" w:color="auto" w:fill="FFFFFF"/>
        </w:rPr>
      </w:pPr>
      <w:r>
        <w:rPr>
          <w:sz w:val="22"/>
          <w:szCs w:val="22"/>
          <w:shd w:val="clear" w:color="auto" w:fill="FFFFFF"/>
        </w:rPr>
        <w:t xml:space="preserve">1.  </w:t>
      </w:r>
      <w:r w:rsidRPr="007E5EED" w:rsidR="00BF536B">
        <w:rPr>
          <w:sz w:val="22"/>
          <w:szCs w:val="22"/>
          <w:shd w:val="clear" w:color="auto" w:fill="FFFFFF"/>
        </w:rPr>
        <w:t xml:space="preserve">In </w:t>
      </w:r>
      <w:r w:rsidRPr="007E5EED" w:rsidR="00854264">
        <w:rPr>
          <w:sz w:val="22"/>
          <w:szCs w:val="22"/>
          <w:shd w:val="clear" w:color="auto" w:fill="FFFFFF"/>
        </w:rPr>
        <w:t>1</w:t>
      </w:r>
      <w:r w:rsidRPr="007E5EED" w:rsidR="00BF536B">
        <w:rPr>
          <w:sz w:val="22"/>
          <w:szCs w:val="22"/>
          <w:shd w:val="clear" w:color="auto" w:fill="FFFFFF"/>
        </w:rPr>
        <w:t>997</w:t>
      </w:r>
      <w:r w:rsidRPr="007E5EED" w:rsidR="00854264">
        <w:rPr>
          <w:sz w:val="22"/>
          <w:szCs w:val="22"/>
          <w:shd w:val="clear" w:color="auto" w:fill="FFFFFF"/>
        </w:rPr>
        <w:t xml:space="preserve">, </w:t>
      </w:r>
      <w:r w:rsidRPr="007E5EED" w:rsidR="00BF536B">
        <w:rPr>
          <w:sz w:val="22"/>
          <w:szCs w:val="22"/>
          <w:shd w:val="clear" w:color="auto" w:fill="FFFFFF"/>
        </w:rPr>
        <w:t xml:space="preserve">the Commission imposed political broadcasting requirements on Satellite Digital Audio Broadcasting Service (“SDARS”) licensees.  </w:t>
      </w:r>
      <w:r w:rsidRPr="007E5EED" w:rsidR="00BF536B">
        <w:rPr>
          <w:i/>
          <w:sz w:val="22"/>
          <w:szCs w:val="22"/>
          <w:shd w:val="clear" w:color="auto" w:fill="FFFFFF"/>
        </w:rPr>
        <w:t>See Establishment of Rules and Policies for the Digital Audio Radio Satellite Service in the 2310-2360 MHz Frequency Band</w:t>
      </w:r>
      <w:r w:rsidRPr="007E5EED" w:rsidR="00BF536B">
        <w:rPr>
          <w:sz w:val="22"/>
          <w:szCs w:val="22"/>
          <w:shd w:val="clear" w:color="auto" w:fill="FFFFFF"/>
        </w:rPr>
        <w:t xml:space="preserve">, 12 FCC </w:t>
      </w:r>
      <w:r w:rsidRPr="007E5EED" w:rsidR="00BF536B">
        <w:rPr>
          <w:sz w:val="22"/>
          <w:szCs w:val="22"/>
          <w:shd w:val="clear" w:color="auto" w:fill="FFFFFF"/>
        </w:rPr>
        <w:t>Rcd</w:t>
      </w:r>
      <w:r w:rsidRPr="007E5EED" w:rsidR="00BF536B">
        <w:rPr>
          <w:sz w:val="22"/>
          <w:szCs w:val="22"/>
          <w:shd w:val="clear" w:color="auto" w:fill="FFFFFF"/>
        </w:rPr>
        <w:t xml:space="preserve"> 5754, 5792, para. 92 (1997)</w:t>
      </w:r>
      <w:r w:rsidRPr="007E5EED" w:rsidR="00596CFE">
        <w:rPr>
          <w:sz w:val="22"/>
          <w:szCs w:val="22"/>
          <w:shd w:val="clear" w:color="auto" w:fill="FFFFFF"/>
        </w:rPr>
        <w:t xml:space="preserve"> (“</w:t>
      </w:r>
      <w:r w:rsidRPr="007E5EED" w:rsidR="00596CFE">
        <w:rPr>
          <w:i/>
          <w:sz w:val="22"/>
          <w:szCs w:val="22"/>
          <w:shd w:val="clear" w:color="auto" w:fill="FFFFFF"/>
        </w:rPr>
        <w:t>1997 SDARS Order</w:t>
      </w:r>
      <w:r w:rsidRPr="007E5EED" w:rsidR="00596CFE">
        <w:rPr>
          <w:sz w:val="22"/>
          <w:szCs w:val="22"/>
          <w:shd w:val="clear" w:color="auto" w:fill="FFFFFF"/>
        </w:rPr>
        <w:t>”)</w:t>
      </w:r>
      <w:r w:rsidR="001A5B9E">
        <w:rPr>
          <w:sz w:val="22"/>
          <w:szCs w:val="22"/>
          <w:shd w:val="clear" w:color="auto" w:fill="FFFFFF"/>
        </w:rPr>
        <w:t xml:space="preserve">, </w:t>
      </w:r>
      <w:r w:rsidR="001A5B9E">
        <w:rPr>
          <w:spacing w:val="-3"/>
        </w:rPr>
        <w:t>FCC 97-70</w:t>
      </w:r>
      <w:r w:rsidRPr="007E5EED" w:rsidR="00BF536B">
        <w:rPr>
          <w:sz w:val="22"/>
          <w:szCs w:val="22"/>
          <w:shd w:val="clear" w:color="auto" w:fill="FFFFFF"/>
        </w:rPr>
        <w:t>.  The Commission stated that SDARS licensees should comply with the same substantive political debate provisions as broadcasters: the federal candidate access provision (47 U.S.C. Section 312(a)(7)</w:t>
      </w:r>
      <w:r w:rsidRPr="007E5EED" w:rsidR="001B380A">
        <w:rPr>
          <w:sz w:val="22"/>
          <w:szCs w:val="22"/>
          <w:shd w:val="clear" w:color="auto" w:fill="FFFFFF"/>
        </w:rPr>
        <w:t>)</w:t>
      </w:r>
      <w:r w:rsidRPr="007E5EED" w:rsidR="00BF536B">
        <w:rPr>
          <w:sz w:val="22"/>
          <w:szCs w:val="22"/>
          <w:shd w:val="clear" w:color="auto" w:fill="FFFFFF"/>
        </w:rPr>
        <w:t xml:space="preserve"> and the equal opportunities provision (47 U.S.C. Section 315).</w:t>
      </w:r>
      <w:r w:rsidRPr="007E5EED" w:rsidR="007E5E3B">
        <w:rPr>
          <w:sz w:val="22"/>
          <w:szCs w:val="22"/>
          <w:shd w:val="clear" w:color="auto" w:fill="FFFFFF"/>
        </w:rPr>
        <w:t xml:space="preserve">  The</w:t>
      </w:r>
      <w:r w:rsidRPr="007E5EED" w:rsidR="001B380A">
        <w:rPr>
          <w:sz w:val="22"/>
          <w:szCs w:val="22"/>
          <w:shd w:val="clear" w:color="auto" w:fill="FFFFFF"/>
        </w:rPr>
        <w:t xml:space="preserve"> </w:t>
      </w:r>
      <w:r w:rsidRPr="007E5EED" w:rsidR="001B380A">
        <w:rPr>
          <w:i/>
          <w:sz w:val="22"/>
          <w:szCs w:val="22"/>
          <w:shd w:val="clear" w:color="auto" w:fill="FFFFFF"/>
        </w:rPr>
        <w:t xml:space="preserve">1997 SDARS Order </w:t>
      </w:r>
      <w:r w:rsidRPr="007E5EED" w:rsidR="00E11699">
        <w:rPr>
          <w:sz w:val="22"/>
          <w:szCs w:val="22"/>
          <w:shd w:val="clear" w:color="auto" w:fill="FFFFFF"/>
        </w:rPr>
        <w:t>impose</w:t>
      </w:r>
      <w:r w:rsidRPr="007E5EED" w:rsidR="001B380A">
        <w:rPr>
          <w:sz w:val="22"/>
          <w:szCs w:val="22"/>
          <w:shd w:val="clear" w:color="auto" w:fill="FFFFFF"/>
        </w:rPr>
        <w:t>s</w:t>
      </w:r>
      <w:r w:rsidRPr="007E5EED" w:rsidR="00E11699">
        <w:rPr>
          <w:sz w:val="22"/>
          <w:szCs w:val="22"/>
          <w:shd w:val="clear" w:color="auto" w:fill="FFFFFF"/>
        </w:rPr>
        <w:t xml:space="preserve"> the following requirements on </w:t>
      </w:r>
      <w:r w:rsidRPr="007E5EED" w:rsidR="007E5E3B">
        <w:rPr>
          <w:sz w:val="22"/>
          <w:szCs w:val="22"/>
          <w:shd w:val="clear" w:color="auto" w:fill="FFFFFF"/>
        </w:rPr>
        <w:t>SDARS licensees</w:t>
      </w:r>
      <w:r w:rsidRPr="007E5EED" w:rsidR="00E11699">
        <w:rPr>
          <w:sz w:val="22"/>
          <w:szCs w:val="22"/>
          <w:shd w:val="clear" w:color="auto" w:fill="FFFFFF"/>
        </w:rPr>
        <w:t>:</w:t>
      </w:r>
      <w:r w:rsidRPr="007E5EED" w:rsidR="007E5E3B">
        <w:rPr>
          <w:sz w:val="22"/>
          <w:szCs w:val="22"/>
          <w:shd w:val="clear" w:color="auto" w:fill="FFFFFF"/>
        </w:rPr>
        <w:t xml:space="preserve"> </w:t>
      </w:r>
    </w:p>
    <w:p w:rsidR="00E11699" w:rsidRPr="007E5EED" w:rsidP="00F11086" w14:paraId="116E1D33" w14:textId="77777777">
      <w:pPr>
        <w:tabs>
          <w:tab w:val="left" w:pos="360"/>
        </w:tabs>
        <w:rPr>
          <w:sz w:val="22"/>
          <w:szCs w:val="22"/>
          <w:shd w:val="clear" w:color="auto" w:fill="FFFFFF"/>
        </w:rPr>
      </w:pPr>
    </w:p>
    <w:p w:rsidR="00E11699" w:rsidRPr="007E5EED" w:rsidP="00E11699" w14:paraId="4862E546" w14:textId="77777777">
      <w:pPr>
        <w:widowControl w:val="0"/>
        <w:suppressAutoHyphens/>
        <w:rPr>
          <w:snapToGrid w:val="0"/>
          <w:spacing w:val="-3"/>
          <w:sz w:val="22"/>
          <w:szCs w:val="22"/>
        </w:rPr>
      </w:pPr>
      <w:r w:rsidRPr="005C43C4">
        <w:rPr>
          <w:b/>
          <w:snapToGrid w:val="0"/>
          <w:spacing w:val="-3"/>
          <w:sz w:val="22"/>
          <w:szCs w:val="22"/>
        </w:rPr>
        <w:t>Lowest unit charge</w:t>
      </w:r>
      <w:r>
        <w:rPr>
          <w:snapToGrid w:val="0"/>
          <w:spacing w:val="-3"/>
          <w:sz w:val="22"/>
          <w:szCs w:val="22"/>
        </w:rPr>
        <w:t xml:space="preserve">: </w:t>
      </w:r>
      <w:r w:rsidRPr="007E5EED" w:rsidR="001B380A">
        <w:rPr>
          <w:snapToGrid w:val="0"/>
          <w:spacing w:val="-3"/>
          <w:sz w:val="22"/>
          <w:szCs w:val="22"/>
        </w:rPr>
        <w:t xml:space="preserve">Similar to broadcasters, </w:t>
      </w:r>
      <w:r w:rsidRPr="007E5EED">
        <w:rPr>
          <w:snapToGrid w:val="0"/>
          <w:spacing w:val="-3"/>
          <w:sz w:val="22"/>
          <w:szCs w:val="22"/>
        </w:rPr>
        <w:t>SDARS licensees must disclose any practices offered to commercial advertisers that enhance the value of advertising spots and different classes of time</w:t>
      </w:r>
      <w:r w:rsidRPr="007E5EED" w:rsidR="00854264">
        <w:rPr>
          <w:snapToGrid w:val="0"/>
          <w:spacing w:val="-3"/>
          <w:sz w:val="22"/>
          <w:szCs w:val="22"/>
        </w:rPr>
        <w:t>.</w:t>
      </w:r>
      <w:r w:rsidRPr="007E5EED">
        <w:rPr>
          <w:snapToGrid w:val="0"/>
          <w:sz w:val="22"/>
          <w:szCs w:val="22"/>
        </w:rPr>
        <w:t xml:space="preserve"> </w:t>
      </w:r>
      <w:r w:rsidRPr="007E5EED">
        <w:rPr>
          <w:snapToGrid w:val="0"/>
          <w:spacing w:val="-3"/>
          <w:sz w:val="22"/>
          <w:szCs w:val="22"/>
        </w:rPr>
        <w:t xml:space="preserve">  SDARS licensees must also calculate the lowest unit charge</w:t>
      </w:r>
      <w:r>
        <w:rPr>
          <w:snapToGrid w:val="0"/>
          <w:spacing w:val="-3"/>
          <w:sz w:val="22"/>
          <w:szCs w:val="22"/>
          <w:vertAlign w:val="superscript"/>
        </w:rPr>
        <w:footnoteReference w:id="2"/>
      </w:r>
      <w:r w:rsidRPr="007E5EED">
        <w:rPr>
          <w:snapToGrid w:val="0"/>
          <w:spacing w:val="-3"/>
          <w:sz w:val="22"/>
          <w:szCs w:val="22"/>
        </w:rPr>
        <w:t xml:space="preserve"> and are required to review their advertising records throughout the election period to determine whether compliance with this rule section requires that candidates receive rebates or credits.</w:t>
      </w:r>
      <w:r>
        <w:rPr>
          <w:snapToGrid w:val="0"/>
          <w:spacing w:val="-3"/>
          <w:sz w:val="22"/>
          <w:szCs w:val="22"/>
        </w:rPr>
        <w:t xml:space="preserve">  </w:t>
      </w:r>
      <w:r w:rsidRPr="005C43C4">
        <w:rPr>
          <w:snapToGrid w:val="0"/>
          <w:spacing w:val="-3"/>
          <w:sz w:val="22"/>
          <w:szCs w:val="22"/>
          <w:u w:val="single"/>
        </w:rPr>
        <w:t>See</w:t>
      </w:r>
      <w:r>
        <w:rPr>
          <w:snapToGrid w:val="0"/>
          <w:spacing w:val="-3"/>
          <w:sz w:val="22"/>
          <w:szCs w:val="22"/>
        </w:rPr>
        <w:t xml:space="preserve"> </w:t>
      </w:r>
      <w:r w:rsidRPr="005C43C4">
        <w:rPr>
          <w:snapToGrid w:val="0"/>
          <w:spacing w:val="-3"/>
          <w:sz w:val="22"/>
          <w:szCs w:val="22"/>
        </w:rPr>
        <w:t>47 CFR Section</w:t>
      </w:r>
      <w:r w:rsidRPr="005C43C4">
        <w:rPr>
          <w:snapToGrid w:val="0"/>
          <w:sz w:val="22"/>
          <w:szCs w:val="22"/>
        </w:rPr>
        <w:t xml:space="preserve"> </w:t>
      </w:r>
      <w:r w:rsidRPr="005C43C4">
        <w:rPr>
          <w:snapToGrid w:val="0"/>
          <w:spacing w:val="-3"/>
          <w:sz w:val="22"/>
          <w:szCs w:val="22"/>
        </w:rPr>
        <w:t>73.1942</w:t>
      </w:r>
      <w:r>
        <w:rPr>
          <w:b/>
          <w:snapToGrid w:val="0"/>
          <w:spacing w:val="-3"/>
          <w:sz w:val="22"/>
          <w:szCs w:val="22"/>
        </w:rPr>
        <w:t>.</w:t>
      </w:r>
      <w:r w:rsidRPr="007E5EED">
        <w:rPr>
          <w:snapToGrid w:val="0"/>
          <w:spacing w:val="-3"/>
          <w:sz w:val="22"/>
          <w:szCs w:val="22"/>
        </w:rPr>
        <w:t xml:space="preserve">   </w:t>
      </w:r>
    </w:p>
    <w:p w:rsidR="00E11699" w:rsidRPr="007E5EED" w:rsidP="00F11086" w14:paraId="15028DAB" w14:textId="77777777">
      <w:pPr>
        <w:tabs>
          <w:tab w:val="left" w:pos="360"/>
        </w:tabs>
        <w:rPr>
          <w:sz w:val="22"/>
          <w:szCs w:val="22"/>
          <w:shd w:val="clear" w:color="auto" w:fill="FFFFFF"/>
        </w:rPr>
      </w:pPr>
    </w:p>
    <w:p w:rsidR="00E11699" w:rsidP="00F11086" w14:paraId="1E01876E" w14:textId="77777777">
      <w:pPr>
        <w:tabs>
          <w:tab w:val="left" w:pos="360"/>
        </w:tabs>
        <w:rPr>
          <w:sz w:val="22"/>
          <w:szCs w:val="22"/>
        </w:rPr>
      </w:pPr>
      <w:r>
        <w:rPr>
          <w:b/>
          <w:sz w:val="22"/>
          <w:szCs w:val="22"/>
        </w:rPr>
        <w:t>Political file:</w:t>
      </w:r>
      <w:r w:rsidRPr="007E5EED">
        <w:rPr>
          <w:sz w:val="22"/>
          <w:szCs w:val="22"/>
        </w:rPr>
        <w:t xml:space="preserve"> </w:t>
      </w:r>
      <w:r w:rsidRPr="007E5EED" w:rsidR="001B380A">
        <w:rPr>
          <w:sz w:val="22"/>
          <w:szCs w:val="22"/>
        </w:rPr>
        <w:t xml:space="preserve">Similar to broadcasters, </w:t>
      </w:r>
      <w:r w:rsidRPr="007E5EED" w:rsidR="00043A2C">
        <w:rPr>
          <w:sz w:val="22"/>
          <w:szCs w:val="22"/>
        </w:rPr>
        <w:t xml:space="preserve">SDARS licensees must also keep and permit public inspection of a complete record (political file) of all requests for SDARS origination time made by or on behalf of candidates for public office, together with an appropriate notation showing the disposition made by the system of such requests, and the charges made, if any, if the request is granted.  The disposition includes the schedule of time purchased, when the spots actually aired, the rates charged, and the classes of time purchased.  Also, when free time is provided for use by or on behalf of candidates, a record of the free time provided is to be placed in the political file as soon as possible and maintained for a period of two years.  </w:t>
      </w:r>
      <w:r w:rsidRPr="005C43C4">
        <w:rPr>
          <w:i/>
          <w:sz w:val="22"/>
          <w:szCs w:val="22"/>
        </w:rPr>
        <w:t xml:space="preserve">See </w:t>
      </w:r>
      <w:r w:rsidRPr="005C43C4">
        <w:rPr>
          <w:sz w:val="22"/>
          <w:szCs w:val="22"/>
        </w:rPr>
        <w:t>47 CFR 73.1943</w:t>
      </w:r>
      <w:r>
        <w:rPr>
          <w:sz w:val="22"/>
          <w:szCs w:val="22"/>
        </w:rPr>
        <w:t>.</w:t>
      </w:r>
      <w:r w:rsidRPr="007E5EED">
        <w:rPr>
          <w:sz w:val="22"/>
          <w:szCs w:val="22"/>
        </w:rPr>
        <w:t xml:space="preserve"> </w:t>
      </w:r>
    </w:p>
    <w:p w:rsidR="0064046D" w:rsidP="00F11086" w14:paraId="3BB5442E" w14:textId="77777777">
      <w:pPr>
        <w:tabs>
          <w:tab w:val="left" w:pos="360"/>
        </w:tabs>
        <w:rPr>
          <w:sz w:val="22"/>
          <w:szCs w:val="22"/>
        </w:rPr>
      </w:pPr>
    </w:p>
    <w:p w:rsidR="0064046D" w:rsidP="00F11086" w14:paraId="34055B8C" w14:textId="77777777">
      <w:pPr>
        <w:tabs>
          <w:tab w:val="left" w:pos="360"/>
        </w:tabs>
        <w:rPr>
          <w:sz w:val="22"/>
          <w:szCs w:val="22"/>
        </w:rPr>
      </w:pPr>
      <w:r>
        <w:rPr>
          <w:sz w:val="22"/>
          <w:szCs w:val="22"/>
        </w:rPr>
        <w:t xml:space="preserve">In 2016, the Commission </w:t>
      </w:r>
      <w:r w:rsidRPr="00965BE0">
        <w:rPr>
          <w:sz w:val="22"/>
          <w:szCs w:val="22"/>
        </w:rPr>
        <w:t>expand</w:t>
      </w:r>
      <w:r>
        <w:rPr>
          <w:sz w:val="22"/>
          <w:szCs w:val="22"/>
        </w:rPr>
        <w:t>ed</w:t>
      </w:r>
      <w:r w:rsidRPr="00965BE0">
        <w:rPr>
          <w:sz w:val="22"/>
          <w:szCs w:val="22"/>
        </w:rPr>
        <w:t xml:space="preserve"> the requirement that public inspection files be posted to the FCC- hosted online public file database to </w:t>
      </w:r>
      <w:r>
        <w:rPr>
          <w:sz w:val="22"/>
          <w:szCs w:val="22"/>
        </w:rPr>
        <w:t xml:space="preserve">SDARS </w:t>
      </w:r>
      <w:r w:rsidRPr="00965BE0">
        <w:rPr>
          <w:sz w:val="22"/>
          <w:szCs w:val="22"/>
        </w:rPr>
        <w:t xml:space="preserve">licensees, among other entities.  </w:t>
      </w:r>
      <w:r>
        <w:rPr>
          <w:sz w:val="22"/>
          <w:szCs w:val="22"/>
        </w:rPr>
        <w:t xml:space="preserve">These public files include the political files.  </w:t>
      </w:r>
    </w:p>
    <w:p w:rsidR="0091398F" w:rsidP="00F11086" w14:paraId="4C95E499" w14:textId="77777777">
      <w:pPr>
        <w:tabs>
          <w:tab w:val="left" w:pos="360"/>
        </w:tabs>
        <w:rPr>
          <w:sz w:val="22"/>
          <w:szCs w:val="22"/>
        </w:rPr>
      </w:pPr>
    </w:p>
    <w:p w:rsidR="0091398F" w:rsidRPr="007E5EED" w:rsidP="00F11086" w14:paraId="2D6F9A26" w14:textId="77777777">
      <w:pPr>
        <w:tabs>
          <w:tab w:val="left" w:pos="360"/>
        </w:tabs>
        <w:rPr>
          <w:sz w:val="22"/>
          <w:szCs w:val="22"/>
        </w:rPr>
      </w:pPr>
      <w:r>
        <w:rPr>
          <w:sz w:val="22"/>
          <w:szCs w:val="22"/>
        </w:rPr>
        <w:t>The Commission is requesting a three</w:t>
      </w:r>
      <w:r w:rsidR="0064046D">
        <w:rPr>
          <w:sz w:val="22"/>
          <w:szCs w:val="22"/>
        </w:rPr>
        <w:t>-</w:t>
      </w:r>
      <w:r>
        <w:rPr>
          <w:sz w:val="22"/>
          <w:szCs w:val="22"/>
        </w:rPr>
        <w:t>year approval from the Office of Management and Budget (OMB) for this collection.</w:t>
      </w:r>
    </w:p>
    <w:p w:rsidR="00A30AB9" w:rsidRPr="007E5EED" w:rsidP="00B31ABD" w14:paraId="2D79721B" w14:textId="77777777">
      <w:pPr>
        <w:tabs>
          <w:tab w:val="left" w:pos="720"/>
        </w:tabs>
        <w:ind w:left="720" w:hanging="360"/>
        <w:rPr>
          <w:sz w:val="22"/>
          <w:szCs w:val="22"/>
        </w:rPr>
      </w:pPr>
      <w:r w:rsidRPr="007E5EED">
        <w:rPr>
          <w:sz w:val="22"/>
          <w:szCs w:val="22"/>
        </w:rPr>
        <w:t xml:space="preserve">              </w:t>
      </w:r>
    </w:p>
    <w:p w:rsidR="00B37C72" w:rsidRPr="007E5EED" w:rsidP="00172F9E" w14:paraId="271B4888" w14:textId="77777777">
      <w:pPr>
        <w:tabs>
          <w:tab w:val="left" w:pos="720"/>
        </w:tabs>
        <w:rPr>
          <w:sz w:val="22"/>
          <w:szCs w:val="22"/>
        </w:rPr>
      </w:pPr>
      <w:r w:rsidRPr="007E5EED">
        <w:rPr>
          <w:sz w:val="22"/>
          <w:szCs w:val="22"/>
        </w:rPr>
        <w:t>The statutory authorit</w:t>
      </w:r>
      <w:r w:rsidRPr="007E5EED" w:rsidR="00AD0B02">
        <w:rPr>
          <w:sz w:val="22"/>
          <w:szCs w:val="22"/>
        </w:rPr>
        <w:t>y</w:t>
      </w:r>
      <w:r w:rsidRPr="007E5EED">
        <w:rPr>
          <w:sz w:val="22"/>
          <w:szCs w:val="22"/>
        </w:rPr>
        <w:t xml:space="preserve"> </w:t>
      </w:r>
      <w:r w:rsidRPr="007E5EED" w:rsidR="00AD0B02">
        <w:rPr>
          <w:sz w:val="22"/>
          <w:szCs w:val="22"/>
        </w:rPr>
        <w:t xml:space="preserve">which </w:t>
      </w:r>
      <w:r w:rsidRPr="007E5EED">
        <w:rPr>
          <w:sz w:val="22"/>
          <w:szCs w:val="22"/>
        </w:rPr>
        <w:t>cover</w:t>
      </w:r>
      <w:r w:rsidRPr="007E5EED" w:rsidR="00AD0B02">
        <w:rPr>
          <w:sz w:val="22"/>
          <w:szCs w:val="22"/>
        </w:rPr>
        <w:t>s</w:t>
      </w:r>
      <w:r w:rsidRPr="007E5EED">
        <w:rPr>
          <w:sz w:val="22"/>
          <w:szCs w:val="22"/>
        </w:rPr>
        <w:t xml:space="preserve"> this information collection </w:t>
      </w:r>
      <w:r w:rsidRPr="007E5EED" w:rsidR="00AD0B02">
        <w:rPr>
          <w:sz w:val="22"/>
          <w:szCs w:val="22"/>
        </w:rPr>
        <w:t>is</w:t>
      </w:r>
      <w:r w:rsidRPr="007E5EED">
        <w:rPr>
          <w:sz w:val="22"/>
          <w:szCs w:val="22"/>
        </w:rPr>
        <w:t xml:space="preserve"> </w:t>
      </w:r>
      <w:r w:rsidRPr="007E5EED" w:rsidR="00AD0B02">
        <w:rPr>
          <w:sz w:val="22"/>
          <w:szCs w:val="22"/>
        </w:rPr>
        <w:t xml:space="preserve">contained </w:t>
      </w:r>
      <w:r w:rsidRPr="007E5EED">
        <w:rPr>
          <w:sz w:val="22"/>
          <w:szCs w:val="22"/>
        </w:rPr>
        <w:t>in</w:t>
      </w:r>
      <w:r w:rsidRPr="007E5EED" w:rsidR="00AD0B02">
        <w:rPr>
          <w:sz w:val="22"/>
          <w:szCs w:val="22"/>
        </w:rPr>
        <w:t xml:space="preserve"> 47 USC 3</w:t>
      </w:r>
      <w:r w:rsidRPr="007E5EED" w:rsidR="00596CFE">
        <w:rPr>
          <w:sz w:val="22"/>
          <w:szCs w:val="22"/>
        </w:rPr>
        <w:t>09(a) and 307(a)</w:t>
      </w:r>
      <w:r w:rsidRPr="007E5EED" w:rsidR="00AD0B02">
        <w:rPr>
          <w:sz w:val="22"/>
          <w:szCs w:val="22"/>
        </w:rPr>
        <w:t xml:space="preserve"> of the Communication</w:t>
      </w:r>
      <w:r w:rsidRPr="007E5EED" w:rsidR="009E15A6">
        <w:rPr>
          <w:sz w:val="22"/>
          <w:szCs w:val="22"/>
        </w:rPr>
        <w:t>s</w:t>
      </w:r>
      <w:r w:rsidRPr="007E5EED" w:rsidR="00AD0B02">
        <w:rPr>
          <w:sz w:val="22"/>
          <w:szCs w:val="22"/>
        </w:rPr>
        <w:t xml:space="preserve"> Act of 1934, as amended.</w:t>
      </w:r>
      <w:r w:rsidRPr="007E5EED">
        <w:rPr>
          <w:sz w:val="22"/>
          <w:szCs w:val="22"/>
        </w:rPr>
        <w:t xml:space="preserve"> </w:t>
      </w:r>
    </w:p>
    <w:p w:rsidR="00B37C72" w:rsidRPr="007E5EED" w:rsidP="00172F9E" w14:paraId="5CBA5143" w14:textId="77777777">
      <w:pPr>
        <w:tabs>
          <w:tab w:val="left" w:pos="720"/>
        </w:tabs>
        <w:rPr>
          <w:sz w:val="22"/>
          <w:szCs w:val="22"/>
        </w:rPr>
      </w:pPr>
    </w:p>
    <w:p w:rsidR="00AD05A5" w:rsidRPr="007E5EED" w:rsidP="00AD05A5" w14:paraId="72CC5898" w14:textId="77777777">
      <w:pPr>
        <w:tabs>
          <w:tab w:val="left" w:pos="720"/>
          <w:tab w:val="left" w:pos="1080"/>
        </w:tabs>
        <w:jc w:val="both"/>
        <w:rPr>
          <w:sz w:val="22"/>
          <w:szCs w:val="22"/>
        </w:rPr>
      </w:pPr>
      <w:r w:rsidRPr="007E5EED">
        <w:rPr>
          <w:sz w:val="22"/>
          <w:szCs w:val="22"/>
        </w:rPr>
        <w:t>T</w:t>
      </w:r>
      <w:r w:rsidRPr="007E5EED">
        <w:rPr>
          <w:sz w:val="22"/>
          <w:szCs w:val="22"/>
        </w:rPr>
        <w:t>his information collection does not affect individuals or households; thus, there are no impacts under the Privacy Act.</w:t>
      </w:r>
    </w:p>
    <w:p w:rsidR="00660542" w:rsidRPr="007E5EED" w:rsidP="00553F1B" w14:paraId="246FB695" w14:textId="77777777">
      <w:pPr>
        <w:tabs>
          <w:tab w:val="left" w:pos="720"/>
          <w:tab w:val="left" w:pos="1080"/>
        </w:tabs>
        <w:ind w:left="1080" w:hanging="360"/>
        <w:rPr>
          <w:sz w:val="22"/>
          <w:szCs w:val="22"/>
        </w:rPr>
      </w:pPr>
      <w:r w:rsidRPr="007E5EED">
        <w:rPr>
          <w:sz w:val="22"/>
          <w:szCs w:val="22"/>
        </w:rPr>
        <w:tab/>
      </w:r>
      <w:r w:rsidRPr="007E5EED" w:rsidR="00EB57F7">
        <w:rPr>
          <w:sz w:val="22"/>
          <w:szCs w:val="22"/>
        </w:rPr>
        <w:t xml:space="preserve"> </w:t>
      </w:r>
    </w:p>
    <w:p w:rsidR="002408C1" w:rsidRPr="007E5EED" w:rsidP="00F11086" w14:paraId="6CBC333D" w14:textId="77777777">
      <w:pPr>
        <w:tabs>
          <w:tab w:val="left" w:pos="360"/>
        </w:tabs>
        <w:rPr>
          <w:sz w:val="22"/>
          <w:szCs w:val="22"/>
        </w:rPr>
      </w:pPr>
      <w:r w:rsidRPr="007E5EED">
        <w:rPr>
          <w:sz w:val="22"/>
          <w:szCs w:val="22"/>
        </w:rPr>
        <w:t xml:space="preserve">2. </w:t>
      </w:r>
      <w:r w:rsidRPr="007E5EED" w:rsidR="00105606">
        <w:rPr>
          <w:sz w:val="22"/>
          <w:szCs w:val="22"/>
        </w:rPr>
        <w:t>The political broadcasting reporting</w:t>
      </w:r>
      <w:r w:rsidRPr="007E5EED" w:rsidR="00B37C72">
        <w:rPr>
          <w:sz w:val="22"/>
          <w:szCs w:val="22"/>
        </w:rPr>
        <w:t>,</w:t>
      </w:r>
      <w:r w:rsidRPr="007E5EED" w:rsidR="00105606">
        <w:rPr>
          <w:sz w:val="22"/>
          <w:szCs w:val="22"/>
        </w:rPr>
        <w:t xml:space="preserve"> recordkeeping requirement</w:t>
      </w:r>
      <w:r w:rsidRPr="007E5EED" w:rsidR="00B37C72">
        <w:rPr>
          <w:sz w:val="22"/>
          <w:szCs w:val="22"/>
        </w:rPr>
        <w:t xml:space="preserve">, and third party disclosure requirements in this information collection </w:t>
      </w:r>
      <w:r w:rsidRPr="007E5EED" w:rsidR="00105606">
        <w:rPr>
          <w:sz w:val="22"/>
          <w:szCs w:val="22"/>
        </w:rPr>
        <w:t xml:space="preserve">will be used by the public to assess money expended and time allotted to a political candidate and by the Commission to ensure that equal access is afforded to other qualified candidates.  </w:t>
      </w:r>
    </w:p>
    <w:p w:rsidR="002408C1" w:rsidRPr="007E5EED" w:rsidP="00105606" w14:paraId="0B06A572" w14:textId="77777777">
      <w:pPr>
        <w:tabs>
          <w:tab w:val="left" w:pos="720"/>
        </w:tabs>
        <w:rPr>
          <w:sz w:val="22"/>
          <w:szCs w:val="22"/>
        </w:rPr>
      </w:pPr>
    </w:p>
    <w:p w:rsidR="00F07CF6" w:rsidRPr="007E5EED" w:rsidP="000C7337" w14:paraId="1905CAAD" w14:textId="77777777">
      <w:pPr>
        <w:tabs>
          <w:tab w:val="left" w:pos="360"/>
        </w:tabs>
        <w:rPr>
          <w:sz w:val="22"/>
          <w:szCs w:val="22"/>
        </w:rPr>
      </w:pPr>
      <w:r w:rsidRPr="007E5EED">
        <w:rPr>
          <w:sz w:val="22"/>
          <w:szCs w:val="22"/>
        </w:rPr>
        <w:t xml:space="preserve">3. </w:t>
      </w:r>
      <w:r w:rsidR="0064046D">
        <w:rPr>
          <w:sz w:val="22"/>
          <w:szCs w:val="22"/>
        </w:rPr>
        <w:t xml:space="preserve">In 2016, the Commission </w:t>
      </w:r>
      <w:r w:rsidRPr="00965BE0" w:rsidR="0064046D">
        <w:rPr>
          <w:sz w:val="22"/>
          <w:szCs w:val="22"/>
        </w:rPr>
        <w:t>expand</w:t>
      </w:r>
      <w:r w:rsidR="0064046D">
        <w:rPr>
          <w:sz w:val="22"/>
          <w:szCs w:val="22"/>
        </w:rPr>
        <w:t>ed</w:t>
      </w:r>
      <w:r w:rsidRPr="00965BE0" w:rsidR="0064046D">
        <w:rPr>
          <w:sz w:val="22"/>
          <w:szCs w:val="22"/>
        </w:rPr>
        <w:t xml:space="preserve"> the requirement that public inspection files be posted to the FCC- hosted online public file database to </w:t>
      </w:r>
      <w:r w:rsidR="0064046D">
        <w:rPr>
          <w:sz w:val="22"/>
          <w:szCs w:val="22"/>
        </w:rPr>
        <w:t xml:space="preserve">SDARS </w:t>
      </w:r>
      <w:r w:rsidRPr="00965BE0" w:rsidR="0064046D">
        <w:rPr>
          <w:sz w:val="22"/>
          <w:szCs w:val="22"/>
        </w:rPr>
        <w:t xml:space="preserve">licensees, among other entities.  </w:t>
      </w:r>
      <w:r w:rsidR="0064046D">
        <w:rPr>
          <w:sz w:val="22"/>
          <w:szCs w:val="22"/>
        </w:rPr>
        <w:t xml:space="preserve">These public files include the political files.  </w:t>
      </w:r>
    </w:p>
    <w:p w:rsidR="002408C1" w:rsidRPr="007E5EED" w:rsidP="002408C1" w14:paraId="0E3D1489" w14:textId="77777777">
      <w:pPr>
        <w:tabs>
          <w:tab w:val="left" w:pos="720"/>
        </w:tabs>
        <w:rPr>
          <w:sz w:val="22"/>
          <w:szCs w:val="22"/>
        </w:rPr>
      </w:pPr>
    </w:p>
    <w:p w:rsidR="00F07CF6" w:rsidRPr="007E5EED" w:rsidP="00F11086" w14:paraId="58497C66" w14:textId="77777777">
      <w:pPr>
        <w:rPr>
          <w:sz w:val="22"/>
          <w:szCs w:val="22"/>
        </w:rPr>
      </w:pPr>
      <w:r w:rsidRPr="007E5EED">
        <w:rPr>
          <w:sz w:val="22"/>
          <w:szCs w:val="22"/>
        </w:rPr>
        <w:t xml:space="preserve">4. </w:t>
      </w:r>
      <w:r w:rsidRPr="007E5EED">
        <w:rPr>
          <w:sz w:val="22"/>
          <w:szCs w:val="22"/>
        </w:rPr>
        <w:t xml:space="preserve">The Commission does not impose a similar information collection on the respondents.  There </w:t>
      </w:r>
      <w:r w:rsidRPr="007E5EED" w:rsidR="00840A39">
        <w:rPr>
          <w:sz w:val="22"/>
          <w:szCs w:val="22"/>
        </w:rPr>
        <w:t xml:space="preserve">are </w:t>
      </w:r>
      <w:r w:rsidRPr="007E5EED">
        <w:rPr>
          <w:sz w:val="22"/>
          <w:szCs w:val="22"/>
        </w:rPr>
        <w:t>no similar data available.</w:t>
      </w:r>
    </w:p>
    <w:p w:rsidR="00F07CF6" w:rsidRPr="007E5EED" w:rsidP="00F07CF6" w14:paraId="16362A7A" w14:textId="77777777">
      <w:pPr>
        <w:tabs>
          <w:tab w:val="left" w:pos="720"/>
        </w:tabs>
        <w:rPr>
          <w:sz w:val="22"/>
          <w:szCs w:val="22"/>
        </w:rPr>
      </w:pPr>
    </w:p>
    <w:p w:rsidR="00F07CF6" w:rsidRPr="007E5EED" w:rsidP="00F11086" w14:paraId="3708407F" w14:textId="77777777">
      <w:pPr>
        <w:tabs>
          <w:tab w:val="left" w:pos="360"/>
        </w:tabs>
        <w:rPr>
          <w:sz w:val="22"/>
          <w:szCs w:val="22"/>
        </w:rPr>
      </w:pPr>
      <w:r w:rsidRPr="007E5EED">
        <w:rPr>
          <w:sz w:val="22"/>
          <w:szCs w:val="22"/>
        </w:rPr>
        <w:t xml:space="preserve">5. </w:t>
      </w:r>
      <w:r w:rsidRPr="007E5EED">
        <w:rPr>
          <w:sz w:val="22"/>
          <w:szCs w:val="22"/>
        </w:rPr>
        <w:t>In conformance with the Paperwork Reduction Act of 1995, the Commission is making an effort to minimize burdens on all respon</w:t>
      </w:r>
      <w:r w:rsidRPr="007E5EED" w:rsidR="002408C1">
        <w:rPr>
          <w:sz w:val="22"/>
          <w:szCs w:val="22"/>
        </w:rPr>
        <w:t xml:space="preserve">dents, regardless of size.  </w:t>
      </w:r>
      <w:r w:rsidRPr="007E5EED" w:rsidR="00854264">
        <w:rPr>
          <w:sz w:val="22"/>
          <w:szCs w:val="22"/>
        </w:rPr>
        <w:t xml:space="preserve">There is currently one SDARS licensee which is not a small </w:t>
      </w:r>
      <w:r w:rsidRPr="007E5EED" w:rsidR="00D57EC2">
        <w:rPr>
          <w:sz w:val="22"/>
          <w:szCs w:val="22"/>
        </w:rPr>
        <w:t>business as defined by the Small Business Administration.</w:t>
      </w:r>
      <w:r w:rsidRPr="007E5EED">
        <w:rPr>
          <w:sz w:val="22"/>
          <w:szCs w:val="22"/>
        </w:rPr>
        <w:t xml:space="preserve">   </w:t>
      </w:r>
    </w:p>
    <w:p w:rsidR="00F07CF6" w:rsidRPr="007E5EED" w:rsidP="00F07CF6" w14:paraId="529F0820" w14:textId="77777777">
      <w:pPr>
        <w:tabs>
          <w:tab w:val="left" w:pos="720"/>
        </w:tabs>
        <w:rPr>
          <w:sz w:val="22"/>
          <w:szCs w:val="22"/>
        </w:rPr>
      </w:pPr>
    </w:p>
    <w:p w:rsidR="00F07CF6" w:rsidRPr="007E5EED" w:rsidP="00F11086" w14:paraId="3A07921C" w14:textId="77777777">
      <w:pPr>
        <w:tabs>
          <w:tab w:val="left" w:pos="360"/>
        </w:tabs>
        <w:rPr>
          <w:sz w:val="22"/>
          <w:szCs w:val="22"/>
        </w:rPr>
      </w:pPr>
      <w:r w:rsidRPr="007E5EED">
        <w:rPr>
          <w:sz w:val="22"/>
          <w:szCs w:val="22"/>
        </w:rPr>
        <w:t xml:space="preserve">6. </w:t>
      </w:r>
      <w:r w:rsidRPr="007E5EED" w:rsidR="00B37C72">
        <w:rPr>
          <w:sz w:val="22"/>
          <w:szCs w:val="22"/>
        </w:rPr>
        <w:t xml:space="preserve">If this information collection was not collected the </w:t>
      </w:r>
      <w:r w:rsidRPr="007E5EED" w:rsidR="007964DA">
        <w:rPr>
          <w:sz w:val="22"/>
          <w:szCs w:val="22"/>
        </w:rPr>
        <w:t xml:space="preserve">Commission would have no way of assuring that the public has access to political broadcasting information relating to </w:t>
      </w:r>
      <w:r w:rsidRPr="007E5EED" w:rsidR="00854264">
        <w:rPr>
          <w:sz w:val="22"/>
          <w:szCs w:val="22"/>
        </w:rPr>
        <w:t xml:space="preserve">SDARS </w:t>
      </w:r>
      <w:r w:rsidRPr="007E5EED" w:rsidR="007964DA">
        <w:rPr>
          <w:sz w:val="22"/>
          <w:szCs w:val="22"/>
        </w:rPr>
        <w:t xml:space="preserve">services.  Equally important, the Commission would have no way of verifying whether </w:t>
      </w:r>
      <w:r w:rsidRPr="007E5EED" w:rsidR="00854264">
        <w:rPr>
          <w:sz w:val="22"/>
          <w:szCs w:val="22"/>
        </w:rPr>
        <w:t xml:space="preserve">SDARS licensees </w:t>
      </w:r>
      <w:r w:rsidRPr="007E5EED" w:rsidR="007964DA">
        <w:rPr>
          <w:sz w:val="22"/>
          <w:szCs w:val="22"/>
        </w:rPr>
        <w:t xml:space="preserve">are complying with its political broadcasting </w:t>
      </w:r>
      <w:r w:rsidRPr="007E5EED" w:rsidR="00854264">
        <w:rPr>
          <w:sz w:val="22"/>
          <w:szCs w:val="22"/>
        </w:rPr>
        <w:t xml:space="preserve">requirements, possibly leading to </w:t>
      </w:r>
      <w:r w:rsidRPr="007E5EED" w:rsidR="007964DA">
        <w:rPr>
          <w:sz w:val="22"/>
          <w:szCs w:val="22"/>
        </w:rPr>
        <w:t>favoritism in according political broadcast time</w:t>
      </w:r>
      <w:r w:rsidRPr="007E5EED" w:rsidR="00854264">
        <w:rPr>
          <w:sz w:val="22"/>
          <w:szCs w:val="22"/>
        </w:rPr>
        <w:t>.</w:t>
      </w:r>
      <w:r w:rsidRPr="007E5EED" w:rsidR="007964DA">
        <w:rPr>
          <w:sz w:val="22"/>
          <w:szCs w:val="22"/>
        </w:rPr>
        <w:t xml:space="preserve">  </w:t>
      </w:r>
    </w:p>
    <w:p w:rsidR="00F07CF6" w:rsidRPr="007E5EED" w:rsidP="00F07CF6" w14:paraId="4F7D17E2" w14:textId="77777777">
      <w:pPr>
        <w:tabs>
          <w:tab w:val="left" w:pos="540"/>
          <w:tab w:val="left" w:pos="810"/>
        </w:tabs>
        <w:rPr>
          <w:sz w:val="22"/>
          <w:szCs w:val="22"/>
        </w:rPr>
      </w:pPr>
    </w:p>
    <w:p w:rsidR="00F07CF6" w:rsidRPr="007E5EED" w:rsidP="000C7337" w14:paraId="0D0A1F88" w14:textId="77777777">
      <w:pPr>
        <w:tabs>
          <w:tab w:val="left" w:pos="360"/>
        </w:tabs>
        <w:rPr>
          <w:b/>
          <w:sz w:val="22"/>
          <w:szCs w:val="22"/>
          <w:shd w:val="clear" w:color="auto" w:fill="FFFFFF"/>
        </w:rPr>
      </w:pPr>
      <w:r w:rsidRPr="007E5EED">
        <w:rPr>
          <w:sz w:val="22"/>
          <w:szCs w:val="22"/>
        </w:rPr>
        <w:t xml:space="preserve">7. </w:t>
      </w:r>
      <w:r w:rsidRPr="007E5EED">
        <w:rPr>
          <w:sz w:val="22"/>
          <w:szCs w:val="22"/>
        </w:rPr>
        <w:t xml:space="preserve">Current data </w:t>
      </w:r>
      <w:r w:rsidRPr="007E5EED" w:rsidR="00813C3A">
        <w:rPr>
          <w:sz w:val="22"/>
          <w:szCs w:val="22"/>
        </w:rPr>
        <w:t>is</w:t>
      </w:r>
      <w:r w:rsidRPr="007E5EED" w:rsidR="00A31AD0">
        <w:rPr>
          <w:sz w:val="22"/>
          <w:szCs w:val="22"/>
        </w:rPr>
        <w:t xml:space="preserve"> </w:t>
      </w:r>
      <w:r w:rsidRPr="007E5EED" w:rsidR="003B6D4B">
        <w:rPr>
          <w:sz w:val="22"/>
          <w:szCs w:val="22"/>
        </w:rPr>
        <w:t xml:space="preserve">consistent with 5 CFR </w:t>
      </w:r>
      <w:r w:rsidRPr="007E5EED" w:rsidR="00B25A9F">
        <w:rPr>
          <w:sz w:val="22"/>
          <w:szCs w:val="22"/>
        </w:rPr>
        <w:t xml:space="preserve">§ </w:t>
      </w:r>
      <w:r w:rsidRPr="007E5EED" w:rsidR="003B6D4B">
        <w:rPr>
          <w:sz w:val="22"/>
          <w:szCs w:val="22"/>
        </w:rPr>
        <w:t>1320.</w:t>
      </w:r>
      <w:r w:rsidR="00AF7340">
        <w:rPr>
          <w:sz w:val="22"/>
          <w:szCs w:val="22"/>
        </w:rPr>
        <w:t>5.</w:t>
      </w:r>
      <w:r w:rsidRPr="007E5EED" w:rsidR="003B6D4B">
        <w:rPr>
          <w:sz w:val="22"/>
          <w:szCs w:val="22"/>
        </w:rPr>
        <w:t xml:space="preserve"> </w:t>
      </w:r>
    </w:p>
    <w:p w:rsidR="00F07CF6" w:rsidRPr="007E5EED" w:rsidP="00F07CF6" w14:paraId="5868637F" w14:textId="77777777">
      <w:pPr>
        <w:tabs>
          <w:tab w:val="left" w:pos="540"/>
          <w:tab w:val="left" w:pos="810"/>
        </w:tabs>
        <w:rPr>
          <w:sz w:val="22"/>
          <w:szCs w:val="22"/>
        </w:rPr>
      </w:pPr>
    </w:p>
    <w:p w:rsidR="00B978E1" w:rsidRPr="007E5EED" w:rsidP="00B978E1" w14:paraId="37BDD6BB" w14:textId="0982B117">
      <w:pPr>
        <w:tabs>
          <w:tab w:val="left" w:pos="360"/>
        </w:tabs>
        <w:rPr>
          <w:b/>
          <w:sz w:val="22"/>
          <w:szCs w:val="22"/>
          <w:shd w:val="clear" w:color="auto" w:fill="FFFFFF"/>
        </w:rPr>
      </w:pPr>
      <w:r w:rsidRPr="007E5EED">
        <w:rPr>
          <w:spacing w:val="-3"/>
          <w:sz w:val="22"/>
          <w:szCs w:val="22"/>
        </w:rPr>
        <w:t xml:space="preserve">8. </w:t>
      </w:r>
      <w:r w:rsidRPr="007E5EED" w:rsidR="00FF5FD2">
        <w:rPr>
          <w:spacing w:val="-3"/>
          <w:sz w:val="22"/>
          <w:szCs w:val="22"/>
        </w:rPr>
        <w:t xml:space="preserve">The Commission published a Notice in the </w:t>
      </w:r>
      <w:r w:rsidRPr="007E5EED" w:rsidR="00FF5FD2">
        <w:rPr>
          <w:i/>
          <w:spacing w:val="-3"/>
          <w:sz w:val="22"/>
          <w:szCs w:val="22"/>
        </w:rPr>
        <w:t>Federal Register</w:t>
      </w:r>
      <w:r w:rsidRPr="007E5EED" w:rsidR="00FF5FD2">
        <w:rPr>
          <w:spacing w:val="-3"/>
          <w:sz w:val="22"/>
          <w:szCs w:val="22"/>
        </w:rPr>
        <w:t xml:space="preserve"> </w:t>
      </w:r>
      <w:r w:rsidRPr="007E5EED" w:rsidR="00BA30F1">
        <w:rPr>
          <w:spacing w:val="-3"/>
          <w:sz w:val="22"/>
          <w:szCs w:val="22"/>
        </w:rPr>
        <w:t>on</w:t>
      </w:r>
      <w:r w:rsidR="00064F7D">
        <w:rPr>
          <w:spacing w:val="-3"/>
          <w:sz w:val="22"/>
          <w:szCs w:val="22"/>
        </w:rPr>
        <w:t xml:space="preserve"> </w:t>
      </w:r>
      <w:r w:rsidR="000B07C2">
        <w:rPr>
          <w:spacing w:val="-3"/>
          <w:sz w:val="22"/>
          <w:szCs w:val="22"/>
        </w:rPr>
        <w:t>November 9</w:t>
      </w:r>
      <w:r w:rsidR="00BF0ABF">
        <w:rPr>
          <w:spacing w:val="-3"/>
          <w:sz w:val="22"/>
          <w:szCs w:val="22"/>
        </w:rPr>
        <w:t>, 202</w:t>
      </w:r>
      <w:r w:rsidR="00064F7D">
        <w:rPr>
          <w:spacing w:val="-3"/>
          <w:sz w:val="22"/>
          <w:szCs w:val="22"/>
        </w:rPr>
        <w:t>3</w:t>
      </w:r>
      <w:r w:rsidR="00AF7340">
        <w:rPr>
          <w:spacing w:val="-3"/>
          <w:sz w:val="22"/>
          <w:szCs w:val="22"/>
        </w:rPr>
        <w:t xml:space="preserve"> (</w:t>
      </w:r>
      <w:r w:rsidR="000B07C2">
        <w:rPr>
          <w:spacing w:val="-3"/>
          <w:sz w:val="22"/>
          <w:szCs w:val="22"/>
        </w:rPr>
        <w:t xml:space="preserve">88 </w:t>
      </w:r>
      <w:r w:rsidR="00AF7340">
        <w:rPr>
          <w:spacing w:val="-3"/>
          <w:sz w:val="22"/>
          <w:szCs w:val="22"/>
        </w:rPr>
        <w:t>FR</w:t>
      </w:r>
      <w:r w:rsidR="00064F7D">
        <w:rPr>
          <w:spacing w:val="-3"/>
          <w:sz w:val="22"/>
          <w:szCs w:val="22"/>
        </w:rPr>
        <w:t xml:space="preserve"> </w:t>
      </w:r>
      <w:r w:rsidR="000B07C2">
        <w:rPr>
          <w:spacing w:val="-3"/>
          <w:sz w:val="22"/>
          <w:szCs w:val="22"/>
        </w:rPr>
        <w:t>77317</w:t>
      </w:r>
      <w:r w:rsidR="00AF7340">
        <w:rPr>
          <w:spacing w:val="-3"/>
          <w:sz w:val="22"/>
          <w:szCs w:val="22"/>
        </w:rPr>
        <w:t xml:space="preserve">) </w:t>
      </w:r>
      <w:r w:rsidR="00064F7D">
        <w:rPr>
          <w:spacing w:val="-3"/>
          <w:sz w:val="22"/>
          <w:szCs w:val="22"/>
        </w:rPr>
        <w:t xml:space="preserve"> </w:t>
      </w:r>
      <w:r w:rsidR="00AF7340">
        <w:rPr>
          <w:spacing w:val="-3"/>
          <w:sz w:val="22"/>
          <w:szCs w:val="22"/>
        </w:rPr>
        <w:t>seeking comments from the public on the information collection requirements contained in this collection.  No comments were received from the public.</w:t>
      </w:r>
    </w:p>
    <w:p w:rsidR="009F37F3" w:rsidRPr="007E5EED" w:rsidP="000C7337" w14:paraId="08E38460" w14:textId="77777777">
      <w:pPr>
        <w:rPr>
          <w:sz w:val="22"/>
          <w:szCs w:val="22"/>
        </w:rPr>
      </w:pPr>
    </w:p>
    <w:p w:rsidR="00F07CF6" w:rsidRPr="007E5EED" w:rsidP="00F11086" w14:paraId="1B5A1272" w14:textId="77777777">
      <w:pPr>
        <w:rPr>
          <w:sz w:val="22"/>
          <w:szCs w:val="22"/>
        </w:rPr>
      </w:pPr>
      <w:r w:rsidRPr="007E5EED">
        <w:rPr>
          <w:sz w:val="22"/>
          <w:szCs w:val="22"/>
        </w:rPr>
        <w:t xml:space="preserve">9. </w:t>
      </w:r>
      <w:r w:rsidRPr="007E5EED">
        <w:rPr>
          <w:sz w:val="22"/>
          <w:szCs w:val="22"/>
        </w:rPr>
        <w:t>Respondents will not receive any payments</w:t>
      </w:r>
      <w:r w:rsidR="00AF7340">
        <w:rPr>
          <w:sz w:val="22"/>
          <w:szCs w:val="22"/>
        </w:rPr>
        <w:t xml:space="preserve"> associated with this collection</w:t>
      </w:r>
      <w:r w:rsidRPr="007E5EED">
        <w:rPr>
          <w:sz w:val="22"/>
          <w:szCs w:val="22"/>
        </w:rPr>
        <w:t>.</w:t>
      </w:r>
    </w:p>
    <w:p w:rsidR="00F07CF6" w:rsidRPr="007E5EED" w:rsidP="00F07CF6" w14:paraId="69826266" w14:textId="77777777">
      <w:pPr>
        <w:tabs>
          <w:tab w:val="left" w:pos="720"/>
        </w:tabs>
        <w:rPr>
          <w:sz w:val="22"/>
          <w:szCs w:val="22"/>
        </w:rPr>
      </w:pPr>
    </w:p>
    <w:p w:rsidR="00F07CF6" w:rsidRPr="007E5EED" w:rsidP="00F11086" w14:paraId="4A05CBBB" w14:textId="77777777">
      <w:pPr>
        <w:rPr>
          <w:sz w:val="22"/>
          <w:szCs w:val="22"/>
        </w:rPr>
      </w:pPr>
      <w:r w:rsidRPr="007E5EED">
        <w:rPr>
          <w:sz w:val="22"/>
          <w:szCs w:val="22"/>
        </w:rPr>
        <w:t xml:space="preserve">10. </w:t>
      </w:r>
      <w:r w:rsidRPr="007E5EED">
        <w:rPr>
          <w:sz w:val="22"/>
          <w:szCs w:val="22"/>
        </w:rPr>
        <w:t xml:space="preserve">Although the Commission does not believe that any confidential information will need to be disclosed in order to comply with the </w:t>
      </w:r>
      <w:r w:rsidRPr="007E5EED" w:rsidR="00363BC2">
        <w:rPr>
          <w:sz w:val="22"/>
          <w:szCs w:val="22"/>
        </w:rPr>
        <w:t>information collection requirements</w:t>
      </w:r>
      <w:r w:rsidRPr="007E5EED">
        <w:rPr>
          <w:sz w:val="22"/>
          <w:szCs w:val="22"/>
        </w:rPr>
        <w:t>, applicants are free to request that materials or information submitted to the Commission be withheld from public inspection.  (</w:t>
      </w:r>
      <w:r w:rsidRPr="007E5EED">
        <w:rPr>
          <w:i/>
          <w:sz w:val="22"/>
          <w:szCs w:val="22"/>
        </w:rPr>
        <w:t>See</w:t>
      </w:r>
      <w:r w:rsidRPr="007E5EED">
        <w:rPr>
          <w:sz w:val="22"/>
          <w:szCs w:val="22"/>
        </w:rPr>
        <w:t xml:space="preserve"> </w:t>
      </w:r>
      <w:r w:rsidRPr="007E5EED" w:rsidR="002A1FE9">
        <w:rPr>
          <w:sz w:val="22"/>
          <w:szCs w:val="22"/>
        </w:rPr>
        <w:t>47 CFR §</w:t>
      </w:r>
      <w:r w:rsidRPr="007E5EED">
        <w:rPr>
          <w:sz w:val="22"/>
          <w:szCs w:val="22"/>
        </w:rPr>
        <w:t xml:space="preserve"> 0.459 of the Commission’s Rules)</w:t>
      </w:r>
      <w:r w:rsidRPr="007E5EED" w:rsidR="00363BC2">
        <w:rPr>
          <w:sz w:val="22"/>
          <w:szCs w:val="22"/>
        </w:rPr>
        <w:t>.</w:t>
      </w:r>
    </w:p>
    <w:p w:rsidR="00F07CF6" w:rsidRPr="007E5EED" w:rsidP="00F07CF6" w14:paraId="5B659541" w14:textId="77777777">
      <w:pPr>
        <w:tabs>
          <w:tab w:val="left" w:pos="720"/>
        </w:tabs>
        <w:ind w:left="360"/>
        <w:rPr>
          <w:b/>
          <w:sz w:val="22"/>
          <w:szCs w:val="22"/>
        </w:rPr>
      </w:pPr>
    </w:p>
    <w:p w:rsidR="00FF5FD2" w:rsidRPr="007E5EED" w:rsidP="00F11086" w14:paraId="631BD406" w14:textId="77777777">
      <w:pPr>
        <w:rPr>
          <w:sz w:val="22"/>
          <w:szCs w:val="22"/>
        </w:rPr>
      </w:pPr>
      <w:r w:rsidRPr="007E5EED">
        <w:rPr>
          <w:sz w:val="22"/>
          <w:szCs w:val="22"/>
        </w:rPr>
        <w:t xml:space="preserve">11. </w:t>
      </w:r>
      <w:r w:rsidRPr="007E5EED" w:rsidR="00363BC2">
        <w:rPr>
          <w:sz w:val="22"/>
          <w:szCs w:val="22"/>
        </w:rPr>
        <w:t xml:space="preserve">This information collection does not address any private matters of a sensitive nature.  </w:t>
      </w:r>
    </w:p>
    <w:p w:rsidR="00FF5FD2" w:rsidRPr="007E5EED" w:rsidP="00FF5FD2" w14:paraId="3DA1DC39" w14:textId="77777777">
      <w:pPr>
        <w:rPr>
          <w:sz w:val="22"/>
          <w:szCs w:val="22"/>
        </w:rPr>
      </w:pPr>
    </w:p>
    <w:p w:rsidR="009F37F3" w:rsidRPr="007E5EED" w:rsidP="00F11086" w14:paraId="058A3BB8" w14:textId="77777777">
      <w:pPr>
        <w:rPr>
          <w:sz w:val="22"/>
          <w:szCs w:val="22"/>
          <w:shd w:val="clear" w:color="auto" w:fill="FFFFFF"/>
        </w:rPr>
      </w:pPr>
      <w:r w:rsidRPr="007E5EED">
        <w:rPr>
          <w:sz w:val="22"/>
          <w:szCs w:val="22"/>
        </w:rPr>
        <w:t>12.</w:t>
      </w:r>
      <w:r w:rsidRPr="007E5EED" w:rsidR="00D473C0">
        <w:rPr>
          <w:b/>
          <w:sz w:val="22"/>
          <w:szCs w:val="22"/>
        </w:rPr>
        <w:t xml:space="preserve">  </w:t>
      </w:r>
      <w:r w:rsidRPr="007E5EED">
        <w:rPr>
          <w:sz w:val="22"/>
          <w:szCs w:val="22"/>
        </w:rPr>
        <w:t xml:space="preserve">The </w:t>
      </w:r>
      <w:r w:rsidRPr="007E5EED" w:rsidR="004C21A2">
        <w:rPr>
          <w:sz w:val="22"/>
          <w:szCs w:val="22"/>
        </w:rPr>
        <w:t>public burden is as follows:</w:t>
      </w:r>
      <w:r w:rsidRPr="007E5EED">
        <w:rPr>
          <w:sz w:val="22"/>
          <w:szCs w:val="22"/>
          <w:shd w:val="clear" w:color="auto" w:fill="FFFFFF"/>
        </w:rPr>
        <w:t xml:space="preserve">  </w:t>
      </w:r>
    </w:p>
    <w:p w:rsidR="00195AFA" w:rsidRPr="007E5EED" w:rsidP="00F07CF6" w14:paraId="2321C07C" w14:textId="77777777">
      <w:pPr>
        <w:tabs>
          <w:tab w:val="left" w:pos="720"/>
        </w:tabs>
        <w:rPr>
          <w:b/>
          <w:sz w:val="22"/>
          <w:szCs w:val="22"/>
        </w:rPr>
      </w:pPr>
    </w:p>
    <w:p w:rsidR="00E164B5" w:rsidRPr="007E5EED" w:rsidP="00F07CF6" w14:paraId="60E22931" w14:textId="77777777">
      <w:pPr>
        <w:tabs>
          <w:tab w:val="left" w:pos="720"/>
        </w:tabs>
        <w:rPr>
          <w:b/>
          <w:sz w:val="22"/>
          <w:szCs w:val="22"/>
        </w:rPr>
      </w:pPr>
      <w:r w:rsidRPr="007E5EED">
        <w:rPr>
          <w:b/>
          <w:sz w:val="22"/>
          <w:szCs w:val="22"/>
        </w:rPr>
        <w:t xml:space="preserve">Number of </w:t>
      </w:r>
      <w:r w:rsidRPr="007E5EED" w:rsidR="002B19A1">
        <w:rPr>
          <w:b/>
          <w:sz w:val="22"/>
          <w:szCs w:val="22"/>
        </w:rPr>
        <w:t xml:space="preserve">Annual </w:t>
      </w:r>
      <w:r w:rsidRPr="007E5EED">
        <w:rPr>
          <w:b/>
          <w:sz w:val="22"/>
          <w:szCs w:val="22"/>
        </w:rPr>
        <w:t>Respondents: 1</w:t>
      </w:r>
      <w:r w:rsidRPr="007E5EED" w:rsidR="00B978E1">
        <w:rPr>
          <w:b/>
          <w:sz w:val="22"/>
          <w:szCs w:val="22"/>
        </w:rPr>
        <w:t xml:space="preserve"> SDARS licensee</w:t>
      </w:r>
      <w:r>
        <w:rPr>
          <w:rStyle w:val="FootnoteReference"/>
          <w:b/>
          <w:sz w:val="22"/>
          <w:szCs w:val="22"/>
        </w:rPr>
        <w:footnoteReference w:id="3"/>
      </w:r>
    </w:p>
    <w:p w:rsidR="00195AFA" w:rsidRPr="007E5EED" w:rsidP="00F07CF6" w14:paraId="5F5315F7" w14:textId="77777777">
      <w:pPr>
        <w:tabs>
          <w:tab w:val="left" w:pos="720"/>
        </w:tabs>
        <w:rPr>
          <w:b/>
          <w:sz w:val="22"/>
          <w:szCs w:val="22"/>
        </w:rPr>
      </w:pPr>
    </w:p>
    <w:p w:rsidR="00195AFA" w:rsidRPr="007E5EED" w:rsidP="00195AFA" w14:paraId="117E846B" w14:textId="77777777">
      <w:pPr>
        <w:tabs>
          <w:tab w:val="left" w:pos="720"/>
        </w:tabs>
        <w:rPr>
          <w:b/>
          <w:sz w:val="22"/>
          <w:szCs w:val="22"/>
        </w:rPr>
      </w:pPr>
      <w:r w:rsidRPr="007E5EED">
        <w:rPr>
          <w:b/>
          <w:sz w:val="22"/>
          <w:szCs w:val="22"/>
        </w:rPr>
        <w:t xml:space="preserve">Number of </w:t>
      </w:r>
      <w:r w:rsidRPr="007E5EED" w:rsidR="002B19A1">
        <w:rPr>
          <w:b/>
          <w:sz w:val="22"/>
          <w:szCs w:val="22"/>
        </w:rPr>
        <w:t xml:space="preserve">Annual </w:t>
      </w:r>
      <w:r w:rsidRPr="007E5EED">
        <w:rPr>
          <w:b/>
          <w:sz w:val="22"/>
          <w:szCs w:val="22"/>
        </w:rPr>
        <w:t>Responses:</w:t>
      </w:r>
      <w:r w:rsidRPr="007E5EED" w:rsidR="00B978E1">
        <w:rPr>
          <w:b/>
          <w:sz w:val="22"/>
          <w:szCs w:val="22"/>
        </w:rPr>
        <w:t xml:space="preserve"> 1 response</w:t>
      </w:r>
      <w:r>
        <w:rPr>
          <w:rStyle w:val="FootnoteReference"/>
          <w:b/>
          <w:sz w:val="22"/>
          <w:szCs w:val="22"/>
        </w:rPr>
        <w:footnoteReference w:id="4"/>
      </w:r>
    </w:p>
    <w:p w:rsidR="00D87C69" w:rsidRPr="007E5EED" w:rsidP="00D95E82" w14:paraId="3DAAAEA0" w14:textId="77777777">
      <w:pPr>
        <w:tabs>
          <w:tab w:val="left" w:pos="360"/>
        </w:tabs>
        <w:rPr>
          <w:b/>
          <w:sz w:val="22"/>
          <w:szCs w:val="22"/>
          <w:shd w:val="clear" w:color="auto" w:fill="FFFFFF"/>
        </w:rPr>
      </w:pPr>
      <w:r w:rsidRPr="007E5EED">
        <w:rPr>
          <w:b/>
          <w:sz w:val="22"/>
          <w:szCs w:val="22"/>
          <w:shd w:val="clear" w:color="auto" w:fill="FFFFFF"/>
        </w:rPr>
        <w:tab/>
      </w:r>
    </w:p>
    <w:p w:rsidR="00D87C69" w:rsidRPr="007E5EED" w:rsidP="00D87C69" w14:paraId="57F9FAFA" w14:textId="77777777">
      <w:pPr>
        <w:numPr>
          <w:ilvl w:val="0"/>
          <w:numId w:val="48"/>
        </w:numPr>
        <w:tabs>
          <w:tab w:val="left" w:pos="720"/>
        </w:tabs>
        <w:rPr>
          <w:sz w:val="22"/>
          <w:szCs w:val="22"/>
          <w:shd w:val="clear" w:color="auto" w:fill="FFFFFF"/>
        </w:rPr>
      </w:pPr>
      <w:r>
        <w:rPr>
          <w:b/>
          <w:sz w:val="22"/>
          <w:szCs w:val="22"/>
        </w:rPr>
        <w:t xml:space="preserve">Lowest unit charge: </w:t>
      </w:r>
      <w:r w:rsidRPr="007E5EED" w:rsidR="00B978E1">
        <w:rPr>
          <w:snapToGrid w:val="0"/>
          <w:spacing w:val="-3"/>
          <w:sz w:val="22"/>
          <w:szCs w:val="22"/>
        </w:rPr>
        <w:t xml:space="preserve">  </w:t>
      </w:r>
      <w:r w:rsidRPr="007E5EED">
        <w:rPr>
          <w:sz w:val="22"/>
          <w:szCs w:val="22"/>
        </w:rPr>
        <w:t xml:space="preserve">The Commission </w:t>
      </w:r>
      <w:r w:rsidRPr="007E5EED" w:rsidR="004C21A2">
        <w:rPr>
          <w:sz w:val="22"/>
          <w:szCs w:val="22"/>
        </w:rPr>
        <w:t>estimates</w:t>
      </w:r>
      <w:r w:rsidRPr="007E5EED">
        <w:rPr>
          <w:sz w:val="22"/>
          <w:szCs w:val="22"/>
        </w:rPr>
        <w:t xml:space="preserve"> </w:t>
      </w:r>
      <w:r w:rsidRPr="007E5EED" w:rsidR="001B380A">
        <w:rPr>
          <w:sz w:val="22"/>
          <w:szCs w:val="22"/>
        </w:rPr>
        <w:t>approximately10</w:t>
      </w:r>
      <w:r w:rsidRPr="007E5EED">
        <w:rPr>
          <w:sz w:val="22"/>
          <w:szCs w:val="22"/>
        </w:rPr>
        <w:t xml:space="preserve"> hours</w:t>
      </w:r>
      <w:r w:rsidRPr="007E5EED" w:rsidR="004C21A2">
        <w:rPr>
          <w:sz w:val="22"/>
          <w:szCs w:val="22"/>
        </w:rPr>
        <w:t xml:space="preserve"> </w:t>
      </w:r>
      <w:r w:rsidRPr="007E5EED" w:rsidR="001B380A">
        <w:rPr>
          <w:sz w:val="22"/>
          <w:szCs w:val="22"/>
        </w:rPr>
        <w:t xml:space="preserve">to </w:t>
      </w:r>
      <w:r w:rsidRPr="007E5EED">
        <w:rPr>
          <w:sz w:val="22"/>
          <w:szCs w:val="22"/>
        </w:rPr>
        <w:t xml:space="preserve">establish, define, and disclose classes of time for political candidates, </w:t>
      </w:r>
      <w:r w:rsidRPr="007E5EED" w:rsidR="00AB071E">
        <w:rPr>
          <w:sz w:val="22"/>
          <w:szCs w:val="22"/>
        </w:rPr>
        <w:t>conduct periodically a thorough review of advertising records</w:t>
      </w:r>
      <w:r w:rsidR="00645C21">
        <w:rPr>
          <w:sz w:val="22"/>
          <w:szCs w:val="22"/>
        </w:rPr>
        <w:t>,</w:t>
      </w:r>
      <w:r w:rsidRPr="007E5EED" w:rsidR="00AB071E">
        <w:rPr>
          <w:sz w:val="22"/>
          <w:szCs w:val="22"/>
        </w:rPr>
        <w:t xml:space="preserve"> issue rebates or credits where appropriate</w:t>
      </w:r>
      <w:r w:rsidRPr="007E5EED" w:rsidR="001B380A">
        <w:rPr>
          <w:sz w:val="22"/>
          <w:szCs w:val="22"/>
        </w:rPr>
        <w:t xml:space="preserve">, </w:t>
      </w:r>
      <w:r w:rsidRPr="007E5EED" w:rsidR="00AB071E">
        <w:rPr>
          <w:sz w:val="22"/>
          <w:szCs w:val="22"/>
        </w:rPr>
        <w:t>make available any good policies, and</w:t>
      </w:r>
      <w:r w:rsidRPr="007E5EED" w:rsidR="001B380A">
        <w:rPr>
          <w:sz w:val="22"/>
          <w:szCs w:val="22"/>
        </w:rPr>
        <w:t xml:space="preserve"> disclose information about selling methods. </w:t>
      </w:r>
      <w:r w:rsidRPr="007E5EED">
        <w:rPr>
          <w:sz w:val="22"/>
          <w:szCs w:val="22"/>
          <w:shd w:val="clear" w:color="auto" w:fill="FFFFFF"/>
        </w:rPr>
        <w:t xml:space="preserve"> </w:t>
      </w:r>
    </w:p>
    <w:p w:rsidR="00D87C69" w:rsidRPr="007E5EED" w:rsidP="00D87C69" w14:paraId="2C1E3445" w14:textId="77777777">
      <w:pPr>
        <w:tabs>
          <w:tab w:val="left" w:pos="720"/>
        </w:tabs>
        <w:rPr>
          <w:sz w:val="22"/>
          <w:szCs w:val="22"/>
          <w:shd w:val="clear" w:color="auto" w:fill="FFFFFF"/>
        </w:rPr>
      </w:pPr>
    </w:p>
    <w:p w:rsidR="00D87C69" w:rsidRPr="007E5EED" w:rsidP="00D87C69" w14:paraId="1DC800AD" w14:textId="77777777">
      <w:pPr>
        <w:tabs>
          <w:tab w:val="left" w:pos="360"/>
          <w:tab w:val="left" w:pos="720"/>
        </w:tabs>
        <w:rPr>
          <w:b/>
          <w:sz w:val="22"/>
          <w:szCs w:val="22"/>
        </w:rPr>
      </w:pPr>
      <w:r w:rsidRPr="007E5EED">
        <w:rPr>
          <w:b/>
          <w:sz w:val="22"/>
          <w:szCs w:val="22"/>
        </w:rPr>
        <w:tab/>
      </w:r>
      <w:r w:rsidRPr="007E5EED">
        <w:rPr>
          <w:sz w:val="22"/>
          <w:szCs w:val="22"/>
        </w:rPr>
        <w:t xml:space="preserve">1 </w:t>
      </w:r>
      <w:r w:rsidRPr="007E5EED" w:rsidR="00B978E1">
        <w:rPr>
          <w:sz w:val="22"/>
          <w:szCs w:val="22"/>
        </w:rPr>
        <w:t xml:space="preserve">SDARS licensee </w:t>
      </w:r>
      <w:r w:rsidRPr="007E5EED">
        <w:rPr>
          <w:sz w:val="22"/>
          <w:szCs w:val="22"/>
        </w:rPr>
        <w:t xml:space="preserve">x </w:t>
      </w:r>
      <w:r w:rsidRPr="007E5EED" w:rsidR="001B380A">
        <w:rPr>
          <w:sz w:val="22"/>
          <w:szCs w:val="22"/>
        </w:rPr>
        <w:t>10</w:t>
      </w:r>
      <w:r w:rsidRPr="007E5EED">
        <w:rPr>
          <w:sz w:val="22"/>
          <w:szCs w:val="22"/>
        </w:rPr>
        <w:t xml:space="preserve"> hours</w:t>
      </w:r>
      <w:r w:rsidRPr="007E5EED" w:rsidR="00363BC2">
        <w:rPr>
          <w:sz w:val="22"/>
          <w:szCs w:val="22"/>
        </w:rPr>
        <w:t>/task</w:t>
      </w:r>
      <w:r w:rsidRPr="007E5EED">
        <w:rPr>
          <w:sz w:val="22"/>
          <w:szCs w:val="22"/>
        </w:rPr>
        <w:t xml:space="preserve"> =</w:t>
      </w:r>
      <w:r w:rsidRPr="007E5EED">
        <w:rPr>
          <w:b/>
          <w:sz w:val="22"/>
          <w:szCs w:val="22"/>
        </w:rPr>
        <w:t xml:space="preserve"> </w:t>
      </w:r>
      <w:r w:rsidRPr="007E5EED" w:rsidR="001B380A">
        <w:rPr>
          <w:b/>
          <w:sz w:val="22"/>
          <w:szCs w:val="22"/>
        </w:rPr>
        <w:t>10</w:t>
      </w:r>
      <w:r w:rsidRPr="007E5EED">
        <w:rPr>
          <w:b/>
          <w:sz w:val="22"/>
          <w:szCs w:val="22"/>
        </w:rPr>
        <w:t xml:space="preserve"> hours </w:t>
      </w:r>
    </w:p>
    <w:p w:rsidR="00D87C69" w:rsidRPr="007E5EED" w:rsidP="00D95E82" w14:paraId="1CCEBCE0" w14:textId="77777777">
      <w:pPr>
        <w:tabs>
          <w:tab w:val="left" w:pos="360"/>
        </w:tabs>
        <w:rPr>
          <w:b/>
          <w:sz w:val="22"/>
          <w:szCs w:val="22"/>
          <w:shd w:val="clear" w:color="auto" w:fill="FFFFFF"/>
        </w:rPr>
      </w:pPr>
    </w:p>
    <w:p w:rsidR="00FD7AF0" w:rsidRPr="007E5EED" w:rsidP="006D525C" w14:paraId="4230908D" w14:textId="77777777">
      <w:pPr>
        <w:numPr>
          <w:ilvl w:val="0"/>
          <w:numId w:val="48"/>
        </w:numPr>
        <w:tabs>
          <w:tab w:val="left" w:pos="720"/>
        </w:tabs>
        <w:rPr>
          <w:sz w:val="22"/>
          <w:szCs w:val="22"/>
        </w:rPr>
      </w:pPr>
      <w:r>
        <w:rPr>
          <w:b/>
          <w:sz w:val="22"/>
          <w:szCs w:val="22"/>
        </w:rPr>
        <w:t>Political file:</w:t>
      </w:r>
      <w:r w:rsidRPr="007E5EED" w:rsidR="0010774B">
        <w:rPr>
          <w:b/>
          <w:sz w:val="22"/>
          <w:szCs w:val="22"/>
          <w:shd w:val="clear" w:color="auto" w:fill="FFFFFF"/>
        </w:rPr>
        <w:t xml:space="preserve"> </w:t>
      </w:r>
      <w:r w:rsidRPr="007E5EED" w:rsidR="00036779">
        <w:rPr>
          <w:sz w:val="22"/>
          <w:szCs w:val="22"/>
          <w:shd w:val="clear" w:color="auto" w:fill="FFFFFF"/>
        </w:rPr>
        <w:t xml:space="preserve">The Commission estimates </w:t>
      </w:r>
      <w:r w:rsidRPr="007E5EED" w:rsidR="001B380A">
        <w:rPr>
          <w:sz w:val="22"/>
          <w:szCs w:val="22"/>
          <w:shd w:val="clear" w:color="auto" w:fill="FFFFFF"/>
        </w:rPr>
        <w:t xml:space="preserve">approximately </w:t>
      </w:r>
      <w:r w:rsidRPr="007E5EED">
        <w:rPr>
          <w:sz w:val="22"/>
          <w:szCs w:val="22"/>
          <w:shd w:val="clear" w:color="auto" w:fill="FFFFFF"/>
        </w:rPr>
        <w:t xml:space="preserve">10 hours </w:t>
      </w:r>
      <w:r w:rsidRPr="007E5EED">
        <w:rPr>
          <w:sz w:val="22"/>
          <w:szCs w:val="22"/>
        </w:rPr>
        <w:t>annually to establish and maintain political broadcasting files</w:t>
      </w:r>
      <w:r w:rsidRPr="007E5EED" w:rsidR="00804B88">
        <w:rPr>
          <w:sz w:val="22"/>
          <w:szCs w:val="22"/>
        </w:rPr>
        <w:t>.</w:t>
      </w:r>
    </w:p>
    <w:p w:rsidR="00FD7AF0" w:rsidRPr="007E5EED" w:rsidP="00F07CF6" w14:paraId="5C264D62" w14:textId="77777777">
      <w:pPr>
        <w:tabs>
          <w:tab w:val="left" w:pos="720"/>
        </w:tabs>
        <w:rPr>
          <w:sz w:val="22"/>
          <w:szCs w:val="22"/>
        </w:rPr>
      </w:pPr>
    </w:p>
    <w:p w:rsidR="00FD7AF0" w:rsidRPr="007E5EED" w:rsidP="00B978E1" w14:paraId="4473927A" w14:textId="77777777">
      <w:pPr>
        <w:tabs>
          <w:tab w:val="left" w:pos="720"/>
        </w:tabs>
        <w:ind w:left="720" w:hanging="360"/>
        <w:rPr>
          <w:b/>
          <w:sz w:val="22"/>
          <w:szCs w:val="22"/>
        </w:rPr>
      </w:pPr>
      <w:r w:rsidRPr="007E5EED">
        <w:rPr>
          <w:sz w:val="22"/>
          <w:szCs w:val="22"/>
        </w:rPr>
        <w:t>1</w:t>
      </w:r>
      <w:r w:rsidRPr="007E5EED" w:rsidR="00B978E1">
        <w:rPr>
          <w:sz w:val="22"/>
          <w:szCs w:val="22"/>
        </w:rPr>
        <w:t xml:space="preserve"> SDARS licensee x 1</w:t>
      </w:r>
      <w:r w:rsidRPr="007E5EED">
        <w:rPr>
          <w:sz w:val="22"/>
          <w:szCs w:val="22"/>
        </w:rPr>
        <w:t>0 hours</w:t>
      </w:r>
      <w:r w:rsidR="00645C21">
        <w:rPr>
          <w:sz w:val="22"/>
          <w:szCs w:val="22"/>
        </w:rPr>
        <w:t xml:space="preserve"> of maintaining political files</w:t>
      </w:r>
      <w:r w:rsidRPr="007E5EED">
        <w:rPr>
          <w:sz w:val="22"/>
          <w:szCs w:val="22"/>
        </w:rPr>
        <w:t xml:space="preserve"> =</w:t>
      </w:r>
      <w:r w:rsidRPr="007E5EED">
        <w:rPr>
          <w:b/>
          <w:sz w:val="22"/>
          <w:szCs w:val="22"/>
        </w:rPr>
        <w:t xml:space="preserve"> 10 hours </w:t>
      </w:r>
    </w:p>
    <w:p w:rsidR="00CF3C18" w:rsidRPr="007E5EED" w:rsidP="00D473C0" w14:paraId="20C71F0D" w14:textId="77777777">
      <w:pPr>
        <w:tabs>
          <w:tab w:val="left" w:pos="720"/>
        </w:tabs>
        <w:ind w:left="720"/>
        <w:rPr>
          <w:b/>
          <w:sz w:val="22"/>
          <w:szCs w:val="22"/>
        </w:rPr>
      </w:pPr>
    </w:p>
    <w:p w:rsidR="00424DBC" w:rsidRPr="007E5EED" w:rsidP="00543C8D" w14:paraId="11FEE934" w14:textId="77777777">
      <w:pPr>
        <w:shd w:val="clear" w:color="auto" w:fill="FFFFFF"/>
        <w:tabs>
          <w:tab w:val="left" w:pos="360"/>
        </w:tabs>
        <w:rPr>
          <w:b/>
          <w:sz w:val="22"/>
          <w:szCs w:val="22"/>
          <w:shd w:val="clear" w:color="auto" w:fill="FFFFFF"/>
        </w:rPr>
      </w:pPr>
      <w:r w:rsidRPr="007E5EED">
        <w:rPr>
          <w:b/>
          <w:sz w:val="22"/>
          <w:szCs w:val="22"/>
          <w:shd w:val="clear" w:color="auto" w:fill="FFFFFF"/>
        </w:rPr>
        <w:t xml:space="preserve">Total Annual </w:t>
      </w:r>
      <w:r w:rsidRPr="007E5EED" w:rsidR="00363BC2">
        <w:rPr>
          <w:b/>
          <w:sz w:val="22"/>
          <w:szCs w:val="22"/>
          <w:shd w:val="clear" w:color="auto" w:fill="FFFFFF"/>
        </w:rPr>
        <w:t xml:space="preserve">Burden </w:t>
      </w:r>
      <w:r w:rsidRPr="007E5EED">
        <w:rPr>
          <w:b/>
          <w:sz w:val="22"/>
          <w:szCs w:val="22"/>
          <w:shd w:val="clear" w:color="auto" w:fill="FFFFFF"/>
        </w:rPr>
        <w:t>Hour</w:t>
      </w:r>
      <w:r w:rsidRPr="007E5EED" w:rsidR="00363BC2">
        <w:rPr>
          <w:b/>
          <w:sz w:val="22"/>
          <w:szCs w:val="22"/>
          <w:shd w:val="clear" w:color="auto" w:fill="FFFFFF"/>
        </w:rPr>
        <w:t>s</w:t>
      </w:r>
      <w:r w:rsidRPr="007E5EED">
        <w:rPr>
          <w:b/>
          <w:sz w:val="22"/>
          <w:szCs w:val="22"/>
          <w:shd w:val="clear" w:color="auto" w:fill="FFFFFF"/>
        </w:rPr>
        <w:t xml:space="preserve">: </w:t>
      </w:r>
      <w:r w:rsidRPr="007E5EED" w:rsidR="001B380A">
        <w:rPr>
          <w:b/>
          <w:sz w:val="22"/>
          <w:szCs w:val="22"/>
          <w:shd w:val="clear" w:color="auto" w:fill="FFFFFF"/>
        </w:rPr>
        <w:t>10</w:t>
      </w:r>
      <w:r w:rsidRPr="007E5EED" w:rsidR="00AB071E">
        <w:rPr>
          <w:b/>
          <w:sz w:val="22"/>
          <w:szCs w:val="22"/>
          <w:shd w:val="clear" w:color="auto" w:fill="FFFFFF"/>
        </w:rPr>
        <w:t xml:space="preserve"> + 10</w:t>
      </w:r>
      <w:r w:rsidRPr="007E5EED" w:rsidR="00FB6076">
        <w:rPr>
          <w:sz w:val="22"/>
          <w:szCs w:val="22"/>
          <w:shd w:val="clear" w:color="auto" w:fill="FFFFFF"/>
        </w:rPr>
        <w:t xml:space="preserve"> = </w:t>
      </w:r>
      <w:r w:rsidRPr="007E5EED" w:rsidR="001B380A">
        <w:rPr>
          <w:b/>
          <w:sz w:val="22"/>
          <w:szCs w:val="22"/>
          <w:shd w:val="clear" w:color="auto" w:fill="FFFFFF"/>
        </w:rPr>
        <w:t>20</w:t>
      </w:r>
      <w:r w:rsidRPr="007E5EED" w:rsidR="009C2373">
        <w:rPr>
          <w:b/>
          <w:sz w:val="22"/>
          <w:szCs w:val="22"/>
          <w:shd w:val="clear" w:color="auto" w:fill="FFFFFF"/>
        </w:rPr>
        <w:t xml:space="preserve"> hours</w:t>
      </w:r>
    </w:p>
    <w:p w:rsidR="00DD5C9E" w:rsidP="00DD5C9E" w14:paraId="7B451B32" w14:textId="77777777">
      <w:pPr>
        <w:shd w:val="clear" w:color="auto" w:fill="FFFFFF"/>
        <w:tabs>
          <w:tab w:val="left" w:pos="360"/>
        </w:tabs>
        <w:ind w:left="360"/>
        <w:rPr>
          <w:b/>
          <w:sz w:val="22"/>
          <w:szCs w:val="22"/>
        </w:rPr>
      </w:pPr>
    </w:p>
    <w:p w:rsidR="0043138D" w:rsidRPr="007E5EED" w:rsidP="00804B88" w14:paraId="25314CEB" w14:textId="77777777">
      <w:pPr>
        <w:tabs>
          <w:tab w:val="left" w:pos="720"/>
        </w:tabs>
        <w:rPr>
          <w:sz w:val="22"/>
          <w:szCs w:val="22"/>
        </w:rPr>
      </w:pPr>
      <w:r w:rsidRPr="007E5EED">
        <w:rPr>
          <w:b/>
          <w:sz w:val="22"/>
          <w:szCs w:val="22"/>
        </w:rPr>
        <w:t>Annual “In-house” Cost:</w:t>
      </w:r>
      <w:r w:rsidRPr="007E5EED" w:rsidR="007E5EED">
        <w:rPr>
          <w:sz w:val="22"/>
          <w:szCs w:val="22"/>
        </w:rPr>
        <w:t xml:space="preserve">  T</w:t>
      </w:r>
      <w:r w:rsidR="005C43C4">
        <w:rPr>
          <w:sz w:val="22"/>
          <w:szCs w:val="22"/>
        </w:rPr>
        <w:t xml:space="preserve">he Commission </w:t>
      </w:r>
      <w:r w:rsidRPr="007E5EED">
        <w:rPr>
          <w:sz w:val="22"/>
          <w:szCs w:val="22"/>
        </w:rPr>
        <w:t xml:space="preserve">believes that all of the burdens will be carried out by management or sales staff of the </w:t>
      </w:r>
      <w:r w:rsidRPr="007E5EED" w:rsidR="00AB071E">
        <w:rPr>
          <w:sz w:val="22"/>
          <w:szCs w:val="22"/>
        </w:rPr>
        <w:t xml:space="preserve">SDARS licensee </w:t>
      </w:r>
      <w:r w:rsidRPr="007E5EED">
        <w:rPr>
          <w:sz w:val="22"/>
          <w:szCs w:val="22"/>
        </w:rPr>
        <w:t>at approximately $26 per hour</w:t>
      </w:r>
      <w:r w:rsidRPr="007E5EED" w:rsidR="00396B20">
        <w:rPr>
          <w:sz w:val="22"/>
          <w:szCs w:val="22"/>
        </w:rPr>
        <w:t xml:space="preserve">:  </w:t>
      </w:r>
    </w:p>
    <w:p w:rsidR="0043138D" w:rsidRPr="004827E4" w:rsidP="00F07CF6" w14:paraId="6F60A1AB" w14:textId="77777777">
      <w:pPr>
        <w:tabs>
          <w:tab w:val="left" w:pos="720"/>
        </w:tabs>
        <w:rPr>
          <w:sz w:val="22"/>
          <w:szCs w:val="22"/>
        </w:rPr>
      </w:pPr>
    </w:p>
    <w:p w:rsidR="002B19A1" w:rsidP="00AB071E" w14:paraId="69271634" w14:textId="77777777">
      <w:pPr>
        <w:tabs>
          <w:tab w:val="left" w:pos="360"/>
        </w:tabs>
        <w:ind w:left="360"/>
        <w:rPr>
          <w:spacing w:val="-3"/>
          <w:sz w:val="22"/>
          <w:szCs w:val="22"/>
        </w:rPr>
      </w:pPr>
      <w:r>
        <w:rPr>
          <w:sz w:val="22"/>
          <w:szCs w:val="22"/>
        </w:rPr>
        <w:t>20</w:t>
      </w:r>
      <w:r w:rsidRPr="004827E4" w:rsidR="00E52458">
        <w:rPr>
          <w:sz w:val="22"/>
          <w:szCs w:val="22"/>
        </w:rPr>
        <w:t xml:space="preserve"> hours</w:t>
      </w:r>
      <w:r w:rsidR="005222BA">
        <w:rPr>
          <w:sz w:val="22"/>
          <w:szCs w:val="22"/>
        </w:rPr>
        <w:t xml:space="preserve"> x $26/hour for staff time</w:t>
      </w:r>
      <w:r w:rsidRPr="004827E4" w:rsidR="00E52458">
        <w:rPr>
          <w:sz w:val="22"/>
          <w:szCs w:val="22"/>
        </w:rPr>
        <w:t xml:space="preserve"> =</w:t>
      </w:r>
      <w:r w:rsidRPr="004827E4" w:rsidR="00E52458">
        <w:rPr>
          <w:b/>
          <w:sz w:val="22"/>
          <w:szCs w:val="22"/>
        </w:rPr>
        <w:t xml:space="preserve"> </w:t>
      </w:r>
      <w:r w:rsidRPr="004827E4" w:rsidR="006D525C">
        <w:rPr>
          <w:b/>
          <w:sz w:val="22"/>
          <w:szCs w:val="22"/>
        </w:rPr>
        <w:t>$</w:t>
      </w:r>
      <w:r w:rsidR="007E5EED">
        <w:rPr>
          <w:b/>
          <w:sz w:val="22"/>
          <w:szCs w:val="22"/>
        </w:rPr>
        <w:t>520</w:t>
      </w:r>
      <w:r w:rsidR="006D525C">
        <w:rPr>
          <w:b/>
          <w:sz w:val="22"/>
          <w:szCs w:val="22"/>
        </w:rPr>
        <w:t xml:space="preserve"> </w:t>
      </w:r>
      <w:r w:rsidRPr="004827E4" w:rsidR="00C50CA6">
        <w:rPr>
          <w:b/>
          <w:sz w:val="22"/>
          <w:szCs w:val="22"/>
        </w:rPr>
        <w:t xml:space="preserve">Total </w:t>
      </w:r>
      <w:r w:rsidRPr="004827E4" w:rsidR="0043138D">
        <w:rPr>
          <w:b/>
          <w:sz w:val="22"/>
          <w:szCs w:val="22"/>
        </w:rPr>
        <w:t xml:space="preserve">Annual </w:t>
      </w:r>
      <w:r w:rsidRPr="004827E4" w:rsidR="00C50CA6">
        <w:rPr>
          <w:b/>
          <w:sz w:val="22"/>
          <w:szCs w:val="22"/>
        </w:rPr>
        <w:t xml:space="preserve">“In House” </w:t>
      </w:r>
      <w:r w:rsidRPr="004827E4" w:rsidR="0043138D">
        <w:rPr>
          <w:b/>
          <w:sz w:val="22"/>
          <w:szCs w:val="22"/>
        </w:rPr>
        <w:t>Cost</w:t>
      </w:r>
      <w:r w:rsidRPr="004827E4" w:rsidR="00C50CA6">
        <w:rPr>
          <w:b/>
          <w:sz w:val="22"/>
          <w:szCs w:val="22"/>
        </w:rPr>
        <w:t>s</w:t>
      </w:r>
    </w:p>
    <w:p w:rsidR="002B19A1" w:rsidP="00B97B6E" w14:paraId="1B8BB71D" w14:textId="77777777">
      <w:pPr>
        <w:suppressAutoHyphens/>
        <w:ind w:firstLine="720"/>
        <w:jc w:val="both"/>
        <w:rPr>
          <w:spacing w:val="-3"/>
          <w:sz w:val="22"/>
          <w:szCs w:val="22"/>
        </w:rPr>
      </w:pPr>
    </w:p>
    <w:p w:rsidR="00B97B6E" w:rsidRPr="004827E4" w:rsidP="00543C8D" w14:paraId="59FC8E6D" w14:textId="77777777">
      <w:pPr>
        <w:suppressAutoHyphens/>
        <w:jc w:val="both"/>
        <w:rPr>
          <w:b/>
          <w:szCs w:val="22"/>
        </w:rPr>
      </w:pPr>
      <w:r>
        <w:rPr>
          <w:spacing w:val="-3"/>
          <w:sz w:val="22"/>
          <w:szCs w:val="22"/>
        </w:rPr>
        <w:t xml:space="preserve">13.   </w:t>
      </w:r>
      <w:r w:rsidRPr="004827E4">
        <w:rPr>
          <w:b/>
          <w:szCs w:val="22"/>
        </w:rPr>
        <w:t xml:space="preserve">Annual Cost Burden: </w:t>
      </w:r>
    </w:p>
    <w:p w:rsidR="00B97B6E" w:rsidRPr="004827E4" w:rsidP="00B97B6E" w14:paraId="48F0E2F5" w14:textId="77777777">
      <w:pPr>
        <w:suppressAutoHyphens/>
        <w:jc w:val="both"/>
        <w:rPr>
          <w:spacing w:val="-3"/>
          <w:sz w:val="22"/>
          <w:szCs w:val="22"/>
        </w:rPr>
      </w:pPr>
    </w:p>
    <w:p w:rsidR="00B97B6E" w:rsidRPr="004827E4" w:rsidP="003F4669" w14:paraId="5C3FB867" w14:textId="77777777">
      <w:pPr>
        <w:widowControl w:val="0"/>
        <w:numPr>
          <w:ilvl w:val="0"/>
          <w:numId w:val="14"/>
        </w:numPr>
        <w:tabs>
          <w:tab w:val="left" w:pos="-1440"/>
          <w:tab w:val="left" w:pos="-720"/>
          <w:tab w:val="left" w:pos="0"/>
          <w:tab w:val="num" w:pos="720"/>
          <w:tab w:val="clear"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360"/>
        <w:rPr>
          <w:spacing w:val="-3"/>
          <w:sz w:val="22"/>
          <w:szCs w:val="22"/>
        </w:rPr>
      </w:pPr>
      <w:r w:rsidRPr="004827E4">
        <w:rPr>
          <w:spacing w:val="-3"/>
          <w:sz w:val="22"/>
          <w:szCs w:val="22"/>
        </w:rPr>
        <w:t>Total annualized capital/startup costs: None</w:t>
      </w:r>
    </w:p>
    <w:p w:rsidR="00B11178" w:rsidRPr="004827E4" w:rsidP="00B11178" w14:paraId="13923ABC"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spacing w:val="-3"/>
          <w:sz w:val="22"/>
          <w:szCs w:val="22"/>
        </w:rPr>
      </w:pPr>
    </w:p>
    <w:p w:rsidR="00B97B6E" w:rsidRPr="004827E4" w:rsidP="00F01EA4" w14:paraId="6BE406AD" w14:textId="77777777">
      <w:pPr>
        <w:widowControl w:val="0"/>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360"/>
        <w:rPr>
          <w:spacing w:val="-3"/>
          <w:sz w:val="22"/>
          <w:szCs w:val="22"/>
        </w:rPr>
      </w:pPr>
      <w:r w:rsidRPr="004827E4">
        <w:rPr>
          <w:spacing w:val="-3"/>
          <w:sz w:val="22"/>
          <w:szCs w:val="22"/>
        </w:rPr>
        <w:tab/>
      </w:r>
      <w:r w:rsidRPr="004827E4">
        <w:rPr>
          <w:spacing w:val="-3"/>
          <w:sz w:val="22"/>
          <w:szCs w:val="22"/>
        </w:rPr>
        <w:tab/>
        <w:t>(b)</w:t>
      </w:r>
      <w:r w:rsidRPr="004827E4" w:rsidR="00F01EA4">
        <w:rPr>
          <w:spacing w:val="-3"/>
          <w:sz w:val="22"/>
          <w:szCs w:val="22"/>
        </w:rPr>
        <w:tab/>
      </w:r>
      <w:r w:rsidRPr="004827E4">
        <w:rPr>
          <w:spacing w:val="-3"/>
          <w:sz w:val="22"/>
          <w:szCs w:val="22"/>
        </w:rPr>
        <w:t>Total annual costs (O&amp;M): None</w:t>
      </w:r>
    </w:p>
    <w:p w:rsidR="00B97B6E" w:rsidRPr="004827E4" w:rsidP="00B97B6E" w14:paraId="25E1068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p>
    <w:p w:rsidR="00A92FA4" w:rsidRPr="005C43C4" w:rsidP="00B11178" w14:paraId="44C3F6E8" w14:textId="77777777">
      <w:pPr>
        <w:pStyle w:val="ParaNum"/>
        <w:numPr>
          <w:ilvl w:val="0"/>
          <w:numId w:val="0"/>
        </w:numPr>
        <w:tabs>
          <w:tab w:val="left" w:pos="360"/>
          <w:tab w:val="left" w:pos="720"/>
        </w:tabs>
        <w:spacing w:after="0"/>
        <w:rPr>
          <w:bCs/>
          <w:szCs w:val="22"/>
        </w:rPr>
      </w:pPr>
      <w:r w:rsidRPr="004827E4">
        <w:rPr>
          <w:spacing w:val="-3"/>
          <w:szCs w:val="22"/>
        </w:rPr>
        <w:tab/>
        <w:t xml:space="preserve">(c) </w:t>
      </w:r>
      <w:r w:rsidRPr="004827E4" w:rsidR="00B11178">
        <w:rPr>
          <w:spacing w:val="-3"/>
          <w:szCs w:val="22"/>
        </w:rPr>
        <w:t xml:space="preserve">  </w:t>
      </w:r>
      <w:r w:rsidRPr="004827E4">
        <w:rPr>
          <w:spacing w:val="-3"/>
          <w:szCs w:val="22"/>
        </w:rPr>
        <w:t xml:space="preserve">Total annualized cost requested: </w:t>
      </w:r>
      <w:r w:rsidRPr="005C43C4">
        <w:rPr>
          <w:spacing w:val="-3"/>
          <w:szCs w:val="22"/>
        </w:rPr>
        <w:t>None</w:t>
      </w:r>
    </w:p>
    <w:p w:rsidR="00B97B6E" w:rsidRPr="004827E4" w:rsidP="00B97B6E" w14:paraId="2CE3ECE9" w14:textId="77777777">
      <w:pPr>
        <w:pStyle w:val="ParaNum"/>
        <w:numPr>
          <w:ilvl w:val="0"/>
          <w:numId w:val="0"/>
        </w:numPr>
        <w:spacing w:after="0"/>
        <w:rPr>
          <w:b/>
          <w:bCs/>
          <w:szCs w:val="22"/>
        </w:rPr>
      </w:pPr>
    </w:p>
    <w:p w:rsidR="00046B46" w:rsidRPr="004827E4" w:rsidP="00543C8D" w14:paraId="3F047D30" w14:textId="77777777">
      <w:pPr>
        <w:pStyle w:val="ParaNum"/>
        <w:numPr>
          <w:ilvl w:val="0"/>
          <w:numId w:val="0"/>
        </w:numPr>
        <w:spacing w:after="0"/>
        <w:rPr>
          <w:b/>
          <w:bCs/>
          <w:szCs w:val="22"/>
        </w:rPr>
      </w:pPr>
      <w:r>
        <w:rPr>
          <w:bCs/>
          <w:szCs w:val="22"/>
        </w:rPr>
        <w:t xml:space="preserve">14.  </w:t>
      </w:r>
      <w:r w:rsidRPr="004827E4">
        <w:rPr>
          <w:bCs/>
          <w:szCs w:val="22"/>
        </w:rPr>
        <w:t>There is no cost to the Federal Government.</w:t>
      </w:r>
    </w:p>
    <w:p w:rsidR="00046B46" w:rsidRPr="004827E4" w:rsidP="00046B46" w14:paraId="2A436C69" w14:textId="77777777">
      <w:pPr>
        <w:pStyle w:val="ParaNum"/>
        <w:numPr>
          <w:ilvl w:val="0"/>
          <w:numId w:val="0"/>
        </w:numPr>
        <w:spacing w:after="0"/>
        <w:rPr>
          <w:b/>
          <w:bCs/>
          <w:szCs w:val="22"/>
        </w:rPr>
      </w:pPr>
    </w:p>
    <w:p w:rsidR="00543C8D" w:rsidP="00543C8D" w14:paraId="77A2C70A" w14:textId="77777777">
      <w:pPr>
        <w:pStyle w:val="ParaNum"/>
        <w:numPr>
          <w:ilvl w:val="0"/>
          <w:numId w:val="0"/>
        </w:numPr>
        <w:spacing w:after="0"/>
        <w:rPr>
          <w:bCs/>
          <w:szCs w:val="22"/>
        </w:rPr>
      </w:pPr>
      <w:r>
        <w:rPr>
          <w:bCs/>
          <w:szCs w:val="22"/>
        </w:rPr>
        <w:t xml:space="preserve">15.  </w:t>
      </w:r>
      <w:r w:rsidR="00DB1697">
        <w:rPr>
          <w:bCs/>
          <w:szCs w:val="22"/>
        </w:rPr>
        <w:t xml:space="preserve">There are no program changes or adjustments to this information collection.  </w:t>
      </w:r>
    </w:p>
    <w:p w:rsidR="00DB1697" w:rsidP="00543C8D" w14:paraId="3ABAD51A" w14:textId="77777777">
      <w:pPr>
        <w:pStyle w:val="ParaNum"/>
        <w:numPr>
          <w:ilvl w:val="0"/>
          <w:numId w:val="0"/>
        </w:numPr>
        <w:spacing w:after="0"/>
        <w:rPr>
          <w:b/>
          <w:bCs/>
          <w:szCs w:val="22"/>
        </w:rPr>
      </w:pPr>
    </w:p>
    <w:p w:rsidR="001C10A9" w:rsidRPr="004827E4" w:rsidP="00543C8D" w14:paraId="2C8E13B3" w14:textId="77777777">
      <w:pPr>
        <w:pStyle w:val="ParaNum"/>
        <w:numPr>
          <w:ilvl w:val="0"/>
          <w:numId w:val="0"/>
        </w:numPr>
        <w:spacing w:after="0"/>
        <w:rPr>
          <w:b/>
          <w:bCs/>
          <w:szCs w:val="22"/>
        </w:rPr>
      </w:pPr>
      <w:r>
        <w:rPr>
          <w:bCs/>
          <w:szCs w:val="22"/>
        </w:rPr>
        <w:t xml:space="preserve">16.  </w:t>
      </w:r>
      <w:r w:rsidRPr="004827E4" w:rsidR="007B280A">
        <w:rPr>
          <w:bCs/>
          <w:szCs w:val="22"/>
        </w:rPr>
        <w:t>The data will not be published.</w:t>
      </w:r>
    </w:p>
    <w:p w:rsidR="00543C8D" w:rsidP="00543C8D" w14:paraId="619677EB" w14:textId="77777777">
      <w:pPr>
        <w:pStyle w:val="ParaNum"/>
        <w:numPr>
          <w:ilvl w:val="0"/>
          <w:numId w:val="0"/>
        </w:numPr>
        <w:spacing w:after="0"/>
        <w:rPr>
          <w:bCs/>
          <w:szCs w:val="22"/>
        </w:rPr>
      </w:pPr>
    </w:p>
    <w:p w:rsidR="001C10A9" w:rsidRPr="004827E4" w:rsidP="00543C8D" w14:paraId="64834D8F" w14:textId="2DB5BB1C">
      <w:pPr>
        <w:pStyle w:val="ParaNum"/>
        <w:numPr>
          <w:ilvl w:val="0"/>
          <w:numId w:val="0"/>
        </w:numPr>
        <w:spacing w:after="0"/>
        <w:rPr>
          <w:b/>
          <w:bCs/>
          <w:szCs w:val="22"/>
        </w:rPr>
      </w:pPr>
      <w:r>
        <w:rPr>
          <w:bCs/>
          <w:szCs w:val="22"/>
        </w:rPr>
        <w:t xml:space="preserve">17.  </w:t>
      </w:r>
      <w:r w:rsidRPr="004827E4">
        <w:rPr>
          <w:bCs/>
          <w:szCs w:val="22"/>
        </w:rPr>
        <w:t xml:space="preserve">OMB approval of the expiration of the information collection will be displayed </w:t>
      </w:r>
      <w:r w:rsidR="00127810">
        <w:rPr>
          <w:bCs/>
          <w:szCs w:val="22"/>
        </w:rPr>
        <w:t>on OMB’s website</w:t>
      </w:r>
      <w:r w:rsidRPr="004827E4">
        <w:rPr>
          <w:bCs/>
          <w:szCs w:val="22"/>
        </w:rPr>
        <w:t>.</w:t>
      </w:r>
    </w:p>
    <w:p w:rsidR="001C10A9" w:rsidRPr="004827E4" w:rsidP="003F4669" w14:paraId="1C4342F7" w14:textId="77777777">
      <w:pPr>
        <w:pStyle w:val="ParaNum"/>
        <w:numPr>
          <w:ilvl w:val="0"/>
          <w:numId w:val="0"/>
        </w:numPr>
        <w:tabs>
          <w:tab w:val="left" w:pos="360"/>
        </w:tabs>
        <w:spacing w:after="0"/>
        <w:rPr>
          <w:bCs/>
          <w:szCs w:val="22"/>
        </w:rPr>
      </w:pPr>
    </w:p>
    <w:p w:rsidR="001C10A9" w:rsidRPr="004827E4" w:rsidP="00543C8D" w14:paraId="5B6CB34E" w14:textId="77777777">
      <w:pPr>
        <w:pStyle w:val="ParaNum"/>
        <w:numPr>
          <w:ilvl w:val="0"/>
          <w:numId w:val="0"/>
        </w:numPr>
        <w:spacing w:after="0"/>
        <w:rPr>
          <w:b/>
          <w:bCs/>
          <w:szCs w:val="22"/>
        </w:rPr>
      </w:pPr>
      <w:r>
        <w:rPr>
          <w:bCs/>
          <w:spacing w:val="-3"/>
          <w:szCs w:val="22"/>
        </w:rPr>
        <w:t xml:space="preserve">18.  </w:t>
      </w:r>
      <w:r w:rsidR="00A54EFA">
        <w:rPr>
          <w:bCs/>
          <w:spacing w:val="-3"/>
          <w:szCs w:val="22"/>
        </w:rPr>
        <w:t xml:space="preserve">There are no </w:t>
      </w:r>
      <w:r w:rsidRPr="004827E4" w:rsidR="00FF5FD2">
        <w:rPr>
          <w:bCs/>
          <w:spacing w:val="-3"/>
          <w:szCs w:val="22"/>
        </w:rPr>
        <w:t>exceptions to the Certification Statement.</w:t>
      </w:r>
    </w:p>
    <w:p w:rsidR="001C10A9" w:rsidRPr="004827E4" w:rsidP="001C10A9" w14:paraId="74278C4D" w14:textId="77777777">
      <w:pPr>
        <w:pStyle w:val="ParaNum"/>
        <w:numPr>
          <w:ilvl w:val="0"/>
          <w:numId w:val="0"/>
        </w:numPr>
        <w:spacing w:after="0"/>
        <w:rPr>
          <w:bCs/>
          <w:szCs w:val="22"/>
        </w:rPr>
      </w:pPr>
    </w:p>
    <w:p w:rsidR="001C10A9" w:rsidRPr="004827E4" w:rsidP="001C10A9" w14:paraId="2C3E656D" w14:textId="77777777">
      <w:pPr>
        <w:pStyle w:val="ParaNum"/>
        <w:numPr>
          <w:ilvl w:val="0"/>
          <w:numId w:val="1"/>
        </w:numPr>
        <w:spacing w:after="0"/>
        <w:rPr>
          <w:b/>
          <w:bCs/>
          <w:szCs w:val="22"/>
        </w:rPr>
      </w:pPr>
      <w:r w:rsidRPr="004827E4">
        <w:rPr>
          <w:bCs/>
          <w:szCs w:val="22"/>
        </w:rPr>
        <w:t xml:space="preserve"> </w:t>
      </w:r>
      <w:r w:rsidRPr="004827E4">
        <w:rPr>
          <w:b/>
          <w:bCs/>
          <w:szCs w:val="22"/>
        </w:rPr>
        <w:t>Collections of Information Employing Statistical Methods</w:t>
      </w:r>
    </w:p>
    <w:p w:rsidR="001C10A9" w:rsidRPr="004827E4" w:rsidP="001C10A9" w14:paraId="70C5DF63" w14:textId="77777777">
      <w:pPr>
        <w:pStyle w:val="ParaNum"/>
        <w:numPr>
          <w:ilvl w:val="0"/>
          <w:numId w:val="0"/>
        </w:numPr>
        <w:spacing w:after="0"/>
        <w:rPr>
          <w:b/>
          <w:bCs/>
          <w:szCs w:val="22"/>
        </w:rPr>
      </w:pPr>
    </w:p>
    <w:p w:rsidR="00701A97" w:rsidRPr="001337EB" w:rsidP="0098005B" w14:paraId="7217BC2B" w14:textId="77777777">
      <w:pPr>
        <w:pStyle w:val="ParaNum"/>
        <w:numPr>
          <w:ilvl w:val="0"/>
          <w:numId w:val="0"/>
        </w:numPr>
        <w:spacing w:after="0"/>
      </w:pPr>
      <w:r>
        <w:rPr>
          <w:szCs w:val="22"/>
        </w:rPr>
        <w:t xml:space="preserve">       </w:t>
      </w:r>
      <w:r w:rsidRPr="004827E4" w:rsidR="00E5327E">
        <w:rPr>
          <w:szCs w:val="22"/>
        </w:rPr>
        <w:t>This information collection</w:t>
      </w:r>
      <w:r w:rsidRPr="001337EB" w:rsidR="00E5327E">
        <w:rPr>
          <w:szCs w:val="22"/>
        </w:rPr>
        <w:t xml:space="preserve"> does not employ any </w:t>
      </w:r>
      <w:r w:rsidRPr="001337EB" w:rsidR="001C10A9">
        <w:rPr>
          <w:szCs w:val="22"/>
        </w:rPr>
        <w:t>statistical methods.</w:t>
      </w:r>
    </w:p>
    <w:sectPr w:rsidSect="000C7337">
      <w:headerReference w:type="default" r:id="rId6"/>
      <w:footerReference w:type="even" r:id="rId7"/>
      <w:footerReference w:type="default" r:id="rId8"/>
      <w:headerReference w:type="first" r:id="rId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64A4" w:rsidP="000B1661" w14:paraId="5D438E3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664A4" w14:paraId="03B321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64A4" w:rsidRPr="005D5E26" w:rsidP="000B1661" w14:paraId="12EA15E0" w14:textId="77777777">
    <w:pPr>
      <w:pStyle w:val="Footer"/>
      <w:framePr w:wrap="around" w:vAnchor="text" w:hAnchor="margin" w:xAlign="center" w:y="1"/>
      <w:rPr>
        <w:rStyle w:val="PageNumber"/>
        <w:sz w:val="20"/>
      </w:rPr>
    </w:pPr>
    <w:r w:rsidRPr="005D5E26">
      <w:rPr>
        <w:rStyle w:val="PageNumber"/>
        <w:sz w:val="20"/>
      </w:rPr>
      <w:fldChar w:fldCharType="begin"/>
    </w:r>
    <w:r w:rsidRPr="005D5E26">
      <w:rPr>
        <w:rStyle w:val="PageNumber"/>
        <w:sz w:val="20"/>
      </w:rPr>
      <w:instrText xml:space="preserve">PAGE  </w:instrText>
    </w:r>
    <w:r w:rsidRPr="005D5E26">
      <w:rPr>
        <w:rStyle w:val="PageNumber"/>
        <w:sz w:val="20"/>
      </w:rPr>
      <w:fldChar w:fldCharType="separate"/>
    </w:r>
    <w:r w:rsidR="00565C3A">
      <w:rPr>
        <w:rStyle w:val="PageNumber"/>
        <w:noProof/>
        <w:sz w:val="20"/>
      </w:rPr>
      <w:t>1</w:t>
    </w:r>
    <w:r w:rsidRPr="005D5E26">
      <w:rPr>
        <w:rStyle w:val="PageNumber"/>
        <w:sz w:val="20"/>
      </w:rPr>
      <w:fldChar w:fldCharType="end"/>
    </w:r>
  </w:p>
  <w:p w:rsidR="006664A4" w:rsidRPr="00595F47" w14:paraId="3955F450" w14:textId="77777777">
    <w:pPr>
      <w:pStyle w:val="Footer"/>
      <w:jc w:val="center"/>
      <w:rPr>
        <w:sz w:val="20"/>
      </w:rPr>
    </w:pPr>
    <w:r>
      <w:t xml:space="preserve"> </w:t>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047D" w14:paraId="139AAA58" w14:textId="77777777">
      <w:r>
        <w:separator/>
      </w:r>
    </w:p>
  </w:footnote>
  <w:footnote w:type="continuationSeparator" w:id="1">
    <w:p w:rsidR="0059047D" w14:paraId="3864B2D7" w14:textId="77777777">
      <w:r>
        <w:continuationSeparator/>
      </w:r>
    </w:p>
  </w:footnote>
  <w:footnote w:id="2">
    <w:p w:rsidR="00E11699" w:rsidRPr="005C1708" w:rsidP="00E11699" w14:paraId="7CDE7857" w14:textId="77777777">
      <w:pPr>
        <w:rPr>
          <w:sz w:val="22"/>
          <w:szCs w:val="22"/>
        </w:rPr>
      </w:pPr>
      <w:r w:rsidRPr="00DB4103">
        <w:rPr>
          <w:rStyle w:val="FootnoteReference"/>
          <w:szCs w:val="24"/>
        </w:rPr>
        <w:footnoteRef/>
      </w:r>
      <w:r w:rsidRPr="005C1708">
        <w:rPr>
          <w:sz w:val="22"/>
          <w:szCs w:val="22"/>
        </w:rPr>
        <w:t xml:space="preserve"> The lowest unit charge is the rate the station charges its most favored commercial advertiser for the same class and amount of time during the same time period.</w:t>
      </w:r>
    </w:p>
  </w:footnote>
  <w:footnote w:id="3">
    <w:p w:rsidR="00645C21" w14:paraId="7DBBAC72" w14:textId="77777777">
      <w:pPr>
        <w:pStyle w:val="FootnoteText"/>
      </w:pPr>
      <w:r>
        <w:rPr>
          <w:rStyle w:val="FootnoteReference"/>
        </w:rPr>
        <w:footnoteRef/>
      </w:r>
      <w:r>
        <w:t xml:space="preserve"> This respondent makes up the majority of its universe of respondents.  Therefore, OMB approval is need</w:t>
      </w:r>
      <w:r w:rsidR="00405662">
        <w:t>ed</w:t>
      </w:r>
      <w:r>
        <w:t xml:space="preserve"> for this collection.</w:t>
      </w:r>
    </w:p>
  </w:footnote>
  <w:footnote w:id="4">
    <w:p w:rsidR="003D14FC" w:rsidRPr="003D14FC" w:rsidP="003D14FC" w14:paraId="23D38195" w14:textId="77777777">
      <w:pPr>
        <w:pStyle w:val="FootnoteText"/>
      </w:pPr>
      <w:r>
        <w:rPr>
          <w:rStyle w:val="FootnoteReference"/>
        </w:rPr>
        <w:footnoteRef/>
      </w:r>
      <w:r>
        <w:t xml:space="preserve"> </w:t>
      </w:r>
      <w:r w:rsidRPr="003D14FC">
        <w:t>Since the requirements are done in terms of tasks, it is difficult for the Commission to quantify the number of responses.</w:t>
      </w:r>
    </w:p>
    <w:p w:rsidR="003D14FC" w14:paraId="041F07D3"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64A4" w:rsidP="00C745A7" w14:paraId="6A97779C" w14:textId="3903A457">
    <w:pPr>
      <w:pStyle w:val="Header"/>
      <w:rPr>
        <w:b/>
      </w:rPr>
    </w:pPr>
    <w:r>
      <w:rPr>
        <w:b/>
      </w:rPr>
      <w:t>OMB Control Number:  3060-</w:t>
    </w:r>
    <w:r w:rsidR="00DB1697">
      <w:rPr>
        <w:b/>
      </w:rPr>
      <w:t>1212</w:t>
    </w:r>
    <w:r>
      <w:rPr>
        <w:b/>
      </w:rPr>
      <w:tab/>
    </w:r>
    <w:r>
      <w:rPr>
        <w:b/>
      </w:rPr>
      <w:tab/>
    </w:r>
    <w:r w:rsidR="00127810">
      <w:rPr>
        <w:b/>
      </w:rPr>
      <w:t>January 2024</w:t>
    </w:r>
  </w:p>
  <w:p w:rsidR="006664A4" w:rsidP="00C745A7" w14:paraId="4FD486E5" w14:textId="77777777">
    <w:pPr>
      <w:pStyle w:val="Header"/>
      <w:rPr>
        <w:b/>
      </w:rPr>
    </w:pPr>
    <w:r>
      <w:rPr>
        <w:b/>
      </w:rPr>
      <w:t xml:space="preserve">SDARS </w:t>
    </w:r>
    <w:r w:rsidR="00AF7340">
      <w:rPr>
        <w:b/>
      </w:rPr>
      <w:t>P</w:t>
    </w:r>
    <w:r>
      <w:rPr>
        <w:b/>
      </w:rPr>
      <w:t xml:space="preserve">olitical </w:t>
    </w:r>
    <w:r w:rsidR="00AF7340">
      <w:rPr>
        <w:b/>
      </w:rPr>
      <w:t>B</w:t>
    </w:r>
    <w:r>
      <w:rPr>
        <w:b/>
      </w:rPr>
      <w:t xml:space="preserve">roadcasting </w:t>
    </w:r>
    <w:r w:rsidR="00AF7340">
      <w:rPr>
        <w:b/>
      </w:rPr>
      <w:t>R</w:t>
    </w:r>
    <w:r>
      <w:rPr>
        <w:b/>
      </w:rPr>
      <w:t>equirements</w:t>
    </w:r>
  </w:p>
  <w:p w:rsidR="006664A4" w:rsidRPr="00091827" w:rsidP="00C745A7" w14:paraId="2747D643" w14:textId="77777777">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64A4" w14:paraId="27B3CBF0" w14:textId="77777777">
    <w:pPr>
      <w:pStyle w:val="Header"/>
      <w:rPr>
        <w:b/>
      </w:rPr>
    </w:pPr>
    <w:r>
      <w:rPr>
        <w:b/>
      </w:rPr>
      <w:t>3060-XXXX</w:t>
    </w:r>
    <w:r>
      <w:rPr>
        <w:b/>
      </w:rPr>
      <w:tab/>
    </w:r>
    <w:r>
      <w:rPr>
        <w:b/>
      </w:rPr>
      <w:tab/>
      <w:t>July 2004</w:t>
    </w:r>
  </w:p>
  <w:p w:rsidR="006664A4" w:rsidRPr="00091827" w14:paraId="37A37FFE" w14:textId="77777777">
    <w:pPr>
      <w:pStyle w:val="Header"/>
      <w:rPr>
        <w:b/>
      </w:rPr>
    </w:pPr>
    <w:r>
      <w:rPr>
        <w:b/>
      </w:rPr>
      <w:t>Section 25.701, Direct Broadcast Satellite Public Interest Obligations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8AA0252"/>
    <w:multiLevelType w:val="multilevel"/>
    <w:tmpl w:val="3C6E92DC"/>
    <w:lvl w:ilvl="0">
      <w:start w:val="8"/>
      <w:numFmt w:val="decimal"/>
      <w:lvlText w:val="%1."/>
      <w:lvlJc w:val="left"/>
      <w:pPr>
        <w:tabs>
          <w:tab w:val="num" w:pos="720"/>
        </w:tabs>
        <w:ind w:left="1080" w:hanging="108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9B87903"/>
    <w:multiLevelType w:val="hybridMultilevel"/>
    <w:tmpl w:val="67802738"/>
    <w:lvl w:ilvl="0">
      <w:start w:val="7"/>
      <w:numFmt w:val="decimal"/>
      <w:lvlText w:val="%1."/>
      <w:lvlJc w:val="left"/>
      <w:pPr>
        <w:tabs>
          <w:tab w:val="num" w:pos="720"/>
        </w:tabs>
        <w:ind w:left="1080" w:hanging="108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C733957"/>
    <w:multiLevelType w:val="hybridMultilevel"/>
    <w:tmpl w:val="EDCC62B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0D291C15"/>
    <w:multiLevelType w:val="hybridMultilevel"/>
    <w:tmpl w:val="0E981A08"/>
    <w:lvl w:ilvl="0">
      <w:start w:val="7"/>
      <w:numFmt w:val="decimal"/>
      <w:lvlText w:val="%1."/>
      <w:lvlJc w:val="left"/>
      <w:pPr>
        <w:tabs>
          <w:tab w:val="num" w:pos="720"/>
        </w:tabs>
        <w:ind w:left="1080" w:hanging="108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F990CAD"/>
    <w:multiLevelType w:val="hybridMultilevel"/>
    <w:tmpl w:val="E5CC5C9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10A25231"/>
    <w:multiLevelType w:val="hybridMultilevel"/>
    <w:tmpl w:val="BF00F732"/>
    <w:lvl w:ilvl="0">
      <w:start w:val="7"/>
      <w:numFmt w:val="decimal"/>
      <w:lvlText w:val="%1."/>
      <w:lvlJc w:val="left"/>
      <w:pPr>
        <w:tabs>
          <w:tab w:val="num" w:pos="720"/>
        </w:tabs>
        <w:ind w:left="1080" w:hanging="108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3A97F7B"/>
    <w:multiLevelType w:val="hybridMultilevel"/>
    <w:tmpl w:val="4E020CB6"/>
    <w:lvl w:ilvl="0">
      <w:start w:val="7"/>
      <w:numFmt w:val="decimal"/>
      <w:lvlText w:val="%1."/>
      <w:lvlJc w:val="left"/>
      <w:pPr>
        <w:tabs>
          <w:tab w:val="num" w:pos="720"/>
        </w:tabs>
        <w:ind w:left="1080" w:hanging="108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B9C67E2"/>
    <w:multiLevelType w:val="hybridMultilevel"/>
    <w:tmpl w:val="C4A6C5E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BF547F4"/>
    <w:multiLevelType w:val="singleLevel"/>
    <w:tmpl w:val="34C034C6"/>
    <w:lvl w:ilvl="0">
      <w:start w:val="1"/>
      <w:numFmt w:val="decimal"/>
      <w:pStyle w:val="ParaNum"/>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10">
    <w:nsid w:val="1D073D1F"/>
    <w:multiLevelType w:val="hybridMultilevel"/>
    <w:tmpl w:val="752A2C5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D8F31A6"/>
    <w:multiLevelType w:val="hybridMultilevel"/>
    <w:tmpl w:val="DA2C6570"/>
    <w:lvl w:ilvl="0">
      <w:start w:val="7"/>
      <w:numFmt w:val="decimal"/>
      <w:lvlText w:val="%1."/>
      <w:lvlJc w:val="left"/>
      <w:pPr>
        <w:tabs>
          <w:tab w:val="num" w:pos="720"/>
        </w:tabs>
        <w:ind w:left="1080" w:hanging="108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F134ABF"/>
    <w:multiLevelType w:val="hybridMultilevel"/>
    <w:tmpl w:val="CDFE43E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6EB3DCA"/>
    <w:multiLevelType w:val="hybridMultilevel"/>
    <w:tmpl w:val="4956DBCC"/>
    <w:lvl w:ilvl="0">
      <w:start w:val="3"/>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2B4D521D"/>
    <w:multiLevelType w:val="hybridMultilevel"/>
    <w:tmpl w:val="E9447EA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E3B3EC9"/>
    <w:multiLevelType w:val="singleLevel"/>
    <w:tmpl w:val="0DEEC354"/>
    <w:lvl w:ilvl="0">
      <w:start w:val="15"/>
      <w:numFmt w:val="decimal"/>
      <w:lvlText w:val="%1."/>
      <w:lvlJc w:val="left"/>
      <w:pPr>
        <w:tabs>
          <w:tab w:val="num" w:pos="1080"/>
        </w:tabs>
        <w:ind w:left="0" w:firstLine="720"/>
      </w:pPr>
      <w:rPr>
        <w:b w:val="0"/>
        <w:i w:val="0"/>
        <w:strike w:val="0"/>
        <w:dstrike w:val="0"/>
      </w:rPr>
    </w:lvl>
  </w:abstractNum>
  <w:abstractNum w:abstractNumId="16">
    <w:nsid w:val="2EDA1A27"/>
    <w:multiLevelType w:val="hybridMultilevel"/>
    <w:tmpl w:val="0BEEEC8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30DE6503"/>
    <w:multiLevelType w:val="hybridMultilevel"/>
    <w:tmpl w:val="912CB76C"/>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3A6335A2"/>
    <w:multiLevelType w:val="singleLevel"/>
    <w:tmpl w:val="D7BCF026"/>
    <w:lvl w:ilvl="0">
      <w:start w:val="1"/>
      <w:numFmt w:val="decimal"/>
      <w:lvlText w:val="%1."/>
      <w:lvlJc w:val="left"/>
      <w:pPr>
        <w:tabs>
          <w:tab w:val="num" w:pos="1080"/>
        </w:tabs>
        <w:ind w:left="0" w:firstLine="720"/>
      </w:pPr>
      <w:rPr>
        <w:rFonts w:ascii="Times New Roman" w:hAnsi="Times New Roman" w:hint="default"/>
        <w:b w:val="0"/>
        <w:i w:val="0"/>
        <w:sz w:val="24"/>
        <w:u w:val="none"/>
      </w:rPr>
    </w:lvl>
  </w:abstractNum>
  <w:abstractNum w:abstractNumId="19">
    <w:nsid w:val="3B30609B"/>
    <w:multiLevelType w:val="hybridMultilevel"/>
    <w:tmpl w:val="AC3E5B16"/>
    <w:lvl w:ilvl="0">
      <w:start w:val="13"/>
      <w:numFmt w:val="decimal"/>
      <w:lvlText w:val="%1."/>
      <w:lvlJc w:val="left"/>
      <w:pPr>
        <w:tabs>
          <w:tab w:val="num" w:pos="288"/>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C8322F2"/>
    <w:multiLevelType w:val="singleLevel"/>
    <w:tmpl w:val="04090015"/>
    <w:lvl w:ilvl="0">
      <w:start w:val="1"/>
      <w:numFmt w:val="upperLetter"/>
      <w:lvlText w:val="%1."/>
      <w:lvlJc w:val="left"/>
      <w:pPr>
        <w:tabs>
          <w:tab w:val="num" w:pos="720"/>
        </w:tabs>
        <w:ind w:left="720" w:hanging="360"/>
      </w:pPr>
    </w:lvl>
  </w:abstractNum>
  <w:abstractNum w:abstractNumId="21">
    <w:nsid w:val="3DF46F18"/>
    <w:multiLevelType w:val="hybridMultilevel"/>
    <w:tmpl w:val="6E181666"/>
    <w:lvl w:ilvl="0">
      <w:start w:val="7"/>
      <w:numFmt w:val="decimal"/>
      <w:lvlText w:val="%1."/>
      <w:lvlJc w:val="left"/>
      <w:pPr>
        <w:tabs>
          <w:tab w:val="num" w:pos="1800"/>
        </w:tabs>
        <w:ind w:left="2160" w:hanging="1080"/>
      </w:pPr>
      <w:rPr>
        <w:rFonts w:hint="default"/>
        <w:b w:val="0"/>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nsid w:val="3F9912E3"/>
    <w:multiLevelType w:val="hybridMultilevel"/>
    <w:tmpl w:val="A2FC3FFE"/>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nsid w:val="40D271F3"/>
    <w:multiLevelType w:val="hybridMultilevel"/>
    <w:tmpl w:val="6E46D44A"/>
    <w:lvl w:ilvl="0">
      <w:start w:val="7"/>
      <w:numFmt w:val="decimal"/>
      <w:lvlText w:val="%1."/>
      <w:lvlJc w:val="left"/>
      <w:pPr>
        <w:tabs>
          <w:tab w:val="num" w:pos="1080"/>
        </w:tabs>
        <w:ind w:left="1440" w:hanging="108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41C318E7"/>
    <w:multiLevelType w:val="hybridMultilevel"/>
    <w:tmpl w:val="39D0516E"/>
    <w:lvl w:ilvl="0">
      <w:start w:val="7"/>
      <w:numFmt w:val="decimal"/>
      <w:lvlText w:val="%1."/>
      <w:lvlJc w:val="left"/>
      <w:pPr>
        <w:tabs>
          <w:tab w:val="num" w:pos="720"/>
        </w:tabs>
        <w:ind w:left="1080" w:hanging="108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2527CF7"/>
    <w:multiLevelType w:val="hybridMultilevel"/>
    <w:tmpl w:val="E66A2B3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4F4E2D87"/>
    <w:multiLevelType w:val="hybridMultilevel"/>
    <w:tmpl w:val="A8649ADE"/>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0D66769"/>
    <w:multiLevelType w:val="hybridMultilevel"/>
    <w:tmpl w:val="E85A8B0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24865C1"/>
    <w:multiLevelType w:val="hybridMultilevel"/>
    <w:tmpl w:val="CD804E3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5352784"/>
    <w:multiLevelType w:val="hybridMultilevel"/>
    <w:tmpl w:val="76203A20"/>
    <w:lvl w:ilvl="0">
      <w:start w:val="7"/>
      <w:numFmt w:val="decimal"/>
      <w:lvlText w:val="%1."/>
      <w:lvlJc w:val="left"/>
      <w:pPr>
        <w:tabs>
          <w:tab w:val="num" w:pos="720"/>
        </w:tabs>
        <w:ind w:left="1080" w:hanging="108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6B65F81"/>
    <w:multiLevelType w:val="hybridMultilevel"/>
    <w:tmpl w:val="335EF7BC"/>
    <w:lvl w:ilvl="0">
      <w:start w:val="7"/>
      <w:numFmt w:val="decimal"/>
      <w:lvlText w:val="%1."/>
      <w:lvlJc w:val="left"/>
      <w:pPr>
        <w:tabs>
          <w:tab w:val="num" w:pos="720"/>
        </w:tabs>
        <w:ind w:left="1080" w:hanging="108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AC92BA9"/>
    <w:multiLevelType w:val="hybridMultilevel"/>
    <w:tmpl w:val="F4446A9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D803B23"/>
    <w:multiLevelType w:val="multilevel"/>
    <w:tmpl w:val="3C6E92DC"/>
    <w:lvl w:ilvl="0">
      <w:start w:val="8"/>
      <w:numFmt w:val="decimal"/>
      <w:lvlText w:val="%1."/>
      <w:lvlJc w:val="left"/>
      <w:pPr>
        <w:tabs>
          <w:tab w:val="num" w:pos="720"/>
        </w:tabs>
        <w:ind w:left="1080" w:hanging="108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F7E2780"/>
    <w:multiLevelType w:val="hybridMultilevel"/>
    <w:tmpl w:val="093C88AA"/>
    <w:lvl w:ilvl="0">
      <w:start w:val="1"/>
      <w:numFmt w:val="lowerLetter"/>
      <w:lvlText w:val="(%1)"/>
      <w:lvlJc w:val="left"/>
      <w:pPr>
        <w:tabs>
          <w:tab w:val="num" w:pos="1152"/>
        </w:tabs>
        <w:ind w:left="1152" w:hanging="432"/>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4">
    <w:nsid w:val="631612DE"/>
    <w:multiLevelType w:val="hybridMultilevel"/>
    <w:tmpl w:val="1CF8A4FC"/>
    <w:lvl w:ilvl="0">
      <w:start w:val="7"/>
      <w:numFmt w:val="decimal"/>
      <w:lvlText w:val="%1."/>
      <w:lvlJc w:val="left"/>
      <w:pPr>
        <w:tabs>
          <w:tab w:val="num" w:pos="1080"/>
        </w:tabs>
        <w:ind w:left="1440" w:hanging="108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nsid w:val="6A9A6089"/>
    <w:multiLevelType w:val="multilevel"/>
    <w:tmpl w:val="3C6E92DC"/>
    <w:lvl w:ilvl="0">
      <w:start w:val="8"/>
      <w:numFmt w:val="decimal"/>
      <w:lvlText w:val="%1."/>
      <w:lvlJc w:val="left"/>
      <w:pPr>
        <w:tabs>
          <w:tab w:val="num" w:pos="720"/>
        </w:tabs>
        <w:ind w:left="1080" w:hanging="108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C802F27"/>
    <w:multiLevelType w:val="hybridMultilevel"/>
    <w:tmpl w:val="50D0A944"/>
    <w:lvl w:ilvl="0">
      <w:start w:val="7"/>
      <w:numFmt w:val="decimal"/>
      <w:lvlText w:val="%1."/>
      <w:lvlJc w:val="left"/>
      <w:pPr>
        <w:tabs>
          <w:tab w:val="num" w:pos="1080"/>
        </w:tabs>
        <w:ind w:left="1440" w:hanging="108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nsid w:val="6CD31680"/>
    <w:multiLevelType w:val="hybridMultilevel"/>
    <w:tmpl w:val="D374A47A"/>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D6C0FC5"/>
    <w:multiLevelType w:val="hybridMultilevel"/>
    <w:tmpl w:val="4CEEC9AC"/>
    <w:lvl w:ilvl="0">
      <w:start w:val="1"/>
      <w:numFmt w:val="lowerLetter"/>
      <w:lvlText w:val="(%1)"/>
      <w:lvlJc w:val="left"/>
      <w:pPr>
        <w:tabs>
          <w:tab w:val="num" w:pos="1440"/>
        </w:tabs>
        <w:ind w:left="1512" w:hanging="43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FAC71BB"/>
    <w:multiLevelType w:val="hybridMultilevel"/>
    <w:tmpl w:val="BCE64F3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nsid w:val="6FE027CC"/>
    <w:multiLevelType w:val="hybridMultilevel"/>
    <w:tmpl w:val="0C9E5C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0BF1912"/>
    <w:multiLevelType w:val="singleLevel"/>
    <w:tmpl w:val="7BAA8486"/>
    <w:lvl w:ilvl="0">
      <w:start w:val="13"/>
      <w:numFmt w:val="decimal"/>
      <w:lvlText w:val="%1."/>
      <w:lvlJc w:val="left"/>
      <w:pPr>
        <w:tabs>
          <w:tab w:val="num" w:pos="720"/>
        </w:tabs>
        <w:ind w:left="1080" w:hanging="1080"/>
      </w:pPr>
      <w:rPr>
        <w:rFonts w:hint="default"/>
        <w:b w:val="0"/>
        <w:i w:val="0"/>
        <w:strike w:val="0"/>
        <w:dstrike w:val="0"/>
      </w:rPr>
    </w:lvl>
  </w:abstractNum>
  <w:abstractNum w:abstractNumId="42">
    <w:nsid w:val="71D672BE"/>
    <w:multiLevelType w:val="hybridMultilevel"/>
    <w:tmpl w:val="15A01F98"/>
    <w:lvl w:ilvl="0">
      <w:start w:val="1"/>
      <w:numFmt w:val="decimal"/>
      <w:lvlText w:val="%1."/>
      <w:lvlJc w:val="left"/>
      <w:pPr>
        <w:tabs>
          <w:tab w:val="num" w:pos="720"/>
        </w:tabs>
        <w:ind w:left="720" w:hanging="360"/>
      </w:pPr>
      <w:rPr>
        <w:rFonts w:hint="default"/>
      </w:rPr>
    </w:lvl>
    <w:lvl w:ilvl="1">
      <w:start w:val="7"/>
      <w:numFmt w:val="decimal"/>
      <w:lvlText w:val="%2."/>
      <w:lvlJc w:val="left"/>
      <w:pPr>
        <w:tabs>
          <w:tab w:val="num" w:pos="1800"/>
        </w:tabs>
        <w:ind w:left="2160" w:hanging="1080"/>
      </w:pPr>
      <w:rPr>
        <w:rFonts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37062F6"/>
    <w:multiLevelType w:val="hybridMultilevel"/>
    <w:tmpl w:val="A50E8B3A"/>
    <w:lvl w:ilvl="0">
      <w:start w:val="7"/>
      <w:numFmt w:val="decimal"/>
      <w:lvlText w:val="%1."/>
      <w:lvlJc w:val="left"/>
      <w:pPr>
        <w:tabs>
          <w:tab w:val="num" w:pos="720"/>
        </w:tabs>
        <w:ind w:left="1080" w:hanging="108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447150E"/>
    <w:multiLevelType w:val="hybridMultilevel"/>
    <w:tmpl w:val="C2C811B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9377D28"/>
    <w:multiLevelType w:val="hybridMultilevel"/>
    <w:tmpl w:val="76D08E32"/>
    <w:lvl w:ilvl="0">
      <w:start w:val="7"/>
      <w:numFmt w:val="decimal"/>
      <w:lvlText w:val="%1."/>
      <w:lvlJc w:val="left"/>
      <w:pPr>
        <w:tabs>
          <w:tab w:val="num" w:pos="1080"/>
        </w:tabs>
        <w:ind w:left="1440" w:hanging="108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nsid w:val="7B095889"/>
    <w:multiLevelType w:val="multilevel"/>
    <w:tmpl w:val="3C6E92DC"/>
    <w:lvl w:ilvl="0">
      <w:start w:val="8"/>
      <w:numFmt w:val="decimal"/>
      <w:lvlText w:val="%1."/>
      <w:lvlJc w:val="left"/>
      <w:pPr>
        <w:tabs>
          <w:tab w:val="num" w:pos="720"/>
        </w:tabs>
        <w:ind w:left="1080" w:hanging="108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C6461F7"/>
    <w:multiLevelType w:val="hybridMultilevel"/>
    <w:tmpl w:val="2708CA5E"/>
    <w:lvl w:ilvl="0">
      <w:start w:val="7"/>
      <w:numFmt w:val="decimal"/>
      <w:lvlText w:val="%1."/>
      <w:lvlJc w:val="left"/>
      <w:pPr>
        <w:tabs>
          <w:tab w:val="num" w:pos="1080"/>
        </w:tabs>
        <w:ind w:left="1440" w:hanging="108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08445244">
    <w:abstractNumId w:val="20"/>
  </w:num>
  <w:num w:numId="2" w16cid:durableId="990251929">
    <w:abstractNumId w:val="9"/>
  </w:num>
  <w:num w:numId="3" w16cid:durableId="919750514">
    <w:abstractNumId w:val="18"/>
  </w:num>
  <w:num w:numId="4" w16cid:durableId="784538983">
    <w:abstractNumId w:val="41"/>
  </w:num>
  <w:num w:numId="5" w16cid:durableId="1323433994">
    <w:abstractNumId w:val="15"/>
  </w:num>
  <w:num w:numId="6" w16cid:durableId="1679384908">
    <w:abstractNumId w:val="7"/>
  </w:num>
  <w:num w:numId="7" w16cid:durableId="1068111725">
    <w:abstractNumId w:val="5"/>
  </w:num>
  <w:num w:numId="8" w16cid:durableId="1420448272">
    <w:abstractNumId w:val="46"/>
  </w:num>
  <w:num w:numId="9" w16cid:durableId="15547041">
    <w:abstractNumId w:val="3"/>
  </w:num>
  <w:num w:numId="10" w16cid:durableId="1268385470">
    <w:abstractNumId w:val="35"/>
  </w:num>
  <w:num w:numId="11" w16cid:durableId="764226449">
    <w:abstractNumId w:val="19"/>
  </w:num>
  <w:num w:numId="12" w16cid:durableId="1068456331">
    <w:abstractNumId w:val="1"/>
  </w:num>
  <w:num w:numId="13" w16cid:durableId="1895434537">
    <w:abstractNumId w:val="32"/>
  </w:num>
  <w:num w:numId="14" w16cid:durableId="611398566">
    <w:abstractNumId w:val="0"/>
  </w:num>
  <w:num w:numId="15" w16cid:durableId="1708673569">
    <w:abstractNumId w:val="8"/>
  </w:num>
  <w:num w:numId="16" w16cid:durableId="342783638">
    <w:abstractNumId w:val="37"/>
  </w:num>
  <w:num w:numId="17" w16cid:durableId="2124496978">
    <w:abstractNumId w:val="12"/>
  </w:num>
  <w:num w:numId="18" w16cid:durableId="169564852">
    <w:abstractNumId w:val="16"/>
  </w:num>
  <w:num w:numId="19" w16cid:durableId="1325432016">
    <w:abstractNumId w:val="38"/>
  </w:num>
  <w:num w:numId="20" w16cid:durableId="1149401305">
    <w:abstractNumId w:val="33"/>
  </w:num>
  <w:num w:numId="21" w16cid:durableId="1198547676">
    <w:abstractNumId w:val="13"/>
  </w:num>
  <w:num w:numId="22" w16cid:durableId="554320414">
    <w:abstractNumId w:val="31"/>
  </w:num>
  <w:num w:numId="23" w16cid:durableId="1918664011">
    <w:abstractNumId w:val="22"/>
  </w:num>
  <w:num w:numId="24" w16cid:durableId="1481774009">
    <w:abstractNumId w:val="14"/>
  </w:num>
  <w:num w:numId="25" w16cid:durableId="531455843">
    <w:abstractNumId w:val="28"/>
  </w:num>
  <w:num w:numId="26" w16cid:durableId="301736929">
    <w:abstractNumId w:val="44"/>
  </w:num>
  <w:num w:numId="27" w16cid:durableId="788819810">
    <w:abstractNumId w:val="26"/>
  </w:num>
  <w:num w:numId="28" w16cid:durableId="948049024">
    <w:abstractNumId w:val="27"/>
  </w:num>
  <w:num w:numId="29" w16cid:durableId="2118870986">
    <w:abstractNumId w:val="40"/>
  </w:num>
  <w:num w:numId="30" w16cid:durableId="1224415766">
    <w:abstractNumId w:val="42"/>
  </w:num>
  <w:num w:numId="31" w16cid:durableId="1190022239">
    <w:abstractNumId w:val="10"/>
  </w:num>
  <w:num w:numId="32" w16cid:durableId="579411597">
    <w:abstractNumId w:val="21"/>
  </w:num>
  <w:num w:numId="33" w16cid:durableId="1930845998">
    <w:abstractNumId w:val="34"/>
  </w:num>
  <w:num w:numId="34" w16cid:durableId="1216313891">
    <w:abstractNumId w:val="36"/>
  </w:num>
  <w:num w:numId="35" w16cid:durableId="1493721532">
    <w:abstractNumId w:val="11"/>
  </w:num>
  <w:num w:numId="36" w16cid:durableId="560559280">
    <w:abstractNumId w:val="2"/>
  </w:num>
  <w:num w:numId="37" w16cid:durableId="562764527">
    <w:abstractNumId w:val="4"/>
  </w:num>
  <w:num w:numId="38" w16cid:durableId="857818522">
    <w:abstractNumId w:val="43"/>
  </w:num>
  <w:num w:numId="39" w16cid:durableId="368336848">
    <w:abstractNumId w:val="29"/>
  </w:num>
  <w:num w:numId="40" w16cid:durableId="1761564835">
    <w:abstractNumId w:val="6"/>
  </w:num>
  <w:num w:numId="41" w16cid:durableId="895513425">
    <w:abstractNumId w:val="47"/>
  </w:num>
  <w:num w:numId="42" w16cid:durableId="1135488878">
    <w:abstractNumId w:val="45"/>
  </w:num>
  <w:num w:numId="43" w16cid:durableId="293798230">
    <w:abstractNumId w:val="30"/>
  </w:num>
  <w:num w:numId="44" w16cid:durableId="1906407920">
    <w:abstractNumId w:val="24"/>
  </w:num>
  <w:num w:numId="45" w16cid:durableId="194395652">
    <w:abstractNumId w:val="23"/>
  </w:num>
  <w:num w:numId="46" w16cid:durableId="298921040">
    <w:abstractNumId w:val="25"/>
  </w:num>
  <w:num w:numId="47" w16cid:durableId="1463496532">
    <w:abstractNumId w:val="39"/>
  </w:num>
  <w:num w:numId="48" w16cid:durableId="19306519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7043"/>
    <w:rsid w:val="00014BB0"/>
    <w:rsid w:val="00020398"/>
    <w:rsid w:val="00020CD1"/>
    <w:rsid w:val="00036779"/>
    <w:rsid w:val="00043A2C"/>
    <w:rsid w:val="00046B46"/>
    <w:rsid w:val="00047643"/>
    <w:rsid w:val="00054211"/>
    <w:rsid w:val="00056421"/>
    <w:rsid w:val="000603A9"/>
    <w:rsid w:val="000623CF"/>
    <w:rsid w:val="000643A7"/>
    <w:rsid w:val="000648D5"/>
    <w:rsid w:val="00064F7D"/>
    <w:rsid w:val="00065116"/>
    <w:rsid w:val="000667E6"/>
    <w:rsid w:val="00076654"/>
    <w:rsid w:val="00084850"/>
    <w:rsid w:val="00091827"/>
    <w:rsid w:val="00094E39"/>
    <w:rsid w:val="000958EC"/>
    <w:rsid w:val="000A3C4A"/>
    <w:rsid w:val="000A5011"/>
    <w:rsid w:val="000B07C2"/>
    <w:rsid w:val="000B151F"/>
    <w:rsid w:val="000B1661"/>
    <w:rsid w:val="000B2752"/>
    <w:rsid w:val="000C7337"/>
    <w:rsid w:val="000E2DEE"/>
    <w:rsid w:val="000F1E2F"/>
    <w:rsid w:val="00102186"/>
    <w:rsid w:val="00105606"/>
    <w:rsid w:val="00106301"/>
    <w:rsid w:val="0010774B"/>
    <w:rsid w:val="00122D41"/>
    <w:rsid w:val="00126C44"/>
    <w:rsid w:val="00127810"/>
    <w:rsid w:val="0013134B"/>
    <w:rsid w:val="00132032"/>
    <w:rsid w:val="001337EB"/>
    <w:rsid w:val="00147BBC"/>
    <w:rsid w:val="00170937"/>
    <w:rsid w:val="00171C8E"/>
    <w:rsid w:val="00172F9E"/>
    <w:rsid w:val="0018054B"/>
    <w:rsid w:val="00191EA1"/>
    <w:rsid w:val="00195AFA"/>
    <w:rsid w:val="001A5B9E"/>
    <w:rsid w:val="001A66AA"/>
    <w:rsid w:val="001B35D7"/>
    <w:rsid w:val="001B380A"/>
    <w:rsid w:val="001B50EF"/>
    <w:rsid w:val="001B55DD"/>
    <w:rsid w:val="001C10A9"/>
    <w:rsid w:val="001C287F"/>
    <w:rsid w:val="001C3BAF"/>
    <w:rsid w:val="001C3DF7"/>
    <w:rsid w:val="001C7E15"/>
    <w:rsid w:val="001E0AAE"/>
    <w:rsid w:val="001E3FFB"/>
    <w:rsid w:val="001E504F"/>
    <w:rsid w:val="001E7B15"/>
    <w:rsid w:val="001F12E5"/>
    <w:rsid w:val="002037AB"/>
    <w:rsid w:val="00225CAE"/>
    <w:rsid w:val="002311B5"/>
    <w:rsid w:val="00237431"/>
    <w:rsid w:val="002404E1"/>
    <w:rsid w:val="002408C1"/>
    <w:rsid w:val="0025338D"/>
    <w:rsid w:val="00257C90"/>
    <w:rsid w:val="00276186"/>
    <w:rsid w:val="002864EA"/>
    <w:rsid w:val="002879A7"/>
    <w:rsid w:val="0029127E"/>
    <w:rsid w:val="002A1FE9"/>
    <w:rsid w:val="002B19A1"/>
    <w:rsid w:val="002B66F3"/>
    <w:rsid w:val="002C179F"/>
    <w:rsid w:val="002D1867"/>
    <w:rsid w:val="002D6866"/>
    <w:rsid w:val="002E0B25"/>
    <w:rsid w:val="002E5DBD"/>
    <w:rsid w:val="002F34D9"/>
    <w:rsid w:val="00304908"/>
    <w:rsid w:val="00314DE0"/>
    <w:rsid w:val="003325B3"/>
    <w:rsid w:val="00337B15"/>
    <w:rsid w:val="00343A8D"/>
    <w:rsid w:val="0035037D"/>
    <w:rsid w:val="003604EA"/>
    <w:rsid w:val="003618B4"/>
    <w:rsid w:val="00363BC2"/>
    <w:rsid w:val="00365E38"/>
    <w:rsid w:val="00372CB3"/>
    <w:rsid w:val="0038203C"/>
    <w:rsid w:val="00382A6C"/>
    <w:rsid w:val="00386D36"/>
    <w:rsid w:val="00390E87"/>
    <w:rsid w:val="00396B20"/>
    <w:rsid w:val="003A1BB4"/>
    <w:rsid w:val="003A25CA"/>
    <w:rsid w:val="003A5DA7"/>
    <w:rsid w:val="003B05D1"/>
    <w:rsid w:val="003B383D"/>
    <w:rsid w:val="003B6D4B"/>
    <w:rsid w:val="003C6437"/>
    <w:rsid w:val="003D14FC"/>
    <w:rsid w:val="003E60DB"/>
    <w:rsid w:val="003F29C5"/>
    <w:rsid w:val="003F323F"/>
    <w:rsid w:val="003F4669"/>
    <w:rsid w:val="003F4CDE"/>
    <w:rsid w:val="00404470"/>
    <w:rsid w:val="00405662"/>
    <w:rsid w:val="004069E7"/>
    <w:rsid w:val="0041288C"/>
    <w:rsid w:val="0042189C"/>
    <w:rsid w:val="00424DBC"/>
    <w:rsid w:val="00431299"/>
    <w:rsid w:val="0043138D"/>
    <w:rsid w:val="004329EA"/>
    <w:rsid w:val="004424C8"/>
    <w:rsid w:val="00452B49"/>
    <w:rsid w:val="00452B5B"/>
    <w:rsid w:val="00464F42"/>
    <w:rsid w:val="00467CE9"/>
    <w:rsid w:val="00471D22"/>
    <w:rsid w:val="0047273D"/>
    <w:rsid w:val="004777BC"/>
    <w:rsid w:val="004827E4"/>
    <w:rsid w:val="0048557B"/>
    <w:rsid w:val="00486925"/>
    <w:rsid w:val="00487732"/>
    <w:rsid w:val="00492F8F"/>
    <w:rsid w:val="004A0BD6"/>
    <w:rsid w:val="004A2210"/>
    <w:rsid w:val="004B632E"/>
    <w:rsid w:val="004B6A0F"/>
    <w:rsid w:val="004C0BCB"/>
    <w:rsid w:val="004C21A2"/>
    <w:rsid w:val="004E2BFE"/>
    <w:rsid w:val="004E5C31"/>
    <w:rsid w:val="004F0F96"/>
    <w:rsid w:val="00502B7B"/>
    <w:rsid w:val="00505CBC"/>
    <w:rsid w:val="00511570"/>
    <w:rsid w:val="005222BA"/>
    <w:rsid w:val="005234C1"/>
    <w:rsid w:val="00540B92"/>
    <w:rsid w:val="00543C8D"/>
    <w:rsid w:val="00553F1B"/>
    <w:rsid w:val="00561058"/>
    <w:rsid w:val="00565860"/>
    <w:rsid w:val="00565C3A"/>
    <w:rsid w:val="00570271"/>
    <w:rsid w:val="005703DB"/>
    <w:rsid w:val="00573034"/>
    <w:rsid w:val="00580AEE"/>
    <w:rsid w:val="005856D3"/>
    <w:rsid w:val="00586C57"/>
    <w:rsid w:val="0059047D"/>
    <w:rsid w:val="005929CC"/>
    <w:rsid w:val="00595F47"/>
    <w:rsid w:val="00596CFE"/>
    <w:rsid w:val="0059791A"/>
    <w:rsid w:val="005B2D76"/>
    <w:rsid w:val="005C1708"/>
    <w:rsid w:val="005C43C4"/>
    <w:rsid w:val="005C4759"/>
    <w:rsid w:val="005D5E26"/>
    <w:rsid w:val="005E2864"/>
    <w:rsid w:val="005F34DC"/>
    <w:rsid w:val="00600A43"/>
    <w:rsid w:val="006011CD"/>
    <w:rsid w:val="00607FBA"/>
    <w:rsid w:val="00634485"/>
    <w:rsid w:val="0064046D"/>
    <w:rsid w:val="00645C21"/>
    <w:rsid w:val="00647D96"/>
    <w:rsid w:val="0065063C"/>
    <w:rsid w:val="00657363"/>
    <w:rsid w:val="00660542"/>
    <w:rsid w:val="006664A4"/>
    <w:rsid w:val="006740B6"/>
    <w:rsid w:val="0067533E"/>
    <w:rsid w:val="006773E0"/>
    <w:rsid w:val="006A3648"/>
    <w:rsid w:val="006C2077"/>
    <w:rsid w:val="006C4B34"/>
    <w:rsid w:val="006C56D5"/>
    <w:rsid w:val="006D525C"/>
    <w:rsid w:val="006E1EA5"/>
    <w:rsid w:val="006F23BD"/>
    <w:rsid w:val="006F2EEA"/>
    <w:rsid w:val="006F2FF2"/>
    <w:rsid w:val="006F4473"/>
    <w:rsid w:val="00701A97"/>
    <w:rsid w:val="00716840"/>
    <w:rsid w:val="007271F9"/>
    <w:rsid w:val="00731BA6"/>
    <w:rsid w:val="00736361"/>
    <w:rsid w:val="0074267A"/>
    <w:rsid w:val="00744A17"/>
    <w:rsid w:val="00746046"/>
    <w:rsid w:val="00752DE2"/>
    <w:rsid w:val="007559AE"/>
    <w:rsid w:val="00755B9D"/>
    <w:rsid w:val="007632ED"/>
    <w:rsid w:val="00771EDA"/>
    <w:rsid w:val="007754A3"/>
    <w:rsid w:val="00790699"/>
    <w:rsid w:val="00792925"/>
    <w:rsid w:val="007929C5"/>
    <w:rsid w:val="007964DA"/>
    <w:rsid w:val="007A055B"/>
    <w:rsid w:val="007A6262"/>
    <w:rsid w:val="007B1729"/>
    <w:rsid w:val="007B280A"/>
    <w:rsid w:val="007D3322"/>
    <w:rsid w:val="007E5A3F"/>
    <w:rsid w:val="007E5E3B"/>
    <w:rsid w:val="007E5EED"/>
    <w:rsid w:val="007E70A1"/>
    <w:rsid w:val="007F1854"/>
    <w:rsid w:val="007F3670"/>
    <w:rsid w:val="008001F5"/>
    <w:rsid w:val="008012A3"/>
    <w:rsid w:val="00804B88"/>
    <w:rsid w:val="00813C3A"/>
    <w:rsid w:val="00816460"/>
    <w:rsid w:val="00817079"/>
    <w:rsid w:val="008228E1"/>
    <w:rsid w:val="00826506"/>
    <w:rsid w:val="00830A88"/>
    <w:rsid w:val="008320CD"/>
    <w:rsid w:val="00835511"/>
    <w:rsid w:val="008408DF"/>
    <w:rsid w:val="00840A39"/>
    <w:rsid w:val="00841AAA"/>
    <w:rsid w:val="00843D71"/>
    <w:rsid w:val="00854264"/>
    <w:rsid w:val="00854E30"/>
    <w:rsid w:val="008629ED"/>
    <w:rsid w:val="00862FA0"/>
    <w:rsid w:val="00876AFB"/>
    <w:rsid w:val="00880E9E"/>
    <w:rsid w:val="00890630"/>
    <w:rsid w:val="00892DB0"/>
    <w:rsid w:val="008A4276"/>
    <w:rsid w:val="008C4926"/>
    <w:rsid w:val="008D0E06"/>
    <w:rsid w:val="008D1334"/>
    <w:rsid w:val="008D1658"/>
    <w:rsid w:val="008D369D"/>
    <w:rsid w:val="008D7710"/>
    <w:rsid w:val="008E110B"/>
    <w:rsid w:val="008F19EF"/>
    <w:rsid w:val="008F24A5"/>
    <w:rsid w:val="008F7365"/>
    <w:rsid w:val="009044EF"/>
    <w:rsid w:val="00907D34"/>
    <w:rsid w:val="009138F2"/>
    <w:rsid w:val="0091398F"/>
    <w:rsid w:val="00915566"/>
    <w:rsid w:val="00933437"/>
    <w:rsid w:val="00934D16"/>
    <w:rsid w:val="009362CD"/>
    <w:rsid w:val="009379EB"/>
    <w:rsid w:val="00943A66"/>
    <w:rsid w:val="00964E7D"/>
    <w:rsid w:val="00965BE0"/>
    <w:rsid w:val="00975113"/>
    <w:rsid w:val="0097777D"/>
    <w:rsid w:val="0098005B"/>
    <w:rsid w:val="00981DAC"/>
    <w:rsid w:val="009863FD"/>
    <w:rsid w:val="00987340"/>
    <w:rsid w:val="00995454"/>
    <w:rsid w:val="009A16C1"/>
    <w:rsid w:val="009B1510"/>
    <w:rsid w:val="009C1CB2"/>
    <w:rsid w:val="009C2373"/>
    <w:rsid w:val="009C6D29"/>
    <w:rsid w:val="009D250C"/>
    <w:rsid w:val="009E15A6"/>
    <w:rsid w:val="009E18D5"/>
    <w:rsid w:val="009E4DFE"/>
    <w:rsid w:val="009E7657"/>
    <w:rsid w:val="009F0035"/>
    <w:rsid w:val="009F050A"/>
    <w:rsid w:val="009F1D8D"/>
    <w:rsid w:val="009F37F3"/>
    <w:rsid w:val="00A2406E"/>
    <w:rsid w:val="00A30AB9"/>
    <w:rsid w:val="00A30E6C"/>
    <w:rsid w:val="00A31520"/>
    <w:rsid w:val="00A31AD0"/>
    <w:rsid w:val="00A4703F"/>
    <w:rsid w:val="00A54EFA"/>
    <w:rsid w:val="00A56E91"/>
    <w:rsid w:val="00A6219A"/>
    <w:rsid w:val="00A741DF"/>
    <w:rsid w:val="00A84DD4"/>
    <w:rsid w:val="00A86A9F"/>
    <w:rsid w:val="00A92FA4"/>
    <w:rsid w:val="00A97DDB"/>
    <w:rsid w:val="00AA2478"/>
    <w:rsid w:val="00AA2E19"/>
    <w:rsid w:val="00AA5974"/>
    <w:rsid w:val="00AA5F69"/>
    <w:rsid w:val="00AB071E"/>
    <w:rsid w:val="00AD05A5"/>
    <w:rsid w:val="00AD0B02"/>
    <w:rsid w:val="00AD3E1B"/>
    <w:rsid w:val="00AE4E5E"/>
    <w:rsid w:val="00AE62B4"/>
    <w:rsid w:val="00AF2C85"/>
    <w:rsid w:val="00AF48D1"/>
    <w:rsid w:val="00AF7340"/>
    <w:rsid w:val="00B01C16"/>
    <w:rsid w:val="00B11178"/>
    <w:rsid w:val="00B11BE2"/>
    <w:rsid w:val="00B16F59"/>
    <w:rsid w:val="00B25A9F"/>
    <w:rsid w:val="00B31ABD"/>
    <w:rsid w:val="00B34C76"/>
    <w:rsid w:val="00B37C72"/>
    <w:rsid w:val="00B5245A"/>
    <w:rsid w:val="00B55A74"/>
    <w:rsid w:val="00B56709"/>
    <w:rsid w:val="00B575FB"/>
    <w:rsid w:val="00B611B4"/>
    <w:rsid w:val="00B62025"/>
    <w:rsid w:val="00B736D2"/>
    <w:rsid w:val="00B73B34"/>
    <w:rsid w:val="00B978E1"/>
    <w:rsid w:val="00B97B6E"/>
    <w:rsid w:val="00BA055A"/>
    <w:rsid w:val="00BA1075"/>
    <w:rsid w:val="00BA2196"/>
    <w:rsid w:val="00BA30F1"/>
    <w:rsid w:val="00BB10DD"/>
    <w:rsid w:val="00BC25A0"/>
    <w:rsid w:val="00BD4E6F"/>
    <w:rsid w:val="00BE7814"/>
    <w:rsid w:val="00BF0ABF"/>
    <w:rsid w:val="00BF536B"/>
    <w:rsid w:val="00BF6806"/>
    <w:rsid w:val="00C12C46"/>
    <w:rsid w:val="00C177EC"/>
    <w:rsid w:val="00C23526"/>
    <w:rsid w:val="00C36A93"/>
    <w:rsid w:val="00C457C2"/>
    <w:rsid w:val="00C50CA6"/>
    <w:rsid w:val="00C52ACA"/>
    <w:rsid w:val="00C54142"/>
    <w:rsid w:val="00C569E1"/>
    <w:rsid w:val="00C6201C"/>
    <w:rsid w:val="00C65212"/>
    <w:rsid w:val="00C745A7"/>
    <w:rsid w:val="00C76707"/>
    <w:rsid w:val="00C77540"/>
    <w:rsid w:val="00C95322"/>
    <w:rsid w:val="00CA3251"/>
    <w:rsid w:val="00CA43C4"/>
    <w:rsid w:val="00CA4EC5"/>
    <w:rsid w:val="00CB3369"/>
    <w:rsid w:val="00CC1AA6"/>
    <w:rsid w:val="00CF3174"/>
    <w:rsid w:val="00CF3C18"/>
    <w:rsid w:val="00CF48CE"/>
    <w:rsid w:val="00CF57F4"/>
    <w:rsid w:val="00D03BB1"/>
    <w:rsid w:val="00D041AC"/>
    <w:rsid w:val="00D061A7"/>
    <w:rsid w:val="00D25222"/>
    <w:rsid w:val="00D40A20"/>
    <w:rsid w:val="00D4632A"/>
    <w:rsid w:val="00D473C0"/>
    <w:rsid w:val="00D50D62"/>
    <w:rsid w:val="00D57EC2"/>
    <w:rsid w:val="00D618EA"/>
    <w:rsid w:val="00D63B03"/>
    <w:rsid w:val="00D86673"/>
    <w:rsid w:val="00D87C69"/>
    <w:rsid w:val="00D9174C"/>
    <w:rsid w:val="00D95E82"/>
    <w:rsid w:val="00DA038D"/>
    <w:rsid w:val="00DA1EDF"/>
    <w:rsid w:val="00DA2FD8"/>
    <w:rsid w:val="00DB1697"/>
    <w:rsid w:val="00DB7535"/>
    <w:rsid w:val="00DC74C9"/>
    <w:rsid w:val="00DD5C9E"/>
    <w:rsid w:val="00DE2CAF"/>
    <w:rsid w:val="00DF4D94"/>
    <w:rsid w:val="00E01441"/>
    <w:rsid w:val="00E11699"/>
    <w:rsid w:val="00E164B5"/>
    <w:rsid w:val="00E3148E"/>
    <w:rsid w:val="00E40ED0"/>
    <w:rsid w:val="00E46477"/>
    <w:rsid w:val="00E52458"/>
    <w:rsid w:val="00E5327E"/>
    <w:rsid w:val="00E55900"/>
    <w:rsid w:val="00E56A88"/>
    <w:rsid w:val="00E64390"/>
    <w:rsid w:val="00E85783"/>
    <w:rsid w:val="00E85DBA"/>
    <w:rsid w:val="00E865B4"/>
    <w:rsid w:val="00E911CD"/>
    <w:rsid w:val="00EA04EE"/>
    <w:rsid w:val="00EB57F7"/>
    <w:rsid w:val="00EC200D"/>
    <w:rsid w:val="00EC350B"/>
    <w:rsid w:val="00EC54B3"/>
    <w:rsid w:val="00F01EA4"/>
    <w:rsid w:val="00F07CF6"/>
    <w:rsid w:val="00F11086"/>
    <w:rsid w:val="00F2713F"/>
    <w:rsid w:val="00F303E2"/>
    <w:rsid w:val="00F37C6D"/>
    <w:rsid w:val="00F53B35"/>
    <w:rsid w:val="00F66F9C"/>
    <w:rsid w:val="00F73202"/>
    <w:rsid w:val="00F821C8"/>
    <w:rsid w:val="00F828A9"/>
    <w:rsid w:val="00F92D1B"/>
    <w:rsid w:val="00F95C40"/>
    <w:rsid w:val="00FA144A"/>
    <w:rsid w:val="00FA1575"/>
    <w:rsid w:val="00FA2C54"/>
    <w:rsid w:val="00FB3A3D"/>
    <w:rsid w:val="00FB4F5C"/>
    <w:rsid w:val="00FB52D4"/>
    <w:rsid w:val="00FB6076"/>
    <w:rsid w:val="00FB6D40"/>
    <w:rsid w:val="00FC0A1F"/>
    <w:rsid w:val="00FC171A"/>
    <w:rsid w:val="00FC3191"/>
    <w:rsid w:val="00FD31E0"/>
    <w:rsid w:val="00FD7AF0"/>
    <w:rsid w:val="00FE6CC8"/>
    <w:rsid w:val="00FF5F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3D09ED"/>
  <w15:chartTrackingRefBased/>
  <w15:docId w15:val="{3CA73799-7574-44C3-B876-97CA4778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5FD2"/>
    <w:rPr>
      <w:sz w:val="24"/>
    </w:rPr>
  </w:style>
  <w:style w:type="paragraph" w:styleId="Heading1">
    <w:name w:val="heading 1"/>
    <w:basedOn w:val="Normal"/>
    <w:next w:val="Normal"/>
    <w:qFormat/>
    <w:rsid w:val="00F07CF6"/>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F07CF6"/>
    <w:pPr>
      <w:numPr>
        <w:numId w:val="2"/>
      </w:numPr>
      <w:tabs>
        <w:tab w:val="left" w:pos="-1440"/>
        <w:tab w:val="left" w:pos="-720"/>
        <w:tab w:val="num" w:pos="720"/>
        <w:tab w:val="clear" w:pos="1080"/>
      </w:tabs>
      <w:suppressAutoHyphens/>
      <w:spacing w:after="240"/>
    </w:pPr>
    <w:rPr>
      <w:sz w:val="22"/>
    </w:rPr>
  </w:style>
  <w:style w:type="paragraph" w:styleId="Footer">
    <w:name w:val="footer"/>
    <w:basedOn w:val="Normal"/>
    <w:rsid w:val="00F07CF6"/>
    <w:pPr>
      <w:tabs>
        <w:tab w:val="center" w:pos="4320"/>
        <w:tab w:val="right" w:pos="8640"/>
      </w:tabs>
    </w:pPr>
  </w:style>
  <w:style w:type="character" w:styleId="PageNumber">
    <w:name w:val="page number"/>
    <w:basedOn w:val="DefaultParagraphFont"/>
    <w:rsid w:val="00F07CF6"/>
  </w:style>
  <w:style w:type="paragraph" w:styleId="BlockText">
    <w:name w:val="Block Text"/>
    <w:basedOn w:val="Normal"/>
    <w:rsid w:val="00F07CF6"/>
    <w:pPr>
      <w:ind w:left="-576" w:right="144" w:firstLine="576"/>
    </w:pPr>
  </w:style>
  <w:style w:type="paragraph" w:styleId="FootnoteText">
    <w:name w:val="footnote text"/>
    <w:basedOn w:val="Normal"/>
    <w:semiHidden/>
    <w:rsid w:val="00F07CF6"/>
    <w:rPr>
      <w:sz w:val="20"/>
    </w:rPr>
  </w:style>
  <w:style w:type="character" w:styleId="FootnoteReference">
    <w:name w:val="footnote reference"/>
    <w:semiHidden/>
    <w:rsid w:val="00F07CF6"/>
    <w:rPr>
      <w:vertAlign w:val="superscript"/>
    </w:rPr>
  </w:style>
  <w:style w:type="paragraph" w:styleId="Header">
    <w:name w:val="header"/>
    <w:basedOn w:val="Normal"/>
    <w:rsid w:val="00F07CF6"/>
    <w:pPr>
      <w:tabs>
        <w:tab w:val="center" w:pos="4320"/>
        <w:tab w:val="right" w:pos="8640"/>
      </w:tabs>
    </w:pPr>
  </w:style>
  <w:style w:type="character" w:styleId="EndnoteReference">
    <w:name w:val="endnote reference"/>
    <w:semiHidden/>
    <w:rsid w:val="002F34D9"/>
    <w:rPr>
      <w:vertAlign w:val="superscript"/>
    </w:rPr>
  </w:style>
  <w:style w:type="paragraph" w:styleId="BalloonText">
    <w:name w:val="Balloon Text"/>
    <w:basedOn w:val="Normal"/>
    <w:semiHidden/>
    <w:rsid w:val="009C1CB2"/>
    <w:rPr>
      <w:rFonts w:ascii="Tahoma" w:hAnsi="Tahoma" w:cs="Tahoma"/>
      <w:sz w:val="16"/>
      <w:szCs w:val="16"/>
    </w:rPr>
  </w:style>
  <w:style w:type="paragraph" w:styleId="HTMLPreformatted">
    <w:name w:val="HTML Preformatted"/>
    <w:basedOn w:val="Normal"/>
    <w:rsid w:val="00D46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footnotetex">
    <w:name w:val="footnote tex"/>
    <w:rsid w:val="00E11699"/>
    <w:rPr>
      <w:rFonts w:ascii="CG Times" w:hAnsi="CG Times"/>
      <w:noProof w:val="0"/>
      <w:sz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35F93-BEAE-4418-A1DC-AC028AD0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Rita.McDonald</dc:creator>
  <cp:lastModifiedBy>Cathy Williams</cp:lastModifiedBy>
  <cp:revision>3</cp:revision>
  <cp:lastPrinted>2023-09-05T15:04:00Z</cp:lastPrinted>
  <dcterms:created xsi:type="dcterms:W3CDTF">2023-11-02T21:19:00Z</dcterms:created>
  <dcterms:modified xsi:type="dcterms:W3CDTF">2024-01-13T02:04:00Z</dcterms:modified>
</cp:coreProperties>
</file>