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CA6" w:rsidP="00606CA6" w14:paraId="7C48CBB3" w14:textId="7F62CA99">
      <w:pPr>
        <w:jc w:val="right"/>
        <w:rPr>
          <w:b/>
        </w:rPr>
      </w:pPr>
      <w:r>
        <w:rPr>
          <w:b/>
        </w:rPr>
        <w:t>OMB 3060-</w:t>
      </w:r>
      <w:r w:rsidR="007C4F10">
        <w:rPr>
          <w:b/>
        </w:rPr>
        <w:t>XXXX</w:t>
      </w:r>
    </w:p>
    <w:p w:rsidR="00606CA6" w:rsidP="00606CA6" w14:paraId="0FBB7E87" w14:textId="6EC99523">
      <w:pPr>
        <w:jc w:val="right"/>
        <w:rPr>
          <w:b/>
        </w:rPr>
      </w:pPr>
      <w:r>
        <w:rPr>
          <w:b/>
        </w:rPr>
        <w:t>October 2022</w:t>
      </w:r>
    </w:p>
    <w:p w:rsidR="00606CA6" w:rsidP="00606CA6" w14:paraId="26F1B51F" w14:textId="77777777">
      <w:pPr>
        <w:jc w:val="right"/>
        <w:rPr>
          <w:b/>
        </w:rPr>
      </w:pPr>
    </w:p>
    <w:p w:rsidR="00606CA6" w:rsidRPr="007C4F10" w:rsidP="004F51B0" w14:paraId="21BE22F5" w14:textId="7C86D3E7">
      <w:pPr>
        <w:jc w:val="center"/>
        <w:rPr>
          <w:b/>
          <w:bCs/>
        </w:rPr>
      </w:pPr>
      <w:r w:rsidRPr="007C4F10">
        <w:rPr>
          <w:b/>
          <w:bCs/>
        </w:rPr>
        <w:t>New</w:t>
      </w:r>
      <w:r w:rsidRPr="007C4F10">
        <w:rPr>
          <w:b/>
          <w:bCs/>
        </w:rPr>
        <w:t xml:space="preserve"> collection entitled:  </w:t>
      </w:r>
      <w:r w:rsidRPr="007C4F10">
        <w:rPr>
          <w:b/>
          <w:bCs/>
        </w:rPr>
        <w:t xml:space="preserve">Performance Evaluation of Numbering </w:t>
      </w:r>
      <w:r w:rsidRPr="007C4F10" w:rsidR="00407C34">
        <w:rPr>
          <w:b/>
          <w:bCs/>
        </w:rPr>
        <w:t xml:space="preserve">Administration </w:t>
      </w:r>
      <w:r w:rsidRPr="007C4F10">
        <w:rPr>
          <w:b/>
          <w:bCs/>
        </w:rPr>
        <w:t>Vendor(s)</w:t>
      </w:r>
    </w:p>
    <w:p w:rsidR="00606CA6" w:rsidP="00606CA6" w14:paraId="164FC96E" w14:textId="77777777">
      <w:pPr>
        <w:rPr>
          <w:b/>
        </w:rPr>
      </w:pPr>
    </w:p>
    <w:p w:rsidR="00606CA6" w:rsidRPr="00E41DD4" w:rsidP="00606CA6" w14:paraId="0DEF2BD3" w14:textId="77777777">
      <w:pPr>
        <w:rPr>
          <w:b/>
          <w:u w:val="single"/>
        </w:rPr>
      </w:pPr>
      <w:r w:rsidRPr="00E41DD4">
        <w:rPr>
          <w:b/>
          <w:u w:val="single"/>
        </w:rPr>
        <w:t>Part B:  Collections of Information Employing Statistical Methods:</w:t>
      </w:r>
    </w:p>
    <w:p w:rsidR="00606CA6" w:rsidP="00606CA6" w14:paraId="2B70ED3C" w14:textId="77777777">
      <w:pPr>
        <w:jc w:val="right"/>
      </w:pPr>
      <w:r>
        <w:rPr>
          <w:b/>
          <w:sz w:val="28"/>
          <w:szCs w:val="28"/>
        </w:rPr>
        <w:tab/>
      </w:r>
      <w:r>
        <w:rPr>
          <w:b/>
          <w:sz w:val="28"/>
          <w:szCs w:val="28"/>
        </w:rPr>
        <w:tab/>
      </w:r>
    </w:p>
    <w:p w:rsidR="00606CA6" w:rsidP="00606CA6" w14:paraId="2649D763" w14:textId="77777777">
      <w:pPr>
        <w:tabs>
          <w:tab w:val="num" w:pos="0"/>
        </w:tabs>
        <w:autoSpaceDE w:val="0"/>
        <w:autoSpaceDN w:val="0"/>
        <w:adjustRightInd w:val="0"/>
        <w:rPr>
          <w:i/>
        </w:rPr>
      </w:pPr>
      <w:r w:rsidRPr="008958C2">
        <w:t xml:space="preserve">1. </w:t>
      </w:r>
      <w:r w:rsidRPr="008958C2">
        <w:rPr>
          <w:i/>
        </w:rPr>
        <w:t>Describe (including a numerical estimate) the potential respondent universe and any sampling or other respondent selection methods to be used. Data on the number of entities (e.g., establishments, State and local government units, households, or persons)in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06CA6" w:rsidP="00606CA6" w14:paraId="79D8BA77" w14:textId="77777777">
      <w:pPr>
        <w:tabs>
          <w:tab w:val="num" w:pos="0"/>
        </w:tabs>
        <w:autoSpaceDE w:val="0"/>
        <w:autoSpaceDN w:val="0"/>
        <w:adjustRightInd w:val="0"/>
        <w:rPr>
          <w:i/>
        </w:rPr>
      </w:pPr>
    </w:p>
    <w:p w:rsidR="0068156D" w:rsidP="00C71488" w14:paraId="52A314F3" w14:textId="7B950CB6">
      <w:pPr>
        <w:rPr>
          <w:rFonts w:eastAsia="Calibri"/>
        </w:rPr>
      </w:pPr>
      <w:r>
        <w:rPr>
          <w:rFonts w:eastAsia="Calibri"/>
        </w:rPr>
        <w:t>This collection of information does not employ statistical method</w:t>
      </w:r>
      <w:r w:rsidR="001B30FE">
        <w:rPr>
          <w:rFonts w:eastAsia="Calibri"/>
        </w:rPr>
        <w:t>s</w:t>
      </w:r>
      <w:r w:rsidR="00F71B3F">
        <w:rPr>
          <w:rFonts w:eastAsia="Calibri"/>
        </w:rPr>
        <w:t>, including sampling. Nevertheless, the information contained in this Part B of the supporting statement is included to better understand the design and purpose of the survey</w:t>
      </w:r>
      <w:r w:rsidR="00C21FE1">
        <w:rPr>
          <w:rFonts w:eastAsia="Calibri"/>
        </w:rPr>
        <w:t>s</w:t>
      </w:r>
      <w:r w:rsidR="00F71B3F">
        <w:rPr>
          <w:rFonts w:eastAsia="Calibri"/>
        </w:rPr>
        <w:t>.</w:t>
      </w:r>
    </w:p>
    <w:p w:rsidR="0068156D" w:rsidP="00C71488" w14:paraId="00BDEE7D" w14:textId="77777777">
      <w:pPr>
        <w:rPr>
          <w:rFonts w:eastAsia="Calibri"/>
        </w:rPr>
      </w:pPr>
    </w:p>
    <w:p w:rsidR="00C71488" w:rsidP="00C71488" w14:paraId="365243B4" w14:textId="55678DF6">
      <w:pPr>
        <w:rPr>
          <w:rFonts w:ascii="TimesNewRomanPSMT" w:hAnsi="TimesNewRomanPSMT"/>
        </w:rPr>
      </w:pPr>
      <w:r w:rsidRPr="005424F8">
        <w:rPr>
          <w:rFonts w:eastAsia="Calibri"/>
        </w:rPr>
        <w:t xml:space="preserve">The target population for </w:t>
      </w:r>
      <w:r>
        <w:rPr>
          <w:rFonts w:eastAsia="Calibri"/>
        </w:rPr>
        <w:t>these</w:t>
      </w:r>
      <w:r w:rsidRPr="005424F8">
        <w:rPr>
          <w:rFonts w:eastAsia="Calibri"/>
        </w:rPr>
        <w:t xml:space="preserve"> </w:t>
      </w:r>
      <w:r>
        <w:rPr>
          <w:rFonts w:eastAsia="Calibri"/>
        </w:rPr>
        <w:t xml:space="preserve">surveys are the provider and non-providers users of the </w:t>
      </w:r>
      <w:r>
        <w:rPr>
          <w:rFonts w:ascii="TimesNewRomanPSMT" w:hAnsi="TimesNewRomanPSMT"/>
        </w:rPr>
        <w:t>NANPA/PA/RNA/RNDA</w:t>
      </w:r>
      <w:r>
        <w:rPr>
          <w:rFonts w:eastAsia="Calibri"/>
        </w:rPr>
        <w:t xml:space="preserve"> and state regulator representatives interacting with the </w:t>
      </w:r>
      <w:r>
        <w:rPr>
          <w:rFonts w:ascii="TimesNewRomanPSMT" w:hAnsi="TimesNewRomanPSMT"/>
        </w:rPr>
        <w:t xml:space="preserve">NANPA/PA/RNA.  </w:t>
      </w:r>
    </w:p>
    <w:p w:rsidR="00C71488" w:rsidP="00C71488" w14:paraId="60FAA2F9" w14:textId="0A4B110A">
      <w:pPr>
        <w:rPr>
          <w:rFonts w:ascii="TimesNewRomanPSMT" w:hAnsi="TimesNewRomanPSMT"/>
        </w:rPr>
      </w:pPr>
    </w:p>
    <w:p w:rsidR="00C71488" w:rsidRPr="00F564B0" w:rsidP="00C71488" w14:paraId="3F1121CC" w14:textId="44C4A270">
      <w:pPr>
        <w:rPr>
          <w:rStyle w:val="apple-converted-space"/>
          <w:color w:val="000000"/>
        </w:rPr>
      </w:pPr>
      <w:r>
        <w:rPr>
          <w:color w:val="000000"/>
        </w:rPr>
        <w:t>There are approximately</w:t>
      </w:r>
      <w:r w:rsidR="00DD3942">
        <w:rPr>
          <w:color w:val="000000"/>
        </w:rPr>
        <w:t xml:space="preserve"> </w:t>
      </w:r>
      <w:r w:rsidRPr="00F564B0">
        <w:rPr>
          <w:color w:val="000000"/>
        </w:rPr>
        <w:t>1,490 active NANPA</w:t>
      </w:r>
      <w:r>
        <w:rPr>
          <w:color w:val="000000"/>
        </w:rPr>
        <w:t>/PA/RNA</w:t>
      </w:r>
      <w:r w:rsidRPr="00F564B0">
        <w:rPr>
          <w:color w:val="000000"/>
        </w:rPr>
        <w:t xml:space="preserve"> users that are service providers</w:t>
      </w:r>
      <w:r>
        <w:rPr>
          <w:rStyle w:val="apple-converted-space"/>
          <w:color w:val="000000"/>
        </w:rPr>
        <w:t xml:space="preserve">, </w:t>
      </w:r>
    </w:p>
    <w:p w:rsidR="00C94137" w:rsidP="00C71488" w14:paraId="2158E826" w14:textId="77777777">
      <w:r w:rsidRPr="00F564B0">
        <w:rPr>
          <w:rStyle w:val="apple-converted-space"/>
          <w:color w:val="000000"/>
        </w:rPr>
        <w:t>52 representatives of state and territorial regulatory agencies</w:t>
      </w:r>
      <w:r>
        <w:rPr>
          <w:rStyle w:val="apple-converted-space"/>
          <w:color w:val="000000"/>
        </w:rPr>
        <w:t xml:space="preserve"> that interact with the </w:t>
      </w:r>
      <w:r w:rsidRPr="00F564B0">
        <w:rPr>
          <w:color w:val="000000"/>
        </w:rPr>
        <w:t>NANPA</w:t>
      </w:r>
      <w:r>
        <w:rPr>
          <w:color w:val="000000"/>
        </w:rPr>
        <w:t>/PA/RNA</w:t>
      </w:r>
      <w:r>
        <w:rPr>
          <w:rStyle w:val="apple-converted-space"/>
          <w:color w:val="000000"/>
        </w:rPr>
        <w:t xml:space="preserve"> and 7</w:t>
      </w:r>
      <w:r w:rsidRPr="00F564B0">
        <w:t xml:space="preserve">9 active </w:t>
      </w:r>
      <w:r w:rsidRPr="00F564B0">
        <w:rPr>
          <w:color w:val="000000"/>
        </w:rPr>
        <w:t>NANPA</w:t>
      </w:r>
      <w:r>
        <w:rPr>
          <w:color w:val="000000"/>
        </w:rPr>
        <w:t>/PA/RNA</w:t>
      </w:r>
      <w:r w:rsidRPr="00F564B0">
        <w:rPr>
          <w:color w:val="000000"/>
        </w:rPr>
        <w:t xml:space="preserve"> </w:t>
      </w:r>
      <w:r w:rsidRPr="00F564B0">
        <w:t xml:space="preserve">users that are neither service providers nor representatives of state and territorial regulatory agencies. </w:t>
      </w:r>
      <w:r>
        <w:t xml:space="preserve"> </w:t>
      </w:r>
      <w:r w:rsidR="004F51B0">
        <w:t xml:space="preserve"> </w:t>
      </w:r>
    </w:p>
    <w:p w:rsidR="00C94137" w:rsidP="00C71488" w14:paraId="18F0F144" w14:textId="77777777"/>
    <w:p w:rsidR="00C71488" w:rsidP="00C71488" w14:paraId="0227D7B4" w14:textId="7796E0D3">
      <w:r>
        <w:t>Each of these entities will receive three emails inviting them to fill out one NANPA survey, one PA survey and one RNA survey at the electronic portal.</w:t>
      </w:r>
    </w:p>
    <w:p w:rsidR="004F51B0" w:rsidP="00C71488" w14:paraId="71B742DA" w14:textId="1E8C912B"/>
    <w:p w:rsidR="004F51B0" w:rsidRPr="004F51B0" w:rsidP="004F51B0" w14:paraId="6A2F026F" w14:textId="313E97A4">
      <w:pPr>
        <w:rPr>
          <w:rStyle w:val="apple-converted-space"/>
        </w:rPr>
      </w:pPr>
      <w:r>
        <w:t xml:space="preserve">There are approximately </w:t>
      </w:r>
      <w:r>
        <w:rPr>
          <w:color w:val="000000"/>
        </w:rPr>
        <w:t>1,060</w:t>
      </w:r>
      <w:r w:rsidRPr="00F564B0">
        <w:rPr>
          <w:color w:val="000000"/>
        </w:rPr>
        <w:t xml:space="preserve"> active </w:t>
      </w:r>
      <w:r>
        <w:rPr>
          <w:color w:val="000000"/>
        </w:rPr>
        <w:t>RNDA</w:t>
      </w:r>
      <w:r w:rsidRPr="00F564B0">
        <w:rPr>
          <w:color w:val="000000"/>
        </w:rPr>
        <w:t xml:space="preserve"> users that are service providers</w:t>
      </w:r>
      <w:r w:rsidR="004D5C58">
        <w:rPr>
          <w:color w:val="000000"/>
        </w:rPr>
        <w:t xml:space="preserve"> and</w:t>
      </w:r>
      <w:r w:rsidRPr="00F564B0">
        <w:rPr>
          <w:rStyle w:val="apple-converted-space"/>
          <w:color w:val="000000"/>
        </w:rPr>
        <w:t> </w:t>
      </w:r>
    </w:p>
    <w:p w:rsidR="004F51B0" w:rsidP="004F51B0" w14:paraId="3BAC135C" w14:textId="06ACF829">
      <w:r>
        <w:t>238</w:t>
      </w:r>
      <w:r w:rsidRPr="00F564B0">
        <w:t xml:space="preserve"> active </w:t>
      </w:r>
      <w:r>
        <w:t>RNDA</w:t>
      </w:r>
      <w:r w:rsidRPr="00F564B0">
        <w:t xml:space="preserve"> users that are </w:t>
      </w:r>
      <w:r>
        <w:t xml:space="preserve">not service providers. Each of these entities will receive one email inviting them to fill out one RNDA survey at the electronic portal. </w:t>
      </w:r>
    </w:p>
    <w:p w:rsidR="004F51B0" w:rsidP="00C71488" w14:paraId="7E31B42C" w14:textId="53D9E81B"/>
    <w:p w:rsidR="004F51B0" w:rsidP="00C71488" w14:paraId="69AA31D7" w14:textId="0216FAC0">
      <w:r>
        <w:t xml:space="preserve">It is expected that the response rate will be </w:t>
      </w:r>
      <w:r w:rsidR="00670CF4">
        <w:t xml:space="preserve">approximately 40 percent. </w:t>
      </w:r>
    </w:p>
    <w:p w:rsidR="00C71488" w:rsidP="00C71488" w14:paraId="40A76567" w14:textId="70E9E606"/>
    <w:p w:rsidR="00C71488" w:rsidRPr="00F564B0" w:rsidP="00C71488" w14:paraId="582A6A91" w14:textId="77777777"/>
    <w:p w:rsidR="00C71488" w:rsidP="00C71488" w14:paraId="7CD9534B" w14:textId="77777777">
      <w:pPr>
        <w:rPr>
          <w:rFonts w:ascii="TimesNewRomanPSMT" w:hAnsi="TimesNewRomanPSMT"/>
        </w:rPr>
      </w:pPr>
    </w:p>
    <w:p w:rsidR="00C71488" w:rsidP="00C71488" w14:paraId="2388925E" w14:textId="1EE2E2B3">
      <w:pPr>
        <w:rPr>
          <w:rFonts w:ascii="TimesNewRomanPSMT" w:hAnsi="TimesNewRomanPSMT"/>
        </w:rPr>
      </w:pPr>
    </w:p>
    <w:p w:rsidR="00C71488" w:rsidP="00C71488" w14:paraId="011FB08B" w14:textId="77777777">
      <w:pPr>
        <w:rPr>
          <w:rFonts w:ascii="TimesNewRomanPSMT" w:hAnsi="TimesNewRomanPSMT"/>
        </w:rPr>
      </w:pPr>
    </w:p>
    <w:p w:rsidR="00C71488" w:rsidRPr="00C71488" w:rsidP="00C71488" w14:paraId="56DCBA75" w14:textId="77777777">
      <w:pPr>
        <w:rPr>
          <w:rStyle w:val="apple-converted-space"/>
          <w:rFonts w:eastAsia="Calibri"/>
        </w:rPr>
      </w:pPr>
    </w:p>
    <w:p w:rsidR="00606CA6" w:rsidRPr="008958C2" w:rsidP="00606CA6" w14:paraId="3B9F9833" w14:textId="77777777">
      <w:pPr>
        <w:tabs>
          <w:tab w:val="num" w:pos="0"/>
        </w:tabs>
        <w:autoSpaceDE w:val="0"/>
        <w:autoSpaceDN w:val="0"/>
        <w:adjustRightInd w:val="0"/>
        <w:rPr>
          <w:i/>
        </w:rPr>
      </w:pPr>
      <w:r>
        <w:rPr>
          <w:rFonts w:ascii="Calibri" w:hAnsi="Calibri"/>
        </w:rPr>
        <w:br w:type="page"/>
      </w:r>
      <w:r w:rsidRPr="008958C2">
        <w:t xml:space="preserve">2. </w:t>
      </w:r>
      <w:r>
        <w:t xml:space="preserve"> </w:t>
      </w:r>
      <w:r w:rsidRPr="008958C2">
        <w:rPr>
          <w:i/>
        </w:rPr>
        <w:t>Describe the procedures for the collection of information including:</w:t>
      </w:r>
    </w:p>
    <w:p w:rsidR="00606CA6" w:rsidRPr="008958C2" w:rsidP="00606CA6" w14:paraId="749EB311" w14:textId="77777777">
      <w:pPr>
        <w:tabs>
          <w:tab w:val="num" w:pos="0"/>
        </w:tabs>
        <w:autoSpaceDE w:val="0"/>
        <w:autoSpaceDN w:val="0"/>
        <w:adjustRightInd w:val="0"/>
        <w:rPr>
          <w:i/>
        </w:rPr>
      </w:pPr>
    </w:p>
    <w:p w:rsidR="00606CA6" w:rsidRPr="008958C2" w:rsidP="00606CA6" w14:paraId="07488B84" w14:textId="77777777">
      <w:pPr>
        <w:numPr>
          <w:ilvl w:val="0"/>
          <w:numId w:val="1"/>
        </w:numPr>
        <w:tabs>
          <w:tab w:val="num" w:pos="0"/>
        </w:tabs>
        <w:autoSpaceDE w:val="0"/>
        <w:autoSpaceDN w:val="0"/>
        <w:adjustRightInd w:val="0"/>
        <w:ind w:left="0" w:firstLine="0"/>
        <w:rPr>
          <w:i/>
        </w:rPr>
      </w:pPr>
      <w:r w:rsidRPr="008958C2">
        <w:rPr>
          <w:i/>
        </w:rPr>
        <w:t>Statistical methodology for stratification and sample selection,</w:t>
      </w:r>
    </w:p>
    <w:p w:rsidR="00606CA6" w:rsidRPr="008958C2" w:rsidP="00606CA6" w14:paraId="051CEFA5" w14:textId="77777777">
      <w:pPr>
        <w:numPr>
          <w:ilvl w:val="0"/>
          <w:numId w:val="1"/>
        </w:numPr>
        <w:tabs>
          <w:tab w:val="num" w:pos="0"/>
        </w:tabs>
        <w:autoSpaceDE w:val="0"/>
        <w:autoSpaceDN w:val="0"/>
        <w:adjustRightInd w:val="0"/>
        <w:ind w:left="0" w:firstLine="0"/>
        <w:rPr>
          <w:i/>
        </w:rPr>
      </w:pPr>
      <w:r w:rsidRPr="008958C2">
        <w:rPr>
          <w:i/>
        </w:rPr>
        <w:t>Estimation procedure,</w:t>
      </w:r>
    </w:p>
    <w:p w:rsidR="00606CA6" w:rsidRPr="008958C2" w:rsidP="00606CA6" w14:paraId="42223242" w14:textId="77777777">
      <w:pPr>
        <w:numPr>
          <w:ilvl w:val="0"/>
          <w:numId w:val="1"/>
        </w:numPr>
        <w:tabs>
          <w:tab w:val="num" w:pos="0"/>
        </w:tabs>
        <w:autoSpaceDE w:val="0"/>
        <w:autoSpaceDN w:val="0"/>
        <w:adjustRightInd w:val="0"/>
        <w:ind w:left="0" w:firstLine="0"/>
        <w:rPr>
          <w:i/>
        </w:rPr>
      </w:pPr>
      <w:r w:rsidRPr="008958C2">
        <w:rPr>
          <w:i/>
        </w:rPr>
        <w:t>Degree of accuracy needed for the purpose described in the justification,</w:t>
      </w:r>
    </w:p>
    <w:p w:rsidR="00606CA6" w:rsidRPr="008958C2" w:rsidP="00606CA6" w14:paraId="34EED2FD" w14:textId="77777777">
      <w:pPr>
        <w:numPr>
          <w:ilvl w:val="0"/>
          <w:numId w:val="1"/>
        </w:numPr>
        <w:tabs>
          <w:tab w:val="num" w:pos="0"/>
        </w:tabs>
        <w:autoSpaceDE w:val="0"/>
        <w:autoSpaceDN w:val="0"/>
        <w:adjustRightInd w:val="0"/>
        <w:ind w:left="0" w:firstLine="0"/>
        <w:rPr>
          <w:i/>
        </w:rPr>
      </w:pPr>
      <w:r w:rsidRPr="008958C2">
        <w:rPr>
          <w:i/>
        </w:rPr>
        <w:t>Unusual problems requiring specialized sampling procedures, and</w:t>
      </w:r>
    </w:p>
    <w:p w:rsidR="00606CA6" w:rsidP="00606CA6" w14:paraId="4920F28D" w14:textId="77777777">
      <w:pPr>
        <w:numPr>
          <w:ilvl w:val="0"/>
          <w:numId w:val="1"/>
        </w:numPr>
        <w:tabs>
          <w:tab w:val="num" w:pos="0"/>
        </w:tabs>
        <w:autoSpaceDE w:val="0"/>
        <w:autoSpaceDN w:val="0"/>
        <w:adjustRightInd w:val="0"/>
        <w:ind w:left="0" w:firstLine="0"/>
        <w:rPr>
          <w:i/>
        </w:rPr>
      </w:pPr>
      <w:r w:rsidRPr="008958C2">
        <w:rPr>
          <w:i/>
        </w:rPr>
        <w:t>Any use of periodic (less frequent than annual) data collection cycles to reduce burden.</w:t>
      </w:r>
    </w:p>
    <w:p w:rsidR="00606CA6" w:rsidP="00606CA6" w14:paraId="1005DF5F" w14:textId="77777777">
      <w:pPr>
        <w:autoSpaceDE w:val="0"/>
        <w:autoSpaceDN w:val="0"/>
        <w:adjustRightInd w:val="0"/>
        <w:rPr>
          <w:i/>
        </w:rPr>
      </w:pPr>
    </w:p>
    <w:p w:rsidR="00C87768" w:rsidP="00606CA6" w14:paraId="2F0EEDF5" w14:textId="2C55DEE1">
      <w:pPr>
        <w:spacing w:after="150" w:line="279" w:lineRule="exact"/>
        <w:rPr>
          <w:rFonts w:eastAsia="Calibri"/>
        </w:rPr>
      </w:pPr>
      <w:r>
        <w:rPr>
          <w:rFonts w:eastAsia="Calibri"/>
        </w:rPr>
        <w:t xml:space="preserve">The survey does not use a statistical </w:t>
      </w:r>
      <w:r w:rsidR="00F71B3F">
        <w:rPr>
          <w:rFonts w:eastAsia="Calibri"/>
        </w:rPr>
        <w:t>methodology</w:t>
      </w:r>
      <w:r w:rsidR="001B30FE">
        <w:rPr>
          <w:rFonts w:eastAsia="Calibri"/>
        </w:rPr>
        <w:t>.</w:t>
      </w:r>
    </w:p>
    <w:p w:rsidR="00C87768" w:rsidP="00606CA6" w14:paraId="448F9BCF" w14:textId="39CC60C5">
      <w:pPr>
        <w:spacing w:after="150" w:line="279" w:lineRule="exact"/>
        <w:rPr>
          <w:rFonts w:eastAsia="Calibri"/>
        </w:rPr>
      </w:pPr>
      <w:r>
        <w:rPr>
          <w:rFonts w:eastAsia="Calibri"/>
        </w:rPr>
        <w:t xml:space="preserve">Some of the questions ask for a response on a numeric scale, while others ask for qualitative “fill-in-the-blank” responses. </w:t>
      </w:r>
    </w:p>
    <w:p w:rsidR="00C87768" w:rsidP="00606CA6" w14:paraId="4B344ACC" w14:textId="6D209F31">
      <w:pPr>
        <w:spacing w:after="150" w:line="279" w:lineRule="exact"/>
        <w:rPr>
          <w:rFonts w:ascii="TimesNewRomanPSMT" w:hAnsi="TimesNewRomanPSMT"/>
        </w:rPr>
      </w:pPr>
      <w:r>
        <w:rPr>
          <w:rFonts w:eastAsia="Calibri"/>
        </w:rPr>
        <w:t xml:space="preserve">The NAOWG </w:t>
      </w:r>
      <w:r>
        <w:rPr>
          <w:rFonts w:eastAsia="Calibri"/>
        </w:rPr>
        <w:t>will direct the vendor(s) to send emails to the target population described above, inviting them to go to the web portal to fill out the surveys.  Each member of the target population will receive a separate email for each survey they are the target population for.  For example, if an entity is in the target population for all four administrators (</w:t>
      </w:r>
      <w:r>
        <w:rPr>
          <w:rFonts w:ascii="TimesNewRomanPSMT" w:hAnsi="TimesNewRomanPSMT"/>
        </w:rPr>
        <w:t xml:space="preserve">NANPA/PA/RNA/RNDA), it will receive four separate emails, each </w:t>
      </w:r>
      <w:r w:rsidR="0068156D">
        <w:rPr>
          <w:rFonts w:ascii="TimesNewRomanPSMT" w:hAnsi="TimesNewRomanPSMT"/>
        </w:rPr>
        <w:t>with</w:t>
      </w:r>
      <w:r>
        <w:rPr>
          <w:rFonts w:ascii="TimesNewRomanPSMT" w:hAnsi="TimesNewRomanPSMT"/>
        </w:rPr>
        <w:t xml:space="preserve"> a separate link to </w:t>
      </w:r>
      <w:r w:rsidR="0068156D">
        <w:rPr>
          <w:rFonts w:ascii="TimesNewRomanPSMT" w:hAnsi="TimesNewRomanPSMT"/>
        </w:rPr>
        <w:t>a</w:t>
      </w:r>
      <w:r>
        <w:rPr>
          <w:rFonts w:ascii="TimesNewRomanPSMT" w:hAnsi="TimesNewRomanPSMT"/>
        </w:rPr>
        <w:t xml:space="preserve"> </w:t>
      </w:r>
      <w:r w:rsidR="0068156D">
        <w:rPr>
          <w:rFonts w:ascii="TimesNewRomanPSMT" w:hAnsi="TimesNewRomanPSMT"/>
        </w:rPr>
        <w:t xml:space="preserve">different </w:t>
      </w:r>
      <w:r w:rsidR="003C6069">
        <w:rPr>
          <w:rFonts w:ascii="TimesNewRomanPSMT" w:hAnsi="TimesNewRomanPSMT"/>
        </w:rPr>
        <w:t>survey</w:t>
      </w:r>
      <w:r w:rsidR="0068156D">
        <w:rPr>
          <w:rFonts w:ascii="TimesNewRomanPSMT" w:hAnsi="TimesNewRomanPSMT"/>
        </w:rPr>
        <w:t xml:space="preserve">. </w:t>
      </w:r>
    </w:p>
    <w:p w:rsidR="00C87768" w:rsidP="00606CA6" w14:paraId="496CBA12" w14:textId="2C999598">
      <w:pPr>
        <w:spacing w:after="150" w:line="279" w:lineRule="exact"/>
        <w:rPr>
          <w:rFonts w:ascii="TimesNewRomanPSMT" w:hAnsi="TimesNewRomanPSMT"/>
        </w:rPr>
      </w:pPr>
      <w:r>
        <w:rPr>
          <w:rFonts w:ascii="TimesNewRomanPSMT" w:hAnsi="TimesNewRomanPSMT"/>
        </w:rPr>
        <w:t xml:space="preserve">There is no </w:t>
      </w:r>
      <w:r w:rsidR="00CB3B41">
        <w:rPr>
          <w:rFonts w:ascii="TimesNewRomanPSMT" w:hAnsi="TimesNewRomanPSMT"/>
        </w:rPr>
        <w:t xml:space="preserve">specific degree of accuracy necessary for the purpose described in the justification.  </w:t>
      </w:r>
      <w:r w:rsidR="0068156D">
        <w:rPr>
          <w:rFonts w:ascii="TimesNewRomanPSMT" w:hAnsi="TimesNewRomanPSMT"/>
        </w:rPr>
        <w:t>For example, b</w:t>
      </w:r>
      <w:r w:rsidR="00CB3B41">
        <w:rPr>
          <w:rFonts w:ascii="TimesNewRomanPSMT" w:hAnsi="TimesNewRomanPSMT"/>
        </w:rPr>
        <w:t xml:space="preserve">ecause of the qualitative nature of some of the questions, the NAOWG will need to examine the detail provided in the response and the areas covered in order to determine the extent to which it satisfies the purpose described in the justification.  </w:t>
      </w:r>
    </w:p>
    <w:p w:rsidR="00C87768" w:rsidP="00606CA6" w14:paraId="49104EDF" w14:textId="77777777">
      <w:pPr>
        <w:spacing w:after="150" w:line="279" w:lineRule="exact"/>
        <w:rPr>
          <w:rFonts w:ascii="TimesNewRomanPSMT" w:hAnsi="TimesNewRomanPSMT"/>
        </w:rPr>
      </w:pPr>
    </w:p>
    <w:p w:rsidR="00606CA6" w:rsidRPr="005424F8" w:rsidP="00C87768" w14:paraId="468DD0B7" w14:textId="28102282">
      <w:pPr>
        <w:spacing w:after="150" w:line="279" w:lineRule="exact"/>
      </w:pPr>
      <w:r>
        <w:rPr>
          <w:rFonts w:eastAsia="Calibri"/>
        </w:rPr>
        <w:t xml:space="preserve">  </w:t>
      </w:r>
    </w:p>
    <w:p w:rsidR="00FA21ED" w:rsidP="00FA21ED" w14:paraId="498CE7ED" w14:textId="77777777">
      <w:pPr>
        <w:tabs>
          <w:tab w:val="num" w:pos="0"/>
        </w:tabs>
        <w:autoSpaceDE w:val="0"/>
        <w:autoSpaceDN w:val="0"/>
        <w:adjustRightInd w:val="0"/>
        <w:rPr>
          <w:b/>
        </w:rPr>
      </w:pPr>
    </w:p>
    <w:p w:rsidR="00606CA6" w:rsidRPr="005424F8" w:rsidP="00606CA6" w14:paraId="2950B334" w14:textId="77777777"/>
    <w:p w:rsidR="00656D6F" w14:paraId="17F79601" w14:textId="77777777">
      <w:r>
        <w:br w:type="page"/>
      </w:r>
    </w:p>
    <w:p w:rsidR="00606CA6" w:rsidP="00606CA6" w14:paraId="10425C1D" w14:textId="469E4874">
      <w:pPr>
        <w:rPr>
          <w:i/>
        </w:rPr>
      </w:pPr>
      <w:r w:rsidRPr="008958C2">
        <w:t xml:space="preserve">3. </w:t>
      </w:r>
      <w:r>
        <w:t xml:space="preserve"> </w:t>
      </w:r>
      <w:r w:rsidRPr="008958C2">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70CF4" w:rsidP="00606CA6" w14:paraId="414E6688" w14:textId="77C03875">
      <w:pPr>
        <w:rPr>
          <w:i/>
        </w:rPr>
      </w:pPr>
    </w:p>
    <w:p w:rsidR="00670CF4" w:rsidRPr="00670CF4" w:rsidP="00606CA6" w14:paraId="2442E488" w14:textId="495F6CAF">
      <w:pPr>
        <w:rPr>
          <w:iCs/>
        </w:rPr>
      </w:pPr>
      <w:r>
        <w:rPr>
          <w:iCs/>
        </w:rPr>
        <w:t xml:space="preserve">Two follow up-emails asking for a response </w:t>
      </w:r>
      <w:r w:rsidR="004E2365">
        <w:rPr>
          <w:iCs/>
        </w:rPr>
        <w:t>will be</w:t>
      </w:r>
      <w:r>
        <w:rPr>
          <w:iCs/>
        </w:rPr>
        <w:t xml:space="preserve"> sent during the response window for the survey. The first email will be sent approximately half</w:t>
      </w:r>
      <w:r w:rsidR="004E2365">
        <w:rPr>
          <w:iCs/>
        </w:rPr>
        <w:t>-</w:t>
      </w:r>
      <w:r>
        <w:rPr>
          <w:iCs/>
        </w:rPr>
        <w:t xml:space="preserve">way through the response window and the second email will be sent approximately one week before the end of the response window. </w:t>
      </w:r>
    </w:p>
    <w:p w:rsidR="00606CA6" w:rsidRPr="005424F8" w:rsidP="00606CA6" w14:paraId="2A9B624D" w14:textId="77777777">
      <w:pPr>
        <w:spacing w:line="279" w:lineRule="exact"/>
      </w:pPr>
    </w:p>
    <w:p w:rsidR="00606CA6" w:rsidP="00606CA6" w14:paraId="2616E83C" w14:textId="191C43F7">
      <w:pPr>
        <w:tabs>
          <w:tab w:val="num" w:pos="0"/>
        </w:tabs>
        <w:autoSpaceDE w:val="0"/>
        <w:autoSpaceDN w:val="0"/>
        <w:adjustRightInd w:val="0"/>
        <w:rPr>
          <w:i/>
        </w:rPr>
      </w:pPr>
      <w:r w:rsidRPr="008958C2">
        <w:t xml:space="preserve">4. </w:t>
      </w:r>
      <w:r w:rsidRPr="008958C2">
        <w:rPr>
          <w:i/>
        </w:rPr>
        <w:t xml:space="preserve">Describe any tests of procedures or methods to be undertaken. Testing is encouraged as an effective means </w:t>
      </w:r>
      <w:r>
        <w:rPr>
          <w:i/>
        </w:rPr>
        <w:t>o</w:t>
      </w:r>
      <w:r w:rsidRPr="008958C2">
        <w:rPr>
          <w:i/>
        </w:rPr>
        <w:t>f refining collections of information to minimize burden and improve utility. Tests must be approved if they call for answers to identical questions from 10 or more respondents. A proposed test or set of test</w:t>
      </w:r>
      <w:r w:rsidR="0068156D">
        <w:rPr>
          <w:i/>
        </w:rPr>
        <w:t>s</w:t>
      </w:r>
      <w:r w:rsidRPr="008958C2">
        <w:rPr>
          <w:i/>
        </w:rPr>
        <w:t xml:space="preserve"> may be submitted for approval separately or in combination with the main collection of information.</w:t>
      </w:r>
    </w:p>
    <w:p w:rsidR="00115C83" w:rsidP="00606CA6" w14:paraId="40FACDA8" w14:textId="1E1B0D4C"/>
    <w:p w:rsidR="00115C83" w:rsidRPr="00115C83" w:rsidP="00606CA6" w14:paraId="0ED9D868" w14:textId="1A73C58F">
      <w:pPr>
        <w:rPr>
          <w:b/>
          <w:bCs/>
        </w:rPr>
      </w:pPr>
      <w:r w:rsidRPr="004E2365">
        <w:t>None.</w:t>
      </w:r>
    </w:p>
    <w:p w:rsidR="00606CA6" w:rsidRPr="005424F8" w:rsidP="00606CA6" w14:paraId="6D859460" w14:textId="77777777"/>
    <w:p w:rsidR="00606CA6" w:rsidP="00606CA6" w14:paraId="389A1193" w14:textId="77777777">
      <w:pPr>
        <w:tabs>
          <w:tab w:val="num" w:pos="0"/>
        </w:tabs>
        <w:autoSpaceDE w:val="0"/>
        <w:autoSpaceDN w:val="0"/>
        <w:adjustRightInd w:val="0"/>
        <w:rPr>
          <w:i/>
        </w:rPr>
      </w:pPr>
      <w:r w:rsidRPr="008958C2">
        <w:t xml:space="preserve">5. </w:t>
      </w:r>
      <w:r w:rsidRPr="008958C2">
        <w:rPr>
          <w:i/>
        </w:rPr>
        <w:t xml:space="preserve">Provide the name and telephone number of individuals consulted on statistical aspects of the design and the name of the agency unit, contractor(s), grantee(s), or other person(s) who will actually collect and/or </w:t>
      </w:r>
      <w:r w:rsidRPr="008958C2">
        <w:rPr>
          <w:i/>
        </w:rPr>
        <w:t>analyze</w:t>
      </w:r>
      <w:r w:rsidRPr="008958C2">
        <w:rPr>
          <w:i/>
        </w:rPr>
        <w:t xml:space="preserve"> the information for the agency.</w:t>
      </w:r>
    </w:p>
    <w:p w:rsidR="00606CA6" w:rsidP="00606CA6" w14:paraId="09A1010F" w14:textId="77777777">
      <w:pPr>
        <w:tabs>
          <w:tab w:val="num" w:pos="0"/>
        </w:tabs>
        <w:autoSpaceDE w:val="0"/>
        <w:autoSpaceDN w:val="0"/>
        <w:adjustRightInd w:val="0"/>
      </w:pPr>
    </w:p>
    <w:p w:rsidR="009E6D10" w:rsidP="00606CA6" w14:paraId="1887919A" w14:textId="603EB457">
      <w:pPr>
        <w:rPr>
          <w:rFonts w:eastAsia="Arial"/>
        </w:rPr>
      </w:pPr>
      <w:r>
        <w:rPr>
          <w:rFonts w:eastAsia="Arial"/>
        </w:rPr>
        <w:t xml:space="preserve">Not applicable </w:t>
      </w:r>
      <w:r w:rsidR="00407C34">
        <w:rPr>
          <w:rFonts w:eastAsia="Arial"/>
        </w:rPr>
        <w:t xml:space="preserve">because there were no statistical methods used. </w:t>
      </w:r>
    </w:p>
    <w:p w:rsidR="009E6D10" w:rsidP="00606CA6" w14:paraId="4E15C58D" w14:textId="77777777">
      <w:pPr>
        <w:rPr>
          <w:rFonts w:eastAsia="Arial"/>
        </w:rPr>
      </w:pPr>
    </w:p>
    <w:p w:rsidR="00606CA6" w:rsidRPr="005424F8" w:rsidP="00606CA6" w14:paraId="7A22D94D" w14:textId="77777777"/>
    <w:p w:rsidR="00A2741C" w14:paraId="25F7488C" w14:textId="77777777"/>
    <w:sectPr w:rsidSect="00BE4713">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Adobe Garamond Pro">
    <w:altName w:val="Perpetua Titling MT"/>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Light">
    <w:charset w:val="4D"/>
    <w:family w:val="swiss"/>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TimesNewRomanPSMT">
    <w:altName w:val="Times New Roman"/>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1781824"/>
      <w:docPartObj>
        <w:docPartGallery w:val="Page Numbers (Bottom of Page)"/>
        <w:docPartUnique/>
      </w:docPartObj>
    </w:sdtPr>
    <w:sdtEndPr>
      <w:rPr>
        <w:noProof/>
      </w:rPr>
    </w:sdtEndPr>
    <w:sdtContent>
      <w:p w:rsidR="0028122F" w14:paraId="6E6CE29C" w14:textId="4673C929">
        <w:pPr>
          <w:pStyle w:val="Footer"/>
          <w:jc w:val="center"/>
        </w:pPr>
        <w:r>
          <w:fldChar w:fldCharType="begin"/>
        </w:r>
        <w:r>
          <w:instrText xml:space="preserve"> PAGE   \* MERGEFORMAT </w:instrText>
        </w:r>
        <w:r>
          <w:fldChar w:fldCharType="separate"/>
        </w:r>
        <w:r w:rsidR="00025593">
          <w:rPr>
            <w:noProof/>
          </w:rPr>
          <w:t>2</w:t>
        </w:r>
        <w:r>
          <w:rPr>
            <w:noProof/>
          </w:rPr>
          <w:fldChar w:fldCharType="end"/>
        </w:r>
      </w:p>
    </w:sdtContent>
  </w:sdt>
  <w:p w:rsidR="0028122F" w14:paraId="623E5DB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C148F"/>
    <w:multiLevelType w:val="hybridMultilevel"/>
    <w:tmpl w:val="A350D3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8069EA"/>
    <w:multiLevelType w:val="hybridMultilevel"/>
    <w:tmpl w:val="95987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9C1174"/>
    <w:multiLevelType w:val="hybridMultilevel"/>
    <w:tmpl w:val="A4E471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F46A17"/>
    <w:multiLevelType w:val="hybridMultilevel"/>
    <w:tmpl w:val="5FDAAF26"/>
    <w:lvl w:ilvl="0">
      <w:start w:val="0"/>
      <w:numFmt w:val="bullet"/>
      <w:lvlText w:val=""/>
      <w:lvlJc w:val="left"/>
      <w:pPr>
        <w:tabs>
          <w:tab w:val="num" w:pos="720"/>
        </w:tabs>
        <w:ind w:left="720" w:hanging="360"/>
      </w:pPr>
      <w:rPr>
        <w:rFonts w:ascii="Symbol" w:eastAsia="Times New Roman" w:hAnsi="Symbol" w:cs="Franklin Gothic Medium" w:hint="default"/>
      </w:rPr>
    </w:lvl>
    <w:lvl w:ilvl="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2943836"/>
    <w:multiLevelType w:val="hybridMultilevel"/>
    <w:tmpl w:val="43A6A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65A10"/>
    <w:multiLevelType w:val="multilevel"/>
    <w:tmpl w:val="0DEC9968"/>
    <w:lvl w:ilvl="0">
      <w:start w:val="1"/>
      <w:numFmt w:val="decimal"/>
      <w:pStyle w:val="SKPageL1"/>
      <w:lvlText w:val="%1."/>
      <w:lvlJc w:val="left"/>
      <w:pPr>
        <w:ind w:left="360" w:hanging="360"/>
      </w:pPr>
    </w:lvl>
    <w:lvl w:ilvl="1">
      <w:start w:val="1"/>
      <w:numFmt w:val="decimal"/>
      <w:pStyle w:val="SKSubheadL2"/>
      <w:lvlText w:val="%1.%2."/>
      <w:lvlJc w:val="left"/>
      <w:pPr>
        <w:ind w:left="792" w:hanging="432"/>
      </w:pPr>
    </w:lvl>
    <w:lvl w:ilvl="2">
      <w:start w:val="1"/>
      <w:numFmt w:val="decimal"/>
      <w:pStyle w:val="SKJunior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9915CB"/>
    <w:multiLevelType w:val="hybridMultilevel"/>
    <w:tmpl w:val="97B452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6F3DA5"/>
    <w:multiLevelType w:val="multilevel"/>
    <w:tmpl w:val="4FD2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C9220C"/>
    <w:multiLevelType w:val="hybridMultilevel"/>
    <w:tmpl w:val="3AD69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B31E03"/>
    <w:multiLevelType w:val="hybridMultilevel"/>
    <w:tmpl w:val="34865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AC4B1C"/>
    <w:multiLevelType w:val="hybridMultilevel"/>
    <w:tmpl w:val="AEBCD1C0"/>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82D71BC"/>
    <w:multiLevelType w:val="multilevel"/>
    <w:tmpl w:val="0B42213E"/>
    <w:lvl w:ilvl="0">
      <w:start w:val="0"/>
      <w:numFmt w:val="bullet"/>
      <w:lvlText w:val="●"/>
      <w:lvlJc w:val="left"/>
      <w:pPr>
        <w:ind w:left="1211" w:firstLine="851"/>
      </w:pPr>
      <w:rPr>
        <w:rFonts w:ascii="Arial" w:eastAsia="Arial" w:hAnsi="Arial" w:cs="Arial"/>
        <w:vertAlign w:val="baseline"/>
      </w:rPr>
    </w:lvl>
    <w:lvl w:ilvl="1">
      <w:start w:val="1"/>
      <w:numFmt w:val="bullet"/>
      <w:lvlText w:val="○"/>
      <w:lvlJc w:val="left"/>
      <w:pPr>
        <w:ind w:left="1931" w:firstLine="1571"/>
      </w:pPr>
      <w:rPr>
        <w:rFonts w:ascii="Arial" w:eastAsia="Arial" w:hAnsi="Arial" w:cs="Arial"/>
        <w:vertAlign w:val="baseline"/>
      </w:rPr>
    </w:lvl>
    <w:lvl w:ilvl="2">
      <w:start w:val="1"/>
      <w:numFmt w:val="bullet"/>
      <w:lvlText w:val="■"/>
      <w:lvlJc w:val="left"/>
      <w:pPr>
        <w:ind w:left="2651" w:firstLine="2291"/>
      </w:pPr>
      <w:rPr>
        <w:rFonts w:ascii="Arial" w:eastAsia="Arial" w:hAnsi="Arial" w:cs="Arial"/>
        <w:vertAlign w:val="baseline"/>
      </w:rPr>
    </w:lvl>
    <w:lvl w:ilvl="3">
      <w:start w:val="1"/>
      <w:numFmt w:val="bullet"/>
      <w:lvlText w:val="●"/>
      <w:lvlJc w:val="left"/>
      <w:pPr>
        <w:ind w:left="3371" w:firstLine="3011"/>
      </w:pPr>
      <w:rPr>
        <w:rFonts w:ascii="Arial" w:eastAsia="Arial" w:hAnsi="Arial" w:cs="Arial"/>
        <w:vertAlign w:val="baseline"/>
      </w:rPr>
    </w:lvl>
    <w:lvl w:ilvl="4">
      <w:start w:val="1"/>
      <w:numFmt w:val="bullet"/>
      <w:lvlText w:val="○"/>
      <w:lvlJc w:val="left"/>
      <w:pPr>
        <w:ind w:left="4091" w:firstLine="3731"/>
      </w:pPr>
      <w:rPr>
        <w:rFonts w:ascii="Arial" w:eastAsia="Arial" w:hAnsi="Arial" w:cs="Arial"/>
        <w:vertAlign w:val="baseline"/>
      </w:rPr>
    </w:lvl>
    <w:lvl w:ilvl="5">
      <w:start w:val="1"/>
      <w:numFmt w:val="bullet"/>
      <w:lvlText w:val="■"/>
      <w:lvlJc w:val="left"/>
      <w:pPr>
        <w:ind w:left="4811" w:firstLine="4451"/>
      </w:pPr>
      <w:rPr>
        <w:rFonts w:ascii="Arial" w:eastAsia="Arial" w:hAnsi="Arial" w:cs="Arial"/>
        <w:vertAlign w:val="baseline"/>
      </w:rPr>
    </w:lvl>
    <w:lvl w:ilvl="6">
      <w:start w:val="1"/>
      <w:numFmt w:val="bullet"/>
      <w:lvlText w:val="●"/>
      <w:lvlJc w:val="left"/>
      <w:pPr>
        <w:ind w:left="5531" w:firstLine="5171"/>
      </w:pPr>
      <w:rPr>
        <w:rFonts w:ascii="Arial" w:eastAsia="Arial" w:hAnsi="Arial" w:cs="Arial"/>
        <w:vertAlign w:val="baseline"/>
      </w:rPr>
    </w:lvl>
    <w:lvl w:ilvl="7">
      <w:start w:val="1"/>
      <w:numFmt w:val="bullet"/>
      <w:lvlText w:val="○"/>
      <w:lvlJc w:val="left"/>
      <w:pPr>
        <w:ind w:left="6251" w:firstLine="5891"/>
      </w:pPr>
      <w:rPr>
        <w:rFonts w:ascii="Arial" w:eastAsia="Arial" w:hAnsi="Arial" w:cs="Arial"/>
        <w:vertAlign w:val="baseline"/>
      </w:rPr>
    </w:lvl>
    <w:lvl w:ilvl="8">
      <w:start w:val="1"/>
      <w:numFmt w:val="bullet"/>
      <w:lvlText w:val="■"/>
      <w:lvlJc w:val="left"/>
      <w:pPr>
        <w:ind w:left="6971" w:firstLine="6611"/>
      </w:pPr>
      <w:rPr>
        <w:rFonts w:ascii="Arial" w:eastAsia="Arial" w:hAnsi="Arial" w:cs="Arial"/>
        <w:vertAlign w:val="baseline"/>
      </w:rPr>
    </w:lvl>
  </w:abstractNum>
  <w:abstractNum w:abstractNumId="12">
    <w:nsid w:val="5CAE444C"/>
    <w:multiLevelType w:val="hybridMultilevel"/>
    <w:tmpl w:val="99EA3668"/>
    <w:lvl w:ilvl="0">
      <w:start w:val="1"/>
      <w:numFmt w:val="decimal"/>
      <w:pStyle w:val="SKbulletnumber"/>
      <w:lvlText w:val="%1."/>
      <w:lvlJc w:val="left"/>
      <w:pPr>
        <w:ind w:left="720" w:hanging="360"/>
      </w:pPr>
      <w:rPr>
        <w:rFonts w:ascii="Avenir Book" w:hAnsi="Avenir Book" w:hint="default"/>
        <w:color w:val="C4BC96" w:themeColor="background2" w:themeShade="BF"/>
        <w:sz w:val="1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8F2629C"/>
    <w:multiLevelType w:val="hybridMultilevel"/>
    <w:tmpl w:val="9D96024C"/>
    <w:lvl w:ilvl="0">
      <w:start w:val="1"/>
      <w:numFmt w:val="bullet"/>
      <w:pStyle w:val="SKBullet"/>
      <w:lvlText w:val=""/>
      <w:lvlJc w:val="left"/>
      <w:pPr>
        <w:ind w:left="720" w:hanging="360"/>
      </w:pPr>
      <w:rPr>
        <w:rFonts w:ascii="Symbol" w:hAnsi="Symbol" w:hint="default"/>
        <w:color w:val="DDD9C3" w:themeColor="background2" w:themeShade="E6"/>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1A56A7"/>
    <w:multiLevelType w:val="hybridMultilevel"/>
    <w:tmpl w:val="A350D3D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DBA43EC"/>
    <w:multiLevelType w:val="hybridMultilevel"/>
    <w:tmpl w:val="F9664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443816">
    <w:abstractNumId w:val="3"/>
  </w:num>
  <w:num w:numId="2" w16cid:durableId="1249576548">
    <w:abstractNumId w:val="14"/>
  </w:num>
  <w:num w:numId="3" w16cid:durableId="1570919766">
    <w:abstractNumId w:val="11"/>
  </w:num>
  <w:num w:numId="4" w16cid:durableId="169835951">
    <w:abstractNumId w:val="4"/>
  </w:num>
  <w:num w:numId="5" w16cid:durableId="287660881">
    <w:abstractNumId w:val="15"/>
  </w:num>
  <w:num w:numId="6" w16cid:durableId="2003200301">
    <w:abstractNumId w:val="5"/>
  </w:num>
  <w:num w:numId="7" w16cid:durableId="403141725">
    <w:abstractNumId w:val="12"/>
  </w:num>
  <w:num w:numId="8" w16cid:durableId="2031833719">
    <w:abstractNumId w:val="13"/>
  </w:num>
  <w:num w:numId="9" w16cid:durableId="1131023234">
    <w:abstractNumId w:val="12"/>
    <w:lvlOverride w:ilvl="0">
      <w:startOverride w:val="1"/>
    </w:lvlOverride>
  </w:num>
  <w:num w:numId="10" w16cid:durableId="741218665">
    <w:abstractNumId w:val="9"/>
  </w:num>
  <w:num w:numId="11" w16cid:durableId="374086523">
    <w:abstractNumId w:val="0"/>
  </w:num>
  <w:num w:numId="12" w16cid:durableId="1585648302">
    <w:abstractNumId w:val="2"/>
  </w:num>
  <w:num w:numId="13" w16cid:durableId="1199048272">
    <w:abstractNumId w:val="8"/>
  </w:num>
  <w:num w:numId="14" w16cid:durableId="1138298173">
    <w:abstractNumId w:val="6"/>
  </w:num>
  <w:num w:numId="15" w16cid:durableId="459422134">
    <w:abstractNumId w:val="1"/>
  </w:num>
  <w:num w:numId="16" w16cid:durableId="767966362">
    <w:abstractNumId w:val="10"/>
  </w:num>
  <w:num w:numId="17" w16cid:durableId="853109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A6"/>
    <w:rsid w:val="00001EF2"/>
    <w:rsid w:val="00025593"/>
    <w:rsid w:val="000D127E"/>
    <w:rsid w:val="000E2F53"/>
    <w:rsid w:val="00115328"/>
    <w:rsid w:val="00115C83"/>
    <w:rsid w:val="00147B82"/>
    <w:rsid w:val="0015246F"/>
    <w:rsid w:val="00170604"/>
    <w:rsid w:val="001B30FE"/>
    <w:rsid w:val="001C3697"/>
    <w:rsid w:val="001E2BFE"/>
    <w:rsid w:val="001F7B85"/>
    <w:rsid w:val="00272F3F"/>
    <w:rsid w:val="00280A2F"/>
    <w:rsid w:val="0028122F"/>
    <w:rsid w:val="00283E55"/>
    <w:rsid w:val="002A7073"/>
    <w:rsid w:val="002F2B63"/>
    <w:rsid w:val="002F4482"/>
    <w:rsid w:val="00335070"/>
    <w:rsid w:val="00363645"/>
    <w:rsid w:val="003A6393"/>
    <w:rsid w:val="003B3ED6"/>
    <w:rsid w:val="003C6069"/>
    <w:rsid w:val="003E37B6"/>
    <w:rsid w:val="003E49ED"/>
    <w:rsid w:val="00407C34"/>
    <w:rsid w:val="00432259"/>
    <w:rsid w:val="0047372C"/>
    <w:rsid w:val="004C4BF3"/>
    <w:rsid w:val="004D5C58"/>
    <w:rsid w:val="004E2365"/>
    <w:rsid w:val="004F51B0"/>
    <w:rsid w:val="005424F8"/>
    <w:rsid w:val="005457A4"/>
    <w:rsid w:val="005F6CF8"/>
    <w:rsid w:val="00602CEC"/>
    <w:rsid w:val="00606CA6"/>
    <w:rsid w:val="006351B6"/>
    <w:rsid w:val="0064612B"/>
    <w:rsid w:val="00656D6F"/>
    <w:rsid w:val="00670CF4"/>
    <w:rsid w:val="0068156D"/>
    <w:rsid w:val="00682AFC"/>
    <w:rsid w:val="006A309D"/>
    <w:rsid w:val="006B7091"/>
    <w:rsid w:val="006C4A4D"/>
    <w:rsid w:val="006F3F6B"/>
    <w:rsid w:val="0070355C"/>
    <w:rsid w:val="00717BC1"/>
    <w:rsid w:val="0074133C"/>
    <w:rsid w:val="007869C1"/>
    <w:rsid w:val="007C2360"/>
    <w:rsid w:val="007C4F10"/>
    <w:rsid w:val="008660AF"/>
    <w:rsid w:val="00886F6E"/>
    <w:rsid w:val="0089203A"/>
    <w:rsid w:val="008958C2"/>
    <w:rsid w:val="008A126E"/>
    <w:rsid w:val="008B7770"/>
    <w:rsid w:val="008C060C"/>
    <w:rsid w:val="008E5918"/>
    <w:rsid w:val="00961932"/>
    <w:rsid w:val="009875AD"/>
    <w:rsid w:val="00995770"/>
    <w:rsid w:val="009E6D10"/>
    <w:rsid w:val="00A04995"/>
    <w:rsid w:val="00A2741C"/>
    <w:rsid w:val="00A31A41"/>
    <w:rsid w:val="00A75721"/>
    <w:rsid w:val="00A92C93"/>
    <w:rsid w:val="00AA0610"/>
    <w:rsid w:val="00AB5CE7"/>
    <w:rsid w:val="00B04D43"/>
    <w:rsid w:val="00B32F05"/>
    <w:rsid w:val="00B658D7"/>
    <w:rsid w:val="00BB2954"/>
    <w:rsid w:val="00BE00C1"/>
    <w:rsid w:val="00BE4713"/>
    <w:rsid w:val="00BF53E7"/>
    <w:rsid w:val="00C11EC8"/>
    <w:rsid w:val="00C21FE1"/>
    <w:rsid w:val="00C2651B"/>
    <w:rsid w:val="00C71488"/>
    <w:rsid w:val="00C87768"/>
    <w:rsid w:val="00C9371A"/>
    <w:rsid w:val="00C94137"/>
    <w:rsid w:val="00CB3B41"/>
    <w:rsid w:val="00D32BAF"/>
    <w:rsid w:val="00D43104"/>
    <w:rsid w:val="00DA3B70"/>
    <w:rsid w:val="00DB113C"/>
    <w:rsid w:val="00DD3942"/>
    <w:rsid w:val="00E41DD4"/>
    <w:rsid w:val="00E63276"/>
    <w:rsid w:val="00E807FC"/>
    <w:rsid w:val="00EA4718"/>
    <w:rsid w:val="00F112E3"/>
    <w:rsid w:val="00F564B0"/>
    <w:rsid w:val="00F71B3F"/>
    <w:rsid w:val="00FA0E63"/>
    <w:rsid w:val="00FA21ED"/>
    <w:rsid w:val="00FB7A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97AA46"/>
  <w15:docId w15:val="{93E0C3D8-17DC-6D46-BFF1-15587A9F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2E3"/>
    <w:rPr>
      <w:rFonts w:ascii="Times New Roman" w:eastAsia="Times New Roman" w:hAnsi="Times New Roman" w:cs="Times New Roman"/>
      <w:sz w:val="24"/>
      <w:szCs w:val="24"/>
      <w:lang w:val="en-GB"/>
    </w:rPr>
  </w:style>
  <w:style w:type="paragraph" w:styleId="Heading3">
    <w:name w:val="heading 3"/>
    <w:basedOn w:val="Normal"/>
    <w:link w:val="Heading3Char"/>
    <w:qFormat/>
    <w:rsid w:val="00606CA6"/>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CA6"/>
    <w:rPr>
      <w:rFonts w:ascii="Times New Roman" w:eastAsia="Times New Roman" w:hAnsi="Times New Roman" w:cs="Times New Roman"/>
      <w:b/>
      <w:bCs/>
      <w:sz w:val="27"/>
      <w:szCs w:val="27"/>
      <w:lang w:val="en-GB" w:eastAsia="en-GB"/>
    </w:rPr>
  </w:style>
  <w:style w:type="paragraph" w:customStyle="1" w:styleId="ColorfulList-Accent11">
    <w:name w:val="Colorful List - Accent 11"/>
    <w:basedOn w:val="Normal"/>
    <w:uiPriority w:val="34"/>
    <w:qFormat/>
    <w:rsid w:val="00606CA6"/>
    <w:pPr>
      <w:ind w:left="720"/>
      <w:contextualSpacing/>
    </w:pPr>
    <w:rPr>
      <w:rFonts w:ascii="Arial" w:eastAsia="Calibri" w:hAnsi="Arial"/>
      <w:sz w:val="22"/>
      <w:szCs w:val="22"/>
    </w:rPr>
  </w:style>
  <w:style w:type="paragraph" w:customStyle="1" w:styleId="ExaliaBody">
    <w:name w:val="Exalia Body"/>
    <w:basedOn w:val="BodyTextIndent"/>
    <w:rsid w:val="00606CA6"/>
    <w:pPr>
      <w:spacing w:after="150" w:line="280" w:lineRule="exact"/>
      <w:ind w:left="851"/>
    </w:pPr>
    <w:rPr>
      <w:rFonts w:ascii="Adobe Garamond Pro" w:hAnsi="Adobe Garamond Pro"/>
      <w:szCs w:val="20"/>
    </w:rPr>
  </w:style>
  <w:style w:type="paragraph" w:customStyle="1" w:styleId="ExaliaTableBody">
    <w:name w:val="Exalia Table Body"/>
    <w:basedOn w:val="Normal"/>
    <w:rsid w:val="00606CA6"/>
    <w:pPr>
      <w:spacing w:before="60" w:after="60" w:line="280" w:lineRule="exact"/>
    </w:pPr>
    <w:rPr>
      <w:rFonts w:ascii="Adobe Garamond Pro" w:hAnsi="Adobe Garamond Pro"/>
      <w:szCs w:val="20"/>
    </w:rPr>
  </w:style>
  <w:style w:type="paragraph" w:customStyle="1" w:styleId="ExaliaTableHead">
    <w:name w:val="Exalia Table Head"/>
    <w:basedOn w:val="ExaliaTableBody"/>
    <w:rsid w:val="00606CA6"/>
    <w:pPr>
      <w:tabs>
        <w:tab w:val="num" w:pos="1211"/>
      </w:tabs>
    </w:pPr>
    <w:rPr>
      <w:b/>
      <w:color w:val="808080"/>
    </w:rPr>
  </w:style>
  <w:style w:type="paragraph" w:customStyle="1" w:styleId="PartnerPlatform-Normal">
    <w:name w:val="PartnerPlatform - _Normal"/>
    <w:basedOn w:val="Normal"/>
    <w:link w:val="PartnerPlatform-NormalChar"/>
    <w:rsid w:val="00606CA6"/>
    <w:pPr>
      <w:outlineLvl w:val="0"/>
    </w:pPr>
    <w:rPr>
      <w:rFonts w:ascii="Arial" w:hAnsi="Arial" w:cs="Arial"/>
      <w:sz w:val="22"/>
      <w:szCs w:val="20"/>
    </w:rPr>
  </w:style>
  <w:style w:type="character" w:customStyle="1" w:styleId="PartnerPlatform-NormalChar">
    <w:name w:val="PartnerPlatform - _Normal Char"/>
    <w:link w:val="PartnerPlatform-Normal"/>
    <w:locked/>
    <w:rsid w:val="00606CA6"/>
    <w:rPr>
      <w:rFonts w:ascii="Arial" w:eastAsia="Times New Roman" w:hAnsi="Arial" w:cs="Arial"/>
      <w:szCs w:val="20"/>
    </w:rPr>
  </w:style>
  <w:style w:type="paragraph" w:styleId="BodyTextIndent">
    <w:name w:val="Body Text Indent"/>
    <w:basedOn w:val="Normal"/>
    <w:link w:val="BodyTextIndentChar"/>
    <w:uiPriority w:val="99"/>
    <w:semiHidden/>
    <w:unhideWhenUsed/>
    <w:rsid w:val="00606CA6"/>
    <w:pPr>
      <w:spacing w:after="120"/>
      <w:ind w:left="360"/>
    </w:pPr>
  </w:style>
  <w:style w:type="character" w:customStyle="1" w:styleId="BodyTextIndentChar">
    <w:name w:val="Body Text Indent Char"/>
    <w:basedOn w:val="DefaultParagraphFont"/>
    <w:link w:val="BodyTextIndent"/>
    <w:uiPriority w:val="99"/>
    <w:semiHidden/>
    <w:rsid w:val="00606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4713"/>
    <w:rPr>
      <w:rFonts w:ascii="Tahoma" w:hAnsi="Tahoma" w:cs="Tahoma"/>
      <w:sz w:val="16"/>
      <w:szCs w:val="16"/>
    </w:rPr>
  </w:style>
  <w:style w:type="character" w:customStyle="1" w:styleId="BalloonTextChar">
    <w:name w:val="Balloon Text Char"/>
    <w:basedOn w:val="DefaultParagraphFont"/>
    <w:link w:val="BalloonText"/>
    <w:uiPriority w:val="99"/>
    <w:semiHidden/>
    <w:rsid w:val="00BE4713"/>
    <w:rPr>
      <w:rFonts w:ascii="Tahoma" w:eastAsia="Times New Roman" w:hAnsi="Tahoma" w:cs="Tahoma"/>
      <w:sz w:val="16"/>
      <w:szCs w:val="16"/>
    </w:rPr>
  </w:style>
  <w:style w:type="paragraph" w:styleId="Header">
    <w:name w:val="header"/>
    <w:basedOn w:val="Normal"/>
    <w:link w:val="HeaderChar"/>
    <w:uiPriority w:val="99"/>
    <w:unhideWhenUsed/>
    <w:rsid w:val="00BE4713"/>
    <w:pPr>
      <w:tabs>
        <w:tab w:val="center" w:pos="4680"/>
        <w:tab w:val="right" w:pos="9360"/>
      </w:tabs>
    </w:pPr>
  </w:style>
  <w:style w:type="character" w:customStyle="1" w:styleId="HeaderChar">
    <w:name w:val="Header Char"/>
    <w:basedOn w:val="DefaultParagraphFont"/>
    <w:link w:val="Header"/>
    <w:uiPriority w:val="99"/>
    <w:rsid w:val="00BE47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4713"/>
    <w:pPr>
      <w:tabs>
        <w:tab w:val="center" w:pos="4680"/>
        <w:tab w:val="right" w:pos="9360"/>
      </w:tabs>
    </w:pPr>
  </w:style>
  <w:style w:type="character" w:customStyle="1" w:styleId="FooterChar">
    <w:name w:val="Footer Char"/>
    <w:basedOn w:val="DefaultParagraphFont"/>
    <w:link w:val="Footer"/>
    <w:uiPriority w:val="99"/>
    <w:rsid w:val="00BE4713"/>
    <w:rPr>
      <w:rFonts w:ascii="Times New Roman" w:eastAsia="Times New Roman" w:hAnsi="Times New Roman" w:cs="Times New Roman"/>
      <w:sz w:val="24"/>
      <w:szCs w:val="24"/>
    </w:rPr>
  </w:style>
  <w:style w:type="paragraph" w:styleId="ListParagraph">
    <w:name w:val="List Paragraph"/>
    <w:basedOn w:val="Normal"/>
    <w:uiPriority w:val="34"/>
    <w:qFormat/>
    <w:rsid w:val="008B7770"/>
    <w:pPr>
      <w:ind w:left="720"/>
      <w:contextualSpacing/>
    </w:pPr>
  </w:style>
  <w:style w:type="character" w:styleId="Hyperlink">
    <w:name w:val="Hyperlink"/>
    <w:basedOn w:val="DefaultParagraphFont"/>
    <w:uiPriority w:val="99"/>
    <w:unhideWhenUsed/>
    <w:rsid w:val="008B7770"/>
    <w:rPr>
      <w:color w:val="0000FF" w:themeColor="hyperlink"/>
      <w:u w:val="single"/>
    </w:rPr>
  </w:style>
  <w:style w:type="character" w:customStyle="1" w:styleId="UnresolvedMention1">
    <w:name w:val="Unresolved Mention1"/>
    <w:basedOn w:val="DefaultParagraphFont"/>
    <w:uiPriority w:val="99"/>
    <w:semiHidden/>
    <w:unhideWhenUsed/>
    <w:rsid w:val="008B7770"/>
    <w:rPr>
      <w:color w:val="808080"/>
      <w:shd w:val="clear" w:color="auto" w:fill="E6E6E6"/>
    </w:rPr>
  </w:style>
  <w:style w:type="paragraph" w:customStyle="1" w:styleId="SKBody">
    <w:name w:val="SK Body"/>
    <w:basedOn w:val="Normal"/>
    <w:qFormat/>
    <w:rsid w:val="00AB5CE7"/>
    <w:pPr>
      <w:adjustRightInd w:val="0"/>
      <w:spacing w:after="140" w:line="280" w:lineRule="exact"/>
    </w:pPr>
    <w:rPr>
      <w:rFonts w:ascii="Avenir Book" w:hAnsi="Avenir Book" w:eastAsiaTheme="minorHAnsi"/>
      <w:sz w:val="22"/>
      <w:lang w:eastAsia="en-GB"/>
    </w:rPr>
  </w:style>
  <w:style w:type="paragraph" w:customStyle="1" w:styleId="SKPageL1">
    <w:name w:val="SK Page L1"/>
    <w:basedOn w:val="ListParagraph"/>
    <w:next w:val="SKSubheadL2"/>
    <w:autoRedefine/>
    <w:qFormat/>
    <w:rsid w:val="00AB5CE7"/>
    <w:pPr>
      <w:pageBreakBefore/>
      <w:numPr>
        <w:numId w:val="6"/>
      </w:numPr>
      <w:spacing w:after="780" w:line="360" w:lineRule="auto"/>
      <w:ind w:left="0" w:hanging="851"/>
    </w:pPr>
    <w:rPr>
      <w:rFonts w:ascii="Avenir Light" w:eastAsia="Arial" w:hAnsi="Avenir Light" w:cs="Courier New"/>
      <w:sz w:val="46"/>
      <w:szCs w:val="22"/>
    </w:rPr>
  </w:style>
  <w:style w:type="paragraph" w:customStyle="1" w:styleId="SKSubheadL2">
    <w:name w:val="SK Subhead L2"/>
    <w:basedOn w:val="ListParagraph"/>
    <w:next w:val="SKBody"/>
    <w:qFormat/>
    <w:rsid w:val="00AB5CE7"/>
    <w:pPr>
      <w:numPr>
        <w:ilvl w:val="1"/>
        <w:numId w:val="6"/>
      </w:numPr>
      <w:spacing w:before="240" w:after="120" w:line="240" w:lineRule="exact"/>
      <w:ind w:left="0" w:hanging="851"/>
    </w:pPr>
    <w:rPr>
      <w:rFonts w:ascii="Avenir Medium" w:eastAsia="Arial" w:hAnsi="Avenir Medium" w:cs="Courier New"/>
      <w:sz w:val="22"/>
      <w:szCs w:val="22"/>
    </w:rPr>
  </w:style>
  <w:style w:type="paragraph" w:customStyle="1" w:styleId="SKJuniorL3">
    <w:name w:val="SK Junior L3"/>
    <w:basedOn w:val="ListParagraph"/>
    <w:next w:val="SKBody"/>
    <w:qFormat/>
    <w:rsid w:val="00AB5CE7"/>
    <w:pPr>
      <w:numPr>
        <w:ilvl w:val="2"/>
        <w:numId w:val="6"/>
      </w:numPr>
      <w:spacing w:before="240" w:after="120" w:line="240" w:lineRule="exact"/>
      <w:ind w:left="0" w:hanging="851"/>
    </w:pPr>
    <w:rPr>
      <w:rFonts w:ascii="Avenir Book" w:eastAsia="Arial" w:hAnsi="Avenir Book" w:cs="Courier New"/>
      <w:color w:val="7F7F7F" w:themeColor="text1" w:themeTint="80"/>
      <w:sz w:val="22"/>
      <w:szCs w:val="22"/>
    </w:rPr>
  </w:style>
  <w:style w:type="paragraph" w:customStyle="1" w:styleId="SKBodyHeadL3">
    <w:name w:val="SK Body Head L3"/>
    <w:basedOn w:val="SKBody"/>
    <w:autoRedefine/>
    <w:qFormat/>
    <w:rsid w:val="00AB5CE7"/>
    <w:rPr>
      <w:rFonts w:ascii="Avenir Medium" w:hAnsi="Avenir Medium"/>
      <w:u w:val="single"/>
      <w:lang w:eastAsia="en-US"/>
    </w:rPr>
  </w:style>
  <w:style w:type="paragraph" w:customStyle="1" w:styleId="SKBullet">
    <w:name w:val="SK Bullet"/>
    <w:basedOn w:val="SKBody"/>
    <w:autoRedefine/>
    <w:qFormat/>
    <w:rsid w:val="00AB5CE7"/>
    <w:pPr>
      <w:numPr>
        <w:numId w:val="8"/>
      </w:numPr>
    </w:pPr>
  </w:style>
  <w:style w:type="paragraph" w:customStyle="1" w:styleId="SKbulletnumber">
    <w:name w:val="SK bullet number"/>
    <w:basedOn w:val="Normal"/>
    <w:autoRedefine/>
    <w:qFormat/>
    <w:rsid w:val="00AB5CE7"/>
    <w:pPr>
      <w:numPr>
        <w:numId w:val="7"/>
      </w:numPr>
      <w:adjustRightInd w:val="0"/>
      <w:spacing w:after="140" w:line="280" w:lineRule="exact"/>
    </w:pPr>
    <w:rPr>
      <w:rFonts w:ascii="Avenir Book" w:hAnsi="Avenir Book" w:eastAsiaTheme="minorHAnsi"/>
      <w:sz w:val="22"/>
      <w:lang w:eastAsia="en-GB"/>
    </w:rPr>
  </w:style>
  <w:style w:type="paragraph" w:styleId="FootnoteText">
    <w:name w:val="footnote text"/>
    <w:basedOn w:val="Normal"/>
    <w:link w:val="FootnoteTextChar"/>
    <w:uiPriority w:val="99"/>
    <w:semiHidden/>
    <w:unhideWhenUsed/>
    <w:rsid w:val="00BB2954"/>
    <w:rPr>
      <w:sz w:val="20"/>
      <w:szCs w:val="20"/>
    </w:rPr>
  </w:style>
  <w:style w:type="character" w:customStyle="1" w:styleId="FootnoteTextChar">
    <w:name w:val="Footnote Text Char"/>
    <w:basedOn w:val="DefaultParagraphFont"/>
    <w:link w:val="FootnoteText"/>
    <w:uiPriority w:val="99"/>
    <w:semiHidden/>
    <w:rsid w:val="00BB29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2954"/>
    <w:rPr>
      <w:vertAlign w:val="superscript"/>
    </w:rPr>
  </w:style>
  <w:style w:type="paragraph" w:styleId="EndnoteText">
    <w:name w:val="endnote text"/>
    <w:basedOn w:val="Normal"/>
    <w:link w:val="EndnoteTextChar"/>
    <w:uiPriority w:val="99"/>
    <w:semiHidden/>
    <w:unhideWhenUsed/>
    <w:rsid w:val="0070355C"/>
    <w:rPr>
      <w:sz w:val="20"/>
      <w:szCs w:val="20"/>
    </w:rPr>
  </w:style>
  <w:style w:type="character" w:customStyle="1" w:styleId="EndnoteTextChar">
    <w:name w:val="Endnote Text Char"/>
    <w:basedOn w:val="DefaultParagraphFont"/>
    <w:link w:val="EndnoteText"/>
    <w:uiPriority w:val="99"/>
    <w:semiHidden/>
    <w:rsid w:val="007035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355C"/>
    <w:rPr>
      <w:vertAlign w:val="superscript"/>
    </w:rPr>
  </w:style>
  <w:style w:type="character" w:styleId="UnresolvedMention">
    <w:name w:val="Unresolved Mention"/>
    <w:basedOn w:val="DefaultParagraphFont"/>
    <w:uiPriority w:val="99"/>
    <w:semiHidden/>
    <w:unhideWhenUsed/>
    <w:rsid w:val="009E6D10"/>
    <w:rPr>
      <w:color w:val="605E5C"/>
      <w:shd w:val="clear" w:color="auto" w:fill="E1DFDD"/>
    </w:rPr>
  </w:style>
  <w:style w:type="paragraph" w:styleId="NormalWeb">
    <w:name w:val="Normal (Web)"/>
    <w:basedOn w:val="Normal"/>
    <w:uiPriority w:val="99"/>
    <w:semiHidden/>
    <w:unhideWhenUsed/>
    <w:rsid w:val="00F112E3"/>
    <w:pPr>
      <w:spacing w:before="100" w:beforeAutospacing="1" w:after="100" w:afterAutospacing="1"/>
    </w:pPr>
  </w:style>
  <w:style w:type="character" w:customStyle="1" w:styleId="apple-converted-space">
    <w:name w:val="apple-converted-space"/>
    <w:basedOn w:val="DefaultParagraphFont"/>
    <w:rsid w:val="00C71488"/>
  </w:style>
  <w:style w:type="character" w:styleId="CommentReference">
    <w:name w:val="annotation reference"/>
    <w:basedOn w:val="DefaultParagraphFont"/>
    <w:uiPriority w:val="99"/>
    <w:semiHidden/>
    <w:unhideWhenUsed/>
    <w:rsid w:val="004F51B0"/>
    <w:rPr>
      <w:sz w:val="16"/>
      <w:szCs w:val="16"/>
    </w:rPr>
  </w:style>
  <w:style w:type="paragraph" w:styleId="CommentText">
    <w:name w:val="annotation text"/>
    <w:basedOn w:val="Normal"/>
    <w:link w:val="CommentTextChar"/>
    <w:uiPriority w:val="99"/>
    <w:semiHidden/>
    <w:unhideWhenUsed/>
    <w:rsid w:val="004F51B0"/>
    <w:rPr>
      <w:sz w:val="20"/>
      <w:szCs w:val="20"/>
    </w:rPr>
  </w:style>
  <w:style w:type="character" w:customStyle="1" w:styleId="CommentTextChar">
    <w:name w:val="Comment Text Char"/>
    <w:basedOn w:val="DefaultParagraphFont"/>
    <w:link w:val="CommentText"/>
    <w:uiPriority w:val="99"/>
    <w:semiHidden/>
    <w:rsid w:val="004F51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51B0"/>
    <w:rPr>
      <w:b/>
      <w:bCs/>
    </w:rPr>
  </w:style>
  <w:style w:type="character" w:customStyle="1" w:styleId="CommentSubjectChar">
    <w:name w:val="Comment Subject Char"/>
    <w:basedOn w:val="CommentTextChar"/>
    <w:link w:val="CommentSubject"/>
    <w:uiPriority w:val="99"/>
    <w:semiHidden/>
    <w:rsid w:val="004F51B0"/>
    <w:rPr>
      <w:rFonts w:ascii="Times New Roman" w:eastAsia="Times New Roman" w:hAnsi="Times New Roman" w:cs="Times New Roman"/>
      <w:b/>
      <w:bCs/>
      <w:sz w:val="20"/>
      <w:szCs w:val="20"/>
      <w:lang w:val="en-GB"/>
    </w:rPr>
  </w:style>
  <w:style w:type="paragraph" w:styleId="Revision">
    <w:name w:val="Revision"/>
    <w:hidden/>
    <w:uiPriority w:val="99"/>
    <w:semiHidden/>
    <w:rsid w:val="00F71B3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2D42-2587-4334-AA14-75653274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Benish Shah</dc:creator>
  <cp:lastModifiedBy>Nicole Ongele</cp:lastModifiedBy>
  <cp:revision>2</cp:revision>
  <cp:lastPrinted>2017-11-27T14:28:00Z</cp:lastPrinted>
  <dcterms:created xsi:type="dcterms:W3CDTF">2022-10-28T20:21:00Z</dcterms:created>
  <dcterms:modified xsi:type="dcterms:W3CDTF">2022-10-28T20:21:00Z</dcterms:modified>
</cp:coreProperties>
</file>