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52C1" w:rsidRPr="007050D0" w:rsidP="007050D0" w14:paraId="72A220DD" w14:textId="587CCEC5">
      <w:pPr>
        <w:pStyle w:val="Heading1"/>
        <w:jc w:val="center"/>
        <w:rPr>
          <w:rFonts w:asciiTheme="minorHAnsi" w:hAnsiTheme="minorHAnsi" w:cstheme="minorHAnsi"/>
          <w:color w:val="auto"/>
          <w:sz w:val="24"/>
          <w:szCs w:val="24"/>
        </w:rPr>
      </w:pPr>
      <w:r w:rsidRPr="007050D0">
        <w:rPr>
          <w:rFonts w:asciiTheme="minorHAnsi" w:hAnsiTheme="minorHAnsi" w:cstheme="minorHAnsi"/>
          <w:color w:val="auto"/>
          <w:sz w:val="24"/>
          <w:szCs w:val="24"/>
        </w:rPr>
        <w:t>Information Collection Request (ICR)</w:t>
      </w:r>
    </w:p>
    <w:p w:rsidR="007050D0" w:rsidRPr="007050D0" w:rsidP="007050D0" w14:paraId="144421BB" w14:textId="6008F25B">
      <w:pPr>
        <w:jc w:val="center"/>
        <w:rPr>
          <w:rFonts w:cstheme="minorHAnsi"/>
          <w:sz w:val="24"/>
          <w:szCs w:val="24"/>
        </w:rPr>
      </w:pPr>
      <w:r w:rsidRPr="007050D0">
        <w:rPr>
          <w:rFonts w:cstheme="minorHAnsi"/>
          <w:sz w:val="24"/>
          <w:szCs w:val="24"/>
        </w:rPr>
        <w:t>Supporting Statement A</w:t>
      </w:r>
    </w:p>
    <w:p w:rsidR="007050D0" w:rsidRPr="007050D0" w:rsidP="007050D0" w14:paraId="09C954A2" w14:textId="789A331A">
      <w:pPr>
        <w:rPr>
          <w:b/>
          <w:bCs/>
        </w:rPr>
      </w:pPr>
      <w:r w:rsidRPr="007050D0">
        <w:rPr>
          <w:b/>
          <w:bCs/>
        </w:rPr>
        <w:t>EXECUTIVE SUMMARY</w:t>
      </w:r>
    </w:p>
    <w:p w:rsidR="00150456" w:rsidRPr="007050D0" w:rsidP="00150456" w14:paraId="2CDA896A" w14:textId="32D420C0">
      <w:pPr>
        <w:rPr>
          <w:rFonts w:cstheme="minorHAnsi"/>
          <w:sz w:val="24"/>
          <w:szCs w:val="24"/>
        </w:rPr>
      </w:pPr>
      <w:r w:rsidRPr="007050D0">
        <w:rPr>
          <w:rFonts w:cstheme="minorHAnsi"/>
          <w:sz w:val="24"/>
          <w:szCs w:val="24"/>
        </w:rPr>
        <w:t xml:space="preserve">Title: </w:t>
      </w:r>
      <w:r w:rsidRPr="007050D0">
        <w:rPr>
          <w:rFonts w:cstheme="minorHAnsi"/>
          <w:sz w:val="24"/>
          <w:szCs w:val="24"/>
        </w:rPr>
        <w:t>Compliance Assurance Monitoring Program (40 CFR Part 64) (Renewal)</w:t>
      </w:r>
    </w:p>
    <w:p w:rsidR="00BB362A" w:rsidRPr="007050D0" w:rsidP="00BB362A" w14:paraId="1625D44C" w14:textId="0E22B844">
      <w:pPr>
        <w:pStyle w:val="NoSpacing"/>
        <w:spacing w:after="120"/>
        <w:rPr>
          <w:rFonts w:cstheme="minorHAnsi"/>
          <w:sz w:val="24"/>
          <w:szCs w:val="24"/>
        </w:rPr>
      </w:pPr>
      <w:r w:rsidRPr="007050D0">
        <w:rPr>
          <w:rFonts w:cstheme="minorHAnsi"/>
          <w:sz w:val="24"/>
          <w:szCs w:val="24"/>
        </w:rPr>
        <w:t>EPA ICR N</w:t>
      </w:r>
      <w:r w:rsidRPr="007050D0" w:rsidR="007050D0">
        <w:rPr>
          <w:rFonts w:cstheme="minorHAnsi"/>
          <w:sz w:val="24"/>
          <w:szCs w:val="24"/>
        </w:rPr>
        <w:t>umber</w:t>
      </w:r>
      <w:r w:rsidRPr="007050D0">
        <w:rPr>
          <w:rFonts w:cstheme="minorHAnsi"/>
          <w:sz w:val="24"/>
          <w:szCs w:val="24"/>
        </w:rPr>
        <w:t xml:space="preserve">: </w:t>
      </w:r>
      <w:r w:rsidRPr="007050D0" w:rsidR="00150456">
        <w:rPr>
          <w:rFonts w:cstheme="minorHAnsi"/>
          <w:sz w:val="24"/>
          <w:szCs w:val="24"/>
        </w:rPr>
        <w:t>1663.11</w:t>
      </w:r>
    </w:p>
    <w:p w:rsidR="00BB362A" w:rsidRPr="007050D0" w:rsidP="00BB362A" w14:paraId="444E2A85" w14:textId="2EB66726">
      <w:pPr>
        <w:pStyle w:val="NoSpacing"/>
        <w:spacing w:after="120"/>
        <w:rPr>
          <w:rFonts w:cstheme="minorHAnsi"/>
          <w:sz w:val="24"/>
          <w:szCs w:val="24"/>
        </w:rPr>
      </w:pPr>
      <w:r w:rsidRPr="007050D0">
        <w:rPr>
          <w:rFonts w:cstheme="minorHAnsi"/>
          <w:sz w:val="24"/>
          <w:szCs w:val="24"/>
        </w:rPr>
        <w:t>OMB Control N</w:t>
      </w:r>
      <w:r w:rsidRPr="007050D0" w:rsidR="007050D0">
        <w:rPr>
          <w:rFonts w:cstheme="minorHAnsi"/>
          <w:sz w:val="24"/>
          <w:szCs w:val="24"/>
        </w:rPr>
        <w:t>umber</w:t>
      </w:r>
      <w:r w:rsidRPr="007050D0">
        <w:rPr>
          <w:rFonts w:cstheme="minorHAnsi"/>
          <w:sz w:val="24"/>
          <w:szCs w:val="24"/>
        </w:rPr>
        <w:t>: 2060-0</w:t>
      </w:r>
      <w:r w:rsidRPr="007050D0" w:rsidR="00150456">
        <w:rPr>
          <w:rFonts w:cstheme="minorHAnsi"/>
          <w:sz w:val="24"/>
          <w:szCs w:val="24"/>
        </w:rPr>
        <w:t>376</w:t>
      </w:r>
    </w:p>
    <w:p w:rsidR="00FB2200" w:rsidRPr="00BB362A" w:rsidP="00FB2200" w14:paraId="6899A487" w14:textId="77777777">
      <w:pPr>
        <w:spacing w:after="0"/>
        <w:rPr>
          <w:rFonts w:cstheme="minorHAnsi"/>
        </w:rPr>
      </w:pPr>
    </w:p>
    <w:p w:rsidR="00FB2200" w:rsidRPr="007050D0" w:rsidP="00FB2200" w14:paraId="4101CB6F" w14:textId="41EAE77A">
      <w:pPr>
        <w:pStyle w:val="Heading2"/>
        <w:rPr>
          <w:rFonts w:asciiTheme="minorHAnsi" w:hAnsiTheme="minorHAnsi" w:cstheme="minorHAnsi"/>
          <w:color w:val="2F5496" w:themeColor="accent1" w:themeShade="BF"/>
          <w:sz w:val="24"/>
          <w:szCs w:val="24"/>
          <w:u w:val="single"/>
        </w:rPr>
      </w:pPr>
      <w:r w:rsidRPr="007050D0">
        <w:rPr>
          <w:rFonts w:asciiTheme="minorHAnsi" w:hAnsiTheme="minorHAnsi" w:cstheme="minorHAnsi"/>
          <w:color w:val="2F5496" w:themeColor="accent1" w:themeShade="BF"/>
          <w:sz w:val="24"/>
          <w:szCs w:val="24"/>
          <w:u w:val="single"/>
        </w:rPr>
        <w:t>Abstract</w:t>
      </w:r>
    </w:p>
    <w:p w:rsidR="00FB2200" w:rsidRPr="00BB362A" w:rsidP="00FB2200" w14:paraId="7E9A7562" w14:textId="77777777">
      <w:pPr>
        <w:spacing w:after="0"/>
        <w:rPr>
          <w:rFonts w:cstheme="minorHAnsi"/>
        </w:rPr>
      </w:pPr>
    </w:p>
    <w:p w:rsidR="00150456" w:rsidRPr="00150456" w:rsidP="007050D0" w14:paraId="17397D84" w14:textId="77777777">
      <w:pPr>
        <w:pStyle w:val="BodyText1"/>
        <w:spacing w:before="0" w:after="0"/>
        <w:ind w:firstLine="0"/>
        <w:rPr>
          <w:rFonts w:asciiTheme="minorHAnsi" w:hAnsiTheme="minorHAnsi" w:cstheme="minorHAnsi"/>
          <w:sz w:val="22"/>
          <w:szCs w:val="22"/>
        </w:rPr>
      </w:pPr>
      <w:bookmarkStart w:id="0" w:name="_Toc138175119"/>
      <w:r w:rsidRPr="00150456">
        <w:rPr>
          <w:rFonts w:asciiTheme="minorHAnsi" w:hAnsiTheme="minorHAnsi" w:cstheme="minorHAnsi"/>
          <w:sz w:val="22"/>
          <w:szCs w:val="22"/>
        </w:rPr>
        <w:t>In keeping with the requirements of the Title V operating permit program (codified at 40 CFR, Parts 70 and 71), the CAM Rule requires monitoring, compliance certification, periodic reporting, and recordkeeping information collections by owners and operators of title V sources</w:t>
      </w:r>
      <w:r>
        <w:rPr>
          <w:rStyle w:val="FootnoteReference"/>
          <w:rFonts w:asciiTheme="minorHAnsi" w:hAnsiTheme="minorHAnsi" w:cstheme="minorHAnsi"/>
          <w:sz w:val="22"/>
          <w:szCs w:val="22"/>
        </w:rPr>
        <w:footnoteReference w:id="3"/>
      </w:r>
      <w:r w:rsidRPr="00150456">
        <w:rPr>
          <w:rFonts w:asciiTheme="minorHAnsi" w:hAnsiTheme="minorHAnsi" w:cstheme="minorHAnsi"/>
          <w:sz w:val="22"/>
          <w:szCs w:val="22"/>
        </w:rPr>
        <w:t xml:space="preserve"> with controlled pollutant-specific emissions units (PSEUs) that have a pre-control potential to emit major amounts of regulated air pollutants. In addition, where the permitting authority has determined that the source has not used acceptable procedures in response to an excursion or exceedance, the CAM Rule allows permitting authorities (Pas) to require sources to prepare and implement Quality Improvement Plans (QIPs) and keep records of, and submit reports on, corrective actions taken under QIPs. </w:t>
      </w:r>
    </w:p>
    <w:p w:rsidR="00150456" w:rsidRPr="00150456" w:rsidP="00150456" w14:paraId="1390FEA8" w14:textId="77777777">
      <w:pPr>
        <w:pStyle w:val="BodyText1"/>
        <w:spacing w:before="0" w:after="0"/>
        <w:rPr>
          <w:rFonts w:asciiTheme="minorHAnsi" w:hAnsiTheme="minorHAnsi" w:cstheme="minorHAnsi"/>
          <w:sz w:val="22"/>
          <w:szCs w:val="22"/>
        </w:rPr>
      </w:pPr>
    </w:p>
    <w:p w:rsidR="00150456" w:rsidRPr="00150456" w:rsidP="00150456" w14:paraId="3C86345F" w14:textId="77777777">
      <w:pPr>
        <w:pStyle w:val="BodyText1"/>
        <w:spacing w:before="0" w:after="0"/>
        <w:rPr>
          <w:rFonts w:asciiTheme="minorHAnsi" w:hAnsiTheme="minorHAnsi" w:cstheme="minorHAnsi"/>
          <w:sz w:val="22"/>
          <w:szCs w:val="22"/>
        </w:rPr>
      </w:pPr>
      <w:r w:rsidRPr="00150456">
        <w:rPr>
          <w:rFonts w:asciiTheme="minorHAnsi" w:hAnsiTheme="minorHAnsi" w:cstheme="minorHAnsi"/>
          <w:sz w:val="22"/>
          <w:szCs w:val="22"/>
        </w:rPr>
        <w:t xml:space="preserve">The CAM Rule identifies two categories of emissions units: </w:t>
      </w:r>
    </w:p>
    <w:p w:rsidR="00150456" w:rsidRPr="00150456" w:rsidP="00150456" w14:paraId="0393E2FA" w14:textId="77777777">
      <w:pPr>
        <w:pStyle w:val="BodyText1"/>
        <w:spacing w:before="0" w:after="0"/>
        <w:rPr>
          <w:rFonts w:asciiTheme="minorHAnsi" w:hAnsiTheme="minorHAnsi" w:cstheme="minorHAnsi"/>
          <w:sz w:val="22"/>
          <w:szCs w:val="22"/>
        </w:rPr>
      </w:pPr>
    </w:p>
    <w:p w:rsidR="00150456" w:rsidRPr="00150456" w:rsidP="0039497E" w14:paraId="5B7748B7" w14:textId="77777777">
      <w:pPr>
        <w:pStyle w:val="numlist"/>
        <w:numPr>
          <w:ilvl w:val="0"/>
          <w:numId w:val="8"/>
        </w:numPr>
        <w:rPr>
          <w:rFonts w:asciiTheme="minorHAnsi" w:hAnsiTheme="minorHAnsi" w:cstheme="minorHAnsi"/>
          <w:sz w:val="22"/>
          <w:szCs w:val="22"/>
        </w:rPr>
      </w:pPr>
      <w:r w:rsidRPr="00150456">
        <w:rPr>
          <w:rFonts w:asciiTheme="minorHAnsi" w:hAnsiTheme="minorHAnsi" w:cstheme="minorHAnsi"/>
          <w:b/>
          <w:bCs/>
          <w:sz w:val="22"/>
          <w:szCs w:val="22"/>
        </w:rPr>
        <w:t xml:space="preserve">“Large” PSEUs: </w:t>
      </w:r>
      <w:r w:rsidRPr="00150456">
        <w:rPr>
          <w:rFonts w:asciiTheme="minorHAnsi" w:hAnsiTheme="minorHAnsi" w:cstheme="minorHAnsi"/>
          <w:sz w:val="22"/>
          <w:szCs w:val="22"/>
        </w:rPr>
        <w:t xml:space="preserve">units that have the potential to emit, with controls, the applicable regulated air pollutant in an amount equal to or greater than the amount required for a source to be classified as a major source, and </w:t>
      </w:r>
    </w:p>
    <w:p w:rsidR="00150456" w:rsidRPr="00150456" w:rsidP="00150456" w14:paraId="0A2D81A8" w14:textId="77777777">
      <w:pPr>
        <w:pStyle w:val="numlist"/>
        <w:ind w:firstLine="0"/>
        <w:rPr>
          <w:rFonts w:asciiTheme="minorHAnsi" w:hAnsiTheme="minorHAnsi" w:cstheme="minorHAnsi"/>
          <w:sz w:val="22"/>
          <w:szCs w:val="22"/>
        </w:rPr>
      </w:pPr>
    </w:p>
    <w:p w:rsidR="00150456" w:rsidRPr="00150456" w:rsidP="00150456" w14:paraId="0ED3B019" w14:textId="77777777">
      <w:pPr>
        <w:pStyle w:val="numlist"/>
        <w:rPr>
          <w:rFonts w:asciiTheme="minorHAnsi" w:hAnsiTheme="minorHAnsi" w:cstheme="minorHAnsi"/>
          <w:sz w:val="22"/>
          <w:szCs w:val="22"/>
        </w:rPr>
      </w:pPr>
      <w:r w:rsidRPr="00150456">
        <w:rPr>
          <w:rFonts w:asciiTheme="minorHAnsi" w:hAnsiTheme="minorHAnsi" w:cstheme="minorHAnsi"/>
          <w:b/>
          <w:bCs/>
          <w:sz w:val="22"/>
          <w:szCs w:val="22"/>
        </w:rPr>
        <w:t>(2)</w:t>
      </w:r>
      <w:r w:rsidRPr="00150456">
        <w:rPr>
          <w:rFonts w:asciiTheme="minorHAnsi" w:hAnsiTheme="minorHAnsi" w:cstheme="minorHAnsi"/>
          <w:b/>
          <w:bCs/>
          <w:sz w:val="22"/>
          <w:szCs w:val="22"/>
        </w:rPr>
        <w:tab/>
        <w:t xml:space="preserve">“Other” PSEUs: </w:t>
      </w:r>
      <w:r w:rsidRPr="00150456">
        <w:rPr>
          <w:rFonts w:asciiTheme="minorHAnsi" w:hAnsiTheme="minorHAnsi" w:cstheme="minorHAnsi"/>
          <w:sz w:val="22"/>
          <w:szCs w:val="22"/>
        </w:rPr>
        <w:t xml:space="preserve">the set of remaining affected PSEUs. </w:t>
      </w:r>
    </w:p>
    <w:p w:rsidR="00150456" w:rsidRPr="00150456" w:rsidP="00150456" w14:paraId="6A176D0C" w14:textId="77777777">
      <w:pPr>
        <w:pStyle w:val="BodyText1"/>
        <w:spacing w:before="0" w:after="0"/>
        <w:rPr>
          <w:rFonts w:asciiTheme="minorHAnsi" w:hAnsiTheme="minorHAnsi" w:cstheme="minorHAnsi"/>
          <w:sz w:val="22"/>
          <w:szCs w:val="22"/>
        </w:rPr>
      </w:pPr>
    </w:p>
    <w:p w:rsidR="00150456" w:rsidRPr="00150456" w:rsidP="007050D0" w14:paraId="1FBF4785" w14:textId="77777777">
      <w:pPr>
        <w:pStyle w:val="BodyText1"/>
        <w:spacing w:before="0" w:after="0"/>
        <w:ind w:firstLine="0"/>
        <w:rPr>
          <w:rFonts w:asciiTheme="minorHAnsi" w:hAnsiTheme="minorHAnsi" w:cstheme="minorHAnsi"/>
          <w:sz w:val="22"/>
          <w:szCs w:val="22"/>
        </w:rPr>
      </w:pPr>
      <w:r w:rsidRPr="00150456">
        <w:rPr>
          <w:rFonts w:asciiTheme="minorHAnsi" w:hAnsiTheme="minorHAnsi" w:cstheme="minorHAnsi"/>
          <w:sz w:val="22"/>
          <w:szCs w:val="22"/>
        </w:rPr>
        <w:t>These two types of units are subject to different monitoring frequency requirements, but not to different reporting or recordkeeping requirements, which are the subject of this ICR. Additionally, “large” and “other” units were initially subject to different implementation timetables under Part 64. However, this program has been in place long enough that all existing “large” and “other” PSEUs that became subject to the CAM Rule at the time of its promulgation have been integrated into the program as their Title V permits have been renewed. New PSEUs of both types are covered under the CAM program in the same manner; both types of units become subject to the CAM program at the time that a new Title V permit is issued for a new facility or an existing permit is revised to add the new unit(s). For these reasons, this analysis does not differentiate between “large” and “other” units.</w:t>
      </w:r>
    </w:p>
    <w:p w:rsidR="00150456" w:rsidRPr="00150456" w:rsidP="00150456" w14:paraId="08276AD9" w14:textId="77777777">
      <w:pPr>
        <w:pStyle w:val="BodyText1"/>
        <w:spacing w:before="0" w:after="0"/>
        <w:rPr>
          <w:rFonts w:asciiTheme="minorHAnsi" w:hAnsiTheme="minorHAnsi" w:cstheme="minorHAnsi"/>
          <w:sz w:val="22"/>
          <w:szCs w:val="22"/>
        </w:rPr>
      </w:pPr>
    </w:p>
    <w:p w:rsidR="00150456" w:rsidRPr="00150456" w:rsidP="007050D0" w14:paraId="6B3ABCC7" w14:textId="77777777">
      <w:pPr>
        <w:pStyle w:val="BodyText1"/>
        <w:spacing w:before="0" w:after="0"/>
        <w:ind w:firstLine="0"/>
        <w:rPr>
          <w:rFonts w:asciiTheme="minorHAnsi" w:hAnsiTheme="minorHAnsi" w:cstheme="minorHAnsi"/>
          <w:sz w:val="22"/>
          <w:szCs w:val="22"/>
        </w:rPr>
      </w:pPr>
      <w:r w:rsidRPr="00150456">
        <w:rPr>
          <w:rFonts w:asciiTheme="minorHAnsi" w:hAnsiTheme="minorHAnsi" w:cstheme="minorHAnsi"/>
          <w:sz w:val="22"/>
          <w:szCs w:val="22"/>
        </w:rPr>
        <w:t xml:space="preserve">Upon approval by the PA of the monitoring proposed by the source, the source </w:t>
      </w:r>
      <w:r w:rsidRPr="00150456">
        <w:rPr>
          <w:rFonts w:asciiTheme="minorHAnsi" w:hAnsiTheme="minorHAnsi" w:cstheme="minorHAnsi"/>
          <w:sz w:val="22"/>
          <w:szCs w:val="22"/>
        </w:rPr>
        <w:softHyphen/>
        <w:t xml:space="preserve">uses the approved monitoring method to collect data. These data provide the basis on which owners or </w:t>
      </w:r>
      <w:r w:rsidRPr="00150456">
        <w:rPr>
          <w:rFonts w:asciiTheme="minorHAnsi" w:hAnsiTheme="minorHAnsi" w:cstheme="minorHAnsi"/>
          <w:sz w:val="22"/>
          <w:szCs w:val="22"/>
        </w:rPr>
        <w:t>operators can certify, in accordance with the requirements of the title V operating permit program, the compliance of their emissions units with the appli</w:t>
      </w:r>
      <w:r w:rsidRPr="00150456">
        <w:rPr>
          <w:rFonts w:asciiTheme="minorHAnsi" w:hAnsiTheme="minorHAnsi" w:cstheme="minorHAnsi"/>
          <w:sz w:val="22"/>
          <w:szCs w:val="22"/>
        </w:rPr>
        <w:softHyphen/>
        <w:t>cable requirements. In addition, these data provide the basis on which owners or opera</w:t>
      </w:r>
      <w:r w:rsidRPr="00150456">
        <w:rPr>
          <w:rFonts w:asciiTheme="minorHAnsi" w:hAnsiTheme="minorHAnsi" w:cstheme="minorHAnsi"/>
          <w:sz w:val="22"/>
          <w:szCs w:val="22"/>
        </w:rPr>
        <w:softHyphen/>
        <w:t>tors submit monitoring reports on no less than a semi-annual basis, as required by the Title V operating permit program. Consistent with the record</w:t>
      </w:r>
      <w:r w:rsidRPr="00150456">
        <w:rPr>
          <w:rFonts w:asciiTheme="minorHAnsi" w:hAnsiTheme="minorHAnsi" w:cstheme="minorHAnsi"/>
          <w:sz w:val="22"/>
          <w:szCs w:val="22"/>
        </w:rPr>
        <w:softHyphen/>
        <w:t>keeping period estab</w:t>
      </w:r>
      <w:r w:rsidRPr="00150456">
        <w:rPr>
          <w:rFonts w:asciiTheme="minorHAnsi" w:hAnsiTheme="minorHAnsi" w:cstheme="minorHAnsi"/>
          <w:sz w:val="22"/>
          <w:szCs w:val="22"/>
        </w:rPr>
        <w:softHyphen/>
        <w:t xml:space="preserve">lished in the Title V operating permit program, CAM requires sources to store and maintain these data for at least 5 years. </w:t>
      </w:r>
    </w:p>
    <w:p w:rsidR="00150456" w:rsidRPr="00150456" w:rsidP="00150456" w14:paraId="4769161A" w14:textId="77777777">
      <w:pPr>
        <w:pStyle w:val="BodyText1"/>
        <w:spacing w:before="0" w:after="0"/>
        <w:rPr>
          <w:rFonts w:asciiTheme="minorHAnsi" w:hAnsiTheme="minorHAnsi" w:cstheme="minorHAnsi"/>
          <w:sz w:val="22"/>
          <w:szCs w:val="22"/>
        </w:rPr>
      </w:pPr>
    </w:p>
    <w:p w:rsidR="00150456" w:rsidRPr="00150456" w:rsidP="007050D0" w14:paraId="2581CE5F" w14:textId="77777777">
      <w:pPr>
        <w:pStyle w:val="BodyText1"/>
        <w:spacing w:before="0" w:after="0"/>
        <w:ind w:firstLine="0"/>
        <w:rPr>
          <w:rFonts w:asciiTheme="minorHAnsi" w:hAnsiTheme="minorHAnsi" w:cstheme="minorHAnsi"/>
          <w:sz w:val="22"/>
          <w:szCs w:val="22"/>
        </w:rPr>
      </w:pPr>
      <w:r w:rsidRPr="00150456">
        <w:rPr>
          <w:rFonts w:asciiTheme="minorHAnsi" w:hAnsiTheme="minorHAnsi" w:cstheme="minorHAnsi"/>
          <w:sz w:val="22"/>
          <w:szCs w:val="22"/>
        </w:rPr>
        <w:t>In the next 3 years, the information collection requirements of the CAM program will impact all new affected pollutant points (i.e., new PSEUs at new facilities and new PSEUs constructed at existing facilities) and any new and existing affected pollutant points for which QIPs must be developed. The EPA estimates that over the three-year period of this ICR, the CAM program will apply to approximately 22,036 emissions units and 117 PAs (total of approximately 22,200 respondents). This ICR estimates the expected average annual burden over the next 3 years to be about 23,500 hours, at an expected cost of about $2.42 million, for a total number of 9,388 responses. The activities at sources leading to these impacts include:</w:t>
      </w:r>
    </w:p>
    <w:p w:rsidR="00150456" w:rsidRPr="00150456" w:rsidP="00150456" w14:paraId="7FD6CDB4" w14:textId="77777777">
      <w:pPr>
        <w:pStyle w:val="BodyText1"/>
        <w:spacing w:before="0" w:after="0"/>
        <w:rPr>
          <w:rFonts w:asciiTheme="minorHAnsi" w:hAnsiTheme="minorHAnsi" w:cstheme="minorHAnsi"/>
          <w:sz w:val="22"/>
          <w:szCs w:val="22"/>
        </w:rPr>
      </w:pPr>
    </w:p>
    <w:p w:rsidR="00150456" w:rsidRPr="00150456" w:rsidP="00150456" w14:paraId="6E9E5F42"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Determination of a monitoring approach for new affected PSEUs;</w:t>
      </w:r>
    </w:p>
    <w:p w:rsidR="00150456" w:rsidRPr="00150456" w:rsidP="00150456" w14:paraId="4CB96455"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Preparation of a QIP, if necessary;</w:t>
      </w:r>
    </w:p>
    <w:p w:rsidR="00150456" w:rsidRPr="00150456" w:rsidP="00150456" w14:paraId="7F4AE65E"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 xml:space="preserve">Administrative burden for recordkeeping and reporting of corrective actions associated with a QIP; </w:t>
      </w:r>
    </w:p>
    <w:p w:rsidR="00150456" w:rsidRPr="00150456" w:rsidP="00150456" w14:paraId="7774AE03"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Installation and operation of monitoring equipment, if necessary;</w:t>
      </w:r>
    </w:p>
    <w:p w:rsidR="00150456" w:rsidRPr="00150456" w:rsidP="00150456" w14:paraId="5244B1AF"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Administrative burden for recordkeeping and reporting;</w:t>
      </w:r>
    </w:p>
    <w:p w:rsidR="00150456" w:rsidRPr="00150456" w:rsidP="00150456" w14:paraId="30616582"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Upgraded operating/maintenance activities;</w:t>
      </w:r>
    </w:p>
    <w:p w:rsidR="00150456" w:rsidRPr="00150456" w:rsidP="00150456" w14:paraId="23800B63"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Improved quality assurance; and</w:t>
      </w:r>
    </w:p>
    <w:p w:rsidR="00150456" w:rsidRPr="00150456" w:rsidP="00150456" w14:paraId="0241A2AB"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Permit fees to cover regulatory costs of the program.</w:t>
      </w:r>
    </w:p>
    <w:p w:rsidR="00150456" w:rsidRPr="00150456" w:rsidP="00150456" w14:paraId="2B0A3B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150456" w:rsidRPr="00150456" w:rsidP="007050D0" w14:paraId="4297E055" w14:textId="77777777">
      <w:pPr>
        <w:pStyle w:val="BodyText1"/>
        <w:spacing w:before="0" w:after="0"/>
        <w:ind w:firstLine="0"/>
        <w:rPr>
          <w:rFonts w:asciiTheme="minorHAnsi" w:hAnsiTheme="minorHAnsi" w:cstheme="minorHAnsi"/>
          <w:sz w:val="22"/>
          <w:szCs w:val="22"/>
        </w:rPr>
      </w:pPr>
      <w:r w:rsidRPr="00150456">
        <w:rPr>
          <w:rFonts w:asciiTheme="minorHAnsi" w:hAnsiTheme="minorHAnsi" w:cstheme="minorHAnsi"/>
          <w:sz w:val="22"/>
          <w:szCs w:val="22"/>
        </w:rPr>
        <w:t>For this ICR, we have used data from the 2019 ICR for the title V operating permit program implemented by state agencies (i.e., the part 70 program) that reflect current information on the number of existing and new title V permits that may include units that are subject to the CAM Rule.</w:t>
      </w:r>
    </w:p>
    <w:p w:rsidR="00150456" w:rsidRPr="00150456" w:rsidP="00150456" w14:paraId="5785EBC7" w14:textId="77777777">
      <w:pPr>
        <w:pStyle w:val="BodyText1"/>
        <w:spacing w:before="0" w:after="0"/>
        <w:rPr>
          <w:rFonts w:asciiTheme="minorHAnsi" w:hAnsiTheme="minorHAnsi" w:cstheme="minorHAnsi"/>
          <w:sz w:val="22"/>
          <w:szCs w:val="22"/>
        </w:rPr>
      </w:pPr>
    </w:p>
    <w:p w:rsidR="00150456" w:rsidRPr="00150456" w:rsidP="007050D0" w14:paraId="47B31566" w14:textId="77777777">
      <w:pPr>
        <w:pStyle w:val="BodyText1"/>
        <w:spacing w:before="0" w:after="0"/>
        <w:ind w:firstLine="0"/>
        <w:rPr>
          <w:rFonts w:asciiTheme="minorHAnsi" w:hAnsiTheme="minorHAnsi" w:cstheme="minorHAnsi"/>
          <w:sz w:val="22"/>
          <w:szCs w:val="22"/>
        </w:rPr>
      </w:pPr>
      <w:r w:rsidRPr="00150456">
        <w:rPr>
          <w:rFonts w:asciiTheme="minorHAnsi" w:hAnsiTheme="minorHAnsi" w:cstheme="minorHAnsi"/>
          <w:sz w:val="22"/>
          <w:szCs w:val="22"/>
        </w:rPr>
        <w:t>In addition, we reviewed and updated, where necessary:</w:t>
      </w:r>
    </w:p>
    <w:p w:rsidR="00150456" w:rsidRPr="00150456" w:rsidP="00150456" w14:paraId="3C48B74E" w14:textId="77777777">
      <w:pPr>
        <w:pStyle w:val="BodyText1"/>
        <w:spacing w:before="0" w:after="0"/>
        <w:rPr>
          <w:rFonts w:asciiTheme="minorHAnsi" w:hAnsiTheme="minorHAnsi" w:cstheme="minorHAnsi"/>
          <w:sz w:val="22"/>
          <w:szCs w:val="22"/>
        </w:rPr>
      </w:pPr>
    </w:p>
    <w:p w:rsidR="00150456" w:rsidRPr="00150456" w:rsidP="00150456" w14:paraId="4CAD0F97"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 xml:space="preserve">Labor rates; </w:t>
      </w:r>
    </w:p>
    <w:p w:rsidR="00150456" w:rsidRPr="00150456" w:rsidP="00150456" w14:paraId="263BEF0C"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 xml:space="preserve">Estimates of labor hours needed for each activity associated with CAM monitoring (CAM approach development and review, QIP development and review, record-keeping and reporting); and </w:t>
      </w:r>
    </w:p>
    <w:p w:rsidR="00150456" w:rsidRPr="00150456" w:rsidP="00150456" w14:paraId="644E5502"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The implementation schedule for CAM using current title V data for both existing and new sources.</w:t>
      </w:r>
    </w:p>
    <w:p w:rsidR="00150456" w:rsidRPr="00150456" w:rsidP="00150456" w14:paraId="2C2009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150456" w:rsidRPr="00150456" w:rsidP="007050D0" w14:paraId="641F93BA" w14:textId="77777777">
      <w:pPr>
        <w:pStyle w:val="BodyText1"/>
        <w:spacing w:before="0" w:after="0"/>
        <w:ind w:firstLine="0"/>
        <w:rPr>
          <w:rFonts w:asciiTheme="minorHAnsi" w:hAnsiTheme="minorHAnsi" w:cstheme="minorHAnsi"/>
          <w:sz w:val="22"/>
          <w:szCs w:val="22"/>
        </w:rPr>
      </w:pPr>
      <w:r w:rsidRPr="00150456">
        <w:rPr>
          <w:rFonts w:asciiTheme="minorHAnsi" w:hAnsiTheme="minorHAnsi" w:cstheme="minorHAnsi"/>
          <w:sz w:val="22"/>
          <w:szCs w:val="22"/>
        </w:rPr>
        <w:t>We make specific assumptions about permit approvals and renewals in order to project when sources would submit their proposed monitoring approaches. We make the following assumptions to develop an implementation schedule that is consistent with the Part 64 language:</w:t>
      </w:r>
    </w:p>
    <w:p w:rsidR="00150456" w:rsidRPr="00150456" w:rsidP="00150456" w14:paraId="2A731FA9" w14:textId="77777777">
      <w:pPr>
        <w:pStyle w:val="BodyText1"/>
        <w:spacing w:before="0" w:after="0"/>
        <w:rPr>
          <w:rFonts w:asciiTheme="minorHAnsi" w:hAnsiTheme="minorHAnsi" w:cstheme="minorHAnsi"/>
          <w:sz w:val="22"/>
          <w:szCs w:val="22"/>
        </w:rPr>
      </w:pPr>
      <w:r w:rsidRPr="00150456">
        <w:rPr>
          <w:rFonts w:asciiTheme="minorHAnsi" w:hAnsiTheme="minorHAnsi" w:cstheme="minorHAnsi"/>
          <w:sz w:val="22"/>
          <w:szCs w:val="22"/>
        </w:rPr>
        <w:t xml:space="preserve"> </w:t>
      </w:r>
    </w:p>
    <w:p w:rsidR="00150456" w:rsidRPr="00150456" w:rsidP="00150456" w14:paraId="1D926F1D"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All existing affected PSEUs have submitted their proposed monitoring approaches.</w:t>
      </w:r>
    </w:p>
    <w:p w:rsidR="00150456" w:rsidRPr="00150456" w:rsidP="00150456" w14:paraId="15BD6169"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 xml:space="preserve">Approximately 20 percent of existing title V permits are renewed during each year. </w:t>
      </w:r>
    </w:p>
    <w:p w:rsidR="00150456" w:rsidRPr="00150456" w:rsidP="00150456" w14:paraId="1D4EC3A0"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Each year, title V permits will be issued for 100 new facilities. These facilities will have the same average number of PSEUs as in the full CAM database.</w:t>
      </w:r>
    </w:p>
    <w:p w:rsidR="00150456" w:rsidRPr="00150456" w:rsidP="00150456" w14:paraId="71B399BA"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There is homogeneity between sources and PSEUs. Therefore, if 10 percent of all title V permits are renewed at a given time, 10 percent of all affected PSEUs will be subject to renewal of their CAM plans on that date.</w:t>
      </w:r>
    </w:p>
    <w:p w:rsidR="00150456" w:rsidRPr="00150456" w:rsidP="00150456" w14:paraId="121D7526"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 xml:space="preserve">The recordkeeping and reporting requirements for the CAM Rule for existing PSEUs are met by the requirements set forth in title V, unless a QIP is required. Therefore, in this ICR we are only attributing the recordkeeping and reporting requirements for those existing sources that are required to conduct a QIP. </w:t>
      </w:r>
    </w:p>
    <w:p w:rsidR="00150456" w:rsidRPr="00B1373A" w:rsidP="00150456" w14:paraId="0F2400F5" w14:textId="77777777">
      <w:pPr>
        <w:pStyle w:val="bullet1"/>
        <w:numPr>
          <w:ilvl w:val="0"/>
          <w:numId w:val="0"/>
        </w:numPr>
        <w:ind w:left="1080"/>
      </w:pPr>
    </w:p>
    <w:p w:rsidR="00150456" w:rsidP="007050D0" w14:paraId="73457BC9" w14:textId="77777777">
      <w:pPr>
        <w:pBdr>
          <w:top w:val="single" w:sz="6" w:space="0" w:color="FFFFFF"/>
          <w:left w:val="single" w:sz="6" w:space="0" w:color="FFFFFF"/>
          <w:bottom w:val="single" w:sz="6" w:space="0" w:color="FFFFFF"/>
          <w:right w:val="single" w:sz="6" w:space="0" w:color="FFFFFF"/>
        </w:pBdr>
      </w:pPr>
      <w:r w:rsidRPr="00B1373A">
        <w:t>Additionally, we assume that some new PSEUs would be built each year at existing permitted facilities, thus requiring a permit revision. We assume that 230 facilities nationwide would build additional PSEUs each year.</w:t>
      </w:r>
    </w:p>
    <w:p w:rsidR="00C76FE7" w:rsidRPr="00B1373A" w:rsidP="007050D0" w14:paraId="5840B504" w14:textId="5D7EE21F">
      <w:pPr>
        <w:pBdr>
          <w:top w:val="single" w:sz="6" w:space="0" w:color="FFFFFF"/>
          <w:left w:val="single" w:sz="6" w:space="0" w:color="FFFFFF"/>
          <w:bottom w:val="single" w:sz="6" w:space="0" w:color="FFFFFF"/>
          <w:right w:val="single" w:sz="6" w:space="0" w:color="FFFFFF"/>
        </w:pBdr>
      </w:pPr>
      <w:r w:rsidRPr="00B1373A">
        <w:t xml:space="preserve">The total annual burden hours and costs for source and PA respondents are reported in Table 6.6. As shown in the table, sources are estimated to incur </w:t>
      </w:r>
      <w:r>
        <w:t>19,300</w:t>
      </w:r>
      <w:r w:rsidRPr="00B1373A">
        <w:t xml:space="preserve"> labor hours and about $</w:t>
      </w:r>
      <w:r>
        <w:t>2,190</w:t>
      </w:r>
      <w:r w:rsidRPr="00B1373A">
        <w:t>,000 per year, while PAs are estimated to incur 4,2</w:t>
      </w:r>
      <w:r>
        <w:t>1</w:t>
      </w:r>
      <w:r w:rsidRPr="00B1373A">
        <w:t>0 labor hours and $2</w:t>
      </w:r>
      <w:r>
        <w:t>33</w:t>
      </w:r>
      <w:r w:rsidRPr="00B1373A">
        <w:t>,000 annually</w:t>
      </w:r>
      <w:r>
        <w:t xml:space="preserve">; therefore, the </w:t>
      </w:r>
      <w:r w:rsidRPr="00B1373A">
        <w:t>total burden for all respondents comes to about 2</w:t>
      </w:r>
      <w:r>
        <w:t>3</w:t>
      </w:r>
      <w:r w:rsidRPr="00B1373A">
        <w:t>,</w:t>
      </w:r>
      <w:r>
        <w:t>5</w:t>
      </w:r>
      <w:r w:rsidRPr="00B1373A">
        <w:t>00 hours and $</w:t>
      </w:r>
      <w:r>
        <w:t xml:space="preserve">2,420,000 </w:t>
      </w:r>
      <w:r w:rsidRPr="00B1373A">
        <w:t xml:space="preserve">per year. </w:t>
      </w:r>
      <w:r>
        <w:t>T</w:t>
      </w:r>
      <w:r w:rsidRPr="00B1373A">
        <w:t>he title V operating permit program requires the cost of administering a title V permit program to be fully repaid out of the permitting fees collected by the PA. Therefore, the true cost of the CAM Rule to states and other PAs is zero, and the cost of administration should be allocated to sources.</w:t>
      </w:r>
    </w:p>
    <w:p w:rsidR="007B5199" w:rsidRPr="00BB362A" w:rsidP="0039497E" w14:paraId="40B42AEA" w14:textId="026A5785">
      <w:pPr>
        <w:pStyle w:val="Heading2"/>
        <w:numPr>
          <w:ilvl w:val="0"/>
          <w:numId w:val="1"/>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NEED AND AUTHORITY FOR THE COLLECTION</w:t>
      </w:r>
      <w:bookmarkEnd w:id="0"/>
    </w:p>
    <w:p w:rsidR="00A27E5C" w:rsidRPr="00BB362A" w:rsidP="00A27E5C" w14:paraId="0D31D853" w14:textId="77777777">
      <w:pPr>
        <w:spacing w:after="0" w:line="240" w:lineRule="auto"/>
        <w:rPr>
          <w:rFonts w:cstheme="minorHAnsi"/>
          <w:i/>
          <w:iCs/>
          <w:color w:val="2F5496" w:themeColor="accent1" w:themeShade="BF"/>
        </w:rPr>
      </w:pPr>
    </w:p>
    <w:p w:rsidR="00150456" w:rsidRPr="00150456" w:rsidP="007050D0" w14:paraId="2B768BF7" w14:textId="77777777">
      <w:pPr>
        <w:pStyle w:val="BodyText1"/>
        <w:spacing w:before="0" w:after="0"/>
        <w:ind w:firstLine="0"/>
        <w:rPr>
          <w:rFonts w:asciiTheme="minorHAnsi" w:hAnsiTheme="minorHAnsi" w:cstheme="minorHAnsi"/>
          <w:sz w:val="22"/>
          <w:szCs w:val="22"/>
        </w:rPr>
      </w:pPr>
      <w:bookmarkStart w:id="1" w:name="_Hlk146813629"/>
      <w:bookmarkStart w:id="2" w:name="_Toc138175120"/>
      <w:r w:rsidRPr="00150456">
        <w:rPr>
          <w:rFonts w:asciiTheme="minorHAnsi" w:hAnsiTheme="minorHAnsi" w:cstheme="minorHAnsi"/>
          <w:sz w:val="22"/>
          <w:szCs w:val="22"/>
        </w:rPr>
        <w:t>Information collected as part of this information collection request (ICR) is used to issue operating permits and manage the CAM program. The operating permit program requires owners or operators of units that emit air pollutants to submit annual compliance certifications and monitoring results at least semi-annually, and to report deviations promptly, but no implemen</w:t>
      </w:r>
      <w:r w:rsidRPr="00150456">
        <w:rPr>
          <w:rFonts w:asciiTheme="minorHAnsi" w:hAnsiTheme="minorHAnsi" w:cstheme="minorHAnsi"/>
          <w:sz w:val="22"/>
          <w:szCs w:val="22"/>
        </w:rPr>
        <w:softHyphen/>
        <w:t xml:space="preserve">tation guidance is provided within the operating permit program. The CAM program ensures sources that use active air emission control devices pay attention to those devices by monitoring their performance on an ongoing basis. The CAM rule establishes the requirements to implement that monitoring for the operating permit program in a cost-effective manner. </w:t>
      </w:r>
    </w:p>
    <w:p w:rsidR="00150456" w:rsidRPr="00150456" w:rsidP="00150456" w14:paraId="7DE44D21" w14:textId="77777777">
      <w:pPr>
        <w:pStyle w:val="BodyText1"/>
        <w:spacing w:before="0" w:after="0"/>
        <w:rPr>
          <w:rFonts w:asciiTheme="minorHAnsi" w:hAnsiTheme="minorHAnsi" w:cstheme="minorHAnsi"/>
          <w:sz w:val="22"/>
          <w:szCs w:val="22"/>
        </w:rPr>
      </w:pPr>
      <w:r w:rsidRPr="00150456">
        <w:rPr>
          <w:rFonts w:asciiTheme="minorHAnsi" w:hAnsiTheme="minorHAnsi" w:cstheme="minorHAnsi"/>
          <w:sz w:val="22"/>
          <w:szCs w:val="22"/>
        </w:rPr>
        <w:t xml:space="preserve"> </w:t>
      </w:r>
    </w:p>
    <w:bookmarkEnd w:id="1"/>
    <w:p w:rsidR="00150456" w:rsidRPr="00150456" w:rsidP="007050D0" w14:paraId="3A6FF95A" w14:textId="77777777">
      <w:pPr>
        <w:pStyle w:val="BodyText1"/>
        <w:spacing w:before="0" w:after="0"/>
        <w:ind w:firstLine="0"/>
        <w:rPr>
          <w:rFonts w:asciiTheme="minorHAnsi" w:hAnsiTheme="minorHAnsi" w:cstheme="minorHAnsi"/>
          <w:sz w:val="22"/>
          <w:szCs w:val="22"/>
        </w:rPr>
      </w:pPr>
      <w:r w:rsidRPr="00150456">
        <w:rPr>
          <w:rFonts w:asciiTheme="minorHAnsi" w:hAnsiTheme="minorHAnsi" w:cstheme="minorHAnsi"/>
          <w:sz w:val="22"/>
          <w:szCs w:val="22"/>
        </w:rPr>
        <w:t>The Clean Air Act (Act) Amendments of 1990, Public Law 101-549, enacted on November 15, 1990, establish the legal authority for this information collection. Section 502(b) directs EPA to promulgate regulations that require owners or operators of certain stationary sources of air pollution to conduct monitoring and to make compliance certifications. These provisions are set forth in both title V (operating permits provisions) and title VII (enforcement provisions) of the 1990 Amendments.</w:t>
      </w:r>
    </w:p>
    <w:p w:rsidR="00150456" w:rsidRPr="00150456" w:rsidP="00150456" w14:paraId="74BDD007" w14:textId="77777777">
      <w:pPr>
        <w:pStyle w:val="BodyText1"/>
        <w:spacing w:before="0" w:after="0"/>
        <w:rPr>
          <w:rFonts w:asciiTheme="minorHAnsi" w:hAnsiTheme="minorHAnsi" w:cstheme="minorHAnsi"/>
          <w:sz w:val="22"/>
          <w:szCs w:val="22"/>
        </w:rPr>
      </w:pPr>
    </w:p>
    <w:p w:rsidR="00150456" w:rsidRPr="00150456" w:rsidP="007050D0" w14:paraId="30E290AF" w14:textId="77777777">
      <w:pPr>
        <w:pStyle w:val="BodyText1"/>
        <w:spacing w:before="0" w:after="0"/>
        <w:ind w:firstLine="0"/>
        <w:rPr>
          <w:rFonts w:asciiTheme="minorHAnsi" w:hAnsiTheme="minorHAnsi" w:cstheme="minorHAnsi"/>
          <w:sz w:val="22"/>
          <w:szCs w:val="22"/>
        </w:rPr>
      </w:pPr>
      <w:r w:rsidRPr="00150456">
        <w:rPr>
          <w:rFonts w:asciiTheme="minorHAnsi" w:hAnsiTheme="minorHAnsi" w:cstheme="minorHAnsi"/>
          <w:sz w:val="22"/>
          <w:szCs w:val="22"/>
        </w:rPr>
        <w:t>Title V directs the agency to implement monitoring and compliance certification requirements through the operating permits program. Section 503(b)(2) requires annual certifications of compliance with permit requirements and prompt reporting of deviations from permit requirements. Section 504(a) mandates that owners or operators submit to the PA the results of any required monitoring at least every 6 months. This section also requires permits to include “such other conditions as are necessary to assure compliance with applicable requirements” of the Act. Section 504(b) of the Act also allows the agency to prescribe, by rule, methods and procedures for determining compliance, and states that continu</w:t>
      </w:r>
      <w:r w:rsidRPr="00150456">
        <w:rPr>
          <w:rFonts w:asciiTheme="minorHAnsi" w:hAnsiTheme="minorHAnsi" w:cstheme="minorHAnsi"/>
          <w:sz w:val="22"/>
          <w:szCs w:val="22"/>
        </w:rPr>
        <w:softHyphen/>
        <w:t>ous emission monitoring systems need not be required if other methods or proce</w:t>
      </w:r>
      <w:r w:rsidRPr="00150456">
        <w:rPr>
          <w:rFonts w:asciiTheme="minorHAnsi" w:hAnsiTheme="minorHAnsi" w:cstheme="minorHAnsi"/>
          <w:sz w:val="22"/>
          <w:szCs w:val="22"/>
        </w:rPr>
        <w:softHyphen/>
        <w:t xml:space="preserve">dures provide </w:t>
      </w:r>
      <w:r w:rsidRPr="00150456">
        <w:rPr>
          <w:rFonts w:asciiTheme="minorHAnsi" w:hAnsiTheme="minorHAnsi" w:cstheme="minorHAnsi"/>
          <w:sz w:val="22"/>
          <w:szCs w:val="22"/>
        </w:rPr>
        <w:t>sufficiently reliable and timely information for determining compliance. Under section 504(c), each operating permit must “set forth inspection, entry, monitoring, compli</w:t>
      </w:r>
      <w:r w:rsidRPr="00150456">
        <w:rPr>
          <w:rFonts w:asciiTheme="minorHAnsi" w:hAnsiTheme="minorHAnsi" w:cstheme="minorHAnsi"/>
          <w:sz w:val="22"/>
          <w:szCs w:val="22"/>
        </w:rPr>
        <w:softHyphen/>
        <w:t>ance certification, and reporting requirements to assure compliance with the permit terms and conditions.”</w:t>
      </w:r>
    </w:p>
    <w:p w:rsidR="00150456" w:rsidRPr="00150456" w:rsidP="00150456" w14:paraId="7ED55207" w14:textId="77777777">
      <w:pPr>
        <w:pStyle w:val="BodyText1"/>
        <w:spacing w:before="0" w:after="0"/>
        <w:rPr>
          <w:rFonts w:asciiTheme="minorHAnsi" w:hAnsiTheme="minorHAnsi" w:cstheme="minorHAnsi"/>
          <w:sz w:val="22"/>
          <w:szCs w:val="22"/>
        </w:rPr>
      </w:pPr>
    </w:p>
    <w:p w:rsidR="00150456" w:rsidRPr="00150456" w:rsidP="007050D0" w14:paraId="58B8C92F" w14:textId="77777777">
      <w:pPr>
        <w:pStyle w:val="BodyText1"/>
        <w:spacing w:before="0" w:after="0"/>
        <w:ind w:firstLine="0"/>
        <w:rPr>
          <w:rFonts w:asciiTheme="minorHAnsi" w:hAnsiTheme="minorHAnsi" w:cstheme="minorHAnsi"/>
          <w:sz w:val="22"/>
          <w:szCs w:val="22"/>
        </w:rPr>
      </w:pPr>
      <w:r w:rsidRPr="00150456">
        <w:rPr>
          <w:rFonts w:asciiTheme="minorHAnsi" w:hAnsiTheme="minorHAnsi" w:cstheme="minorHAnsi"/>
          <w:sz w:val="22"/>
          <w:szCs w:val="22"/>
        </w:rPr>
        <w:t>Title VII of the 1990 Amendments added 114(a)(3) – a new section that requires the EPA to promulgate rules on enhanced monitoring and compliance certifications. This paragraph provided, in part:</w:t>
      </w:r>
    </w:p>
    <w:p w:rsidR="00150456" w:rsidRPr="00150456" w:rsidP="00150456" w14:paraId="440AE69E" w14:textId="77777777">
      <w:pPr>
        <w:pStyle w:val="BodyText1"/>
        <w:spacing w:before="0" w:after="0"/>
        <w:rPr>
          <w:rFonts w:asciiTheme="minorHAnsi" w:hAnsiTheme="minorHAnsi" w:cstheme="minorHAnsi"/>
          <w:sz w:val="22"/>
          <w:szCs w:val="22"/>
        </w:rPr>
      </w:pPr>
    </w:p>
    <w:p w:rsidR="00150456" w:rsidRPr="00150456" w:rsidP="00150456" w14:paraId="713E0D5E"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right="720"/>
        <w:rPr>
          <w:rFonts w:cstheme="minorHAnsi"/>
        </w:rPr>
      </w:pPr>
      <w:r w:rsidRPr="00150456">
        <w:rPr>
          <w:rFonts w:cstheme="minorHAnsi"/>
        </w:rPr>
        <w:t>“The Administrator shall in the case of any person which is the owner or operator of a major stationary source, and may, in the case of any other person, require enhanced monitoring and submission of compliance certifications. Com</w:t>
      </w:r>
      <w:r w:rsidRPr="00150456">
        <w:rPr>
          <w:rFonts w:cstheme="minorHAnsi"/>
        </w:rPr>
        <w:softHyphen/>
        <w:t>pliance certifications shall include (A) identification of the applicable re</w:t>
      </w:r>
      <w:r w:rsidRPr="00150456">
        <w:rPr>
          <w:rFonts w:cstheme="minorHAnsi"/>
        </w:rPr>
        <w:softHyphen/>
        <w:t>quirement that is the basis of the certification, (B) the method used for deter</w:t>
      </w:r>
      <w:r w:rsidRPr="00150456">
        <w:rPr>
          <w:rFonts w:cstheme="minorHAnsi"/>
        </w:rPr>
        <w:softHyphen/>
        <w:t>mining the compliance status of the source, (C) the compliance status, (D) whether compliance is continuous or intermittent, (E) such other facts as the Administrator may require.”</w:t>
      </w:r>
    </w:p>
    <w:p w:rsidR="00150456" w:rsidRPr="00150456" w:rsidP="007050D0" w14:paraId="63E2D452" w14:textId="77777777">
      <w:pPr>
        <w:pStyle w:val="BodyText1"/>
        <w:spacing w:before="0" w:after="0"/>
        <w:ind w:firstLine="0"/>
        <w:rPr>
          <w:rFonts w:asciiTheme="minorHAnsi" w:hAnsiTheme="minorHAnsi" w:cstheme="minorHAnsi"/>
          <w:sz w:val="22"/>
          <w:szCs w:val="22"/>
        </w:rPr>
      </w:pPr>
      <w:r w:rsidRPr="00150456">
        <w:rPr>
          <w:rFonts w:asciiTheme="minorHAnsi" w:hAnsiTheme="minorHAnsi" w:cstheme="minorHAnsi"/>
          <w:sz w:val="22"/>
          <w:szCs w:val="22"/>
        </w:rPr>
        <w:t>The 1990 Amendments also revised section 114(a)(1) of the Act to provide additional authority concerning monitoring, reporting and recordkeeping requirements. As amended, that section provides the Administrator with the authority to require any owner or operator of a source, on a one-time, periodic, or continuous basis to:</w:t>
      </w:r>
    </w:p>
    <w:p w:rsidR="00150456" w:rsidRPr="00150456" w:rsidP="00150456" w14:paraId="0FF84873" w14:textId="77777777">
      <w:pPr>
        <w:pStyle w:val="BodyText1"/>
        <w:spacing w:before="0" w:after="0"/>
        <w:rPr>
          <w:rFonts w:asciiTheme="minorHAnsi" w:hAnsiTheme="minorHAnsi" w:cstheme="minorHAnsi"/>
          <w:sz w:val="22"/>
          <w:szCs w:val="22"/>
        </w:rPr>
      </w:pPr>
    </w:p>
    <w:p w:rsidR="00150456" w:rsidRPr="00150456" w:rsidP="00150456" w14:paraId="43002484"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Establish and maintain such records;</w:t>
      </w:r>
    </w:p>
    <w:p w:rsidR="00150456" w:rsidRPr="00150456" w:rsidP="00150456" w14:paraId="7785B364"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Make such reports;</w:t>
      </w:r>
    </w:p>
    <w:p w:rsidR="00150456" w:rsidRPr="00150456" w:rsidP="00150456" w14:paraId="5F40028E"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Install, use, and maintain such monitoring equipment;</w:t>
      </w:r>
    </w:p>
    <w:p w:rsidR="00150456" w:rsidRPr="00150456" w:rsidP="00150456" w14:paraId="35AEEBE9"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Sample such emissions (in accordance with such procedures or methods, at such locations, at such intervals, during such periods and in such manner as the Administrator shall prescribe);</w:t>
      </w:r>
    </w:p>
    <w:p w:rsidR="00150456" w:rsidRPr="00150456" w:rsidP="00150456" w14:paraId="129D19D2"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Keep records on control equipment parameters, production variables, or other indirect data when direct monitoring of emissions isn’t practical;</w:t>
      </w:r>
    </w:p>
    <w:p w:rsidR="00150456" w:rsidRPr="00150456" w:rsidP="00150456" w14:paraId="2FF44E67"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Submit compliance certifications in accordance with section 114(a)(3); and</w:t>
      </w:r>
    </w:p>
    <w:p w:rsidR="00150456" w:rsidRPr="00150456" w:rsidP="00150456" w14:paraId="4A709956"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Provide such other information as the Administrator may reasonably require.</w:t>
      </w:r>
    </w:p>
    <w:p w:rsidR="00150456" w:rsidRPr="00150456" w:rsidP="00150456" w14:paraId="5CB762DD"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150456" w:rsidRPr="00150456" w:rsidP="007050D0" w14:paraId="0258A456" w14:textId="77777777">
      <w:pPr>
        <w:pStyle w:val="BodyText1"/>
        <w:spacing w:before="0" w:after="0"/>
        <w:ind w:firstLine="0"/>
        <w:rPr>
          <w:rFonts w:asciiTheme="minorHAnsi" w:hAnsiTheme="minorHAnsi" w:cstheme="minorHAnsi"/>
          <w:sz w:val="22"/>
          <w:szCs w:val="22"/>
        </w:rPr>
      </w:pPr>
      <w:r w:rsidRPr="00150456">
        <w:rPr>
          <w:rFonts w:asciiTheme="minorHAnsi" w:hAnsiTheme="minorHAnsi" w:cstheme="minorHAnsi"/>
          <w:sz w:val="22"/>
          <w:szCs w:val="22"/>
        </w:rPr>
        <w:t>Obtaining ongoing compliance is a two-step process. First, the agency must assure properly designed control measures are installed or otherwise employed. These measures include control devices, process modifications, operating limitations, and other control mea</w:t>
      </w:r>
      <w:r w:rsidRPr="00150456">
        <w:rPr>
          <w:rFonts w:asciiTheme="minorHAnsi" w:hAnsiTheme="minorHAnsi" w:cstheme="minorHAnsi"/>
          <w:sz w:val="22"/>
          <w:szCs w:val="22"/>
        </w:rPr>
        <w:softHyphen/>
        <w:t>sures, as applicable. Furthermore, the agency must assure the control measures are proven to be capable of achieving applicable requirements. In the past, this step has been addressed through new source review permitting, initial stack testing, compliance inspections and similar mecha</w:t>
      </w:r>
      <w:r w:rsidRPr="00150456">
        <w:rPr>
          <w:rFonts w:asciiTheme="minorHAnsi" w:hAnsiTheme="minorHAnsi" w:cstheme="minorHAnsi"/>
          <w:sz w:val="22"/>
          <w:szCs w:val="22"/>
        </w:rPr>
        <w:softHyphen/>
        <w:t>nisms. The title V permit application and review process, including the applicant’s initial com</w:t>
      </w:r>
      <w:r w:rsidRPr="00150456">
        <w:rPr>
          <w:rFonts w:asciiTheme="minorHAnsi" w:hAnsiTheme="minorHAnsi" w:cstheme="minorHAnsi"/>
          <w:sz w:val="22"/>
          <w:szCs w:val="22"/>
        </w:rPr>
        <w:softHyphen/>
        <w:t>pliance certification and compliance plan obligations, add another tool for assuring that source owners or operators have adopted proper control measures for achieving compliance.</w:t>
      </w:r>
    </w:p>
    <w:p w:rsidR="00150456" w:rsidRPr="00150456" w:rsidP="00150456" w14:paraId="1DA527E0" w14:textId="77777777">
      <w:pPr>
        <w:pStyle w:val="BodyText1"/>
        <w:spacing w:before="0" w:after="0"/>
        <w:rPr>
          <w:rFonts w:asciiTheme="minorHAnsi" w:hAnsiTheme="minorHAnsi" w:cstheme="minorHAnsi"/>
          <w:sz w:val="22"/>
          <w:szCs w:val="22"/>
        </w:rPr>
      </w:pPr>
    </w:p>
    <w:p w:rsidR="00150456" w:rsidRPr="00150456" w:rsidP="007050D0" w14:paraId="63F76B6E" w14:textId="77777777">
      <w:pPr>
        <w:pStyle w:val="BodyText1"/>
        <w:spacing w:before="0" w:after="0"/>
        <w:ind w:firstLine="0"/>
        <w:rPr>
          <w:rFonts w:asciiTheme="minorHAnsi" w:hAnsiTheme="minorHAnsi" w:cstheme="minorHAnsi"/>
          <w:sz w:val="22"/>
          <w:szCs w:val="22"/>
        </w:rPr>
      </w:pPr>
      <w:r w:rsidRPr="00150456">
        <w:rPr>
          <w:rFonts w:asciiTheme="minorHAnsi" w:hAnsiTheme="minorHAnsi" w:cstheme="minorHAnsi"/>
          <w:sz w:val="22"/>
          <w:szCs w:val="22"/>
        </w:rPr>
        <w:t>The second step involves monitoring by sources to determine continued assurance that the source’s control measures, once installed or otherwise employed, are properly operated and maintained so that they do not deteriorate to the point where the owner or operator fails to remain in compliance with appli</w:t>
      </w:r>
      <w:r w:rsidRPr="00150456">
        <w:rPr>
          <w:rFonts w:asciiTheme="minorHAnsi" w:hAnsiTheme="minorHAnsi" w:cstheme="minorHAnsi"/>
          <w:sz w:val="22"/>
          <w:szCs w:val="22"/>
        </w:rPr>
        <w:softHyphen/>
        <w:t>cable requirements. The agency believes that monitoring, reporting, recordkeeping and on</w:t>
      </w:r>
      <w:r w:rsidRPr="00150456">
        <w:rPr>
          <w:rFonts w:asciiTheme="minorHAnsi" w:hAnsiTheme="minorHAnsi" w:cstheme="minorHAnsi"/>
          <w:sz w:val="22"/>
          <w:szCs w:val="22"/>
        </w:rPr>
        <w:softHyphen/>
        <w:t>going or recurring compliance certifi</w:t>
      </w:r>
      <w:r w:rsidRPr="00150456">
        <w:rPr>
          <w:rFonts w:asciiTheme="minorHAnsi" w:hAnsiTheme="minorHAnsi" w:cstheme="minorHAnsi"/>
          <w:sz w:val="22"/>
          <w:szCs w:val="22"/>
        </w:rPr>
        <w:softHyphen/>
        <w:t xml:space="preserve">cation requirements under titles V and VII should be designed so that owners or operators carry out this second step in assuring ongoing compliance. The agency has adopted </w:t>
      </w:r>
      <w:r w:rsidRPr="00150456">
        <w:rPr>
          <w:rFonts w:asciiTheme="minorHAnsi" w:hAnsiTheme="minorHAnsi" w:cstheme="minorHAnsi"/>
          <w:sz w:val="22"/>
          <w:szCs w:val="22"/>
        </w:rPr>
        <w:t xml:space="preserve">the CAM approach to assure the proper operation and maintenance of control measures employed by sources. The CAM Rule establishes monitoring to: </w:t>
      </w:r>
    </w:p>
    <w:p w:rsidR="00150456" w:rsidRPr="00150456" w:rsidP="00150456" w14:paraId="25E14E81" w14:textId="77777777">
      <w:pPr>
        <w:pStyle w:val="BodyText1"/>
        <w:spacing w:before="0" w:after="0"/>
        <w:rPr>
          <w:rFonts w:asciiTheme="minorHAnsi" w:hAnsiTheme="minorHAnsi" w:cstheme="minorHAnsi"/>
          <w:sz w:val="22"/>
          <w:szCs w:val="22"/>
        </w:rPr>
      </w:pPr>
    </w:p>
    <w:p w:rsidR="00150456" w:rsidRPr="00150456" w:rsidP="00150456" w14:paraId="4F8D61C9"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Document continued operation of the control measures within ranges of specified indicators of performance (such as emissions, con</w:t>
      </w:r>
      <w:r w:rsidRPr="00150456">
        <w:rPr>
          <w:rFonts w:asciiTheme="minorHAnsi" w:hAnsiTheme="minorHAnsi" w:cstheme="minorHAnsi"/>
          <w:sz w:val="22"/>
          <w:szCs w:val="22"/>
        </w:rPr>
        <w:softHyphen/>
        <w:t>trol device parameters and process parameters) that are designed to provide a reasonable assurance of compliance with applicable requirements;</w:t>
      </w:r>
    </w:p>
    <w:p w:rsidR="00150456" w:rsidRPr="00150456" w:rsidP="00150456" w14:paraId="7DED3B53"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Indicate any excursions from these ranges; and</w:t>
      </w:r>
    </w:p>
    <w:p w:rsidR="00150456" w:rsidRPr="00150456" w:rsidP="00150456" w14:paraId="1109E128"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Respond to the data so that excursions are corrected.</w:t>
      </w:r>
    </w:p>
    <w:p w:rsidR="00150456" w:rsidRPr="00150456" w:rsidP="00150456" w14:paraId="430F74B4" w14:textId="77777777">
      <w:pPr>
        <w:pStyle w:val="bullet1"/>
        <w:numPr>
          <w:ilvl w:val="0"/>
          <w:numId w:val="0"/>
        </w:numPr>
        <w:ind w:left="1080"/>
        <w:rPr>
          <w:rFonts w:asciiTheme="minorHAnsi" w:hAnsiTheme="minorHAnsi" w:cstheme="minorHAnsi"/>
          <w:sz w:val="22"/>
          <w:szCs w:val="22"/>
        </w:rPr>
      </w:pPr>
    </w:p>
    <w:p w:rsidR="00150456" w:rsidRPr="00150456" w:rsidP="007050D0" w14:paraId="42FCE792" w14:textId="77777777">
      <w:pPr>
        <w:pStyle w:val="BodyText1"/>
        <w:spacing w:before="0" w:after="0"/>
        <w:ind w:firstLine="0"/>
        <w:rPr>
          <w:rFonts w:asciiTheme="minorHAnsi" w:hAnsiTheme="minorHAnsi" w:cstheme="minorHAnsi"/>
          <w:sz w:val="22"/>
          <w:szCs w:val="22"/>
        </w:rPr>
      </w:pPr>
      <w:r w:rsidRPr="00150456">
        <w:rPr>
          <w:rFonts w:asciiTheme="minorHAnsi" w:hAnsiTheme="minorHAnsi" w:cstheme="minorHAnsi"/>
          <w:sz w:val="22"/>
          <w:szCs w:val="22"/>
        </w:rPr>
        <w:t>This type of monitoring is an appropriate approach to enhanced monitoring in the context of title V permitting for significant emission units that use control devices to achieve compliance with emission limits. In particular, the CAM Rule:</w:t>
      </w:r>
    </w:p>
    <w:p w:rsidR="00150456" w:rsidRPr="00150456" w:rsidP="00150456" w14:paraId="7B4C9F22" w14:textId="77777777">
      <w:pPr>
        <w:pStyle w:val="BodyText1"/>
        <w:spacing w:before="0" w:after="0"/>
        <w:rPr>
          <w:rFonts w:asciiTheme="minorHAnsi" w:hAnsiTheme="minorHAnsi" w:cstheme="minorHAnsi"/>
          <w:sz w:val="22"/>
          <w:szCs w:val="22"/>
        </w:rPr>
      </w:pPr>
    </w:p>
    <w:p w:rsidR="00150456" w:rsidRPr="00150456" w:rsidP="00150456" w14:paraId="4581C60D"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Provides cost-effective achievement of air pollution emission reductions;</w:t>
      </w:r>
    </w:p>
    <w:p w:rsidR="00150456" w:rsidRPr="00150456" w:rsidP="00150456" w14:paraId="1E97AD60"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Establishes voluntary compliance and self-certification by owners or operators; and</w:t>
      </w:r>
    </w:p>
    <w:p w:rsidR="00150456" w:rsidRPr="00150456" w:rsidP="00150456" w14:paraId="3BE30EBF" w14:textId="77777777">
      <w:pPr>
        <w:pStyle w:val="bullet1"/>
        <w:rPr>
          <w:rFonts w:asciiTheme="minorHAnsi" w:hAnsiTheme="minorHAnsi" w:cstheme="minorHAnsi"/>
          <w:sz w:val="22"/>
          <w:szCs w:val="22"/>
        </w:rPr>
      </w:pPr>
      <w:r w:rsidRPr="00150456">
        <w:rPr>
          <w:rFonts w:asciiTheme="minorHAnsi" w:hAnsiTheme="minorHAnsi" w:cstheme="minorHAnsi"/>
          <w:sz w:val="22"/>
          <w:szCs w:val="22"/>
        </w:rPr>
        <w:t>Holds owners or operators accountable for regulated air pollutants emitted by units.</w:t>
      </w:r>
    </w:p>
    <w:p w:rsidR="009F71F1" w:rsidRPr="00E207CD" w:rsidP="00E207CD" w14:paraId="05452505" w14:textId="77777777">
      <w:pPr>
        <w:ind w:firstLine="360"/>
      </w:pPr>
    </w:p>
    <w:p w:rsidR="00A27E5C" w:rsidRPr="00BB362A" w:rsidP="0039497E" w14:paraId="6D844A64" w14:textId="73A0076C">
      <w:pPr>
        <w:pStyle w:val="Heading2"/>
        <w:numPr>
          <w:ilvl w:val="0"/>
          <w:numId w:val="1"/>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PRACTICAL UTILITY/USERS OF THE DATA</w:t>
      </w:r>
      <w:bookmarkEnd w:id="2"/>
    </w:p>
    <w:p w:rsidR="00A27E5C" w:rsidRPr="00BB362A" w:rsidP="00A27E5C" w14:paraId="0726BD0B" w14:textId="77777777">
      <w:pPr>
        <w:spacing w:after="0" w:line="240" w:lineRule="auto"/>
        <w:rPr>
          <w:rFonts w:cstheme="minorHAnsi"/>
          <w:i/>
          <w:iCs/>
          <w:color w:val="2F5496" w:themeColor="accent1" w:themeShade="BF"/>
        </w:rPr>
      </w:pPr>
    </w:p>
    <w:p w:rsidR="00150456" w:rsidRPr="00150456" w:rsidP="007050D0" w14:paraId="435B174D" w14:textId="77777777">
      <w:pPr>
        <w:pStyle w:val="BodyText1"/>
        <w:spacing w:before="0" w:after="0"/>
        <w:ind w:firstLine="0"/>
        <w:rPr>
          <w:rFonts w:asciiTheme="minorHAnsi" w:hAnsiTheme="minorHAnsi" w:cstheme="minorHAnsi"/>
          <w:sz w:val="22"/>
          <w:szCs w:val="22"/>
        </w:rPr>
      </w:pPr>
      <w:bookmarkStart w:id="3" w:name="_Toc138175121"/>
      <w:r w:rsidRPr="00150456">
        <w:rPr>
          <w:rFonts w:asciiTheme="minorHAnsi" w:hAnsiTheme="minorHAnsi" w:cstheme="minorHAnsi"/>
          <w:sz w:val="22"/>
          <w:szCs w:val="22"/>
        </w:rPr>
        <w:t>Owners or operators of affected emissions units will use information collected as part of this ICR as the basis for the compliance certification required by the operating permit program, and as the basis for compliance assurance monitoring reports. Sources will also use the information to determine and maintain the efficiency of the process or emissions control devices.</w:t>
      </w:r>
    </w:p>
    <w:p w:rsidR="00150456" w:rsidRPr="00150456" w:rsidP="00150456" w14:paraId="1899C1D0" w14:textId="77777777">
      <w:pPr>
        <w:pStyle w:val="BodyText1"/>
        <w:spacing w:before="0" w:after="0"/>
        <w:rPr>
          <w:rFonts w:asciiTheme="minorHAnsi" w:hAnsiTheme="minorHAnsi" w:cstheme="minorHAnsi"/>
          <w:sz w:val="22"/>
          <w:szCs w:val="22"/>
        </w:rPr>
      </w:pPr>
    </w:p>
    <w:p w:rsidR="00150456" w:rsidRPr="00150456" w:rsidP="007050D0" w14:paraId="5DACFE0F" w14:textId="77777777">
      <w:pPr>
        <w:pStyle w:val="BodyText1"/>
        <w:spacing w:before="0" w:after="0"/>
        <w:ind w:firstLine="0"/>
        <w:rPr>
          <w:rFonts w:asciiTheme="minorHAnsi" w:hAnsiTheme="minorHAnsi" w:cstheme="minorHAnsi"/>
          <w:sz w:val="22"/>
          <w:szCs w:val="22"/>
        </w:rPr>
      </w:pPr>
      <w:r w:rsidRPr="00150456">
        <w:rPr>
          <w:rFonts w:asciiTheme="minorHAnsi" w:hAnsiTheme="minorHAnsi" w:cstheme="minorHAnsi"/>
          <w:sz w:val="22"/>
          <w:szCs w:val="22"/>
        </w:rPr>
        <w:t>The Pas will use the information collected and submitted in permit applications in determining acceptability of proposed compliance assurance monitoring. The Pas will use source monitoring data to assess com</w:t>
      </w:r>
      <w:r w:rsidRPr="00150456">
        <w:rPr>
          <w:rFonts w:asciiTheme="minorHAnsi" w:hAnsiTheme="minorHAnsi" w:cstheme="minorHAnsi"/>
          <w:sz w:val="22"/>
          <w:szCs w:val="22"/>
        </w:rPr>
        <w:softHyphen/>
        <w:t>pliance, as input into reports to other agencies, and, when necessary, as evidence in enforcement proceedings. The Pas will use the information on excursions and exceedances collected from owners or operators to require the development and implementation by source operators of a QIP, when necessary. The QIP will address the timetable, methods and pro</w:t>
      </w:r>
      <w:r w:rsidRPr="00150456">
        <w:rPr>
          <w:rFonts w:asciiTheme="minorHAnsi" w:hAnsiTheme="minorHAnsi" w:cstheme="minorHAnsi"/>
          <w:sz w:val="22"/>
          <w:szCs w:val="22"/>
        </w:rPr>
        <w:softHyphen/>
        <w:t>cedures for dealing with these excursions and exceedances.</w:t>
      </w:r>
    </w:p>
    <w:p w:rsidR="00150456" w:rsidRPr="00150456" w:rsidP="00150456" w14:paraId="509B79D0" w14:textId="77777777">
      <w:pPr>
        <w:pStyle w:val="BodyText1"/>
        <w:spacing w:before="0" w:after="0"/>
        <w:rPr>
          <w:rFonts w:asciiTheme="minorHAnsi" w:hAnsiTheme="minorHAnsi" w:cstheme="minorHAnsi"/>
          <w:sz w:val="22"/>
          <w:szCs w:val="22"/>
        </w:rPr>
      </w:pPr>
    </w:p>
    <w:p w:rsidR="00150456" w:rsidRPr="00150456" w:rsidP="007050D0" w14:paraId="779CFDC5" w14:textId="77777777">
      <w:pPr>
        <w:pStyle w:val="BodyText1"/>
        <w:spacing w:before="0" w:after="0"/>
        <w:ind w:firstLine="0"/>
        <w:rPr>
          <w:rFonts w:asciiTheme="minorHAnsi" w:hAnsiTheme="minorHAnsi" w:cstheme="minorHAnsi"/>
          <w:sz w:val="22"/>
          <w:szCs w:val="22"/>
        </w:rPr>
      </w:pPr>
      <w:r w:rsidRPr="00150456">
        <w:rPr>
          <w:rFonts w:asciiTheme="minorHAnsi" w:hAnsiTheme="minorHAnsi" w:cstheme="minorHAnsi"/>
          <w:sz w:val="22"/>
          <w:szCs w:val="22"/>
        </w:rPr>
        <w:t>The Pas will also collect summaries of information on compliance and will review the information as part of their permitting responsibilities and ongoing compliance activities. The information may be entered into local, regional, or national databases for review and action by air pollution control agencies. Other Federal entities, such as the Department of Energy, may request and use the information collected to fulfill specific mission objectives. Citizens may request the information collected in order to determine the compliance status of any emissions unit or particular group of emissions units.</w:t>
      </w:r>
    </w:p>
    <w:p w:rsidR="006D18D6" w:rsidP="00E207CD" w14:paraId="0B4B3EB9" w14:textId="77777777">
      <w:pPr>
        <w:ind w:firstLine="360"/>
      </w:pPr>
    </w:p>
    <w:p w:rsidR="00EF7A31" w:rsidRPr="00BB362A" w:rsidP="0039497E" w14:paraId="5E71CA8C" w14:textId="74CE8804">
      <w:pPr>
        <w:pStyle w:val="Heading2"/>
        <w:numPr>
          <w:ilvl w:val="0"/>
          <w:numId w:val="1"/>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USE OF TECHNOLOGY</w:t>
      </w:r>
      <w:bookmarkEnd w:id="3"/>
    </w:p>
    <w:p w:rsidR="00EF7A31" w:rsidRPr="00BB362A" w:rsidP="00EF7A31" w14:paraId="4E745797" w14:textId="77777777">
      <w:pPr>
        <w:spacing w:after="0" w:line="240" w:lineRule="auto"/>
        <w:rPr>
          <w:rFonts w:cstheme="minorHAnsi"/>
          <w:i/>
          <w:iCs/>
          <w:color w:val="2F5496" w:themeColor="accent1" w:themeShade="BF"/>
        </w:rPr>
      </w:pPr>
    </w:p>
    <w:p w:rsidR="00D208F5" w:rsidP="007050D0" w14:paraId="44A6B3EC" w14:textId="77777777">
      <w:pPr>
        <w:pBdr>
          <w:top w:val="single" w:sz="6" w:space="0" w:color="FFFFFF"/>
          <w:left w:val="single" w:sz="6" w:space="0" w:color="FFFFFF"/>
          <w:bottom w:val="single" w:sz="6" w:space="0" w:color="FFFFFF"/>
          <w:right w:val="single" w:sz="6" w:space="0" w:color="FFFFFF"/>
        </w:pBdr>
        <w:rPr>
          <w:color w:val="000000"/>
        </w:rPr>
      </w:pPr>
      <w:bookmarkStart w:id="4" w:name="_Toc138175122"/>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E207CD" w:rsidRPr="007050D0" w:rsidP="007050D0" w14:paraId="625A3896" w14:textId="08BA62AF">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Pr>
          <w:bdr w:val="none" w:sz="0" w:space="0" w:color="auto" w:frame="1"/>
          <w:shd w:val="clear" w:color="auto" w:fill="FFFFFF"/>
        </w:rPr>
        <w:t>For additional information on the Paperwork Reduction Act requirements for CEDRI and ERT for this rule, see:</w:t>
      </w:r>
      <w:r w:rsidRPr="00E30B71">
        <w:t xml:space="preserve"> </w:t>
      </w:r>
      <w:hyperlink r:id="rId10" w:history="1">
        <w:r w:rsidRPr="00AA7814">
          <w:rPr>
            <w:rStyle w:val="Hyperlink"/>
            <w:bdr w:val="none" w:sz="0" w:space="0" w:color="auto" w:frame="1"/>
            <w:shd w:val="clear" w:color="auto" w:fill="FFFFFF"/>
          </w:rPr>
          <w:t>https://www.epa.gov/electronic-reporting-air-emissions/paperwork-reduction-act-pra-cedri-and-ert</w:t>
        </w:r>
      </w:hyperlink>
      <w:r w:rsidRPr="007467B4">
        <w:rPr>
          <w:bdr w:val="none" w:sz="0" w:space="0" w:color="auto" w:frame="1"/>
          <w:shd w:val="clear" w:color="auto" w:fill="FFFFFF"/>
        </w:rPr>
        <w:t xml:space="preserve">. </w:t>
      </w:r>
    </w:p>
    <w:p w:rsidR="00313941" w:rsidRPr="00BB362A" w:rsidP="0039497E" w14:paraId="5607617C" w14:textId="27FE5045">
      <w:pPr>
        <w:pStyle w:val="Heading2"/>
        <w:numPr>
          <w:ilvl w:val="0"/>
          <w:numId w:val="1"/>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EFFORTS TO IDENTIFY DUPLICATION</w:t>
      </w:r>
      <w:bookmarkEnd w:id="4"/>
    </w:p>
    <w:p w:rsidR="00251151" w:rsidRPr="00BB362A" w:rsidP="00251151" w14:paraId="46B33C66" w14:textId="77777777">
      <w:pPr>
        <w:spacing w:after="0"/>
        <w:rPr>
          <w:rFonts w:cstheme="minorHAnsi"/>
        </w:rPr>
      </w:pPr>
    </w:p>
    <w:p w:rsidR="00D208F5" w:rsidRPr="00C2600C" w:rsidP="007050D0" w14:paraId="5682A3AE" w14:textId="77777777">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bookmarkStart w:id="6" w:name="_Toc138175123"/>
      <w:bookmarkStart w:id="7" w:name="q5"/>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D208F5" w:rsidRPr="00C2600C" w:rsidP="00D208F5" w14:paraId="3DD65B0A" w14:textId="277E373F">
      <w:pPr>
        <w:rPr>
          <w:shd w:val="clear" w:color="auto" w:fill="FFFFFF"/>
        </w:rPr>
      </w:pPr>
      <w:r w:rsidRPr="00C2600C">
        <w:rPr>
          <w:shd w:val="clear" w:color="auto" w:fill="FFFFFF"/>
        </w:rPr>
        <w:t xml:space="preserve">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w:t>
      </w:r>
      <w:r>
        <w:rPr>
          <w:shd w:val="clear" w:color="auto" w:fill="FFFFFF"/>
        </w:rPr>
        <w:t xml:space="preserve">either </w:t>
      </w:r>
      <w:r w:rsidRPr="00C2600C">
        <w:rPr>
          <w:shd w:val="clear" w:color="auto" w:fill="FFFFFF"/>
        </w:rPr>
        <w:t>the state or local agency can be sent to the Administrator in lieu of the report required by the Federal standards. Therefore, duplication does not exist. </w:t>
      </w:r>
    </w:p>
    <w:bookmarkEnd w:id="5"/>
    <w:p w:rsidR="00251151" w:rsidRPr="00BB362A" w:rsidP="0039497E" w14:paraId="69BFB018" w14:textId="0164855D">
      <w:pPr>
        <w:pStyle w:val="Heading2"/>
        <w:numPr>
          <w:ilvl w:val="0"/>
          <w:numId w:val="1"/>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MINIMIZING BURDEN ON SMALL ENTITIES</w:t>
      </w:r>
      <w:bookmarkEnd w:id="6"/>
    </w:p>
    <w:p w:rsidR="00251151" w:rsidRPr="00BB362A" w:rsidP="00251151" w14:paraId="79D36B3F" w14:textId="79BA74C0">
      <w:pPr>
        <w:spacing w:after="0" w:line="240" w:lineRule="auto"/>
        <w:rPr>
          <w:rFonts w:cstheme="minorHAnsi"/>
          <w:i/>
          <w:iCs/>
          <w:color w:val="2F5496" w:themeColor="accent1" w:themeShade="BF"/>
        </w:rPr>
      </w:pPr>
    </w:p>
    <w:p w:rsidR="00E207CD" w:rsidRPr="007050D0" w:rsidP="007050D0" w14:paraId="5CE56029" w14:textId="1832F79F">
      <w:pPr>
        <w:pBdr>
          <w:top w:val="single" w:sz="6" w:space="0" w:color="FFFFFF"/>
          <w:left w:val="single" w:sz="6" w:space="0" w:color="FFFFFF"/>
          <w:bottom w:val="single" w:sz="6" w:space="0" w:color="FFFFFF"/>
          <w:right w:val="single" w:sz="6" w:space="0" w:color="FFFFFF"/>
        </w:pBdr>
      </w:pPr>
      <w:bookmarkStart w:id="8" w:name="_Toc138175124"/>
      <w:bookmarkStart w:id="9" w:name="q6"/>
      <w:bookmarkEnd w:id="7"/>
      <w:r w:rsidRPr="0089703F">
        <w:t xml:space="preserve">The </w:t>
      </w:r>
      <w:r>
        <w:t>A</w:t>
      </w:r>
      <w:r w:rsidRPr="0089703F">
        <w:t>gency assessed the impacts of the CAM Rule on small businesses, governments</w:t>
      </w:r>
      <w:r>
        <w:t>,</w:t>
      </w:r>
      <w:r w:rsidRPr="0089703F">
        <w:t xml:space="preserve"> and organizations in Chapter V of the rule’s Regulatory Impact Analysis in 1997. This assessment still holds true, indicating the CAM Rule will not have a significant impact on a substantial number of small entities (SISNOSE). For additional discussion on this assertion, the </w:t>
      </w:r>
      <w:r>
        <w:t>A</w:t>
      </w:r>
      <w:r w:rsidRPr="0089703F">
        <w:t>gency invites the reader to review the CAM Rule RIA and ICR from 1997.</w:t>
      </w:r>
    </w:p>
    <w:p w:rsidR="00061A77" w:rsidRPr="00BB362A" w:rsidP="0039497E" w14:paraId="666475F6" w14:textId="1286EAAB">
      <w:pPr>
        <w:pStyle w:val="Heading2"/>
        <w:numPr>
          <w:ilvl w:val="0"/>
          <w:numId w:val="1"/>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EFFECTS OF LESS FREQUENT COLLECTION</w:t>
      </w:r>
      <w:bookmarkEnd w:id="8"/>
    </w:p>
    <w:p w:rsidR="00061A77" w:rsidRPr="00BB362A" w:rsidP="00061A77" w14:paraId="370E561A" w14:textId="107A6C30">
      <w:pPr>
        <w:spacing w:after="0" w:line="240" w:lineRule="auto"/>
        <w:rPr>
          <w:rFonts w:cstheme="minorHAnsi"/>
          <w:i/>
          <w:iCs/>
          <w:color w:val="2F5496" w:themeColor="accent1" w:themeShade="BF"/>
        </w:rPr>
      </w:pPr>
    </w:p>
    <w:p w:rsidR="00807C44" w:rsidRPr="007050D0" w:rsidP="007050D0" w14:paraId="4BE7C19C" w14:textId="6AC33D57">
      <w:pPr>
        <w:pBdr>
          <w:top w:val="single" w:sz="6" w:space="0" w:color="FFFFFF"/>
          <w:left w:val="single" w:sz="6" w:space="0" w:color="FFFFFF"/>
          <w:bottom w:val="single" w:sz="6" w:space="0" w:color="FFFFFF"/>
          <w:right w:val="single" w:sz="6" w:space="0" w:color="FFFFFF"/>
        </w:pBdr>
        <w:rPr>
          <w:color w:val="000000"/>
        </w:rPr>
      </w:pPr>
      <w:bookmarkStart w:id="10" w:name="_Toc138175125"/>
      <w:bookmarkStart w:id="11" w:name="q7"/>
      <w:bookmarkEnd w:id="9"/>
      <w:r>
        <w:rPr>
          <w:color w:val="000000"/>
        </w:rPr>
        <w:t>Less-frequent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2D3E1A" w:rsidRPr="00BB362A" w:rsidP="0039497E" w14:paraId="3EFF1C31" w14:textId="2FD96975">
      <w:pPr>
        <w:pStyle w:val="Heading2"/>
        <w:numPr>
          <w:ilvl w:val="0"/>
          <w:numId w:val="1"/>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GENERAL GUIDELINES</w:t>
      </w:r>
      <w:bookmarkEnd w:id="10"/>
    </w:p>
    <w:p w:rsidR="002D3E1A" w:rsidRPr="00BB362A" w:rsidP="002D3E1A" w14:paraId="5BE94D9B" w14:textId="77777777">
      <w:pPr>
        <w:spacing w:after="0" w:line="240" w:lineRule="auto"/>
        <w:rPr>
          <w:rFonts w:cstheme="minorHAnsi"/>
          <w:i/>
          <w:iCs/>
          <w:color w:val="2F5496" w:themeColor="accent1" w:themeShade="BF"/>
        </w:rPr>
      </w:pPr>
    </w:p>
    <w:p w:rsidR="00E207CD" w:rsidRPr="007050D0" w:rsidP="007050D0" w14:paraId="117D0553" w14:textId="2AE7AC02">
      <w:pPr>
        <w:pBdr>
          <w:top w:val="single" w:sz="6" w:space="0" w:color="FFFFFF"/>
          <w:left w:val="single" w:sz="6" w:space="0" w:color="FFFFFF"/>
          <w:bottom w:val="single" w:sz="6" w:space="0" w:color="FFFFFF"/>
          <w:right w:val="single" w:sz="6" w:space="0" w:color="FFFFFF"/>
        </w:pBdr>
      </w:pPr>
      <w:bookmarkStart w:id="12" w:name="_Toc138175126"/>
      <w:bookmarkStart w:id="13" w:name="q8"/>
      <w:bookmarkEnd w:id="11"/>
      <w:r w:rsidRPr="0068529E">
        <w:t xml:space="preserve">The recordkeeping and reporting requirements contained in the CAM program regulations do not exceed any of the Paperwork Reduction Act guidelines contained in 5 CFR 1320.5(d)(2), except for the guideline which limits retention of records by respondents to 3 years. The CAM program and the operating permit program require both respondents and </w:t>
      </w:r>
      <w:r>
        <w:t xml:space="preserve">either </w:t>
      </w:r>
      <w:r w:rsidRPr="0068529E">
        <w:t xml:space="preserve">state or local agencies to retain records for a period of 5 years. The justification for this exception is found in 28 U.S.C. 2462, which specifies 5 years as the general statute of limitations for </w:t>
      </w:r>
      <w:r>
        <w:t>F</w:t>
      </w:r>
      <w:r w:rsidRPr="0068529E">
        <w:t xml:space="preserve">ederal claims in response to violations by regulated </w:t>
      </w:r>
      <w:r w:rsidRPr="0068529E">
        <w:t>entities. The decision in U.S. v. Conoco, Inc., No. 83-1916.E (W.D. Okla., January 23, 1984) found that the 5-year general statute of limitations applied to the Clean Air Act.</w:t>
      </w:r>
    </w:p>
    <w:p w:rsidR="001C260A" w:rsidRPr="00BB362A" w:rsidP="0039497E" w14:paraId="7C5DEBDE" w14:textId="3D0C0733">
      <w:pPr>
        <w:pStyle w:val="Heading2"/>
        <w:numPr>
          <w:ilvl w:val="0"/>
          <w:numId w:val="1"/>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PUBLIC COMMENT AND CONSULTATIONS</w:t>
      </w:r>
      <w:bookmarkEnd w:id="12"/>
    </w:p>
    <w:p w:rsidR="004A3D11" w:rsidP="007050D0" w14:paraId="1918860D" w14:textId="5F296651">
      <w:pPr>
        <w:pStyle w:val="Heading3"/>
        <w:ind w:left="540"/>
        <w:rPr>
          <w:rFonts w:asciiTheme="minorHAnsi" w:hAnsiTheme="minorHAnsi" w:cstheme="minorHAnsi"/>
          <w:color w:val="2F5496" w:themeColor="accent1" w:themeShade="BF"/>
        </w:rPr>
      </w:pPr>
      <w:bookmarkStart w:id="14" w:name="_Toc138175127"/>
      <w:r w:rsidRPr="00BB362A">
        <w:rPr>
          <w:rFonts w:asciiTheme="minorHAnsi" w:hAnsiTheme="minorHAnsi" w:cstheme="minorHAnsi"/>
          <w:color w:val="2F5496" w:themeColor="accent1" w:themeShade="BF"/>
        </w:rPr>
        <w:t>8a.</w:t>
      </w:r>
      <w:r w:rsidRPr="00BB362A" w:rsidR="006B57A3">
        <w:rPr>
          <w:rFonts w:asciiTheme="minorHAnsi" w:hAnsiTheme="minorHAnsi" w:cstheme="minorHAnsi"/>
          <w:color w:val="2F5496" w:themeColor="accent1" w:themeShade="BF"/>
        </w:rPr>
        <w:tab/>
      </w:r>
      <w:bookmarkEnd w:id="14"/>
      <w:r w:rsidRPr="00BB362A" w:rsidR="00A82647">
        <w:rPr>
          <w:rFonts w:asciiTheme="minorHAnsi" w:hAnsiTheme="minorHAnsi" w:cstheme="minorHAnsi"/>
          <w:color w:val="2F5496" w:themeColor="accent1" w:themeShade="BF"/>
        </w:rPr>
        <w:t>Public Comment</w:t>
      </w:r>
      <w:bookmarkStart w:id="15" w:name="_Toc138175128"/>
    </w:p>
    <w:p w:rsidR="00D208F5" w:rsidRPr="00D208F5" w:rsidP="007050D0" w14:paraId="28597448" w14:textId="77777777">
      <w:pPr>
        <w:ind w:left="540"/>
      </w:pPr>
      <w:r w:rsidRPr="00D208F5">
        <w:t xml:space="preserve">An announcement of a public comment period for the renewal of this ICR was published in the Federal Register </w:t>
      </w:r>
      <w:r w:rsidRPr="001E2A0E">
        <w:t>(8</w:t>
      </w:r>
      <w:r>
        <w:t>8</w:t>
      </w:r>
      <w:r w:rsidRPr="001E2A0E">
        <w:t xml:space="preserve"> FR </w:t>
      </w:r>
      <w:r>
        <w:t>31748</w:t>
      </w:r>
      <w:r w:rsidRPr="00D208F5">
        <w:t xml:space="preserve">) on </w:t>
      </w:r>
      <w:r>
        <w:t>May 18, 2023</w:t>
      </w:r>
      <w:r w:rsidRPr="002B2BB2">
        <w:t xml:space="preserve">. No comments were received on the burden published in the </w:t>
      </w:r>
      <w:r w:rsidRPr="00D208F5">
        <w:t xml:space="preserve">Federal Register </w:t>
      </w:r>
      <w:r w:rsidRPr="002B2BB2">
        <w:t>for this renewal.</w:t>
      </w:r>
    </w:p>
    <w:p w:rsidR="004A3D11" w:rsidP="007050D0" w14:paraId="4AC1C5CB" w14:textId="205F5D85">
      <w:pPr>
        <w:pStyle w:val="Heading3"/>
        <w:ind w:left="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8b.</w:t>
      </w:r>
      <w:r w:rsidRPr="00BB362A" w:rsidR="006B57A3">
        <w:rPr>
          <w:rFonts w:asciiTheme="minorHAnsi" w:hAnsiTheme="minorHAnsi" w:cstheme="minorHAnsi"/>
          <w:color w:val="2F5496" w:themeColor="accent1" w:themeShade="BF"/>
        </w:rPr>
        <w:tab/>
      </w:r>
      <w:r w:rsidRPr="00BB362A">
        <w:rPr>
          <w:rFonts w:asciiTheme="minorHAnsi" w:hAnsiTheme="minorHAnsi" w:cstheme="minorHAnsi"/>
          <w:color w:val="2F5496" w:themeColor="accent1" w:themeShade="BF"/>
        </w:rPr>
        <w:t>C</w:t>
      </w:r>
      <w:bookmarkEnd w:id="15"/>
      <w:r w:rsidR="007050D0">
        <w:rPr>
          <w:rFonts w:asciiTheme="minorHAnsi" w:hAnsiTheme="minorHAnsi" w:cstheme="minorHAnsi"/>
          <w:color w:val="2F5496" w:themeColor="accent1" w:themeShade="BF"/>
        </w:rPr>
        <w:t>onsultations</w:t>
      </w:r>
      <w:bookmarkStart w:id="16" w:name="_Toc138175129"/>
      <w:bookmarkStart w:id="17" w:name="q9"/>
      <w:bookmarkEnd w:id="13"/>
    </w:p>
    <w:p w:rsidR="00D208F5" w:rsidRPr="00D208F5" w:rsidP="007050D0" w14:paraId="6F2D3BF4" w14:textId="77777777">
      <w:pPr>
        <w:ind w:left="540"/>
      </w:pPr>
      <w:r w:rsidRPr="009C721B">
        <w:t>The Agency has consulted i</w:t>
      </w:r>
      <w:r w:rsidRPr="00D208F5">
        <w:t xml:space="preserve">ndustry experts and internal data sources to project the number of affected facilities and industry growth over the next three years. </w:t>
      </w:r>
      <w:r w:rsidRPr="009C721B">
        <w:t>The primary source of information as reported by industry, in compliance with the recordkeeping and reporting provisions in the</w:t>
      </w:r>
      <w:r>
        <w:t>se</w:t>
      </w:r>
      <w:r w:rsidRPr="009C721B">
        <w:t xml:space="preserve"> standard</w:t>
      </w:r>
      <w:r>
        <w:t>s</w:t>
      </w:r>
      <w:r w:rsidRPr="009C721B">
        <w:t>,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22,200 respondents will be subject to the</w:t>
      </w:r>
      <w:r>
        <w:t>se</w:t>
      </w:r>
      <w:r w:rsidRPr="009C721B">
        <w:t xml:space="preserve"> standard</w:t>
      </w:r>
      <w:r>
        <w:t>s</w:t>
      </w:r>
      <w:r w:rsidRPr="009C721B">
        <w:t xml:space="preserve"> over the three-year period covered by this ICR.</w:t>
      </w:r>
    </w:p>
    <w:p w:rsidR="00D208F5" w:rsidRPr="00D208F5" w:rsidP="007050D0" w14:paraId="0A50826D" w14:textId="77777777">
      <w:pPr>
        <w:ind w:left="540"/>
      </w:pPr>
      <w:r w:rsidRPr="009C721B">
        <w:t>Industry trade association(s) and other interested parties were provided an opportunity to comment on the burden associated with the</w:t>
      </w:r>
      <w:r>
        <w:t>se</w:t>
      </w:r>
      <w:r w:rsidRPr="009C721B">
        <w:t xml:space="preserve"> standard</w:t>
      </w:r>
      <w:r>
        <w:t>s</w:t>
      </w:r>
      <w:r w:rsidRPr="009C721B">
        <w:t xml:space="preserve"> as </w:t>
      </w:r>
      <w:r>
        <w:t xml:space="preserve">they were </w:t>
      </w:r>
      <w:r w:rsidRPr="009C721B">
        <w:t xml:space="preserve">being developed and </w:t>
      </w:r>
      <w:r>
        <w:t xml:space="preserve">that </w:t>
      </w:r>
      <w:r w:rsidRPr="009C721B">
        <w:t>the</w:t>
      </w:r>
      <w:r>
        <w:t>se same</w:t>
      </w:r>
      <w:r w:rsidRPr="009C721B">
        <w:t xml:space="preserve"> standard</w:t>
      </w:r>
      <w:r>
        <w:t>s</w:t>
      </w:r>
      <w:r w:rsidRPr="009C721B">
        <w:t xml:space="preserve"> ha</w:t>
      </w:r>
      <w:r>
        <w:t>ve</w:t>
      </w:r>
      <w:r w:rsidRPr="009C721B">
        <w:t xml:space="preserve"> been reviewed </w:t>
      </w:r>
      <w:r w:rsidRPr="00DC2C56">
        <w:t xml:space="preserve">previously </w:t>
      </w:r>
      <w:r w:rsidRPr="009C721B">
        <w:t xml:space="preserve">to determine the minimum information needed for compliance purposes. </w:t>
      </w:r>
      <w:r>
        <w:t xml:space="preserve">In developing this ICR, we contacted both the </w:t>
      </w:r>
      <w:r w:rsidRPr="009C721B">
        <w:t>Ford Motor Company</w:t>
      </w:r>
      <w:r>
        <w:t>,</w:t>
      </w:r>
      <w:r w:rsidRPr="009C721B">
        <w:t xml:space="preserve"> at 313-845-8364</w:t>
      </w:r>
      <w:r>
        <w:t>,</w:t>
      </w:r>
      <w:r w:rsidRPr="009C721B">
        <w:t xml:space="preserve"> and the Maryland Air Permits Division</w:t>
      </w:r>
      <w:r>
        <w:t>,</w:t>
      </w:r>
      <w:r w:rsidRPr="009C721B">
        <w:t xml:space="preserve"> at 410-537-4129.</w:t>
      </w:r>
      <w:r>
        <w:t xml:space="preserve"> In this case, no comments were received.</w:t>
      </w:r>
    </w:p>
    <w:p w:rsidR="00976C07" w:rsidP="007050D0" w14:paraId="11133377" w14:textId="0261B6D6">
      <w:pPr>
        <w:ind w:left="540"/>
      </w:pPr>
      <w:r w:rsidRPr="00D208F5">
        <w:t xml:space="preserve">It is our policy to respond after a thorough review of comments received since the last ICR renewal, as well as for those submitted in response to the first Federal Register notice. </w:t>
      </w:r>
      <w:r w:rsidRPr="009C721B">
        <w:t>In this case, no comments were received.</w:t>
      </w:r>
    </w:p>
    <w:p w:rsidR="007A3403" w:rsidRPr="00BB362A" w:rsidP="0039497E" w14:paraId="00A32BCC" w14:textId="598072E3">
      <w:pPr>
        <w:pStyle w:val="Heading2"/>
        <w:numPr>
          <w:ilvl w:val="0"/>
          <w:numId w:val="1"/>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PAYMENTS OR GIFTS TO RESPONDENTS</w:t>
      </w:r>
      <w:bookmarkEnd w:id="16"/>
    </w:p>
    <w:p w:rsidR="007A3403" w:rsidRPr="00BB362A" w:rsidP="007A3403" w14:paraId="0ED3DFF1" w14:textId="77777777">
      <w:pPr>
        <w:spacing w:after="0" w:line="240" w:lineRule="auto"/>
        <w:rPr>
          <w:rFonts w:cstheme="minorHAnsi"/>
          <w:i/>
          <w:iCs/>
          <w:color w:val="2F5496" w:themeColor="accent1" w:themeShade="BF"/>
        </w:rPr>
      </w:pPr>
    </w:p>
    <w:bookmarkEnd w:id="17"/>
    <w:p w:rsidR="00050BB4" w:rsidRPr="00BB362A" w:rsidP="00050BB4" w14:paraId="63552EC7" w14:textId="2D90465C">
      <w:pPr>
        <w:pStyle w:val="paragraph"/>
        <w:spacing w:before="0" w:beforeAutospacing="0" w:after="0" w:afterAutospacing="0"/>
        <w:textAlignment w:val="baseline"/>
        <w:rPr>
          <w:rFonts w:asciiTheme="minorHAnsi" w:eastAsiaTheme="minorEastAsia" w:hAnsiTheme="minorHAnsi" w:cstheme="minorHAnsi"/>
          <w:sz w:val="22"/>
          <w:szCs w:val="22"/>
        </w:rPr>
      </w:pPr>
      <w:r w:rsidRPr="00BB362A">
        <w:rPr>
          <w:rFonts w:asciiTheme="minorHAnsi" w:eastAsiaTheme="minorEastAsia" w:hAnsiTheme="minorHAnsi" w:cstheme="minorHAnsi"/>
          <w:sz w:val="22"/>
          <w:szCs w:val="22"/>
        </w:rPr>
        <w:t>No payments or gifts are provided to respondents.</w:t>
      </w:r>
      <w:bookmarkStart w:id="18" w:name="q10"/>
    </w:p>
    <w:p w:rsidR="00E207CD" w:rsidRPr="00852E9F" w:rsidP="00976C07" w14:paraId="444A7602" w14:textId="77777777">
      <w:pPr>
        <w:pStyle w:val="Heading2"/>
        <w:rPr>
          <w:rFonts w:asciiTheme="minorHAnsi" w:hAnsiTheme="minorHAnsi" w:cstheme="minorHAnsi"/>
          <w:color w:val="2F5496" w:themeColor="accent1" w:themeShade="BF"/>
          <w:sz w:val="22"/>
          <w:szCs w:val="22"/>
        </w:rPr>
      </w:pPr>
      <w:bookmarkStart w:id="19" w:name="_Toc138175130"/>
    </w:p>
    <w:p w:rsidR="004252C1" w:rsidRPr="00BB362A" w:rsidP="0039497E" w14:paraId="0313926B" w14:textId="49650A57">
      <w:pPr>
        <w:pStyle w:val="Heading2"/>
        <w:numPr>
          <w:ilvl w:val="0"/>
          <w:numId w:val="1"/>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PROVISIONS FOR PROTECTION OF INFORMATION</w:t>
      </w:r>
      <w:bookmarkEnd w:id="19"/>
    </w:p>
    <w:p w:rsidR="007050D0" w:rsidP="00852E9F" w14:paraId="480C5F0E" w14:textId="77777777">
      <w:pPr>
        <w:pBdr>
          <w:top w:val="single" w:sz="6" w:space="0" w:color="FFFFFF"/>
          <w:left w:val="single" w:sz="6" w:space="0" w:color="FFFFFF"/>
          <w:bottom w:val="single" w:sz="6" w:space="0" w:color="FFFFFF"/>
          <w:right w:val="single" w:sz="6" w:space="0" w:color="FFFFFF"/>
        </w:pBdr>
        <w:spacing w:after="0"/>
        <w:rPr>
          <w:color w:val="000000"/>
        </w:rPr>
      </w:pPr>
      <w:bookmarkStart w:id="20" w:name="_Toc138175131"/>
      <w:bookmarkStart w:id="21" w:name="q11"/>
      <w:bookmarkEnd w:id="18"/>
    </w:p>
    <w:p w:rsidR="007856C2" w:rsidRPr="00852E9F" w:rsidP="00852E9F" w14:paraId="32BF74DC" w14:textId="3B439A66">
      <w:pPr>
        <w:pBdr>
          <w:top w:val="single" w:sz="6" w:space="0" w:color="FFFFFF"/>
          <w:left w:val="single" w:sz="6" w:space="0" w:color="FFFFFF"/>
          <w:bottom w:val="single" w:sz="6" w:space="0" w:color="FFFFFF"/>
          <w:right w:val="single" w:sz="6" w:space="0" w:color="FFFFFF"/>
        </w:pBdr>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2420F2" w:rsidRPr="00BB362A" w:rsidP="0039497E" w14:paraId="5DA05099" w14:textId="3E22D898">
      <w:pPr>
        <w:pStyle w:val="Heading2"/>
        <w:numPr>
          <w:ilvl w:val="0"/>
          <w:numId w:val="1"/>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JUSTIFICATION FOR SENSITIVE QUESTIONS</w:t>
      </w:r>
      <w:bookmarkEnd w:id="20"/>
    </w:p>
    <w:bookmarkEnd w:id="21"/>
    <w:p w:rsidR="007050D0" w:rsidP="00852E9F" w14:paraId="4E37DEC7" w14:textId="77777777">
      <w:pPr>
        <w:pBdr>
          <w:top w:val="single" w:sz="6" w:space="0" w:color="FFFFFF"/>
          <w:left w:val="single" w:sz="6" w:space="0" w:color="FFFFFF"/>
          <w:bottom w:val="single" w:sz="6" w:space="0" w:color="FFFFFF"/>
          <w:right w:val="single" w:sz="6" w:space="0" w:color="FFFFFF"/>
        </w:pBdr>
        <w:spacing w:after="0"/>
        <w:rPr>
          <w:rFonts w:cstheme="minorHAnsi"/>
        </w:rPr>
      </w:pPr>
    </w:p>
    <w:p w:rsidR="000E7DC1" w:rsidRPr="00852E9F" w:rsidP="00852E9F" w14:paraId="442FDD56" w14:textId="26BC446F">
      <w:pPr>
        <w:pBdr>
          <w:top w:val="single" w:sz="6" w:space="0" w:color="FFFFFF"/>
          <w:left w:val="single" w:sz="6" w:space="0" w:color="FFFFFF"/>
          <w:bottom w:val="single" w:sz="6" w:space="0" w:color="FFFFFF"/>
          <w:right w:val="single" w:sz="6" w:space="0" w:color="FFFFFF"/>
        </w:pBdr>
        <w:rPr>
          <w:color w:val="000000"/>
        </w:rPr>
      </w:pPr>
      <w:r w:rsidRPr="00BB362A">
        <w:rPr>
          <w:rFonts w:cstheme="minorHAnsi"/>
        </w:rPr>
        <w:t xml:space="preserve"> </w:t>
      </w:r>
      <w:r w:rsidR="00D208F5">
        <w:rPr>
          <w:color w:val="000000"/>
        </w:rPr>
        <w:t>The reporting or recordkeeping requirements in these standards do not include sensitive questions.</w:t>
      </w:r>
    </w:p>
    <w:p w:rsidR="004252C1" w:rsidRPr="00BB362A" w:rsidP="0039497E" w14:paraId="1E5960DE" w14:textId="0E3EFEF8">
      <w:pPr>
        <w:pStyle w:val="Heading2"/>
        <w:numPr>
          <w:ilvl w:val="0"/>
          <w:numId w:val="1"/>
        </w:numPr>
        <w:ind w:left="540" w:hanging="540"/>
        <w:rPr>
          <w:rFonts w:asciiTheme="minorHAnsi" w:hAnsiTheme="minorHAnsi" w:cstheme="minorHAnsi"/>
          <w:color w:val="2F5496" w:themeColor="accent1" w:themeShade="BF"/>
        </w:rPr>
      </w:pPr>
      <w:bookmarkStart w:id="22" w:name="_Toc138175132"/>
      <w:bookmarkStart w:id="23" w:name="q12"/>
      <w:r w:rsidRPr="00BB362A">
        <w:rPr>
          <w:rFonts w:asciiTheme="minorHAnsi" w:hAnsiTheme="minorHAnsi" w:cstheme="minorHAnsi"/>
          <w:color w:val="2F5496" w:themeColor="accent1" w:themeShade="BF"/>
        </w:rPr>
        <w:t>ESTIMATE OF RESPONDENT BURDEN HOURS</w:t>
      </w:r>
      <w:r w:rsidRPr="00BB362A" w:rsidR="00DB799B">
        <w:rPr>
          <w:rFonts w:asciiTheme="minorHAnsi" w:hAnsiTheme="minorHAnsi" w:cstheme="minorHAnsi"/>
          <w:color w:val="2F5496" w:themeColor="accent1" w:themeShade="BF"/>
        </w:rPr>
        <w:t xml:space="preserve"> &amp; LABOR COSTS</w:t>
      </w:r>
      <w:bookmarkEnd w:id="22"/>
    </w:p>
    <w:bookmarkEnd w:id="23"/>
    <w:p w:rsidR="00331168" w:rsidRPr="00BB362A" w:rsidP="00331168" w14:paraId="77642B38" w14:textId="77777777">
      <w:pPr>
        <w:spacing w:after="0"/>
        <w:rPr>
          <w:rFonts w:cstheme="minorHAnsi"/>
        </w:rPr>
      </w:pPr>
    </w:p>
    <w:p w:rsidR="007050D0" w:rsidP="007050D0" w14:paraId="68040CD1" w14:textId="77777777">
      <w:pPr>
        <w:pStyle w:val="Heading3"/>
        <w:pBdr>
          <w:bottom w:val="single" w:sz="4" w:space="31" w:color="auto"/>
        </w:pBdr>
        <w:ind w:left="540"/>
        <w:rPr>
          <w:rFonts w:cstheme="minorHAnsi"/>
        </w:rPr>
      </w:pPr>
      <w:bookmarkStart w:id="24" w:name="_Toc138175133"/>
      <w:r w:rsidRPr="00BB362A">
        <w:rPr>
          <w:rFonts w:asciiTheme="minorHAnsi" w:hAnsiTheme="minorHAnsi" w:cstheme="minorHAnsi"/>
          <w:color w:val="2F5496" w:themeColor="accent1" w:themeShade="BF"/>
        </w:rPr>
        <w:t>12a.</w:t>
      </w:r>
      <w:r w:rsidRPr="00BB362A" w:rsidR="006B57A3">
        <w:rPr>
          <w:rFonts w:asciiTheme="minorHAnsi" w:hAnsiTheme="minorHAnsi" w:cstheme="minorHAnsi"/>
          <w:color w:val="2F5496" w:themeColor="accent1" w:themeShade="BF"/>
        </w:rPr>
        <w:tab/>
      </w:r>
      <w:r w:rsidRPr="00BB362A">
        <w:rPr>
          <w:rFonts w:asciiTheme="minorHAnsi" w:hAnsiTheme="minorHAnsi" w:cstheme="minorHAnsi"/>
          <w:color w:val="2F5496" w:themeColor="accent1" w:themeShade="BF"/>
        </w:rPr>
        <w:t>Respondents/NAICS Cod</w:t>
      </w:r>
      <w:bookmarkStart w:id="25" w:name="_Toc138175134"/>
      <w:bookmarkEnd w:id="24"/>
      <w:r>
        <w:rPr>
          <w:rFonts w:asciiTheme="minorHAnsi" w:hAnsiTheme="minorHAnsi" w:cstheme="minorHAnsi"/>
          <w:color w:val="2F5496" w:themeColor="accent1" w:themeShade="BF"/>
        </w:rPr>
        <w:t>es</w:t>
      </w:r>
    </w:p>
    <w:p w:rsidR="007050D0" w:rsidP="007050D0" w14:paraId="28F10A37" w14:textId="77777777">
      <w:pPr>
        <w:pStyle w:val="Heading3"/>
        <w:pBdr>
          <w:bottom w:val="single" w:sz="4" w:space="31" w:color="auto"/>
        </w:pBdr>
        <w:ind w:left="540"/>
        <w:rPr>
          <w:rFonts w:asciiTheme="minorHAnsi" w:hAnsiTheme="minorHAnsi" w:cstheme="minorHAnsi"/>
          <w:sz w:val="22"/>
          <w:szCs w:val="22"/>
        </w:rPr>
      </w:pPr>
    </w:p>
    <w:p w:rsidR="007050D0" w:rsidP="007050D0" w14:paraId="18A94539" w14:textId="77777777">
      <w:pPr>
        <w:pStyle w:val="Heading3"/>
        <w:pBdr>
          <w:bottom w:val="single" w:sz="4" w:space="31" w:color="auto"/>
        </w:pBdr>
        <w:ind w:left="540"/>
        <w:rPr>
          <w:rFonts w:asciiTheme="minorHAnsi" w:hAnsiTheme="minorHAnsi" w:cstheme="minorHAnsi"/>
          <w:color w:val="auto"/>
          <w:sz w:val="22"/>
          <w:szCs w:val="22"/>
        </w:rPr>
      </w:pPr>
      <w:r w:rsidRPr="007050D0">
        <w:rPr>
          <w:rFonts w:asciiTheme="minorHAnsi" w:hAnsiTheme="minorHAnsi" w:cstheme="minorHAnsi"/>
          <w:color w:val="auto"/>
          <w:sz w:val="22"/>
          <w:szCs w:val="22"/>
        </w:rPr>
        <w:t>The CAM Rule applies to most North American Industry Classification System (NAICS) code groups (and their predecessors, the Standard Industrial Classification (SIC) code groups), as well as for certain service industries regulated under the Act. All PAs also are affected because they must review CAM plans, as well as any QIPs and associated report</w:t>
      </w:r>
      <w:r>
        <w:rPr>
          <w:rFonts w:asciiTheme="minorHAnsi" w:hAnsiTheme="minorHAnsi" w:cstheme="minorHAnsi"/>
          <w:color w:val="auto"/>
          <w:sz w:val="22"/>
          <w:szCs w:val="22"/>
        </w:rPr>
        <w:t>s.</w:t>
      </w:r>
    </w:p>
    <w:p w:rsidR="007050D0" w:rsidP="007050D0" w14:paraId="6B8F3072" w14:textId="77777777">
      <w:pPr>
        <w:pStyle w:val="Heading3"/>
        <w:pBdr>
          <w:bottom w:val="single" w:sz="4" w:space="31" w:color="auto"/>
        </w:pBdr>
        <w:ind w:left="540"/>
        <w:rPr>
          <w:rFonts w:asciiTheme="minorHAnsi" w:hAnsiTheme="minorHAnsi" w:cstheme="minorHAnsi"/>
          <w:color w:val="auto"/>
          <w:sz w:val="22"/>
          <w:szCs w:val="22"/>
        </w:rPr>
      </w:pPr>
    </w:p>
    <w:p w:rsidR="007050D0" w:rsidP="007050D0" w14:paraId="35DD34BC" w14:textId="77777777">
      <w:pPr>
        <w:pStyle w:val="Heading3"/>
        <w:pBdr>
          <w:bottom w:val="single" w:sz="4" w:space="31" w:color="auto"/>
        </w:pBdr>
        <w:ind w:left="540"/>
        <w:rPr>
          <w:rFonts w:cstheme="minorHAnsi"/>
        </w:rPr>
      </w:pPr>
      <w:r w:rsidRPr="00BB362A">
        <w:rPr>
          <w:rFonts w:asciiTheme="minorHAnsi" w:hAnsiTheme="minorHAnsi" w:cstheme="minorHAnsi"/>
          <w:color w:val="2F5496" w:themeColor="accent1" w:themeShade="BF"/>
        </w:rPr>
        <w:t>12b.</w:t>
      </w:r>
      <w:r w:rsidRPr="00BB362A" w:rsidR="006B57A3">
        <w:rPr>
          <w:rFonts w:asciiTheme="minorHAnsi" w:hAnsiTheme="minorHAnsi" w:cstheme="minorHAnsi"/>
          <w:color w:val="2F5496" w:themeColor="accent1" w:themeShade="BF"/>
        </w:rPr>
        <w:tab/>
      </w:r>
      <w:r w:rsidRPr="00BB362A">
        <w:rPr>
          <w:rFonts w:asciiTheme="minorHAnsi" w:hAnsiTheme="minorHAnsi" w:cstheme="minorHAnsi"/>
          <w:color w:val="2F5496" w:themeColor="accent1" w:themeShade="BF"/>
        </w:rPr>
        <w:t>Information Requested</w:t>
      </w:r>
      <w:bookmarkStart w:id="26" w:name="_Toc138175135"/>
      <w:bookmarkEnd w:id="25"/>
    </w:p>
    <w:p w:rsidR="007050D0" w:rsidRPr="007050D0" w:rsidP="007050D0" w14:paraId="7736C3A4" w14:textId="77777777">
      <w:pPr>
        <w:pStyle w:val="Heading3"/>
        <w:pBdr>
          <w:bottom w:val="single" w:sz="4" w:space="31" w:color="auto"/>
        </w:pBdr>
        <w:ind w:left="540"/>
        <w:rPr>
          <w:rFonts w:cstheme="minorHAnsi"/>
          <w:color w:val="auto"/>
          <w:sz w:val="24"/>
          <w:szCs w:val="24"/>
        </w:rPr>
      </w:pPr>
    </w:p>
    <w:p w:rsidR="00D208F5" w:rsidRPr="007050D0" w:rsidP="007050D0" w14:paraId="529ECDF1" w14:textId="023CF2AF">
      <w:pPr>
        <w:pStyle w:val="Heading3"/>
        <w:pBdr>
          <w:bottom w:val="single" w:sz="4" w:space="31" w:color="auto"/>
        </w:pBdr>
        <w:ind w:left="540"/>
        <w:rPr>
          <w:color w:val="auto"/>
          <w:sz w:val="24"/>
          <w:szCs w:val="24"/>
        </w:rPr>
      </w:pPr>
      <w:r w:rsidRPr="007050D0">
        <w:rPr>
          <w:color w:val="auto"/>
          <w:sz w:val="24"/>
          <w:szCs w:val="24"/>
        </w:rPr>
        <w:t>In this ICR, all the data that are recorded or reported is required by the</w:t>
      </w:r>
      <w:r w:rsidRPr="007050D0">
        <w:rPr>
          <w:bCs/>
          <w:color w:val="auto"/>
          <w:sz w:val="24"/>
          <w:szCs w:val="24"/>
        </w:rPr>
        <w:t xml:space="preserve"> Compliance Assurance Monitoring rule (40 CFR Part 64).</w:t>
      </w:r>
    </w:p>
    <w:tbl>
      <w:tblPr>
        <w:tblW w:w="9369" w:type="dxa"/>
        <w:tblInd w:w="120" w:type="dxa"/>
        <w:tblLayout w:type="fixed"/>
        <w:tblCellMar>
          <w:left w:w="120" w:type="dxa"/>
          <w:right w:w="120" w:type="dxa"/>
        </w:tblCellMar>
        <w:tblLook w:val="0000"/>
      </w:tblPr>
      <w:tblGrid>
        <w:gridCol w:w="9"/>
        <w:gridCol w:w="7641"/>
        <w:gridCol w:w="9"/>
        <w:gridCol w:w="1701"/>
        <w:gridCol w:w="9"/>
      </w:tblGrid>
      <w:tr w14:paraId="44148A8C" w14:textId="77777777" w:rsidTr="000C08CC">
        <w:tblPrEx>
          <w:tblW w:w="9369" w:type="dxa"/>
          <w:tblInd w:w="120" w:type="dxa"/>
          <w:tblLayout w:type="fixed"/>
          <w:tblCellMar>
            <w:left w:w="120" w:type="dxa"/>
            <w:right w:w="120" w:type="dxa"/>
          </w:tblCellMar>
          <w:tblLook w:val="0000"/>
        </w:tblPrEx>
        <w:trPr>
          <w:gridAfter w:val="1"/>
          <w:wAfter w:w="9" w:type="dxa"/>
          <w:cantSplit/>
        </w:trPr>
        <w:tc>
          <w:tcPr>
            <w:tcW w:w="9360" w:type="dxa"/>
            <w:gridSpan w:val="4"/>
            <w:tcBorders>
              <w:top w:val="nil"/>
              <w:left w:val="nil"/>
              <w:bottom w:val="single" w:sz="4" w:space="0" w:color="auto"/>
              <w:right w:val="nil"/>
            </w:tcBorders>
          </w:tcPr>
          <w:p w:rsidR="00D208F5" w:rsidRPr="00DF5AF0" w:rsidP="000C08CC" w14:paraId="52C21987" w14:textId="77777777">
            <w:pPr>
              <w:keepNext/>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DF5AF0">
              <w:rPr>
                <w:b/>
                <w:bCs/>
              </w:rPr>
              <w:t>FIGURE 4-1</w:t>
            </w:r>
          </w:p>
          <w:p w:rsidR="00D208F5" w:rsidRPr="00DF5AF0" w:rsidP="00852E9F" w14:paraId="5104E6BC" w14:textId="3FA92CC5">
            <w:pPr>
              <w:keepNext/>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DF5AF0">
              <w:rPr>
                <w:b/>
                <w:bCs/>
              </w:rPr>
              <w:t>DATA REQUIRED BY THE INFORMATION COLLECTION</w:t>
            </w:r>
          </w:p>
        </w:tc>
      </w:tr>
      <w:tr w14:paraId="5A00DBE4" w14:textId="77777777" w:rsidTr="00D208F5">
        <w:tblPrEx>
          <w:tblW w:w="9369" w:type="dxa"/>
          <w:tblInd w:w="120" w:type="dxa"/>
          <w:tblLayout w:type="fixed"/>
          <w:tblCellMar>
            <w:left w:w="120" w:type="dxa"/>
            <w:right w:w="120" w:type="dxa"/>
          </w:tblCellMar>
          <w:tblLook w:val="0000"/>
        </w:tblPrEx>
        <w:trPr>
          <w:gridAfter w:val="1"/>
          <w:wAfter w:w="9" w:type="dxa"/>
          <w:cantSplit/>
          <w:trHeight w:val="144"/>
          <w:tblHeader/>
        </w:trPr>
        <w:tc>
          <w:tcPr>
            <w:tcW w:w="7650" w:type="dxa"/>
            <w:gridSpan w:val="2"/>
            <w:tcBorders>
              <w:top w:val="single" w:sz="4" w:space="0" w:color="auto"/>
              <w:left w:val="single" w:sz="8" w:space="0" w:color="000000"/>
              <w:bottom w:val="single" w:sz="18" w:space="0" w:color="000000"/>
              <w:right w:val="single" w:sz="8" w:space="0" w:color="000000"/>
            </w:tcBorders>
          </w:tcPr>
          <w:p w:rsidR="00D208F5" w:rsidRPr="00DF5AF0" w:rsidP="000C08CC" w14:paraId="55005E54" w14:textId="77777777">
            <w:pPr>
              <w:keepNext/>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DF5AF0">
              <w:rPr>
                <w:b/>
                <w:bCs/>
              </w:rPr>
              <w:t>Additional Requirements for Permit Applications</w:t>
            </w:r>
          </w:p>
        </w:tc>
        <w:tc>
          <w:tcPr>
            <w:tcW w:w="1710" w:type="dxa"/>
            <w:gridSpan w:val="2"/>
            <w:tcBorders>
              <w:top w:val="single" w:sz="4" w:space="0" w:color="auto"/>
              <w:left w:val="single" w:sz="8" w:space="0" w:color="000000"/>
              <w:bottom w:val="single" w:sz="18" w:space="0" w:color="000000"/>
              <w:right w:val="single" w:sz="8" w:space="0" w:color="000000"/>
            </w:tcBorders>
          </w:tcPr>
          <w:p w:rsidR="00D208F5" w:rsidRPr="00DF5AF0" w:rsidP="000C08CC" w14:paraId="60DB5962" w14:textId="77777777">
            <w:pPr>
              <w:keepNext/>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DF5AF0">
              <w:rPr>
                <w:b/>
                <w:bCs/>
              </w:rPr>
              <w:t>Regulation Reference</w:t>
            </w:r>
          </w:p>
        </w:tc>
      </w:tr>
      <w:tr w14:paraId="060466D8" w14:textId="77777777" w:rsidTr="00D208F5">
        <w:tblPrEx>
          <w:tblW w:w="9369" w:type="dxa"/>
          <w:tblInd w:w="120" w:type="dxa"/>
          <w:tblLayout w:type="fixed"/>
          <w:tblCellMar>
            <w:left w:w="120" w:type="dxa"/>
            <w:right w:w="120" w:type="dxa"/>
          </w:tblCellMar>
          <w:tblLook w:val="0000"/>
        </w:tblPrEx>
        <w:trPr>
          <w:gridAfter w:val="1"/>
          <w:wAfter w:w="9" w:type="dxa"/>
          <w:cantSplit/>
          <w:trHeight w:val="144"/>
        </w:trPr>
        <w:tc>
          <w:tcPr>
            <w:tcW w:w="7650" w:type="dxa"/>
            <w:gridSpan w:val="2"/>
            <w:tcBorders>
              <w:top w:val="single" w:sz="18" w:space="0" w:color="000000"/>
              <w:left w:val="single" w:sz="7" w:space="0" w:color="000000"/>
              <w:bottom w:val="single" w:sz="7" w:space="0" w:color="000000"/>
              <w:right w:val="single" w:sz="7" w:space="0" w:color="000000"/>
            </w:tcBorders>
          </w:tcPr>
          <w:p w:rsidR="00D208F5" w:rsidRPr="00DF5AF0" w:rsidP="000C08CC" w14:paraId="2AB19051"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For all major source pollutant-specific emission units that satisfy the applicability criteria outlined in 64.2, the owner or operator shall submit a proposed monitoring approach to the PA. The monitoring approach shall be submitted as part of the initial, revised, or renewed part 70 or 71 permit application.</w:t>
            </w:r>
          </w:p>
        </w:tc>
        <w:tc>
          <w:tcPr>
            <w:tcW w:w="1710" w:type="dxa"/>
            <w:gridSpan w:val="2"/>
            <w:tcBorders>
              <w:top w:val="single" w:sz="18" w:space="0" w:color="000000"/>
              <w:left w:val="single" w:sz="7" w:space="0" w:color="000000"/>
              <w:bottom w:val="single" w:sz="7" w:space="0" w:color="000000"/>
              <w:right w:val="single" w:sz="7" w:space="0" w:color="000000"/>
            </w:tcBorders>
          </w:tcPr>
          <w:p w:rsidR="00D208F5" w:rsidRPr="00DF5AF0" w:rsidP="000C08CC" w14:paraId="31CFA547"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F5AF0">
              <w:rPr>
                <w:rStyle w:val="cf01"/>
                <w:rFonts w:ascii="Times New Roman" w:hAnsi="Times New Roman" w:cs="Times New Roman"/>
                <w:sz w:val="24"/>
                <w:szCs w:val="24"/>
              </w:rPr>
              <w:t>§</w:t>
            </w:r>
            <w:r w:rsidRPr="00DF5AF0">
              <w:t>64.5</w:t>
            </w:r>
          </w:p>
        </w:tc>
      </w:tr>
      <w:tr w14:paraId="76613073" w14:textId="77777777" w:rsidTr="00D208F5">
        <w:tblPrEx>
          <w:tblW w:w="9369" w:type="dxa"/>
          <w:tblInd w:w="120" w:type="dxa"/>
          <w:tblLayout w:type="fixed"/>
          <w:tblCellMar>
            <w:left w:w="120" w:type="dxa"/>
            <w:right w:w="120" w:type="dxa"/>
          </w:tblCellMar>
          <w:tblLook w:val="0000"/>
        </w:tblPrEx>
        <w:trPr>
          <w:gridAfter w:val="1"/>
          <w:wAfter w:w="9" w:type="dxa"/>
          <w:trHeight w:val="144"/>
        </w:trPr>
        <w:tc>
          <w:tcPr>
            <w:tcW w:w="9360" w:type="dxa"/>
            <w:gridSpan w:val="4"/>
            <w:tcBorders>
              <w:top w:val="single" w:sz="7" w:space="0" w:color="000000"/>
              <w:left w:val="nil"/>
              <w:bottom w:val="single" w:sz="7" w:space="0" w:color="000000"/>
              <w:right w:val="nil"/>
            </w:tcBorders>
          </w:tcPr>
          <w:p w:rsidR="00D208F5" w:rsidRPr="00DF5AF0" w:rsidP="00852E9F" w14:paraId="71EA1BF8" w14:textId="77777777">
            <w:pPr>
              <w:keepNext/>
              <w:keepLines/>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p>
          <w:p w:rsidR="00D208F5" w:rsidRPr="00DF5AF0" w:rsidP="000C08CC" w14:paraId="5B375FC0" w14:textId="0F5B5CCD">
            <w:pPr>
              <w:keepNext/>
              <w:keepLines/>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Consistent with the design requirements in 64.3, the submission shall include the following information:</w:t>
            </w:r>
          </w:p>
        </w:tc>
      </w:tr>
      <w:tr w14:paraId="798A486F" w14:textId="77777777" w:rsidTr="00D208F5">
        <w:tblPrEx>
          <w:tblW w:w="9369" w:type="dxa"/>
          <w:tblInd w:w="120" w:type="dxa"/>
          <w:tblLayout w:type="fixed"/>
          <w:tblCellMar>
            <w:left w:w="120" w:type="dxa"/>
            <w:right w:w="120" w:type="dxa"/>
          </w:tblCellMar>
          <w:tblLook w:val="0000"/>
        </w:tblPrEx>
        <w:trPr>
          <w:gridAfter w:val="1"/>
          <w:wAfter w:w="9" w:type="dxa"/>
          <w:cantSplit/>
          <w:trHeight w:val="144"/>
        </w:trPr>
        <w:tc>
          <w:tcPr>
            <w:tcW w:w="765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712DB647" w14:textId="77777777">
            <w:pPr>
              <w:keepNext/>
              <w:keepLines/>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the indicators to be monitored to satisfy 64.3(a)(1)-(2).</w:t>
            </w:r>
          </w:p>
        </w:tc>
        <w:tc>
          <w:tcPr>
            <w:tcW w:w="171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596E5A47" w14:textId="77777777">
            <w:pPr>
              <w:keepNext/>
              <w:keepLines/>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F5AF0">
              <w:rPr>
                <w:rStyle w:val="cf01"/>
                <w:rFonts w:ascii="Times New Roman" w:hAnsi="Times New Roman" w:cs="Times New Roman"/>
                <w:sz w:val="24"/>
                <w:szCs w:val="24"/>
              </w:rPr>
              <w:t>§</w:t>
            </w:r>
            <w:r w:rsidRPr="00DF5AF0">
              <w:t>64.4(a)(1)</w:t>
            </w:r>
          </w:p>
        </w:tc>
      </w:tr>
      <w:tr w14:paraId="6E7BCE4B" w14:textId="77777777" w:rsidTr="00D208F5">
        <w:tblPrEx>
          <w:tblW w:w="9369" w:type="dxa"/>
          <w:tblInd w:w="120" w:type="dxa"/>
          <w:tblLayout w:type="fixed"/>
          <w:tblCellMar>
            <w:left w:w="120" w:type="dxa"/>
            <w:right w:w="120" w:type="dxa"/>
          </w:tblCellMar>
          <w:tblLook w:val="0000"/>
        </w:tblPrEx>
        <w:trPr>
          <w:gridAfter w:val="1"/>
          <w:wAfter w:w="9" w:type="dxa"/>
          <w:cantSplit/>
          <w:trHeight w:val="144"/>
        </w:trPr>
        <w:tc>
          <w:tcPr>
            <w:tcW w:w="765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14D9EF2E"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either (i) the ranges or designated conditions for such indicators or (ii) the process by which such indicator ranges or designated conditions shall be established.</w:t>
            </w:r>
          </w:p>
        </w:tc>
        <w:tc>
          <w:tcPr>
            <w:tcW w:w="171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6F0A0557"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F5AF0">
              <w:rPr>
                <w:rStyle w:val="cf01"/>
                <w:rFonts w:ascii="Times New Roman" w:hAnsi="Times New Roman" w:cs="Times New Roman"/>
                <w:sz w:val="24"/>
                <w:szCs w:val="24"/>
              </w:rPr>
              <w:t>§</w:t>
            </w:r>
            <w:r w:rsidRPr="00DF5AF0">
              <w:t>64.4(a)(2)</w:t>
            </w:r>
          </w:p>
        </w:tc>
      </w:tr>
      <w:tr w14:paraId="2AFE3578" w14:textId="77777777" w:rsidTr="00D208F5">
        <w:tblPrEx>
          <w:tblW w:w="9369" w:type="dxa"/>
          <w:tblInd w:w="120" w:type="dxa"/>
          <w:tblLayout w:type="fixed"/>
          <w:tblCellMar>
            <w:left w:w="120" w:type="dxa"/>
            <w:right w:w="120" w:type="dxa"/>
          </w:tblCellMar>
          <w:tblLook w:val="0000"/>
        </w:tblPrEx>
        <w:trPr>
          <w:gridAfter w:val="1"/>
          <w:wAfter w:w="9" w:type="dxa"/>
          <w:cantSplit/>
          <w:trHeight w:val="144"/>
        </w:trPr>
        <w:tc>
          <w:tcPr>
            <w:tcW w:w="765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612018BC"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the performance criteria for the monitoring to satisfy 64.3(b).</w:t>
            </w:r>
          </w:p>
        </w:tc>
        <w:tc>
          <w:tcPr>
            <w:tcW w:w="171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6D3525F6"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F5AF0">
              <w:rPr>
                <w:rStyle w:val="cf01"/>
                <w:rFonts w:ascii="Times New Roman" w:hAnsi="Times New Roman" w:cs="Times New Roman"/>
                <w:sz w:val="24"/>
                <w:szCs w:val="24"/>
              </w:rPr>
              <w:t>§</w:t>
            </w:r>
            <w:r w:rsidRPr="00DF5AF0">
              <w:t>64.4(a)(3)</w:t>
            </w:r>
          </w:p>
        </w:tc>
      </w:tr>
      <w:tr w14:paraId="0475474D" w14:textId="77777777" w:rsidTr="00D208F5">
        <w:tblPrEx>
          <w:tblW w:w="9369" w:type="dxa"/>
          <w:tblInd w:w="120" w:type="dxa"/>
          <w:tblLayout w:type="fixed"/>
          <w:tblCellMar>
            <w:left w:w="120" w:type="dxa"/>
            <w:right w:w="120" w:type="dxa"/>
          </w:tblCellMar>
          <w:tblLook w:val="0000"/>
        </w:tblPrEx>
        <w:trPr>
          <w:gridAfter w:val="1"/>
          <w:wAfter w:w="9" w:type="dxa"/>
          <w:cantSplit/>
          <w:trHeight w:val="144"/>
        </w:trPr>
        <w:tc>
          <w:tcPr>
            <w:tcW w:w="765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024B7623"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if applicable, the indicator ranges and performance criteria for a CEMS, COMS, or PEMS pursuant to 64.3(d).</w:t>
            </w:r>
          </w:p>
        </w:tc>
        <w:tc>
          <w:tcPr>
            <w:tcW w:w="171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2A5B1D06"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F5AF0">
              <w:rPr>
                <w:rStyle w:val="cf01"/>
                <w:rFonts w:ascii="Times New Roman" w:hAnsi="Times New Roman" w:cs="Times New Roman"/>
                <w:sz w:val="24"/>
                <w:szCs w:val="24"/>
              </w:rPr>
              <w:t>§</w:t>
            </w:r>
            <w:r w:rsidRPr="00DF5AF0">
              <w:t>64.4(a)(4)</w:t>
            </w:r>
          </w:p>
        </w:tc>
      </w:tr>
      <w:tr w14:paraId="7722954A" w14:textId="77777777" w:rsidTr="000C08CC">
        <w:tblPrEx>
          <w:tblW w:w="9369" w:type="dxa"/>
          <w:tblInd w:w="120" w:type="dxa"/>
          <w:tblLayout w:type="fixed"/>
          <w:tblCellMar>
            <w:left w:w="120" w:type="dxa"/>
            <w:right w:w="120" w:type="dxa"/>
          </w:tblCellMar>
          <w:tblLook w:val="0000"/>
        </w:tblPrEx>
        <w:trPr>
          <w:gridAfter w:val="1"/>
          <w:wAfter w:w="9" w:type="dxa"/>
        </w:trPr>
        <w:tc>
          <w:tcPr>
            <w:tcW w:w="9360" w:type="dxa"/>
            <w:gridSpan w:val="4"/>
            <w:tcBorders>
              <w:top w:val="single" w:sz="7" w:space="0" w:color="000000"/>
              <w:left w:val="nil"/>
              <w:bottom w:val="nil"/>
              <w:right w:val="nil"/>
            </w:tcBorders>
          </w:tcPr>
          <w:p w:rsidR="00D208F5" w:rsidP="000C08CC" w14:paraId="62379D9B"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08F5" w:rsidRPr="00DF5AF0" w:rsidP="000C08CC" w14:paraId="2CC75C09" w14:textId="440B7F45">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As part of the information submitted, the owner or operator shall submit:</w:t>
            </w:r>
          </w:p>
        </w:tc>
      </w:tr>
      <w:tr w14:paraId="4D41E576" w14:textId="77777777" w:rsidTr="000C08CC">
        <w:tblPrEx>
          <w:tblW w:w="9369" w:type="dxa"/>
          <w:tblInd w:w="120" w:type="dxa"/>
          <w:tblLayout w:type="fixed"/>
          <w:tblCellMar>
            <w:left w:w="120" w:type="dxa"/>
            <w:right w:w="120" w:type="dxa"/>
          </w:tblCellMar>
          <w:tblLook w:val="0000"/>
        </w:tblPrEx>
        <w:trPr>
          <w:gridAfter w:val="1"/>
          <w:wAfter w:w="9" w:type="dxa"/>
          <w:cantSplit/>
        </w:trPr>
        <w:tc>
          <w:tcPr>
            <w:tcW w:w="7650" w:type="dxa"/>
            <w:gridSpan w:val="2"/>
            <w:tcBorders>
              <w:top w:val="single" w:sz="4" w:space="0" w:color="auto"/>
              <w:left w:val="single" w:sz="8" w:space="0" w:color="000000"/>
              <w:bottom w:val="single" w:sz="8" w:space="0" w:color="000000"/>
              <w:right w:val="single" w:sz="8" w:space="0" w:color="000000"/>
            </w:tcBorders>
          </w:tcPr>
          <w:p w:rsidR="00D208F5" w:rsidRPr="00DF5AF0" w:rsidP="000C08CC" w14:paraId="4356F642"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a justification for the proposed elements of monitoring. The justification shall include any supporting data and may refer to any generally available sources of information such as air pollution engineering manuals or EPA or PA publications. In addition, the owner or operator may base the required justification exclusively on the regulatory precedents cited in 64.4(b)(1)-(5). If the performance specifications proposed to satisfy 64.3(b)(2) or (3) include differences from manufacturer recommendations, the owner or operator shall explain the reasons for the differences.</w:t>
            </w:r>
          </w:p>
        </w:tc>
        <w:tc>
          <w:tcPr>
            <w:tcW w:w="1710" w:type="dxa"/>
            <w:gridSpan w:val="2"/>
            <w:tcBorders>
              <w:top w:val="single" w:sz="7" w:space="0" w:color="000000"/>
              <w:left w:val="single" w:sz="8" w:space="0" w:color="000000"/>
              <w:bottom w:val="single" w:sz="7" w:space="0" w:color="000000"/>
              <w:right w:val="single" w:sz="7" w:space="0" w:color="000000"/>
            </w:tcBorders>
          </w:tcPr>
          <w:p w:rsidR="00D208F5" w:rsidRPr="00DF5AF0" w:rsidP="000C08CC" w14:paraId="6D14AD1B"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F5AF0">
              <w:rPr>
                <w:rStyle w:val="cf01"/>
                <w:rFonts w:ascii="Times New Roman" w:hAnsi="Times New Roman" w:cs="Times New Roman"/>
                <w:sz w:val="24"/>
                <w:szCs w:val="24"/>
              </w:rPr>
              <w:t>§</w:t>
            </w:r>
            <w:r w:rsidRPr="00DF5AF0">
              <w:t>64.4(b)</w:t>
            </w:r>
          </w:p>
        </w:tc>
      </w:tr>
      <w:tr w14:paraId="6B9B9596" w14:textId="77777777" w:rsidTr="000C08CC">
        <w:tblPrEx>
          <w:tblW w:w="9369" w:type="dxa"/>
          <w:tblInd w:w="120" w:type="dxa"/>
          <w:tblLayout w:type="fixed"/>
          <w:tblCellMar>
            <w:left w:w="120" w:type="dxa"/>
            <w:right w:w="120" w:type="dxa"/>
          </w:tblCellMar>
          <w:tblLook w:val="0000"/>
        </w:tblPrEx>
        <w:trPr>
          <w:gridAfter w:val="1"/>
          <w:wAfter w:w="9" w:type="dxa"/>
          <w:cantSplit/>
        </w:trPr>
        <w:tc>
          <w:tcPr>
            <w:tcW w:w="7650" w:type="dxa"/>
            <w:gridSpan w:val="2"/>
            <w:tcBorders>
              <w:top w:val="single" w:sz="8" w:space="0" w:color="000000"/>
              <w:left w:val="single" w:sz="7" w:space="0" w:color="000000"/>
              <w:bottom w:val="single" w:sz="7" w:space="0" w:color="000000"/>
              <w:right w:val="single" w:sz="7" w:space="0" w:color="000000"/>
            </w:tcBorders>
          </w:tcPr>
          <w:p w:rsidR="00D208F5" w:rsidRPr="00DF5AF0" w:rsidP="000C08CC" w14:paraId="268AEE72"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control device (and process and capture system, if applicable) operating parameter data obtained during the conduct of applicable compliance or performance tests. Such data may be supplemented, if desired, by engineering assessments and manufacturer’s recom</w:t>
            </w:r>
            <w:r w:rsidRPr="00DF5AF0">
              <w:softHyphen/>
              <w:t>mendations to justify the indicator ranges.</w:t>
            </w:r>
          </w:p>
        </w:tc>
        <w:tc>
          <w:tcPr>
            <w:tcW w:w="171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4B35D790"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F5AF0">
              <w:rPr>
                <w:rStyle w:val="cf01"/>
                <w:rFonts w:ascii="Times New Roman" w:hAnsi="Times New Roman" w:cs="Times New Roman"/>
                <w:sz w:val="24"/>
                <w:szCs w:val="24"/>
              </w:rPr>
              <w:t>§</w:t>
            </w:r>
            <w:r w:rsidRPr="00DF5AF0">
              <w:t>64.4(c)(1)</w:t>
            </w:r>
          </w:p>
        </w:tc>
      </w:tr>
      <w:tr w14:paraId="46E3F4A7" w14:textId="77777777" w:rsidTr="000C08CC">
        <w:tblPrEx>
          <w:tblW w:w="9369" w:type="dxa"/>
          <w:tblInd w:w="120" w:type="dxa"/>
          <w:tblLayout w:type="fixed"/>
          <w:tblCellMar>
            <w:left w:w="120" w:type="dxa"/>
            <w:right w:w="120" w:type="dxa"/>
          </w:tblCellMar>
          <w:tblLook w:val="0000"/>
        </w:tblPrEx>
        <w:trPr>
          <w:gridAfter w:val="1"/>
          <w:wAfter w:w="9" w:type="dxa"/>
          <w:cantSplit/>
        </w:trPr>
        <w:tc>
          <w:tcPr>
            <w:tcW w:w="765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3FF6B158"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documentation to certify that no changes to the pollutant-specific emissions unit, including the control device and capture system, have taken place.</w:t>
            </w:r>
          </w:p>
        </w:tc>
        <w:tc>
          <w:tcPr>
            <w:tcW w:w="171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3B299FCB"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F5AF0">
              <w:rPr>
                <w:rStyle w:val="cf01"/>
                <w:rFonts w:ascii="Times New Roman" w:hAnsi="Times New Roman" w:cs="Times New Roman"/>
                <w:sz w:val="24"/>
                <w:szCs w:val="24"/>
              </w:rPr>
              <w:t>§</w:t>
            </w:r>
            <w:r w:rsidRPr="00DF5AF0">
              <w:t>64.4(c)(2)</w:t>
            </w:r>
          </w:p>
        </w:tc>
      </w:tr>
      <w:tr w14:paraId="26788AC3" w14:textId="77777777" w:rsidTr="000C08CC">
        <w:tblPrEx>
          <w:tblW w:w="9369" w:type="dxa"/>
          <w:tblInd w:w="120" w:type="dxa"/>
          <w:tblLayout w:type="fixed"/>
          <w:tblCellMar>
            <w:left w:w="120" w:type="dxa"/>
            <w:right w:w="120" w:type="dxa"/>
          </w:tblCellMar>
          <w:tblLook w:val="0000"/>
        </w:tblPrEx>
        <w:trPr>
          <w:gridAfter w:val="1"/>
          <w:wAfter w:w="9" w:type="dxa"/>
          <w:cantSplit/>
        </w:trPr>
        <w:tc>
          <w:tcPr>
            <w:tcW w:w="9360" w:type="dxa"/>
            <w:gridSpan w:val="4"/>
            <w:tcBorders>
              <w:top w:val="single" w:sz="7" w:space="0" w:color="000000"/>
              <w:left w:val="nil"/>
              <w:bottom w:val="single" w:sz="7" w:space="0" w:color="000000"/>
              <w:right w:val="nil"/>
            </w:tcBorders>
          </w:tcPr>
          <w:p w:rsidR="00D208F5" w:rsidRPr="00DF5AF0" w:rsidP="000C08CC" w14:paraId="4A93E301" w14:textId="083242B4">
            <w:pPr>
              <w:keepNext/>
              <w:keepLines/>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E</w:t>
            </w:r>
            <w:r w:rsidRPr="00DF5AF0">
              <w:t>xisting data from unit-specific compliance or performance testing specified in 64.4(c) are not available, the owner or operator:</w:t>
            </w:r>
          </w:p>
        </w:tc>
      </w:tr>
      <w:tr w14:paraId="58938A82" w14:textId="77777777" w:rsidTr="000C08CC">
        <w:tblPrEx>
          <w:tblW w:w="9369" w:type="dxa"/>
          <w:tblInd w:w="120" w:type="dxa"/>
          <w:tblLayout w:type="fixed"/>
          <w:tblCellMar>
            <w:left w:w="120" w:type="dxa"/>
            <w:right w:w="120" w:type="dxa"/>
          </w:tblCellMar>
          <w:tblLook w:val="0000"/>
        </w:tblPrEx>
        <w:trPr>
          <w:gridAfter w:val="1"/>
          <w:wAfter w:w="9" w:type="dxa"/>
          <w:cantSplit/>
        </w:trPr>
        <w:tc>
          <w:tcPr>
            <w:tcW w:w="765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5C017E2A" w14:textId="77777777">
            <w:pPr>
              <w:keepNext/>
              <w:keepLines/>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shall submit a test plan and schedule for obtaining such data; or</w:t>
            </w:r>
          </w:p>
        </w:tc>
        <w:tc>
          <w:tcPr>
            <w:tcW w:w="171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2324DF34" w14:textId="77777777">
            <w:pPr>
              <w:keepNext/>
              <w:keepLines/>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F5AF0">
              <w:rPr>
                <w:rStyle w:val="cf01"/>
                <w:rFonts w:ascii="Times New Roman" w:hAnsi="Times New Roman" w:cs="Times New Roman"/>
                <w:sz w:val="24"/>
                <w:szCs w:val="24"/>
              </w:rPr>
              <w:t>§</w:t>
            </w:r>
            <w:r w:rsidRPr="00DF5AF0">
              <w:t>64.4(d)(1)</w:t>
            </w:r>
          </w:p>
        </w:tc>
      </w:tr>
      <w:tr w14:paraId="7D8BA39C" w14:textId="77777777" w:rsidTr="000C08CC">
        <w:tblPrEx>
          <w:tblW w:w="9369" w:type="dxa"/>
          <w:tblInd w:w="120" w:type="dxa"/>
          <w:tblLayout w:type="fixed"/>
          <w:tblCellMar>
            <w:left w:w="120" w:type="dxa"/>
            <w:right w:w="120" w:type="dxa"/>
          </w:tblCellMar>
          <w:tblLook w:val="0000"/>
        </w:tblPrEx>
        <w:trPr>
          <w:gridAfter w:val="1"/>
          <w:wAfter w:w="9" w:type="dxa"/>
          <w:cantSplit/>
        </w:trPr>
        <w:tc>
          <w:tcPr>
            <w:tcW w:w="765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30D7FC57" w14:textId="77777777">
            <w:pPr>
              <w:keepNext/>
              <w:keepLines/>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may submit indicator ranges (or procedures for establishing indicator ranges) that rely on engineering assessments and other data, provided that the owner or operator demonstrates that factors specific to the type of monitoring, control device, or pollutant-specific emissions unit make compliance or performance testing unnecessary to establish indicator ranges at levels that satisfy the criteria in 64.3(a).</w:t>
            </w:r>
          </w:p>
        </w:tc>
        <w:tc>
          <w:tcPr>
            <w:tcW w:w="171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1D346176" w14:textId="77777777">
            <w:pPr>
              <w:keepNext/>
              <w:keepLines/>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F5AF0">
              <w:rPr>
                <w:rStyle w:val="cf01"/>
                <w:rFonts w:ascii="Times New Roman" w:hAnsi="Times New Roman" w:cs="Times New Roman"/>
                <w:sz w:val="24"/>
                <w:szCs w:val="24"/>
              </w:rPr>
              <w:t>§</w:t>
            </w:r>
            <w:r w:rsidRPr="00DF5AF0">
              <w:t>64.4(d)(2)</w:t>
            </w:r>
          </w:p>
        </w:tc>
      </w:tr>
      <w:tr w14:paraId="0B870B57" w14:textId="77777777" w:rsidTr="000C08CC">
        <w:tblPrEx>
          <w:tblW w:w="9369" w:type="dxa"/>
          <w:tblInd w:w="120" w:type="dxa"/>
          <w:tblLayout w:type="fixed"/>
          <w:tblCellMar>
            <w:left w:w="120" w:type="dxa"/>
            <w:right w:w="120" w:type="dxa"/>
          </w:tblCellMar>
          <w:tblLook w:val="0000"/>
        </w:tblPrEx>
        <w:trPr>
          <w:gridAfter w:val="1"/>
          <w:wAfter w:w="9" w:type="dxa"/>
        </w:trPr>
        <w:tc>
          <w:tcPr>
            <w:tcW w:w="9360" w:type="dxa"/>
            <w:gridSpan w:val="4"/>
            <w:tcBorders>
              <w:top w:val="single" w:sz="7" w:space="0" w:color="000000"/>
              <w:left w:val="nil"/>
              <w:bottom w:val="single" w:sz="7" w:space="0" w:color="000000"/>
              <w:right w:val="nil"/>
            </w:tcBorders>
          </w:tcPr>
          <w:p w:rsidR="00D208F5" w:rsidRPr="00DF5AF0" w:rsidP="000C08CC" w14:paraId="71109D44" w14:textId="77777777">
            <w:pPr>
              <w:keepNext/>
              <w:keepLines/>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08F5" w:rsidRPr="00DF5AF0" w:rsidP="000C08CC" w14:paraId="0FECD3D3" w14:textId="5D385C5C">
            <w:pPr>
              <w:keepNext/>
              <w:keepLines/>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If the monitoring submitted by the owner or operator requires installation, testing, or other necessary activities prior to use for the purposes of part 64, the owner or operator shall include:</w:t>
            </w:r>
          </w:p>
        </w:tc>
      </w:tr>
      <w:tr w14:paraId="16C456D3" w14:textId="77777777" w:rsidTr="000C08CC">
        <w:tblPrEx>
          <w:tblW w:w="9369" w:type="dxa"/>
          <w:tblInd w:w="120" w:type="dxa"/>
          <w:tblLayout w:type="fixed"/>
          <w:tblCellMar>
            <w:left w:w="120" w:type="dxa"/>
            <w:right w:w="120" w:type="dxa"/>
          </w:tblCellMar>
          <w:tblLook w:val="0000"/>
        </w:tblPrEx>
        <w:trPr>
          <w:gridAfter w:val="1"/>
          <w:wAfter w:w="9" w:type="dxa"/>
          <w:cantSplit/>
        </w:trPr>
        <w:tc>
          <w:tcPr>
            <w:tcW w:w="765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3A310837" w14:textId="77777777">
            <w:pPr>
              <w:keepNext/>
              <w:keepLines/>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an implementation plan and</w:t>
            </w:r>
          </w:p>
        </w:tc>
        <w:tc>
          <w:tcPr>
            <w:tcW w:w="171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6F0E684D" w14:textId="77777777">
            <w:pPr>
              <w:keepNext/>
              <w:keepLines/>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F5AF0">
              <w:rPr>
                <w:rStyle w:val="cf01"/>
                <w:rFonts w:ascii="Times New Roman" w:hAnsi="Times New Roman" w:cs="Times New Roman"/>
                <w:sz w:val="24"/>
                <w:szCs w:val="24"/>
              </w:rPr>
              <w:t>§</w:t>
            </w:r>
            <w:r w:rsidRPr="00DF5AF0">
              <w:t>64.4(e)</w:t>
            </w:r>
          </w:p>
        </w:tc>
      </w:tr>
      <w:tr w14:paraId="7470203B" w14:textId="77777777" w:rsidTr="000C08CC">
        <w:tblPrEx>
          <w:tblW w:w="9369" w:type="dxa"/>
          <w:tblInd w:w="120" w:type="dxa"/>
          <w:tblLayout w:type="fixed"/>
          <w:tblCellMar>
            <w:left w:w="120" w:type="dxa"/>
            <w:right w:w="120" w:type="dxa"/>
          </w:tblCellMar>
          <w:tblLook w:val="0000"/>
        </w:tblPrEx>
        <w:trPr>
          <w:gridAfter w:val="1"/>
          <w:wAfter w:w="9" w:type="dxa"/>
          <w:cantSplit/>
        </w:trPr>
        <w:tc>
          <w:tcPr>
            <w:tcW w:w="765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0C47D04D" w14:textId="77777777">
            <w:pPr>
              <w:keepNext/>
              <w:keepLines/>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schedule for installing, testing, and performing any other appropriate activities prior to the use of the monitoring.</w:t>
            </w:r>
          </w:p>
        </w:tc>
        <w:tc>
          <w:tcPr>
            <w:tcW w:w="171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660BF984" w14:textId="77777777">
            <w:pPr>
              <w:keepNext/>
              <w:keepLines/>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F5AF0">
              <w:rPr>
                <w:rStyle w:val="cf01"/>
                <w:rFonts w:ascii="Times New Roman" w:hAnsi="Times New Roman" w:cs="Times New Roman"/>
                <w:sz w:val="24"/>
                <w:szCs w:val="24"/>
              </w:rPr>
              <w:t>§</w:t>
            </w:r>
            <w:r w:rsidRPr="00DF5AF0">
              <w:t>64.4(e)</w:t>
            </w:r>
          </w:p>
        </w:tc>
      </w:tr>
      <w:tr w14:paraId="252D1127" w14:textId="77777777" w:rsidTr="000C08CC">
        <w:tblPrEx>
          <w:tblW w:w="9369" w:type="dxa"/>
          <w:tblInd w:w="120" w:type="dxa"/>
          <w:tblLayout w:type="fixed"/>
          <w:tblCellMar>
            <w:left w:w="120" w:type="dxa"/>
            <w:right w:w="120" w:type="dxa"/>
          </w:tblCellMar>
          <w:tblLook w:val="0000"/>
        </w:tblPrEx>
        <w:trPr>
          <w:gridBefore w:val="1"/>
          <w:wBefore w:w="9" w:type="dxa"/>
        </w:trPr>
        <w:tc>
          <w:tcPr>
            <w:tcW w:w="9360" w:type="dxa"/>
            <w:gridSpan w:val="4"/>
            <w:tcBorders>
              <w:left w:val="nil"/>
              <w:bottom w:val="single" w:sz="8" w:space="0" w:color="000000"/>
              <w:right w:val="nil"/>
            </w:tcBorders>
          </w:tcPr>
          <w:p w:rsidR="00D208F5" w:rsidRPr="00DF5AF0" w:rsidP="000C08CC" w14:paraId="41C76F7C" w14:textId="77777777">
            <w:pPr>
              <w:keepNext/>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08F5" w:rsidRPr="00DF5AF0" w:rsidP="00852E9F" w14:paraId="530C97EC" w14:textId="2023CC4B">
            <w:pPr>
              <w:keepNext/>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Pr="00DF5AF0">
              <w:t>Submit monitoring reports in accordance with 70.6(a)(3)(iii). In addition, the monitoring report shall include:</w:t>
            </w:r>
          </w:p>
        </w:tc>
      </w:tr>
      <w:tr w14:paraId="750D23DF" w14:textId="77777777" w:rsidTr="000C08CC">
        <w:tblPrEx>
          <w:tblW w:w="9369" w:type="dxa"/>
          <w:tblInd w:w="120" w:type="dxa"/>
          <w:tblLayout w:type="fixed"/>
          <w:tblCellMar>
            <w:left w:w="120" w:type="dxa"/>
            <w:right w:w="120" w:type="dxa"/>
          </w:tblCellMar>
          <w:tblLook w:val="0000"/>
        </w:tblPrEx>
        <w:trPr>
          <w:gridBefore w:val="1"/>
          <w:wBefore w:w="9" w:type="dxa"/>
          <w:cantSplit/>
        </w:trPr>
        <w:tc>
          <w:tcPr>
            <w:tcW w:w="7650" w:type="dxa"/>
            <w:gridSpan w:val="2"/>
            <w:tcBorders>
              <w:top w:val="single" w:sz="8" w:space="0" w:color="000000"/>
              <w:left w:val="single" w:sz="7" w:space="0" w:color="000000"/>
              <w:bottom w:val="single" w:sz="7" w:space="0" w:color="000000"/>
              <w:right w:val="single" w:sz="7" w:space="0" w:color="000000"/>
            </w:tcBorders>
          </w:tcPr>
          <w:p w:rsidR="00D208F5" w:rsidRPr="00DF5AF0" w:rsidP="000C08CC" w14:paraId="5861CD5E"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DF5AF0">
              <w:t>summary information of the number, duration and cause (including unknown cause, if applicable) of excursions or exceedances and the corrective actions taken.</w:t>
            </w:r>
          </w:p>
        </w:tc>
        <w:tc>
          <w:tcPr>
            <w:tcW w:w="1710" w:type="dxa"/>
            <w:gridSpan w:val="2"/>
            <w:tcBorders>
              <w:top w:val="single" w:sz="8" w:space="0" w:color="000000"/>
              <w:left w:val="single" w:sz="7" w:space="0" w:color="000000"/>
              <w:bottom w:val="single" w:sz="7" w:space="0" w:color="000000"/>
              <w:right w:val="single" w:sz="7" w:space="0" w:color="000000"/>
            </w:tcBorders>
          </w:tcPr>
          <w:p w:rsidR="00D208F5" w:rsidRPr="00DF5AF0" w:rsidP="000C08CC" w14:paraId="0289A1B4"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DF5AF0">
              <w:rPr>
                <w:rStyle w:val="cf01"/>
                <w:rFonts w:ascii="Times New Roman" w:hAnsi="Times New Roman" w:cs="Times New Roman"/>
                <w:sz w:val="24"/>
                <w:szCs w:val="24"/>
              </w:rPr>
              <w:t>§</w:t>
            </w:r>
            <w:r w:rsidRPr="00DF5AF0">
              <w:t>64.9(a)(2)(i)</w:t>
            </w:r>
          </w:p>
        </w:tc>
      </w:tr>
      <w:tr w14:paraId="100A5578" w14:textId="77777777" w:rsidTr="000C08CC">
        <w:tblPrEx>
          <w:tblW w:w="9369" w:type="dxa"/>
          <w:tblInd w:w="120" w:type="dxa"/>
          <w:tblLayout w:type="fixed"/>
          <w:tblCellMar>
            <w:left w:w="120" w:type="dxa"/>
            <w:right w:w="120" w:type="dxa"/>
          </w:tblCellMar>
          <w:tblLook w:val="0000"/>
        </w:tblPrEx>
        <w:trPr>
          <w:gridBefore w:val="1"/>
          <w:wBefore w:w="9" w:type="dxa"/>
          <w:cantSplit/>
        </w:trPr>
        <w:tc>
          <w:tcPr>
            <w:tcW w:w="765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11B45202"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DF5AF0">
              <w:t>summary information of the number, duration and cause (including unknown cause, if applicable) for monitor downtime incidents (other than downtime associated with zero and span or other daily calibration checks, if applicable).</w:t>
            </w:r>
          </w:p>
        </w:tc>
        <w:tc>
          <w:tcPr>
            <w:tcW w:w="171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111FE7BF"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DF5AF0">
              <w:rPr>
                <w:rStyle w:val="cf01"/>
                <w:rFonts w:ascii="Times New Roman" w:hAnsi="Times New Roman" w:cs="Times New Roman"/>
                <w:sz w:val="24"/>
                <w:szCs w:val="24"/>
              </w:rPr>
              <w:t>§</w:t>
            </w:r>
            <w:r w:rsidRPr="00DF5AF0">
              <w:t>64.9(a)(2)(ii)</w:t>
            </w:r>
          </w:p>
        </w:tc>
      </w:tr>
      <w:tr w14:paraId="7B4FDA21" w14:textId="77777777" w:rsidTr="000C08CC">
        <w:tblPrEx>
          <w:tblW w:w="9369" w:type="dxa"/>
          <w:tblInd w:w="120" w:type="dxa"/>
          <w:tblLayout w:type="fixed"/>
          <w:tblCellMar>
            <w:left w:w="120" w:type="dxa"/>
            <w:right w:w="120" w:type="dxa"/>
          </w:tblCellMar>
          <w:tblLook w:val="0000"/>
        </w:tblPrEx>
        <w:trPr>
          <w:gridBefore w:val="1"/>
          <w:wBefore w:w="9" w:type="dxa"/>
          <w:cantSplit/>
        </w:trPr>
        <w:tc>
          <w:tcPr>
            <w:tcW w:w="765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271293F4"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DF5AF0">
              <w:t>a description of the actions taken to implement a quality improvement plan (QIP) specified in 64.8. Upon completion of a QIP, the owner or operator shall include in the next summary report documentation that the implementation of the plan has been com</w:t>
            </w:r>
            <w:r w:rsidRPr="00DF5AF0">
              <w:softHyphen/>
              <w:t>pleted and reduced the likelihood of similar levels of excursions or exceedances occurring.</w:t>
            </w:r>
          </w:p>
        </w:tc>
        <w:tc>
          <w:tcPr>
            <w:tcW w:w="1710" w:type="dxa"/>
            <w:gridSpan w:val="2"/>
            <w:tcBorders>
              <w:top w:val="single" w:sz="7" w:space="0" w:color="000000"/>
              <w:left w:val="single" w:sz="7" w:space="0" w:color="000000"/>
              <w:bottom w:val="single" w:sz="7" w:space="0" w:color="000000"/>
              <w:right w:val="single" w:sz="7" w:space="0" w:color="000000"/>
            </w:tcBorders>
          </w:tcPr>
          <w:p w:rsidR="00D208F5" w:rsidRPr="00DF5AF0" w:rsidP="000C08CC" w14:paraId="619DBC5B"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DF5AF0">
              <w:rPr>
                <w:rStyle w:val="cf01"/>
                <w:rFonts w:ascii="Times New Roman" w:hAnsi="Times New Roman" w:cs="Times New Roman"/>
                <w:sz w:val="24"/>
                <w:szCs w:val="24"/>
              </w:rPr>
              <w:t>§</w:t>
            </w:r>
            <w:r w:rsidRPr="00DF5AF0">
              <w:t>64.9(a)(2)(iii)</w:t>
            </w:r>
          </w:p>
        </w:tc>
      </w:tr>
    </w:tbl>
    <w:p w:rsidR="00D208F5" w:rsidRPr="00DF5AF0" w:rsidP="00D208F5" w14:paraId="4170137B"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360" w:type="dxa"/>
        <w:tblInd w:w="129" w:type="dxa"/>
        <w:tblLayout w:type="fixed"/>
        <w:tblCellMar>
          <w:left w:w="120" w:type="dxa"/>
          <w:right w:w="120" w:type="dxa"/>
        </w:tblCellMar>
        <w:tblLook w:val="0000"/>
      </w:tblPr>
      <w:tblGrid>
        <w:gridCol w:w="7650"/>
        <w:gridCol w:w="1710"/>
      </w:tblGrid>
      <w:tr w14:paraId="7A8D5B56" w14:textId="77777777" w:rsidTr="000C08CC">
        <w:tblPrEx>
          <w:tblW w:w="9360" w:type="dxa"/>
          <w:tblInd w:w="129" w:type="dxa"/>
          <w:tblLayout w:type="fixed"/>
          <w:tblCellMar>
            <w:left w:w="120" w:type="dxa"/>
            <w:right w:w="120" w:type="dxa"/>
          </w:tblCellMar>
          <w:tblLook w:val="0000"/>
        </w:tblPrEx>
        <w:trPr>
          <w:cantSplit/>
        </w:trPr>
        <w:tc>
          <w:tcPr>
            <w:tcW w:w="9360" w:type="dxa"/>
            <w:gridSpan w:val="2"/>
            <w:tcBorders>
              <w:left w:val="nil"/>
              <w:bottom w:val="single" w:sz="8" w:space="0" w:color="000000"/>
              <w:right w:val="nil"/>
            </w:tcBorders>
          </w:tcPr>
          <w:p w:rsidR="00D208F5" w:rsidRPr="00DF5AF0" w:rsidP="00852E9F" w14:paraId="67D1E6BA" w14:textId="3F21CA26">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Records shall be maintained in accordance with the requirements specified in 70.6(a)(3)(ii). In addition, the records shall include:</w:t>
            </w:r>
          </w:p>
        </w:tc>
      </w:tr>
      <w:tr w14:paraId="7F37B252" w14:textId="77777777" w:rsidTr="000C08CC">
        <w:tblPrEx>
          <w:tblW w:w="9360" w:type="dxa"/>
          <w:tblInd w:w="129" w:type="dxa"/>
          <w:tblLayout w:type="fixed"/>
          <w:tblCellMar>
            <w:left w:w="120" w:type="dxa"/>
            <w:right w:w="120" w:type="dxa"/>
          </w:tblCellMar>
          <w:tblLook w:val="0000"/>
        </w:tblPrEx>
        <w:trPr>
          <w:cantSplit/>
        </w:trPr>
        <w:tc>
          <w:tcPr>
            <w:tcW w:w="7650" w:type="dxa"/>
            <w:tcBorders>
              <w:top w:val="single" w:sz="8" w:space="0" w:color="000000"/>
              <w:left w:val="single" w:sz="7" w:space="0" w:color="000000"/>
              <w:bottom w:val="single" w:sz="8" w:space="0" w:color="000000"/>
              <w:right w:val="single" w:sz="8" w:space="0" w:color="000000"/>
            </w:tcBorders>
          </w:tcPr>
          <w:p w:rsidR="00D208F5" w:rsidRPr="00DF5AF0" w:rsidP="000C08CC" w14:paraId="45FB2A3B"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DF5AF0">
              <w:t>any written QIP required pursuant to 64.8</w:t>
            </w:r>
          </w:p>
        </w:tc>
        <w:tc>
          <w:tcPr>
            <w:tcW w:w="1710" w:type="dxa"/>
            <w:tcBorders>
              <w:top w:val="single" w:sz="8" w:space="0" w:color="000000"/>
              <w:left w:val="single" w:sz="8" w:space="0" w:color="000000"/>
              <w:bottom w:val="single" w:sz="8" w:space="0" w:color="000000"/>
              <w:right w:val="single" w:sz="7" w:space="0" w:color="000000"/>
            </w:tcBorders>
          </w:tcPr>
          <w:p w:rsidR="00D208F5" w:rsidRPr="00DF5AF0" w:rsidP="000C08CC" w14:paraId="6226A292"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DF5AF0">
              <w:rPr>
                <w:rStyle w:val="cf01"/>
                <w:rFonts w:ascii="Times New Roman" w:hAnsi="Times New Roman" w:cs="Times New Roman"/>
                <w:sz w:val="24"/>
                <w:szCs w:val="24"/>
              </w:rPr>
              <w:t>§</w:t>
            </w:r>
            <w:r w:rsidRPr="00DF5AF0">
              <w:t>64.9(b)</w:t>
            </w:r>
          </w:p>
        </w:tc>
      </w:tr>
      <w:tr w14:paraId="6F5D0BBD" w14:textId="77777777" w:rsidTr="000C08CC">
        <w:tblPrEx>
          <w:tblW w:w="9360" w:type="dxa"/>
          <w:tblInd w:w="129" w:type="dxa"/>
          <w:tblLayout w:type="fixed"/>
          <w:tblCellMar>
            <w:left w:w="120" w:type="dxa"/>
            <w:right w:w="120" w:type="dxa"/>
          </w:tblCellMar>
          <w:tblLook w:val="0000"/>
        </w:tblPrEx>
        <w:trPr>
          <w:cantSplit/>
        </w:trPr>
        <w:tc>
          <w:tcPr>
            <w:tcW w:w="7650" w:type="dxa"/>
            <w:tcBorders>
              <w:top w:val="single" w:sz="8" w:space="0" w:color="000000"/>
              <w:left w:val="single" w:sz="7" w:space="0" w:color="000000"/>
              <w:bottom w:val="single" w:sz="8" w:space="0" w:color="000000"/>
              <w:right w:val="single" w:sz="8" w:space="0" w:color="000000"/>
            </w:tcBorders>
          </w:tcPr>
          <w:p w:rsidR="00D208F5" w:rsidRPr="00DF5AF0" w:rsidP="000C08CC" w14:paraId="045A1DA5"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DF5AF0">
              <w:t>any corrective actions taken to implement a QIP</w:t>
            </w:r>
          </w:p>
        </w:tc>
        <w:tc>
          <w:tcPr>
            <w:tcW w:w="1710" w:type="dxa"/>
            <w:tcBorders>
              <w:top w:val="single" w:sz="8" w:space="0" w:color="000000"/>
              <w:left w:val="single" w:sz="8" w:space="0" w:color="000000"/>
              <w:bottom w:val="single" w:sz="8" w:space="0" w:color="000000"/>
              <w:right w:val="single" w:sz="7" w:space="0" w:color="000000"/>
            </w:tcBorders>
          </w:tcPr>
          <w:p w:rsidR="00D208F5" w:rsidRPr="00DF5AF0" w:rsidP="000C08CC" w14:paraId="196C6B4C"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DF5AF0">
              <w:rPr>
                <w:rStyle w:val="cf01"/>
                <w:rFonts w:ascii="Times New Roman" w:hAnsi="Times New Roman" w:cs="Times New Roman"/>
                <w:sz w:val="24"/>
                <w:szCs w:val="24"/>
              </w:rPr>
              <w:t>§</w:t>
            </w:r>
            <w:r w:rsidRPr="00DF5AF0">
              <w:t>64.9(b)</w:t>
            </w:r>
          </w:p>
        </w:tc>
      </w:tr>
    </w:tbl>
    <w:p w:rsidR="00D208F5" w:rsidRPr="00DF5AF0" w:rsidP="00D208F5" w14:paraId="6D678C9F"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360" w:type="dxa"/>
        <w:tblInd w:w="129" w:type="dxa"/>
        <w:tblLayout w:type="fixed"/>
        <w:tblCellMar>
          <w:left w:w="120" w:type="dxa"/>
          <w:right w:w="120" w:type="dxa"/>
        </w:tblCellMar>
        <w:tblLook w:val="0000"/>
      </w:tblPr>
      <w:tblGrid>
        <w:gridCol w:w="7431"/>
        <w:gridCol w:w="1929"/>
      </w:tblGrid>
      <w:tr w14:paraId="52DB8747" w14:textId="77777777" w:rsidTr="000C08CC">
        <w:tblPrEx>
          <w:tblW w:w="9360" w:type="dxa"/>
          <w:tblInd w:w="129" w:type="dxa"/>
          <w:tblLayout w:type="fixed"/>
          <w:tblCellMar>
            <w:left w:w="120" w:type="dxa"/>
            <w:right w:w="120" w:type="dxa"/>
          </w:tblCellMar>
          <w:tblLook w:val="0000"/>
        </w:tblPrEx>
        <w:trPr>
          <w:cantSplit/>
        </w:trPr>
        <w:tc>
          <w:tcPr>
            <w:tcW w:w="9360" w:type="dxa"/>
            <w:gridSpan w:val="2"/>
            <w:tcBorders>
              <w:left w:val="nil"/>
              <w:bottom w:val="single" w:sz="8" w:space="0" w:color="000000"/>
              <w:right w:val="nil"/>
            </w:tcBorders>
          </w:tcPr>
          <w:p w:rsidR="00D208F5" w:rsidRPr="00DF5AF0" w:rsidP="00852E9F" w14:paraId="39D59C57" w14:textId="12046676">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AF0">
              <w:t>For all affected pollutant-specific units, an annual compliance certification is required. As part of the compliance certification, it is necessary to identify:</w:t>
            </w:r>
          </w:p>
        </w:tc>
      </w:tr>
      <w:tr w14:paraId="1E34D98C" w14:textId="77777777" w:rsidTr="00013FE4">
        <w:tblPrEx>
          <w:tblW w:w="9360" w:type="dxa"/>
          <w:tblInd w:w="129" w:type="dxa"/>
          <w:tblLayout w:type="fixed"/>
          <w:tblCellMar>
            <w:left w:w="120" w:type="dxa"/>
            <w:right w:w="120" w:type="dxa"/>
          </w:tblCellMar>
          <w:tblLook w:val="0000"/>
        </w:tblPrEx>
        <w:trPr>
          <w:cantSplit/>
        </w:trPr>
        <w:tc>
          <w:tcPr>
            <w:tcW w:w="7431" w:type="dxa"/>
            <w:tcBorders>
              <w:top w:val="single" w:sz="8" w:space="0" w:color="000000"/>
              <w:left w:val="single" w:sz="7" w:space="0" w:color="000000"/>
              <w:bottom w:val="single" w:sz="8" w:space="0" w:color="000000"/>
              <w:right w:val="single" w:sz="8" w:space="0" w:color="000000"/>
            </w:tcBorders>
          </w:tcPr>
          <w:p w:rsidR="00D208F5" w:rsidRPr="00DF5AF0" w:rsidP="000C08CC" w14:paraId="4932414D"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DF5AF0">
              <w:t>each term or condition of the permit that is the basis of the certification.</w:t>
            </w:r>
          </w:p>
        </w:tc>
        <w:tc>
          <w:tcPr>
            <w:tcW w:w="1929" w:type="dxa"/>
            <w:tcBorders>
              <w:top w:val="single" w:sz="8" w:space="0" w:color="000000"/>
              <w:left w:val="single" w:sz="8" w:space="0" w:color="000000"/>
              <w:bottom w:val="single" w:sz="8" w:space="0" w:color="000000"/>
              <w:right w:val="single" w:sz="7" w:space="0" w:color="000000"/>
            </w:tcBorders>
          </w:tcPr>
          <w:p w:rsidR="00D208F5" w:rsidRPr="00DF5AF0" w:rsidP="000C08CC" w14:paraId="210F958D"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DF5AF0">
              <w:rPr>
                <w:rStyle w:val="cf01"/>
                <w:rFonts w:ascii="Times New Roman" w:hAnsi="Times New Roman" w:cs="Times New Roman"/>
                <w:sz w:val="24"/>
                <w:szCs w:val="24"/>
              </w:rPr>
              <w:t>§</w:t>
            </w:r>
            <w:r w:rsidRPr="00DF5AF0">
              <w:t>70.6(c)(5)(iii)(A)</w:t>
            </w:r>
          </w:p>
          <w:p w:rsidR="00D208F5" w:rsidRPr="00DF5AF0" w:rsidP="000C08CC" w14:paraId="6DE8FCBD"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DF5AF0">
              <w:rPr>
                <w:rStyle w:val="cf01"/>
                <w:rFonts w:ascii="Times New Roman" w:hAnsi="Times New Roman" w:cs="Times New Roman"/>
                <w:sz w:val="24"/>
                <w:szCs w:val="24"/>
              </w:rPr>
              <w:t>§</w:t>
            </w:r>
            <w:r w:rsidRPr="00DF5AF0">
              <w:t>71.6(c)(5)(iii)(A)</w:t>
            </w:r>
          </w:p>
        </w:tc>
      </w:tr>
      <w:tr w14:paraId="5CB8B144" w14:textId="77777777" w:rsidTr="00013FE4">
        <w:tblPrEx>
          <w:tblW w:w="9360" w:type="dxa"/>
          <w:tblInd w:w="129" w:type="dxa"/>
          <w:tblLayout w:type="fixed"/>
          <w:tblCellMar>
            <w:left w:w="120" w:type="dxa"/>
            <w:right w:w="120" w:type="dxa"/>
          </w:tblCellMar>
          <w:tblLook w:val="0000"/>
        </w:tblPrEx>
        <w:trPr>
          <w:cantSplit/>
        </w:trPr>
        <w:tc>
          <w:tcPr>
            <w:tcW w:w="7431" w:type="dxa"/>
            <w:tcBorders>
              <w:top w:val="single" w:sz="8" w:space="0" w:color="000000"/>
              <w:left w:val="single" w:sz="7" w:space="0" w:color="000000"/>
              <w:bottom w:val="single" w:sz="8" w:space="0" w:color="000000"/>
              <w:right w:val="single" w:sz="8" w:space="0" w:color="000000"/>
            </w:tcBorders>
          </w:tcPr>
          <w:p w:rsidR="00D208F5" w:rsidRPr="00DF5AF0" w:rsidP="000C08CC" w14:paraId="183C5329"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DF5AF0">
              <w:t>the method(s) or other means used by the owner or operator for determining the compli</w:t>
            </w:r>
            <w:r w:rsidRPr="00DF5AF0">
              <w:softHyphen/>
              <w:t>ance status with each term and condition during the certification period.</w:t>
            </w:r>
          </w:p>
        </w:tc>
        <w:tc>
          <w:tcPr>
            <w:tcW w:w="1929" w:type="dxa"/>
            <w:tcBorders>
              <w:top w:val="single" w:sz="8" w:space="0" w:color="000000"/>
              <w:left w:val="single" w:sz="8" w:space="0" w:color="000000"/>
              <w:bottom w:val="single" w:sz="8" w:space="0" w:color="000000"/>
              <w:right w:val="single" w:sz="7" w:space="0" w:color="000000"/>
            </w:tcBorders>
          </w:tcPr>
          <w:p w:rsidR="00D208F5" w:rsidRPr="00DF5AF0" w:rsidP="000C08CC" w14:paraId="3AB330AB"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DF5AF0">
              <w:rPr>
                <w:rStyle w:val="cf01"/>
                <w:rFonts w:ascii="Times New Roman" w:hAnsi="Times New Roman" w:cs="Times New Roman"/>
                <w:sz w:val="24"/>
                <w:szCs w:val="24"/>
              </w:rPr>
              <w:t>§</w:t>
            </w:r>
            <w:r w:rsidRPr="00DF5AF0">
              <w:t>70.6(c)(5)(iii)(B)</w:t>
            </w:r>
          </w:p>
          <w:p w:rsidR="00D208F5" w:rsidRPr="00DF5AF0" w:rsidP="000C08CC" w14:paraId="075ED908"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DF5AF0">
              <w:rPr>
                <w:rStyle w:val="cf01"/>
                <w:rFonts w:ascii="Times New Roman" w:hAnsi="Times New Roman" w:cs="Times New Roman"/>
                <w:sz w:val="24"/>
                <w:szCs w:val="24"/>
              </w:rPr>
              <w:t>§</w:t>
            </w:r>
            <w:r w:rsidRPr="00DF5AF0">
              <w:t>71.6(c)(5)(iii)(B)</w:t>
            </w:r>
          </w:p>
        </w:tc>
      </w:tr>
      <w:tr w14:paraId="5C15A00A" w14:textId="77777777" w:rsidTr="00013FE4">
        <w:tblPrEx>
          <w:tblW w:w="9360" w:type="dxa"/>
          <w:tblInd w:w="129" w:type="dxa"/>
          <w:tblLayout w:type="fixed"/>
          <w:tblCellMar>
            <w:left w:w="120" w:type="dxa"/>
            <w:right w:w="120" w:type="dxa"/>
          </w:tblCellMar>
          <w:tblLook w:val="0000"/>
        </w:tblPrEx>
        <w:tc>
          <w:tcPr>
            <w:tcW w:w="7431" w:type="dxa"/>
            <w:tcBorders>
              <w:top w:val="single" w:sz="8" w:space="0" w:color="000000"/>
              <w:left w:val="single" w:sz="7" w:space="0" w:color="000000"/>
              <w:bottom w:val="single" w:sz="8" w:space="0" w:color="000000"/>
              <w:right w:val="single" w:sz="8" w:space="0" w:color="000000"/>
            </w:tcBorders>
          </w:tcPr>
          <w:p w:rsidR="00D208F5" w:rsidRPr="00DF5AF0" w:rsidP="000C08CC" w14:paraId="16332F95"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DF5AF0">
              <w:t>the status of compliance with the terms and conditions of the permit for the period covered by the certification, including whether compliance during the period was continuous or intermittent.</w:t>
            </w:r>
          </w:p>
        </w:tc>
        <w:tc>
          <w:tcPr>
            <w:tcW w:w="1929" w:type="dxa"/>
            <w:tcBorders>
              <w:top w:val="single" w:sz="8" w:space="0" w:color="000000"/>
              <w:left w:val="single" w:sz="8" w:space="0" w:color="000000"/>
              <w:bottom w:val="single" w:sz="8" w:space="0" w:color="000000"/>
              <w:right w:val="single" w:sz="7" w:space="0" w:color="000000"/>
            </w:tcBorders>
          </w:tcPr>
          <w:p w:rsidR="00D208F5" w:rsidRPr="00DF5AF0" w:rsidP="000C08CC" w14:paraId="74F824E3"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DF5AF0">
              <w:rPr>
                <w:rStyle w:val="cf01"/>
                <w:rFonts w:ascii="Times New Roman" w:hAnsi="Times New Roman" w:cs="Times New Roman"/>
                <w:sz w:val="24"/>
                <w:szCs w:val="24"/>
              </w:rPr>
              <w:t>§</w:t>
            </w:r>
            <w:r w:rsidRPr="00DF5AF0">
              <w:t>70.6(c)(5)(iii)(C)</w:t>
            </w:r>
          </w:p>
          <w:p w:rsidR="00D208F5" w:rsidRPr="00DF5AF0" w:rsidP="000C08CC" w14:paraId="6EAC1E5C"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DF5AF0">
              <w:rPr>
                <w:rStyle w:val="cf01"/>
                <w:rFonts w:ascii="Times New Roman" w:hAnsi="Times New Roman" w:cs="Times New Roman"/>
                <w:sz w:val="24"/>
                <w:szCs w:val="24"/>
              </w:rPr>
              <w:t>§</w:t>
            </w:r>
            <w:r w:rsidRPr="00DF5AF0">
              <w:t>71.6(c)(5)(iii)(C)</w:t>
            </w:r>
          </w:p>
        </w:tc>
      </w:tr>
      <w:tr w14:paraId="4E4D51B9" w14:textId="77777777" w:rsidTr="00013FE4">
        <w:tblPrEx>
          <w:tblW w:w="9360" w:type="dxa"/>
          <w:tblInd w:w="129" w:type="dxa"/>
          <w:tblLayout w:type="fixed"/>
          <w:tblCellMar>
            <w:left w:w="120" w:type="dxa"/>
            <w:right w:w="120" w:type="dxa"/>
          </w:tblCellMar>
          <w:tblLook w:val="0000"/>
        </w:tblPrEx>
        <w:trPr>
          <w:cantSplit/>
        </w:trPr>
        <w:tc>
          <w:tcPr>
            <w:tcW w:w="7431" w:type="dxa"/>
            <w:tcBorders>
              <w:top w:val="single" w:sz="8" w:space="0" w:color="000000"/>
              <w:left w:val="single" w:sz="7" w:space="0" w:color="000000"/>
              <w:bottom w:val="single" w:sz="8" w:space="0" w:color="000000"/>
              <w:right w:val="single" w:sz="8" w:space="0" w:color="000000"/>
            </w:tcBorders>
          </w:tcPr>
          <w:p w:rsidR="00D208F5" w:rsidRPr="00DF5AF0" w:rsidP="000C08CC" w14:paraId="34B1681D"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DF5AF0">
              <w:t>such other facts as the PA may require.</w:t>
            </w:r>
          </w:p>
        </w:tc>
        <w:tc>
          <w:tcPr>
            <w:tcW w:w="1929" w:type="dxa"/>
            <w:tcBorders>
              <w:top w:val="single" w:sz="8" w:space="0" w:color="000000"/>
              <w:left w:val="single" w:sz="8" w:space="0" w:color="000000"/>
              <w:bottom w:val="single" w:sz="8" w:space="0" w:color="000000"/>
              <w:right w:val="single" w:sz="7" w:space="0" w:color="000000"/>
            </w:tcBorders>
          </w:tcPr>
          <w:p w:rsidR="00D208F5" w:rsidRPr="00DF5AF0" w:rsidP="000C08CC" w14:paraId="6C4F63C6"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DF5AF0">
              <w:rPr>
                <w:rStyle w:val="cf01"/>
                <w:rFonts w:ascii="Times New Roman" w:hAnsi="Times New Roman" w:cs="Times New Roman"/>
                <w:sz w:val="24"/>
                <w:szCs w:val="24"/>
              </w:rPr>
              <w:t>§</w:t>
            </w:r>
            <w:r w:rsidRPr="00DF5AF0">
              <w:t>70.6(c)(5)(iii)(D)</w:t>
            </w:r>
          </w:p>
          <w:p w:rsidR="00D208F5" w:rsidRPr="00DF5AF0" w:rsidP="000C08CC" w14:paraId="3CB386F6" w14:textId="77777777">
            <w:pPr>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DF5AF0">
              <w:rPr>
                <w:rStyle w:val="cf01"/>
                <w:rFonts w:ascii="Times New Roman" w:hAnsi="Times New Roman" w:cs="Times New Roman"/>
                <w:sz w:val="24"/>
                <w:szCs w:val="24"/>
              </w:rPr>
              <w:t>§</w:t>
            </w:r>
            <w:r w:rsidRPr="00DF5AF0">
              <w:t>71.6(c)(5)(iii)(D)</w:t>
            </w:r>
          </w:p>
        </w:tc>
      </w:tr>
    </w:tbl>
    <w:p w:rsidR="00C76FE7" w:rsidP="009F71F1" w14:paraId="36DAA852" w14:textId="77777777">
      <w:pPr>
        <w:pStyle w:val="Heading3"/>
        <w:pBdr>
          <w:bottom w:val="single" w:sz="4" w:space="1" w:color="auto"/>
        </w:pBdr>
        <w:ind w:left="540"/>
        <w:rPr>
          <w:rFonts w:asciiTheme="minorHAnsi" w:hAnsiTheme="minorHAnsi" w:cstheme="minorHAnsi"/>
          <w:color w:val="2F5496" w:themeColor="accent1" w:themeShade="BF"/>
        </w:rPr>
      </w:pPr>
    </w:p>
    <w:p w:rsidR="00DD718B" w:rsidRPr="00BB362A" w:rsidP="009F71F1" w14:paraId="13A79E9F" w14:textId="171C61A5">
      <w:pPr>
        <w:pStyle w:val="Heading3"/>
        <w:pBdr>
          <w:bottom w:val="single" w:sz="4" w:space="1" w:color="auto"/>
        </w:pBdr>
        <w:ind w:left="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12c.</w:t>
      </w:r>
      <w:r w:rsidRPr="00BB362A" w:rsidR="006B57A3">
        <w:rPr>
          <w:rFonts w:asciiTheme="minorHAnsi" w:hAnsiTheme="minorHAnsi" w:cstheme="minorHAnsi"/>
          <w:color w:val="2F5496" w:themeColor="accent1" w:themeShade="BF"/>
        </w:rPr>
        <w:tab/>
      </w:r>
      <w:r w:rsidRPr="00BB362A">
        <w:rPr>
          <w:rFonts w:asciiTheme="minorHAnsi" w:hAnsiTheme="minorHAnsi" w:cstheme="minorHAnsi"/>
          <w:color w:val="2F5496" w:themeColor="accent1" w:themeShade="BF"/>
        </w:rPr>
        <w:t>Respondent Activities</w:t>
      </w:r>
      <w:bookmarkEnd w:id="26"/>
    </w:p>
    <w:p w:rsidR="00C63846" w:rsidRPr="00BB362A" w:rsidP="00F32BF6" w14:paraId="3352CC71"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cstheme="minorHAnsi"/>
        </w:rPr>
      </w:pPr>
    </w:p>
    <w:p w:rsidR="00013FE4" w:rsidRPr="00013FE4" w:rsidP="007050D0" w14:paraId="12E88EC9" w14:textId="77777777">
      <w:pPr>
        <w:pStyle w:val="BodyText1"/>
        <w:spacing w:before="0" w:after="0"/>
        <w:ind w:firstLine="0"/>
        <w:rPr>
          <w:rFonts w:asciiTheme="minorHAnsi" w:eastAsiaTheme="minorEastAsia" w:hAnsiTheme="minorHAnsi" w:cstheme="minorBidi"/>
          <w:sz w:val="22"/>
          <w:szCs w:val="22"/>
        </w:rPr>
      </w:pPr>
      <w:bookmarkStart w:id="27" w:name="_Toc138175136"/>
      <w:r w:rsidRPr="00013FE4">
        <w:rPr>
          <w:rFonts w:asciiTheme="minorHAnsi" w:eastAsiaTheme="minorEastAsia" w:hAnsiTheme="minorHAnsi" w:cstheme="minorBidi"/>
          <w:sz w:val="22"/>
          <w:szCs w:val="22"/>
        </w:rPr>
        <w:t xml:space="preserve">The following list displays typical activities sources </w:t>
      </w:r>
      <w:r w:rsidRPr="00013FE4">
        <w:rPr>
          <w:rFonts w:asciiTheme="minorHAnsi" w:eastAsiaTheme="minorEastAsia" w:hAnsiTheme="minorHAnsi" w:cstheme="minorBidi"/>
          <w:sz w:val="22"/>
          <w:szCs w:val="22"/>
        </w:rPr>
        <w:softHyphen/>
        <w:t>will have to perform to meet the permit application, recordkeeping and reporting re</w:t>
      </w:r>
      <w:r w:rsidRPr="00013FE4">
        <w:rPr>
          <w:rFonts w:asciiTheme="minorHAnsi" w:eastAsiaTheme="minorEastAsia" w:hAnsiTheme="minorHAnsi" w:cstheme="minorBidi"/>
          <w:sz w:val="22"/>
          <w:szCs w:val="22"/>
        </w:rPr>
        <w:softHyphen/>
        <w:t>quirements of the CAM Rule:</w:t>
      </w:r>
    </w:p>
    <w:p w:rsidR="00013FE4" w:rsidRPr="00013FE4" w:rsidP="00013FE4" w14:paraId="7EBA5E27" w14:textId="77777777">
      <w:pPr>
        <w:pStyle w:val="BodyText1"/>
        <w:spacing w:before="0" w:after="0"/>
        <w:rPr>
          <w:rFonts w:asciiTheme="minorHAnsi" w:hAnsiTheme="minorHAnsi" w:cstheme="minorHAnsi"/>
          <w:sz w:val="22"/>
          <w:szCs w:val="22"/>
        </w:rPr>
      </w:pPr>
    </w:p>
    <w:p w:rsidR="00013FE4" w:rsidRPr="00013FE4" w:rsidP="00013FE4" w14:paraId="4EBAF3A8" w14:textId="77777777">
      <w:pPr>
        <w:pStyle w:val="bullet1"/>
        <w:ind w:left="720"/>
        <w:rPr>
          <w:rFonts w:asciiTheme="minorHAnsi" w:hAnsiTheme="minorHAnsi" w:cstheme="minorHAnsi"/>
          <w:sz w:val="22"/>
          <w:szCs w:val="22"/>
        </w:rPr>
      </w:pPr>
      <w:r w:rsidRPr="00013FE4">
        <w:rPr>
          <w:rFonts w:asciiTheme="minorHAnsi" w:hAnsiTheme="minorHAnsi" w:cstheme="minorHAnsi"/>
          <w:b/>
          <w:sz w:val="22"/>
          <w:szCs w:val="22"/>
        </w:rPr>
        <w:t xml:space="preserve">Review Requirements: </w:t>
      </w:r>
      <w:r w:rsidRPr="00013FE4">
        <w:rPr>
          <w:rFonts w:asciiTheme="minorHAnsi" w:hAnsiTheme="minorHAnsi" w:cstheme="minorHAnsi"/>
          <w:sz w:val="22"/>
          <w:szCs w:val="22"/>
        </w:rPr>
        <w:t xml:space="preserve">Review the part 64 requirements to determine applicability. This is a one-time task for </w:t>
      </w:r>
      <w:r w:rsidRPr="00013FE4">
        <w:rPr>
          <w:rFonts w:asciiTheme="minorHAnsi" w:hAnsiTheme="minorHAnsi" w:cstheme="minorHAnsi"/>
          <w:sz w:val="22"/>
          <w:szCs w:val="22"/>
          <w:u w:val="single"/>
        </w:rPr>
        <w:t>each newly-permitted facility</w:t>
      </w:r>
      <w:r w:rsidRPr="00013FE4">
        <w:rPr>
          <w:rFonts w:asciiTheme="minorHAnsi" w:hAnsiTheme="minorHAnsi" w:cstheme="minorHAnsi"/>
          <w:sz w:val="22"/>
          <w:szCs w:val="22"/>
        </w:rPr>
        <w:t>, rather than each PSEU. This is assumed to require the same level of effort for each new title V facility with potentially subject PSEUs, regardless of the type of PSEUs (“Large” or “Other”) at the facility or the type of monitoring approach (instrumental or work practice) required for each.</w:t>
      </w:r>
    </w:p>
    <w:p w:rsidR="00013FE4" w:rsidRPr="00013FE4" w:rsidP="00013FE4" w14:paraId="752246AD" w14:textId="77777777">
      <w:pPr>
        <w:pStyle w:val="bullet1"/>
        <w:ind w:left="720"/>
        <w:rPr>
          <w:rFonts w:asciiTheme="minorHAnsi" w:hAnsiTheme="minorHAnsi" w:cstheme="minorHAnsi"/>
          <w:b/>
          <w:sz w:val="22"/>
          <w:szCs w:val="22"/>
        </w:rPr>
      </w:pPr>
      <w:r w:rsidRPr="00013FE4">
        <w:rPr>
          <w:rFonts w:asciiTheme="minorHAnsi" w:hAnsiTheme="minorHAnsi" w:cstheme="minorHAnsi"/>
          <w:b/>
          <w:sz w:val="22"/>
          <w:szCs w:val="22"/>
        </w:rPr>
        <w:t>Determine Monitoring Approach:</w:t>
      </w:r>
      <w:r w:rsidRPr="00013FE4">
        <w:rPr>
          <w:rFonts w:asciiTheme="minorHAnsi" w:hAnsiTheme="minorHAnsi" w:cstheme="minorHAnsi"/>
          <w:sz w:val="22"/>
          <w:szCs w:val="22"/>
        </w:rPr>
        <w:t xml:space="preserve"> Determine a CAM monitoring approach for each control device for which a facility is required to propose a specific monitoring approach for PSEUs [per §§64.4(g) and (f)]. Each monitoring approach should specify the proposed technique (e.g., continuously recording combustion temperature at the incineration point of effluent gases in a thermal oxidizer), identify the frequency and method of data collection, establish performance criteria and recommend a quality assurance program.</w:t>
      </w:r>
    </w:p>
    <w:p w:rsidR="00013FE4" w:rsidRPr="00013FE4" w:rsidP="00013FE4" w14:paraId="3EFE4219" w14:textId="77777777">
      <w:pPr>
        <w:pStyle w:val="bullet1"/>
        <w:ind w:left="720"/>
        <w:rPr>
          <w:rFonts w:asciiTheme="minorHAnsi" w:hAnsiTheme="minorHAnsi" w:cstheme="minorHAnsi"/>
          <w:sz w:val="22"/>
          <w:szCs w:val="22"/>
        </w:rPr>
      </w:pPr>
      <w:r w:rsidRPr="00013FE4">
        <w:rPr>
          <w:rFonts w:asciiTheme="minorHAnsi" w:hAnsiTheme="minorHAnsi" w:cstheme="minorHAnsi"/>
          <w:b/>
          <w:sz w:val="22"/>
          <w:szCs w:val="22"/>
        </w:rPr>
        <w:t xml:space="preserve">Specify Monitoring Plan Elements: </w:t>
      </w:r>
      <w:r w:rsidRPr="00013FE4">
        <w:rPr>
          <w:rFonts w:asciiTheme="minorHAnsi" w:hAnsiTheme="minorHAnsi" w:cstheme="minorHAnsi"/>
          <w:sz w:val="22"/>
          <w:szCs w:val="22"/>
        </w:rPr>
        <w:t xml:space="preserve">Specify the CAM monitoring elements for each PSEU; that is, identify how the proposed monitoring approach will be implemented. This activity requires the facility to select performance indicators for each subject control device. The indicators establish monitoring performance characteristics and must provide reliable data for detection of significant adverse changes in control equipment performance. For the selected indicators, the design criteria must also: (1) specify operating ranges that reflect normal operating conditions, and (2) propose data collection sufficient to document continued operation of the control device in a satisfactory manner. </w:t>
      </w:r>
    </w:p>
    <w:p w:rsidR="00013FE4" w:rsidRPr="00013FE4" w:rsidP="00013FE4" w14:paraId="3B3A9E9C" w14:textId="77777777">
      <w:pPr>
        <w:pStyle w:val="bullet1"/>
        <w:ind w:left="720"/>
        <w:rPr>
          <w:rFonts w:asciiTheme="minorHAnsi" w:hAnsiTheme="minorHAnsi" w:cstheme="minorHAnsi"/>
          <w:b/>
          <w:sz w:val="22"/>
          <w:szCs w:val="22"/>
        </w:rPr>
      </w:pPr>
      <w:r w:rsidRPr="00013FE4">
        <w:rPr>
          <w:rFonts w:asciiTheme="minorHAnsi" w:hAnsiTheme="minorHAnsi" w:cstheme="minorHAnsi"/>
          <w:b/>
          <w:sz w:val="22"/>
          <w:szCs w:val="22"/>
        </w:rPr>
        <w:t xml:space="preserve">Design Documentation: </w:t>
      </w:r>
      <w:r w:rsidRPr="00013FE4">
        <w:rPr>
          <w:rFonts w:asciiTheme="minorHAnsi" w:hAnsiTheme="minorHAnsi" w:cstheme="minorHAnsi"/>
          <w:sz w:val="22"/>
          <w:szCs w:val="22"/>
        </w:rPr>
        <w:t>Develop and submit justification that supports the proposed monitoring approach for each PSEU. The type of documentation required could reference generally available information, existing applicable requirements, or site-specific data, if available. The documenta</w:t>
      </w:r>
      <w:r w:rsidRPr="00013FE4">
        <w:rPr>
          <w:rFonts w:asciiTheme="minorHAnsi" w:hAnsiTheme="minorHAnsi" w:cstheme="minorHAnsi"/>
          <w:sz w:val="22"/>
          <w:szCs w:val="22"/>
        </w:rPr>
        <w:softHyphen/>
        <w:t>tion should demonstrate the adequacy of proposed indicator ranges to detect significant adverse changes in control performance. The language of the CAM Rule requires site-specific testing to be used in establishing indicator ranges unless the facility can justify using other information, such as manufacturer’s data or engineering assessments. Generally, existing site-specific test data will be applicable.</w:t>
      </w:r>
    </w:p>
    <w:p w:rsidR="00013FE4" w:rsidRPr="00013FE4" w:rsidP="00013FE4" w14:paraId="52E3A53B" w14:textId="77777777">
      <w:pPr>
        <w:pStyle w:val="bullet1"/>
        <w:ind w:left="720"/>
        <w:rPr>
          <w:rFonts w:asciiTheme="minorHAnsi" w:hAnsiTheme="minorHAnsi" w:cstheme="minorHAnsi"/>
          <w:b/>
          <w:sz w:val="22"/>
          <w:szCs w:val="22"/>
        </w:rPr>
      </w:pPr>
      <w:r w:rsidRPr="00013FE4">
        <w:rPr>
          <w:rFonts w:asciiTheme="minorHAnsi" w:hAnsiTheme="minorHAnsi" w:cstheme="minorHAnsi"/>
          <w:b/>
          <w:sz w:val="22"/>
          <w:szCs w:val="22"/>
        </w:rPr>
        <w:t xml:space="preserve">CAM Renewal: </w:t>
      </w:r>
      <w:r w:rsidRPr="00013FE4">
        <w:rPr>
          <w:rFonts w:asciiTheme="minorHAnsi" w:hAnsiTheme="minorHAnsi" w:cstheme="minorHAnsi"/>
          <w:sz w:val="22"/>
          <w:szCs w:val="22"/>
        </w:rPr>
        <w:t>At the time of title V permit renewal, prepare and submit the information required by the permitting authority for PSEUs with previously established CAM monitoring. Any desired revisions to the established CAM monitoring should also be addressed in the permit renewal application. The burden assumed for this activity reflects the effort incurred for CAM in addition to the general title V permit renewal burden (which is addressed in the ICRs for the title V program).</w:t>
      </w:r>
    </w:p>
    <w:p w:rsidR="00013FE4" w:rsidRPr="00013FE4" w:rsidP="00013FE4" w14:paraId="0246AB1E" w14:textId="77777777">
      <w:pPr>
        <w:pStyle w:val="bullet1"/>
        <w:ind w:left="720"/>
        <w:rPr>
          <w:rFonts w:asciiTheme="minorHAnsi" w:hAnsiTheme="minorHAnsi" w:cstheme="minorHAnsi"/>
          <w:b/>
          <w:sz w:val="22"/>
          <w:szCs w:val="22"/>
        </w:rPr>
      </w:pPr>
      <w:r w:rsidRPr="00013FE4">
        <w:rPr>
          <w:rFonts w:asciiTheme="minorHAnsi" w:hAnsiTheme="minorHAnsi" w:cstheme="minorHAnsi"/>
          <w:b/>
          <w:sz w:val="22"/>
          <w:szCs w:val="22"/>
        </w:rPr>
        <w:t>Prepare QIP:</w:t>
      </w:r>
      <w:r w:rsidRPr="00013FE4">
        <w:rPr>
          <w:rFonts w:asciiTheme="minorHAnsi" w:hAnsiTheme="minorHAnsi" w:cstheme="minorHAnsi"/>
          <w:sz w:val="22"/>
          <w:szCs w:val="22"/>
        </w:rPr>
        <w:t xml:space="preserve"> Prepare a QIP if required to do so by the PA because an affected PSEU is not consistently maintaining compliance with the applicable emission limitation. The QIP initially includes procedures for evaluating the control performance problems and, based on the results of the evaluation procedures, the source modifies the plan to include procedures to improve the performance of the control system.</w:t>
      </w:r>
    </w:p>
    <w:p w:rsidR="00013FE4" w:rsidRPr="00013FE4" w:rsidP="00013FE4" w14:paraId="6C1F59D7" w14:textId="77777777">
      <w:pPr>
        <w:pStyle w:val="bullet1"/>
        <w:ind w:left="720"/>
        <w:rPr>
          <w:rFonts w:asciiTheme="minorHAnsi" w:hAnsiTheme="minorHAnsi" w:cstheme="minorHAnsi"/>
          <w:sz w:val="22"/>
          <w:szCs w:val="22"/>
        </w:rPr>
      </w:pPr>
      <w:r w:rsidRPr="00013FE4">
        <w:rPr>
          <w:rFonts w:asciiTheme="minorHAnsi" w:hAnsiTheme="minorHAnsi" w:cstheme="minorHAnsi"/>
          <w:b/>
          <w:sz w:val="22"/>
          <w:szCs w:val="22"/>
        </w:rPr>
        <w:t>Records of Corrective Actions:</w:t>
      </w:r>
      <w:r w:rsidRPr="00013FE4">
        <w:rPr>
          <w:rFonts w:asciiTheme="minorHAnsi" w:hAnsiTheme="minorHAnsi" w:cstheme="minorHAnsi"/>
          <w:sz w:val="22"/>
          <w:szCs w:val="22"/>
        </w:rPr>
        <w:t xml:space="preserve"> Record activities undertaken to implement a QIP to bring a PSEU back into compliance after an excursion outside the normal control system operating range or exceedance of the applicable limitation.</w:t>
      </w:r>
    </w:p>
    <w:p w:rsidR="00013FE4" w:rsidRPr="00013FE4" w:rsidP="00013FE4" w14:paraId="09C672F0" w14:textId="77777777">
      <w:pPr>
        <w:pStyle w:val="bullet1"/>
        <w:ind w:left="720"/>
        <w:rPr>
          <w:rFonts w:asciiTheme="minorHAnsi" w:hAnsiTheme="minorHAnsi" w:cstheme="minorHAnsi"/>
          <w:b/>
          <w:sz w:val="22"/>
          <w:szCs w:val="22"/>
        </w:rPr>
      </w:pPr>
      <w:r w:rsidRPr="00013FE4">
        <w:rPr>
          <w:rFonts w:asciiTheme="minorHAnsi" w:hAnsiTheme="minorHAnsi" w:cstheme="minorHAnsi"/>
          <w:b/>
          <w:sz w:val="22"/>
          <w:szCs w:val="22"/>
        </w:rPr>
        <w:t xml:space="preserve">Reporting of Corrective Actions: </w:t>
      </w:r>
      <w:r w:rsidRPr="00013FE4">
        <w:rPr>
          <w:rFonts w:asciiTheme="minorHAnsi" w:hAnsiTheme="minorHAnsi" w:cstheme="minorHAnsi"/>
          <w:sz w:val="22"/>
          <w:szCs w:val="22"/>
        </w:rPr>
        <w:t xml:space="preserve">Along with the semi-annual reports required under the title V operating permit program, report the corrective actions taken to implement a QIP. </w:t>
      </w:r>
    </w:p>
    <w:p w:rsidR="00013FE4" w:rsidRPr="00013FE4" w:rsidP="00013FE4" w14:paraId="1D3425E6" w14:textId="77777777">
      <w:pPr>
        <w:pStyle w:val="bullet1"/>
        <w:ind w:left="720"/>
        <w:rPr>
          <w:rFonts w:asciiTheme="minorHAnsi" w:hAnsiTheme="minorHAnsi" w:cstheme="minorHAnsi"/>
          <w:b/>
          <w:sz w:val="22"/>
          <w:szCs w:val="22"/>
        </w:rPr>
      </w:pPr>
      <w:r w:rsidRPr="00013FE4">
        <w:rPr>
          <w:rFonts w:asciiTheme="minorHAnsi" w:hAnsiTheme="minorHAnsi" w:cstheme="minorHAnsi"/>
          <w:b/>
          <w:sz w:val="22"/>
          <w:szCs w:val="22"/>
        </w:rPr>
        <w:t xml:space="preserve">Facility Certification: </w:t>
      </w:r>
      <w:r w:rsidRPr="00013FE4">
        <w:rPr>
          <w:rFonts w:asciiTheme="minorHAnsi" w:hAnsiTheme="minorHAnsi" w:cstheme="minorHAnsi"/>
          <w:sz w:val="22"/>
          <w:szCs w:val="22"/>
        </w:rPr>
        <w:t>As part of the annual compliance certification required under the title V operating permit program for the entire source, include any PSEUs subject to the CAM Rule.</w:t>
      </w:r>
    </w:p>
    <w:p w:rsidR="00013FE4" w:rsidRPr="00013FE4" w:rsidP="00013FE4" w14:paraId="749EB1AF" w14:textId="77777777">
      <w:pPr>
        <w:pStyle w:val="bullet1"/>
        <w:numPr>
          <w:ilvl w:val="0"/>
          <w:numId w:val="0"/>
        </w:numPr>
        <w:tabs>
          <w:tab w:val="clear" w:pos="1080"/>
        </w:tabs>
        <w:rPr>
          <w:rFonts w:asciiTheme="minorHAnsi" w:hAnsiTheme="minorHAnsi" w:cstheme="minorHAnsi"/>
          <w:sz w:val="22"/>
          <w:szCs w:val="22"/>
        </w:rPr>
      </w:pPr>
    </w:p>
    <w:p w:rsidR="00013FE4" w:rsidRPr="00013FE4" w:rsidP="00013FE4" w14:paraId="07136B35" w14:textId="77777777">
      <w:pPr>
        <w:pStyle w:val="BodyText1"/>
        <w:spacing w:before="0" w:after="0"/>
        <w:rPr>
          <w:rFonts w:asciiTheme="minorHAnsi" w:hAnsiTheme="minorHAnsi" w:cstheme="minorHAnsi"/>
          <w:sz w:val="22"/>
          <w:szCs w:val="22"/>
        </w:rPr>
      </w:pPr>
      <w:r w:rsidRPr="00013FE4">
        <w:rPr>
          <w:rFonts w:asciiTheme="minorHAnsi" w:hAnsiTheme="minorHAnsi" w:cstheme="minorHAnsi"/>
          <w:sz w:val="22"/>
          <w:szCs w:val="22"/>
        </w:rPr>
        <w:t>State and local PA respondents perform the following activities in administering the CAM Rule:</w:t>
      </w:r>
    </w:p>
    <w:p w:rsidR="00013FE4" w:rsidRPr="00013FE4" w:rsidP="00013FE4" w14:paraId="0F0481A3" w14:textId="77777777">
      <w:pPr>
        <w:pStyle w:val="BodyText1"/>
        <w:spacing w:before="0" w:after="0"/>
        <w:rPr>
          <w:rFonts w:asciiTheme="minorHAnsi" w:hAnsiTheme="minorHAnsi" w:cstheme="minorHAnsi"/>
          <w:sz w:val="22"/>
          <w:szCs w:val="22"/>
        </w:rPr>
      </w:pPr>
    </w:p>
    <w:p w:rsidR="00013FE4" w:rsidRPr="00013FE4" w:rsidP="00013FE4" w14:paraId="3AEDF23A" w14:textId="77777777">
      <w:pPr>
        <w:pStyle w:val="bullet1"/>
        <w:ind w:left="720"/>
        <w:rPr>
          <w:rFonts w:asciiTheme="minorHAnsi" w:hAnsiTheme="minorHAnsi" w:cstheme="minorHAnsi"/>
          <w:b/>
          <w:sz w:val="22"/>
          <w:szCs w:val="22"/>
        </w:rPr>
      </w:pPr>
      <w:r w:rsidRPr="00013FE4">
        <w:rPr>
          <w:rFonts w:asciiTheme="minorHAnsi" w:hAnsiTheme="minorHAnsi" w:cstheme="minorHAnsi"/>
          <w:b/>
          <w:sz w:val="22"/>
          <w:szCs w:val="22"/>
        </w:rPr>
        <w:t>Rule Familiarization:</w:t>
      </w:r>
      <w:r w:rsidRPr="00013FE4">
        <w:rPr>
          <w:rFonts w:asciiTheme="minorHAnsi" w:hAnsiTheme="minorHAnsi" w:cstheme="minorHAnsi"/>
          <w:sz w:val="22"/>
          <w:szCs w:val="22"/>
        </w:rPr>
        <w:t xml:space="preserve"> Read the CAM Rule and associated EPA guidance materials to become familiar with the requirements.</w:t>
      </w:r>
    </w:p>
    <w:p w:rsidR="00013FE4" w:rsidRPr="00013FE4" w:rsidP="00013FE4" w14:paraId="557274C2" w14:textId="77777777">
      <w:pPr>
        <w:pStyle w:val="bullet1"/>
        <w:ind w:left="720"/>
        <w:rPr>
          <w:rFonts w:asciiTheme="minorHAnsi" w:hAnsiTheme="minorHAnsi" w:cstheme="minorHAnsi"/>
          <w:b/>
          <w:sz w:val="22"/>
          <w:szCs w:val="22"/>
        </w:rPr>
      </w:pPr>
      <w:r w:rsidRPr="00013FE4">
        <w:rPr>
          <w:rFonts w:asciiTheme="minorHAnsi" w:hAnsiTheme="minorHAnsi" w:cstheme="minorHAnsi"/>
          <w:b/>
          <w:sz w:val="22"/>
          <w:szCs w:val="22"/>
        </w:rPr>
        <w:t>Determine Applicability:</w:t>
      </w:r>
      <w:r w:rsidRPr="00013FE4">
        <w:rPr>
          <w:rFonts w:asciiTheme="minorHAnsi" w:hAnsiTheme="minorHAnsi" w:cstheme="minorHAnsi"/>
          <w:sz w:val="22"/>
          <w:szCs w:val="22"/>
        </w:rPr>
        <w:t xml:space="preserve"> Review applicability determinations submitted by sources.</w:t>
      </w:r>
    </w:p>
    <w:p w:rsidR="00013FE4" w:rsidRPr="00013FE4" w:rsidP="00013FE4" w14:paraId="22F62094" w14:textId="77777777">
      <w:pPr>
        <w:pStyle w:val="bullet1"/>
        <w:ind w:left="720"/>
        <w:rPr>
          <w:rFonts w:asciiTheme="minorHAnsi" w:hAnsiTheme="minorHAnsi" w:cstheme="minorHAnsi"/>
          <w:b/>
          <w:sz w:val="22"/>
          <w:szCs w:val="22"/>
        </w:rPr>
      </w:pPr>
      <w:r w:rsidRPr="00013FE4">
        <w:rPr>
          <w:rFonts w:asciiTheme="minorHAnsi" w:hAnsiTheme="minorHAnsi" w:cstheme="minorHAnsi"/>
          <w:b/>
          <w:sz w:val="22"/>
          <w:szCs w:val="22"/>
        </w:rPr>
        <w:t>Initial CAM Review:</w:t>
      </w:r>
      <w:r w:rsidRPr="00013FE4">
        <w:rPr>
          <w:rFonts w:asciiTheme="minorHAnsi" w:hAnsiTheme="minorHAnsi" w:cstheme="minorHAnsi"/>
          <w:sz w:val="22"/>
          <w:szCs w:val="22"/>
        </w:rPr>
        <w:t xml:space="preserve"> Review the CAM plans submitted by sources and approve or require revisions.</w:t>
      </w:r>
    </w:p>
    <w:p w:rsidR="00013FE4" w:rsidRPr="00013FE4" w:rsidP="00013FE4" w14:paraId="574C8908" w14:textId="77777777">
      <w:pPr>
        <w:pStyle w:val="bullet1"/>
        <w:ind w:left="720"/>
        <w:rPr>
          <w:rFonts w:asciiTheme="minorHAnsi" w:hAnsiTheme="minorHAnsi" w:cstheme="minorHAnsi"/>
          <w:sz w:val="22"/>
          <w:szCs w:val="22"/>
        </w:rPr>
      </w:pPr>
      <w:r w:rsidRPr="00013FE4">
        <w:rPr>
          <w:rFonts w:asciiTheme="minorHAnsi" w:hAnsiTheme="minorHAnsi" w:cstheme="minorHAnsi"/>
          <w:b/>
          <w:sz w:val="22"/>
          <w:szCs w:val="22"/>
        </w:rPr>
        <w:t>Evaluate CAM Renewals:</w:t>
      </w:r>
      <w:r w:rsidRPr="00013FE4">
        <w:rPr>
          <w:rFonts w:asciiTheme="minorHAnsi" w:hAnsiTheme="minorHAnsi" w:cstheme="minorHAnsi"/>
          <w:sz w:val="22"/>
          <w:szCs w:val="22"/>
        </w:rPr>
        <w:t xml:space="preserve"> As part of the review of title V permit renewal applications under the title V operating permit program, review the portions related to PSEUs subject to the CAM Rule.</w:t>
      </w:r>
    </w:p>
    <w:p w:rsidR="00013FE4" w:rsidRPr="00013FE4" w:rsidP="00013FE4" w14:paraId="2E31EBBF" w14:textId="77777777">
      <w:pPr>
        <w:pStyle w:val="bullet1"/>
        <w:ind w:left="720"/>
        <w:rPr>
          <w:rFonts w:asciiTheme="minorHAnsi" w:hAnsiTheme="minorHAnsi" w:cstheme="minorHAnsi"/>
          <w:b/>
          <w:sz w:val="22"/>
          <w:szCs w:val="22"/>
        </w:rPr>
      </w:pPr>
      <w:r w:rsidRPr="00013FE4">
        <w:rPr>
          <w:rFonts w:asciiTheme="minorHAnsi" w:hAnsiTheme="minorHAnsi" w:cstheme="minorHAnsi"/>
          <w:b/>
          <w:sz w:val="22"/>
          <w:szCs w:val="22"/>
        </w:rPr>
        <w:t>Review QIPs:</w:t>
      </w:r>
      <w:r w:rsidRPr="00013FE4">
        <w:rPr>
          <w:rFonts w:asciiTheme="minorHAnsi" w:hAnsiTheme="minorHAnsi" w:cstheme="minorHAnsi"/>
          <w:sz w:val="22"/>
          <w:szCs w:val="22"/>
        </w:rPr>
        <w:t xml:space="preserve"> Review the QIPs prepared by sources to determine if they are acceptable.</w:t>
      </w:r>
    </w:p>
    <w:p w:rsidR="00013FE4" w:rsidRPr="00013FE4" w:rsidP="00013FE4" w14:paraId="4C2DD12F" w14:textId="77777777">
      <w:pPr>
        <w:pStyle w:val="bullet1"/>
        <w:ind w:left="720"/>
        <w:rPr>
          <w:rFonts w:asciiTheme="minorHAnsi" w:hAnsiTheme="minorHAnsi" w:cstheme="minorHAnsi"/>
          <w:sz w:val="22"/>
          <w:szCs w:val="22"/>
        </w:rPr>
      </w:pPr>
      <w:r w:rsidRPr="00013FE4">
        <w:rPr>
          <w:rFonts w:asciiTheme="minorHAnsi" w:hAnsiTheme="minorHAnsi" w:cstheme="minorHAnsi"/>
          <w:b/>
          <w:sz w:val="22"/>
          <w:szCs w:val="22"/>
        </w:rPr>
        <w:t>Review Reports of Corrective Actions:</w:t>
      </w:r>
      <w:r w:rsidRPr="00013FE4">
        <w:rPr>
          <w:rFonts w:asciiTheme="minorHAnsi" w:hAnsiTheme="minorHAnsi" w:cstheme="minorHAnsi"/>
          <w:sz w:val="22"/>
          <w:szCs w:val="22"/>
        </w:rPr>
        <w:t xml:space="preserve"> As part of the review of the semi-annual reports required under the title V operating permit program, review any reports of corrective actions taken under a QIP to determine whether they are adequate to assure compliance on an ongoing basis. </w:t>
      </w:r>
    </w:p>
    <w:p w:rsidR="00013FE4" w:rsidRPr="00013FE4" w:rsidP="00013FE4" w14:paraId="14BEC6E7" w14:textId="77777777">
      <w:pPr>
        <w:pStyle w:val="bullet1"/>
        <w:ind w:left="720"/>
        <w:rPr>
          <w:rFonts w:asciiTheme="minorHAnsi" w:hAnsiTheme="minorHAnsi" w:cstheme="minorHAnsi"/>
          <w:sz w:val="22"/>
          <w:szCs w:val="22"/>
        </w:rPr>
      </w:pPr>
      <w:r w:rsidRPr="00013FE4">
        <w:rPr>
          <w:rFonts w:asciiTheme="minorHAnsi" w:hAnsiTheme="minorHAnsi" w:cstheme="minorHAnsi"/>
          <w:b/>
          <w:sz w:val="22"/>
          <w:szCs w:val="22"/>
        </w:rPr>
        <w:t>Review Annual Facility Certifications</w:t>
      </w:r>
      <w:r w:rsidRPr="00013FE4">
        <w:rPr>
          <w:rFonts w:asciiTheme="minorHAnsi" w:hAnsiTheme="minorHAnsi" w:cstheme="minorHAnsi"/>
          <w:sz w:val="22"/>
          <w:szCs w:val="22"/>
        </w:rPr>
        <w:t>: As part of the review of the annual compliance certification required under the title V operating permit program for the entire source, review any compliance certifications for PSEUs subject to the CAM Rule.</w:t>
      </w:r>
    </w:p>
    <w:p w:rsidR="00852E9F" w:rsidP="00852E9F" w14:paraId="5B2C8930" w14:textId="77777777">
      <w:pPr>
        <w:tabs>
          <w:tab w:val="left" w:pos="7500"/>
        </w:tabs>
        <w:ind w:left="360"/>
        <w:rPr>
          <w:rFonts w:cstheme="minorHAnsi"/>
        </w:rPr>
      </w:pPr>
    </w:p>
    <w:p w:rsidR="00013FE4" w:rsidRPr="00013FE4" w:rsidP="00852E9F" w14:paraId="20A5D207" w14:textId="76CABFC9">
      <w:pPr>
        <w:tabs>
          <w:tab w:val="left" w:pos="7500"/>
        </w:tabs>
        <w:ind w:left="360"/>
      </w:pPr>
      <w:r w:rsidRPr="00013FE4">
        <w:t xml:space="preserve">During initial implementation of the CAM Rule, the timing for submission of the initial CAM plans required under Part 64 depended on whether existing affected units were classified as either </w:t>
      </w:r>
      <w:r w:rsidRPr="00013FE4">
        <w:t>“large” or “other.” However, the CAM program has been fully implemented for these existing PSEUs. Going forward, initial CAM plans for affected new “large” and “other” PSEUs must be submitted with the title V permit application for the new or modified facility at which the new PSEU is located.</w:t>
      </w:r>
    </w:p>
    <w:p w:rsidR="00013FE4" w:rsidRPr="00013FE4" w:rsidP="00852E9F" w14:paraId="39CA6552" w14:textId="77777777">
      <w:pPr>
        <w:ind w:left="360"/>
      </w:pPr>
      <w:r w:rsidRPr="00013FE4">
        <w:t>Upon approval of the permit, and consistent with the requirements of the title V operating permit program, sources must collect the information specified in their permits in accordance with the collection frequency specified, maintaining these data for at least 5 years. Sources must also submit semi-annual monitoring reports and annual compliance certifications as required by the title V operating permit program.</w:t>
      </w:r>
    </w:p>
    <w:p w:rsidR="00013FE4" w:rsidRPr="007050D0" w:rsidP="00852E9F" w14:paraId="4A4DAAFF" w14:textId="087C5BB7">
      <w:pPr>
        <w:ind w:left="360"/>
      </w:pPr>
      <w:r w:rsidRPr="00013FE4">
        <w:t>If the approved CAM monitoring results show that a PSEU is not consistently maintaining compliance as indicated by excursions or exceedances, the PA may require the source to develop and implement a QIP. The source must subsequently record and report on the corrective actions taken to implement the QIP.</w:t>
      </w:r>
    </w:p>
    <w:p w:rsidR="00D92ED6" w:rsidRPr="00BB362A" w:rsidP="004A3D11" w14:paraId="0B6BE1C2" w14:textId="1193BDF5">
      <w:pPr>
        <w:pStyle w:val="Heading3"/>
        <w:pBdr>
          <w:bottom w:val="single" w:sz="4" w:space="1" w:color="auto"/>
        </w:pBdr>
        <w:ind w:left="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12</w:t>
      </w:r>
      <w:r w:rsidRPr="00BB362A" w:rsidR="009D57EC">
        <w:rPr>
          <w:rFonts w:asciiTheme="minorHAnsi" w:hAnsiTheme="minorHAnsi" w:cstheme="minorHAnsi"/>
          <w:color w:val="2F5496" w:themeColor="accent1" w:themeShade="BF"/>
        </w:rPr>
        <w:t>d</w:t>
      </w:r>
      <w:r w:rsidRPr="00BB362A">
        <w:rPr>
          <w:rFonts w:asciiTheme="minorHAnsi" w:hAnsiTheme="minorHAnsi" w:cstheme="minorHAnsi"/>
          <w:color w:val="2F5496" w:themeColor="accent1" w:themeShade="BF"/>
        </w:rPr>
        <w:t>.</w:t>
      </w:r>
      <w:r w:rsidRPr="00BB362A" w:rsidR="006B57A3">
        <w:rPr>
          <w:rFonts w:asciiTheme="minorHAnsi" w:hAnsiTheme="minorHAnsi" w:cstheme="minorHAnsi"/>
          <w:color w:val="2F5496" w:themeColor="accent1" w:themeShade="BF"/>
        </w:rPr>
        <w:tab/>
      </w:r>
      <w:r w:rsidRPr="00BB362A">
        <w:rPr>
          <w:rFonts w:asciiTheme="minorHAnsi" w:hAnsiTheme="minorHAnsi" w:cstheme="minorHAnsi"/>
          <w:color w:val="2F5496" w:themeColor="accent1" w:themeShade="BF"/>
        </w:rPr>
        <w:t xml:space="preserve">Respondent </w:t>
      </w:r>
      <w:r w:rsidRPr="00BB362A" w:rsidR="00B666CD">
        <w:rPr>
          <w:rFonts w:asciiTheme="minorHAnsi" w:hAnsiTheme="minorHAnsi" w:cstheme="minorHAnsi"/>
          <w:color w:val="2F5496" w:themeColor="accent1" w:themeShade="BF"/>
        </w:rPr>
        <w:t xml:space="preserve">Hour and Labor </w:t>
      </w:r>
      <w:r w:rsidRPr="00BB362A">
        <w:rPr>
          <w:rFonts w:asciiTheme="minorHAnsi" w:hAnsiTheme="minorHAnsi" w:cstheme="minorHAnsi"/>
          <w:color w:val="2F5496" w:themeColor="accent1" w:themeShade="BF"/>
        </w:rPr>
        <w:t>Burden</w:t>
      </w:r>
      <w:bookmarkEnd w:id="27"/>
    </w:p>
    <w:p w:rsidR="00013FE4" w:rsidP="007050D0" w14:paraId="40ADC0FA" w14:textId="77777777">
      <w:pPr>
        <w:ind w:left="360"/>
      </w:pPr>
      <w:r w:rsidRPr="00B1373A">
        <w:t xml:space="preserve">This section presents estimates of the burden hours expected to be incurred at sources with emission units affected by the CAM Rule in carrying out the activities identified above in section 4(b)(ii). Results are contained in Tables 6.1a, b, and c for each of the 3 years covered by this ICR, respectively. Columns A through E in these tables summarize annual burden impacts that an individual PSEU will incur for each activity. </w:t>
      </w:r>
    </w:p>
    <w:p w:rsidR="00852E9F" w:rsidP="00852E9F" w14:paraId="497B76DF" w14:textId="77777777">
      <w:pPr>
        <w:pStyle w:val="Heading3"/>
        <w:pBdr>
          <w:bottom w:val="single" w:sz="4" w:space="31" w:color="auto"/>
        </w:pBdr>
        <w:ind w:left="360"/>
        <w:rPr>
          <w:rFonts w:asciiTheme="minorHAnsi" w:hAnsiTheme="minorHAnsi" w:cstheme="minorHAnsi"/>
          <w:color w:val="auto"/>
          <w:sz w:val="22"/>
          <w:szCs w:val="22"/>
        </w:rPr>
      </w:pPr>
      <w:r w:rsidRPr="007050D0">
        <w:rPr>
          <w:rFonts w:asciiTheme="minorHAnsi" w:hAnsiTheme="minorHAnsi" w:cstheme="minorHAnsi"/>
          <w:color w:val="auto"/>
          <w:sz w:val="22"/>
          <w:szCs w:val="22"/>
        </w:rPr>
        <w:t>In Tables 6.1a, b, and c, each PSEU that is subject to the CAM Rule is considered a respondent, except as otherwise indicated in the tables. The number of respondents in each row of these tables was estimated based on information on the number of new and existing title V permits taken from the 2019 ICR for the part 70 operating permit program and on data developed for the Regulatory Impact Analysis (RIA) that was prepared in 2008 for planned revisions to the CAM Rule that were never finalized. Those revisions would have added requirements for additional units that are not subject to the current CAM Rule, but would not have modified the existing requirements for units subject to the existing part 64. Therefore, the data pertaining to units subject to the existing part 64 can be used in this ICR, as they were in the previous ICR updates</w:t>
      </w:r>
      <w:r>
        <w:rPr>
          <w:rFonts w:asciiTheme="minorHAnsi" w:hAnsiTheme="minorHAnsi" w:cstheme="minorHAnsi"/>
          <w:color w:val="auto"/>
          <w:sz w:val="22"/>
          <w:szCs w:val="22"/>
        </w:rPr>
        <w:t>.</w:t>
      </w:r>
    </w:p>
    <w:p w:rsidR="00852E9F" w:rsidP="00852E9F" w14:paraId="3BA3310C" w14:textId="77777777">
      <w:pPr>
        <w:pStyle w:val="Heading3"/>
        <w:pBdr>
          <w:bottom w:val="single" w:sz="4" w:space="31" w:color="auto"/>
        </w:pBdr>
        <w:ind w:left="360"/>
        <w:rPr>
          <w:rFonts w:asciiTheme="minorHAnsi" w:hAnsiTheme="minorHAnsi" w:cstheme="minorHAnsi"/>
          <w:color w:val="auto"/>
          <w:sz w:val="22"/>
          <w:szCs w:val="22"/>
        </w:rPr>
      </w:pPr>
    </w:p>
    <w:p w:rsidR="007050D0" w:rsidRPr="007050D0" w:rsidP="00852E9F" w14:paraId="064CC2CE" w14:textId="208C263A">
      <w:pPr>
        <w:pStyle w:val="Heading3"/>
        <w:pBdr>
          <w:bottom w:val="single" w:sz="4" w:space="31" w:color="auto"/>
        </w:pBdr>
        <w:ind w:left="360"/>
        <w:rPr>
          <w:rFonts w:asciiTheme="minorHAnsi" w:hAnsiTheme="minorHAnsi" w:cstheme="minorHAnsi"/>
          <w:color w:val="auto"/>
          <w:sz w:val="22"/>
          <w:szCs w:val="22"/>
        </w:rPr>
      </w:pPr>
      <w:r w:rsidRPr="007050D0">
        <w:rPr>
          <w:rFonts w:asciiTheme="minorHAnsi" w:hAnsiTheme="minorHAnsi" w:cstheme="minorHAnsi"/>
          <w:color w:val="auto"/>
          <w:sz w:val="22"/>
          <w:szCs w:val="22"/>
        </w:rPr>
        <w:t>The assumptions underlying the number of respondents for each activity in Tables 6.1a, b, and c taken from the 2019 ICR for the part 70 program are as follows:</w:t>
      </w:r>
    </w:p>
    <w:p w:rsidR="007050D0" w:rsidRPr="00187645" w:rsidP="007050D0" w14:paraId="4C67D29F" w14:textId="77777777">
      <w:pPr>
        <w:pStyle w:val="BodyText1"/>
        <w:numPr>
          <w:ilvl w:val="0"/>
          <w:numId w:val="10"/>
        </w:numPr>
        <w:tabs>
          <w:tab w:val="clear" w:pos="720"/>
        </w:tabs>
        <w:spacing w:before="0" w:after="0"/>
        <w:ind w:left="1080"/>
        <w:contextualSpacing/>
        <w:rPr>
          <w:rFonts w:asciiTheme="minorHAnsi" w:hAnsiTheme="minorHAnsi" w:cstheme="minorHAnsi"/>
          <w:sz w:val="22"/>
          <w:szCs w:val="22"/>
        </w:rPr>
      </w:pPr>
      <w:r w:rsidRPr="00187645">
        <w:rPr>
          <w:rFonts w:asciiTheme="minorHAnsi" w:hAnsiTheme="minorHAnsi" w:cstheme="minorHAnsi"/>
          <w:sz w:val="22"/>
          <w:szCs w:val="22"/>
        </w:rPr>
        <w:t>Each year, 100 new facilities receive title V permits.</w:t>
      </w:r>
    </w:p>
    <w:p w:rsidR="007050D0" w:rsidRPr="00187645" w:rsidP="007050D0" w14:paraId="46080C5B" w14:textId="77777777">
      <w:pPr>
        <w:pStyle w:val="BodyText1"/>
        <w:numPr>
          <w:ilvl w:val="0"/>
          <w:numId w:val="10"/>
        </w:numPr>
        <w:tabs>
          <w:tab w:val="clear" w:pos="720"/>
        </w:tabs>
        <w:spacing w:before="0" w:after="0"/>
        <w:ind w:left="1080"/>
        <w:contextualSpacing/>
        <w:rPr>
          <w:rFonts w:asciiTheme="minorHAnsi" w:hAnsiTheme="minorHAnsi" w:cstheme="minorHAnsi"/>
          <w:sz w:val="22"/>
          <w:szCs w:val="22"/>
        </w:rPr>
      </w:pPr>
      <w:r w:rsidRPr="00187645">
        <w:rPr>
          <w:rFonts w:asciiTheme="minorHAnsi" w:hAnsiTheme="minorHAnsi" w:cstheme="minorHAnsi"/>
          <w:sz w:val="22"/>
          <w:szCs w:val="22"/>
        </w:rPr>
        <w:t xml:space="preserve">In 2024 (the second year of the part 70 ICR and the first year of this ICR) there will be 14,301 existing title V permits. </w:t>
      </w:r>
    </w:p>
    <w:p w:rsidR="007050D0" w:rsidRPr="00187645" w:rsidP="007050D0" w14:paraId="3DCEDCCB" w14:textId="77777777">
      <w:pPr>
        <w:pStyle w:val="BodyText1"/>
        <w:spacing w:before="0" w:after="0"/>
        <w:ind w:left="360" w:firstLine="0"/>
        <w:contextualSpacing/>
        <w:rPr>
          <w:rFonts w:asciiTheme="minorHAnsi" w:hAnsiTheme="minorHAnsi" w:cstheme="minorHAnsi"/>
          <w:sz w:val="22"/>
          <w:szCs w:val="22"/>
        </w:rPr>
      </w:pPr>
    </w:p>
    <w:p w:rsidR="007050D0" w:rsidRPr="00187645" w:rsidP="007050D0" w14:paraId="43F93A80" w14:textId="77777777">
      <w:pPr>
        <w:pStyle w:val="BodyText1"/>
        <w:spacing w:before="0" w:after="0"/>
        <w:ind w:firstLine="0"/>
        <w:rPr>
          <w:rFonts w:asciiTheme="minorHAnsi" w:hAnsiTheme="minorHAnsi" w:cstheme="minorHAnsi"/>
          <w:sz w:val="22"/>
          <w:szCs w:val="22"/>
        </w:rPr>
      </w:pPr>
      <w:r w:rsidRPr="00187645">
        <w:rPr>
          <w:rFonts w:asciiTheme="minorHAnsi" w:hAnsiTheme="minorHAnsi" w:cstheme="minorHAnsi"/>
          <w:sz w:val="22"/>
          <w:szCs w:val="22"/>
        </w:rPr>
        <w:tab/>
        <w:t>To estimate the number of respondents of each type (“large” or “other” PSEUs) for which CAM plans must be developed and submitted each year, we used the following equation and factors derived from the 2008 RIA:</w:t>
      </w:r>
    </w:p>
    <w:p w:rsidR="007050D0" w:rsidRPr="00187645" w:rsidP="007050D0" w14:paraId="4B4629C6" w14:textId="77777777">
      <w:pPr>
        <w:pStyle w:val="BodyText1"/>
        <w:spacing w:before="0" w:after="0"/>
        <w:ind w:firstLine="0"/>
        <w:rPr>
          <w:rFonts w:asciiTheme="minorHAnsi" w:hAnsiTheme="minorHAnsi" w:cstheme="minorHAnsi"/>
          <w:sz w:val="22"/>
          <w:szCs w:val="22"/>
        </w:rPr>
      </w:pPr>
    </w:p>
    <w:p w:rsidR="007050D0" w:rsidRPr="00187645" w:rsidP="007050D0" w14:paraId="5DBD72A2" w14:textId="77777777">
      <w:pPr>
        <w:pStyle w:val="BodyText1"/>
        <w:spacing w:before="0" w:after="0"/>
        <w:ind w:firstLine="0"/>
        <w:rPr>
          <w:rFonts w:asciiTheme="minorHAnsi" w:hAnsiTheme="minorHAnsi" w:cstheme="minorHAnsi"/>
          <w:sz w:val="22"/>
          <w:szCs w:val="22"/>
        </w:rPr>
      </w:pPr>
      <m:oMathPara>
        <m:oMath>
          <m:sSub>
            <m:sSubPr>
              <m:ctrlPr>
                <w:rPr>
                  <w:rFonts w:ascii="Cambria Math" w:hAnsi="Cambria Math" w:cstheme="minorHAnsi"/>
                  <w:i/>
                  <w:sz w:val="22"/>
                  <w:szCs w:val="22"/>
                </w:rPr>
              </m:ctrlPr>
            </m:sSubPr>
            <m:e>
              <m:r>
                <w:rPr>
                  <w:rFonts w:ascii="Cambria Math" w:hAnsi="Cambria Math" w:cstheme="minorHAnsi"/>
                  <w:sz w:val="22"/>
                  <w:szCs w:val="22"/>
                </w:rPr>
                <m:t>P</m:t>
              </m:r>
            </m:e>
            <m:sub>
              <m:r>
                <w:rPr>
                  <w:rFonts w:ascii="Cambria Math" w:hAnsi="Cambria Math" w:cstheme="minorHAnsi"/>
                  <w:sz w:val="22"/>
                  <w:szCs w:val="22"/>
                </w:rPr>
                <m:t>c,t</m:t>
              </m:r>
            </m:sub>
          </m:sSub>
          <m:r>
            <w:rPr>
              <w:rFonts w:ascii="Cambria Math" w:hAnsi="Cambria Math" w:cstheme="minorHAnsi"/>
              <w:sz w:val="22"/>
              <w:szCs w:val="22"/>
            </w:rPr>
            <m:t>=RS×</m:t>
          </m:r>
          <m:sSub>
            <m:sSubPr>
              <m:ctrlPr>
                <w:rPr>
                  <w:rFonts w:ascii="Cambria Math" w:hAnsi="Cambria Math" w:cstheme="minorHAnsi"/>
                  <w:i/>
                  <w:sz w:val="22"/>
                  <w:szCs w:val="22"/>
                </w:rPr>
              </m:ctrlPr>
            </m:sSubPr>
            <m:e>
              <m:r>
                <w:rPr>
                  <w:rFonts w:ascii="Cambria Math" w:hAnsi="Cambria Math" w:cstheme="minorHAnsi"/>
                  <w:sz w:val="22"/>
                  <w:szCs w:val="22"/>
                </w:rPr>
                <m:t>S</m:t>
              </m:r>
            </m:e>
            <m:sub>
              <m:r>
                <w:rPr>
                  <w:rFonts w:ascii="Cambria Math" w:hAnsi="Cambria Math" w:cstheme="minorHAnsi"/>
                  <w:sz w:val="22"/>
                  <w:szCs w:val="22"/>
                </w:rPr>
                <m:t>c</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P</m:t>
              </m:r>
            </m:e>
            <m:sub>
              <m:r>
                <w:rPr>
                  <w:rFonts w:ascii="Cambria Math" w:hAnsi="Cambria Math" w:cstheme="minorHAnsi"/>
                  <w:sz w:val="22"/>
                  <w:szCs w:val="22"/>
                </w:rPr>
                <m:t>c</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c</m:t>
              </m:r>
            </m:sub>
          </m:sSub>
        </m:oMath>
      </m:oMathPara>
    </w:p>
    <w:p w:rsidR="007050D0" w:rsidRPr="00187645" w:rsidP="007050D0" w14:paraId="043D41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187645">
        <w:rPr>
          <w:rFonts w:cstheme="minorHAnsi"/>
        </w:rPr>
        <w:t>Where:</w:t>
      </w:r>
    </w:p>
    <w:p w:rsidR="007050D0" w:rsidRPr="00187645" w:rsidP="007050D0" w14:paraId="3CF61E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187645">
        <w:rPr>
          <w:rFonts w:cstheme="minorHAnsi"/>
        </w:rPr>
        <w:t>P</w:t>
      </w:r>
      <w:r w:rsidRPr="00187645">
        <w:rPr>
          <w:rFonts w:cstheme="minorHAnsi"/>
          <w:vertAlign w:val="subscript"/>
        </w:rPr>
        <w:t>c,t</w:t>
      </w:r>
      <w:r w:rsidRPr="00187645">
        <w:rPr>
          <w:rFonts w:cstheme="minorHAnsi"/>
          <w:vertAlign w:val="subscript"/>
        </w:rPr>
        <w:tab/>
      </w:r>
      <w:r w:rsidRPr="00187645">
        <w:rPr>
          <w:rFonts w:cstheme="minorHAnsi"/>
        </w:rPr>
        <w:t>is the number of PSEUs in Category c expected to become subject to CAM at a given time. The Categories are “large” PSEUs and “other” PSEUs.</w:t>
      </w:r>
    </w:p>
    <w:p w:rsidR="007050D0" w:rsidRPr="00187645" w:rsidP="007050D0" w14:paraId="490612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187645">
        <w:rPr>
          <w:rFonts w:cstheme="minorHAnsi"/>
        </w:rPr>
        <w:t>RS</w:t>
      </w:r>
      <w:r w:rsidRPr="00187645">
        <w:rPr>
          <w:rFonts w:cstheme="minorHAnsi"/>
        </w:rPr>
        <w:tab/>
        <w:t>is the number of relevant title V permits nationwide.</w:t>
      </w:r>
    </w:p>
    <w:p w:rsidR="007050D0" w:rsidRPr="00187645" w:rsidP="007050D0" w14:paraId="08F7EA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187645">
        <w:rPr>
          <w:rFonts w:cstheme="minorHAnsi"/>
        </w:rPr>
        <w:t>S</w:t>
      </w:r>
      <w:r w:rsidRPr="00187645">
        <w:rPr>
          <w:rFonts w:cstheme="minorHAnsi"/>
          <w:vertAlign w:val="subscript"/>
        </w:rPr>
        <w:t>c</w:t>
      </w:r>
      <w:r w:rsidRPr="00187645">
        <w:rPr>
          <w:rFonts w:cstheme="minorHAnsi"/>
        </w:rPr>
        <w:tab/>
        <w:t>is the percent of sources expected to construct at least one new PSEU in Category c. For “large” PSEUs, S</w:t>
      </w:r>
      <w:r w:rsidRPr="00187645">
        <w:rPr>
          <w:rFonts w:cstheme="minorHAnsi"/>
          <w:vertAlign w:val="subscript"/>
        </w:rPr>
        <w:t>c</w:t>
      </w:r>
      <w:r w:rsidRPr="00187645">
        <w:rPr>
          <w:rFonts w:cstheme="minorHAnsi"/>
        </w:rPr>
        <w:t xml:space="preserve"> = 11.5 percent; for “other” PSEUs, S</w:t>
      </w:r>
      <w:r w:rsidRPr="00187645">
        <w:rPr>
          <w:rFonts w:cstheme="minorHAnsi"/>
          <w:vertAlign w:val="subscript"/>
        </w:rPr>
        <w:t>c</w:t>
      </w:r>
      <w:r w:rsidRPr="00187645">
        <w:rPr>
          <w:rFonts w:cstheme="minorHAnsi"/>
        </w:rPr>
        <w:t xml:space="preserve"> = 34.8 percent.</w:t>
      </w:r>
    </w:p>
    <w:p w:rsidR="007050D0" w:rsidRPr="00187645" w:rsidP="007050D0" w14:paraId="29EE55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187645">
        <w:rPr>
          <w:rFonts w:cstheme="minorHAnsi"/>
        </w:rPr>
        <w:t>P</w:t>
      </w:r>
      <w:r w:rsidRPr="00187645">
        <w:rPr>
          <w:rFonts w:cstheme="minorHAnsi"/>
          <w:vertAlign w:val="subscript"/>
        </w:rPr>
        <w:t>c</w:t>
      </w:r>
      <w:r w:rsidRPr="00187645">
        <w:rPr>
          <w:rFonts w:cstheme="minorHAnsi"/>
        </w:rPr>
        <w:tab/>
        <w:t>is the number of new Category c PSEUs expected to be constructed at a facility that has at least one Category c PSEU. For new facilities, P</w:t>
      </w:r>
      <w:r w:rsidRPr="00187645">
        <w:rPr>
          <w:rFonts w:cstheme="minorHAnsi"/>
          <w:vertAlign w:val="subscript"/>
        </w:rPr>
        <w:t>c</w:t>
      </w:r>
      <w:r w:rsidRPr="00187645">
        <w:rPr>
          <w:rFonts w:cstheme="minorHAnsi"/>
        </w:rPr>
        <w:t xml:space="preserve"> is 3.15 for “large” PSEUs and 7.06 for “other” PSEUs. For existing facilities adding new PSEUs, P</w:t>
      </w:r>
      <w:r w:rsidRPr="00187645">
        <w:rPr>
          <w:rFonts w:cstheme="minorHAnsi"/>
          <w:vertAlign w:val="subscript"/>
        </w:rPr>
        <w:t>c</w:t>
      </w:r>
      <w:r w:rsidRPr="00187645">
        <w:rPr>
          <w:rFonts w:cstheme="minorHAnsi"/>
        </w:rPr>
        <w:t xml:space="preserve"> is 1 for both “large” and “other” PSEUs.</w:t>
      </w:r>
    </w:p>
    <w:p w:rsidR="007050D0" w:rsidRPr="00187645" w:rsidP="007050D0" w14:paraId="375AA77E" w14:textId="77777777">
      <w:pPr>
        <w:pStyle w:val="BodyText1"/>
        <w:tabs>
          <w:tab w:val="clear" w:pos="720"/>
          <w:tab w:val="left" w:pos="1440"/>
        </w:tabs>
        <w:spacing w:before="0" w:after="0"/>
        <w:ind w:left="1440" w:hanging="720"/>
        <w:rPr>
          <w:rFonts w:asciiTheme="minorHAnsi" w:hAnsiTheme="minorHAnsi" w:cstheme="minorHAnsi"/>
          <w:sz w:val="22"/>
          <w:szCs w:val="22"/>
        </w:rPr>
      </w:pPr>
      <w:r w:rsidRPr="00187645">
        <w:rPr>
          <w:rFonts w:asciiTheme="minorHAnsi" w:hAnsiTheme="minorHAnsi" w:cstheme="minorHAnsi"/>
          <w:sz w:val="22"/>
          <w:szCs w:val="22"/>
        </w:rPr>
        <w:t>A</w:t>
      </w:r>
      <w:r w:rsidRPr="00187645">
        <w:rPr>
          <w:rFonts w:asciiTheme="minorHAnsi" w:hAnsiTheme="minorHAnsi" w:cstheme="minorHAnsi"/>
          <w:sz w:val="22"/>
          <w:szCs w:val="22"/>
          <w:vertAlign w:val="subscript"/>
        </w:rPr>
        <w:t>c</w:t>
      </w:r>
      <w:r w:rsidRPr="00187645">
        <w:rPr>
          <w:rFonts w:asciiTheme="minorHAnsi" w:hAnsiTheme="minorHAnsi" w:cstheme="minorHAnsi"/>
          <w:sz w:val="22"/>
          <w:szCs w:val="22"/>
        </w:rPr>
        <w:tab/>
        <w:t>is the percent of PSEUs in Category c that are projected to be subject to the CAM Rule. For “large” PSEUs, A</w:t>
      </w:r>
      <w:r w:rsidRPr="00187645">
        <w:rPr>
          <w:rFonts w:asciiTheme="minorHAnsi" w:hAnsiTheme="minorHAnsi" w:cstheme="minorHAnsi"/>
          <w:sz w:val="22"/>
          <w:szCs w:val="22"/>
          <w:vertAlign w:val="subscript"/>
        </w:rPr>
        <w:t>c</w:t>
      </w:r>
      <w:r w:rsidRPr="00187645">
        <w:rPr>
          <w:rFonts w:asciiTheme="minorHAnsi" w:hAnsiTheme="minorHAnsi" w:cstheme="minorHAnsi"/>
          <w:sz w:val="22"/>
          <w:szCs w:val="22"/>
        </w:rPr>
        <w:t xml:space="preserve"> = 53.8 percent; for “other” PSEUs, A</w:t>
      </w:r>
      <w:r w:rsidRPr="00187645">
        <w:rPr>
          <w:rFonts w:asciiTheme="minorHAnsi" w:hAnsiTheme="minorHAnsi" w:cstheme="minorHAnsi"/>
          <w:sz w:val="22"/>
          <w:szCs w:val="22"/>
          <w:vertAlign w:val="subscript"/>
        </w:rPr>
        <w:t>c</w:t>
      </w:r>
      <w:r w:rsidRPr="00187645">
        <w:rPr>
          <w:rFonts w:asciiTheme="minorHAnsi" w:hAnsiTheme="minorHAnsi" w:cstheme="minorHAnsi"/>
          <w:sz w:val="22"/>
          <w:szCs w:val="22"/>
        </w:rPr>
        <w:t xml:space="preserve"> = 53.6 percent.</w:t>
      </w:r>
    </w:p>
    <w:p w:rsidR="007050D0" w:rsidRPr="00187645" w:rsidP="007050D0" w14:paraId="2BD86318" w14:textId="77777777">
      <w:pPr>
        <w:pStyle w:val="BodyText1"/>
        <w:spacing w:before="0" w:after="0"/>
        <w:rPr>
          <w:rFonts w:asciiTheme="minorHAnsi" w:hAnsiTheme="minorHAnsi" w:cstheme="minorHAnsi"/>
          <w:sz w:val="22"/>
          <w:szCs w:val="22"/>
        </w:rPr>
      </w:pPr>
    </w:p>
    <w:p w:rsidR="007050D0" w:rsidRPr="00187645" w:rsidP="007050D0" w14:paraId="275E4CCA" w14:textId="77777777">
      <w:pPr>
        <w:pStyle w:val="BodyText1"/>
        <w:spacing w:before="0" w:after="0"/>
        <w:rPr>
          <w:rFonts w:asciiTheme="minorHAnsi" w:hAnsiTheme="minorHAnsi" w:cstheme="minorHAnsi"/>
          <w:sz w:val="22"/>
          <w:szCs w:val="22"/>
        </w:rPr>
      </w:pPr>
      <w:r w:rsidRPr="00187645">
        <w:rPr>
          <w:rFonts w:asciiTheme="minorHAnsi" w:hAnsiTheme="minorHAnsi" w:cstheme="minorHAnsi"/>
          <w:sz w:val="22"/>
          <w:szCs w:val="22"/>
        </w:rPr>
        <w:t xml:space="preserve">Additional assumptions from the 2008 RIA used to estimate the number of respondents (PSEUs) for source activities include the following, which were also used in the previous ICR updates: </w:t>
      </w:r>
    </w:p>
    <w:p w:rsidR="007050D0" w:rsidRPr="00187645" w:rsidP="007050D0" w14:paraId="67B49648" w14:textId="77777777">
      <w:pPr>
        <w:pStyle w:val="BodyText1"/>
        <w:spacing w:before="0" w:after="0"/>
        <w:rPr>
          <w:rFonts w:asciiTheme="minorHAnsi" w:hAnsiTheme="minorHAnsi" w:cstheme="minorHAnsi"/>
          <w:sz w:val="22"/>
          <w:szCs w:val="22"/>
        </w:rPr>
      </w:pPr>
    </w:p>
    <w:p w:rsidR="007050D0" w:rsidRPr="00187645" w:rsidP="007050D0" w14:paraId="15F62B24" w14:textId="77777777">
      <w:pPr>
        <w:pStyle w:val="BodyText1"/>
        <w:numPr>
          <w:ilvl w:val="0"/>
          <w:numId w:val="11"/>
        </w:numPr>
        <w:tabs>
          <w:tab w:val="clear" w:pos="720"/>
        </w:tabs>
        <w:spacing w:before="0" w:after="0"/>
        <w:ind w:left="1080"/>
        <w:contextualSpacing/>
        <w:rPr>
          <w:rFonts w:asciiTheme="minorHAnsi" w:hAnsiTheme="minorHAnsi" w:cstheme="minorHAnsi"/>
          <w:sz w:val="22"/>
          <w:szCs w:val="22"/>
        </w:rPr>
      </w:pPr>
      <w:r w:rsidRPr="00187645">
        <w:rPr>
          <w:rFonts w:asciiTheme="minorHAnsi" w:hAnsiTheme="minorHAnsi" w:cstheme="minorHAnsi"/>
          <w:sz w:val="22"/>
          <w:szCs w:val="22"/>
        </w:rPr>
        <w:t xml:space="preserve">230 existing title V sources add PSEUs each year. </w:t>
      </w:r>
    </w:p>
    <w:p w:rsidR="007050D0" w:rsidRPr="00187645" w:rsidP="007050D0" w14:paraId="1FE1B588" w14:textId="77777777">
      <w:pPr>
        <w:pStyle w:val="BodyText1"/>
        <w:numPr>
          <w:ilvl w:val="0"/>
          <w:numId w:val="11"/>
        </w:numPr>
        <w:tabs>
          <w:tab w:val="clear" w:pos="720"/>
        </w:tabs>
        <w:spacing w:before="0" w:after="0"/>
        <w:ind w:left="1080"/>
        <w:contextualSpacing/>
        <w:rPr>
          <w:rFonts w:asciiTheme="minorHAnsi" w:hAnsiTheme="minorHAnsi" w:cstheme="minorHAnsi"/>
          <w:sz w:val="22"/>
          <w:szCs w:val="22"/>
        </w:rPr>
      </w:pPr>
      <w:r w:rsidRPr="00187645">
        <w:rPr>
          <w:rFonts w:asciiTheme="minorHAnsi" w:hAnsiTheme="minorHAnsi" w:cstheme="minorHAnsi"/>
          <w:sz w:val="22"/>
          <w:szCs w:val="22"/>
        </w:rPr>
        <w:t>Of affected “large” PSEUs, 56.3 percent are “without existing monitoring” and 43.7 percent are “with existing monitoring.”</w:t>
      </w:r>
    </w:p>
    <w:p w:rsidR="007050D0" w:rsidRPr="00187645" w:rsidP="007050D0" w14:paraId="30FDF7C0" w14:textId="77777777">
      <w:pPr>
        <w:pStyle w:val="BodyText1"/>
        <w:numPr>
          <w:ilvl w:val="0"/>
          <w:numId w:val="11"/>
        </w:numPr>
        <w:tabs>
          <w:tab w:val="clear" w:pos="720"/>
        </w:tabs>
        <w:spacing w:before="0" w:after="0"/>
        <w:ind w:left="1080"/>
        <w:contextualSpacing/>
        <w:rPr>
          <w:rFonts w:asciiTheme="minorHAnsi" w:hAnsiTheme="minorHAnsi" w:cstheme="minorHAnsi"/>
          <w:sz w:val="22"/>
          <w:szCs w:val="22"/>
        </w:rPr>
      </w:pPr>
      <w:r w:rsidRPr="00187645">
        <w:rPr>
          <w:rFonts w:asciiTheme="minorHAnsi" w:hAnsiTheme="minorHAnsi" w:cstheme="minorHAnsi"/>
          <w:sz w:val="22"/>
          <w:szCs w:val="22"/>
        </w:rPr>
        <w:t>Of affected “other” PSEUs, 31 percent are “without existing monitoring” and 69 percent are “with existing monitoring.”</w:t>
      </w:r>
    </w:p>
    <w:p w:rsidR="007050D0" w:rsidRPr="00187645" w:rsidP="007050D0" w14:paraId="1A165652" w14:textId="77777777">
      <w:pPr>
        <w:pStyle w:val="BodyText1"/>
        <w:numPr>
          <w:ilvl w:val="0"/>
          <w:numId w:val="11"/>
        </w:numPr>
        <w:tabs>
          <w:tab w:val="clear" w:pos="720"/>
        </w:tabs>
        <w:spacing w:before="0" w:after="0"/>
        <w:ind w:left="1080"/>
        <w:contextualSpacing/>
        <w:rPr>
          <w:rFonts w:asciiTheme="minorHAnsi" w:hAnsiTheme="minorHAnsi" w:cstheme="minorHAnsi"/>
          <w:sz w:val="22"/>
          <w:szCs w:val="22"/>
        </w:rPr>
      </w:pPr>
      <w:r w:rsidRPr="00187645">
        <w:rPr>
          <w:rFonts w:asciiTheme="minorHAnsi" w:hAnsiTheme="minorHAnsi" w:cstheme="minorHAnsi"/>
          <w:sz w:val="22"/>
          <w:szCs w:val="22"/>
        </w:rPr>
        <w:t>All affected “large” PSEUs meet CAM Rule requirements using instrumental monitoring systems.</w:t>
      </w:r>
    </w:p>
    <w:p w:rsidR="007050D0" w:rsidRPr="00187645" w:rsidP="007050D0" w14:paraId="65FA4BE6" w14:textId="77777777">
      <w:pPr>
        <w:pStyle w:val="BodyText1"/>
        <w:numPr>
          <w:ilvl w:val="0"/>
          <w:numId w:val="11"/>
        </w:numPr>
        <w:tabs>
          <w:tab w:val="clear" w:pos="720"/>
        </w:tabs>
        <w:spacing w:before="0" w:after="0"/>
        <w:ind w:left="1080"/>
        <w:rPr>
          <w:rFonts w:asciiTheme="minorHAnsi" w:hAnsiTheme="minorHAnsi" w:cstheme="minorHAnsi"/>
          <w:sz w:val="22"/>
          <w:szCs w:val="22"/>
        </w:rPr>
      </w:pPr>
      <w:r w:rsidRPr="00187645">
        <w:rPr>
          <w:rFonts w:asciiTheme="minorHAnsi" w:hAnsiTheme="minorHAnsi" w:cstheme="minorHAnsi"/>
          <w:sz w:val="22"/>
          <w:szCs w:val="22"/>
        </w:rPr>
        <w:t>All affected “other” PSEUs meet CAM Rule requirements using work practice monitoring approaches.</w:t>
      </w:r>
    </w:p>
    <w:p w:rsidR="007050D0" w:rsidRPr="00187645" w:rsidP="007050D0" w14:paraId="4E3E94AA" w14:textId="77777777">
      <w:pPr>
        <w:pStyle w:val="BodyText1"/>
        <w:tabs>
          <w:tab w:val="clear" w:pos="720"/>
        </w:tabs>
        <w:spacing w:before="0" w:after="0"/>
        <w:ind w:firstLine="0"/>
        <w:rPr>
          <w:rFonts w:asciiTheme="minorHAnsi" w:hAnsiTheme="minorHAnsi" w:cstheme="minorHAnsi"/>
          <w:sz w:val="22"/>
          <w:szCs w:val="22"/>
        </w:rPr>
      </w:pPr>
      <w:r w:rsidRPr="00187645">
        <w:rPr>
          <w:rFonts w:asciiTheme="minorHAnsi" w:hAnsiTheme="minorHAnsi" w:cstheme="minorHAnsi"/>
          <w:sz w:val="22"/>
          <w:szCs w:val="22"/>
        </w:rPr>
        <w:tab/>
      </w:r>
    </w:p>
    <w:p w:rsidR="007050D0" w:rsidRPr="00187645" w:rsidP="00852E9F" w14:paraId="51DA1CFE" w14:textId="77777777">
      <w:pPr>
        <w:pStyle w:val="BodyText1"/>
        <w:tabs>
          <w:tab w:val="clear" w:pos="720"/>
        </w:tabs>
        <w:spacing w:before="0" w:after="0"/>
        <w:ind w:firstLine="0"/>
        <w:rPr>
          <w:rFonts w:asciiTheme="minorHAnsi" w:hAnsiTheme="minorHAnsi" w:cstheme="minorHAnsi"/>
          <w:sz w:val="22"/>
          <w:szCs w:val="22"/>
        </w:rPr>
      </w:pPr>
      <w:r w:rsidRPr="00187645">
        <w:rPr>
          <w:rFonts w:asciiTheme="minorHAnsi" w:hAnsiTheme="minorHAnsi" w:cstheme="minorHAnsi"/>
          <w:sz w:val="22"/>
          <w:szCs w:val="22"/>
        </w:rPr>
        <w:t>Additional assumptions used to estimate the number of respondents (PSEUs) for source activities include the following:</w:t>
      </w:r>
    </w:p>
    <w:p w:rsidR="007050D0" w:rsidRPr="00187645" w:rsidP="007050D0" w14:paraId="379710F1" w14:textId="77777777">
      <w:pPr>
        <w:pStyle w:val="BodyText1"/>
        <w:tabs>
          <w:tab w:val="clear" w:pos="720"/>
        </w:tabs>
        <w:spacing w:before="0" w:after="0"/>
        <w:rPr>
          <w:rFonts w:asciiTheme="minorHAnsi" w:hAnsiTheme="minorHAnsi" w:cstheme="minorHAnsi"/>
          <w:sz w:val="22"/>
          <w:szCs w:val="22"/>
        </w:rPr>
      </w:pPr>
    </w:p>
    <w:p w:rsidR="007050D0" w:rsidRPr="00187645" w:rsidP="007050D0" w14:paraId="3971D122" w14:textId="77777777">
      <w:pPr>
        <w:pStyle w:val="BodyText1"/>
        <w:numPr>
          <w:ilvl w:val="0"/>
          <w:numId w:val="12"/>
        </w:numPr>
        <w:tabs>
          <w:tab w:val="clear" w:pos="720"/>
        </w:tabs>
        <w:spacing w:before="0" w:after="0"/>
        <w:ind w:left="1080"/>
        <w:contextualSpacing/>
        <w:rPr>
          <w:rFonts w:asciiTheme="minorHAnsi" w:hAnsiTheme="minorHAnsi" w:cstheme="minorHAnsi"/>
          <w:sz w:val="22"/>
          <w:szCs w:val="22"/>
        </w:rPr>
      </w:pPr>
      <w:r w:rsidRPr="00187645">
        <w:rPr>
          <w:rFonts w:asciiTheme="minorHAnsi" w:hAnsiTheme="minorHAnsi" w:cstheme="minorHAnsi"/>
          <w:sz w:val="22"/>
          <w:szCs w:val="22"/>
        </w:rPr>
        <w:t>All existing “large” and “other” PSEUs that became subject to the CAM Rule at the time of its promulgation have been integrated into the program as their title V permits were renewed.</w:t>
      </w:r>
    </w:p>
    <w:p w:rsidR="007050D0" w:rsidRPr="00187645" w:rsidP="007050D0" w14:paraId="5E70C830" w14:textId="77777777">
      <w:pPr>
        <w:pStyle w:val="BodyText1"/>
        <w:numPr>
          <w:ilvl w:val="0"/>
          <w:numId w:val="12"/>
        </w:numPr>
        <w:tabs>
          <w:tab w:val="clear" w:pos="720"/>
        </w:tabs>
        <w:spacing w:before="0" w:after="0"/>
        <w:ind w:left="1080"/>
        <w:contextualSpacing/>
        <w:rPr>
          <w:rFonts w:asciiTheme="minorHAnsi" w:hAnsiTheme="minorHAnsi" w:cstheme="minorHAnsi"/>
          <w:sz w:val="22"/>
          <w:szCs w:val="22"/>
        </w:rPr>
      </w:pPr>
      <w:r w:rsidRPr="00187645">
        <w:rPr>
          <w:rFonts w:asciiTheme="minorHAnsi" w:hAnsiTheme="minorHAnsi" w:cstheme="minorHAnsi"/>
          <w:sz w:val="22"/>
          <w:szCs w:val="22"/>
        </w:rPr>
        <w:t>Thus, the only PSEUs for which CAM approaches and documentation must be developed and submitted during the period of this ICR are those at new facilities, which are receiving their initial title V permits, and those being constructed at existing facilities. As noted above, there are 100 new facilities and 230 existing facilities that construct PSEUs each year.</w:t>
      </w:r>
    </w:p>
    <w:p w:rsidR="007050D0" w:rsidRPr="00187645" w:rsidP="007050D0" w14:paraId="27BCB42D" w14:textId="77777777">
      <w:pPr>
        <w:pStyle w:val="BodyText1"/>
        <w:numPr>
          <w:ilvl w:val="0"/>
          <w:numId w:val="12"/>
        </w:numPr>
        <w:tabs>
          <w:tab w:val="clear" w:pos="720"/>
        </w:tabs>
        <w:spacing w:before="0" w:after="0"/>
        <w:ind w:left="1080"/>
        <w:contextualSpacing/>
        <w:rPr>
          <w:rFonts w:asciiTheme="minorHAnsi" w:hAnsiTheme="minorHAnsi" w:cstheme="minorHAnsi"/>
          <w:sz w:val="22"/>
          <w:szCs w:val="22"/>
        </w:rPr>
      </w:pPr>
      <w:r w:rsidRPr="00187645">
        <w:rPr>
          <w:rFonts w:asciiTheme="minorHAnsi" w:hAnsiTheme="minorHAnsi" w:cstheme="minorHAnsi"/>
          <w:sz w:val="22"/>
          <w:szCs w:val="22"/>
        </w:rPr>
        <w:t xml:space="preserve">Each new facility must review the requirements of the CAM Rule to determine whether its PSEUs are subject to the rule (Activity 1 in Tables 6.1a, b, and c). Note that the respondents for this activity are </w:t>
      </w:r>
      <w:r w:rsidRPr="00187645">
        <w:rPr>
          <w:rFonts w:asciiTheme="minorHAnsi" w:hAnsiTheme="minorHAnsi" w:cstheme="minorHAnsi"/>
          <w:sz w:val="22"/>
          <w:szCs w:val="22"/>
          <w:u w:val="single"/>
        </w:rPr>
        <w:t>facilities</w:t>
      </w:r>
      <w:r w:rsidRPr="00187645">
        <w:rPr>
          <w:rFonts w:asciiTheme="minorHAnsi" w:hAnsiTheme="minorHAnsi" w:cstheme="minorHAnsi"/>
          <w:sz w:val="22"/>
          <w:szCs w:val="22"/>
        </w:rPr>
        <w:t xml:space="preserve">, rather </w:t>
      </w:r>
      <w:r w:rsidRPr="00187645">
        <w:rPr>
          <w:rFonts w:asciiTheme="minorHAnsi" w:hAnsiTheme="minorHAnsi" w:cstheme="minorHAnsi"/>
          <w:sz w:val="22"/>
          <w:szCs w:val="22"/>
          <w:u w:val="single"/>
        </w:rPr>
        <w:t>PSEUs</w:t>
      </w:r>
      <w:r w:rsidRPr="00187645">
        <w:rPr>
          <w:rFonts w:asciiTheme="minorHAnsi" w:hAnsiTheme="minorHAnsi" w:cstheme="minorHAnsi"/>
          <w:sz w:val="22"/>
          <w:szCs w:val="22"/>
        </w:rPr>
        <w:t>.</w:t>
      </w:r>
    </w:p>
    <w:p w:rsidR="007050D0" w:rsidRPr="00187645" w:rsidP="007050D0" w14:paraId="0D58FAEB" w14:textId="77777777">
      <w:pPr>
        <w:pStyle w:val="BodyText1"/>
        <w:numPr>
          <w:ilvl w:val="0"/>
          <w:numId w:val="12"/>
        </w:numPr>
        <w:tabs>
          <w:tab w:val="clear" w:pos="720"/>
        </w:tabs>
        <w:spacing w:before="0" w:after="0"/>
        <w:ind w:left="1080"/>
        <w:contextualSpacing/>
        <w:rPr>
          <w:rFonts w:asciiTheme="minorHAnsi" w:hAnsiTheme="minorHAnsi" w:cstheme="minorHAnsi"/>
          <w:sz w:val="22"/>
          <w:szCs w:val="22"/>
        </w:rPr>
      </w:pPr>
      <w:r w:rsidRPr="00187645">
        <w:rPr>
          <w:rFonts w:asciiTheme="minorHAnsi" w:hAnsiTheme="minorHAnsi" w:cstheme="minorHAnsi"/>
          <w:sz w:val="22"/>
          <w:szCs w:val="22"/>
        </w:rPr>
        <w:t>For the activities related to developing and documenting CAM plans, the number of respondents is determined using the equation above (Activities 2, 3, and 4).</w:t>
      </w:r>
    </w:p>
    <w:p w:rsidR="007050D0" w:rsidRPr="00187645" w:rsidP="007050D0" w14:paraId="299EB14F" w14:textId="77777777">
      <w:pPr>
        <w:pStyle w:val="BodyText1"/>
        <w:numPr>
          <w:ilvl w:val="0"/>
          <w:numId w:val="12"/>
        </w:numPr>
        <w:tabs>
          <w:tab w:val="clear" w:pos="720"/>
        </w:tabs>
        <w:spacing w:before="0" w:after="0"/>
        <w:ind w:left="1080"/>
        <w:contextualSpacing/>
        <w:rPr>
          <w:rFonts w:asciiTheme="minorHAnsi" w:hAnsiTheme="minorHAnsi" w:cstheme="minorHAnsi"/>
          <w:sz w:val="22"/>
          <w:szCs w:val="22"/>
        </w:rPr>
      </w:pPr>
      <w:r w:rsidRPr="00187645">
        <w:rPr>
          <w:rFonts w:asciiTheme="minorHAnsi" w:hAnsiTheme="minorHAnsi" w:cstheme="minorHAnsi"/>
          <w:sz w:val="22"/>
          <w:szCs w:val="22"/>
        </w:rPr>
        <w:t>Each year, 20 percent of all existing title V permits are renewed, and thus CAM plans are renewed for 20 percent of all PSEUs each year (Activity 5).</w:t>
      </w:r>
    </w:p>
    <w:p w:rsidR="007050D0" w:rsidRPr="00187645" w:rsidP="007050D0" w14:paraId="4804F66B" w14:textId="77777777">
      <w:pPr>
        <w:pStyle w:val="BodyText1"/>
        <w:numPr>
          <w:ilvl w:val="0"/>
          <w:numId w:val="12"/>
        </w:numPr>
        <w:tabs>
          <w:tab w:val="clear" w:pos="720"/>
        </w:tabs>
        <w:spacing w:before="0" w:after="0"/>
        <w:ind w:left="1080"/>
        <w:contextualSpacing/>
        <w:rPr>
          <w:rFonts w:asciiTheme="minorHAnsi" w:hAnsiTheme="minorHAnsi" w:cstheme="minorHAnsi"/>
          <w:sz w:val="22"/>
          <w:szCs w:val="22"/>
        </w:rPr>
      </w:pPr>
      <w:r w:rsidRPr="00187645">
        <w:rPr>
          <w:rFonts w:asciiTheme="minorHAnsi" w:hAnsiTheme="minorHAnsi" w:cstheme="minorHAnsi"/>
          <w:sz w:val="22"/>
          <w:szCs w:val="22"/>
        </w:rPr>
        <w:t>Each year, 0.04 percent of all existing and new PSEUs are required to prepare a QIP and record information and submit reports about corrective actions (Activities 6, 7, and 8). This number is based on the number of enforcement actions taken in a given year.</w:t>
      </w:r>
    </w:p>
    <w:p w:rsidR="007050D0" w:rsidRPr="00187645" w:rsidP="007050D0" w14:paraId="016E5518" w14:textId="77777777">
      <w:pPr>
        <w:pStyle w:val="BodyText1"/>
        <w:numPr>
          <w:ilvl w:val="0"/>
          <w:numId w:val="12"/>
        </w:numPr>
        <w:tabs>
          <w:tab w:val="clear" w:pos="720"/>
        </w:tabs>
        <w:spacing w:before="0" w:after="0"/>
        <w:ind w:left="1080"/>
        <w:contextualSpacing/>
        <w:rPr>
          <w:rFonts w:asciiTheme="minorHAnsi" w:hAnsiTheme="minorHAnsi" w:cstheme="minorHAnsi"/>
          <w:sz w:val="22"/>
          <w:szCs w:val="22"/>
        </w:rPr>
      </w:pPr>
      <w:r w:rsidRPr="00187645">
        <w:rPr>
          <w:rFonts w:asciiTheme="minorHAnsi" w:hAnsiTheme="minorHAnsi" w:cstheme="minorHAnsi"/>
          <w:sz w:val="22"/>
          <w:szCs w:val="22"/>
        </w:rPr>
        <w:t>All title V facilities are required to submit annual certifications, so there are no additional facilities with affected PSEUs that must submit such certifications (Activity 9).</w:t>
      </w:r>
    </w:p>
    <w:p w:rsidR="007050D0" w:rsidRPr="00187645" w:rsidP="007050D0" w14:paraId="00C3349E" w14:textId="77777777">
      <w:pPr>
        <w:pStyle w:val="BodyText1"/>
        <w:numPr>
          <w:ilvl w:val="0"/>
          <w:numId w:val="12"/>
        </w:numPr>
        <w:tabs>
          <w:tab w:val="clear" w:pos="720"/>
        </w:tabs>
        <w:spacing w:before="0" w:after="0"/>
        <w:ind w:left="1080"/>
        <w:contextualSpacing/>
        <w:rPr>
          <w:rFonts w:asciiTheme="minorHAnsi" w:hAnsiTheme="minorHAnsi" w:cstheme="minorHAnsi"/>
          <w:sz w:val="22"/>
          <w:szCs w:val="22"/>
        </w:rPr>
      </w:pPr>
      <w:r w:rsidRPr="00187645">
        <w:rPr>
          <w:rFonts w:asciiTheme="minorHAnsi" w:hAnsiTheme="minorHAnsi" w:cstheme="minorHAnsi"/>
          <w:sz w:val="22"/>
          <w:szCs w:val="22"/>
        </w:rPr>
        <w:t>Each facility that has at least one affected PSEU has an average of 4.27 affected PSEUs. This factor is used to convert the per-PSEU impacts to per-facility impacts. This factor was derived from the data and analyses of the 2008 RIA.</w:t>
      </w:r>
    </w:p>
    <w:p w:rsidR="007050D0" w:rsidRPr="00187645" w:rsidP="007050D0" w14:paraId="5BC63C08" w14:textId="77777777">
      <w:pPr>
        <w:pStyle w:val="BodyText1"/>
        <w:tabs>
          <w:tab w:val="clear" w:pos="720"/>
        </w:tabs>
        <w:spacing w:before="0" w:after="0"/>
        <w:ind w:firstLine="0"/>
        <w:rPr>
          <w:rFonts w:asciiTheme="minorHAnsi" w:hAnsiTheme="minorHAnsi" w:cstheme="minorHAnsi"/>
          <w:sz w:val="22"/>
          <w:szCs w:val="22"/>
        </w:rPr>
      </w:pPr>
    </w:p>
    <w:p w:rsidR="007050D0" w:rsidRPr="00187645" w:rsidP="007050D0" w14:paraId="5EF9F1CE" w14:textId="177C7193">
      <w:pPr>
        <w:pStyle w:val="BodyText1"/>
        <w:tabs>
          <w:tab w:val="clear" w:pos="720"/>
        </w:tabs>
        <w:spacing w:before="0" w:after="0"/>
        <w:ind w:firstLine="0"/>
        <w:rPr>
          <w:rFonts w:asciiTheme="minorHAnsi" w:hAnsiTheme="minorHAnsi" w:cstheme="minorHAnsi"/>
          <w:sz w:val="22"/>
          <w:szCs w:val="22"/>
        </w:rPr>
      </w:pPr>
      <w:r w:rsidRPr="00187645">
        <w:rPr>
          <w:rFonts w:asciiTheme="minorHAnsi" w:hAnsiTheme="minorHAnsi" w:cstheme="minorHAnsi"/>
          <w:sz w:val="22"/>
          <w:szCs w:val="22"/>
        </w:rPr>
        <w:t>Tables 6.1a, b, and c present the total burden and costs of the CAM Rule for sources in each of the 3 years covered by this ICR, respectively. Table 6.4 presents a summary of the burdens for these 3 years. The average annual labor burden reported in Table 6.4 is computed as the arithmetic average of the sum of the annual labor burden across the 3 years of the ICR. The national average annual labor burden for sources over the 3 years covered by this ICR is estimated to be about 19,300 hours at an estimated labor cost of about $2,190,000. There are no annualized capital costs or O&amp;M costs to report.</w:t>
      </w:r>
    </w:p>
    <w:p w:rsidR="007050D0" w:rsidRPr="00187645" w:rsidP="007050D0" w14:paraId="35BE56D6" w14:textId="77777777">
      <w:pPr>
        <w:pStyle w:val="BodyText1"/>
        <w:tabs>
          <w:tab w:val="clear" w:pos="720"/>
        </w:tabs>
        <w:spacing w:before="0" w:after="0"/>
        <w:ind w:firstLine="0"/>
        <w:rPr>
          <w:rFonts w:asciiTheme="minorHAnsi" w:hAnsiTheme="minorHAnsi" w:cstheme="minorHAnsi"/>
          <w:sz w:val="22"/>
          <w:szCs w:val="22"/>
        </w:rPr>
      </w:pPr>
      <w:r w:rsidRPr="00187645">
        <w:rPr>
          <w:rFonts w:asciiTheme="minorHAnsi" w:hAnsiTheme="minorHAnsi" w:cstheme="minorHAnsi"/>
          <w:sz w:val="22"/>
          <w:szCs w:val="22"/>
        </w:rPr>
        <w:tab/>
      </w:r>
    </w:p>
    <w:p w:rsidR="007050D0" w:rsidRPr="00187645" w:rsidP="00852E9F" w14:paraId="621611E7" w14:textId="77777777">
      <w:pPr>
        <w:pStyle w:val="BodyText1"/>
        <w:tabs>
          <w:tab w:val="clear" w:pos="720"/>
        </w:tabs>
        <w:spacing w:before="0" w:after="0"/>
        <w:ind w:firstLine="0"/>
        <w:rPr>
          <w:rFonts w:asciiTheme="minorHAnsi" w:hAnsiTheme="minorHAnsi" w:cstheme="minorHAnsi"/>
          <w:sz w:val="22"/>
          <w:szCs w:val="22"/>
        </w:rPr>
      </w:pPr>
      <w:r w:rsidRPr="00187645">
        <w:rPr>
          <w:rFonts w:asciiTheme="minorHAnsi" w:hAnsiTheme="minorHAnsi" w:cstheme="minorHAnsi"/>
          <w:sz w:val="22"/>
          <w:szCs w:val="22"/>
        </w:rPr>
        <w:t>Column B in PA Tables 6.2a, b, and c gives the total number of occurrences of each activity each year, generally reflecting the number of PSEUs expected to be submitting CAM plans, renewals, QIPs, or certifications each year, and these values are based on the numbers of PSEUs carrying out the analogous activities listed in Column I of source Tables 6.1a, b, c. The exception is “rule familiarization” listed under the first activity in Tables 6.2a, b, and c, which is based on the number of PAs (117), rather than the number of PSEUs. Because the CAM program is now a mature, fully implemented program, the PAs are generally familiar with the CAM Rule. Accordingly, we have assumed that the technical labor burden (Column A) for each PA is 12 hours for new staff to familiarize themselves with the rule.</w:t>
      </w:r>
    </w:p>
    <w:p w:rsidR="007050D0" w:rsidRPr="00187645" w:rsidP="007050D0" w14:paraId="03B9B3AC" w14:textId="77777777">
      <w:pPr>
        <w:pStyle w:val="BodyText1"/>
        <w:tabs>
          <w:tab w:val="clear" w:pos="720"/>
        </w:tabs>
        <w:spacing w:before="0" w:after="0"/>
        <w:ind w:firstLine="0"/>
        <w:rPr>
          <w:rFonts w:asciiTheme="minorHAnsi" w:hAnsiTheme="minorHAnsi" w:cstheme="minorHAnsi"/>
          <w:sz w:val="22"/>
          <w:szCs w:val="22"/>
        </w:rPr>
      </w:pPr>
      <w:r w:rsidRPr="00187645">
        <w:rPr>
          <w:rFonts w:asciiTheme="minorHAnsi" w:hAnsiTheme="minorHAnsi" w:cstheme="minorHAnsi"/>
          <w:sz w:val="22"/>
          <w:szCs w:val="22"/>
        </w:rPr>
        <w:tab/>
      </w:r>
    </w:p>
    <w:p w:rsidR="007050D0" w:rsidRPr="00187645" w:rsidP="00852E9F" w14:paraId="062E7E6B" w14:textId="77777777">
      <w:pPr>
        <w:pStyle w:val="BodyText1"/>
        <w:tabs>
          <w:tab w:val="clear" w:pos="720"/>
        </w:tabs>
        <w:spacing w:before="0" w:after="0"/>
        <w:ind w:firstLine="0"/>
        <w:rPr>
          <w:rFonts w:asciiTheme="minorHAnsi" w:hAnsiTheme="minorHAnsi" w:cstheme="minorHAnsi"/>
          <w:sz w:val="22"/>
          <w:szCs w:val="22"/>
        </w:rPr>
      </w:pPr>
      <w:r w:rsidRPr="00187645">
        <w:rPr>
          <w:rFonts w:asciiTheme="minorHAnsi" w:hAnsiTheme="minorHAnsi" w:cstheme="minorHAnsi"/>
          <w:sz w:val="22"/>
          <w:szCs w:val="22"/>
        </w:rPr>
        <w:t>Tables 6.2a, b, and c present the total burden and costs of the CAM Rule for PAs in each of the 3 years covered by this ICR, respectively. Table 6.5 presents a summary of the burdens for these 3 years. Again, the average annual labor burden reported in Table 6.5 is computed as the arithmetic average of the sum of the annual labor burden across the 3 years of the ICR. The national average annual labor burden for PAs over the 3 years covered by this ICR is estimated to be less than 4,210 hours at an estimated labor cost of about $233,000. There are no annualized capital costs or O&amp;M costs to report.</w:t>
      </w:r>
    </w:p>
    <w:p w:rsidR="007050D0" w:rsidRPr="00187645" w:rsidP="007050D0" w14:paraId="40B47370" w14:textId="77777777">
      <w:pPr>
        <w:pStyle w:val="BodyText1"/>
        <w:tabs>
          <w:tab w:val="clear" w:pos="720"/>
        </w:tabs>
        <w:spacing w:before="0" w:after="0"/>
        <w:ind w:firstLine="0"/>
        <w:rPr>
          <w:rFonts w:asciiTheme="minorHAnsi" w:hAnsiTheme="minorHAnsi" w:cstheme="minorHAnsi"/>
          <w:sz w:val="22"/>
          <w:szCs w:val="22"/>
        </w:rPr>
      </w:pPr>
      <w:r w:rsidRPr="00187645">
        <w:rPr>
          <w:rFonts w:asciiTheme="minorHAnsi" w:hAnsiTheme="minorHAnsi" w:cstheme="minorHAnsi"/>
          <w:sz w:val="22"/>
          <w:szCs w:val="22"/>
        </w:rPr>
        <w:tab/>
      </w:r>
    </w:p>
    <w:p w:rsidR="007050D0" w:rsidRPr="00187645" w:rsidP="00852E9F" w14:paraId="65BD5BBD" w14:textId="77777777">
      <w:pPr>
        <w:pStyle w:val="BodyText1"/>
        <w:tabs>
          <w:tab w:val="clear" w:pos="720"/>
        </w:tabs>
        <w:spacing w:before="0" w:after="0"/>
        <w:ind w:firstLine="0"/>
        <w:rPr>
          <w:rFonts w:asciiTheme="minorHAnsi" w:hAnsiTheme="minorHAnsi" w:cstheme="minorHAnsi"/>
          <w:sz w:val="22"/>
          <w:szCs w:val="22"/>
        </w:rPr>
      </w:pPr>
      <w:r w:rsidRPr="00187645">
        <w:rPr>
          <w:rFonts w:asciiTheme="minorHAnsi" w:hAnsiTheme="minorHAnsi" w:cstheme="minorHAnsi"/>
          <w:sz w:val="22"/>
          <w:szCs w:val="22"/>
        </w:rPr>
        <w:t>The title V operating permit program requires the cost of administering a state permit program to be fully repaid out of the permitting fees collected by that State. Therefore, the true cost of the CAM Rule to states and other PAs is zero, and the recorded cost of administration should be allocated to sources.</w:t>
      </w:r>
    </w:p>
    <w:p w:rsidR="007050D0" w:rsidP="00013FE4" w14:paraId="4DD7A028" w14:textId="77777777">
      <w:pPr>
        <w:ind w:left="360" w:firstLine="360"/>
      </w:pPr>
    </w:p>
    <w:p w:rsidR="00013FE4" w:rsidP="00852E9F" w14:paraId="40A495A8" w14:textId="77777777">
      <w:r w:rsidRPr="00B1373A">
        <w:t>Columns A and B represent the estimated burden hours for clerical and technical personnel, respectively. These burden estimates reflect the expert judgment of EPA staff, contractors, and industry experts. Column C represents the management labor hours associated with each activity, computed at a rate of 5 percent of the total clerical and technical labor. All burden esti</w:t>
      </w:r>
      <w:r w:rsidRPr="00B1373A">
        <w:softHyphen/>
        <w:t>mates represent the increment over part 70 requirements.</w:t>
      </w:r>
    </w:p>
    <w:p w:rsidR="00013FE4" w:rsidP="00852E9F" w14:paraId="0B72A3CF" w14:textId="77777777">
      <w:r w:rsidRPr="00B1373A">
        <w:t>For the activities associated with developing and documenting a CAM plan, we estimate different burdens for PSEUs depending on whether they are “without existing monitoring” or “with existing monitoring.” For the new PSEUs that become subject to the CAM Rule going forward, this is defined as follows:</w:t>
      </w:r>
    </w:p>
    <w:p w:rsidR="00013FE4" w:rsidRPr="00013FE4" w:rsidP="0039497E" w14:paraId="3258A10A" w14:textId="77777777">
      <w:pPr>
        <w:pStyle w:val="BodyText1"/>
        <w:numPr>
          <w:ilvl w:val="0"/>
          <w:numId w:val="9"/>
        </w:numPr>
        <w:tabs>
          <w:tab w:val="clear" w:pos="720"/>
          <w:tab w:val="left" w:pos="1080"/>
        </w:tabs>
        <w:spacing w:before="0" w:after="0"/>
        <w:ind w:left="1080"/>
        <w:rPr>
          <w:rFonts w:asciiTheme="minorHAnsi" w:hAnsiTheme="minorHAnsi" w:cstheme="minorHAnsi"/>
          <w:sz w:val="22"/>
          <w:szCs w:val="22"/>
        </w:rPr>
      </w:pPr>
      <w:r w:rsidRPr="00B1373A">
        <w:t>“</w:t>
      </w:r>
      <w:r w:rsidRPr="00013FE4">
        <w:rPr>
          <w:rFonts w:asciiTheme="minorHAnsi" w:hAnsiTheme="minorHAnsi" w:cstheme="minorHAnsi"/>
          <w:sz w:val="22"/>
          <w:szCs w:val="22"/>
        </w:rPr>
        <w:t>Without existing monitoring” denotes PSEUs that are subject to emission limits and therefore must control emissions, but the applicable requirements do not specify monitoring requirements. For these PSEUs, the source must develop the entire monitoring program and documentation required by the CAM Rule.</w:t>
      </w:r>
    </w:p>
    <w:p w:rsidR="00013FE4" w:rsidRPr="00013FE4" w:rsidP="0039497E" w14:paraId="0D26D1D4" w14:textId="77777777">
      <w:pPr>
        <w:pStyle w:val="BodyText1"/>
        <w:numPr>
          <w:ilvl w:val="0"/>
          <w:numId w:val="9"/>
        </w:numPr>
        <w:tabs>
          <w:tab w:val="clear" w:pos="720"/>
          <w:tab w:val="left" w:pos="1080"/>
        </w:tabs>
        <w:spacing w:before="0" w:after="0"/>
        <w:ind w:left="1080"/>
        <w:rPr>
          <w:rFonts w:asciiTheme="minorHAnsi" w:hAnsiTheme="minorHAnsi" w:cstheme="minorHAnsi"/>
          <w:sz w:val="22"/>
          <w:szCs w:val="22"/>
        </w:rPr>
      </w:pPr>
      <w:r w:rsidRPr="00013FE4">
        <w:rPr>
          <w:rFonts w:asciiTheme="minorHAnsi" w:hAnsiTheme="minorHAnsi" w:cstheme="minorHAnsi"/>
          <w:sz w:val="22"/>
          <w:szCs w:val="22"/>
        </w:rPr>
        <w:t>“With existing monitoring” denotes PSEUs whose applicable requirements include monitoring requirements, but these requirements are insufficient to meet the requirements of the CAM Rule. For these PSEUs, some of the monitoring elements are already present, and the source need only upgrade the monitoring program and documentation to meet the CAM Rule requirements.</w:t>
      </w:r>
    </w:p>
    <w:p w:rsidR="00013FE4" w:rsidRPr="00B1373A" w:rsidP="00013FE4" w14:paraId="254C79A6" w14:textId="77777777">
      <w:pPr>
        <w:pStyle w:val="BodyText1"/>
        <w:spacing w:before="0" w:after="0"/>
      </w:pPr>
    </w:p>
    <w:p w:rsidR="00013FE4" w:rsidP="00852E9F" w14:paraId="01E3A1A9" w14:textId="77777777">
      <w:r w:rsidRPr="00B1373A">
        <w:t xml:space="preserve">We believe that sources with PSEUs “with existing monitoring” will experience less uncertainty about what is needed for adequate monitoring and, thus, developing a CAM plan and the necessary </w:t>
      </w:r>
      <w:r w:rsidRPr="00B1373A">
        <w:t>documentation for these units will require less effort than for PSEUs “without existing monitoring.” As a result, the estimated per-PSEU burden is greater for PSEUs “without existing monitoring.”</w:t>
      </w:r>
    </w:p>
    <w:p w:rsidR="00013FE4" w:rsidP="00852E9F" w14:paraId="45FFED9C" w14:textId="77777777">
      <w:r w:rsidRPr="00B1373A">
        <w:t>For one source activity, recordkeeping for corrective actions under a QIP, we estimate different burdens for PSEUs depending on whether the CAM monitoring relies on an instrumental system or uses work practices. We believe that there will be less recordkeeping burden for PSEUs monitored with instrumental systems because those systems employ electronic capturing and monitoring information that previously was attributed to manual labor. Automated processes can collect hundreds of data points per second; whereas humans require considerably longer to collect and process accurately the same information. Column D of Tables 6.1a, b, and c gives the annual occurrences of each source activity for each PSEU. There will be one occurrence of each activity per year except for reports of corrective actions, for which we project two occurrences consistent with the title V operating permit program requirement for semi-annual reporting. Finally, Column E totals the burden hours incurred by a source for each PSEU.</w:t>
      </w:r>
    </w:p>
    <w:p w:rsidR="00013FE4" w:rsidP="00852E9F" w14:paraId="102938C9" w14:textId="77777777">
      <w:r w:rsidRPr="00B1373A">
        <w:t>Tables 6.2a, b, and c present estimates of the burden hours expected to be incurred by PAs in carrying out the activities identified in section 4(b)(ii) in each of the 3 years covered by this ICR, respectively. The burden estimates are based on the expert knowledge of EPA</w:t>
      </w:r>
      <w:r>
        <w:t>’s</w:t>
      </w:r>
      <w:r w:rsidRPr="00B1373A">
        <w:t xml:space="preserve"> staff.</w:t>
      </w:r>
      <w:r w:rsidRPr="00013FE4">
        <w:t xml:space="preserve"> </w:t>
      </w:r>
      <w:r w:rsidRPr="00B1373A">
        <w:t>The technical labor estimates for these activities in Column A generally reflect the PA hours required to complete the activities for one PSEU. For review of CAM plans, the estimated level of effort is greater for sources “without existing monitoring” than for those “with existing monitoring” because we believe that PAs will need to apply greater scrutiny to CAM submissions from sources that must develop their entire monitoring program and documentation absent applicable monitoring requirements.</w:t>
      </w:r>
    </w:p>
    <w:p w:rsidR="00013FE4" w:rsidP="00852E9F" w14:paraId="3D83454E" w14:textId="77777777">
      <w:r w:rsidRPr="00B1373A">
        <w:t>Column B in Tables 6.2a, b, and c shows the number of occurrences of each PA activity per year. In most cases, these numbers reflect the numbers of units expected to be submitting CAM plans, renewals, QIPs or certifications each year and, thus, are based on the numbers of PSEUs carrying out the analogous activities listed in Column I of source Tables 6.1a, b, and c (as discussed below in section 6(d)). Consistent with the title V operating permit semi-annual reporting requirement, the “number of occurrences” for the PA activity “review corrective action reports” is twice the number of units that will be expected to submit such reports each year. For Tables 6.2a, b, and c, the management burden hours in Column D are computed at a rate of 5 percent of the total annual technical labor for each PA activity that appears in Column C.</w:t>
      </w:r>
    </w:p>
    <w:p w:rsidR="00F36284" w:rsidRPr="00C76FE7" w:rsidP="00852E9F" w14:paraId="26DDE3A8" w14:textId="158B2BCF">
      <w:r w:rsidRPr="00B1373A">
        <w:t xml:space="preserve">As noted, the estimated burden and number of occurrences for the PAs’ activities in Columns A and B of Tables 6.2a, b, and c are generally based on individual PSEUs. The exception is the estimates for “rule familiarization” listed under the first activity in these tables, which are presented for each PA rather than each PSEU. Because the CAM program is now a mature, fully implemented program, the PAs are generally familiar with the CAM Rule. Accordingly, we have assumed that the technical labor burden (Column A) for each PA is limited to 12 hours for new staff to familiarize themselves with the rule. Column B reflects the number of PAs (117) rather than the number of PSEUs. </w:t>
      </w:r>
    </w:p>
    <w:p w:rsidR="00F36284" w:rsidP="00F36284" w14:paraId="297371E2" w14:textId="3DD1D0D2">
      <w:pPr>
        <w:ind w:left="360"/>
        <w:rPr>
          <w:b/>
        </w:rPr>
      </w:pPr>
      <w:r>
        <w:rPr>
          <w:b/>
        </w:rPr>
        <w:t>Estimating Respondent Cost</w:t>
      </w:r>
    </w:p>
    <w:p w:rsidR="00C76FE7" w:rsidRPr="00C76FE7" w:rsidP="00852E9F" w14:paraId="1C056DB7" w14:textId="0B9B5C2E">
      <w:bookmarkStart w:id="28" w:name="_Toc138175137"/>
      <w:bookmarkStart w:id="29" w:name="q13"/>
      <w:r w:rsidRPr="00C76FE7">
        <w:t>Tables 6.1a, b, and c show the sources’ per-PSEU annual labor costs associated with each activity for each year covered by this ICR. This annual labor cost appears in Column F of each table.</w:t>
      </w:r>
    </w:p>
    <w:p w:rsidR="00C76FE7" w:rsidRPr="00C76FE7" w:rsidP="00852E9F" w14:paraId="4184E767" w14:textId="77777777">
      <w:r w:rsidRPr="00C76FE7">
        <w:t xml:space="preserve">This ICR uses the following labor rates: </w:t>
      </w:r>
    </w:p>
    <w:p w:rsidR="00C76FE7" w:rsidRPr="00C76FE7" w:rsidP="00C76FE7" w14:paraId="0DA4F5D8" w14:textId="77777777">
      <w:pPr>
        <w:ind w:left="360" w:firstLine="360"/>
      </w:pPr>
      <w:r w:rsidRPr="00C76FE7">
        <w:t>Managerial</w:t>
      </w:r>
      <w:r w:rsidRPr="00C76FE7">
        <w:tab/>
        <w:t>$163.17 ($77.70 + 110%)</w:t>
      </w:r>
    </w:p>
    <w:p w:rsidR="00C76FE7" w:rsidRPr="00C76FE7" w:rsidP="00C76FE7" w14:paraId="0C782288" w14:textId="77777777">
      <w:pPr>
        <w:ind w:left="360" w:firstLine="360"/>
      </w:pPr>
      <w:r w:rsidRPr="00C76FE7">
        <w:t>Technical</w:t>
      </w:r>
      <w:r w:rsidRPr="00C76FE7">
        <w:tab/>
        <w:t>$130.28 ($62.04 + 110%)</w:t>
      </w:r>
    </w:p>
    <w:p w:rsidR="00C76FE7" w:rsidRPr="00C76FE7" w:rsidP="00C76FE7" w14:paraId="77D184AF" w14:textId="0DDDE878">
      <w:pPr>
        <w:ind w:left="360" w:firstLine="360"/>
      </w:pPr>
      <w:r w:rsidRPr="00C76FE7">
        <w:t>Clerical</w:t>
      </w:r>
      <w:r w:rsidRPr="00C76FE7">
        <w:tab/>
      </w:r>
      <w:r>
        <w:tab/>
      </w:r>
      <w:r w:rsidRPr="00C76FE7">
        <w:t>$65.71 ($31.29 + 110%)</w:t>
      </w:r>
    </w:p>
    <w:p w:rsidR="00C76FE7" w:rsidRPr="00C76FE7" w:rsidP="00852E9F" w14:paraId="06C9D495" w14:textId="77777777">
      <w:r w:rsidRPr="00C76FE7">
        <w:t xml:space="preserve">These rates are from the United States Department of Labor, Bureau of Labor Statistics, September 2022, “Table 2. Civilian workers by occupational and industry group.” The rates are from column 1, “Total compensation.” </w:t>
      </w:r>
      <w:r w:rsidRP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C76FE7">
        <w:t>.</w:t>
      </w:r>
    </w:p>
    <w:p w:rsidR="00C76FE7" w:rsidRPr="00C76FE7" w:rsidP="00852E9F" w14:paraId="2A47FD7A" w14:textId="77777777">
      <w:r w:rsidRPr="00C76FE7">
        <w:t>For each source activity, Column F in Tables 6.1a through 6.1c displays the total labor cost per year assumed necessary to complete each required activity. For each activity, the appropriate wage rate is multiplied by the number of labor hours in that category from Columns A, B, and C, the three values are added together, and then that cost is multiplied by the number of annual occurrences from Column D.</w:t>
      </w:r>
    </w:p>
    <w:p w:rsidR="00C76FE7" w:rsidRPr="00C76FE7" w:rsidP="00852E9F" w14:paraId="2BFFC0A2" w14:textId="77777777">
      <w:r w:rsidRPr="00C76FE7">
        <w:t>Tables 6.2a, b, and c show the costs for state and local agency PAs for all activities. The methodology used to derive the state and local costs parallel the procedures used in the original CAM RIA and the previous ICRs. The hourly wage rates for both state and local personnel are derived from the rates paid to Federal workers who carry out such activities.</w:t>
      </w:r>
    </w:p>
    <w:p w:rsidR="004A3D11" w:rsidRPr="00852E9F" w:rsidP="00852E9F" w14:paraId="0E305035" w14:textId="59793D78">
      <w:r w:rsidRPr="00C76FE7">
        <w:t>For technical labor, the hourly wage rate is based on 2023 wages at a pay grade of GS-12, Step 1 ($54.51); managerial labor is based on a pay grade of GS-13, Step 5 ($73.46). These rates are from the Office of Personnel Management (OPM), 2023 General Schedule, which excludes locality and rates of pay. The rates have been increased by 60 percent to account for the benefit packages available to Federal government employees.</w:t>
      </w:r>
    </w:p>
    <w:p w:rsidR="004252C1" w:rsidRPr="00BB362A" w:rsidP="0039497E" w14:paraId="6FFBDEDB" w14:textId="3687AE23">
      <w:pPr>
        <w:pStyle w:val="Heading2"/>
        <w:numPr>
          <w:ilvl w:val="0"/>
          <w:numId w:val="6"/>
        </w:numPr>
        <w:ind w:left="540" w:hanging="544"/>
        <w:rPr>
          <w:rFonts w:asciiTheme="minorHAnsi" w:hAnsiTheme="minorHAnsi" w:cstheme="minorHAnsi"/>
          <w:caps/>
          <w:color w:val="2F5496" w:themeColor="accent1" w:themeShade="BF"/>
        </w:rPr>
      </w:pPr>
      <w:r w:rsidRPr="00BB362A">
        <w:rPr>
          <w:rFonts w:asciiTheme="minorHAnsi" w:hAnsiTheme="minorHAnsi" w:cstheme="minorHAnsi"/>
          <w:caps/>
          <w:color w:val="2F5496" w:themeColor="accent1" w:themeShade="BF"/>
        </w:rPr>
        <w:t>Respondent Annual Cost (Non-Labor)</w:t>
      </w:r>
      <w:bookmarkEnd w:id="28"/>
      <w:r w:rsidRPr="00BB362A">
        <w:rPr>
          <w:rFonts w:asciiTheme="minorHAnsi" w:hAnsiTheme="minorHAnsi" w:cstheme="minorHAnsi"/>
          <w:caps/>
          <w:color w:val="2F5496" w:themeColor="accent1" w:themeShade="BF"/>
        </w:rPr>
        <w:t xml:space="preserve"> </w:t>
      </w:r>
    </w:p>
    <w:p w:rsidR="00852E9F" w:rsidP="00852E9F" w14:paraId="0ABA3DA7" w14:textId="77777777">
      <w:pPr>
        <w:rPr>
          <w:b/>
          <w:bCs/>
        </w:rPr>
      </w:pPr>
      <w:bookmarkStart w:id="30" w:name="_Toc138175138"/>
      <w:bookmarkStart w:id="31" w:name="q14"/>
      <w:bookmarkEnd w:id="29"/>
    </w:p>
    <w:p w:rsidR="00C76FE7" w:rsidRPr="00A87229" w:rsidP="00852E9F" w14:paraId="16D1E480" w14:textId="7C76C39D">
      <w:r w:rsidRPr="00C76FE7">
        <w:t>Tables 6.1a, b, and c and Tables 6.2a, b, and c show the capital and operations and maintenance (O&amp;M) costs as zero for all activities over the next 3 years. As explained above, the only capital costs to be included in an ICR are those for any new capital equipment the source or PA may have to purchase solely for information collection, assimilation, and storage purposes. However, EPA assumes that any such equipment needed by sources to comply with Part 64 would be purchased as part of a monitoring equipment purchase and could not be separately estimated. Therefore, O&amp;M costs for operating such capital equipment also could not be separately estimated. Other possible O&amp;M costs associated with reporting and recordkeeping include such things as postage fees for submitting reports. However, Part 64 does not require any new reports to be submitted; rather, it provides that information related to CAM be included in reports otherwise required under the title V program codified at 40 CFR Part 70. Therefore, postage costs for these reports are attributable to Part 70 and not to Part 64.</w:t>
      </w:r>
      <w:r w:rsidR="00852E9F">
        <w:t xml:space="preserve"> </w:t>
      </w:r>
      <w:r w:rsidRPr="00A87229">
        <w:t>EPA estimates that there will be no capital/start-up costs or O&amp;M costs attributable to the CAM Rule for sources or PAs.</w:t>
      </w:r>
    </w:p>
    <w:p w:rsidR="00E207CD" w:rsidP="000B6577" w14:paraId="693D3C31" w14:textId="77777777">
      <w:pPr>
        <w:pStyle w:val="Heading2"/>
        <w:ind w:left="-4"/>
        <w:rPr>
          <w:rFonts w:asciiTheme="minorHAnsi" w:hAnsiTheme="minorHAnsi" w:cstheme="minorHAnsi"/>
          <w:color w:val="2F5496" w:themeColor="accent1" w:themeShade="BF"/>
        </w:rPr>
      </w:pPr>
    </w:p>
    <w:p w:rsidR="004252C1" w:rsidRPr="00BB362A" w:rsidP="0039497E" w14:paraId="719F6327" w14:textId="75C6DDF0">
      <w:pPr>
        <w:pStyle w:val="Heading2"/>
        <w:numPr>
          <w:ilvl w:val="0"/>
          <w:numId w:val="6"/>
        </w:numPr>
        <w:ind w:left="540" w:hanging="544"/>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AGENCY BUR</w:t>
      </w:r>
      <w:r w:rsidRPr="00BB362A" w:rsidR="00F43533">
        <w:rPr>
          <w:rFonts w:asciiTheme="minorHAnsi" w:hAnsiTheme="minorHAnsi" w:cstheme="minorHAnsi"/>
          <w:color w:val="2F5496" w:themeColor="accent1" w:themeShade="BF"/>
        </w:rPr>
        <w:t>DEN ESTIMATES</w:t>
      </w:r>
      <w:bookmarkEnd w:id="30"/>
    </w:p>
    <w:bookmarkEnd w:id="31"/>
    <w:p w:rsidR="00074E51" w:rsidRPr="00BB362A" w:rsidP="006F3852" w14:paraId="6067B290" w14:textId="77777777">
      <w:pPr>
        <w:spacing w:after="0" w:line="240" w:lineRule="auto"/>
        <w:rPr>
          <w:rFonts w:cstheme="minorHAnsi"/>
          <w:bCs/>
          <w:color w:val="2F5496" w:themeColor="accent1" w:themeShade="BF"/>
        </w:rPr>
      </w:pPr>
    </w:p>
    <w:p w:rsidR="00C76FE7" w:rsidRPr="00C76FE7" w:rsidP="00852E9F" w14:paraId="22002FD9" w14:textId="77777777">
      <w:bookmarkStart w:id="32" w:name="_Toc138175139"/>
      <w:bookmarkStart w:id="33" w:name="q15"/>
      <w:r w:rsidRPr="00C76FE7">
        <w:t xml:space="preserve">Table 6.3 shows the burden and costs for EPA. Based on input from the EPA regional offices, we assume that each regional office devotes a total of approximately 0.1 of a “full-time equivalent” to CAM each year, or about 200 hours per regional office per year. Across the 10 EPA regional offices, this totals 2,000 hours per year. We assume that the majority of this time (about 1,880 hours) is spent reviewing CAM plans; the remaining time (about 120 hours) is allocated to rule familiarization for new staff. </w:t>
      </w:r>
    </w:p>
    <w:p w:rsidR="00C76FE7" w:rsidRPr="00C76FE7" w:rsidP="00852E9F" w14:paraId="19236B0D" w14:textId="77777777">
      <w:r w:rsidRPr="00C76FE7">
        <w:t>We assume that 5 percent of the EPA’s total labor associated with the CAM Rule is managerial labor and the remaining 95 percent is technical labor. The cost of this effort is calculated using the same loaded labor rates discussed above for PAs. Based on these assumptions, the total estimated cost to the EPA is about $111,000 per year for each of the 3 years covered by this ICR.</w:t>
      </w:r>
    </w:p>
    <w:p w:rsidR="004252C1" w:rsidRPr="00BB362A" w:rsidP="0039497E" w14:paraId="24132212" w14:textId="1610D371">
      <w:pPr>
        <w:pStyle w:val="Heading2"/>
        <w:numPr>
          <w:ilvl w:val="0"/>
          <w:numId w:val="4"/>
        </w:numPr>
        <w:ind w:left="36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CHANGE IN BURDEN</w:t>
      </w:r>
      <w:bookmarkEnd w:id="32"/>
    </w:p>
    <w:p w:rsidR="00AD46F7" w:rsidRPr="00BB362A" w:rsidP="00AD46F7" w14:paraId="1FEF9170" w14:textId="77777777">
      <w:pPr>
        <w:spacing w:after="0"/>
        <w:rPr>
          <w:rFonts w:cstheme="minorHAnsi"/>
        </w:rPr>
      </w:pPr>
    </w:p>
    <w:p w:rsidR="00C76FE7" w:rsidRPr="00771777" w:rsidP="00852E9F" w14:paraId="1A10B27A" w14:textId="77777777">
      <w:pPr>
        <w:pBdr>
          <w:top w:val="single" w:sz="6" w:space="0" w:color="FFFFFF"/>
          <w:left w:val="single" w:sz="6" w:space="0" w:color="FFFFFF"/>
          <w:bottom w:val="single" w:sz="6" w:space="0" w:color="FFFFFF"/>
          <w:right w:val="single" w:sz="6" w:space="0" w:color="FFFFFF"/>
        </w:pBdr>
      </w:pPr>
      <w:bookmarkStart w:id="34" w:name="_Toc138175140"/>
      <w:bookmarkStart w:id="35" w:name="q16"/>
      <w:bookmarkEnd w:id="33"/>
      <w:r w:rsidRPr="00771777">
        <w:t>There is an overall decrease of 1,080 hours in the total estimated respondent burden compared with the ICR currently approved by OMB. This decrease is due to a correction of mathematical errors found in the previous ICR renewal. While, the total estimated annual burden decreased, the total annual cost increased due to updated labor rates from the currently approved ICR.</w:t>
      </w:r>
    </w:p>
    <w:p w:rsidR="00C76FE7" w:rsidRPr="00771777" w:rsidP="00852E9F" w14:paraId="29BDF78E" w14:textId="77777777">
      <w:pPr>
        <w:pBdr>
          <w:top w:val="single" w:sz="6" w:space="0" w:color="FFFFFF"/>
          <w:left w:val="single" w:sz="6" w:space="0" w:color="FFFFFF"/>
          <w:bottom w:val="single" w:sz="6" w:space="0" w:color="FFFFFF"/>
          <w:right w:val="single" w:sz="6" w:space="0" w:color="FFFFFF"/>
        </w:pBdr>
      </w:pPr>
      <w:r w:rsidRPr="00771777">
        <w:t>The CAM program was designed to ensure monitoring provisions associated with the prevention of significant deterioration (PSD) program were included in the Title V permits and updated as necessary. The owners or operators were required to develop monitoring plans for sources with active control devices. The agency envisioned that, over time, all the title V permits would be issued and would require CAM rule requirements. Current burden reduction for the CAM rule is based on complete issuance of title V permits, meaning no additional sources with active control devices need CAM plans; only ongoing, not new, CAM is needed. Since there are no new CAM plans, only review of existing CAM plans, the renewal review hours drop. No changes to the CAM rule keep costs the same (i.e. no increase in burden). Moreover, familiarity with existing CAM plan requirements should reduce source and regulatory review burden.</w:t>
      </w:r>
    </w:p>
    <w:p w:rsidR="00D62C7F" w:rsidP="00D62C7F" w14:paraId="524F16D1" w14:textId="77777777">
      <w:pPr>
        <w:pStyle w:val="Heading2"/>
        <w:ind w:left="540"/>
        <w:rPr>
          <w:rFonts w:asciiTheme="minorHAnsi" w:hAnsiTheme="minorHAnsi" w:cstheme="minorHAnsi"/>
          <w:color w:val="2F5496" w:themeColor="accent1" w:themeShade="BF"/>
        </w:rPr>
      </w:pPr>
    </w:p>
    <w:p w:rsidR="004252C1" w:rsidRPr="00BB362A" w:rsidP="0039497E" w14:paraId="07E7EA74" w14:textId="26D84801">
      <w:pPr>
        <w:pStyle w:val="Heading2"/>
        <w:numPr>
          <w:ilvl w:val="0"/>
          <w:numId w:val="3"/>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PUBLICATION OF DATA</w:t>
      </w:r>
      <w:bookmarkEnd w:id="34"/>
    </w:p>
    <w:p w:rsidR="00AD46F7" w:rsidRPr="00BB362A" w:rsidP="00AD46F7" w14:paraId="60C2372F" w14:textId="77777777">
      <w:pPr>
        <w:spacing w:after="0"/>
        <w:rPr>
          <w:rFonts w:cstheme="minorHAnsi"/>
        </w:rPr>
      </w:pPr>
    </w:p>
    <w:bookmarkEnd w:id="35"/>
    <w:p w:rsidR="00D62C7F" w:rsidRPr="00852E9F" w:rsidP="00852E9F" w14:paraId="708732A2" w14:textId="6351F54C">
      <w:r>
        <w:t xml:space="preserve">Collections results are not published. </w:t>
      </w:r>
      <w:bookmarkStart w:id="36" w:name="_Toc138175141"/>
      <w:bookmarkStart w:id="37" w:name="q17"/>
    </w:p>
    <w:p w:rsidR="004252C1" w:rsidRPr="00BB362A" w:rsidP="0039497E" w14:paraId="31E9FD86" w14:textId="37130A84">
      <w:pPr>
        <w:pStyle w:val="Heading2"/>
        <w:numPr>
          <w:ilvl w:val="0"/>
          <w:numId w:val="2"/>
        </w:numPr>
        <w:ind w:left="360"/>
        <w:rPr>
          <w:rFonts w:asciiTheme="minorHAnsi" w:hAnsiTheme="minorHAnsi" w:cstheme="minorHAnsi"/>
          <w:color w:val="2F5496" w:themeColor="accent1" w:themeShade="BF"/>
        </w:rPr>
      </w:pPr>
      <w:r>
        <w:rPr>
          <w:rFonts w:asciiTheme="minorHAnsi" w:hAnsiTheme="minorHAnsi" w:cstheme="minorHAnsi"/>
          <w:color w:val="2F5496" w:themeColor="accent1" w:themeShade="BF"/>
        </w:rPr>
        <w:t xml:space="preserve"> </w:t>
      </w:r>
      <w:r w:rsidRPr="00BB362A" w:rsidR="002648CF">
        <w:rPr>
          <w:rFonts w:asciiTheme="minorHAnsi" w:hAnsiTheme="minorHAnsi" w:cstheme="minorHAnsi"/>
          <w:color w:val="2F5496" w:themeColor="accent1" w:themeShade="BF"/>
        </w:rPr>
        <w:t xml:space="preserve">DISPLAY </w:t>
      </w:r>
      <w:r w:rsidRPr="00BB362A" w:rsidR="00644EBE">
        <w:rPr>
          <w:rFonts w:asciiTheme="minorHAnsi" w:hAnsiTheme="minorHAnsi" w:cstheme="minorHAnsi"/>
          <w:color w:val="2F5496" w:themeColor="accent1" w:themeShade="BF"/>
        </w:rPr>
        <w:t xml:space="preserve">OF </w:t>
      </w:r>
      <w:r w:rsidRPr="00BB362A" w:rsidR="000D5863">
        <w:rPr>
          <w:rFonts w:asciiTheme="minorHAnsi" w:hAnsiTheme="minorHAnsi" w:cstheme="minorHAnsi"/>
          <w:color w:val="2F5496" w:themeColor="accent1" w:themeShade="BF"/>
        </w:rPr>
        <w:t>OMB CONTROL NUMBER AND EXPIRATION DATE</w:t>
      </w:r>
      <w:r w:rsidRPr="00BB362A" w:rsidR="00644EBE">
        <w:rPr>
          <w:rFonts w:asciiTheme="minorHAnsi" w:hAnsiTheme="minorHAnsi" w:cstheme="minorHAnsi"/>
          <w:color w:val="2F5496" w:themeColor="accent1" w:themeShade="BF"/>
        </w:rPr>
        <w:t xml:space="preserve"> ON INSTRUMENTS</w:t>
      </w:r>
      <w:bookmarkEnd w:id="36"/>
      <w:r w:rsidRPr="00BB362A" w:rsidR="00644EBE">
        <w:rPr>
          <w:rFonts w:asciiTheme="minorHAnsi" w:hAnsiTheme="minorHAnsi" w:cstheme="minorHAnsi"/>
          <w:color w:val="2F5496" w:themeColor="accent1" w:themeShade="BF"/>
        </w:rPr>
        <w:t xml:space="preserve"> </w:t>
      </w:r>
    </w:p>
    <w:bookmarkEnd w:id="37"/>
    <w:p w:rsidR="00852E9F" w:rsidP="00852E9F" w14:paraId="3CE39B20" w14:textId="77777777">
      <w:pPr>
        <w:rPr>
          <w:rFonts w:cstheme="minorHAnsi"/>
          <w:i/>
          <w:iCs/>
          <w:color w:val="2F5496" w:themeColor="accent1" w:themeShade="BF"/>
        </w:rPr>
      </w:pPr>
    </w:p>
    <w:p w:rsidR="00CE5752" w:rsidRPr="00306E78" w:rsidP="00852E9F" w14:paraId="57B367AD" w14:textId="5E92B2D6">
      <w:r w:rsidRPr="00306E78">
        <w:t>The agency plans to display the expiration date for OMB approval of the information collection on all instruments.</w:t>
      </w:r>
    </w:p>
    <w:p w:rsidR="004252C1" w:rsidRPr="00BB362A" w:rsidP="0039497E" w14:paraId="264608CE" w14:textId="04E768CA">
      <w:pPr>
        <w:pStyle w:val="Heading2"/>
        <w:numPr>
          <w:ilvl w:val="0"/>
          <w:numId w:val="2"/>
        </w:numPr>
        <w:rPr>
          <w:rFonts w:asciiTheme="minorHAnsi" w:hAnsiTheme="minorHAnsi" w:cstheme="minorHAnsi"/>
          <w:color w:val="2F5496" w:themeColor="accent1" w:themeShade="BF"/>
        </w:rPr>
      </w:pPr>
      <w:bookmarkStart w:id="38" w:name="_Toc138175142"/>
      <w:bookmarkStart w:id="39" w:name="q18"/>
      <w:r w:rsidRPr="00BB362A">
        <w:rPr>
          <w:rFonts w:asciiTheme="minorHAnsi" w:hAnsiTheme="minorHAnsi" w:cstheme="minorHAnsi"/>
          <w:color w:val="2F5496" w:themeColor="accent1" w:themeShade="BF"/>
        </w:rPr>
        <w:t>CERTIFICATION STATEMENT</w:t>
      </w:r>
      <w:bookmarkEnd w:id="38"/>
    </w:p>
    <w:p w:rsidR="00F2554C" w:rsidRPr="00BB362A" w:rsidP="00F2554C" w14:paraId="33D46A64" w14:textId="77777777">
      <w:pPr>
        <w:spacing w:after="0"/>
        <w:rPr>
          <w:rFonts w:cstheme="minorHAnsi"/>
        </w:rPr>
      </w:pPr>
    </w:p>
    <w:bookmarkEnd w:id="39"/>
    <w:p w:rsidR="00506171" w:rsidP="00852E9F" w14:paraId="45440883" w14:textId="29BF77BF">
      <w:r w:rsidRPr="00306E78">
        <w:t>Th</w:t>
      </w:r>
      <w:r w:rsidRPr="00306E78" w:rsidR="00BB7FF2">
        <w:t xml:space="preserve">is information collection complies </w:t>
      </w:r>
      <w:r w:rsidRPr="00306E78">
        <w:t>with all provisions of the Certification for Paperwork Reduction Act Submissions.</w:t>
      </w:r>
    </w:p>
    <w:p w:rsidR="0039497E" w14:paraId="6E3ED284" w14:textId="7B1F0C9C">
      <w:r>
        <w:br w:type="page"/>
      </w:r>
    </w:p>
    <w:p w:rsidR="0039497E" w:rsidP="00D27218" w14:paraId="0A37549D" w14:textId="77777777">
      <w:pPr>
        <w:ind w:firstLine="360"/>
        <w:rPr>
          <w:rFonts w:cstheme="minorHAnsi"/>
          <w:i/>
          <w:iCs/>
        </w:rPr>
        <w:sectPr>
          <w:pgSz w:w="12240" w:h="15840"/>
          <w:pgMar w:top="1440" w:right="1440" w:bottom="1440" w:left="1440" w:header="720" w:footer="720" w:gutter="0"/>
          <w:cols w:space="720"/>
          <w:docGrid w:linePitch="360"/>
        </w:sectPr>
      </w:pPr>
    </w:p>
    <w:p w:rsidR="0039497E" w:rsidP="0039497E" w14:paraId="15C525D0" w14:textId="77777777">
      <w:pPr>
        <w:rPr>
          <w:b/>
          <w:bCs/>
        </w:rPr>
      </w:pPr>
      <w:r w:rsidRPr="002D57B3">
        <w:rPr>
          <w:b/>
          <w:bCs/>
        </w:rPr>
        <w:t>Table 6.1</w:t>
      </w:r>
      <w:r>
        <w:rPr>
          <w:b/>
          <w:bCs/>
        </w:rPr>
        <w:t>a</w:t>
      </w:r>
      <w:r w:rsidRPr="002D57B3">
        <w:rPr>
          <w:b/>
          <w:bCs/>
        </w:rPr>
        <w:t>: Total Source Burden and Labor Costs for All "Large" and "Other" Sources - All Pollutants, 202</w:t>
      </w:r>
      <w:r>
        <w:rPr>
          <w:b/>
          <w:bCs/>
        </w:rPr>
        <w:t>3</w:t>
      </w:r>
      <w:r w:rsidRPr="002D57B3">
        <w:rPr>
          <w:b/>
          <w:bCs/>
        </w:rPr>
        <w:t>-2</w:t>
      </w:r>
      <w:r>
        <w:rPr>
          <w:b/>
          <w:bCs/>
        </w:rPr>
        <w:t>4</w:t>
      </w:r>
    </w:p>
    <w:tbl>
      <w:tblPr>
        <w:tblW w:w="5000" w:type="pct"/>
        <w:tblLook w:val="04A0"/>
      </w:tblPr>
      <w:tblGrid>
        <w:gridCol w:w="2387"/>
        <w:gridCol w:w="1199"/>
        <w:gridCol w:w="1199"/>
        <w:gridCol w:w="1395"/>
        <w:gridCol w:w="1282"/>
        <w:gridCol w:w="1279"/>
        <w:gridCol w:w="1097"/>
        <w:gridCol w:w="1318"/>
        <w:gridCol w:w="1188"/>
        <w:gridCol w:w="1470"/>
      </w:tblGrid>
      <w:tr w14:paraId="0D697044" w14:textId="77777777" w:rsidTr="0039497E">
        <w:tblPrEx>
          <w:tblW w:w="5000" w:type="pct"/>
          <w:tblLook w:val="04A0"/>
        </w:tblPrEx>
        <w:trPr>
          <w:trHeight w:val="288"/>
        </w:trPr>
        <w:tc>
          <w:tcPr>
            <w:tcW w:w="86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497E" w:rsidRPr="00C31E3F" w:rsidP="000C08CC" w14:paraId="3B8CA8CE" w14:textId="77777777">
            <w:pPr>
              <w:jc w:val="center"/>
              <w:rPr>
                <w:color w:val="000000"/>
                <w:sz w:val="20"/>
                <w:szCs w:val="20"/>
              </w:rPr>
            </w:pPr>
            <w:r w:rsidRPr="00C31E3F">
              <w:rPr>
                <w:color w:val="000000"/>
                <w:sz w:val="20"/>
                <w:szCs w:val="20"/>
              </w:rPr>
              <w:t xml:space="preserve">Burden Item </w:t>
            </w:r>
            <w:r w:rsidRPr="00C31E3F">
              <w:rPr>
                <w:color w:val="000000"/>
                <w:sz w:val="20"/>
                <w:szCs w:val="20"/>
                <w:vertAlign w:val="superscript"/>
              </w:rPr>
              <w:t>c</w:t>
            </w:r>
          </w:p>
        </w:tc>
        <w:tc>
          <w:tcPr>
            <w:tcW w:w="2697" w:type="pct"/>
            <w:gridSpan w:val="6"/>
            <w:tcBorders>
              <w:top w:val="single" w:sz="4" w:space="0" w:color="auto"/>
              <w:left w:val="nil"/>
              <w:bottom w:val="single" w:sz="4" w:space="0" w:color="auto"/>
              <w:right w:val="single" w:sz="4" w:space="0" w:color="000000"/>
            </w:tcBorders>
            <w:shd w:val="clear" w:color="auto" w:fill="auto"/>
            <w:noWrap/>
            <w:vAlign w:val="bottom"/>
            <w:hideMark/>
          </w:tcPr>
          <w:p w:rsidR="0039497E" w:rsidRPr="00C31E3F" w:rsidP="000C08CC" w14:paraId="1E34C912" w14:textId="77777777">
            <w:pPr>
              <w:jc w:val="center"/>
              <w:rPr>
                <w:color w:val="000000"/>
                <w:sz w:val="20"/>
                <w:szCs w:val="20"/>
              </w:rPr>
            </w:pPr>
            <w:r w:rsidRPr="00C31E3F">
              <w:rPr>
                <w:color w:val="000000"/>
                <w:sz w:val="20"/>
                <w:szCs w:val="20"/>
              </w:rPr>
              <w:t xml:space="preserve">Hours </w:t>
            </w:r>
            <w:r w:rsidRPr="00C31E3F">
              <w:rPr>
                <w:color w:val="000000"/>
                <w:sz w:val="20"/>
                <w:szCs w:val="20"/>
                <w:vertAlign w:val="superscript"/>
              </w:rPr>
              <w:t>a</w:t>
            </w:r>
            <w:r w:rsidRPr="00C31E3F">
              <w:rPr>
                <w:color w:val="000000"/>
                <w:sz w:val="20"/>
                <w:szCs w:val="20"/>
              </w:rPr>
              <w:t xml:space="preserve"> and Costs </w:t>
            </w:r>
            <w:r w:rsidRPr="00C31E3F">
              <w:rPr>
                <w:color w:val="000000"/>
                <w:sz w:val="20"/>
                <w:szCs w:val="20"/>
                <w:vertAlign w:val="superscript"/>
              </w:rPr>
              <w:t>b</w:t>
            </w:r>
            <w:r w:rsidRPr="00C31E3F">
              <w:rPr>
                <w:color w:val="000000"/>
                <w:sz w:val="20"/>
                <w:szCs w:val="20"/>
              </w:rPr>
              <w:t xml:space="preserve"> Per Respondents</w:t>
            </w:r>
          </w:p>
        </w:tc>
        <w:tc>
          <w:tcPr>
            <w:tcW w:w="476"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6A127008" w14:textId="77777777">
            <w:pPr>
              <w:rPr>
                <w:sz w:val="20"/>
                <w:szCs w:val="20"/>
              </w:rPr>
            </w:pPr>
            <w:r w:rsidRPr="00C31E3F">
              <w:rPr>
                <w:sz w:val="20"/>
                <w:szCs w:val="20"/>
              </w:rPr>
              <w:t> </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6060E175" w14:textId="77777777">
            <w:pPr>
              <w:jc w:val="right"/>
              <w:rPr>
                <w:color w:val="000000"/>
                <w:sz w:val="20"/>
                <w:szCs w:val="20"/>
              </w:rPr>
            </w:pPr>
            <w:r w:rsidRPr="00C31E3F">
              <w:rPr>
                <w:color w:val="000000"/>
                <w:sz w:val="20"/>
                <w:szCs w:val="20"/>
              </w:rPr>
              <w:t> </w:t>
            </w:r>
          </w:p>
        </w:tc>
        <w:tc>
          <w:tcPr>
            <w:tcW w:w="533"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7FB63DAF" w14:textId="77777777">
            <w:pPr>
              <w:jc w:val="right"/>
              <w:rPr>
                <w:color w:val="000000"/>
                <w:sz w:val="20"/>
                <w:szCs w:val="20"/>
              </w:rPr>
            </w:pPr>
            <w:r w:rsidRPr="00C31E3F">
              <w:rPr>
                <w:color w:val="000000"/>
                <w:sz w:val="20"/>
                <w:szCs w:val="20"/>
              </w:rPr>
              <w:t> </w:t>
            </w:r>
          </w:p>
        </w:tc>
      </w:tr>
      <w:tr w14:paraId="1739F53B" w14:textId="77777777" w:rsidTr="0039497E">
        <w:tblPrEx>
          <w:tblW w:w="5000" w:type="pct"/>
          <w:tblLook w:val="04A0"/>
        </w:tblPrEx>
        <w:trPr>
          <w:trHeight w:val="1584"/>
        </w:trPr>
        <w:tc>
          <w:tcPr>
            <w:tcW w:w="864" w:type="pct"/>
            <w:vMerge/>
            <w:tcBorders>
              <w:top w:val="single" w:sz="4" w:space="0" w:color="auto"/>
              <w:left w:val="single" w:sz="4" w:space="0" w:color="auto"/>
              <w:bottom w:val="single" w:sz="4" w:space="0" w:color="000000"/>
              <w:right w:val="single" w:sz="4" w:space="0" w:color="auto"/>
            </w:tcBorders>
            <w:vAlign w:val="center"/>
            <w:hideMark/>
          </w:tcPr>
          <w:p w:rsidR="0039497E" w:rsidRPr="00C31E3F" w:rsidP="000C08CC" w14:paraId="2104A6C3" w14:textId="77777777">
            <w:pPr>
              <w:rPr>
                <w:color w:val="000000"/>
                <w:sz w:val="20"/>
                <w:szCs w:val="20"/>
              </w:rPr>
            </w:pPr>
          </w:p>
        </w:tc>
        <w:tc>
          <w:tcPr>
            <w:tcW w:w="434" w:type="pct"/>
            <w:tcBorders>
              <w:top w:val="nil"/>
              <w:left w:val="nil"/>
              <w:bottom w:val="single" w:sz="4" w:space="0" w:color="auto"/>
              <w:right w:val="single" w:sz="4" w:space="0" w:color="auto"/>
            </w:tcBorders>
            <w:shd w:val="clear" w:color="auto" w:fill="auto"/>
            <w:hideMark/>
          </w:tcPr>
          <w:p w:rsidR="0039497E" w:rsidRPr="00C31E3F" w:rsidP="000C08CC" w14:paraId="4A7E5A4F" w14:textId="77777777">
            <w:pPr>
              <w:jc w:val="center"/>
              <w:rPr>
                <w:color w:val="000000"/>
                <w:sz w:val="20"/>
                <w:szCs w:val="20"/>
              </w:rPr>
            </w:pPr>
            <w:r w:rsidRPr="00C31E3F">
              <w:rPr>
                <w:color w:val="000000"/>
                <w:sz w:val="20"/>
                <w:szCs w:val="20"/>
              </w:rPr>
              <w:t>(A)</w:t>
            </w:r>
            <w:r w:rsidRPr="00C31E3F">
              <w:rPr>
                <w:color w:val="000000"/>
                <w:sz w:val="20"/>
                <w:szCs w:val="20"/>
              </w:rPr>
              <w:br/>
              <w:t>Clerical hours per occurrence</w:t>
            </w:r>
          </w:p>
        </w:tc>
        <w:tc>
          <w:tcPr>
            <w:tcW w:w="434" w:type="pct"/>
            <w:tcBorders>
              <w:top w:val="nil"/>
              <w:left w:val="nil"/>
              <w:bottom w:val="single" w:sz="4" w:space="0" w:color="auto"/>
              <w:right w:val="single" w:sz="4" w:space="0" w:color="auto"/>
            </w:tcBorders>
            <w:shd w:val="clear" w:color="auto" w:fill="auto"/>
            <w:hideMark/>
          </w:tcPr>
          <w:p w:rsidR="0039497E" w:rsidRPr="00C31E3F" w:rsidP="000C08CC" w14:paraId="6C5B6FE0" w14:textId="77777777">
            <w:pPr>
              <w:jc w:val="center"/>
              <w:rPr>
                <w:color w:val="000000"/>
                <w:sz w:val="20"/>
                <w:szCs w:val="20"/>
              </w:rPr>
            </w:pPr>
            <w:r w:rsidRPr="00C31E3F">
              <w:rPr>
                <w:color w:val="000000"/>
                <w:sz w:val="20"/>
                <w:szCs w:val="20"/>
              </w:rPr>
              <w:t>(B)</w:t>
            </w:r>
            <w:r w:rsidRPr="00C31E3F">
              <w:rPr>
                <w:color w:val="000000"/>
                <w:sz w:val="20"/>
                <w:szCs w:val="20"/>
              </w:rPr>
              <w:br/>
              <w:t>Technical hours per occurrence</w:t>
            </w:r>
          </w:p>
        </w:tc>
        <w:tc>
          <w:tcPr>
            <w:tcW w:w="505" w:type="pct"/>
            <w:tcBorders>
              <w:top w:val="nil"/>
              <w:left w:val="nil"/>
              <w:bottom w:val="single" w:sz="4" w:space="0" w:color="auto"/>
              <w:right w:val="single" w:sz="4" w:space="0" w:color="auto"/>
            </w:tcBorders>
            <w:shd w:val="clear" w:color="auto" w:fill="auto"/>
            <w:hideMark/>
          </w:tcPr>
          <w:p w:rsidR="0039497E" w:rsidRPr="00C31E3F" w:rsidP="000C08CC" w14:paraId="0ADFC2CA" w14:textId="77777777">
            <w:pPr>
              <w:jc w:val="center"/>
              <w:rPr>
                <w:color w:val="000000"/>
                <w:sz w:val="20"/>
                <w:szCs w:val="20"/>
              </w:rPr>
            </w:pPr>
            <w:r w:rsidRPr="00C31E3F">
              <w:rPr>
                <w:color w:val="000000"/>
                <w:sz w:val="20"/>
                <w:szCs w:val="20"/>
              </w:rPr>
              <w:t xml:space="preserve">(C) </w:t>
            </w:r>
            <w:r w:rsidRPr="00C31E3F">
              <w:rPr>
                <w:color w:val="000000"/>
                <w:sz w:val="20"/>
                <w:szCs w:val="20"/>
              </w:rPr>
              <w:br/>
              <w:t>Management hours per occurrence ([A+B]x0.05)</w:t>
            </w:r>
          </w:p>
        </w:tc>
        <w:tc>
          <w:tcPr>
            <w:tcW w:w="464" w:type="pct"/>
            <w:tcBorders>
              <w:top w:val="nil"/>
              <w:left w:val="nil"/>
              <w:bottom w:val="single" w:sz="4" w:space="0" w:color="auto"/>
              <w:right w:val="single" w:sz="4" w:space="0" w:color="auto"/>
            </w:tcBorders>
            <w:shd w:val="clear" w:color="auto" w:fill="auto"/>
            <w:hideMark/>
          </w:tcPr>
          <w:p w:rsidR="0039497E" w:rsidRPr="00C31E3F" w:rsidP="000C08CC" w14:paraId="45406DC3" w14:textId="77777777">
            <w:pPr>
              <w:jc w:val="center"/>
              <w:rPr>
                <w:color w:val="000000"/>
                <w:sz w:val="20"/>
                <w:szCs w:val="20"/>
              </w:rPr>
            </w:pPr>
            <w:r w:rsidRPr="00C31E3F">
              <w:rPr>
                <w:color w:val="000000"/>
                <w:sz w:val="20"/>
                <w:szCs w:val="20"/>
              </w:rPr>
              <w:t>(D)</w:t>
            </w:r>
            <w:r w:rsidRPr="00C31E3F">
              <w:rPr>
                <w:color w:val="000000"/>
                <w:sz w:val="20"/>
                <w:szCs w:val="20"/>
              </w:rPr>
              <w:br/>
              <w:t xml:space="preserve">Annual occurrences </w:t>
            </w:r>
          </w:p>
        </w:tc>
        <w:tc>
          <w:tcPr>
            <w:tcW w:w="463" w:type="pct"/>
            <w:tcBorders>
              <w:top w:val="nil"/>
              <w:left w:val="nil"/>
              <w:bottom w:val="single" w:sz="4" w:space="0" w:color="auto"/>
              <w:right w:val="single" w:sz="4" w:space="0" w:color="auto"/>
            </w:tcBorders>
            <w:shd w:val="clear" w:color="auto" w:fill="auto"/>
            <w:hideMark/>
          </w:tcPr>
          <w:p w:rsidR="0039497E" w:rsidRPr="00C31E3F" w:rsidP="000C08CC" w14:paraId="53BFBC63" w14:textId="77777777">
            <w:pPr>
              <w:jc w:val="center"/>
              <w:rPr>
                <w:color w:val="000000"/>
                <w:sz w:val="20"/>
                <w:szCs w:val="20"/>
              </w:rPr>
            </w:pPr>
            <w:r w:rsidRPr="00C31E3F">
              <w:rPr>
                <w:color w:val="000000"/>
                <w:sz w:val="20"/>
                <w:szCs w:val="20"/>
              </w:rPr>
              <w:t xml:space="preserve">(E) </w:t>
            </w:r>
            <w:r w:rsidRPr="00C31E3F">
              <w:rPr>
                <w:color w:val="000000"/>
                <w:sz w:val="20"/>
                <w:szCs w:val="20"/>
              </w:rPr>
              <w:br/>
              <w:t>Annual person hours ([A+B+C]xD)</w:t>
            </w:r>
          </w:p>
        </w:tc>
        <w:tc>
          <w:tcPr>
            <w:tcW w:w="396" w:type="pct"/>
            <w:tcBorders>
              <w:top w:val="nil"/>
              <w:left w:val="nil"/>
              <w:bottom w:val="single" w:sz="4" w:space="0" w:color="auto"/>
              <w:right w:val="single" w:sz="4" w:space="0" w:color="auto"/>
            </w:tcBorders>
            <w:shd w:val="clear" w:color="auto" w:fill="auto"/>
            <w:hideMark/>
          </w:tcPr>
          <w:p w:rsidR="0039497E" w:rsidRPr="00C31E3F" w:rsidP="000C08CC" w14:paraId="7DAB070A" w14:textId="77777777">
            <w:pPr>
              <w:jc w:val="center"/>
              <w:rPr>
                <w:color w:val="000000"/>
                <w:sz w:val="20"/>
                <w:szCs w:val="20"/>
              </w:rPr>
            </w:pPr>
            <w:r w:rsidRPr="00C31E3F">
              <w:rPr>
                <w:color w:val="000000"/>
                <w:sz w:val="20"/>
                <w:szCs w:val="20"/>
              </w:rPr>
              <w:t>(F)</w:t>
            </w:r>
            <w:r w:rsidRPr="00C31E3F">
              <w:rPr>
                <w:color w:val="000000"/>
                <w:sz w:val="20"/>
                <w:szCs w:val="20"/>
              </w:rPr>
              <w:br/>
              <w:t>Labor cost/year</w:t>
            </w:r>
          </w:p>
        </w:tc>
        <w:tc>
          <w:tcPr>
            <w:tcW w:w="476" w:type="pct"/>
            <w:tcBorders>
              <w:top w:val="nil"/>
              <w:left w:val="nil"/>
              <w:bottom w:val="single" w:sz="4" w:space="0" w:color="auto"/>
              <w:right w:val="single" w:sz="4" w:space="0" w:color="auto"/>
            </w:tcBorders>
            <w:shd w:val="clear" w:color="auto" w:fill="auto"/>
            <w:hideMark/>
          </w:tcPr>
          <w:p w:rsidR="0039497E" w:rsidRPr="00C31E3F" w:rsidP="000C08CC" w14:paraId="253A0C1C" w14:textId="77777777">
            <w:pPr>
              <w:jc w:val="center"/>
              <w:rPr>
                <w:color w:val="000000"/>
                <w:sz w:val="20"/>
                <w:szCs w:val="20"/>
              </w:rPr>
            </w:pPr>
            <w:r w:rsidRPr="00C31E3F">
              <w:rPr>
                <w:color w:val="000000"/>
                <w:sz w:val="20"/>
                <w:szCs w:val="20"/>
              </w:rPr>
              <w:t>(G)</w:t>
            </w:r>
            <w:r w:rsidRPr="00C31E3F">
              <w:rPr>
                <w:color w:val="000000"/>
                <w:sz w:val="20"/>
                <w:szCs w:val="20"/>
              </w:rPr>
              <w:br/>
              <w:t>Total number of respondents</w:t>
            </w:r>
          </w:p>
        </w:tc>
        <w:tc>
          <w:tcPr>
            <w:tcW w:w="430" w:type="pct"/>
            <w:tcBorders>
              <w:top w:val="nil"/>
              <w:left w:val="nil"/>
              <w:bottom w:val="single" w:sz="4" w:space="0" w:color="auto"/>
              <w:right w:val="single" w:sz="4" w:space="0" w:color="auto"/>
            </w:tcBorders>
            <w:shd w:val="clear" w:color="auto" w:fill="auto"/>
            <w:hideMark/>
          </w:tcPr>
          <w:p w:rsidR="0039497E" w:rsidRPr="00C31E3F" w:rsidP="000C08CC" w14:paraId="3EEF6337" w14:textId="77777777">
            <w:pPr>
              <w:jc w:val="center"/>
              <w:rPr>
                <w:color w:val="000000"/>
                <w:sz w:val="20"/>
                <w:szCs w:val="20"/>
              </w:rPr>
            </w:pPr>
            <w:r w:rsidRPr="00C31E3F">
              <w:rPr>
                <w:color w:val="000000"/>
                <w:sz w:val="20"/>
                <w:szCs w:val="20"/>
              </w:rPr>
              <w:t>(H)</w:t>
            </w:r>
            <w:r w:rsidRPr="00C31E3F">
              <w:rPr>
                <w:color w:val="000000"/>
                <w:sz w:val="20"/>
                <w:szCs w:val="20"/>
              </w:rPr>
              <w:br/>
              <w:t>Total hours/year (ExG)</w:t>
            </w:r>
          </w:p>
        </w:tc>
        <w:tc>
          <w:tcPr>
            <w:tcW w:w="533" w:type="pct"/>
            <w:tcBorders>
              <w:top w:val="nil"/>
              <w:left w:val="nil"/>
              <w:bottom w:val="single" w:sz="4" w:space="0" w:color="auto"/>
              <w:right w:val="single" w:sz="4" w:space="0" w:color="auto"/>
            </w:tcBorders>
            <w:shd w:val="clear" w:color="auto" w:fill="auto"/>
            <w:hideMark/>
          </w:tcPr>
          <w:p w:rsidR="0039497E" w:rsidRPr="00C31E3F" w:rsidP="000C08CC" w14:paraId="00BE150B" w14:textId="77777777">
            <w:pPr>
              <w:jc w:val="center"/>
              <w:rPr>
                <w:color w:val="000000"/>
                <w:sz w:val="20"/>
                <w:szCs w:val="20"/>
              </w:rPr>
            </w:pPr>
            <w:r w:rsidRPr="00C31E3F">
              <w:rPr>
                <w:color w:val="000000"/>
                <w:sz w:val="20"/>
                <w:szCs w:val="20"/>
              </w:rPr>
              <w:t>(I)</w:t>
            </w:r>
            <w:r w:rsidRPr="00C31E3F">
              <w:rPr>
                <w:color w:val="000000"/>
                <w:sz w:val="20"/>
                <w:szCs w:val="20"/>
              </w:rPr>
              <w:br/>
              <w:t>Total labor cost (FxG)</w:t>
            </w:r>
          </w:p>
        </w:tc>
      </w:tr>
      <w:tr w14:paraId="282AA712"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25818EAF" w14:textId="77777777">
            <w:pPr>
              <w:rPr>
                <w:color w:val="000000"/>
                <w:sz w:val="20"/>
                <w:szCs w:val="20"/>
              </w:rPr>
            </w:pPr>
            <w:r w:rsidRPr="00C31E3F">
              <w:rPr>
                <w:color w:val="000000"/>
                <w:sz w:val="20"/>
                <w:szCs w:val="20"/>
              </w:rPr>
              <w:t>1.</w:t>
            </w:r>
            <w:r>
              <w:rPr>
                <w:color w:val="000000"/>
                <w:sz w:val="20"/>
                <w:szCs w:val="20"/>
              </w:rPr>
              <w:t xml:space="preserve"> </w:t>
            </w:r>
            <w:r w:rsidRPr="00C31E3F">
              <w:rPr>
                <w:color w:val="000000"/>
                <w:sz w:val="20"/>
                <w:szCs w:val="20"/>
              </w:rPr>
              <w:t xml:space="preserve">Review Requirements </w:t>
            </w:r>
            <w:r w:rsidRPr="00C31E3F">
              <w:rPr>
                <w:color w:val="000000"/>
                <w:sz w:val="20"/>
                <w:szCs w:val="20"/>
                <w:vertAlign w:val="superscript"/>
              </w:rPr>
              <w:t>d</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764BA208" w14:textId="77777777">
            <w:pPr>
              <w:jc w:val="center"/>
              <w:rPr>
                <w:color w:val="000000"/>
                <w:sz w:val="20"/>
                <w:szCs w:val="20"/>
              </w:rPr>
            </w:pPr>
            <w:r w:rsidRPr="00C31E3F">
              <w:rPr>
                <w:color w:val="000000"/>
                <w:sz w:val="20"/>
                <w:szCs w:val="20"/>
              </w:rPr>
              <w:t>5</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4E93F5EB" w14:textId="77777777">
            <w:pPr>
              <w:jc w:val="center"/>
              <w:rPr>
                <w:color w:val="000000"/>
                <w:sz w:val="20"/>
                <w:szCs w:val="20"/>
              </w:rPr>
            </w:pPr>
            <w:r w:rsidRPr="00C31E3F">
              <w:rPr>
                <w:color w:val="000000"/>
                <w:sz w:val="20"/>
                <w:szCs w:val="20"/>
              </w:rPr>
              <w:t>15</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1D4E14E9" w14:textId="77777777">
            <w:pPr>
              <w:jc w:val="center"/>
              <w:rPr>
                <w:color w:val="000000"/>
                <w:sz w:val="20"/>
                <w:szCs w:val="20"/>
              </w:rPr>
            </w:pPr>
            <w:r w:rsidRPr="00C31E3F">
              <w:rPr>
                <w:color w:val="000000"/>
                <w:sz w:val="20"/>
                <w:szCs w:val="20"/>
              </w:rPr>
              <w:t>1</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5784EEA2"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21C39B57" w14:textId="77777777">
            <w:pPr>
              <w:jc w:val="center"/>
              <w:rPr>
                <w:color w:val="000000"/>
                <w:sz w:val="20"/>
                <w:szCs w:val="20"/>
              </w:rPr>
            </w:pPr>
            <w:r w:rsidRPr="00C31E3F">
              <w:rPr>
                <w:color w:val="000000"/>
                <w:sz w:val="20"/>
                <w:szCs w:val="20"/>
              </w:rPr>
              <w:t>21</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682B0DF4" w14:textId="77777777">
            <w:pPr>
              <w:jc w:val="center"/>
              <w:rPr>
                <w:color w:val="000000"/>
                <w:sz w:val="20"/>
                <w:szCs w:val="20"/>
              </w:rPr>
            </w:pPr>
            <w:r w:rsidRPr="00C31E3F">
              <w:rPr>
                <w:color w:val="000000"/>
                <w:sz w:val="20"/>
                <w:szCs w:val="20"/>
              </w:rPr>
              <w:t>$2,445.92</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56C33011" w14:textId="77777777">
            <w:pPr>
              <w:jc w:val="center"/>
              <w:rPr>
                <w:color w:val="000000"/>
                <w:sz w:val="20"/>
                <w:szCs w:val="20"/>
              </w:rPr>
            </w:pPr>
            <w:r w:rsidRPr="00C31E3F">
              <w:rPr>
                <w:color w:val="000000"/>
                <w:sz w:val="20"/>
                <w:szCs w:val="20"/>
              </w:rPr>
              <w:t>100</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1917E1A2" w14:textId="77777777">
            <w:pPr>
              <w:jc w:val="right"/>
              <w:rPr>
                <w:color w:val="000000"/>
                <w:sz w:val="20"/>
                <w:szCs w:val="20"/>
              </w:rPr>
            </w:pPr>
            <w:r w:rsidRPr="00C31E3F">
              <w:rPr>
                <w:color w:val="000000"/>
                <w:sz w:val="20"/>
                <w:szCs w:val="20"/>
              </w:rPr>
              <w:t>2100</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4437B514" w14:textId="77777777">
            <w:pPr>
              <w:jc w:val="right"/>
              <w:rPr>
                <w:color w:val="000000"/>
                <w:sz w:val="20"/>
                <w:szCs w:val="20"/>
              </w:rPr>
            </w:pPr>
            <w:r w:rsidRPr="00C31E3F">
              <w:rPr>
                <w:color w:val="000000"/>
                <w:sz w:val="20"/>
                <w:szCs w:val="20"/>
              </w:rPr>
              <w:t>$244,592.00</w:t>
            </w:r>
          </w:p>
        </w:tc>
      </w:tr>
      <w:tr w14:paraId="7B3EEE57"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758191C" w14:textId="77777777">
            <w:pPr>
              <w:rPr>
                <w:color w:val="000000"/>
                <w:sz w:val="20"/>
                <w:szCs w:val="20"/>
              </w:rPr>
            </w:pPr>
            <w:r w:rsidRPr="00C31E3F">
              <w:rPr>
                <w:color w:val="000000"/>
                <w:sz w:val="20"/>
                <w:szCs w:val="20"/>
              </w:rPr>
              <w:t>2.</w:t>
            </w:r>
            <w:r>
              <w:rPr>
                <w:color w:val="000000"/>
                <w:sz w:val="20"/>
                <w:szCs w:val="20"/>
              </w:rPr>
              <w:t xml:space="preserve"> </w:t>
            </w:r>
            <w:r w:rsidRPr="00C31E3F">
              <w:rPr>
                <w:color w:val="000000"/>
                <w:sz w:val="20"/>
                <w:szCs w:val="20"/>
              </w:rPr>
              <w:t xml:space="preserve">Determine Monitoring Approach </w:t>
            </w:r>
            <w:r w:rsidRPr="00C31E3F">
              <w:rPr>
                <w:color w:val="000000"/>
                <w:sz w:val="20"/>
                <w:szCs w:val="20"/>
                <w:vertAlign w:val="superscript"/>
              </w:rPr>
              <w:t>e</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59C80A28" w14:textId="77777777">
            <w:pPr>
              <w:jc w:val="center"/>
              <w:rPr>
                <w:color w:val="000000"/>
                <w:sz w:val="20"/>
                <w:szCs w:val="20"/>
              </w:rPr>
            </w:pPr>
            <w:r w:rsidRPr="00C31E3F">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6A3A8934" w14:textId="77777777">
            <w:pPr>
              <w:jc w:val="center"/>
              <w:rPr>
                <w:color w:val="000000"/>
                <w:sz w:val="20"/>
                <w:szCs w:val="20"/>
              </w:rPr>
            </w:pPr>
            <w:r w:rsidRPr="00C31E3F">
              <w:rPr>
                <w:color w:val="000000"/>
                <w:sz w:val="20"/>
                <w:szCs w:val="20"/>
              </w:rPr>
              <w:t> </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62AE8693" w14:textId="77777777">
            <w:pPr>
              <w:jc w:val="center"/>
              <w:rPr>
                <w:color w:val="000000"/>
                <w:sz w:val="20"/>
                <w:szCs w:val="20"/>
              </w:rPr>
            </w:pPr>
            <w:r w:rsidRPr="00C31E3F">
              <w:rPr>
                <w:color w:val="000000"/>
                <w:sz w:val="20"/>
                <w:szCs w:val="20"/>
              </w:rPr>
              <w:t> </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5C6DAAD0" w14:textId="77777777">
            <w:pPr>
              <w:jc w:val="center"/>
              <w:rPr>
                <w:color w:val="000000"/>
                <w:sz w:val="20"/>
                <w:szCs w:val="20"/>
              </w:rPr>
            </w:pPr>
            <w:r w:rsidRPr="00C31E3F">
              <w:rPr>
                <w:color w:val="000000"/>
                <w:sz w:val="20"/>
                <w:szCs w:val="20"/>
              </w:rPr>
              <w:t> </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763EDF9A" w14:textId="77777777">
            <w:pPr>
              <w:jc w:val="center"/>
              <w:rPr>
                <w:color w:val="000000"/>
                <w:sz w:val="20"/>
                <w:szCs w:val="20"/>
              </w:rPr>
            </w:pPr>
            <w:r w:rsidRPr="00C31E3F">
              <w:rPr>
                <w:color w:val="000000"/>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65150251" w14:textId="77777777">
            <w:pPr>
              <w:jc w:val="center"/>
              <w:rPr>
                <w:color w:val="000000"/>
                <w:sz w:val="20"/>
                <w:szCs w:val="20"/>
              </w:rPr>
            </w:pPr>
            <w:r w:rsidRPr="00C31E3F">
              <w:rPr>
                <w:color w:val="000000"/>
                <w:sz w:val="20"/>
                <w:szCs w:val="20"/>
              </w:rPr>
              <w:t> </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7206C280" w14:textId="77777777">
            <w:pPr>
              <w:jc w:val="center"/>
              <w:rPr>
                <w:color w:val="000000"/>
                <w:sz w:val="20"/>
                <w:szCs w:val="20"/>
              </w:rPr>
            </w:pPr>
            <w:r w:rsidRPr="00C31E3F">
              <w:rPr>
                <w:color w:val="000000"/>
                <w:sz w:val="20"/>
                <w:szCs w:val="20"/>
              </w:rPr>
              <w:t> </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0860A9FB" w14:textId="77777777">
            <w:pPr>
              <w:jc w:val="right"/>
              <w:rPr>
                <w:color w:val="000000"/>
                <w:sz w:val="20"/>
                <w:szCs w:val="20"/>
              </w:rPr>
            </w:pPr>
            <w:r w:rsidRPr="00C31E3F">
              <w:rPr>
                <w:color w:val="000000"/>
                <w:sz w:val="20"/>
                <w:szCs w:val="20"/>
              </w:rPr>
              <w:t> </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7F65B0DC" w14:textId="77777777">
            <w:pPr>
              <w:jc w:val="right"/>
              <w:rPr>
                <w:color w:val="000000"/>
                <w:sz w:val="20"/>
                <w:szCs w:val="20"/>
              </w:rPr>
            </w:pPr>
            <w:r w:rsidRPr="00C31E3F">
              <w:rPr>
                <w:color w:val="000000"/>
                <w:sz w:val="20"/>
                <w:szCs w:val="20"/>
              </w:rPr>
              <w:t> </w:t>
            </w:r>
          </w:p>
        </w:tc>
      </w:tr>
      <w:tr w14:paraId="40A35BCD"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384A7AB7"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1C5282BE" w14:textId="77777777">
            <w:pPr>
              <w:jc w:val="center"/>
              <w:rPr>
                <w:color w:val="000000"/>
                <w:sz w:val="20"/>
                <w:szCs w:val="20"/>
              </w:rPr>
            </w:pPr>
            <w:r w:rsidRPr="00C31E3F">
              <w:rPr>
                <w:color w:val="000000"/>
                <w:sz w:val="20"/>
                <w:szCs w:val="20"/>
              </w:rPr>
              <w:t>0.75</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246E78B5" w14:textId="77777777">
            <w:pPr>
              <w:jc w:val="center"/>
              <w:rPr>
                <w:color w:val="000000"/>
                <w:sz w:val="20"/>
                <w:szCs w:val="20"/>
              </w:rPr>
            </w:pPr>
            <w:r w:rsidRPr="00C31E3F">
              <w:rPr>
                <w:color w:val="000000"/>
                <w:sz w:val="20"/>
                <w:szCs w:val="20"/>
              </w:rPr>
              <w:t>2.25</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3D198EBF" w14:textId="77777777">
            <w:pPr>
              <w:jc w:val="center"/>
              <w:rPr>
                <w:color w:val="000000"/>
                <w:sz w:val="20"/>
                <w:szCs w:val="20"/>
              </w:rPr>
            </w:pPr>
            <w:r w:rsidRPr="00C31E3F">
              <w:rPr>
                <w:color w:val="000000"/>
                <w:sz w:val="20"/>
                <w:szCs w:val="20"/>
              </w:rPr>
              <w:t>0.15</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18860ACF"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69595D5F" w14:textId="77777777">
            <w:pPr>
              <w:jc w:val="center"/>
              <w:rPr>
                <w:color w:val="000000"/>
                <w:sz w:val="20"/>
                <w:szCs w:val="20"/>
              </w:rPr>
            </w:pPr>
            <w:r w:rsidRPr="00C31E3F">
              <w:rPr>
                <w:color w:val="000000"/>
                <w:sz w:val="20"/>
                <w:szCs w:val="20"/>
              </w:rPr>
              <w:t>3.15</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245FEBDE" w14:textId="77777777">
            <w:pPr>
              <w:jc w:val="center"/>
              <w:rPr>
                <w:color w:val="000000"/>
                <w:sz w:val="20"/>
                <w:szCs w:val="20"/>
              </w:rPr>
            </w:pPr>
            <w:r w:rsidRPr="00C31E3F">
              <w:rPr>
                <w:color w:val="000000"/>
                <w:sz w:val="20"/>
                <w:szCs w:val="20"/>
              </w:rPr>
              <w:t>$366.89</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0EE85BC6" w14:textId="77777777">
            <w:pPr>
              <w:jc w:val="center"/>
              <w:rPr>
                <w:color w:val="000000"/>
                <w:sz w:val="20"/>
                <w:szCs w:val="20"/>
              </w:rPr>
            </w:pPr>
            <w:r w:rsidRPr="00C31E3F">
              <w:rPr>
                <w:color w:val="000000"/>
                <w:sz w:val="20"/>
                <w:szCs w:val="20"/>
              </w:rPr>
              <w:t>74</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03157048" w14:textId="77777777">
            <w:pPr>
              <w:jc w:val="right"/>
              <w:rPr>
                <w:color w:val="000000"/>
                <w:sz w:val="20"/>
                <w:szCs w:val="20"/>
              </w:rPr>
            </w:pPr>
            <w:r w:rsidRPr="00C31E3F">
              <w:rPr>
                <w:color w:val="000000"/>
                <w:sz w:val="20"/>
                <w:szCs w:val="20"/>
              </w:rPr>
              <w:t>233.1</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68813A38" w14:textId="77777777">
            <w:pPr>
              <w:jc w:val="right"/>
              <w:rPr>
                <w:color w:val="000000"/>
                <w:sz w:val="20"/>
                <w:szCs w:val="20"/>
              </w:rPr>
            </w:pPr>
            <w:r w:rsidRPr="00C31E3F">
              <w:rPr>
                <w:color w:val="000000"/>
                <w:sz w:val="20"/>
                <w:szCs w:val="20"/>
              </w:rPr>
              <w:t>$27,149.71</w:t>
            </w:r>
          </w:p>
        </w:tc>
      </w:tr>
      <w:tr w14:paraId="786EB034"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6058FB4"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Units with existing monitoring</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2E66CA21" w14:textId="77777777">
            <w:pPr>
              <w:jc w:val="center"/>
              <w:rPr>
                <w:color w:val="000000"/>
                <w:sz w:val="20"/>
                <w:szCs w:val="20"/>
              </w:rPr>
            </w:pPr>
            <w:r w:rsidRPr="00C31E3F">
              <w:rPr>
                <w:color w:val="000000"/>
                <w:sz w:val="20"/>
                <w:szCs w:val="20"/>
              </w:rPr>
              <w:t>0.25</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38651062" w14:textId="77777777">
            <w:pPr>
              <w:jc w:val="center"/>
              <w:rPr>
                <w:color w:val="000000"/>
                <w:sz w:val="20"/>
                <w:szCs w:val="20"/>
              </w:rPr>
            </w:pPr>
            <w:r w:rsidRPr="00C31E3F">
              <w:rPr>
                <w:color w:val="000000"/>
                <w:sz w:val="20"/>
                <w:szCs w:val="20"/>
              </w:rPr>
              <w:t>0.75</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18324284" w14:textId="77777777">
            <w:pPr>
              <w:jc w:val="center"/>
              <w:rPr>
                <w:color w:val="000000"/>
                <w:sz w:val="20"/>
                <w:szCs w:val="20"/>
              </w:rPr>
            </w:pPr>
            <w:r w:rsidRPr="00C31E3F">
              <w:rPr>
                <w:color w:val="000000"/>
                <w:sz w:val="20"/>
                <w:szCs w:val="20"/>
              </w:rPr>
              <w:t>0.05</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5B2E7D4C"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2189A10E" w14:textId="77777777">
            <w:pPr>
              <w:jc w:val="center"/>
              <w:rPr>
                <w:color w:val="000000"/>
                <w:sz w:val="20"/>
                <w:szCs w:val="20"/>
              </w:rPr>
            </w:pPr>
            <w:r w:rsidRPr="00C31E3F">
              <w:rPr>
                <w:color w:val="000000"/>
                <w:sz w:val="20"/>
                <w:szCs w:val="20"/>
              </w:rPr>
              <w:t>1.05</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37F464C3" w14:textId="77777777">
            <w:pPr>
              <w:jc w:val="center"/>
              <w:rPr>
                <w:color w:val="000000"/>
                <w:sz w:val="20"/>
                <w:szCs w:val="20"/>
              </w:rPr>
            </w:pPr>
            <w:r w:rsidRPr="00C31E3F">
              <w:rPr>
                <w:color w:val="000000"/>
                <w:sz w:val="20"/>
                <w:szCs w:val="20"/>
              </w:rPr>
              <w:t>$122.30</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35CA5C0A" w14:textId="77777777">
            <w:pPr>
              <w:jc w:val="center"/>
              <w:rPr>
                <w:color w:val="000000"/>
                <w:sz w:val="20"/>
                <w:szCs w:val="20"/>
              </w:rPr>
            </w:pPr>
            <w:r w:rsidRPr="00C31E3F">
              <w:rPr>
                <w:color w:val="000000"/>
                <w:sz w:val="20"/>
                <w:szCs w:val="20"/>
              </w:rPr>
              <w:t>134</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2F39C540" w14:textId="77777777">
            <w:pPr>
              <w:jc w:val="right"/>
              <w:rPr>
                <w:color w:val="000000"/>
                <w:sz w:val="20"/>
                <w:szCs w:val="20"/>
              </w:rPr>
            </w:pPr>
            <w:r w:rsidRPr="00C31E3F">
              <w:rPr>
                <w:color w:val="000000"/>
                <w:sz w:val="20"/>
                <w:szCs w:val="20"/>
              </w:rPr>
              <w:t>140.7</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5650E504" w14:textId="77777777">
            <w:pPr>
              <w:jc w:val="right"/>
              <w:rPr>
                <w:color w:val="000000"/>
                <w:sz w:val="20"/>
                <w:szCs w:val="20"/>
              </w:rPr>
            </w:pPr>
            <w:r w:rsidRPr="00C31E3F">
              <w:rPr>
                <w:color w:val="000000"/>
                <w:sz w:val="20"/>
                <w:szCs w:val="20"/>
              </w:rPr>
              <w:t>$16,387.66</w:t>
            </w:r>
          </w:p>
        </w:tc>
      </w:tr>
      <w:tr w14:paraId="114AEB01"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96AAE5B" w14:textId="77777777">
            <w:pPr>
              <w:rPr>
                <w:color w:val="000000"/>
                <w:sz w:val="20"/>
                <w:szCs w:val="20"/>
              </w:rPr>
            </w:pPr>
            <w:r w:rsidRPr="00C31E3F">
              <w:rPr>
                <w:color w:val="000000"/>
                <w:sz w:val="20"/>
                <w:szCs w:val="20"/>
              </w:rPr>
              <w:t>3.</w:t>
            </w:r>
            <w:r>
              <w:rPr>
                <w:color w:val="000000"/>
                <w:sz w:val="20"/>
                <w:szCs w:val="20"/>
              </w:rPr>
              <w:t xml:space="preserve"> </w:t>
            </w:r>
            <w:r w:rsidRPr="00C31E3F">
              <w:rPr>
                <w:color w:val="000000"/>
                <w:sz w:val="20"/>
                <w:szCs w:val="20"/>
              </w:rPr>
              <w:t xml:space="preserve">Specify Monitoring Plan Elements </w:t>
            </w:r>
            <w:r w:rsidRPr="00C31E3F">
              <w:rPr>
                <w:color w:val="000000"/>
                <w:sz w:val="20"/>
                <w:szCs w:val="20"/>
                <w:vertAlign w:val="superscript"/>
              </w:rPr>
              <w:t>e</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1CAFAF74" w14:textId="77777777">
            <w:pPr>
              <w:jc w:val="center"/>
              <w:rPr>
                <w:color w:val="000000"/>
                <w:sz w:val="20"/>
                <w:szCs w:val="20"/>
              </w:rPr>
            </w:pPr>
            <w:r w:rsidRPr="00C31E3F">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1AEAB92E" w14:textId="77777777">
            <w:pPr>
              <w:jc w:val="center"/>
              <w:rPr>
                <w:color w:val="000000"/>
                <w:sz w:val="20"/>
                <w:szCs w:val="20"/>
              </w:rPr>
            </w:pPr>
            <w:r w:rsidRPr="00C31E3F">
              <w:rPr>
                <w:color w:val="000000"/>
                <w:sz w:val="20"/>
                <w:szCs w:val="20"/>
              </w:rPr>
              <w:t> </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39CECA7D" w14:textId="77777777">
            <w:pPr>
              <w:jc w:val="center"/>
              <w:rPr>
                <w:color w:val="000000"/>
                <w:sz w:val="20"/>
                <w:szCs w:val="20"/>
              </w:rPr>
            </w:pPr>
            <w:r w:rsidRPr="00C31E3F">
              <w:rPr>
                <w:color w:val="000000"/>
                <w:sz w:val="20"/>
                <w:szCs w:val="20"/>
              </w:rPr>
              <w:t> </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4D3B00C4" w14:textId="77777777">
            <w:pPr>
              <w:jc w:val="center"/>
              <w:rPr>
                <w:color w:val="000000"/>
                <w:sz w:val="20"/>
                <w:szCs w:val="20"/>
              </w:rPr>
            </w:pPr>
            <w:r w:rsidRPr="00C31E3F">
              <w:rPr>
                <w:color w:val="000000"/>
                <w:sz w:val="20"/>
                <w:szCs w:val="20"/>
              </w:rPr>
              <w:t> </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6B99337F" w14:textId="77777777">
            <w:pPr>
              <w:jc w:val="center"/>
              <w:rPr>
                <w:color w:val="000000"/>
                <w:sz w:val="20"/>
                <w:szCs w:val="20"/>
              </w:rPr>
            </w:pPr>
            <w:r w:rsidRPr="00C31E3F">
              <w:rPr>
                <w:color w:val="000000"/>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6F59763C" w14:textId="77777777">
            <w:pPr>
              <w:jc w:val="center"/>
              <w:rPr>
                <w:color w:val="000000"/>
                <w:sz w:val="20"/>
                <w:szCs w:val="20"/>
              </w:rPr>
            </w:pPr>
            <w:r w:rsidRPr="00C31E3F">
              <w:rPr>
                <w:color w:val="000000"/>
                <w:sz w:val="20"/>
                <w:szCs w:val="20"/>
              </w:rPr>
              <w:t> </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5619D99A" w14:textId="77777777">
            <w:pPr>
              <w:jc w:val="center"/>
              <w:rPr>
                <w:color w:val="000000"/>
                <w:sz w:val="20"/>
                <w:szCs w:val="20"/>
              </w:rPr>
            </w:pPr>
            <w:r w:rsidRPr="00C31E3F">
              <w:rPr>
                <w:color w:val="000000"/>
                <w:sz w:val="20"/>
                <w:szCs w:val="20"/>
              </w:rPr>
              <w:t> </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38BDC1E3" w14:textId="77777777">
            <w:pPr>
              <w:jc w:val="right"/>
              <w:rPr>
                <w:color w:val="000000"/>
                <w:sz w:val="20"/>
                <w:szCs w:val="20"/>
              </w:rPr>
            </w:pPr>
            <w:r w:rsidRPr="00C31E3F">
              <w:rPr>
                <w:color w:val="000000"/>
                <w:sz w:val="20"/>
                <w:szCs w:val="20"/>
              </w:rPr>
              <w:t> </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62C3EC3E" w14:textId="77777777">
            <w:pPr>
              <w:jc w:val="right"/>
              <w:rPr>
                <w:color w:val="000000"/>
                <w:sz w:val="20"/>
                <w:szCs w:val="20"/>
              </w:rPr>
            </w:pPr>
            <w:r w:rsidRPr="00C31E3F">
              <w:rPr>
                <w:color w:val="000000"/>
                <w:sz w:val="20"/>
                <w:szCs w:val="20"/>
              </w:rPr>
              <w:t> </w:t>
            </w:r>
          </w:p>
        </w:tc>
      </w:tr>
      <w:tr w14:paraId="3DB19538"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2264F19"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12B51B5F" w14:textId="77777777">
            <w:pPr>
              <w:jc w:val="center"/>
              <w:rPr>
                <w:color w:val="000000"/>
                <w:sz w:val="20"/>
                <w:szCs w:val="20"/>
              </w:rPr>
            </w:pPr>
            <w:r w:rsidRPr="00C31E3F">
              <w:rPr>
                <w:color w:val="000000"/>
                <w:sz w:val="20"/>
                <w:szCs w:val="20"/>
              </w:rPr>
              <w:t>4</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48E7C236" w14:textId="77777777">
            <w:pPr>
              <w:jc w:val="center"/>
              <w:rPr>
                <w:color w:val="000000"/>
                <w:sz w:val="20"/>
                <w:szCs w:val="20"/>
              </w:rPr>
            </w:pPr>
            <w:r w:rsidRPr="00C31E3F">
              <w:rPr>
                <w:color w:val="000000"/>
                <w:sz w:val="20"/>
                <w:szCs w:val="20"/>
              </w:rPr>
              <w:t>12</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7E127305" w14:textId="77777777">
            <w:pPr>
              <w:jc w:val="center"/>
              <w:rPr>
                <w:color w:val="000000"/>
                <w:sz w:val="20"/>
                <w:szCs w:val="20"/>
              </w:rPr>
            </w:pPr>
            <w:r w:rsidRPr="00C31E3F">
              <w:rPr>
                <w:color w:val="000000"/>
                <w:sz w:val="20"/>
                <w:szCs w:val="20"/>
              </w:rPr>
              <w:t>0.8</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24D38C1E"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62B313C4" w14:textId="77777777">
            <w:pPr>
              <w:jc w:val="center"/>
              <w:rPr>
                <w:color w:val="000000"/>
                <w:sz w:val="20"/>
                <w:szCs w:val="20"/>
              </w:rPr>
            </w:pPr>
            <w:r w:rsidRPr="00C31E3F">
              <w:rPr>
                <w:color w:val="000000"/>
                <w:sz w:val="20"/>
                <w:szCs w:val="20"/>
              </w:rPr>
              <w:t>16.8</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0B0A413D" w14:textId="77777777">
            <w:pPr>
              <w:jc w:val="center"/>
              <w:rPr>
                <w:color w:val="000000"/>
                <w:sz w:val="20"/>
                <w:szCs w:val="20"/>
              </w:rPr>
            </w:pPr>
            <w:r w:rsidRPr="00C31E3F">
              <w:rPr>
                <w:color w:val="000000"/>
                <w:sz w:val="20"/>
                <w:szCs w:val="20"/>
              </w:rPr>
              <w:t>$1,956.74</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23757E61" w14:textId="77777777">
            <w:pPr>
              <w:jc w:val="center"/>
              <w:rPr>
                <w:color w:val="000000"/>
                <w:sz w:val="20"/>
                <w:szCs w:val="20"/>
              </w:rPr>
            </w:pPr>
            <w:r w:rsidRPr="00C31E3F">
              <w:rPr>
                <w:color w:val="000000"/>
                <w:sz w:val="20"/>
                <w:szCs w:val="20"/>
              </w:rPr>
              <w:t>74</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6D7E1212" w14:textId="77777777">
            <w:pPr>
              <w:jc w:val="right"/>
              <w:rPr>
                <w:color w:val="000000"/>
                <w:sz w:val="20"/>
                <w:szCs w:val="20"/>
              </w:rPr>
            </w:pPr>
            <w:r w:rsidRPr="00C31E3F">
              <w:rPr>
                <w:color w:val="000000"/>
                <w:sz w:val="20"/>
                <w:szCs w:val="20"/>
              </w:rPr>
              <w:t>1243.2</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18883DA5" w14:textId="77777777">
            <w:pPr>
              <w:jc w:val="right"/>
              <w:rPr>
                <w:color w:val="000000"/>
                <w:sz w:val="20"/>
                <w:szCs w:val="20"/>
              </w:rPr>
            </w:pPr>
            <w:r w:rsidRPr="00C31E3F">
              <w:rPr>
                <w:color w:val="000000"/>
                <w:sz w:val="20"/>
                <w:szCs w:val="20"/>
              </w:rPr>
              <w:t>$144,798.46</w:t>
            </w:r>
          </w:p>
        </w:tc>
      </w:tr>
      <w:tr w14:paraId="6975BCBD"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0B65A9C"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Units with exisiting monitoring</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4EBF07A2" w14:textId="77777777">
            <w:pPr>
              <w:jc w:val="center"/>
              <w:rPr>
                <w:color w:val="000000"/>
                <w:sz w:val="20"/>
                <w:szCs w:val="20"/>
              </w:rPr>
            </w:pPr>
            <w:r w:rsidRPr="00C31E3F">
              <w:rPr>
                <w:color w:val="000000"/>
                <w:sz w:val="20"/>
                <w:szCs w:val="20"/>
              </w:rPr>
              <w:t>2</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1194C073" w14:textId="77777777">
            <w:pPr>
              <w:jc w:val="center"/>
              <w:rPr>
                <w:color w:val="000000"/>
                <w:sz w:val="20"/>
                <w:szCs w:val="20"/>
              </w:rPr>
            </w:pPr>
            <w:r w:rsidRPr="00C31E3F">
              <w:rPr>
                <w:color w:val="000000"/>
                <w:sz w:val="20"/>
                <w:szCs w:val="20"/>
              </w:rPr>
              <w:t>6</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12A7B327" w14:textId="77777777">
            <w:pPr>
              <w:jc w:val="center"/>
              <w:rPr>
                <w:color w:val="000000"/>
                <w:sz w:val="20"/>
                <w:szCs w:val="20"/>
              </w:rPr>
            </w:pPr>
            <w:r w:rsidRPr="00C31E3F">
              <w:rPr>
                <w:color w:val="000000"/>
                <w:sz w:val="20"/>
                <w:szCs w:val="20"/>
              </w:rPr>
              <w:t>0.4</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46909B8F"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34ACA639" w14:textId="77777777">
            <w:pPr>
              <w:jc w:val="center"/>
              <w:rPr>
                <w:color w:val="000000"/>
                <w:sz w:val="20"/>
                <w:szCs w:val="20"/>
              </w:rPr>
            </w:pPr>
            <w:r w:rsidRPr="00C31E3F">
              <w:rPr>
                <w:color w:val="000000"/>
                <w:sz w:val="20"/>
                <w:szCs w:val="20"/>
              </w:rPr>
              <w:t>8.4</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5E71BA69" w14:textId="77777777">
            <w:pPr>
              <w:jc w:val="center"/>
              <w:rPr>
                <w:color w:val="000000"/>
                <w:sz w:val="20"/>
                <w:szCs w:val="20"/>
              </w:rPr>
            </w:pPr>
            <w:r w:rsidRPr="00C31E3F">
              <w:rPr>
                <w:color w:val="000000"/>
                <w:sz w:val="20"/>
                <w:szCs w:val="20"/>
              </w:rPr>
              <w:t>$978.37</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4C0948F4" w14:textId="77777777">
            <w:pPr>
              <w:jc w:val="center"/>
              <w:rPr>
                <w:color w:val="000000"/>
                <w:sz w:val="20"/>
                <w:szCs w:val="20"/>
              </w:rPr>
            </w:pPr>
            <w:r w:rsidRPr="00C31E3F">
              <w:rPr>
                <w:color w:val="000000"/>
                <w:sz w:val="20"/>
                <w:szCs w:val="20"/>
              </w:rPr>
              <w:t>134</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1B408751" w14:textId="77777777">
            <w:pPr>
              <w:jc w:val="right"/>
              <w:rPr>
                <w:color w:val="000000"/>
                <w:sz w:val="20"/>
                <w:szCs w:val="20"/>
              </w:rPr>
            </w:pPr>
            <w:r w:rsidRPr="00C31E3F">
              <w:rPr>
                <w:color w:val="000000"/>
                <w:sz w:val="20"/>
                <w:szCs w:val="20"/>
              </w:rPr>
              <w:t>1125.6</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1593FDA1" w14:textId="77777777">
            <w:pPr>
              <w:jc w:val="right"/>
              <w:rPr>
                <w:color w:val="000000"/>
                <w:sz w:val="20"/>
                <w:szCs w:val="20"/>
              </w:rPr>
            </w:pPr>
            <w:r w:rsidRPr="00C31E3F">
              <w:rPr>
                <w:color w:val="000000"/>
                <w:sz w:val="20"/>
                <w:szCs w:val="20"/>
              </w:rPr>
              <w:t>$131,101.31</w:t>
            </w:r>
          </w:p>
        </w:tc>
      </w:tr>
      <w:tr w14:paraId="55DB5419"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4D681CA" w14:textId="77777777">
            <w:pPr>
              <w:rPr>
                <w:color w:val="000000"/>
                <w:sz w:val="20"/>
                <w:szCs w:val="20"/>
              </w:rPr>
            </w:pPr>
            <w:r w:rsidRPr="00C31E3F">
              <w:rPr>
                <w:color w:val="000000"/>
                <w:sz w:val="20"/>
                <w:szCs w:val="20"/>
              </w:rPr>
              <w:t>4.</w:t>
            </w:r>
            <w:r>
              <w:rPr>
                <w:color w:val="000000"/>
                <w:sz w:val="20"/>
                <w:szCs w:val="20"/>
              </w:rPr>
              <w:t xml:space="preserve"> </w:t>
            </w:r>
            <w:r w:rsidRPr="00C31E3F">
              <w:rPr>
                <w:color w:val="000000"/>
                <w:sz w:val="20"/>
                <w:szCs w:val="20"/>
              </w:rPr>
              <w:t xml:space="preserve">Design Documentation </w:t>
            </w:r>
            <w:r w:rsidRPr="00C31E3F">
              <w:rPr>
                <w:color w:val="000000"/>
                <w:sz w:val="20"/>
                <w:szCs w:val="20"/>
                <w:vertAlign w:val="superscript"/>
              </w:rPr>
              <w:t>e</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143E0823" w14:textId="77777777">
            <w:pPr>
              <w:jc w:val="center"/>
              <w:rPr>
                <w:color w:val="000000"/>
                <w:sz w:val="20"/>
                <w:szCs w:val="20"/>
              </w:rPr>
            </w:pPr>
            <w:r w:rsidRPr="00C31E3F">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2ACAF3D1" w14:textId="77777777">
            <w:pPr>
              <w:jc w:val="center"/>
              <w:rPr>
                <w:color w:val="000000"/>
                <w:sz w:val="20"/>
                <w:szCs w:val="20"/>
              </w:rPr>
            </w:pPr>
            <w:r w:rsidRPr="00C31E3F">
              <w:rPr>
                <w:color w:val="000000"/>
                <w:sz w:val="20"/>
                <w:szCs w:val="20"/>
              </w:rPr>
              <w:t> </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46F86F3E" w14:textId="77777777">
            <w:pPr>
              <w:jc w:val="center"/>
              <w:rPr>
                <w:color w:val="000000"/>
                <w:sz w:val="20"/>
                <w:szCs w:val="20"/>
              </w:rPr>
            </w:pPr>
            <w:r w:rsidRPr="00C31E3F">
              <w:rPr>
                <w:color w:val="000000"/>
                <w:sz w:val="20"/>
                <w:szCs w:val="20"/>
              </w:rPr>
              <w:t> </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43D080F4" w14:textId="77777777">
            <w:pPr>
              <w:jc w:val="center"/>
              <w:rPr>
                <w:color w:val="000000"/>
                <w:sz w:val="20"/>
                <w:szCs w:val="20"/>
              </w:rPr>
            </w:pPr>
            <w:r w:rsidRPr="00C31E3F">
              <w:rPr>
                <w:color w:val="000000"/>
                <w:sz w:val="20"/>
                <w:szCs w:val="20"/>
              </w:rPr>
              <w:t> </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30EFEBE8" w14:textId="77777777">
            <w:pPr>
              <w:jc w:val="center"/>
              <w:rPr>
                <w:color w:val="000000"/>
                <w:sz w:val="20"/>
                <w:szCs w:val="20"/>
              </w:rPr>
            </w:pPr>
            <w:r w:rsidRPr="00C31E3F">
              <w:rPr>
                <w:color w:val="000000"/>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7F39DFE5" w14:textId="77777777">
            <w:pPr>
              <w:jc w:val="center"/>
              <w:rPr>
                <w:color w:val="000000"/>
                <w:sz w:val="20"/>
                <w:szCs w:val="20"/>
              </w:rPr>
            </w:pPr>
            <w:r w:rsidRPr="00C31E3F">
              <w:rPr>
                <w:color w:val="000000"/>
                <w:sz w:val="20"/>
                <w:szCs w:val="20"/>
              </w:rPr>
              <w:t> </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6A4F525E" w14:textId="77777777">
            <w:pPr>
              <w:jc w:val="center"/>
              <w:rPr>
                <w:color w:val="000000"/>
                <w:sz w:val="20"/>
                <w:szCs w:val="20"/>
              </w:rPr>
            </w:pPr>
            <w:r w:rsidRPr="00C31E3F">
              <w:rPr>
                <w:color w:val="000000"/>
                <w:sz w:val="20"/>
                <w:szCs w:val="20"/>
              </w:rPr>
              <w:t> </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0017DBDC" w14:textId="77777777">
            <w:pPr>
              <w:jc w:val="right"/>
              <w:rPr>
                <w:color w:val="000000"/>
                <w:sz w:val="20"/>
                <w:szCs w:val="20"/>
              </w:rPr>
            </w:pPr>
            <w:r w:rsidRPr="00C31E3F">
              <w:rPr>
                <w:color w:val="000000"/>
                <w:sz w:val="20"/>
                <w:szCs w:val="20"/>
              </w:rPr>
              <w:t> </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2E5A3621" w14:textId="77777777">
            <w:pPr>
              <w:jc w:val="right"/>
              <w:rPr>
                <w:color w:val="000000"/>
                <w:sz w:val="20"/>
                <w:szCs w:val="20"/>
              </w:rPr>
            </w:pPr>
            <w:r w:rsidRPr="00C31E3F">
              <w:rPr>
                <w:color w:val="000000"/>
                <w:sz w:val="20"/>
                <w:szCs w:val="20"/>
              </w:rPr>
              <w:t> </w:t>
            </w:r>
          </w:p>
        </w:tc>
      </w:tr>
      <w:tr w14:paraId="39FA1B79"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A362ED4"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6BAF5C7F" w14:textId="77777777">
            <w:pPr>
              <w:jc w:val="center"/>
              <w:rPr>
                <w:color w:val="000000"/>
                <w:sz w:val="20"/>
                <w:szCs w:val="20"/>
              </w:rPr>
            </w:pPr>
            <w:r w:rsidRPr="00C31E3F">
              <w:rPr>
                <w:color w:val="000000"/>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417C5A0A" w14:textId="77777777">
            <w:pPr>
              <w:jc w:val="center"/>
              <w:rPr>
                <w:color w:val="000000"/>
                <w:sz w:val="20"/>
                <w:szCs w:val="20"/>
              </w:rPr>
            </w:pPr>
            <w:r w:rsidRPr="00C31E3F">
              <w:rPr>
                <w:color w:val="000000"/>
                <w:sz w:val="20"/>
                <w:szCs w:val="20"/>
              </w:rPr>
              <w:t>4</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5A970CAB" w14:textId="77777777">
            <w:pPr>
              <w:jc w:val="center"/>
              <w:rPr>
                <w:color w:val="000000"/>
                <w:sz w:val="20"/>
                <w:szCs w:val="20"/>
              </w:rPr>
            </w:pPr>
            <w:r w:rsidRPr="00C31E3F">
              <w:rPr>
                <w:color w:val="000000"/>
                <w:sz w:val="20"/>
                <w:szCs w:val="20"/>
              </w:rPr>
              <w:t>0.2</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6FCDF08F"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4A928221" w14:textId="77777777">
            <w:pPr>
              <w:jc w:val="center"/>
              <w:rPr>
                <w:color w:val="000000"/>
                <w:sz w:val="20"/>
                <w:szCs w:val="20"/>
              </w:rPr>
            </w:pPr>
            <w:r w:rsidRPr="00C31E3F">
              <w:rPr>
                <w:color w:val="000000"/>
                <w:sz w:val="20"/>
                <w:szCs w:val="20"/>
              </w:rPr>
              <w:t>4.2</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71970048" w14:textId="77777777">
            <w:pPr>
              <w:jc w:val="center"/>
              <w:rPr>
                <w:color w:val="000000"/>
                <w:sz w:val="20"/>
                <w:szCs w:val="20"/>
              </w:rPr>
            </w:pPr>
            <w:r w:rsidRPr="00C31E3F">
              <w:rPr>
                <w:color w:val="000000"/>
                <w:sz w:val="20"/>
                <w:szCs w:val="20"/>
              </w:rPr>
              <w:t>$553.75</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48F2B142" w14:textId="77777777">
            <w:pPr>
              <w:jc w:val="center"/>
              <w:rPr>
                <w:color w:val="000000"/>
                <w:sz w:val="20"/>
                <w:szCs w:val="20"/>
              </w:rPr>
            </w:pPr>
            <w:r w:rsidRPr="00C31E3F">
              <w:rPr>
                <w:color w:val="000000"/>
                <w:sz w:val="20"/>
                <w:szCs w:val="20"/>
              </w:rPr>
              <w:t>74</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2187086C" w14:textId="77777777">
            <w:pPr>
              <w:jc w:val="right"/>
              <w:rPr>
                <w:color w:val="000000"/>
                <w:sz w:val="20"/>
                <w:szCs w:val="20"/>
              </w:rPr>
            </w:pPr>
            <w:r w:rsidRPr="00C31E3F">
              <w:rPr>
                <w:color w:val="000000"/>
                <w:sz w:val="20"/>
                <w:szCs w:val="20"/>
              </w:rPr>
              <w:t>310.8</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545AC9BC" w14:textId="77777777">
            <w:pPr>
              <w:jc w:val="right"/>
              <w:rPr>
                <w:color w:val="000000"/>
                <w:sz w:val="20"/>
                <w:szCs w:val="20"/>
              </w:rPr>
            </w:pPr>
            <w:r w:rsidRPr="00C31E3F">
              <w:rPr>
                <w:color w:val="000000"/>
                <w:sz w:val="20"/>
                <w:szCs w:val="20"/>
              </w:rPr>
              <w:t>$40,977.80</w:t>
            </w:r>
          </w:p>
        </w:tc>
      </w:tr>
      <w:tr w14:paraId="573E9AA2"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AFCB331"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Units with exisiting monitoring</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5B734E84" w14:textId="77777777">
            <w:pPr>
              <w:jc w:val="center"/>
              <w:rPr>
                <w:color w:val="000000"/>
                <w:sz w:val="20"/>
                <w:szCs w:val="20"/>
              </w:rPr>
            </w:pPr>
            <w:r w:rsidRPr="00C31E3F">
              <w:rPr>
                <w:color w:val="000000"/>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7198177C" w14:textId="77777777">
            <w:pPr>
              <w:jc w:val="center"/>
              <w:rPr>
                <w:color w:val="000000"/>
                <w:sz w:val="20"/>
                <w:szCs w:val="20"/>
              </w:rPr>
            </w:pPr>
            <w:r w:rsidRPr="00C31E3F">
              <w:rPr>
                <w:color w:val="000000"/>
                <w:sz w:val="20"/>
                <w:szCs w:val="20"/>
              </w:rPr>
              <w:t>2</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72C9E1B6" w14:textId="77777777">
            <w:pPr>
              <w:jc w:val="center"/>
              <w:rPr>
                <w:color w:val="000000"/>
                <w:sz w:val="20"/>
                <w:szCs w:val="20"/>
              </w:rPr>
            </w:pPr>
            <w:r w:rsidRPr="00C31E3F">
              <w:rPr>
                <w:color w:val="000000"/>
                <w:sz w:val="20"/>
                <w:szCs w:val="20"/>
              </w:rPr>
              <w:t>0.1</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45E4F216"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7B281047" w14:textId="77777777">
            <w:pPr>
              <w:jc w:val="center"/>
              <w:rPr>
                <w:color w:val="000000"/>
                <w:sz w:val="20"/>
                <w:szCs w:val="20"/>
              </w:rPr>
            </w:pPr>
            <w:r w:rsidRPr="00C31E3F">
              <w:rPr>
                <w:color w:val="000000"/>
                <w:sz w:val="20"/>
                <w:szCs w:val="20"/>
              </w:rPr>
              <w:t>2.1</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4B056F46" w14:textId="77777777">
            <w:pPr>
              <w:jc w:val="center"/>
              <w:rPr>
                <w:color w:val="000000"/>
                <w:sz w:val="20"/>
                <w:szCs w:val="20"/>
              </w:rPr>
            </w:pPr>
            <w:r w:rsidRPr="00C31E3F">
              <w:rPr>
                <w:color w:val="000000"/>
                <w:sz w:val="20"/>
                <w:szCs w:val="20"/>
              </w:rPr>
              <w:t>$276.88</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2A8AB775" w14:textId="77777777">
            <w:pPr>
              <w:jc w:val="center"/>
              <w:rPr>
                <w:color w:val="000000"/>
                <w:sz w:val="20"/>
                <w:szCs w:val="20"/>
              </w:rPr>
            </w:pPr>
            <w:r w:rsidRPr="00C31E3F">
              <w:rPr>
                <w:color w:val="000000"/>
                <w:sz w:val="20"/>
                <w:szCs w:val="20"/>
              </w:rPr>
              <w:t>134</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26ACD3FB" w14:textId="77777777">
            <w:pPr>
              <w:jc w:val="right"/>
              <w:rPr>
                <w:color w:val="000000"/>
                <w:sz w:val="20"/>
                <w:szCs w:val="20"/>
              </w:rPr>
            </w:pPr>
            <w:r w:rsidRPr="00C31E3F">
              <w:rPr>
                <w:color w:val="000000"/>
                <w:sz w:val="20"/>
                <w:szCs w:val="20"/>
              </w:rPr>
              <w:t>281.4</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4F4CFACE" w14:textId="77777777">
            <w:pPr>
              <w:jc w:val="right"/>
              <w:rPr>
                <w:color w:val="000000"/>
                <w:sz w:val="20"/>
                <w:szCs w:val="20"/>
              </w:rPr>
            </w:pPr>
            <w:r w:rsidRPr="00C31E3F">
              <w:rPr>
                <w:color w:val="000000"/>
                <w:sz w:val="20"/>
                <w:szCs w:val="20"/>
              </w:rPr>
              <w:t>$37,101.52</w:t>
            </w:r>
          </w:p>
        </w:tc>
      </w:tr>
      <w:tr w14:paraId="44D2C814"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7BF24FA" w14:textId="77777777">
            <w:pPr>
              <w:rPr>
                <w:color w:val="000000"/>
                <w:sz w:val="20"/>
                <w:szCs w:val="20"/>
              </w:rPr>
            </w:pPr>
            <w:r w:rsidRPr="00C31E3F">
              <w:rPr>
                <w:color w:val="000000"/>
                <w:sz w:val="20"/>
                <w:szCs w:val="20"/>
              </w:rPr>
              <w:t>5.</w:t>
            </w:r>
            <w:r>
              <w:rPr>
                <w:color w:val="000000"/>
                <w:sz w:val="20"/>
                <w:szCs w:val="20"/>
              </w:rPr>
              <w:t xml:space="preserve"> </w:t>
            </w:r>
            <w:r w:rsidRPr="00C31E3F">
              <w:rPr>
                <w:color w:val="000000"/>
                <w:sz w:val="20"/>
                <w:szCs w:val="20"/>
              </w:rPr>
              <w:t>CAM Renewal</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1AFA426B" w14:textId="77777777">
            <w:pPr>
              <w:jc w:val="center"/>
              <w:rPr>
                <w:color w:val="000000"/>
                <w:sz w:val="20"/>
                <w:szCs w:val="20"/>
              </w:rPr>
            </w:pPr>
            <w:r w:rsidRPr="00C31E3F">
              <w:rPr>
                <w:color w:val="000000"/>
                <w:sz w:val="20"/>
                <w:szCs w:val="20"/>
              </w:rPr>
              <w:t>1</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0DD2D42C" w14:textId="77777777">
            <w:pPr>
              <w:jc w:val="center"/>
              <w:rPr>
                <w:color w:val="000000"/>
                <w:sz w:val="20"/>
                <w:szCs w:val="20"/>
              </w:rPr>
            </w:pPr>
            <w:r w:rsidRPr="00C31E3F">
              <w:rPr>
                <w:color w:val="000000"/>
                <w:sz w:val="20"/>
                <w:szCs w:val="20"/>
              </w:rPr>
              <w:t>2</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6C225288" w14:textId="77777777">
            <w:pPr>
              <w:jc w:val="center"/>
              <w:rPr>
                <w:color w:val="000000"/>
                <w:sz w:val="20"/>
                <w:szCs w:val="20"/>
              </w:rPr>
            </w:pPr>
            <w:r w:rsidRPr="00C31E3F">
              <w:rPr>
                <w:color w:val="000000"/>
                <w:sz w:val="20"/>
                <w:szCs w:val="20"/>
              </w:rPr>
              <w:t>0.15</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7BC50E3C"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51C0041D" w14:textId="77777777">
            <w:pPr>
              <w:jc w:val="center"/>
              <w:rPr>
                <w:color w:val="000000"/>
                <w:sz w:val="20"/>
                <w:szCs w:val="20"/>
              </w:rPr>
            </w:pPr>
            <w:r w:rsidRPr="00C31E3F">
              <w:rPr>
                <w:color w:val="000000"/>
                <w:sz w:val="20"/>
                <w:szCs w:val="20"/>
              </w:rPr>
              <w:t>3.15</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4E6AB12A" w14:textId="77777777">
            <w:pPr>
              <w:jc w:val="center"/>
              <w:rPr>
                <w:color w:val="000000"/>
                <w:sz w:val="20"/>
                <w:szCs w:val="20"/>
              </w:rPr>
            </w:pPr>
            <w:r w:rsidRPr="00C31E3F">
              <w:rPr>
                <w:color w:val="000000"/>
                <w:sz w:val="20"/>
                <w:szCs w:val="20"/>
              </w:rPr>
              <w:t>$350.75</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6E1B6FEC" w14:textId="77777777">
            <w:pPr>
              <w:jc w:val="center"/>
              <w:rPr>
                <w:color w:val="000000"/>
                <w:sz w:val="20"/>
                <w:szCs w:val="20"/>
              </w:rPr>
            </w:pPr>
            <w:r w:rsidRPr="00C31E3F">
              <w:rPr>
                <w:color w:val="000000"/>
                <w:sz w:val="20"/>
                <w:szCs w:val="20"/>
              </w:rPr>
              <w:t>4324</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2DA19E81" w14:textId="77777777">
            <w:pPr>
              <w:jc w:val="right"/>
              <w:rPr>
                <w:color w:val="000000"/>
                <w:sz w:val="20"/>
                <w:szCs w:val="20"/>
              </w:rPr>
            </w:pPr>
            <w:r w:rsidRPr="00C31E3F">
              <w:rPr>
                <w:color w:val="000000"/>
                <w:sz w:val="20"/>
                <w:szCs w:val="20"/>
              </w:rPr>
              <w:t>13620.6</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2C4A98C0" w14:textId="77777777">
            <w:pPr>
              <w:jc w:val="right"/>
              <w:rPr>
                <w:color w:val="000000"/>
                <w:sz w:val="20"/>
                <w:szCs w:val="20"/>
              </w:rPr>
            </w:pPr>
            <w:r w:rsidRPr="00C31E3F">
              <w:rPr>
                <w:color w:val="000000"/>
                <w:sz w:val="20"/>
                <w:szCs w:val="20"/>
              </w:rPr>
              <w:t>$1,516,623.54</w:t>
            </w:r>
          </w:p>
        </w:tc>
      </w:tr>
      <w:tr w14:paraId="08C1EF64"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552884C" w14:textId="77777777">
            <w:pPr>
              <w:rPr>
                <w:color w:val="000000"/>
                <w:sz w:val="20"/>
                <w:szCs w:val="20"/>
              </w:rPr>
            </w:pPr>
            <w:r w:rsidRPr="00C31E3F">
              <w:rPr>
                <w:color w:val="000000"/>
                <w:sz w:val="20"/>
                <w:szCs w:val="20"/>
              </w:rPr>
              <w:t>6.</w:t>
            </w:r>
            <w:r>
              <w:rPr>
                <w:color w:val="000000"/>
                <w:sz w:val="20"/>
                <w:szCs w:val="20"/>
              </w:rPr>
              <w:t xml:space="preserve"> </w:t>
            </w:r>
            <w:r w:rsidRPr="00C31E3F">
              <w:rPr>
                <w:color w:val="000000"/>
                <w:sz w:val="20"/>
                <w:szCs w:val="20"/>
              </w:rPr>
              <w:t>Prepare QIP</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2A43AE11" w14:textId="77777777">
            <w:pPr>
              <w:jc w:val="center"/>
              <w:rPr>
                <w:color w:val="000000"/>
                <w:sz w:val="20"/>
                <w:szCs w:val="20"/>
              </w:rPr>
            </w:pPr>
            <w:r w:rsidRPr="00C31E3F">
              <w:rPr>
                <w:color w:val="000000"/>
                <w:sz w:val="20"/>
                <w:szCs w:val="20"/>
              </w:rPr>
              <w:t>5</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01798F95" w14:textId="77777777">
            <w:pPr>
              <w:jc w:val="center"/>
              <w:rPr>
                <w:color w:val="000000"/>
                <w:sz w:val="20"/>
                <w:szCs w:val="20"/>
              </w:rPr>
            </w:pPr>
            <w:r w:rsidRPr="00C31E3F">
              <w:rPr>
                <w:color w:val="000000"/>
                <w:sz w:val="20"/>
                <w:szCs w:val="20"/>
              </w:rPr>
              <w:t>20</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2F85EC98" w14:textId="77777777">
            <w:pPr>
              <w:jc w:val="center"/>
              <w:rPr>
                <w:color w:val="000000"/>
                <w:sz w:val="20"/>
                <w:szCs w:val="20"/>
              </w:rPr>
            </w:pPr>
            <w:r w:rsidRPr="00C31E3F">
              <w:rPr>
                <w:color w:val="000000"/>
                <w:sz w:val="20"/>
                <w:szCs w:val="20"/>
              </w:rPr>
              <w:t>1.25</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3FD2562A"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03407186" w14:textId="77777777">
            <w:pPr>
              <w:jc w:val="center"/>
              <w:rPr>
                <w:color w:val="000000"/>
                <w:sz w:val="20"/>
                <w:szCs w:val="20"/>
              </w:rPr>
            </w:pPr>
            <w:r w:rsidRPr="00C31E3F">
              <w:rPr>
                <w:color w:val="000000"/>
                <w:sz w:val="20"/>
                <w:szCs w:val="20"/>
              </w:rPr>
              <w:t>26.25</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5A4FDED2" w14:textId="77777777">
            <w:pPr>
              <w:jc w:val="center"/>
              <w:rPr>
                <w:color w:val="000000"/>
                <w:sz w:val="20"/>
                <w:szCs w:val="20"/>
              </w:rPr>
            </w:pPr>
            <w:r w:rsidRPr="00C31E3F">
              <w:rPr>
                <w:color w:val="000000"/>
                <w:sz w:val="20"/>
                <w:szCs w:val="20"/>
              </w:rPr>
              <w:t>$3,138.11</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45240086" w14:textId="77777777">
            <w:pPr>
              <w:jc w:val="center"/>
              <w:rPr>
                <w:color w:val="000000"/>
                <w:sz w:val="20"/>
                <w:szCs w:val="20"/>
              </w:rPr>
            </w:pPr>
            <w:r w:rsidRPr="00C31E3F">
              <w:rPr>
                <w:color w:val="000000"/>
                <w:sz w:val="20"/>
                <w:szCs w:val="20"/>
              </w:rPr>
              <w:t>9</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1134E42F" w14:textId="77777777">
            <w:pPr>
              <w:jc w:val="right"/>
              <w:rPr>
                <w:color w:val="000000"/>
                <w:sz w:val="20"/>
                <w:szCs w:val="20"/>
              </w:rPr>
            </w:pPr>
            <w:r w:rsidRPr="00C31E3F">
              <w:rPr>
                <w:color w:val="000000"/>
                <w:sz w:val="20"/>
                <w:szCs w:val="20"/>
              </w:rPr>
              <w:t>229.2</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352287D6" w14:textId="77777777">
            <w:pPr>
              <w:jc w:val="right"/>
              <w:rPr>
                <w:color w:val="000000"/>
                <w:sz w:val="20"/>
                <w:szCs w:val="20"/>
              </w:rPr>
            </w:pPr>
            <w:r w:rsidRPr="00C31E3F">
              <w:rPr>
                <w:color w:val="000000"/>
                <w:sz w:val="20"/>
                <w:szCs w:val="20"/>
              </w:rPr>
              <w:t>$27,399.49</w:t>
            </w:r>
          </w:p>
        </w:tc>
      </w:tr>
      <w:tr w14:paraId="76312151"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3099038" w14:textId="77777777">
            <w:pPr>
              <w:rPr>
                <w:color w:val="000000"/>
                <w:sz w:val="20"/>
                <w:szCs w:val="20"/>
              </w:rPr>
            </w:pPr>
            <w:r w:rsidRPr="00C31E3F">
              <w:rPr>
                <w:color w:val="000000"/>
                <w:sz w:val="20"/>
                <w:szCs w:val="20"/>
              </w:rPr>
              <w:t>7.</w:t>
            </w:r>
            <w:r>
              <w:rPr>
                <w:color w:val="000000"/>
                <w:sz w:val="20"/>
                <w:szCs w:val="20"/>
              </w:rPr>
              <w:t xml:space="preserve"> </w:t>
            </w:r>
            <w:r w:rsidRPr="00C31E3F">
              <w:rPr>
                <w:color w:val="000000"/>
                <w:sz w:val="20"/>
                <w:szCs w:val="20"/>
              </w:rPr>
              <w:t>Records of Corrective Actions</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70EE735B" w14:textId="77777777">
            <w:pPr>
              <w:jc w:val="center"/>
              <w:rPr>
                <w:color w:val="000000"/>
                <w:sz w:val="20"/>
                <w:szCs w:val="20"/>
              </w:rPr>
            </w:pPr>
            <w:r w:rsidRPr="00C31E3F">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06CC610C" w14:textId="77777777">
            <w:pPr>
              <w:jc w:val="center"/>
              <w:rPr>
                <w:color w:val="000000"/>
                <w:sz w:val="20"/>
                <w:szCs w:val="20"/>
              </w:rPr>
            </w:pPr>
            <w:r w:rsidRPr="00C31E3F">
              <w:rPr>
                <w:color w:val="000000"/>
                <w:sz w:val="20"/>
                <w:szCs w:val="20"/>
              </w:rPr>
              <w:t> </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69B3CDEB" w14:textId="77777777">
            <w:pPr>
              <w:jc w:val="center"/>
              <w:rPr>
                <w:color w:val="000000"/>
                <w:sz w:val="20"/>
                <w:szCs w:val="20"/>
              </w:rPr>
            </w:pPr>
            <w:r w:rsidRPr="00C31E3F">
              <w:rPr>
                <w:color w:val="000000"/>
                <w:sz w:val="20"/>
                <w:szCs w:val="20"/>
              </w:rPr>
              <w:t> </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31EF91EE" w14:textId="77777777">
            <w:pPr>
              <w:jc w:val="center"/>
              <w:rPr>
                <w:color w:val="000000"/>
                <w:sz w:val="20"/>
                <w:szCs w:val="20"/>
              </w:rPr>
            </w:pPr>
            <w:r w:rsidRPr="00C31E3F">
              <w:rPr>
                <w:color w:val="000000"/>
                <w:sz w:val="20"/>
                <w:szCs w:val="20"/>
              </w:rPr>
              <w:t> </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4EBE1DF8" w14:textId="77777777">
            <w:pPr>
              <w:jc w:val="center"/>
              <w:rPr>
                <w:color w:val="000000"/>
                <w:sz w:val="20"/>
                <w:szCs w:val="20"/>
              </w:rPr>
            </w:pPr>
            <w:r w:rsidRPr="00C31E3F">
              <w:rPr>
                <w:color w:val="000000"/>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6E908A02" w14:textId="77777777">
            <w:pPr>
              <w:jc w:val="center"/>
              <w:rPr>
                <w:color w:val="000000"/>
                <w:sz w:val="20"/>
                <w:szCs w:val="20"/>
              </w:rPr>
            </w:pPr>
            <w:r w:rsidRPr="00C31E3F">
              <w:rPr>
                <w:color w:val="000000"/>
                <w:sz w:val="20"/>
                <w:szCs w:val="20"/>
              </w:rPr>
              <w:t> </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3A0B638A" w14:textId="77777777">
            <w:pPr>
              <w:jc w:val="center"/>
              <w:rPr>
                <w:color w:val="000000"/>
                <w:sz w:val="20"/>
                <w:szCs w:val="20"/>
              </w:rPr>
            </w:pPr>
            <w:r w:rsidRPr="00C31E3F">
              <w:rPr>
                <w:color w:val="000000"/>
                <w:sz w:val="20"/>
                <w:szCs w:val="20"/>
              </w:rPr>
              <w:t> </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61F685DD" w14:textId="77777777">
            <w:pPr>
              <w:jc w:val="right"/>
              <w:rPr>
                <w:color w:val="000000"/>
                <w:sz w:val="20"/>
                <w:szCs w:val="20"/>
              </w:rPr>
            </w:pPr>
            <w:r w:rsidRPr="00C31E3F">
              <w:rPr>
                <w:color w:val="000000"/>
                <w:sz w:val="20"/>
                <w:szCs w:val="20"/>
              </w:rPr>
              <w:t> </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497A5C3B" w14:textId="77777777">
            <w:pPr>
              <w:jc w:val="right"/>
              <w:rPr>
                <w:color w:val="000000"/>
                <w:sz w:val="20"/>
                <w:szCs w:val="20"/>
              </w:rPr>
            </w:pPr>
            <w:r w:rsidRPr="00C31E3F">
              <w:rPr>
                <w:color w:val="000000"/>
                <w:sz w:val="20"/>
                <w:szCs w:val="20"/>
              </w:rPr>
              <w:t> </w:t>
            </w:r>
          </w:p>
        </w:tc>
      </w:tr>
      <w:tr w14:paraId="7D548799"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5D8111E"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PSEUs with instrumental systems</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5D158CEE" w14:textId="77777777">
            <w:pPr>
              <w:jc w:val="center"/>
              <w:rPr>
                <w:color w:val="000000"/>
                <w:sz w:val="20"/>
                <w:szCs w:val="20"/>
              </w:rPr>
            </w:pPr>
            <w:r w:rsidRPr="00C31E3F">
              <w:rPr>
                <w:color w:val="000000"/>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1ECC68EB" w14:textId="77777777">
            <w:pPr>
              <w:jc w:val="center"/>
              <w:rPr>
                <w:color w:val="000000"/>
                <w:sz w:val="20"/>
                <w:szCs w:val="20"/>
              </w:rPr>
            </w:pPr>
            <w:r w:rsidRPr="00C31E3F">
              <w:rPr>
                <w:color w:val="000000"/>
                <w:sz w:val="20"/>
                <w:szCs w:val="20"/>
              </w:rPr>
              <w:t>0.15</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22E1CCC6" w14:textId="77777777">
            <w:pPr>
              <w:jc w:val="center"/>
              <w:rPr>
                <w:color w:val="000000"/>
                <w:sz w:val="20"/>
                <w:szCs w:val="20"/>
              </w:rPr>
            </w:pPr>
            <w:r w:rsidRPr="00C31E3F">
              <w:rPr>
                <w:color w:val="000000"/>
                <w:sz w:val="20"/>
                <w:szCs w:val="20"/>
              </w:rPr>
              <w:t>0.0075</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4B7993C2"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12264C6D" w14:textId="77777777">
            <w:pPr>
              <w:jc w:val="center"/>
              <w:rPr>
                <w:color w:val="000000"/>
                <w:sz w:val="20"/>
                <w:szCs w:val="20"/>
              </w:rPr>
            </w:pPr>
            <w:r w:rsidRPr="00C31E3F">
              <w:rPr>
                <w:color w:val="000000"/>
                <w:sz w:val="20"/>
                <w:szCs w:val="20"/>
              </w:rPr>
              <w:t>0.1575</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624EA7FE" w14:textId="77777777">
            <w:pPr>
              <w:jc w:val="center"/>
              <w:rPr>
                <w:color w:val="000000"/>
                <w:sz w:val="20"/>
                <w:szCs w:val="20"/>
              </w:rPr>
            </w:pPr>
            <w:r w:rsidRPr="00C31E3F">
              <w:rPr>
                <w:color w:val="000000"/>
                <w:sz w:val="20"/>
                <w:szCs w:val="20"/>
              </w:rPr>
              <w:t>$20.77</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7E8FB687" w14:textId="77777777">
            <w:pPr>
              <w:jc w:val="center"/>
              <w:rPr>
                <w:color w:val="000000"/>
                <w:sz w:val="20"/>
                <w:szCs w:val="20"/>
              </w:rPr>
            </w:pPr>
            <w:r w:rsidRPr="00C31E3F">
              <w:rPr>
                <w:color w:val="000000"/>
                <w:sz w:val="20"/>
                <w:szCs w:val="20"/>
              </w:rPr>
              <w:t>1</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6A5A5187" w14:textId="77777777">
            <w:pPr>
              <w:jc w:val="right"/>
              <w:rPr>
                <w:color w:val="000000"/>
                <w:sz w:val="20"/>
                <w:szCs w:val="20"/>
              </w:rPr>
            </w:pPr>
            <w:r w:rsidRPr="00C31E3F">
              <w:rPr>
                <w:color w:val="000000"/>
                <w:sz w:val="20"/>
                <w:szCs w:val="20"/>
              </w:rPr>
              <w:t>0.2</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25F684E2" w14:textId="77777777">
            <w:pPr>
              <w:jc w:val="right"/>
              <w:rPr>
                <w:color w:val="000000"/>
                <w:sz w:val="20"/>
                <w:szCs w:val="20"/>
              </w:rPr>
            </w:pPr>
            <w:r w:rsidRPr="00C31E3F">
              <w:rPr>
                <w:color w:val="000000"/>
                <w:sz w:val="20"/>
                <w:szCs w:val="20"/>
              </w:rPr>
              <w:t>$23.43</w:t>
            </w:r>
          </w:p>
        </w:tc>
      </w:tr>
      <w:tr w14:paraId="7D1EAB3D"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2EE2ECF2"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PSEUs using work practices</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52A8DD33" w14:textId="77777777">
            <w:pPr>
              <w:jc w:val="center"/>
              <w:rPr>
                <w:color w:val="000000"/>
                <w:sz w:val="20"/>
                <w:szCs w:val="20"/>
              </w:rPr>
            </w:pPr>
            <w:r w:rsidRPr="00C31E3F">
              <w:rPr>
                <w:color w:val="000000"/>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333ACCD6" w14:textId="77777777">
            <w:pPr>
              <w:jc w:val="center"/>
              <w:rPr>
                <w:color w:val="000000"/>
                <w:sz w:val="20"/>
                <w:szCs w:val="20"/>
              </w:rPr>
            </w:pPr>
            <w:r w:rsidRPr="00C31E3F">
              <w:rPr>
                <w:color w:val="000000"/>
                <w:sz w:val="20"/>
                <w:szCs w:val="20"/>
              </w:rPr>
              <w:t>0.5</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71D10960" w14:textId="77777777">
            <w:pPr>
              <w:jc w:val="center"/>
              <w:rPr>
                <w:color w:val="000000"/>
                <w:sz w:val="20"/>
                <w:szCs w:val="20"/>
              </w:rPr>
            </w:pPr>
            <w:r w:rsidRPr="00C31E3F">
              <w:rPr>
                <w:color w:val="000000"/>
                <w:sz w:val="20"/>
                <w:szCs w:val="20"/>
              </w:rPr>
              <w:t>0.025</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7B61ADB2"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6D516F63" w14:textId="77777777">
            <w:pPr>
              <w:jc w:val="center"/>
              <w:rPr>
                <w:color w:val="000000"/>
                <w:sz w:val="20"/>
                <w:szCs w:val="20"/>
              </w:rPr>
            </w:pPr>
            <w:r w:rsidRPr="00C31E3F">
              <w:rPr>
                <w:color w:val="000000"/>
                <w:sz w:val="20"/>
                <w:szCs w:val="20"/>
              </w:rPr>
              <w:t>0.525</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682B0E31" w14:textId="77777777">
            <w:pPr>
              <w:jc w:val="center"/>
              <w:rPr>
                <w:color w:val="000000"/>
                <w:sz w:val="20"/>
                <w:szCs w:val="20"/>
              </w:rPr>
            </w:pPr>
            <w:r w:rsidRPr="00C31E3F">
              <w:rPr>
                <w:color w:val="000000"/>
                <w:sz w:val="20"/>
                <w:szCs w:val="20"/>
              </w:rPr>
              <w:t>$69.22</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56CC56ED" w14:textId="77777777">
            <w:pPr>
              <w:jc w:val="center"/>
              <w:rPr>
                <w:color w:val="000000"/>
                <w:sz w:val="20"/>
                <w:szCs w:val="20"/>
              </w:rPr>
            </w:pPr>
            <w:r w:rsidRPr="00C31E3F">
              <w:rPr>
                <w:color w:val="000000"/>
                <w:sz w:val="20"/>
                <w:szCs w:val="20"/>
              </w:rPr>
              <w:t>8</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782F95DD" w14:textId="77777777">
            <w:pPr>
              <w:jc w:val="right"/>
              <w:rPr>
                <w:color w:val="000000"/>
                <w:sz w:val="20"/>
                <w:szCs w:val="20"/>
              </w:rPr>
            </w:pPr>
            <w:r w:rsidRPr="00C31E3F">
              <w:rPr>
                <w:color w:val="000000"/>
                <w:sz w:val="20"/>
                <w:szCs w:val="20"/>
              </w:rPr>
              <w:t>4.0</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54954255" w14:textId="77777777">
            <w:pPr>
              <w:jc w:val="right"/>
              <w:rPr>
                <w:color w:val="000000"/>
                <w:sz w:val="20"/>
                <w:szCs w:val="20"/>
              </w:rPr>
            </w:pPr>
            <w:r w:rsidRPr="00C31E3F">
              <w:rPr>
                <w:color w:val="000000"/>
                <w:sz w:val="20"/>
                <w:szCs w:val="20"/>
              </w:rPr>
              <w:t>$526.26</w:t>
            </w:r>
          </w:p>
        </w:tc>
      </w:tr>
      <w:tr w14:paraId="4AEAD842"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C9C46BD" w14:textId="77777777">
            <w:pPr>
              <w:rPr>
                <w:color w:val="000000"/>
                <w:sz w:val="20"/>
                <w:szCs w:val="20"/>
              </w:rPr>
            </w:pPr>
            <w:r w:rsidRPr="00C31E3F">
              <w:rPr>
                <w:color w:val="000000"/>
                <w:sz w:val="20"/>
                <w:szCs w:val="20"/>
              </w:rPr>
              <w:t>8.</w:t>
            </w:r>
            <w:r>
              <w:rPr>
                <w:color w:val="000000"/>
                <w:sz w:val="20"/>
                <w:szCs w:val="20"/>
              </w:rPr>
              <w:t xml:space="preserve"> </w:t>
            </w:r>
            <w:r w:rsidRPr="00C31E3F">
              <w:rPr>
                <w:color w:val="000000"/>
                <w:sz w:val="20"/>
                <w:szCs w:val="20"/>
              </w:rPr>
              <w:t>Reporting of Corrective Actions</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325272A3" w14:textId="77777777">
            <w:pPr>
              <w:jc w:val="center"/>
              <w:rPr>
                <w:color w:val="000000"/>
                <w:sz w:val="20"/>
                <w:szCs w:val="20"/>
              </w:rPr>
            </w:pPr>
            <w:r w:rsidRPr="00C31E3F">
              <w:rPr>
                <w:color w:val="000000"/>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2004B6FA" w14:textId="77777777">
            <w:pPr>
              <w:jc w:val="center"/>
              <w:rPr>
                <w:color w:val="000000"/>
                <w:sz w:val="20"/>
                <w:szCs w:val="20"/>
              </w:rPr>
            </w:pPr>
            <w:r w:rsidRPr="00C31E3F">
              <w:rPr>
                <w:color w:val="000000"/>
                <w:sz w:val="20"/>
                <w:szCs w:val="20"/>
              </w:rPr>
              <w:t>0.5</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6FEC4D8A" w14:textId="77777777">
            <w:pPr>
              <w:jc w:val="center"/>
              <w:rPr>
                <w:color w:val="000000"/>
                <w:sz w:val="20"/>
                <w:szCs w:val="20"/>
              </w:rPr>
            </w:pPr>
            <w:r w:rsidRPr="00C31E3F">
              <w:rPr>
                <w:color w:val="000000"/>
                <w:sz w:val="20"/>
                <w:szCs w:val="20"/>
              </w:rPr>
              <w:t>0.025</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5767943A" w14:textId="77777777">
            <w:pPr>
              <w:jc w:val="center"/>
              <w:rPr>
                <w:color w:val="000000"/>
                <w:sz w:val="20"/>
                <w:szCs w:val="20"/>
              </w:rPr>
            </w:pPr>
            <w:r w:rsidRPr="00C31E3F">
              <w:rPr>
                <w:color w:val="000000"/>
                <w:sz w:val="20"/>
                <w:szCs w:val="20"/>
              </w:rPr>
              <w:t>2</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3BAE60E5" w14:textId="77777777">
            <w:pPr>
              <w:jc w:val="center"/>
              <w:rPr>
                <w:color w:val="000000"/>
                <w:sz w:val="20"/>
                <w:szCs w:val="20"/>
              </w:rPr>
            </w:pPr>
            <w:r w:rsidRPr="00C31E3F">
              <w:rPr>
                <w:color w:val="000000"/>
                <w:sz w:val="20"/>
                <w:szCs w:val="20"/>
              </w:rPr>
              <w:t>1.05</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2BC7F348" w14:textId="77777777">
            <w:pPr>
              <w:jc w:val="center"/>
              <w:rPr>
                <w:color w:val="000000"/>
                <w:sz w:val="20"/>
                <w:szCs w:val="20"/>
              </w:rPr>
            </w:pPr>
            <w:r w:rsidRPr="00C31E3F">
              <w:rPr>
                <w:color w:val="000000"/>
                <w:sz w:val="20"/>
                <w:szCs w:val="20"/>
              </w:rPr>
              <w:t>$138.44</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30CCCC93" w14:textId="77777777">
            <w:pPr>
              <w:jc w:val="center"/>
              <w:rPr>
                <w:color w:val="000000"/>
                <w:sz w:val="20"/>
                <w:szCs w:val="20"/>
              </w:rPr>
            </w:pPr>
            <w:r w:rsidRPr="00C31E3F">
              <w:rPr>
                <w:color w:val="000000"/>
                <w:sz w:val="20"/>
                <w:szCs w:val="20"/>
              </w:rPr>
              <w:t>9</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3BD0FED1" w14:textId="77777777">
            <w:pPr>
              <w:jc w:val="right"/>
              <w:rPr>
                <w:color w:val="000000"/>
                <w:sz w:val="20"/>
                <w:szCs w:val="20"/>
              </w:rPr>
            </w:pPr>
            <w:r w:rsidRPr="00C31E3F">
              <w:rPr>
                <w:color w:val="000000"/>
                <w:sz w:val="20"/>
                <w:szCs w:val="20"/>
              </w:rPr>
              <w:t>9.45</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5BCC627A" w14:textId="77777777">
            <w:pPr>
              <w:jc w:val="right"/>
              <w:rPr>
                <w:color w:val="000000"/>
                <w:sz w:val="20"/>
                <w:szCs w:val="20"/>
              </w:rPr>
            </w:pPr>
            <w:r w:rsidRPr="00C31E3F">
              <w:rPr>
                <w:color w:val="000000"/>
                <w:sz w:val="20"/>
                <w:szCs w:val="20"/>
              </w:rPr>
              <w:t>$1,245.95</w:t>
            </w:r>
          </w:p>
        </w:tc>
      </w:tr>
      <w:tr w14:paraId="49FAAE88"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2E773212" w14:textId="77777777">
            <w:pPr>
              <w:rPr>
                <w:color w:val="000000"/>
                <w:sz w:val="20"/>
                <w:szCs w:val="20"/>
              </w:rPr>
            </w:pPr>
            <w:r w:rsidRPr="00C31E3F">
              <w:rPr>
                <w:color w:val="000000"/>
                <w:sz w:val="20"/>
                <w:szCs w:val="20"/>
              </w:rPr>
              <w:t>9.</w:t>
            </w:r>
            <w:r>
              <w:rPr>
                <w:color w:val="000000"/>
                <w:sz w:val="20"/>
                <w:szCs w:val="20"/>
              </w:rPr>
              <w:t xml:space="preserve"> </w:t>
            </w:r>
            <w:r w:rsidRPr="00C31E3F">
              <w:rPr>
                <w:color w:val="000000"/>
                <w:sz w:val="20"/>
                <w:szCs w:val="20"/>
              </w:rPr>
              <w:t xml:space="preserve">Facility Certification </w:t>
            </w:r>
            <w:r w:rsidRPr="00C31E3F">
              <w:rPr>
                <w:color w:val="000000"/>
                <w:sz w:val="20"/>
                <w:szCs w:val="20"/>
                <w:vertAlign w:val="superscript"/>
              </w:rPr>
              <w:t>f</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2DC8AB11" w14:textId="77777777">
            <w:pPr>
              <w:jc w:val="center"/>
              <w:rPr>
                <w:color w:val="000000"/>
                <w:sz w:val="20"/>
                <w:szCs w:val="20"/>
              </w:rPr>
            </w:pPr>
            <w:r w:rsidRPr="00C31E3F">
              <w:rPr>
                <w:color w:val="000000"/>
                <w:sz w:val="20"/>
                <w:szCs w:val="20"/>
              </w:rPr>
              <w:t>0.7</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06576C71" w14:textId="77777777">
            <w:pPr>
              <w:jc w:val="center"/>
              <w:rPr>
                <w:color w:val="000000"/>
                <w:sz w:val="20"/>
                <w:szCs w:val="20"/>
              </w:rPr>
            </w:pPr>
            <w:r w:rsidRPr="00C31E3F">
              <w:rPr>
                <w:color w:val="000000"/>
                <w:sz w:val="20"/>
                <w:szCs w:val="20"/>
              </w:rPr>
              <w:t>0</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62E7E68B" w14:textId="77777777">
            <w:pPr>
              <w:jc w:val="center"/>
              <w:rPr>
                <w:color w:val="000000"/>
                <w:sz w:val="20"/>
                <w:szCs w:val="20"/>
              </w:rPr>
            </w:pPr>
            <w:r w:rsidRPr="00C31E3F">
              <w:rPr>
                <w:color w:val="000000"/>
                <w:sz w:val="20"/>
                <w:szCs w:val="20"/>
              </w:rPr>
              <w:t>0.035</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758444E0"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6E53322B" w14:textId="77777777">
            <w:pPr>
              <w:jc w:val="center"/>
              <w:rPr>
                <w:color w:val="000000"/>
                <w:sz w:val="20"/>
                <w:szCs w:val="20"/>
              </w:rPr>
            </w:pPr>
            <w:r w:rsidRPr="00C31E3F">
              <w:rPr>
                <w:color w:val="000000"/>
                <w:sz w:val="20"/>
                <w:szCs w:val="20"/>
              </w:rPr>
              <w:t>0.735</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08B891F0" w14:textId="77777777">
            <w:pPr>
              <w:jc w:val="center"/>
              <w:rPr>
                <w:color w:val="000000"/>
                <w:sz w:val="20"/>
                <w:szCs w:val="20"/>
              </w:rPr>
            </w:pPr>
            <w:r w:rsidRPr="00C31E3F">
              <w:rPr>
                <w:color w:val="000000"/>
                <w:sz w:val="20"/>
                <w:szCs w:val="20"/>
              </w:rPr>
              <w:t>$51.71</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2BC35079" w14:textId="77777777">
            <w:pPr>
              <w:jc w:val="center"/>
              <w:rPr>
                <w:color w:val="000000"/>
                <w:sz w:val="20"/>
                <w:szCs w:val="20"/>
              </w:rPr>
            </w:pPr>
            <w:r w:rsidRPr="00C31E3F">
              <w:rPr>
                <w:color w:val="000000"/>
                <w:sz w:val="20"/>
                <w:szCs w:val="20"/>
              </w:rPr>
              <w:t>0</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7EF2F2D7" w14:textId="77777777">
            <w:pPr>
              <w:jc w:val="right"/>
              <w:rPr>
                <w:color w:val="000000"/>
                <w:sz w:val="20"/>
                <w:szCs w:val="20"/>
              </w:rPr>
            </w:pPr>
            <w:r w:rsidRPr="00C31E3F">
              <w:rPr>
                <w:color w:val="000000"/>
                <w:sz w:val="20"/>
                <w:szCs w:val="20"/>
              </w:rPr>
              <w:t>0</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495B2DD9" w14:textId="77777777">
            <w:pPr>
              <w:jc w:val="right"/>
              <w:rPr>
                <w:color w:val="000000"/>
                <w:sz w:val="20"/>
                <w:szCs w:val="20"/>
              </w:rPr>
            </w:pPr>
            <w:r w:rsidRPr="00C31E3F">
              <w:rPr>
                <w:color w:val="000000"/>
                <w:sz w:val="20"/>
                <w:szCs w:val="20"/>
              </w:rPr>
              <w:t>$0.00</w:t>
            </w:r>
          </w:p>
        </w:tc>
      </w:tr>
      <w:tr w14:paraId="7B866CA6"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310662EF" w14:textId="77777777">
            <w:pPr>
              <w:rPr>
                <w:b/>
                <w:bCs/>
                <w:sz w:val="20"/>
                <w:szCs w:val="20"/>
              </w:rPr>
            </w:pPr>
            <w:r w:rsidRPr="00C31E3F">
              <w:rPr>
                <w:b/>
                <w:bCs/>
                <w:sz w:val="20"/>
                <w:szCs w:val="20"/>
              </w:rPr>
              <w:t xml:space="preserve">Total Labor Burden and Costs (rounded) </w:t>
            </w:r>
            <w:r w:rsidRPr="00C31E3F">
              <w:rPr>
                <w:b/>
                <w:bCs/>
                <w:sz w:val="20"/>
                <w:szCs w:val="20"/>
                <w:vertAlign w:val="superscript"/>
              </w:rPr>
              <w:t>g</w:t>
            </w:r>
          </w:p>
        </w:tc>
        <w:tc>
          <w:tcPr>
            <w:tcW w:w="3174" w:type="pct"/>
            <w:gridSpan w:val="7"/>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5D0E4842" w14:textId="77777777">
            <w:pPr>
              <w:jc w:val="center"/>
              <w:rPr>
                <w:b/>
                <w:bCs/>
                <w:sz w:val="20"/>
                <w:szCs w:val="20"/>
              </w:rPr>
            </w:pPr>
            <w:r w:rsidRPr="00C31E3F">
              <w:rPr>
                <w:b/>
                <w:bCs/>
                <w:sz w:val="20"/>
                <w:szCs w:val="20"/>
              </w:rPr>
              <w:t> </w:t>
            </w:r>
          </w:p>
        </w:tc>
        <w:tc>
          <w:tcPr>
            <w:tcW w:w="430" w:type="pct"/>
            <w:tcBorders>
              <w:top w:val="nil"/>
              <w:left w:val="nil"/>
              <w:bottom w:val="single" w:sz="4" w:space="0" w:color="auto"/>
              <w:right w:val="nil"/>
            </w:tcBorders>
            <w:shd w:val="clear" w:color="auto" w:fill="auto"/>
            <w:vAlign w:val="center"/>
            <w:hideMark/>
          </w:tcPr>
          <w:p w:rsidR="0039497E" w:rsidRPr="00C31E3F" w:rsidP="000C08CC" w14:paraId="07F6F93A" w14:textId="77777777">
            <w:pPr>
              <w:jc w:val="center"/>
              <w:rPr>
                <w:b/>
                <w:bCs/>
                <w:sz w:val="20"/>
                <w:szCs w:val="20"/>
              </w:rPr>
            </w:pPr>
            <w:r>
              <w:rPr>
                <w:b/>
                <w:bCs/>
                <w:sz w:val="20"/>
                <w:szCs w:val="20"/>
              </w:rPr>
              <w:t xml:space="preserve"> </w:t>
            </w:r>
            <w:r w:rsidRPr="00C31E3F">
              <w:rPr>
                <w:b/>
                <w:bCs/>
                <w:sz w:val="20"/>
                <w:szCs w:val="20"/>
              </w:rPr>
              <w:t xml:space="preserve">19,300 </w:t>
            </w:r>
          </w:p>
        </w:tc>
        <w:tc>
          <w:tcPr>
            <w:tcW w:w="533"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28C3D31B" w14:textId="77777777">
            <w:pPr>
              <w:jc w:val="right"/>
              <w:rPr>
                <w:b/>
                <w:bCs/>
                <w:i/>
                <w:iCs/>
                <w:sz w:val="20"/>
                <w:szCs w:val="20"/>
              </w:rPr>
            </w:pPr>
            <w:r w:rsidRPr="00C31E3F">
              <w:rPr>
                <w:b/>
                <w:bCs/>
                <w:i/>
                <w:iCs/>
                <w:sz w:val="20"/>
                <w:szCs w:val="20"/>
              </w:rPr>
              <w:t>$2,190,000</w:t>
            </w:r>
          </w:p>
        </w:tc>
      </w:tr>
      <w:tr w14:paraId="7385FB6B"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6F032532" w14:textId="77777777">
            <w:pPr>
              <w:rPr>
                <w:b/>
                <w:bCs/>
                <w:sz w:val="20"/>
                <w:szCs w:val="20"/>
              </w:rPr>
            </w:pPr>
            <w:r w:rsidRPr="00C31E3F">
              <w:rPr>
                <w:b/>
                <w:bCs/>
                <w:sz w:val="20"/>
                <w:szCs w:val="20"/>
              </w:rPr>
              <w:t>Total Capital and O&amp;M Cost (rounded)</w:t>
            </w:r>
            <w:r w:rsidRPr="00C31E3F">
              <w:rPr>
                <w:b/>
                <w:bCs/>
                <w:sz w:val="20"/>
                <w:szCs w:val="20"/>
                <w:vertAlign w:val="superscript"/>
              </w:rPr>
              <w:t xml:space="preserve"> g</w:t>
            </w:r>
          </w:p>
        </w:tc>
        <w:tc>
          <w:tcPr>
            <w:tcW w:w="3603" w:type="pct"/>
            <w:gridSpan w:val="8"/>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66B6E9F8" w14:textId="77777777">
            <w:pPr>
              <w:jc w:val="center"/>
              <w:rPr>
                <w:b/>
                <w:bCs/>
                <w:sz w:val="20"/>
                <w:szCs w:val="20"/>
              </w:rPr>
            </w:pPr>
            <w:r w:rsidRPr="00C31E3F">
              <w:rPr>
                <w:b/>
                <w:bCs/>
                <w:sz w:val="20"/>
                <w:szCs w:val="20"/>
              </w:rPr>
              <w:t> </w:t>
            </w:r>
          </w:p>
        </w:tc>
        <w:tc>
          <w:tcPr>
            <w:tcW w:w="533" w:type="pct"/>
            <w:tcBorders>
              <w:top w:val="nil"/>
              <w:left w:val="nil"/>
              <w:bottom w:val="single" w:sz="4" w:space="0" w:color="auto"/>
              <w:right w:val="single" w:sz="4" w:space="0" w:color="auto"/>
            </w:tcBorders>
            <w:shd w:val="clear" w:color="auto" w:fill="auto"/>
            <w:vAlign w:val="bottom"/>
            <w:hideMark/>
          </w:tcPr>
          <w:p w:rsidR="0039497E" w:rsidRPr="00C31E3F" w:rsidP="000C08CC" w14:paraId="123AC436" w14:textId="77777777">
            <w:pPr>
              <w:jc w:val="right"/>
              <w:rPr>
                <w:b/>
                <w:bCs/>
                <w:i/>
                <w:iCs/>
                <w:sz w:val="20"/>
                <w:szCs w:val="20"/>
              </w:rPr>
            </w:pPr>
            <w:r w:rsidRPr="00C31E3F">
              <w:rPr>
                <w:b/>
                <w:bCs/>
                <w:i/>
                <w:iCs/>
                <w:sz w:val="20"/>
                <w:szCs w:val="20"/>
              </w:rPr>
              <w:t xml:space="preserve">$0 </w:t>
            </w:r>
          </w:p>
        </w:tc>
      </w:tr>
      <w:tr w14:paraId="32DC49F9"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760B33B9" w14:textId="77777777">
            <w:pPr>
              <w:rPr>
                <w:b/>
                <w:bCs/>
                <w:sz w:val="20"/>
                <w:szCs w:val="20"/>
              </w:rPr>
            </w:pPr>
            <w:r w:rsidRPr="00C31E3F">
              <w:rPr>
                <w:b/>
                <w:bCs/>
                <w:sz w:val="20"/>
                <w:szCs w:val="20"/>
              </w:rPr>
              <w:t xml:space="preserve">GRAND TOTAL (rounded) </w:t>
            </w:r>
            <w:r w:rsidRPr="00C31E3F">
              <w:rPr>
                <w:b/>
                <w:bCs/>
                <w:sz w:val="20"/>
                <w:szCs w:val="20"/>
                <w:vertAlign w:val="superscript"/>
              </w:rPr>
              <w:t>g</w:t>
            </w:r>
          </w:p>
        </w:tc>
        <w:tc>
          <w:tcPr>
            <w:tcW w:w="3603" w:type="pct"/>
            <w:gridSpan w:val="8"/>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26CC4A27" w14:textId="77777777">
            <w:pPr>
              <w:jc w:val="center"/>
              <w:rPr>
                <w:b/>
                <w:bCs/>
                <w:sz w:val="20"/>
                <w:szCs w:val="20"/>
              </w:rPr>
            </w:pPr>
            <w:r w:rsidRPr="00C31E3F">
              <w:rPr>
                <w:b/>
                <w:bCs/>
                <w:sz w:val="20"/>
                <w:szCs w:val="20"/>
              </w:rPr>
              <w:t> </w:t>
            </w:r>
          </w:p>
        </w:tc>
        <w:tc>
          <w:tcPr>
            <w:tcW w:w="533" w:type="pct"/>
            <w:tcBorders>
              <w:top w:val="nil"/>
              <w:left w:val="nil"/>
              <w:bottom w:val="single" w:sz="4" w:space="0" w:color="auto"/>
              <w:right w:val="single" w:sz="4" w:space="0" w:color="auto"/>
            </w:tcBorders>
            <w:shd w:val="clear" w:color="auto" w:fill="auto"/>
            <w:vAlign w:val="bottom"/>
            <w:hideMark/>
          </w:tcPr>
          <w:p w:rsidR="0039497E" w:rsidRPr="00C31E3F" w:rsidP="000C08CC" w14:paraId="06457D15" w14:textId="77777777">
            <w:pPr>
              <w:jc w:val="right"/>
              <w:rPr>
                <w:b/>
                <w:bCs/>
                <w:i/>
                <w:iCs/>
                <w:sz w:val="20"/>
                <w:szCs w:val="20"/>
              </w:rPr>
            </w:pPr>
            <w:r w:rsidRPr="00C31E3F">
              <w:rPr>
                <w:b/>
                <w:bCs/>
                <w:i/>
                <w:iCs/>
                <w:sz w:val="20"/>
                <w:szCs w:val="20"/>
              </w:rPr>
              <w:t xml:space="preserve">$2,190,000 </w:t>
            </w:r>
          </w:p>
        </w:tc>
      </w:tr>
      <w:tr w14:paraId="5B6F35C4" w14:textId="77777777" w:rsidTr="0039497E">
        <w:tblPrEx>
          <w:tblW w:w="5000" w:type="pct"/>
          <w:tblLook w:val="04A0"/>
        </w:tblPrEx>
        <w:trPr>
          <w:trHeight w:val="276"/>
        </w:trPr>
        <w:tc>
          <w:tcPr>
            <w:tcW w:w="864" w:type="pct"/>
            <w:tcBorders>
              <w:top w:val="nil"/>
              <w:left w:val="nil"/>
              <w:bottom w:val="nil"/>
              <w:right w:val="nil"/>
            </w:tcBorders>
            <w:shd w:val="clear" w:color="auto" w:fill="auto"/>
            <w:noWrap/>
            <w:vAlign w:val="bottom"/>
            <w:hideMark/>
          </w:tcPr>
          <w:p w:rsidR="0039497E" w:rsidRPr="00C31E3F" w:rsidP="000C08CC" w14:paraId="480EA9E7" w14:textId="77777777">
            <w:pPr>
              <w:jc w:val="right"/>
              <w:rPr>
                <w:b/>
                <w:bCs/>
                <w:i/>
                <w:iCs/>
                <w:sz w:val="20"/>
                <w:szCs w:val="20"/>
              </w:rPr>
            </w:pPr>
          </w:p>
        </w:tc>
        <w:tc>
          <w:tcPr>
            <w:tcW w:w="434" w:type="pct"/>
            <w:tcBorders>
              <w:top w:val="nil"/>
              <w:left w:val="nil"/>
              <w:bottom w:val="nil"/>
              <w:right w:val="nil"/>
            </w:tcBorders>
            <w:shd w:val="clear" w:color="auto" w:fill="auto"/>
            <w:noWrap/>
            <w:vAlign w:val="bottom"/>
            <w:hideMark/>
          </w:tcPr>
          <w:p w:rsidR="0039497E" w:rsidRPr="00C31E3F" w:rsidP="000C08CC" w14:paraId="7598D197" w14:textId="77777777">
            <w:pPr>
              <w:rPr>
                <w:sz w:val="20"/>
                <w:szCs w:val="20"/>
              </w:rPr>
            </w:pPr>
          </w:p>
        </w:tc>
        <w:tc>
          <w:tcPr>
            <w:tcW w:w="434" w:type="pct"/>
            <w:tcBorders>
              <w:top w:val="nil"/>
              <w:left w:val="nil"/>
              <w:bottom w:val="nil"/>
              <w:right w:val="nil"/>
            </w:tcBorders>
            <w:shd w:val="clear" w:color="auto" w:fill="auto"/>
            <w:noWrap/>
            <w:vAlign w:val="bottom"/>
            <w:hideMark/>
          </w:tcPr>
          <w:p w:rsidR="0039497E" w:rsidRPr="00C31E3F" w:rsidP="000C08CC" w14:paraId="02AD836C" w14:textId="77777777">
            <w:pPr>
              <w:rPr>
                <w:sz w:val="20"/>
                <w:szCs w:val="20"/>
              </w:rPr>
            </w:pPr>
          </w:p>
        </w:tc>
        <w:tc>
          <w:tcPr>
            <w:tcW w:w="505" w:type="pct"/>
            <w:tcBorders>
              <w:top w:val="nil"/>
              <w:left w:val="nil"/>
              <w:bottom w:val="nil"/>
              <w:right w:val="nil"/>
            </w:tcBorders>
            <w:shd w:val="clear" w:color="auto" w:fill="auto"/>
            <w:noWrap/>
            <w:vAlign w:val="bottom"/>
            <w:hideMark/>
          </w:tcPr>
          <w:p w:rsidR="0039497E" w:rsidRPr="00C31E3F" w:rsidP="000C08CC" w14:paraId="5597798F" w14:textId="77777777">
            <w:pPr>
              <w:rPr>
                <w:sz w:val="20"/>
                <w:szCs w:val="20"/>
              </w:rPr>
            </w:pPr>
          </w:p>
        </w:tc>
        <w:tc>
          <w:tcPr>
            <w:tcW w:w="464" w:type="pct"/>
            <w:tcBorders>
              <w:top w:val="nil"/>
              <w:left w:val="nil"/>
              <w:bottom w:val="nil"/>
              <w:right w:val="nil"/>
            </w:tcBorders>
            <w:shd w:val="clear" w:color="auto" w:fill="auto"/>
            <w:noWrap/>
            <w:vAlign w:val="bottom"/>
            <w:hideMark/>
          </w:tcPr>
          <w:p w:rsidR="0039497E" w:rsidRPr="00C31E3F" w:rsidP="000C08CC" w14:paraId="2F1F4D0D" w14:textId="77777777">
            <w:pPr>
              <w:rPr>
                <w:sz w:val="20"/>
                <w:szCs w:val="20"/>
              </w:rPr>
            </w:pPr>
          </w:p>
        </w:tc>
        <w:tc>
          <w:tcPr>
            <w:tcW w:w="463" w:type="pct"/>
            <w:tcBorders>
              <w:top w:val="nil"/>
              <w:left w:val="nil"/>
              <w:bottom w:val="nil"/>
              <w:right w:val="nil"/>
            </w:tcBorders>
            <w:shd w:val="clear" w:color="auto" w:fill="auto"/>
            <w:noWrap/>
            <w:vAlign w:val="bottom"/>
            <w:hideMark/>
          </w:tcPr>
          <w:p w:rsidR="0039497E" w:rsidRPr="00C31E3F" w:rsidP="000C08CC" w14:paraId="5EDBBDFE" w14:textId="77777777">
            <w:pPr>
              <w:rPr>
                <w:sz w:val="20"/>
                <w:szCs w:val="20"/>
              </w:rPr>
            </w:pPr>
          </w:p>
        </w:tc>
        <w:tc>
          <w:tcPr>
            <w:tcW w:w="396" w:type="pct"/>
            <w:tcBorders>
              <w:top w:val="nil"/>
              <w:left w:val="nil"/>
              <w:bottom w:val="nil"/>
              <w:right w:val="nil"/>
            </w:tcBorders>
            <w:shd w:val="clear" w:color="auto" w:fill="auto"/>
            <w:noWrap/>
            <w:vAlign w:val="bottom"/>
            <w:hideMark/>
          </w:tcPr>
          <w:p w:rsidR="0039497E" w:rsidRPr="00C31E3F" w:rsidP="000C08CC" w14:paraId="2F14A40C" w14:textId="77777777">
            <w:pPr>
              <w:rPr>
                <w:sz w:val="20"/>
                <w:szCs w:val="20"/>
              </w:rPr>
            </w:pPr>
          </w:p>
        </w:tc>
        <w:tc>
          <w:tcPr>
            <w:tcW w:w="476" w:type="pct"/>
            <w:tcBorders>
              <w:top w:val="nil"/>
              <w:left w:val="nil"/>
              <w:bottom w:val="nil"/>
              <w:right w:val="nil"/>
            </w:tcBorders>
            <w:shd w:val="clear" w:color="auto" w:fill="auto"/>
            <w:noWrap/>
            <w:vAlign w:val="bottom"/>
            <w:hideMark/>
          </w:tcPr>
          <w:p w:rsidR="0039497E" w:rsidRPr="00C31E3F" w:rsidP="000C08CC" w14:paraId="45E633FB" w14:textId="77777777">
            <w:pPr>
              <w:rPr>
                <w:sz w:val="20"/>
                <w:szCs w:val="20"/>
              </w:rPr>
            </w:pPr>
          </w:p>
        </w:tc>
        <w:tc>
          <w:tcPr>
            <w:tcW w:w="430" w:type="pct"/>
            <w:tcBorders>
              <w:top w:val="nil"/>
              <w:left w:val="nil"/>
              <w:bottom w:val="nil"/>
              <w:right w:val="nil"/>
            </w:tcBorders>
            <w:shd w:val="clear" w:color="auto" w:fill="auto"/>
            <w:noWrap/>
            <w:vAlign w:val="bottom"/>
            <w:hideMark/>
          </w:tcPr>
          <w:p w:rsidR="0039497E" w:rsidRPr="00C31E3F" w:rsidP="000C08CC" w14:paraId="2B64F2EF" w14:textId="77777777">
            <w:pPr>
              <w:rPr>
                <w:sz w:val="20"/>
                <w:szCs w:val="20"/>
              </w:rPr>
            </w:pPr>
          </w:p>
        </w:tc>
        <w:tc>
          <w:tcPr>
            <w:tcW w:w="533" w:type="pct"/>
            <w:tcBorders>
              <w:top w:val="nil"/>
              <w:left w:val="nil"/>
              <w:bottom w:val="nil"/>
              <w:right w:val="nil"/>
            </w:tcBorders>
            <w:shd w:val="clear" w:color="auto" w:fill="auto"/>
            <w:noWrap/>
            <w:vAlign w:val="bottom"/>
            <w:hideMark/>
          </w:tcPr>
          <w:p w:rsidR="0039497E" w:rsidRPr="00C31E3F" w:rsidP="000C08CC" w14:paraId="5AC890FE" w14:textId="77777777">
            <w:pPr>
              <w:jc w:val="right"/>
              <w:rPr>
                <w:sz w:val="20"/>
                <w:szCs w:val="20"/>
              </w:rPr>
            </w:pPr>
          </w:p>
        </w:tc>
      </w:tr>
      <w:tr w14:paraId="2EBF98FC" w14:textId="77777777" w:rsidTr="000C08CC">
        <w:tblPrEx>
          <w:tblW w:w="5000" w:type="pct"/>
          <w:tblLook w:val="04A0"/>
        </w:tblPrEx>
        <w:trPr>
          <w:trHeight w:val="276"/>
        </w:trPr>
        <w:tc>
          <w:tcPr>
            <w:tcW w:w="5000" w:type="pct"/>
            <w:gridSpan w:val="10"/>
            <w:tcBorders>
              <w:top w:val="nil"/>
              <w:left w:val="nil"/>
              <w:bottom w:val="nil"/>
              <w:right w:val="nil"/>
            </w:tcBorders>
            <w:shd w:val="clear" w:color="auto" w:fill="auto"/>
            <w:noWrap/>
            <w:vAlign w:val="bottom"/>
            <w:hideMark/>
          </w:tcPr>
          <w:p w:rsidR="0039497E" w:rsidRPr="00C31E3F" w:rsidP="000C08CC" w14:paraId="546E83B5" w14:textId="77777777">
            <w:pPr>
              <w:rPr>
                <w:b/>
                <w:bCs/>
                <w:color w:val="000000"/>
                <w:sz w:val="20"/>
                <w:szCs w:val="20"/>
              </w:rPr>
            </w:pPr>
            <w:r w:rsidRPr="00C31E3F">
              <w:rPr>
                <w:b/>
                <w:bCs/>
                <w:color w:val="000000"/>
                <w:sz w:val="20"/>
                <w:szCs w:val="20"/>
              </w:rPr>
              <w:t>Assumptions:</w:t>
            </w:r>
          </w:p>
        </w:tc>
      </w:tr>
      <w:tr w14:paraId="10339FFA" w14:textId="77777777" w:rsidTr="000C08CC">
        <w:tblPrEx>
          <w:tblW w:w="5000" w:type="pct"/>
          <w:tblLook w:val="04A0"/>
        </w:tblPrEx>
        <w:trPr>
          <w:trHeight w:val="384"/>
        </w:trPr>
        <w:tc>
          <w:tcPr>
            <w:tcW w:w="5000" w:type="pct"/>
            <w:gridSpan w:val="10"/>
            <w:tcBorders>
              <w:top w:val="nil"/>
              <w:left w:val="nil"/>
              <w:bottom w:val="nil"/>
              <w:right w:val="nil"/>
            </w:tcBorders>
            <w:shd w:val="clear" w:color="auto" w:fill="auto"/>
            <w:hideMark/>
          </w:tcPr>
          <w:p w:rsidR="0039497E" w:rsidRPr="00C31E3F" w:rsidP="0039497E" w14:paraId="075CDA69" w14:textId="77777777">
            <w:pPr>
              <w:spacing w:line="240" w:lineRule="auto"/>
              <w:rPr>
                <w:sz w:val="20"/>
                <w:szCs w:val="20"/>
              </w:rPr>
            </w:pPr>
            <w:r w:rsidRPr="00C31E3F">
              <w:rPr>
                <w:sz w:val="20"/>
                <w:szCs w:val="20"/>
                <w:vertAlign w:val="superscript"/>
              </w:rPr>
              <w:t>a</w:t>
            </w:r>
            <w:r>
              <w:rPr>
                <w:sz w:val="20"/>
                <w:szCs w:val="20"/>
              </w:rPr>
              <w:t xml:space="preserve"> </w:t>
            </w:r>
            <w:r w:rsidRPr="00C31E3F">
              <w:rPr>
                <w:sz w:val="20"/>
                <w:szCs w:val="20"/>
              </w:rPr>
              <w:t>All hours are per PSEU unless otherwise noted.</w:t>
            </w:r>
          </w:p>
        </w:tc>
      </w:tr>
      <w:tr w14:paraId="6344BC1E" w14:textId="77777777" w:rsidTr="000C08CC">
        <w:tblPrEx>
          <w:tblW w:w="5000" w:type="pct"/>
          <w:tblLook w:val="04A0"/>
        </w:tblPrEx>
        <w:trPr>
          <w:trHeight w:val="1143"/>
        </w:trPr>
        <w:tc>
          <w:tcPr>
            <w:tcW w:w="5000" w:type="pct"/>
            <w:gridSpan w:val="10"/>
            <w:tcBorders>
              <w:top w:val="nil"/>
              <w:left w:val="nil"/>
              <w:bottom w:val="nil"/>
              <w:right w:val="nil"/>
            </w:tcBorders>
            <w:shd w:val="clear" w:color="auto" w:fill="auto"/>
            <w:hideMark/>
          </w:tcPr>
          <w:p w:rsidR="0039497E" w:rsidRPr="00C31E3F" w:rsidP="0039497E" w14:paraId="278CE548" w14:textId="77777777">
            <w:pPr>
              <w:spacing w:line="240" w:lineRule="auto"/>
              <w:rPr>
                <w:sz w:val="20"/>
                <w:szCs w:val="20"/>
              </w:rPr>
            </w:pPr>
            <w:r w:rsidRPr="00C31E3F">
              <w:rPr>
                <w:sz w:val="20"/>
                <w:szCs w:val="20"/>
                <w:vertAlign w:val="superscript"/>
              </w:rPr>
              <w:t>b</w:t>
            </w:r>
            <w:r>
              <w:rPr>
                <w:sz w:val="20"/>
                <w:szCs w:val="20"/>
              </w:rPr>
              <w:t xml:space="preserve"> </w:t>
            </w:r>
            <w:r w:rsidRPr="00C31E3F">
              <w:rPr>
                <w:sz w:val="20"/>
                <w:szCs w:val="20"/>
              </w:rPr>
              <w:t>This ICR uses the following labor rates: $163.17 ($77.70 + 110%) per hour for Executive, Administrative, and Managerial labor; $130.28 ($62.04 + 110%) per hour for Technical labor, and $65.71 ($31.29 + 110%) per hour for Clerical labor.</w:t>
            </w:r>
            <w:r>
              <w:rPr>
                <w:sz w:val="20"/>
                <w:szCs w:val="20"/>
              </w:rPr>
              <w:t xml:space="preserve"> </w:t>
            </w:r>
            <w:r w:rsidRPr="00C31E3F">
              <w:rPr>
                <w:sz w:val="20"/>
                <w:szCs w:val="20"/>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7A0FB863" w14:textId="77777777" w:rsidTr="000C08CC">
        <w:tblPrEx>
          <w:tblW w:w="5000" w:type="pct"/>
          <w:tblLook w:val="04A0"/>
        </w:tblPrEx>
        <w:trPr>
          <w:trHeight w:val="252"/>
        </w:trPr>
        <w:tc>
          <w:tcPr>
            <w:tcW w:w="5000" w:type="pct"/>
            <w:gridSpan w:val="10"/>
            <w:tcBorders>
              <w:top w:val="nil"/>
              <w:left w:val="nil"/>
              <w:bottom w:val="nil"/>
              <w:right w:val="nil"/>
            </w:tcBorders>
            <w:shd w:val="clear" w:color="auto" w:fill="auto"/>
            <w:vAlign w:val="bottom"/>
            <w:hideMark/>
          </w:tcPr>
          <w:p w:rsidR="0039497E" w:rsidRPr="00C31E3F" w:rsidP="0039497E" w14:paraId="5EF1B73E" w14:textId="77777777">
            <w:pPr>
              <w:spacing w:line="240" w:lineRule="auto"/>
              <w:rPr>
                <w:sz w:val="20"/>
                <w:szCs w:val="20"/>
              </w:rPr>
            </w:pPr>
            <w:r w:rsidRPr="00C31E3F">
              <w:rPr>
                <w:sz w:val="20"/>
                <w:szCs w:val="20"/>
                <w:vertAlign w:val="superscript"/>
              </w:rPr>
              <w:t>c</w:t>
            </w:r>
            <w:r>
              <w:rPr>
                <w:sz w:val="20"/>
                <w:szCs w:val="20"/>
              </w:rPr>
              <w:t xml:space="preserve"> </w:t>
            </w:r>
            <w:r w:rsidRPr="00C31E3F">
              <w:rPr>
                <w:sz w:val="20"/>
                <w:szCs w:val="20"/>
              </w:rPr>
              <w:t>See section 4(b)(ii) for a description of these activities.</w:t>
            </w:r>
          </w:p>
        </w:tc>
      </w:tr>
      <w:tr w14:paraId="4C017D60" w14:textId="77777777" w:rsidTr="000C08CC">
        <w:tblPrEx>
          <w:tblW w:w="5000" w:type="pct"/>
          <w:tblLook w:val="04A0"/>
        </w:tblPrEx>
        <w:trPr>
          <w:trHeight w:val="270"/>
        </w:trPr>
        <w:tc>
          <w:tcPr>
            <w:tcW w:w="5000" w:type="pct"/>
            <w:gridSpan w:val="10"/>
            <w:tcBorders>
              <w:top w:val="nil"/>
              <w:left w:val="nil"/>
              <w:bottom w:val="nil"/>
              <w:right w:val="nil"/>
            </w:tcBorders>
            <w:shd w:val="clear" w:color="auto" w:fill="auto"/>
            <w:vAlign w:val="bottom"/>
            <w:hideMark/>
          </w:tcPr>
          <w:p w:rsidR="0039497E" w:rsidRPr="00C31E3F" w:rsidP="0039497E" w14:paraId="48219943" w14:textId="77777777">
            <w:pPr>
              <w:spacing w:line="240" w:lineRule="auto"/>
              <w:rPr>
                <w:sz w:val="20"/>
                <w:szCs w:val="20"/>
              </w:rPr>
            </w:pPr>
            <w:r w:rsidRPr="00C31E3F">
              <w:rPr>
                <w:sz w:val="20"/>
                <w:szCs w:val="20"/>
                <w:vertAlign w:val="superscript"/>
              </w:rPr>
              <w:t>d</w:t>
            </w:r>
            <w:r>
              <w:rPr>
                <w:sz w:val="20"/>
                <w:szCs w:val="20"/>
                <w:vertAlign w:val="superscript"/>
              </w:rPr>
              <w:t xml:space="preserve"> </w:t>
            </w:r>
            <w:r w:rsidRPr="00C31E3F">
              <w:rPr>
                <w:sz w:val="20"/>
                <w:szCs w:val="20"/>
              </w:rPr>
              <w:t>Hours are per facility, not per PSEU; number of respondents are facilities, not PSEUs.</w:t>
            </w:r>
          </w:p>
        </w:tc>
      </w:tr>
      <w:tr w14:paraId="082CD1DF" w14:textId="77777777" w:rsidTr="000C08CC">
        <w:tblPrEx>
          <w:tblW w:w="5000" w:type="pct"/>
          <w:tblLook w:val="04A0"/>
        </w:tblPrEx>
        <w:trPr>
          <w:trHeight w:val="270"/>
        </w:trPr>
        <w:tc>
          <w:tcPr>
            <w:tcW w:w="5000" w:type="pct"/>
            <w:gridSpan w:val="10"/>
            <w:tcBorders>
              <w:top w:val="nil"/>
              <w:left w:val="nil"/>
              <w:bottom w:val="nil"/>
              <w:right w:val="nil"/>
            </w:tcBorders>
            <w:shd w:val="clear" w:color="auto" w:fill="auto"/>
            <w:vAlign w:val="bottom"/>
            <w:hideMark/>
          </w:tcPr>
          <w:p w:rsidR="0039497E" w:rsidRPr="00C31E3F" w:rsidP="0039497E" w14:paraId="7033A423" w14:textId="77777777">
            <w:pPr>
              <w:spacing w:line="240" w:lineRule="auto"/>
              <w:rPr>
                <w:sz w:val="20"/>
                <w:szCs w:val="20"/>
              </w:rPr>
            </w:pPr>
            <w:r w:rsidRPr="00C31E3F">
              <w:rPr>
                <w:sz w:val="20"/>
                <w:szCs w:val="20"/>
                <w:vertAlign w:val="superscript"/>
              </w:rPr>
              <w:t>e</w:t>
            </w:r>
            <w:r>
              <w:rPr>
                <w:sz w:val="20"/>
                <w:szCs w:val="20"/>
              </w:rPr>
              <w:t xml:space="preserve"> </w:t>
            </w:r>
            <w:r w:rsidRPr="00C31E3F">
              <w:rPr>
                <w:sz w:val="20"/>
                <w:szCs w:val="20"/>
              </w:rPr>
              <w:t>One-time activity.</w:t>
            </w:r>
          </w:p>
        </w:tc>
      </w:tr>
      <w:tr w14:paraId="453BBBC9" w14:textId="77777777" w:rsidTr="000C08CC">
        <w:tblPrEx>
          <w:tblW w:w="5000" w:type="pct"/>
          <w:tblLook w:val="04A0"/>
        </w:tblPrEx>
        <w:trPr>
          <w:trHeight w:val="270"/>
        </w:trPr>
        <w:tc>
          <w:tcPr>
            <w:tcW w:w="5000" w:type="pct"/>
            <w:gridSpan w:val="10"/>
            <w:tcBorders>
              <w:top w:val="nil"/>
              <w:left w:val="nil"/>
              <w:bottom w:val="nil"/>
              <w:right w:val="nil"/>
            </w:tcBorders>
            <w:shd w:val="clear" w:color="auto" w:fill="auto"/>
            <w:vAlign w:val="bottom"/>
            <w:hideMark/>
          </w:tcPr>
          <w:p w:rsidR="0039497E" w:rsidRPr="00C31E3F" w:rsidP="0039497E" w14:paraId="3A7C14EE" w14:textId="77777777">
            <w:pPr>
              <w:spacing w:line="240" w:lineRule="auto"/>
              <w:rPr>
                <w:sz w:val="20"/>
                <w:szCs w:val="20"/>
              </w:rPr>
            </w:pPr>
            <w:r w:rsidRPr="00C31E3F">
              <w:rPr>
                <w:sz w:val="20"/>
                <w:szCs w:val="20"/>
                <w:vertAlign w:val="superscript"/>
              </w:rPr>
              <w:t>f</w:t>
            </w:r>
            <w:r>
              <w:rPr>
                <w:sz w:val="20"/>
                <w:szCs w:val="20"/>
              </w:rPr>
              <w:t xml:space="preserve"> </w:t>
            </w:r>
            <w:r w:rsidRPr="00C31E3F">
              <w:rPr>
                <w:sz w:val="20"/>
                <w:szCs w:val="20"/>
              </w:rPr>
              <w:t>3 hours per facility converted to impact per PSEU by dividing by the average number of PSEUs per facility with at least one PSEU (4.27).</w:t>
            </w:r>
          </w:p>
        </w:tc>
      </w:tr>
      <w:tr w14:paraId="57299697" w14:textId="77777777" w:rsidTr="000C08CC">
        <w:tblPrEx>
          <w:tblW w:w="5000" w:type="pct"/>
          <w:tblLook w:val="04A0"/>
        </w:tblPrEx>
        <w:trPr>
          <w:trHeight w:val="405"/>
        </w:trPr>
        <w:tc>
          <w:tcPr>
            <w:tcW w:w="5000" w:type="pct"/>
            <w:gridSpan w:val="10"/>
            <w:tcBorders>
              <w:top w:val="nil"/>
              <w:left w:val="nil"/>
              <w:bottom w:val="nil"/>
              <w:right w:val="nil"/>
            </w:tcBorders>
            <w:shd w:val="clear" w:color="auto" w:fill="auto"/>
            <w:vAlign w:val="center"/>
            <w:hideMark/>
          </w:tcPr>
          <w:p w:rsidR="0039497E" w:rsidRPr="00C31E3F" w:rsidP="0039497E" w14:paraId="1F9FF93F" w14:textId="77777777">
            <w:pPr>
              <w:spacing w:line="240" w:lineRule="auto"/>
              <w:rPr>
                <w:sz w:val="20"/>
                <w:szCs w:val="20"/>
              </w:rPr>
            </w:pPr>
            <w:r w:rsidRPr="00C31E3F">
              <w:rPr>
                <w:sz w:val="20"/>
                <w:szCs w:val="20"/>
                <w:vertAlign w:val="superscript"/>
              </w:rPr>
              <w:t>g</w:t>
            </w:r>
            <w:r w:rsidRPr="00C31E3F">
              <w:rPr>
                <w:sz w:val="20"/>
                <w:szCs w:val="20"/>
              </w:rPr>
              <w:t xml:space="preserve"> Totals have been rounded to 3 significant figures. Figures may not add exactly due to rounding.</w:t>
            </w:r>
          </w:p>
        </w:tc>
      </w:tr>
    </w:tbl>
    <w:p w:rsidR="0039497E" w:rsidP="0039497E" w14:paraId="7182FB3D" w14:textId="77777777"/>
    <w:p w:rsidR="0039497E" w:rsidRPr="002D57B3" w:rsidP="0039497E" w14:paraId="48ED51F0" w14:textId="77777777">
      <w:pPr>
        <w:rPr>
          <w:b/>
          <w:bCs/>
        </w:rPr>
      </w:pPr>
      <w:r w:rsidRPr="002D57B3">
        <w:rPr>
          <w:b/>
          <w:bCs/>
        </w:rPr>
        <w:t>Table 6.1b: Total Source Burden and Labor Costs for All "Large" and "Other" Sources - All Pollutants, 2024-25</w:t>
      </w:r>
    </w:p>
    <w:tbl>
      <w:tblPr>
        <w:tblW w:w="5000" w:type="pct"/>
        <w:tblLook w:val="04A0"/>
      </w:tblPr>
      <w:tblGrid>
        <w:gridCol w:w="3101"/>
        <w:gridCol w:w="1124"/>
        <w:gridCol w:w="1124"/>
        <w:gridCol w:w="1309"/>
        <w:gridCol w:w="1203"/>
        <w:gridCol w:w="1200"/>
        <w:gridCol w:w="1026"/>
        <w:gridCol w:w="1234"/>
        <w:gridCol w:w="1113"/>
        <w:gridCol w:w="1380"/>
      </w:tblGrid>
      <w:tr w14:paraId="67827977" w14:textId="77777777" w:rsidTr="000C08CC">
        <w:tblPrEx>
          <w:tblW w:w="5000" w:type="pct"/>
          <w:tblLook w:val="04A0"/>
        </w:tblPrEx>
        <w:trPr>
          <w:trHeight w:val="288"/>
        </w:trPr>
        <w:tc>
          <w:tcPr>
            <w:tcW w:w="14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497E" w:rsidRPr="00C31E3F" w:rsidP="000C08CC" w14:paraId="536D4AEA" w14:textId="77777777">
            <w:pPr>
              <w:jc w:val="center"/>
              <w:rPr>
                <w:color w:val="000000"/>
                <w:sz w:val="20"/>
                <w:szCs w:val="20"/>
              </w:rPr>
            </w:pPr>
            <w:r w:rsidRPr="00C31E3F">
              <w:rPr>
                <w:color w:val="000000"/>
                <w:sz w:val="20"/>
                <w:szCs w:val="20"/>
              </w:rPr>
              <w:t xml:space="preserve">Burden Item </w:t>
            </w:r>
            <w:r w:rsidRPr="00C31E3F">
              <w:rPr>
                <w:color w:val="000000"/>
                <w:sz w:val="20"/>
                <w:szCs w:val="20"/>
                <w:vertAlign w:val="superscript"/>
              </w:rPr>
              <w:t>c</w:t>
            </w:r>
          </w:p>
        </w:tc>
        <w:tc>
          <w:tcPr>
            <w:tcW w:w="2304" w:type="pct"/>
            <w:gridSpan w:val="6"/>
            <w:tcBorders>
              <w:top w:val="single" w:sz="4" w:space="0" w:color="auto"/>
              <w:left w:val="nil"/>
              <w:bottom w:val="single" w:sz="4" w:space="0" w:color="auto"/>
              <w:right w:val="single" w:sz="4" w:space="0" w:color="000000"/>
            </w:tcBorders>
            <w:shd w:val="clear" w:color="auto" w:fill="auto"/>
            <w:noWrap/>
            <w:vAlign w:val="bottom"/>
            <w:hideMark/>
          </w:tcPr>
          <w:p w:rsidR="0039497E" w:rsidRPr="00C31E3F" w:rsidP="000C08CC" w14:paraId="22DFCDF9" w14:textId="77777777">
            <w:pPr>
              <w:jc w:val="center"/>
              <w:rPr>
                <w:color w:val="000000"/>
                <w:sz w:val="20"/>
                <w:szCs w:val="20"/>
              </w:rPr>
            </w:pPr>
            <w:r w:rsidRPr="00C31E3F">
              <w:rPr>
                <w:color w:val="000000"/>
                <w:sz w:val="20"/>
                <w:szCs w:val="20"/>
              </w:rPr>
              <w:t xml:space="preserve">Hours </w:t>
            </w:r>
            <w:r w:rsidRPr="00C31E3F">
              <w:rPr>
                <w:color w:val="000000"/>
                <w:sz w:val="20"/>
                <w:szCs w:val="20"/>
                <w:vertAlign w:val="superscript"/>
              </w:rPr>
              <w:t>a</w:t>
            </w:r>
            <w:r w:rsidRPr="00C31E3F">
              <w:rPr>
                <w:color w:val="000000"/>
                <w:sz w:val="20"/>
                <w:szCs w:val="20"/>
              </w:rPr>
              <w:t xml:space="preserve"> and Costs </w:t>
            </w:r>
            <w:r w:rsidRPr="00C31E3F">
              <w:rPr>
                <w:color w:val="000000"/>
                <w:sz w:val="20"/>
                <w:szCs w:val="20"/>
                <w:vertAlign w:val="superscript"/>
              </w:rPr>
              <w:t>b</w:t>
            </w:r>
            <w:r w:rsidRPr="00C31E3F">
              <w:rPr>
                <w:color w:val="000000"/>
                <w:sz w:val="20"/>
                <w:szCs w:val="20"/>
              </w:rPr>
              <w:t xml:space="preserve"> Per Respondents</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7EED908F" w14:textId="77777777">
            <w:pPr>
              <w:rPr>
                <w:sz w:val="20"/>
                <w:szCs w:val="20"/>
              </w:rPr>
            </w:pPr>
            <w:r w:rsidRPr="00C31E3F">
              <w:rPr>
                <w:sz w:val="20"/>
                <w:szCs w:val="20"/>
              </w:rPr>
              <w:t> </w:t>
            </w:r>
          </w:p>
        </w:tc>
        <w:tc>
          <w:tcPr>
            <w:tcW w:w="423"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7ACFCC9C" w14:textId="77777777">
            <w:pPr>
              <w:jc w:val="right"/>
              <w:rPr>
                <w:color w:val="000000"/>
                <w:sz w:val="20"/>
                <w:szCs w:val="20"/>
              </w:rPr>
            </w:pPr>
            <w:r w:rsidRPr="00C31E3F">
              <w:rPr>
                <w:color w:val="000000"/>
                <w:sz w:val="20"/>
                <w:szCs w:val="20"/>
              </w:rPr>
              <w:t> </w:t>
            </w:r>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10E976E2" w14:textId="77777777">
            <w:pPr>
              <w:jc w:val="right"/>
              <w:rPr>
                <w:color w:val="000000"/>
                <w:sz w:val="20"/>
                <w:szCs w:val="20"/>
              </w:rPr>
            </w:pPr>
            <w:r w:rsidRPr="00C31E3F">
              <w:rPr>
                <w:color w:val="000000"/>
                <w:sz w:val="20"/>
                <w:szCs w:val="20"/>
              </w:rPr>
              <w:t> </w:t>
            </w:r>
          </w:p>
        </w:tc>
      </w:tr>
      <w:tr w14:paraId="6BCA9D9E" w14:textId="77777777" w:rsidTr="000C08CC">
        <w:tblPrEx>
          <w:tblW w:w="5000" w:type="pct"/>
          <w:tblLook w:val="04A0"/>
        </w:tblPrEx>
        <w:trPr>
          <w:trHeight w:val="1584"/>
        </w:trPr>
        <w:tc>
          <w:tcPr>
            <w:tcW w:w="1481" w:type="pct"/>
            <w:vMerge/>
            <w:tcBorders>
              <w:top w:val="single" w:sz="4" w:space="0" w:color="auto"/>
              <w:left w:val="single" w:sz="4" w:space="0" w:color="auto"/>
              <w:bottom w:val="single" w:sz="4" w:space="0" w:color="000000"/>
              <w:right w:val="single" w:sz="4" w:space="0" w:color="auto"/>
            </w:tcBorders>
            <w:vAlign w:val="center"/>
            <w:hideMark/>
          </w:tcPr>
          <w:p w:rsidR="0039497E" w:rsidRPr="00C31E3F" w:rsidP="000C08CC" w14:paraId="137AC15F" w14:textId="77777777">
            <w:pPr>
              <w:rPr>
                <w:color w:val="000000"/>
                <w:sz w:val="20"/>
                <w:szCs w:val="20"/>
              </w:rPr>
            </w:pP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675905A4" w14:textId="77777777">
            <w:pPr>
              <w:jc w:val="center"/>
              <w:rPr>
                <w:color w:val="000000"/>
                <w:sz w:val="20"/>
                <w:szCs w:val="20"/>
              </w:rPr>
            </w:pPr>
            <w:r w:rsidRPr="00C31E3F">
              <w:rPr>
                <w:color w:val="000000"/>
                <w:sz w:val="20"/>
                <w:szCs w:val="20"/>
              </w:rPr>
              <w:t>(A)</w:t>
            </w:r>
            <w:r w:rsidRPr="00C31E3F">
              <w:rPr>
                <w:color w:val="000000"/>
                <w:sz w:val="20"/>
                <w:szCs w:val="20"/>
              </w:rPr>
              <w:br/>
              <w:t>Clerical hours per occurrence</w:t>
            </w: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5D3A6441" w14:textId="77777777">
            <w:pPr>
              <w:jc w:val="center"/>
              <w:rPr>
                <w:color w:val="000000"/>
                <w:sz w:val="20"/>
                <w:szCs w:val="20"/>
              </w:rPr>
            </w:pPr>
            <w:r w:rsidRPr="00C31E3F">
              <w:rPr>
                <w:color w:val="000000"/>
                <w:sz w:val="20"/>
                <w:szCs w:val="20"/>
              </w:rPr>
              <w:t>(B)</w:t>
            </w:r>
            <w:r w:rsidRPr="00C31E3F">
              <w:rPr>
                <w:color w:val="000000"/>
                <w:sz w:val="20"/>
                <w:szCs w:val="20"/>
              </w:rPr>
              <w:br/>
              <w:t>Technical hours per occurrence</w:t>
            </w:r>
          </w:p>
        </w:tc>
        <w:tc>
          <w:tcPr>
            <w:tcW w:w="412" w:type="pct"/>
            <w:tcBorders>
              <w:top w:val="nil"/>
              <w:left w:val="nil"/>
              <w:bottom w:val="single" w:sz="4" w:space="0" w:color="auto"/>
              <w:right w:val="single" w:sz="4" w:space="0" w:color="auto"/>
            </w:tcBorders>
            <w:shd w:val="clear" w:color="auto" w:fill="auto"/>
            <w:hideMark/>
          </w:tcPr>
          <w:p w:rsidR="0039497E" w:rsidRPr="00C31E3F" w:rsidP="000C08CC" w14:paraId="2424FF3C" w14:textId="77777777">
            <w:pPr>
              <w:jc w:val="center"/>
              <w:rPr>
                <w:color w:val="000000"/>
                <w:sz w:val="20"/>
                <w:szCs w:val="20"/>
              </w:rPr>
            </w:pPr>
            <w:r w:rsidRPr="00C31E3F">
              <w:rPr>
                <w:color w:val="000000"/>
                <w:sz w:val="20"/>
                <w:szCs w:val="20"/>
              </w:rPr>
              <w:t xml:space="preserve">(C) </w:t>
            </w:r>
            <w:r w:rsidRPr="00C31E3F">
              <w:rPr>
                <w:color w:val="000000"/>
                <w:sz w:val="20"/>
                <w:szCs w:val="20"/>
              </w:rPr>
              <w:br/>
              <w:t>Management hours per occurrence ([A+B]x0.05)</w:t>
            </w: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3A6070AC" w14:textId="77777777">
            <w:pPr>
              <w:jc w:val="center"/>
              <w:rPr>
                <w:color w:val="000000"/>
                <w:sz w:val="20"/>
                <w:szCs w:val="20"/>
              </w:rPr>
            </w:pPr>
            <w:r w:rsidRPr="00C31E3F">
              <w:rPr>
                <w:color w:val="000000"/>
                <w:sz w:val="20"/>
                <w:szCs w:val="20"/>
              </w:rPr>
              <w:t>(D)</w:t>
            </w:r>
            <w:r w:rsidRPr="00C31E3F">
              <w:rPr>
                <w:color w:val="000000"/>
                <w:sz w:val="20"/>
                <w:szCs w:val="20"/>
              </w:rPr>
              <w:br/>
              <w:t xml:space="preserve">Annual occurrences </w:t>
            </w:r>
          </w:p>
        </w:tc>
        <w:tc>
          <w:tcPr>
            <w:tcW w:w="424" w:type="pct"/>
            <w:tcBorders>
              <w:top w:val="nil"/>
              <w:left w:val="nil"/>
              <w:bottom w:val="single" w:sz="4" w:space="0" w:color="auto"/>
              <w:right w:val="single" w:sz="4" w:space="0" w:color="auto"/>
            </w:tcBorders>
            <w:shd w:val="clear" w:color="auto" w:fill="auto"/>
            <w:hideMark/>
          </w:tcPr>
          <w:p w:rsidR="0039497E" w:rsidRPr="00C31E3F" w:rsidP="000C08CC" w14:paraId="20CF4217" w14:textId="77777777">
            <w:pPr>
              <w:jc w:val="center"/>
              <w:rPr>
                <w:color w:val="000000"/>
                <w:sz w:val="20"/>
                <w:szCs w:val="20"/>
              </w:rPr>
            </w:pPr>
            <w:r w:rsidRPr="00C31E3F">
              <w:rPr>
                <w:color w:val="000000"/>
                <w:sz w:val="20"/>
                <w:szCs w:val="20"/>
              </w:rPr>
              <w:t xml:space="preserve">(E) </w:t>
            </w:r>
            <w:r w:rsidRPr="00C31E3F">
              <w:rPr>
                <w:color w:val="000000"/>
                <w:sz w:val="20"/>
                <w:szCs w:val="20"/>
              </w:rPr>
              <w:br/>
              <w:t>Annual person hours ([A+B+C]xD)</w:t>
            </w: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4A272A65" w14:textId="77777777">
            <w:pPr>
              <w:jc w:val="center"/>
              <w:rPr>
                <w:color w:val="000000"/>
                <w:sz w:val="20"/>
                <w:szCs w:val="20"/>
              </w:rPr>
            </w:pPr>
            <w:r w:rsidRPr="00C31E3F">
              <w:rPr>
                <w:color w:val="000000"/>
                <w:sz w:val="20"/>
                <w:szCs w:val="20"/>
              </w:rPr>
              <w:t>(F)</w:t>
            </w:r>
            <w:r w:rsidRPr="00C31E3F">
              <w:rPr>
                <w:color w:val="000000"/>
                <w:sz w:val="20"/>
                <w:szCs w:val="20"/>
              </w:rPr>
              <w:br/>
              <w:t>Labor cost/year</w:t>
            </w: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5B924DD0" w14:textId="77777777">
            <w:pPr>
              <w:jc w:val="center"/>
              <w:rPr>
                <w:color w:val="000000"/>
                <w:sz w:val="20"/>
                <w:szCs w:val="20"/>
              </w:rPr>
            </w:pPr>
            <w:r w:rsidRPr="00C31E3F">
              <w:rPr>
                <w:color w:val="000000"/>
                <w:sz w:val="20"/>
                <w:szCs w:val="20"/>
              </w:rPr>
              <w:t>(G)</w:t>
            </w:r>
            <w:r w:rsidRPr="00C31E3F">
              <w:rPr>
                <w:color w:val="000000"/>
                <w:sz w:val="20"/>
                <w:szCs w:val="20"/>
              </w:rPr>
              <w:br/>
              <w:t>Total number of respondents</w:t>
            </w:r>
          </w:p>
        </w:tc>
        <w:tc>
          <w:tcPr>
            <w:tcW w:w="423" w:type="pct"/>
            <w:tcBorders>
              <w:top w:val="nil"/>
              <w:left w:val="nil"/>
              <w:bottom w:val="single" w:sz="4" w:space="0" w:color="auto"/>
              <w:right w:val="single" w:sz="4" w:space="0" w:color="auto"/>
            </w:tcBorders>
            <w:shd w:val="clear" w:color="auto" w:fill="auto"/>
            <w:hideMark/>
          </w:tcPr>
          <w:p w:rsidR="0039497E" w:rsidRPr="00C31E3F" w:rsidP="000C08CC" w14:paraId="16C01EB3" w14:textId="77777777">
            <w:pPr>
              <w:jc w:val="center"/>
              <w:rPr>
                <w:color w:val="000000"/>
                <w:sz w:val="20"/>
                <w:szCs w:val="20"/>
              </w:rPr>
            </w:pPr>
            <w:r w:rsidRPr="00C31E3F">
              <w:rPr>
                <w:color w:val="000000"/>
                <w:sz w:val="20"/>
                <w:szCs w:val="20"/>
              </w:rPr>
              <w:t>(H)</w:t>
            </w:r>
            <w:r w:rsidRPr="00C31E3F">
              <w:rPr>
                <w:color w:val="000000"/>
                <w:sz w:val="20"/>
                <w:szCs w:val="20"/>
              </w:rPr>
              <w:br/>
              <w:t>Total hours/year (ExG)</w:t>
            </w:r>
          </w:p>
        </w:tc>
        <w:tc>
          <w:tcPr>
            <w:tcW w:w="425" w:type="pct"/>
            <w:tcBorders>
              <w:top w:val="nil"/>
              <w:left w:val="nil"/>
              <w:bottom w:val="single" w:sz="4" w:space="0" w:color="auto"/>
              <w:right w:val="single" w:sz="4" w:space="0" w:color="auto"/>
            </w:tcBorders>
            <w:shd w:val="clear" w:color="auto" w:fill="auto"/>
            <w:hideMark/>
          </w:tcPr>
          <w:p w:rsidR="0039497E" w:rsidRPr="00C31E3F" w:rsidP="000C08CC" w14:paraId="63666F59" w14:textId="77777777">
            <w:pPr>
              <w:jc w:val="center"/>
              <w:rPr>
                <w:color w:val="000000"/>
                <w:sz w:val="20"/>
                <w:szCs w:val="20"/>
              </w:rPr>
            </w:pPr>
            <w:r w:rsidRPr="00C31E3F">
              <w:rPr>
                <w:color w:val="000000"/>
                <w:sz w:val="20"/>
                <w:szCs w:val="20"/>
              </w:rPr>
              <w:t>(I)</w:t>
            </w:r>
            <w:r w:rsidRPr="00C31E3F">
              <w:rPr>
                <w:color w:val="000000"/>
                <w:sz w:val="20"/>
                <w:szCs w:val="20"/>
              </w:rPr>
              <w:br/>
              <w:t>Total labor cost (FxG)</w:t>
            </w:r>
          </w:p>
        </w:tc>
      </w:tr>
      <w:tr w14:paraId="61427A2E"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70DB301" w14:textId="77777777">
            <w:pPr>
              <w:rPr>
                <w:color w:val="000000"/>
                <w:sz w:val="20"/>
                <w:szCs w:val="20"/>
              </w:rPr>
            </w:pPr>
            <w:r w:rsidRPr="00C31E3F">
              <w:rPr>
                <w:color w:val="000000"/>
                <w:sz w:val="20"/>
                <w:szCs w:val="20"/>
              </w:rPr>
              <w:t>1.</w:t>
            </w:r>
            <w:r>
              <w:rPr>
                <w:color w:val="000000"/>
                <w:sz w:val="20"/>
                <w:szCs w:val="20"/>
              </w:rPr>
              <w:t xml:space="preserve"> </w:t>
            </w:r>
            <w:r w:rsidRPr="00C31E3F">
              <w:rPr>
                <w:color w:val="000000"/>
                <w:sz w:val="20"/>
                <w:szCs w:val="20"/>
              </w:rPr>
              <w:t xml:space="preserve">Review Requirements </w:t>
            </w:r>
            <w:r w:rsidRPr="00C31E3F">
              <w:rPr>
                <w:color w:val="000000"/>
                <w:sz w:val="20"/>
                <w:szCs w:val="20"/>
                <w:vertAlign w:val="superscript"/>
              </w:rPr>
              <w:t>d</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39909E6" w14:textId="77777777">
            <w:pPr>
              <w:jc w:val="center"/>
              <w:rPr>
                <w:color w:val="000000"/>
                <w:sz w:val="20"/>
                <w:szCs w:val="20"/>
              </w:rPr>
            </w:pPr>
            <w:r w:rsidRPr="00C31E3F">
              <w:rPr>
                <w:color w:val="000000"/>
                <w:sz w:val="20"/>
                <w:szCs w:val="20"/>
              </w:rPr>
              <w:t>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11DA2E8" w14:textId="77777777">
            <w:pPr>
              <w:jc w:val="center"/>
              <w:rPr>
                <w:color w:val="000000"/>
                <w:sz w:val="20"/>
                <w:szCs w:val="20"/>
              </w:rPr>
            </w:pPr>
            <w:r w:rsidRPr="00C31E3F">
              <w:rPr>
                <w:color w:val="000000"/>
                <w:sz w:val="20"/>
                <w:szCs w:val="20"/>
              </w:rPr>
              <w:t>15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48FF7CC4" w14:textId="77777777">
            <w:pPr>
              <w:jc w:val="center"/>
              <w:rPr>
                <w:color w:val="000000"/>
                <w:sz w:val="20"/>
                <w:szCs w:val="20"/>
              </w:rPr>
            </w:pPr>
            <w:r w:rsidRPr="00C31E3F">
              <w:rPr>
                <w:color w:val="000000"/>
                <w:sz w:val="20"/>
                <w:szCs w:val="20"/>
              </w:rPr>
              <w:t>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C6246EB"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31476570" w14:textId="77777777">
            <w:pPr>
              <w:jc w:val="center"/>
              <w:rPr>
                <w:color w:val="000000"/>
                <w:sz w:val="20"/>
                <w:szCs w:val="20"/>
              </w:rPr>
            </w:pPr>
            <w:r w:rsidRPr="00C31E3F">
              <w:rPr>
                <w:color w:val="000000"/>
                <w:sz w:val="20"/>
                <w:szCs w:val="20"/>
              </w:rPr>
              <w:t>21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B0B38C8" w14:textId="77777777">
            <w:pPr>
              <w:jc w:val="center"/>
              <w:rPr>
                <w:color w:val="000000"/>
                <w:sz w:val="20"/>
                <w:szCs w:val="20"/>
              </w:rPr>
            </w:pPr>
            <w:r w:rsidRPr="00C31E3F">
              <w:rPr>
                <w:color w:val="000000"/>
                <w:sz w:val="20"/>
                <w:szCs w:val="20"/>
              </w:rPr>
              <w:t>$2,445.92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88E01E3" w14:textId="77777777">
            <w:pPr>
              <w:jc w:val="center"/>
              <w:rPr>
                <w:color w:val="000000"/>
                <w:sz w:val="20"/>
                <w:szCs w:val="20"/>
              </w:rPr>
            </w:pPr>
            <w:r w:rsidRPr="00C31E3F">
              <w:rPr>
                <w:color w:val="000000"/>
                <w:sz w:val="20"/>
                <w:szCs w:val="20"/>
              </w:rPr>
              <w:t>100</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1AEB21E8" w14:textId="77777777">
            <w:pPr>
              <w:jc w:val="right"/>
              <w:rPr>
                <w:color w:val="000000"/>
                <w:sz w:val="20"/>
                <w:szCs w:val="20"/>
              </w:rPr>
            </w:pPr>
            <w:r w:rsidRPr="00C31E3F">
              <w:rPr>
                <w:color w:val="000000"/>
                <w:sz w:val="20"/>
                <w:szCs w:val="20"/>
              </w:rPr>
              <w:t>2100</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49807CD9" w14:textId="77777777">
            <w:pPr>
              <w:jc w:val="right"/>
              <w:rPr>
                <w:color w:val="000000"/>
                <w:sz w:val="20"/>
                <w:szCs w:val="20"/>
              </w:rPr>
            </w:pPr>
            <w:r w:rsidRPr="00C31E3F">
              <w:rPr>
                <w:color w:val="000000"/>
                <w:sz w:val="20"/>
                <w:szCs w:val="20"/>
              </w:rPr>
              <w:t>$244,592.00</w:t>
            </w:r>
          </w:p>
        </w:tc>
      </w:tr>
      <w:tr w14:paraId="2014C2E3"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E561F63" w14:textId="77777777">
            <w:pPr>
              <w:rPr>
                <w:color w:val="000000"/>
                <w:sz w:val="20"/>
                <w:szCs w:val="20"/>
              </w:rPr>
            </w:pPr>
            <w:r w:rsidRPr="00C31E3F">
              <w:rPr>
                <w:color w:val="000000"/>
                <w:sz w:val="20"/>
                <w:szCs w:val="20"/>
              </w:rPr>
              <w:t>2.</w:t>
            </w:r>
            <w:r>
              <w:rPr>
                <w:color w:val="000000"/>
                <w:sz w:val="20"/>
                <w:szCs w:val="20"/>
              </w:rPr>
              <w:t xml:space="preserve"> </w:t>
            </w:r>
            <w:r w:rsidRPr="00C31E3F">
              <w:rPr>
                <w:color w:val="000000"/>
                <w:sz w:val="20"/>
                <w:szCs w:val="20"/>
              </w:rPr>
              <w:t xml:space="preserve">Determine Monitoring Approach </w:t>
            </w:r>
            <w:r w:rsidRPr="00C31E3F">
              <w:rPr>
                <w:color w:val="000000"/>
                <w:sz w:val="20"/>
                <w:szCs w:val="20"/>
                <w:vertAlign w:val="superscript"/>
              </w:rPr>
              <w:t>e</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8FEE949"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6488AEF" w14:textId="77777777">
            <w:pPr>
              <w:jc w:val="center"/>
              <w:rPr>
                <w:color w:val="000000"/>
                <w:sz w:val="20"/>
                <w:szCs w:val="20"/>
              </w:rPr>
            </w:pPr>
            <w:r w:rsidRPr="00C31E3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6806BE80"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5C71FDF" w14:textId="77777777">
            <w:pPr>
              <w:jc w:val="center"/>
              <w:rPr>
                <w:color w:val="000000"/>
                <w:sz w:val="20"/>
                <w:szCs w:val="20"/>
              </w:rPr>
            </w:pPr>
            <w:r w:rsidRPr="00C31E3F">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231E9304"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6FAD498"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FBACABF" w14:textId="77777777">
            <w:pPr>
              <w:jc w:val="center"/>
              <w:rPr>
                <w:color w:val="000000"/>
                <w:sz w:val="20"/>
                <w:szCs w:val="20"/>
              </w:rPr>
            </w:pPr>
            <w:r w:rsidRPr="00C31E3F">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7C00E111" w14:textId="77777777">
            <w:pPr>
              <w:jc w:val="right"/>
              <w:rPr>
                <w:color w:val="000000"/>
                <w:sz w:val="20"/>
                <w:szCs w:val="20"/>
              </w:rPr>
            </w:pPr>
            <w:r w:rsidRPr="00C31E3F">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48C747A8" w14:textId="77777777">
            <w:pPr>
              <w:jc w:val="right"/>
              <w:rPr>
                <w:color w:val="000000"/>
                <w:sz w:val="20"/>
                <w:szCs w:val="20"/>
              </w:rPr>
            </w:pPr>
            <w:r w:rsidRPr="00C31E3F">
              <w:rPr>
                <w:color w:val="000000"/>
                <w:sz w:val="20"/>
                <w:szCs w:val="20"/>
              </w:rPr>
              <w:t> </w:t>
            </w:r>
          </w:p>
        </w:tc>
      </w:tr>
      <w:tr w14:paraId="1AE73E21"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785438C"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E7D3DD5" w14:textId="77777777">
            <w:pPr>
              <w:jc w:val="center"/>
              <w:rPr>
                <w:color w:val="000000"/>
                <w:sz w:val="20"/>
                <w:szCs w:val="20"/>
              </w:rPr>
            </w:pPr>
            <w:r w:rsidRPr="00C31E3F">
              <w:rPr>
                <w:color w:val="000000"/>
                <w:sz w:val="20"/>
                <w:szCs w:val="20"/>
              </w:rPr>
              <w:t>0.75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5B9E468" w14:textId="77777777">
            <w:pPr>
              <w:jc w:val="center"/>
              <w:rPr>
                <w:color w:val="000000"/>
                <w:sz w:val="20"/>
                <w:szCs w:val="20"/>
              </w:rPr>
            </w:pPr>
            <w:r w:rsidRPr="00C31E3F">
              <w:rPr>
                <w:color w:val="000000"/>
                <w:sz w:val="20"/>
                <w:szCs w:val="20"/>
              </w:rPr>
              <w:t>2.25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177C1CF6" w14:textId="77777777">
            <w:pPr>
              <w:jc w:val="center"/>
              <w:rPr>
                <w:color w:val="000000"/>
                <w:sz w:val="20"/>
                <w:szCs w:val="20"/>
              </w:rPr>
            </w:pPr>
            <w:r w:rsidRPr="00C31E3F">
              <w:rPr>
                <w:color w:val="000000"/>
                <w:sz w:val="20"/>
                <w:szCs w:val="20"/>
              </w:rPr>
              <w:t>0.15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F6FBF2B"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4D059822" w14:textId="77777777">
            <w:pPr>
              <w:jc w:val="center"/>
              <w:rPr>
                <w:color w:val="000000"/>
                <w:sz w:val="20"/>
                <w:szCs w:val="20"/>
              </w:rPr>
            </w:pPr>
            <w:r w:rsidRPr="00C31E3F">
              <w:rPr>
                <w:color w:val="000000"/>
                <w:sz w:val="20"/>
                <w:szCs w:val="20"/>
              </w:rPr>
              <w:t>3.15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AAA1D13" w14:textId="77777777">
            <w:pPr>
              <w:jc w:val="center"/>
              <w:rPr>
                <w:color w:val="000000"/>
                <w:sz w:val="20"/>
                <w:szCs w:val="20"/>
              </w:rPr>
            </w:pPr>
            <w:r w:rsidRPr="00C31E3F">
              <w:rPr>
                <w:color w:val="000000"/>
                <w:sz w:val="20"/>
                <w:szCs w:val="20"/>
              </w:rPr>
              <w:t>$366.89</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B2A621B" w14:textId="77777777">
            <w:pPr>
              <w:jc w:val="center"/>
              <w:rPr>
                <w:color w:val="000000"/>
                <w:sz w:val="20"/>
                <w:szCs w:val="20"/>
              </w:rPr>
            </w:pPr>
            <w:r w:rsidRPr="00C31E3F">
              <w:rPr>
                <w:color w:val="000000"/>
                <w:sz w:val="20"/>
                <w:szCs w:val="20"/>
              </w:rPr>
              <w:t>74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4402777B" w14:textId="77777777">
            <w:pPr>
              <w:jc w:val="right"/>
              <w:rPr>
                <w:color w:val="000000"/>
                <w:sz w:val="20"/>
                <w:szCs w:val="20"/>
              </w:rPr>
            </w:pPr>
            <w:r w:rsidRPr="00C31E3F">
              <w:rPr>
                <w:color w:val="000000"/>
                <w:sz w:val="20"/>
                <w:szCs w:val="20"/>
              </w:rPr>
              <w:t>233.1</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2DAE8313" w14:textId="77777777">
            <w:pPr>
              <w:jc w:val="right"/>
              <w:rPr>
                <w:color w:val="000000"/>
                <w:sz w:val="20"/>
                <w:szCs w:val="20"/>
              </w:rPr>
            </w:pPr>
            <w:r w:rsidRPr="00C31E3F">
              <w:rPr>
                <w:color w:val="000000"/>
                <w:sz w:val="20"/>
                <w:szCs w:val="20"/>
              </w:rPr>
              <w:t>$27,149.71</w:t>
            </w:r>
          </w:p>
        </w:tc>
      </w:tr>
      <w:tr w14:paraId="58BAB9A2"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344743BE"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Units with existing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CFE9C01" w14:textId="77777777">
            <w:pPr>
              <w:jc w:val="center"/>
              <w:rPr>
                <w:color w:val="000000"/>
                <w:sz w:val="20"/>
                <w:szCs w:val="20"/>
              </w:rPr>
            </w:pPr>
            <w:r w:rsidRPr="00C31E3F">
              <w:rPr>
                <w:color w:val="000000"/>
                <w:sz w:val="20"/>
                <w:szCs w:val="20"/>
              </w:rPr>
              <w:t>0.25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EB38CE2" w14:textId="77777777">
            <w:pPr>
              <w:jc w:val="center"/>
              <w:rPr>
                <w:color w:val="000000"/>
                <w:sz w:val="20"/>
                <w:szCs w:val="20"/>
              </w:rPr>
            </w:pPr>
            <w:r w:rsidRPr="00C31E3F">
              <w:rPr>
                <w:color w:val="000000"/>
                <w:sz w:val="20"/>
                <w:szCs w:val="20"/>
              </w:rPr>
              <w:t>0.75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09308EA0" w14:textId="77777777">
            <w:pPr>
              <w:jc w:val="center"/>
              <w:rPr>
                <w:color w:val="000000"/>
                <w:sz w:val="20"/>
                <w:szCs w:val="20"/>
              </w:rPr>
            </w:pPr>
            <w:r w:rsidRPr="00C31E3F">
              <w:rPr>
                <w:color w:val="000000"/>
                <w:sz w:val="20"/>
                <w:szCs w:val="20"/>
              </w:rPr>
              <w:t>0.05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6DC3F68"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6A7943DB" w14:textId="77777777">
            <w:pPr>
              <w:jc w:val="center"/>
              <w:rPr>
                <w:color w:val="000000"/>
                <w:sz w:val="20"/>
                <w:szCs w:val="20"/>
              </w:rPr>
            </w:pPr>
            <w:r w:rsidRPr="00C31E3F">
              <w:rPr>
                <w:color w:val="000000"/>
                <w:sz w:val="20"/>
                <w:szCs w:val="20"/>
              </w:rPr>
              <w:t>1.05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92D28E9" w14:textId="77777777">
            <w:pPr>
              <w:jc w:val="center"/>
              <w:rPr>
                <w:color w:val="000000"/>
                <w:sz w:val="20"/>
                <w:szCs w:val="20"/>
              </w:rPr>
            </w:pPr>
            <w:r w:rsidRPr="00C31E3F">
              <w:rPr>
                <w:color w:val="000000"/>
                <w:sz w:val="20"/>
                <w:szCs w:val="20"/>
              </w:rPr>
              <w:t>$122.30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4875240" w14:textId="77777777">
            <w:pPr>
              <w:jc w:val="center"/>
              <w:rPr>
                <w:color w:val="000000"/>
                <w:sz w:val="20"/>
                <w:szCs w:val="20"/>
              </w:rPr>
            </w:pPr>
            <w:r w:rsidRPr="00C31E3F">
              <w:rPr>
                <w:color w:val="000000"/>
                <w:sz w:val="20"/>
                <w:szCs w:val="20"/>
              </w:rPr>
              <w:t>134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366B58C3" w14:textId="77777777">
            <w:pPr>
              <w:jc w:val="right"/>
              <w:rPr>
                <w:color w:val="000000"/>
                <w:sz w:val="20"/>
                <w:szCs w:val="20"/>
              </w:rPr>
            </w:pPr>
            <w:r w:rsidRPr="00C31E3F">
              <w:rPr>
                <w:color w:val="000000"/>
                <w:sz w:val="20"/>
                <w:szCs w:val="20"/>
              </w:rPr>
              <w:t>140.7</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4F38FFD0" w14:textId="77777777">
            <w:pPr>
              <w:jc w:val="right"/>
              <w:rPr>
                <w:color w:val="000000"/>
                <w:sz w:val="20"/>
                <w:szCs w:val="20"/>
              </w:rPr>
            </w:pPr>
            <w:r w:rsidRPr="00C31E3F">
              <w:rPr>
                <w:color w:val="000000"/>
                <w:sz w:val="20"/>
                <w:szCs w:val="20"/>
              </w:rPr>
              <w:t>$16,387.66</w:t>
            </w:r>
          </w:p>
        </w:tc>
      </w:tr>
      <w:tr w14:paraId="0E31AE5E"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E706B59" w14:textId="77777777">
            <w:pPr>
              <w:rPr>
                <w:color w:val="000000"/>
                <w:sz w:val="20"/>
                <w:szCs w:val="20"/>
              </w:rPr>
            </w:pPr>
            <w:r w:rsidRPr="00C31E3F">
              <w:rPr>
                <w:color w:val="000000"/>
                <w:sz w:val="20"/>
                <w:szCs w:val="20"/>
              </w:rPr>
              <w:t>3.</w:t>
            </w:r>
            <w:r>
              <w:rPr>
                <w:color w:val="000000"/>
                <w:sz w:val="20"/>
                <w:szCs w:val="20"/>
              </w:rPr>
              <w:t xml:space="preserve"> </w:t>
            </w:r>
            <w:r w:rsidRPr="00C31E3F">
              <w:rPr>
                <w:color w:val="000000"/>
                <w:sz w:val="20"/>
                <w:szCs w:val="20"/>
              </w:rPr>
              <w:t xml:space="preserve">Specify Monitoring Plan Elements </w:t>
            </w:r>
            <w:r w:rsidRPr="00C31E3F">
              <w:rPr>
                <w:color w:val="000000"/>
                <w:sz w:val="20"/>
                <w:szCs w:val="20"/>
                <w:vertAlign w:val="superscript"/>
              </w:rPr>
              <w:t>e</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9D2F39A"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CD80C3F" w14:textId="77777777">
            <w:pPr>
              <w:jc w:val="center"/>
              <w:rPr>
                <w:color w:val="000000"/>
                <w:sz w:val="20"/>
                <w:szCs w:val="20"/>
              </w:rPr>
            </w:pPr>
            <w:r w:rsidRPr="00C31E3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075ABAA9"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EB79CEB" w14:textId="77777777">
            <w:pPr>
              <w:jc w:val="center"/>
              <w:rPr>
                <w:color w:val="000000"/>
                <w:sz w:val="20"/>
                <w:szCs w:val="20"/>
              </w:rPr>
            </w:pPr>
            <w:r w:rsidRPr="00C31E3F">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250BADB4"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C138D0F"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5175AE8" w14:textId="77777777">
            <w:pPr>
              <w:jc w:val="center"/>
              <w:rPr>
                <w:color w:val="000000"/>
                <w:sz w:val="20"/>
                <w:szCs w:val="20"/>
              </w:rPr>
            </w:pPr>
            <w:r w:rsidRPr="00C31E3F">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0C0743B0" w14:textId="77777777">
            <w:pPr>
              <w:jc w:val="right"/>
              <w:rPr>
                <w:color w:val="000000"/>
                <w:sz w:val="20"/>
                <w:szCs w:val="20"/>
              </w:rPr>
            </w:pPr>
            <w:r w:rsidRPr="00C31E3F">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0DBC5C68" w14:textId="77777777">
            <w:pPr>
              <w:jc w:val="right"/>
              <w:rPr>
                <w:color w:val="000000"/>
                <w:sz w:val="20"/>
                <w:szCs w:val="20"/>
              </w:rPr>
            </w:pPr>
            <w:r w:rsidRPr="00C31E3F">
              <w:rPr>
                <w:color w:val="000000"/>
                <w:sz w:val="20"/>
                <w:szCs w:val="20"/>
              </w:rPr>
              <w:t> </w:t>
            </w:r>
          </w:p>
        </w:tc>
      </w:tr>
      <w:tr w14:paraId="1FFABA46"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22FB028C"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29D89C2" w14:textId="77777777">
            <w:pPr>
              <w:jc w:val="center"/>
              <w:rPr>
                <w:color w:val="000000"/>
                <w:sz w:val="20"/>
                <w:szCs w:val="20"/>
              </w:rPr>
            </w:pPr>
            <w:r w:rsidRPr="00C31E3F">
              <w:rPr>
                <w:color w:val="000000"/>
                <w:sz w:val="20"/>
                <w:szCs w:val="20"/>
              </w:rPr>
              <w:t>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0BA833C" w14:textId="77777777">
            <w:pPr>
              <w:jc w:val="center"/>
              <w:rPr>
                <w:color w:val="000000"/>
                <w:sz w:val="20"/>
                <w:szCs w:val="20"/>
              </w:rPr>
            </w:pPr>
            <w:r w:rsidRPr="00C31E3F">
              <w:rPr>
                <w:color w:val="000000"/>
                <w:sz w:val="20"/>
                <w:szCs w:val="20"/>
              </w:rPr>
              <w:t>12</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4E4971A2" w14:textId="77777777">
            <w:pPr>
              <w:jc w:val="center"/>
              <w:rPr>
                <w:color w:val="000000"/>
                <w:sz w:val="20"/>
                <w:szCs w:val="20"/>
              </w:rPr>
            </w:pPr>
            <w:r w:rsidRPr="00C31E3F">
              <w:rPr>
                <w:color w:val="000000"/>
                <w:sz w:val="20"/>
                <w:szCs w:val="20"/>
              </w:rPr>
              <w:t>0.8</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2992FB6"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79C84D7A" w14:textId="77777777">
            <w:pPr>
              <w:jc w:val="center"/>
              <w:rPr>
                <w:color w:val="000000"/>
                <w:sz w:val="20"/>
                <w:szCs w:val="20"/>
              </w:rPr>
            </w:pPr>
            <w:r w:rsidRPr="00C31E3F">
              <w:rPr>
                <w:color w:val="000000"/>
                <w:sz w:val="20"/>
                <w:szCs w:val="20"/>
              </w:rPr>
              <w:t>16.8</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45144F9" w14:textId="77777777">
            <w:pPr>
              <w:jc w:val="center"/>
              <w:rPr>
                <w:color w:val="000000"/>
                <w:sz w:val="20"/>
                <w:szCs w:val="20"/>
              </w:rPr>
            </w:pPr>
            <w:r w:rsidRPr="00C31E3F">
              <w:rPr>
                <w:color w:val="000000"/>
                <w:sz w:val="20"/>
                <w:szCs w:val="20"/>
              </w:rPr>
              <w:t>$1,956.74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CCFBD7B" w14:textId="77777777">
            <w:pPr>
              <w:jc w:val="center"/>
              <w:rPr>
                <w:color w:val="000000"/>
                <w:sz w:val="20"/>
                <w:szCs w:val="20"/>
              </w:rPr>
            </w:pPr>
            <w:r w:rsidRPr="00C31E3F">
              <w:rPr>
                <w:color w:val="000000"/>
                <w:sz w:val="20"/>
                <w:szCs w:val="20"/>
              </w:rPr>
              <w:t>74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18A4D3EE" w14:textId="77777777">
            <w:pPr>
              <w:jc w:val="right"/>
              <w:rPr>
                <w:color w:val="000000"/>
                <w:sz w:val="20"/>
                <w:szCs w:val="20"/>
              </w:rPr>
            </w:pPr>
            <w:r w:rsidRPr="00C31E3F">
              <w:rPr>
                <w:color w:val="000000"/>
                <w:sz w:val="20"/>
                <w:szCs w:val="20"/>
              </w:rPr>
              <w:t>1243.2</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06630670" w14:textId="77777777">
            <w:pPr>
              <w:jc w:val="right"/>
              <w:rPr>
                <w:color w:val="000000"/>
                <w:sz w:val="20"/>
                <w:szCs w:val="20"/>
              </w:rPr>
            </w:pPr>
            <w:r w:rsidRPr="00C31E3F">
              <w:rPr>
                <w:color w:val="000000"/>
                <w:sz w:val="20"/>
                <w:szCs w:val="20"/>
              </w:rPr>
              <w:t>$144,798.46</w:t>
            </w:r>
          </w:p>
        </w:tc>
      </w:tr>
      <w:tr w14:paraId="6263378A"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0C8E31F"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Units with exisiting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5BE1857" w14:textId="77777777">
            <w:pPr>
              <w:jc w:val="center"/>
              <w:rPr>
                <w:color w:val="000000"/>
                <w:sz w:val="20"/>
                <w:szCs w:val="20"/>
              </w:rPr>
            </w:pPr>
            <w:r w:rsidRPr="00C31E3F">
              <w:rPr>
                <w:color w:val="000000"/>
                <w:sz w:val="20"/>
                <w:szCs w:val="20"/>
              </w:rPr>
              <w:t>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8B8BA04" w14:textId="77777777">
            <w:pPr>
              <w:jc w:val="center"/>
              <w:rPr>
                <w:color w:val="000000"/>
                <w:sz w:val="20"/>
                <w:szCs w:val="20"/>
              </w:rPr>
            </w:pPr>
            <w:r w:rsidRPr="00C31E3F">
              <w:rPr>
                <w:color w:val="000000"/>
                <w:sz w:val="20"/>
                <w:szCs w:val="20"/>
              </w:rPr>
              <w:t>6</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71C50151" w14:textId="77777777">
            <w:pPr>
              <w:jc w:val="center"/>
              <w:rPr>
                <w:color w:val="000000"/>
                <w:sz w:val="20"/>
                <w:szCs w:val="20"/>
              </w:rPr>
            </w:pPr>
            <w:r w:rsidRPr="00C31E3F">
              <w:rPr>
                <w:color w:val="000000"/>
                <w:sz w:val="20"/>
                <w:szCs w:val="20"/>
              </w:rPr>
              <w:t>0.4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DD086C6"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33CF27A2" w14:textId="77777777">
            <w:pPr>
              <w:jc w:val="center"/>
              <w:rPr>
                <w:color w:val="000000"/>
                <w:sz w:val="20"/>
                <w:szCs w:val="20"/>
              </w:rPr>
            </w:pPr>
            <w:r w:rsidRPr="00C31E3F">
              <w:rPr>
                <w:color w:val="000000"/>
                <w:sz w:val="20"/>
                <w:szCs w:val="20"/>
              </w:rPr>
              <w:t>8.4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D303331" w14:textId="77777777">
            <w:pPr>
              <w:jc w:val="center"/>
              <w:rPr>
                <w:color w:val="000000"/>
                <w:sz w:val="20"/>
                <w:szCs w:val="20"/>
              </w:rPr>
            </w:pPr>
            <w:r w:rsidRPr="00C31E3F">
              <w:rPr>
                <w:color w:val="000000"/>
                <w:sz w:val="20"/>
                <w:szCs w:val="20"/>
              </w:rPr>
              <w:t>$978.37</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D28A143" w14:textId="77777777">
            <w:pPr>
              <w:jc w:val="center"/>
              <w:rPr>
                <w:color w:val="000000"/>
                <w:sz w:val="20"/>
                <w:szCs w:val="20"/>
              </w:rPr>
            </w:pPr>
            <w:r w:rsidRPr="00C31E3F">
              <w:rPr>
                <w:color w:val="000000"/>
                <w:sz w:val="20"/>
                <w:szCs w:val="20"/>
              </w:rPr>
              <w:t>134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0ABF659A" w14:textId="77777777">
            <w:pPr>
              <w:jc w:val="right"/>
              <w:rPr>
                <w:color w:val="000000"/>
                <w:sz w:val="20"/>
                <w:szCs w:val="20"/>
              </w:rPr>
            </w:pPr>
            <w:r w:rsidRPr="00C31E3F">
              <w:rPr>
                <w:color w:val="000000"/>
                <w:sz w:val="20"/>
                <w:szCs w:val="20"/>
              </w:rPr>
              <w:t>1125.6</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6BA98BC0" w14:textId="77777777">
            <w:pPr>
              <w:jc w:val="right"/>
              <w:rPr>
                <w:color w:val="000000"/>
                <w:sz w:val="20"/>
                <w:szCs w:val="20"/>
              </w:rPr>
            </w:pPr>
            <w:r w:rsidRPr="00C31E3F">
              <w:rPr>
                <w:color w:val="000000"/>
                <w:sz w:val="20"/>
                <w:szCs w:val="20"/>
              </w:rPr>
              <w:t>$131,101.31</w:t>
            </w:r>
          </w:p>
        </w:tc>
      </w:tr>
      <w:tr w14:paraId="676DB7BF"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3568D77" w14:textId="77777777">
            <w:pPr>
              <w:rPr>
                <w:color w:val="000000"/>
                <w:sz w:val="20"/>
                <w:szCs w:val="20"/>
              </w:rPr>
            </w:pPr>
            <w:r w:rsidRPr="00C31E3F">
              <w:rPr>
                <w:color w:val="000000"/>
                <w:sz w:val="20"/>
                <w:szCs w:val="20"/>
              </w:rPr>
              <w:t>4.</w:t>
            </w:r>
            <w:r>
              <w:rPr>
                <w:color w:val="000000"/>
                <w:sz w:val="20"/>
                <w:szCs w:val="20"/>
              </w:rPr>
              <w:t xml:space="preserve"> </w:t>
            </w:r>
            <w:r w:rsidRPr="00C31E3F">
              <w:rPr>
                <w:color w:val="000000"/>
                <w:sz w:val="20"/>
                <w:szCs w:val="20"/>
              </w:rPr>
              <w:t xml:space="preserve">Design Documentation </w:t>
            </w:r>
            <w:r w:rsidRPr="00C31E3F">
              <w:rPr>
                <w:color w:val="000000"/>
                <w:sz w:val="20"/>
                <w:szCs w:val="20"/>
                <w:vertAlign w:val="superscript"/>
              </w:rPr>
              <w:t>e</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A7DCA05"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6BC2012" w14:textId="77777777">
            <w:pPr>
              <w:jc w:val="center"/>
              <w:rPr>
                <w:color w:val="000000"/>
                <w:sz w:val="20"/>
                <w:szCs w:val="20"/>
              </w:rPr>
            </w:pPr>
            <w:r w:rsidRPr="00C31E3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3A272EED"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C401284" w14:textId="77777777">
            <w:pPr>
              <w:jc w:val="center"/>
              <w:rPr>
                <w:color w:val="000000"/>
                <w:sz w:val="20"/>
                <w:szCs w:val="20"/>
              </w:rPr>
            </w:pPr>
            <w:r w:rsidRPr="00C31E3F">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11131252"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3B28864"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3272B70" w14:textId="77777777">
            <w:pPr>
              <w:jc w:val="center"/>
              <w:rPr>
                <w:color w:val="000000"/>
                <w:sz w:val="20"/>
                <w:szCs w:val="20"/>
              </w:rPr>
            </w:pPr>
            <w:r w:rsidRPr="00C31E3F">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60BA299F" w14:textId="77777777">
            <w:pPr>
              <w:jc w:val="right"/>
              <w:rPr>
                <w:color w:val="000000"/>
                <w:sz w:val="20"/>
                <w:szCs w:val="20"/>
              </w:rPr>
            </w:pPr>
            <w:r w:rsidRPr="00C31E3F">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60DBB2F8" w14:textId="77777777">
            <w:pPr>
              <w:jc w:val="right"/>
              <w:rPr>
                <w:color w:val="000000"/>
                <w:sz w:val="20"/>
                <w:szCs w:val="20"/>
              </w:rPr>
            </w:pPr>
            <w:r w:rsidRPr="00C31E3F">
              <w:rPr>
                <w:color w:val="000000"/>
                <w:sz w:val="20"/>
                <w:szCs w:val="20"/>
              </w:rPr>
              <w:t> </w:t>
            </w:r>
          </w:p>
        </w:tc>
      </w:tr>
      <w:tr w14:paraId="6AEE2074"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72F0A8D"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2B4C034"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B3E63D5" w14:textId="77777777">
            <w:pPr>
              <w:jc w:val="center"/>
              <w:rPr>
                <w:color w:val="000000"/>
                <w:sz w:val="20"/>
                <w:szCs w:val="20"/>
              </w:rPr>
            </w:pPr>
            <w:r w:rsidRPr="00C31E3F">
              <w:rPr>
                <w:color w:val="000000"/>
                <w:sz w:val="20"/>
                <w:szCs w:val="20"/>
              </w:rPr>
              <w:t>4</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3388AD29" w14:textId="77777777">
            <w:pPr>
              <w:jc w:val="center"/>
              <w:rPr>
                <w:color w:val="000000"/>
                <w:sz w:val="20"/>
                <w:szCs w:val="20"/>
              </w:rPr>
            </w:pPr>
            <w:r w:rsidRPr="00C31E3F">
              <w:rPr>
                <w:color w:val="000000"/>
                <w:sz w:val="20"/>
                <w:szCs w:val="20"/>
              </w:rPr>
              <w:t>0.2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D67BC03"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2FA488D2" w14:textId="77777777">
            <w:pPr>
              <w:jc w:val="center"/>
              <w:rPr>
                <w:color w:val="000000"/>
                <w:sz w:val="20"/>
                <w:szCs w:val="20"/>
              </w:rPr>
            </w:pPr>
            <w:r w:rsidRPr="00C31E3F">
              <w:rPr>
                <w:color w:val="000000"/>
                <w:sz w:val="20"/>
                <w:szCs w:val="20"/>
              </w:rPr>
              <w:t>4.2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621AFF0" w14:textId="77777777">
            <w:pPr>
              <w:jc w:val="center"/>
              <w:rPr>
                <w:color w:val="000000"/>
                <w:sz w:val="20"/>
                <w:szCs w:val="20"/>
              </w:rPr>
            </w:pPr>
            <w:r w:rsidRPr="00C31E3F">
              <w:rPr>
                <w:color w:val="000000"/>
                <w:sz w:val="20"/>
                <w:szCs w:val="20"/>
              </w:rPr>
              <w:t>$553.75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567673F" w14:textId="77777777">
            <w:pPr>
              <w:jc w:val="center"/>
              <w:rPr>
                <w:color w:val="000000"/>
                <w:sz w:val="20"/>
                <w:szCs w:val="20"/>
              </w:rPr>
            </w:pPr>
            <w:r w:rsidRPr="00C31E3F">
              <w:rPr>
                <w:color w:val="000000"/>
                <w:sz w:val="20"/>
                <w:szCs w:val="20"/>
              </w:rPr>
              <w:t>74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4AF0CCA7" w14:textId="77777777">
            <w:pPr>
              <w:jc w:val="right"/>
              <w:rPr>
                <w:color w:val="000000"/>
                <w:sz w:val="20"/>
                <w:szCs w:val="20"/>
              </w:rPr>
            </w:pPr>
            <w:r w:rsidRPr="00C31E3F">
              <w:rPr>
                <w:color w:val="000000"/>
                <w:sz w:val="20"/>
                <w:szCs w:val="20"/>
              </w:rPr>
              <w:t>310.8</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12E80AAC" w14:textId="77777777">
            <w:pPr>
              <w:jc w:val="right"/>
              <w:rPr>
                <w:color w:val="000000"/>
                <w:sz w:val="20"/>
                <w:szCs w:val="20"/>
              </w:rPr>
            </w:pPr>
            <w:r w:rsidRPr="00C31E3F">
              <w:rPr>
                <w:color w:val="000000"/>
                <w:sz w:val="20"/>
                <w:szCs w:val="20"/>
              </w:rPr>
              <w:t>$40,977.80</w:t>
            </w:r>
          </w:p>
        </w:tc>
      </w:tr>
      <w:tr w14:paraId="3EEA67E5"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C5FF647"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Units with exisiting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877F09D"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C568350" w14:textId="77777777">
            <w:pPr>
              <w:jc w:val="center"/>
              <w:rPr>
                <w:color w:val="000000"/>
                <w:sz w:val="20"/>
                <w:szCs w:val="20"/>
              </w:rPr>
            </w:pPr>
            <w:r w:rsidRPr="00C31E3F">
              <w:rPr>
                <w:color w:val="000000"/>
                <w:sz w:val="20"/>
                <w:szCs w:val="20"/>
              </w:rPr>
              <w:t>2</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2DF86A75" w14:textId="77777777">
            <w:pPr>
              <w:jc w:val="center"/>
              <w:rPr>
                <w:color w:val="000000"/>
                <w:sz w:val="20"/>
                <w:szCs w:val="20"/>
              </w:rPr>
            </w:pPr>
            <w:r w:rsidRPr="00C31E3F">
              <w:rPr>
                <w:color w:val="000000"/>
                <w:sz w:val="20"/>
                <w:szCs w:val="20"/>
              </w:rPr>
              <w:t>0.1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E18CE8A"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08B85B47" w14:textId="77777777">
            <w:pPr>
              <w:jc w:val="center"/>
              <w:rPr>
                <w:color w:val="000000"/>
                <w:sz w:val="20"/>
                <w:szCs w:val="20"/>
              </w:rPr>
            </w:pPr>
            <w:r w:rsidRPr="00C31E3F">
              <w:rPr>
                <w:color w:val="000000"/>
                <w:sz w:val="20"/>
                <w:szCs w:val="20"/>
              </w:rPr>
              <w:t>2.1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3926FC9" w14:textId="77777777">
            <w:pPr>
              <w:jc w:val="center"/>
              <w:rPr>
                <w:color w:val="000000"/>
                <w:sz w:val="20"/>
                <w:szCs w:val="20"/>
              </w:rPr>
            </w:pPr>
            <w:r w:rsidRPr="00C31E3F">
              <w:rPr>
                <w:color w:val="000000"/>
                <w:sz w:val="20"/>
                <w:szCs w:val="20"/>
              </w:rPr>
              <w:t>$276.88</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3D74650" w14:textId="77777777">
            <w:pPr>
              <w:jc w:val="center"/>
              <w:rPr>
                <w:color w:val="000000"/>
                <w:sz w:val="20"/>
                <w:szCs w:val="20"/>
              </w:rPr>
            </w:pPr>
            <w:r w:rsidRPr="00C31E3F">
              <w:rPr>
                <w:color w:val="000000"/>
                <w:sz w:val="20"/>
                <w:szCs w:val="20"/>
              </w:rPr>
              <w:t>134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34B1522A" w14:textId="77777777">
            <w:pPr>
              <w:jc w:val="right"/>
              <w:rPr>
                <w:color w:val="000000"/>
                <w:sz w:val="20"/>
                <w:szCs w:val="20"/>
              </w:rPr>
            </w:pPr>
            <w:r w:rsidRPr="00C31E3F">
              <w:rPr>
                <w:color w:val="000000"/>
                <w:sz w:val="20"/>
                <w:szCs w:val="20"/>
              </w:rPr>
              <w:t>281.4</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11A9ECB4" w14:textId="77777777">
            <w:pPr>
              <w:jc w:val="right"/>
              <w:rPr>
                <w:color w:val="000000"/>
                <w:sz w:val="20"/>
                <w:szCs w:val="20"/>
              </w:rPr>
            </w:pPr>
            <w:r w:rsidRPr="00C31E3F">
              <w:rPr>
                <w:color w:val="000000"/>
                <w:sz w:val="20"/>
                <w:szCs w:val="20"/>
              </w:rPr>
              <w:t>$37,101.52</w:t>
            </w:r>
          </w:p>
        </w:tc>
      </w:tr>
      <w:tr w14:paraId="7DB2344F"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1A08000" w14:textId="77777777">
            <w:pPr>
              <w:rPr>
                <w:color w:val="000000"/>
                <w:sz w:val="20"/>
                <w:szCs w:val="20"/>
              </w:rPr>
            </w:pPr>
            <w:r w:rsidRPr="00C31E3F">
              <w:rPr>
                <w:color w:val="000000"/>
                <w:sz w:val="20"/>
                <w:szCs w:val="20"/>
              </w:rPr>
              <w:t>5.</w:t>
            </w:r>
            <w:r>
              <w:rPr>
                <w:color w:val="000000"/>
                <w:sz w:val="20"/>
                <w:szCs w:val="20"/>
              </w:rPr>
              <w:t xml:space="preserve"> </w:t>
            </w:r>
            <w:r w:rsidRPr="00C31E3F">
              <w:rPr>
                <w:color w:val="000000"/>
                <w:sz w:val="20"/>
                <w:szCs w:val="20"/>
              </w:rPr>
              <w:t>CAM Renewal</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55B689A" w14:textId="77777777">
            <w:pPr>
              <w:jc w:val="center"/>
              <w:rPr>
                <w:color w:val="000000"/>
                <w:sz w:val="20"/>
                <w:szCs w:val="20"/>
              </w:rPr>
            </w:pPr>
            <w:r w:rsidRPr="00C31E3F">
              <w:rPr>
                <w:color w:val="000000"/>
                <w:sz w:val="20"/>
                <w:szCs w:val="20"/>
              </w:rPr>
              <w:t>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EC8A54C" w14:textId="77777777">
            <w:pPr>
              <w:jc w:val="center"/>
              <w:rPr>
                <w:color w:val="000000"/>
                <w:sz w:val="20"/>
                <w:szCs w:val="20"/>
              </w:rPr>
            </w:pPr>
            <w:r w:rsidRPr="00C31E3F">
              <w:rPr>
                <w:color w:val="000000"/>
                <w:sz w:val="20"/>
                <w:szCs w:val="20"/>
              </w:rPr>
              <w:t>2</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527A4E24" w14:textId="77777777">
            <w:pPr>
              <w:jc w:val="center"/>
              <w:rPr>
                <w:color w:val="000000"/>
                <w:sz w:val="20"/>
                <w:szCs w:val="20"/>
              </w:rPr>
            </w:pPr>
            <w:r w:rsidRPr="00C31E3F">
              <w:rPr>
                <w:color w:val="000000"/>
                <w:sz w:val="20"/>
                <w:szCs w:val="20"/>
              </w:rPr>
              <w:t>0.15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914ACBF"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6933E3EA" w14:textId="77777777">
            <w:pPr>
              <w:jc w:val="center"/>
              <w:rPr>
                <w:color w:val="000000"/>
                <w:sz w:val="20"/>
                <w:szCs w:val="20"/>
              </w:rPr>
            </w:pPr>
            <w:r w:rsidRPr="00C31E3F">
              <w:rPr>
                <w:color w:val="000000"/>
                <w:sz w:val="20"/>
                <w:szCs w:val="20"/>
              </w:rPr>
              <w:t>3.15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6BB819F" w14:textId="77777777">
            <w:pPr>
              <w:jc w:val="center"/>
              <w:rPr>
                <w:color w:val="000000"/>
                <w:sz w:val="20"/>
                <w:szCs w:val="20"/>
              </w:rPr>
            </w:pPr>
            <w:r w:rsidRPr="00C31E3F">
              <w:rPr>
                <w:color w:val="000000"/>
                <w:sz w:val="20"/>
                <w:szCs w:val="20"/>
              </w:rPr>
              <w:t>$350.75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2685CAB" w14:textId="77777777">
            <w:pPr>
              <w:jc w:val="center"/>
              <w:rPr>
                <w:color w:val="000000"/>
                <w:sz w:val="20"/>
                <w:szCs w:val="20"/>
              </w:rPr>
            </w:pPr>
            <w:r w:rsidRPr="00C31E3F">
              <w:rPr>
                <w:color w:val="000000"/>
                <w:sz w:val="20"/>
                <w:szCs w:val="20"/>
              </w:rPr>
              <w:t>4324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58B7F6E5" w14:textId="77777777">
            <w:pPr>
              <w:jc w:val="right"/>
              <w:rPr>
                <w:color w:val="000000"/>
                <w:sz w:val="20"/>
                <w:szCs w:val="20"/>
              </w:rPr>
            </w:pPr>
            <w:r w:rsidRPr="00C31E3F">
              <w:rPr>
                <w:color w:val="000000"/>
                <w:sz w:val="20"/>
                <w:szCs w:val="20"/>
              </w:rPr>
              <w:t>13620.6</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248782D0" w14:textId="77777777">
            <w:pPr>
              <w:jc w:val="right"/>
              <w:rPr>
                <w:color w:val="000000"/>
                <w:sz w:val="20"/>
                <w:szCs w:val="20"/>
              </w:rPr>
            </w:pPr>
            <w:r w:rsidRPr="00C31E3F">
              <w:rPr>
                <w:color w:val="000000"/>
                <w:sz w:val="20"/>
                <w:szCs w:val="20"/>
              </w:rPr>
              <w:t>$1,516,623.54</w:t>
            </w:r>
          </w:p>
        </w:tc>
      </w:tr>
      <w:tr w14:paraId="7839C84E"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388DB73B" w14:textId="77777777">
            <w:pPr>
              <w:rPr>
                <w:color w:val="000000"/>
                <w:sz w:val="20"/>
                <w:szCs w:val="20"/>
              </w:rPr>
            </w:pPr>
            <w:r w:rsidRPr="00C31E3F">
              <w:rPr>
                <w:color w:val="000000"/>
                <w:sz w:val="20"/>
                <w:szCs w:val="20"/>
              </w:rPr>
              <w:t>6.</w:t>
            </w:r>
            <w:r>
              <w:rPr>
                <w:color w:val="000000"/>
                <w:sz w:val="20"/>
                <w:szCs w:val="20"/>
              </w:rPr>
              <w:t xml:space="preserve"> </w:t>
            </w:r>
            <w:r w:rsidRPr="00C31E3F">
              <w:rPr>
                <w:color w:val="000000"/>
                <w:sz w:val="20"/>
                <w:szCs w:val="20"/>
              </w:rPr>
              <w:t>Prepare QIP</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FBB2814" w14:textId="77777777">
            <w:pPr>
              <w:jc w:val="center"/>
              <w:rPr>
                <w:color w:val="000000"/>
                <w:sz w:val="20"/>
                <w:szCs w:val="20"/>
              </w:rPr>
            </w:pPr>
            <w:r w:rsidRPr="00C31E3F">
              <w:rPr>
                <w:color w:val="000000"/>
                <w:sz w:val="20"/>
                <w:szCs w:val="20"/>
              </w:rPr>
              <w:t>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9FD5258" w14:textId="77777777">
            <w:pPr>
              <w:jc w:val="center"/>
              <w:rPr>
                <w:color w:val="000000"/>
                <w:sz w:val="20"/>
                <w:szCs w:val="20"/>
              </w:rPr>
            </w:pPr>
            <w:r w:rsidRPr="00C31E3F">
              <w:rPr>
                <w:color w:val="000000"/>
                <w:sz w:val="20"/>
                <w:szCs w:val="20"/>
              </w:rPr>
              <w:t>20</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464CD3F5" w14:textId="77777777">
            <w:pPr>
              <w:jc w:val="center"/>
              <w:rPr>
                <w:color w:val="000000"/>
                <w:sz w:val="20"/>
                <w:szCs w:val="20"/>
              </w:rPr>
            </w:pPr>
            <w:r w:rsidRPr="00C31E3F">
              <w:rPr>
                <w:color w:val="000000"/>
                <w:sz w:val="20"/>
                <w:szCs w:val="20"/>
              </w:rPr>
              <w:t>1.25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C6C3D9E"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2F84812F" w14:textId="77777777">
            <w:pPr>
              <w:jc w:val="center"/>
              <w:rPr>
                <w:color w:val="000000"/>
                <w:sz w:val="20"/>
                <w:szCs w:val="20"/>
              </w:rPr>
            </w:pPr>
            <w:r w:rsidRPr="00C31E3F">
              <w:rPr>
                <w:color w:val="000000"/>
                <w:sz w:val="20"/>
                <w:szCs w:val="20"/>
              </w:rPr>
              <w:t>26.25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95CB70D" w14:textId="77777777">
            <w:pPr>
              <w:jc w:val="center"/>
              <w:rPr>
                <w:color w:val="000000"/>
                <w:sz w:val="20"/>
                <w:szCs w:val="20"/>
              </w:rPr>
            </w:pPr>
            <w:r w:rsidRPr="00C31E3F">
              <w:rPr>
                <w:color w:val="000000"/>
                <w:sz w:val="20"/>
                <w:szCs w:val="20"/>
              </w:rPr>
              <w:t>$3,138.11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4E7326F" w14:textId="77777777">
            <w:pPr>
              <w:jc w:val="center"/>
              <w:rPr>
                <w:color w:val="000000"/>
                <w:sz w:val="20"/>
                <w:szCs w:val="20"/>
              </w:rPr>
            </w:pPr>
            <w:r w:rsidRPr="00C31E3F">
              <w:rPr>
                <w:color w:val="000000"/>
                <w:sz w:val="20"/>
                <w:szCs w:val="20"/>
              </w:rPr>
              <w:t>9</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74869574" w14:textId="77777777">
            <w:pPr>
              <w:jc w:val="right"/>
              <w:rPr>
                <w:color w:val="000000"/>
                <w:sz w:val="20"/>
                <w:szCs w:val="20"/>
              </w:rPr>
            </w:pPr>
            <w:r w:rsidRPr="00C31E3F">
              <w:rPr>
                <w:color w:val="000000"/>
                <w:sz w:val="20"/>
                <w:szCs w:val="20"/>
              </w:rPr>
              <w:t>231.378</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6A2067C4" w14:textId="77777777">
            <w:pPr>
              <w:jc w:val="right"/>
              <w:rPr>
                <w:color w:val="000000"/>
                <w:sz w:val="20"/>
                <w:szCs w:val="20"/>
              </w:rPr>
            </w:pPr>
            <w:r w:rsidRPr="00C31E3F">
              <w:rPr>
                <w:color w:val="000000"/>
                <w:sz w:val="20"/>
                <w:szCs w:val="20"/>
              </w:rPr>
              <w:t>$27,660.58</w:t>
            </w:r>
          </w:p>
        </w:tc>
      </w:tr>
      <w:tr w14:paraId="5F98A0DA"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BC64D13" w14:textId="77777777">
            <w:pPr>
              <w:rPr>
                <w:color w:val="000000"/>
                <w:sz w:val="20"/>
                <w:szCs w:val="20"/>
              </w:rPr>
            </w:pPr>
            <w:r w:rsidRPr="00C31E3F">
              <w:rPr>
                <w:color w:val="000000"/>
                <w:sz w:val="20"/>
                <w:szCs w:val="20"/>
              </w:rPr>
              <w:t>7.</w:t>
            </w:r>
            <w:r>
              <w:rPr>
                <w:color w:val="000000"/>
                <w:sz w:val="20"/>
                <w:szCs w:val="20"/>
              </w:rPr>
              <w:t xml:space="preserve"> </w:t>
            </w:r>
            <w:r w:rsidRPr="00C31E3F">
              <w:rPr>
                <w:color w:val="000000"/>
                <w:sz w:val="20"/>
                <w:szCs w:val="20"/>
              </w:rPr>
              <w:t>Records of Corrective Actions</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187ABBD"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CD469B2" w14:textId="77777777">
            <w:pPr>
              <w:jc w:val="center"/>
              <w:rPr>
                <w:color w:val="000000"/>
                <w:sz w:val="20"/>
                <w:szCs w:val="20"/>
              </w:rPr>
            </w:pPr>
            <w:r w:rsidRPr="00C31E3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6BE7AB0D"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19A0650" w14:textId="77777777">
            <w:pPr>
              <w:jc w:val="center"/>
              <w:rPr>
                <w:color w:val="000000"/>
                <w:sz w:val="20"/>
                <w:szCs w:val="20"/>
              </w:rPr>
            </w:pPr>
            <w:r w:rsidRPr="00C31E3F">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7CF0F6D0"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3397BE7"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F532DF4" w14:textId="77777777">
            <w:pPr>
              <w:jc w:val="center"/>
              <w:rPr>
                <w:color w:val="000000"/>
                <w:sz w:val="20"/>
                <w:szCs w:val="20"/>
              </w:rPr>
            </w:pPr>
            <w:r w:rsidRPr="00C31E3F">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0516A5BD" w14:textId="77777777">
            <w:pPr>
              <w:jc w:val="right"/>
              <w:rPr>
                <w:color w:val="000000"/>
                <w:sz w:val="20"/>
                <w:szCs w:val="20"/>
              </w:rPr>
            </w:pPr>
            <w:r w:rsidRPr="00C31E3F">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50E0EAB2" w14:textId="77777777">
            <w:pPr>
              <w:jc w:val="right"/>
              <w:rPr>
                <w:color w:val="000000"/>
                <w:sz w:val="20"/>
                <w:szCs w:val="20"/>
              </w:rPr>
            </w:pPr>
            <w:r w:rsidRPr="00C31E3F">
              <w:rPr>
                <w:color w:val="000000"/>
                <w:sz w:val="20"/>
                <w:szCs w:val="20"/>
              </w:rPr>
              <w:t> </w:t>
            </w:r>
          </w:p>
        </w:tc>
      </w:tr>
      <w:tr w14:paraId="0321A8E9"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D5FC480"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PSEUs with instrumental systems</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E02659F"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D01802C" w14:textId="77777777">
            <w:pPr>
              <w:jc w:val="center"/>
              <w:rPr>
                <w:color w:val="000000"/>
                <w:sz w:val="20"/>
                <w:szCs w:val="20"/>
              </w:rPr>
            </w:pPr>
            <w:r w:rsidRPr="00C31E3F">
              <w:rPr>
                <w:color w:val="000000"/>
                <w:sz w:val="20"/>
                <w:szCs w:val="20"/>
              </w:rPr>
              <w:t>0.15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5D9ED1AD" w14:textId="77777777">
            <w:pPr>
              <w:jc w:val="center"/>
              <w:rPr>
                <w:color w:val="000000"/>
                <w:sz w:val="20"/>
                <w:szCs w:val="20"/>
              </w:rPr>
            </w:pPr>
            <w:r w:rsidRPr="00C31E3F">
              <w:rPr>
                <w:color w:val="000000"/>
                <w:sz w:val="20"/>
                <w:szCs w:val="20"/>
              </w:rPr>
              <w:t>0.0075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0DED4CE"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6F96BF72" w14:textId="77777777">
            <w:pPr>
              <w:jc w:val="center"/>
              <w:rPr>
                <w:color w:val="000000"/>
                <w:sz w:val="20"/>
                <w:szCs w:val="20"/>
              </w:rPr>
            </w:pPr>
            <w:r w:rsidRPr="00C31E3F">
              <w:rPr>
                <w:color w:val="000000"/>
                <w:sz w:val="20"/>
                <w:szCs w:val="20"/>
              </w:rPr>
              <w:t>0.1575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53B65BD" w14:textId="77777777">
            <w:pPr>
              <w:jc w:val="center"/>
              <w:rPr>
                <w:color w:val="000000"/>
                <w:sz w:val="20"/>
                <w:szCs w:val="20"/>
              </w:rPr>
            </w:pPr>
            <w:r w:rsidRPr="00C31E3F">
              <w:rPr>
                <w:color w:val="000000"/>
                <w:sz w:val="20"/>
                <w:szCs w:val="20"/>
              </w:rPr>
              <w:t>$20.77</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2BAB7BC" w14:textId="77777777">
            <w:pPr>
              <w:jc w:val="center"/>
              <w:rPr>
                <w:color w:val="000000"/>
                <w:sz w:val="20"/>
                <w:szCs w:val="20"/>
              </w:rPr>
            </w:pPr>
            <w:r w:rsidRPr="00C31E3F">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60278A5A" w14:textId="77777777">
            <w:pPr>
              <w:jc w:val="right"/>
              <w:rPr>
                <w:color w:val="000000"/>
                <w:sz w:val="20"/>
                <w:szCs w:val="20"/>
              </w:rPr>
            </w:pPr>
            <w:r w:rsidRPr="00C31E3F">
              <w:rPr>
                <w:color w:val="000000"/>
                <w:sz w:val="20"/>
                <w:szCs w:val="20"/>
              </w:rPr>
              <w:t>0.179865</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67F37D7A" w14:textId="77777777">
            <w:pPr>
              <w:jc w:val="right"/>
              <w:rPr>
                <w:color w:val="000000"/>
                <w:sz w:val="20"/>
                <w:szCs w:val="20"/>
              </w:rPr>
            </w:pPr>
            <w:r w:rsidRPr="00C31E3F">
              <w:rPr>
                <w:color w:val="000000"/>
                <w:sz w:val="20"/>
                <w:szCs w:val="20"/>
              </w:rPr>
              <w:t>$23.71</w:t>
            </w:r>
          </w:p>
        </w:tc>
      </w:tr>
      <w:tr w14:paraId="19BFC40F"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3D59A239"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PSEUs using work practices</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2B14BA9"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6B072E7" w14:textId="77777777">
            <w:pPr>
              <w:jc w:val="center"/>
              <w:rPr>
                <w:color w:val="000000"/>
                <w:sz w:val="20"/>
                <w:szCs w:val="20"/>
              </w:rPr>
            </w:pPr>
            <w:r w:rsidRPr="00C31E3F">
              <w:rPr>
                <w:color w:val="000000"/>
                <w:sz w:val="20"/>
                <w:szCs w:val="20"/>
              </w:rPr>
              <w:t>0.5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4A34DFF5" w14:textId="77777777">
            <w:pPr>
              <w:jc w:val="center"/>
              <w:rPr>
                <w:color w:val="000000"/>
                <w:sz w:val="20"/>
                <w:szCs w:val="20"/>
              </w:rPr>
            </w:pPr>
            <w:r w:rsidRPr="00C31E3F">
              <w:rPr>
                <w:color w:val="000000"/>
                <w:sz w:val="20"/>
                <w:szCs w:val="20"/>
              </w:rPr>
              <w:t>0.025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980A440"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072A1AD2" w14:textId="77777777">
            <w:pPr>
              <w:jc w:val="center"/>
              <w:rPr>
                <w:color w:val="000000"/>
                <w:sz w:val="20"/>
                <w:szCs w:val="20"/>
              </w:rPr>
            </w:pPr>
            <w:r w:rsidRPr="00C31E3F">
              <w:rPr>
                <w:color w:val="000000"/>
                <w:sz w:val="20"/>
                <w:szCs w:val="20"/>
              </w:rPr>
              <w:t>0.525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553AF85" w14:textId="77777777">
            <w:pPr>
              <w:jc w:val="center"/>
              <w:rPr>
                <w:color w:val="000000"/>
                <w:sz w:val="20"/>
                <w:szCs w:val="20"/>
              </w:rPr>
            </w:pPr>
            <w:r w:rsidRPr="00C31E3F">
              <w:rPr>
                <w:color w:val="000000"/>
                <w:sz w:val="20"/>
                <w:szCs w:val="20"/>
              </w:rPr>
              <w:t>$69.22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6817B3A" w14:textId="77777777">
            <w:pPr>
              <w:jc w:val="center"/>
              <w:rPr>
                <w:color w:val="000000"/>
                <w:sz w:val="20"/>
                <w:szCs w:val="20"/>
              </w:rPr>
            </w:pPr>
            <w:r w:rsidRPr="00C31E3F">
              <w:rPr>
                <w:color w:val="000000"/>
                <w:sz w:val="20"/>
                <w:szCs w:val="20"/>
              </w:rPr>
              <w:t>8</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506127ED" w14:textId="77777777">
            <w:pPr>
              <w:jc w:val="right"/>
              <w:rPr>
                <w:color w:val="000000"/>
                <w:sz w:val="20"/>
                <w:szCs w:val="20"/>
              </w:rPr>
            </w:pPr>
            <w:r w:rsidRPr="00C31E3F">
              <w:rPr>
                <w:color w:val="000000"/>
                <w:sz w:val="20"/>
                <w:szCs w:val="20"/>
              </w:rPr>
              <w:t>4.02801</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3A45905B" w14:textId="77777777">
            <w:pPr>
              <w:jc w:val="right"/>
              <w:rPr>
                <w:color w:val="000000"/>
                <w:sz w:val="20"/>
                <w:szCs w:val="20"/>
              </w:rPr>
            </w:pPr>
            <w:r w:rsidRPr="00C31E3F">
              <w:rPr>
                <w:color w:val="000000"/>
                <w:sz w:val="20"/>
                <w:szCs w:val="20"/>
              </w:rPr>
              <w:t>$531.08</w:t>
            </w:r>
          </w:p>
        </w:tc>
      </w:tr>
      <w:tr w14:paraId="5DC20CF4"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CD1347C" w14:textId="77777777">
            <w:pPr>
              <w:rPr>
                <w:color w:val="000000"/>
                <w:sz w:val="20"/>
                <w:szCs w:val="20"/>
              </w:rPr>
            </w:pPr>
            <w:r w:rsidRPr="00C31E3F">
              <w:rPr>
                <w:color w:val="000000"/>
                <w:sz w:val="20"/>
                <w:szCs w:val="20"/>
              </w:rPr>
              <w:t>8.</w:t>
            </w:r>
            <w:r>
              <w:rPr>
                <w:color w:val="000000"/>
                <w:sz w:val="20"/>
                <w:szCs w:val="20"/>
              </w:rPr>
              <w:t xml:space="preserve"> </w:t>
            </w:r>
            <w:r w:rsidRPr="00C31E3F">
              <w:rPr>
                <w:color w:val="000000"/>
                <w:sz w:val="20"/>
                <w:szCs w:val="20"/>
              </w:rPr>
              <w:t>Reporting of Corrective Actions</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0D76C5D"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364F43D" w14:textId="77777777">
            <w:pPr>
              <w:jc w:val="center"/>
              <w:rPr>
                <w:color w:val="000000"/>
                <w:sz w:val="20"/>
                <w:szCs w:val="20"/>
              </w:rPr>
            </w:pPr>
            <w:r w:rsidRPr="00C31E3F">
              <w:rPr>
                <w:color w:val="000000"/>
                <w:sz w:val="20"/>
                <w:szCs w:val="20"/>
              </w:rPr>
              <w:t>0.5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62FABACC" w14:textId="77777777">
            <w:pPr>
              <w:jc w:val="center"/>
              <w:rPr>
                <w:color w:val="000000"/>
                <w:sz w:val="20"/>
                <w:szCs w:val="20"/>
              </w:rPr>
            </w:pPr>
            <w:r w:rsidRPr="00C31E3F">
              <w:rPr>
                <w:color w:val="000000"/>
                <w:sz w:val="20"/>
                <w:szCs w:val="20"/>
              </w:rPr>
              <w:t>0.025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7DD20DD" w14:textId="77777777">
            <w:pPr>
              <w:jc w:val="center"/>
              <w:rPr>
                <w:color w:val="000000"/>
                <w:sz w:val="20"/>
                <w:szCs w:val="20"/>
              </w:rPr>
            </w:pPr>
            <w:r w:rsidRPr="00C31E3F">
              <w:rPr>
                <w:color w:val="000000"/>
                <w:sz w:val="20"/>
                <w:szCs w:val="20"/>
              </w:rPr>
              <w:t>2</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0942A8B0" w14:textId="77777777">
            <w:pPr>
              <w:jc w:val="center"/>
              <w:rPr>
                <w:color w:val="000000"/>
                <w:sz w:val="20"/>
                <w:szCs w:val="20"/>
              </w:rPr>
            </w:pPr>
            <w:r w:rsidRPr="00C31E3F">
              <w:rPr>
                <w:color w:val="000000"/>
                <w:sz w:val="20"/>
                <w:szCs w:val="20"/>
              </w:rPr>
              <w:t>1.05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D4E18B7" w14:textId="77777777">
            <w:pPr>
              <w:jc w:val="center"/>
              <w:rPr>
                <w:color w:val="000000"/>
                <w:sz w:val="20"/>
                <w:szCs w:val="20"/>
              </w:rPr>
            </w:pPr>
            <w:r w:rsidRPr="00C31E3F">
              <w:rPr>
                <w:color w:val="000000"/>
                <w:sz w:val="20"/>
                <w:szCs w:val="20"/>
              </w:rPr>
              <w:t>$138.44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81707D7" w14:textId="77777777">
            <w:pPr>
              <w:jc w:val="center"/>
              <w:rPr>
                <w:color w:val="000000"/>
                <w:sz w:val="20"/>
                <w:szCs w:val="20"/>
              </w:rPr>
            </w:pPr>
            <w:r w:rsidRPr="00C31E3F">
              <w:rPr>
                <w:color w:val="000000"/>
                <w:sz w:val="20"/>
                <w:szCs w:val="20"/>
              </w:rPr>
              <w:t>9</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46947109" w14:textId="77777777">
            <w:pPr>
              <w:jc w:val="right"/>
              <w:rPr>
                <w:color w:val="000000"/>
                <w:sz w:val="20"/>
                <w:szCs w:val="20"/>
              </w:rPr>
            </w:pPr>
            <w:r w:rsidRPr="00C31E3F">
              <w:rPr>
                <w:color w:val="000000"/>
                <w:sz w:val="20"/>
                <w:szCs w:val="20"/>
              </w:rPr>
              <w:t>9.45</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47C14D5F" w14:textId="77777777">
            <w:pPr>
              <w:jc w:val="right"/>
              <w:rPr>
                <w:color w:val="000000"/>
                <w:sz w:val="20"/>
                <w:szCs w:val="20"/>
              </w:rPr>
            </w:pPr>
            <w:r w:rsidRPr="00C31E3F">
              <w:rPr>
                <w:color w:val="000000"/>
                <w:sz w:val="20"/>
                <w:szCs w:val="20"/>
              </w:rPr>
              <w:t>$1,245.95</w:t>
            </w:r>
          </w:p>
        </w:tc>
      </w:tr>
      <w:tr w14:paraId="205A17EA"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877C581" w14:textId="77777777">
            <w:pPr>
              <w:rPr>
                <w:color w:val="000000"/>
                <w:sz w:val="20"/>
                <w:szCs w:val="20"/>
              </w:rPr>
            </w:pPr>
            <w:r w:rsidRPr="00C31E3F">
              <w:rPr>
                <w:color w:val="000000"/>
                <w:sz w:val="20"/>
                <w:szCs w:val="20"/>
              </w:rPr>
              <w:t>9.</w:t>
            </w:r>
            <w:r>
              <w:rPr>
                <w:color w:val="000000"/>
                <w:sz w:val="20"/>
                <w:szCs w:val="20"/>
              </w:rPr>
              <w:t xml:space="preserve"> </w:t>
            </w:r>
            <w:r w:rsidRPr="00C31E3F">
              <w:rPr>
                <w:color w:val="000000"/>
                <w:sz w:val="20"/>
                <w:szCs w:val="20"/>
              </w:rPr>
              <w:t xml:space="preserve">Facility Certification </w:t>
            </w:r>
            <w:r w:rsidRPr="00C31E3F">
              <w:rPr>
                <w:color w:val="000000"/>
                <w:sz w:val="20"/>
                <w:szCs w:val="20"/>
                <w:vertAlign w:val="superscript"/>
              </w:rPr>
              <w:t>f</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5E0D00A" w14:textId="77777777">
            <w:pPr>
              <w:jc w:val="center"/>
              <w:rPr>
                <w:color w:val="000000"/>
                <w:sz w:val="20"/>
                <w:szCs w:val="20"/>
              </w:rPr>
            </w:pPr>
            <w:r w:rsidRPr="00C31E3F">
              <w:rPr>
                <w:color w:val="000000"/>
                <w:sz w:val="20"/>
                <w:szCs w:val="20"/>
              </w:rPr>
              <w:t>0.7</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C99D1F2" w14:textId="77777777">
            <w:pPr>
              <w:jc w:val="center"/>
              <w:rPr>
                <w:color w:val="000000"/>
                <w:sz w:val="20"/>
                <w:szCs w:val="20"/>
              </w:rPr>
            </w:pPr>
            <w:r w:rsidRPr="00C31E3F">
              <w:rPr>
                <w:color w:val="000000"/>
                <w:sz w:val="20"/>
                <w:szCs w:val="20"/>
              </w:rPr>
              <w:t>0</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7418013C" w14:textId="77777777">
            <w:pPr>
              <w:jc w:val="center"/>
              <w:rPr>
                <w:color w:val="000000"/>
                <w:sz w:val="20"/>
                <w:szCs w:val="20"/>
              </w:rPr>
            </w:pPr>
            <w:r w:rsidRPr="00C31E3F">
              <w:rPr>
                <w:color w:val="000000"/>
                <w:sz w:val="20"/>
                <w:szCs w:val="20"/>
              </w:rPr>
              <w:t>0.035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7F45035"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52B5F35E" w14:textId="77777777">
            <w:pPr>
              <w:jc w:val="center"/>
              <w:rPr>
                <w:color w:val="000000"/>
                <w:sz w:val="20"/>
                <w:szCs w:val="20"/>
              </w:rPr>
            </w:pPr>
            <w:r w:rsidRPr="00C31E3F">
              <w:rPr>
                <w:color w:val="000000"/>
                <w:sz w:val="20"/>
                <w:szCs w:val="20"/>
              </w:rPr>
              <w:t>0.735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9464F7E" w14:textId="77777777">
            <w:pPr>
              <w:jc w:val="center"/>
              <w:rPr>
                <w:color w:val="000000"/>
                <w:sz w:val="20"/>
                <w:szCs w:val="20"/>
              </w:rPr>
            </w:pPr>
            <w:r w:rsidRPr="00C31E3F">
              <w:rPr>
                <w:color w:val="000000"/>
                <w:sz w:val="20"/>
                <w:szCs w:val="20"/>
              </w:rPr>
              <w:t>$51.71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9644F4C" w14:textId="77777777">
            <w:pPr>
              <w:jc w:val="center"/>
              <w:rPr>
                <w:color w:val="000000"/>
                <w:sz w:val="20"/>
                <w:szCs w:val="20"/>
              </w:rPr>
            </w:pPr>
            <w:r w:rsidRPr="00C31E3F">
              <w:rPr>
                <w:color w:val="000000"/>
                <w:sz w:val="20"/>
                <w:szCs w:val="20"/>
              </w:rPr>
              <w:t>0</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6842C4C3" w14:textId="77777777">
            <w:pPr>
              <w:jc w:val="right"/>
              <w:rPr>
                <w:color w:val="000000"/>
                <w:sz w:val="20"/>
                <w:szCs w:val="20"/>
              </w:rPr>
            </w:pPr>
            <w:r w:rsidRPr="00C31E3F">
              <w:rPr>
                <w:color w:val="000000"/>
                <w:sz w:val="20"/>
                <w:szCs w:val="20"/>
              </w:rPr>
              <w:t>0</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648368D8" w14:textId="77777777">
            <w:pPr>
              <w:jc w:val="right"/>
              <w:rPr>
                <w:color w:val="000000"/>
                <w:sz w:val="20"/>
                <w:szCs w:val="20"/>
              </w:rPr>
            </w:pPr>
            <w:r w:rsidRPr="00C31E3F">
              <w:rPr>
                <w:color w:val="000000"/>
                <w:sz w:val="20"/>
                <w:szCs w:val="20"/>
              </w:rPr>
              <w:t>$0.00</w:t>
            </w:r>
          </w:p>
        </w:tc>
      </w:tr>
      <w:tr w14:paraId="436E95AC"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3B541FA2" w14:textId="77777777">
            <w:pPr>
              <w:rPr>
                <w:b/>
                <w:bCs/>
                <w:sz w:val="20"/>
                <w:szCs w:val="20"/>
              </w:rPr>
            </w:pPr>
            <w:r w:rsidRPr="00C31E3F">
              <w:rPr>
                <w:b/>
                <w:bCs/>
                <w:sz w:val="20"/>
                <w:szCs w:val="20"/>
              </w:rPr>
              <w:t xml:space="preserve">Total Labor Burden and Costs (rounded) </w:t>
            </w:r>
            <w:r w:rsidRPr="00C31E3F">
              <w:rPr>
                <w:b/>
                <w:bCs/>
                <w:sz w:val="20"/>
                <w:szCs w:val="20"/>
                <w:vertAlign w:val="superscript"/>
              </w:rPr>
              <w:t>g</w:t>
            </w:r>
          </w:p>
        </w:tc>
        <w:tc>
          <w:tcPr>
            <w:tcW w:w="2671" w:type="pct"/>
            <w:gridSpan w:val="7"/>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254E6976" w14:textId="77777777">
            <w:pPr>
              <w:jc w:val="center"/>
              <w:rPr>
                <w:b/>
                <w:bCs/>
                <w:sz w:val="20"/>
                <w:szCs w:val="20"/>
              </w:rPr>
            </w:pPr>
            <w:r w:rsidRPr="00C31E3F">
              <w:rPr>
                <w:b/>
                <w:bCs/>
                <w:sz w:val="20"/>
                <w:szCs w:val="20"/>
              </w:rPr>
              <w:t> </w:t>
            </w:r>
          </w:p>
        </w:tc>
        <w:tc>
          <w:tcPr>
            <w:tcW w:w="423" w:type="pct"/>
            <w:tcBorders>
              <w:top w:val="nil"/>
              <w:left w:val="nil"/>
              <w:bottom w:val="single" w:sz="4" w:space="0" w:color="auto"/>
              <w:right w:val="nil"/>
            </w:tcBorders>
            <w:shd w:val="clear" w:color="auto" w:fill="auto"/>
            <w:vAlign w:val="center"/>
            <w:hideMark/>
          </w:tcPr>
          <w:p w:rsidR="0039497E" w:rsidRPr="00C31E3F" w:rsidP="000C08CC" w14:paraId="4C30A504" w14:textId="77777777">
            <w:pPr>
              <w:jc w:val="center"/>
              <w:rPr>
                <w:b/>
                <w:bCs/>
                <w:sz w:val="20"/>
                <w:szCs w:val="20"/>
              </w:rPr>
            </w:pPr>
            <w:r>
              <w:rPr>
                <w:b/>
                <w:bCs/>
                <w:sz w:val="20"/>
                <w:szCs w:val="20"/>
              </w:rPr>
              <w:t xml:space="preserve"> </w:t>
            </w:r>
            <w:r w:rsidRPr="00C31E3F">
              <w:rPr>
                <w:b/>
                <w:bCs/>
                <w:sz w:val="20"/>
                <w:szCs w:val="20"/>
              </w:rPr>
              <w:t xml:space="preserve">19,300 </w:t>
            </w:r>
          </w:p>
        </w:tc>
        <w:tc>
          <w:tcPr>
            <w:tcW w:w="425"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0137596F" w14:textId="77777777">
            <w:pPr>
              <w:jc w:val="right"/>
              <w:rPr>
                <w:b/>
                <w:bCs/>
                <w:i/>
                <w:iCs/>
                <w:sz w:val="20"/>
                <w:szCs w:val="20"/>
              </w:rPr>
            </w:pPr>
            <w:r w:rsidRPr="00C31E3F">
              <w:rPr>
                <w:b/>
                <w:bCs/>
                <w:i/>
                <w:iCs/>
                <w:sz w:val="20"/>
                <w:szCs w:val="20"/>
              </w:rPr>
              <w:t>$2,190,000</w:t>
            </w:r>
          </w:p>
        </w:tc>
      </w:tr>
      <w:tr w14:paraId="476E465A"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0470B09F" w14:textId="77777777">
            <w:pPr>
              <w:rPr>
                <w:b/>
                <w:bCs/>
                <w:sz w:val="20"/>
                <w:szCs w:val="20"/>
              </w:rPr>
            </w:pPr>
            <w:r w:rsidRPr="00C31E3F">
              <w:rPr>
                <w:b/>
                <w:bCs/>
                <w:sz w:val="20"/>
                <w:szCs w:val="20"/>
              </w:rPr>
              <w:t>Total Capital and O&amp;M Cost (rounded)</w:t>
            </w:r>
            <w:r w:rsidRPr="00C31E3F">
              <w:rPr>
                <w:b/>
                <w:bCs/>
                <w:sz w:val="20"/>
                <w:szCs w:val="20"/>
                <w:vertAlign w:val="superscript"/>
              </w:rPr>
              <w:t xml:space="preserve"> g</w:t>
            </w:r>
          </w:p>
        </w:tc>
        <w:tc>
          <w:tcPr>
            <w:tcW w:w="3094" w:type="pct"/>
            <w:gridSpan w:val="8"/>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72346720" w14:textId="77777777">
            <w:pPr>
              <w:jc w:val="center"/>
              <w:rPr>
                <w:b/>
                <w:bCs/>
                <w:sz w:val="20"/>
                <w:szCs w:val="20"/>
              </w:rPr>
            </w:pPr>
            <w:r w:rsidRPr="00C31E3F">
              <w:rPr>
                <w:b/>
                <w:bCs/>
                <w:sz w:val="20"/>
                <w:szCs w:val="20"/>
              </w:rPr>
              <w:t> </w:t>
            </w:r>
          </w:p>
        </w:tc>
        <w:tc>
          <w:tcPr>
            <w:tcW w:w="425" w:type="pct"/>
            <w:tcBorders>
              <w:top w:val="nil"/>
              <w:left w:val="nil"/>
              <w:bottom w:val="single" w:sz="4" w:space="0" w:color="auto"/>
              <w:right w:val="single" w:sz="4" w:space="0" w:color="auto"/>
            </w:tcBorders>
            <w:shd w:val="clear" w:color="auto" w:fill="auto"/>
            <w:vAlign w:val="bottom"/>
            <w:hideMark/>
          </w:tcPr>
          <w:p w:rsidR="0039497E" w:rsidRPr="00C31E3F" w:rsidP="000C08CC" w14:paraId="5F652CA3" w14:textId="77777777">
            <w:pPr>
              <w:jc w:val="right"/>
              <w:rPr>
                <w:b/>
                <w:bCs/>
                <w:i/>
                <w:iCs/>
                <w:sz w:val="20"/>
                <w:szCs w:val="20"/>
              </w:rPr>
            </w:pPr>
            <w:r w:rsidRPr="00C31E3F">
              <w:rPr>
                <w:b/>
                <w:bCs/>
                <w:i/>
                <w:iCs/>
                <w:sz w:val="20"/>
                <w:szCs w:val="20"/>
              </w:rPr>
              <w:t xml:space="preserve">$0 </w:t>
            </w:r>
          </w:p>
        </w:tc>
      </w:tr>
      <w:tr w14:paraId="2ABB933C"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6C8DBC11" w14:textId="77777777">
            <w:pPr>
              <w:rPr>
                <w:b/>
                <w:bCs/>
                <w:sz w:val="20"/>
                <w:szCs w:val="20"/>
              </w:rPr>
            </w:pPr>
            <w:r w:rsidRPr="00C31E3F">
              <w:rPr>
                <w:b/>
                <w:bCs/>
                <w:sz w:val="20"/>
                <w:szCs w:val="20"/>
              </w:rPr>
              <w:t xml:space="preserve">GRAND TOTAL (rounded) </w:t>
            </w:r>
            <w:r w:rsidRPr="00C31E3F">
              <w:rPr>
                <w:b/>
                <w:bCs/>
                <w:sz w:val="20"/>
                <w:szCs w:val="20"/>
                <w:vertAlign w:val="superscript"/>
              </w:rPr>
              <w:t>g</w:t>
            </w:r>
          </w:p>
        </w:tc>
        <w:tc>
          <w:tcPr>
            <w:tcW w:w="3094" w:type="pct"/>
            <w:gridSpan w:val="8"/>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1474BC0F" w14:textId="77777777">
            <w:pPr>
              <w:jc w:val="center"/>
              <w:rPr>
                <w:b/>
                <w:bCs/>
                <w:sz w:val="20"/>
                <w:szCs w:val="20"/>
              </w:rPr>
            </w:pPr>
            <w:r w:rsidRPr="00C31E3F">
              <w:rPr>
                <w:b/>
                <w:bCs/>
                <w:sz w:val="20"/>
                <w:szCs w:val="20"/>
              </w:rPr>
              <w:t> </w:t>
            </w:r>
          </w:p>
        </w:tc>
        <w:tc>
          <w:tcPr>
            <w:tcW w:w="425" w:type="pct"/>
            <w:tcBorders>
              <w:top w:val="nil"/>
              <w:left w:val="nil"/>
              <w:bottom w:val="single" w:sz="4" w:space="0" w:color="auto"/>
              <w:right w:val="single" w:sz="4" w:space="0" w:color="auto"/>
            </w:tcBorders>
            <w:shd w:val="clear" w:color="auto" w:fill="auto"/>
            <w:vAlign w:val="bottom"/>
            <w:hideMark/>
          </w:tcPr>
          <w:p w:rsidR="0039497E" w:rsidRPr="00C31E3F" w:rsidP="000C08CC" w14:paraId="5D5F43DE" w14:textId="77777777">
            <w:pPr>
              <w:jc w:val="right"/>
              <w:rPr>
                <w:b/>
                <w:bCs/>
                <w:i/>
                <w:iCs/>
                <w:sz w:val="20"/>
                <w:szCs w:val="20"/>
              </w:rPr>
            </w:pPr>
            <w:r w:rsidRPr="00C31E3F">
              <w:rPr>
                <w:b/>
                <w:bCs/>
                <w:i/>
                <w:iCs/>
                <w:sz w:val="20"/>
                <w:szCs w:val="20"/>
              </w:rPr>
              <w:t xml:space="preserve">$2,190,000 </w:t>
            </w:r>
          </w:p>
        </w:tc>
      </w:tr>
      <w:tr w14:paraId="085AEC6E" w14:textId="77777777" w:rsidTr="000C08CC">
        <w:tblPrEx>
          <w:tblW w:w="5000" w:type="pct"/>
          <w:tblLook w:val="04A0"/>
        </w:tblPrEx>
        <w:trPr>
          <w:trHeight w:val="276"/>
        </w:trPr>
        <w:tc>
          <w:tcPr>
            <w:tcW w:w="1481" w:type="pct"/>
            <w:tcBorders>
              <w:top w:val="nil"/>
              <w:left w:val="nil"/>
              <w:bottom w:val="nil"/>
              <w:right w:val="nil"/>
            </w:tcBorders>
            <w:shd w:val="clear" w:color="auto" w:fill="auto"/>
            <w:noWrap/>
            <w:vAlign w:val="bottom"/>
            <w:hideMark/>
          </w:tcPr>
          <w:p w:rsidR="0039497E" w:rsidRPr="00C31E3F" w:rsidP="000C08CC" w14:paraId="790C3ABD" w14:textId="77777777">
            <w:pPr>
              <w:jc w:val="right"/>
              <w:rPr>
                <w:b/>
                <w:bCs/>
                <w:i/>
                <w:iCs/>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65364B9C"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6EFF8FB0" w14:textId="77777777">
            <w:pPr>
              <w:rPr>
                <w:sz w:val="20"/>
                <w:szCs w:val="20"/>
              </w:rPr>
            </w:pPr>
          </w:p>
        </w:tc>
        <w:tc>
          <w:tcPr>
            <w:tcW w:w="412" w:type="pct"/>
            <w:tcBorders>
              <w:top w:val="nil"/>
              <w:left w:val="nil"/>
              <w:bottom w:val="nil"/>
              <w:right w:val="nil"/>
            </w:tcBorders>
            <w:shd w:val="clear" w:color="auto" w:fill="auto"/>
            <w:noWrap/>
            <w:vAlign w:val="bottom"/>
            <w:hideMark/>
          </w:tcPr>
          <w:p w:rsidR="0039497E" w:rsidRPr="00C31E3F" w:rsidP="000C08CC" w14:paraId="5D3841FB"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52481B84" w14:textId="77777777">
            <w:pPr>
              <w:rPr>
                <w:sz w:val="20"/>
                <w:szCs w:val="20"/>
              </w:rPr>
            </w:pPr>
          </w:p>
        </w:tc>
        <w:tc>
          <w:tcPr>
            <w:tcW w:w="424" w:type="pct"/>
            <w:tcBorders>
              <w:top w:val="nil"/>
              <w:left w:val="nil"/>
              <w:bottom w:val="nil"/>
              <w:right w:val="nil"/>
            </w:tcBorders>
            <w:shd w:val="clear" w:color="auto" w:fill="auto"/>
            <w:noWrap/>
            <w:vAlign w:val="bottom"/>
            <w:hideMark/>
          </w:tcPr>
          <w:p w:rsidR="0039497E" w:rsidRPr="00C31E3F" w:rsidP="000C08CC" w14:paraId="33546EEC"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493010A7"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53FBA3FE" w14:textId="77777777">
            <w:pPr>
              <w:rPr>
                <w:sz w:val="20"/>
                <w:szCs w:val="20"/>
              </w:rPr>
            </w:pPr>
          </w:p>
        </w:tc>
        <w:tc>
          <w:tcPr>
            <w:tcW w:w="423" w:type="pct"/>
            <w:tcBorders>
              <w:top w:val="nil"/>
              <w:left w:val="nil"/>
              <w:bottom w:val="nil"/>
              <w:right w:val="nil"/>
            </w:tcBorders>
            <w:shd w:val="clear" w:color="auto" w:fill="auto"/>
            <w:noWrap/>
            <w:vAlign w:val="bottom"/>
            <w:hideMark/>
          </w:tcPr>
          <w:p w:rsidR="0039497E" w:rsidRPr="00C31E3F" w:rsidP="000C08CC" w14:paraId="77CF327E" w14:textId="77777777">
            <w:pPr>
              <w:rPr>
                <w:sz w:val="20"/>
                <w:szCs w:val="20"/>
              </w:rPr>
            </w:pPr>
          </w:p>
        </w:tc>
        <w:tc>
          <w:tcPr>
            <w:tcW w:w="425" w:type="pct"/>
            <w:tcBorders>
              <w:top w:val="nil"/>
              <w:left w:val="nil"/>
              <w:bottom w:val="nil"/>
              <w:right w:val="nil"/>
            </w:tcBorders>
            <w:shd w:val="clear" w:color="auto" w:fill="auto"/>
            <w:noWrap/>
            <w:vAlign w:val="bottom"/>
            <w:hideMark/>
          </w:tcPr>
          <w:p w:rsidR="0039497E" w:rsidRPr="00C31E3F" w:rsidP="000C08CC" w14:paraId="62D10934" w14:textId="77777777">
            <w:pPr>
              <w:jc w:val="right"/>
              <w:rPr>
                <w:sz w:val="20"/>
                <w:szCs w:val="20"/>
              </w:rPr>
            </w:pPr>
          </w:p>
        </w:tc>
      </w:tr>
      <w:tr w14:paraId="48D0A5B1" w14:textId="77777777" w:rsidTr="000C08CC">
        <w:tblPrEx>
          <w:tblW w:w="5000" w:type="pct"/>
          <w:tblLook w:val="04A0"/>
        </w:tblPrEx>
        <w:trPr>
          <w:trHeight w:val="276"/>
        </w:trPr>
        <w:tc>
          <w:tcPr>
            <w:tcW w:w="1481" w:type="pct"/>
            <w:tcBorders>
              <w:top w:val="nil"/>
              <w:left w:val="nil"/>
              <w:bottom w:val="nil"/>
              <w:right w:val="nil"/>
            </w:tcBorders>
            <w:shd w:val="clear" w:color="auto" w:fill="auto"/>
            <w:noWrap/>
            <w:vAlign w:val="bottom"/>
            <w:hideMark/>
          </w:tcPr>
          <w:p w:rsidR="0039497E" w:rsidRPr="00C31E3F" w:rsidP="000C08CC" w14:paraId="232CF7F4" w14:textId="77777777">
            <w:pPr>
              <w:rPr>
                <w:b/>
                <w:bCs/>
                <w:color w:val="000000"/>
                <w:sz w:val="20"/>
                <w:szCs w:val="20"/>
              </w:rPr>
            </w:pPr>
            <w:r w:rsidRPr="00C31E3F">
              <w:rPr>
                <w:b/>
                <w:bCs/>
                <w:color w:val="000000"/>
                <w:sz w:val="20"/>
                <w:szCs w:val="20"/>
              </w:rPr>
              <w:t>Assumptions:</w:t>
            </w:r>
          </w:p>
        </w:tc>
        <w:tc>
          <w:tcPr>
            <w:tcW w:w="367" w:type="pct"/>
            <w:tcBorders>
              <w:top w:val="nil"/>
              <w:left w:val="nil"/>
              <w:bottom w:val="nil"/>
              <w:right w:val="nil"/>
            </w:tcBorders>
            <w:shd w:val="clear" w:color="auto" w:fill="auto"/>
            <w:noWrap/>
            <w:vAlign w:val="bottom"/>
            <w:hideMark/>
          </w:tcPr>
          <w:p w:rsidR="0039497E" w:rsidRPr="00C31E3F" w:rsidP="000C08CC" w14:paraId="0F3103C4" w14:textId="77777777">
            <w:pPr>
              <w:rPr>
                <w:b/>
                <w:bCs/>
                <w:color w:val="000000"/>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666A2B8D" w14:textId="77777777">
            <w:pPr>
              <w:rPr>
                <w:sz w:val="20"/>
                <w:szCs w:val="20"/>
              </w:rPr>
            </w:pPr>
          </w:p>
        </w:tc>
        <w:tc>
          <w:tcPr>
            <w:tcW w:w="412" w:type="pct"/>
            <w:tcBorders>
              <w:top w:val="nil"/>
              <w:left w:val="nil"/>
              <w:bottom w:val="nil"/>
              <w:right w:val="nil"/>
            </w:tcBorders>
            <w:shd w:val="clear" w:color="auto" w:fill="auto"/>
            <w:noWrap/>
            <w:vAlign w:val="bottom"/>
            <w:hideMark/>
          </w:tcPr>
          <w:p w:rsidR="0039497E" w:rsidRPr="00C31E3F" w:rsidP="000C08CC" w14:paraId="1215A6A7"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63A713C1" w14:textId="77777777">
            <w:pPr>
              <w:rPr>
                <w:sz w:val="20"/>
                <w:szCs w:val="20"/>
              </w:rPr>
            </w:pPr>
          </w:p>
        </w:tc>
        <w:tc>
          <w:tcPr>
            <w:tcW w:w="424" w:type="pct"/>
            <w:tcBorders>
              <w:top w:val="nil"/>
              <w:left w:val="nil"/>
              <w:bottom w:val="nil"/>
              <w:right w:val="nil"/>
            </w:tcBorders>
            <w:shd w:val="clear" w:color="auto" w:fill="auto"/>
            <w:noWrap/>
            <w:vAlign w:val="bottom"/>
            <w:hideMark/>
          </w:tcPr>
          <w:p w:rsidR="0039497E" w:rsidRPr="00C31E3F" w:rsidP="000C08CC" w14:paraId="1BADD112"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763A5FF9"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3880DBC1" w14:textId="77777777">
            <w:pPr>
              <w:rPr>
                <w:sz w:val="20"/>
                <w:szCs w:val="20"/>
              </w:rPr>
            </w:pPr>
          </w:p>
        </w:tc>
        <w:tc>
          <w:tcPr>
            <w:tcW w:w="423" w:type="pct"/>
            <w:tcBorders>
              <w:top w:val="nil"/>
              <w:left w:val="nil"/>
              <w:bottom w:val="nil"/>
              <w:right w:val="nil"/>
            </w:tcBorders>
            <w:shd w:val="clear" w:color="auto" w:fill="auto"/>
            <w:noWrap/>
            <w:vAlign w:val="bottom"/>
            <w:hideMark/>
          </w:tcPr>
          <w:p w:rsidR="0039497E" w:rsidRPr="00C31E3F" w:rsidP="000C08CC" w14:paraId="427B3E2D" w14:textId="77777777">
            <w:pPr>
              <w:rPr>
                <w:sz w:val="20"/>
                <w:szCs w:val="20"/>
              </w:rPr>
            </w:pPr>
          </w:p>
        </w:tc>
        <w:tc>
          <w:tcPr>
            <w:tcW w:w="425" w:type="pct"/>
            <w:tcBorders>
              <w:top w:val="nil"/>
              <w:left w:val="nil"/>
              <w:bottom w:val="nil"/>
              <w:right w:val="nil"/>
            </w:tcBorders>
            <w:shd w:val="clear" w:color="auto" w:fill="auto"/>
            <w:noWrap/>
            <w:vAlign w:val="bottom"/>
            <w:hideMark/>
          </w:tcPr>
          <w:p w:rsidR="0039497E" w:rsidRPr="00C31E3F" w:rsidP="000C08CC" w14:paraId="0D0D0DA2" w14:textId="77777777">
            <w:pPr>
              <w:jc w:val="right"/>
              <w:rPr>
                <w:sz w:val="20"/>
                <w:szCs w:val="20"/>
              </w:rPr>
            </w:pPr>
          </w:p>
        </w:tc>
      </w:tr>
      <w:tr w14:paraId="34555757" w14:textId="77777777" w:rsidTr="000C08CC">
        <w:tblPrEx>
          <w:tblW w:w="5000" w:type="pct"/>
          <w:tblLook w:val="04A0"/>
        </w:tblPrEx>
        <w:trPr>
          <w:trHeight w:val="342"/>
        </w:trPr>
        <w:tc>
          <w:tcPr>
            <w:tcW w:w="4575" w:type="pct"/>
            <w:gridSpan w:val="9"/>
            <w:tcBorders>
              <w:top w:val="nil"/>
              <w:left w:val="nil"/>
              <w:bottom w:val="nil"/>
              <w:right w:val="nil"/>
            </w:tcBorders>
            <w:shd w:val="clear" w:color="auto" w:fill="auto"/>
            <w:hideMark/>
          </w:tcPr>
          <w:p w:rsidR="0039497E" w:rsidRPr="00C31E3F" w:rsidP="000C08CC" w14:paraId="077146BB" w14:textId="77777777">
            <w:pPr>
              <w:rPr>
                <w:sz w:val="20"/>
                <w:szCs w:val="20"/>
              </w:rPr>
            </w:pPr>
            <w:r w:rsidRPr="00C31E3F">
              <w:rPr>
                <w:sz w:val="20"/>
                <w:szCs w:val="20"/>
                <w:vertAlign w:val="superscript"/>
              </w:rPr>
              <w:t>a</w:t>
            </w:r>
            <w:r>
              <w:rPr>
                <w:sz w:val="20"/>
                <w:szCs w:val="20"/>
              </w:rPr>
              <w:t xml:space="preserve"> </w:t>
            </w:r>
            <w:r w:rsidRPr="00C31E3F">
              <w:rPr>
                <w:sz w:val="20"/>
                <w:szCs w:val="20"/>
              </w:rPr>
              <w:t>All hours are per PSEU unless otherwise noted.</w:t>
            </w:r>
          </w:p>
        </w:tc>
        <w:tc>
          <w:tcPr>
            <w:tcW w:w="425" w:type="pct"/>
            <w:tcBorders>
              <w:top w:val="nil"/>
              <w:left w:val="nil"/>
              <w:bottom w:val="nil"/>
              <w:right w:val="nil"/>
            </w:tcBorders>
            <w:shd w:val="clear" w:color="auto" w:fill="auto"/>
            <w:hideMark/>
          </w:tcPr>
          <w:p w:rsidR="0039497E" w:rsidRPr="00C31E3F" w:rsidP="000C08CC" w14:paraId="1FB315BB" w14:textId="77777777">
            <w:pPr>
              <w:rPr>
                <w:sz w:val="20"/>
                <w:szCs w:val="20"/>
              </w:rPr>
            </w:pPr>
          </w:p>
        </w:tc>
      </w:tr>
      <w:tr w14:paraId="48A818CC" w14:textId="77777777" w:rsidTr="000C08CC">
        <w:tblPrEx>
          <w:tblW w:w="5000" w:type="pct"/>
          <w:tblLook w:val="04A0"/>
        </w:tblPrEx>
        <w:trPr>
          <w:trHeight w:val="1188"/>
        </w:trPr>
        <w:tc>
          <w:tcPr>
            <w:tcW w:w="5000" w:type="pct"/>
            <w:gridSpan w:val="10"/>
            <w:tcBorders>
              <w:top w:val="nil"/>
              <w:left w:val="nil"/>
              <w:bottom w:val="nil"/>
              <w:right w:val="nil"/>
            </w:tcBorders>
            <w:shd w:val="clear" w:color="auto" w:fill="auto"/>
            <w:hideMark/>
          </w:tcPr>
          <w:p w:rsidR="0039497E" w:rsidRPr="00C31E3F" w:rsidP="000C08CC" w14:paraId="4904651E" w14:textId="77777777">
            <w:pPr>
              <w:rPr>
                <w:sz w:val="20"/>
                <w:szCs w:val="20"/>
              </w:rPr>
            </w:pPr>
            <w:r w:rsidRPr="00C31E3F">
              <w:rPr>
                <w:sz w:val="20"/>
                <w:szCs w:val="20"/>
                <w:vertAlign w:val="superscript"/>
              </w:rPr>
              <w:t>b</w:t>
            </w:r>
            <w:r>
              <w:rPr>
                <w:sz w:val="20"/>
                <w:szCs w:val="20"/>
              </w:rPr>
              <w:t xml:space="preserve"> </w:t>
            </w:r>
            <w:r w:rsidRPr="00C31E3F">
              <w:rPr>
                <w:sz w:val="20"/>
                <w:szCs w:val="20"/>
              </w:rPr>
              <w:t>This ICR uses the following labor rates: $163.17 ($77.70 + 110%) per hour for Executive, Administrative, and Managerial labor; $130.28 ($62.04 + 110%) per hour for Technical labor, and $65.71 ($31.29 + 110%) per hour for Clerical labor.</w:t>
            </w:r>
            <w:r>
              <w:rPr>
                <w:sz w:val="20"/>
                <w:szCs w:val="20"/>
              </w:rPr>
              <w:t xml:space="preserve"> </w:t>
            </w:r>
            <w:r w:rsidRPr="00C31E3F">
              <w:rPr>
                <w:sz w:val="20"/>
                <w:szCs w:val="20"/>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02C30D34" w14:textId="77777777" w:rsidTr="000C08CC">
        <w:tblPrEx>
          <w:tblW w:w="5000" w:type="pct"/>
          <w:tblLook w:val="04A0"/>
        </w:tblPrEx>
        <w:trPr>
          <w:trHeight w:val="252"/>
        </w:trPr>
        <w:tc>
          <w:tcPr>
            <w:tcW w:w="4575" w:type="pct"/>
            <w:gridSpan w:val="9"/>
            <w:tcBorders>
              <w:top w:val="nil"/>
              <w:left w:val="nil"/>
              <w:bottom w:val="nil"/>
              <w:right w:val="nil"/>
            </w:tcBorders>
            <w:shd w:val="clear" w:color="auto" w:fill="auto"/>
            <w:vAlign w:val="bottom"/>
            <w:hideMark/>
          </w:tcPr>
          <w:p w:rsidR="0039497E" w:rsidRPr="00C31E3F" w:rsidP="000C08CC" w14:paraId="73CC2F56" w14:textId="77777777">
            <w:pPr>
              <w:rPr>
                <w:sz w:val="20"/>
                <w:szCs w:val="20"/>
              </w:rPr>
            </w:pPr>
            <w:r w:rsidRPr="00C31E3F">
              <w:rPr>
                <w:sz w:val="20"/>
                <w:szCs w:val="20"/>
                <w:vertAlign w:val="superscript"/>
              </w:rPr>
              <w:t>c</w:t>
            </w:r>
            <w:r>
              <w:rPr>
                <w:sz w:val="20"/>
                <w:szCs w:val="20"/>
              </w:rPr>
              <w:t xml:space="preserve"> </w:t>
            </w:r>
            <w:r w:rsidRPr="00C31E3F">
              <w:rPr>
                <w:sz w:val="20"/>
                <w:szCs w:val="20"/>
              </w:rPr>
              <w:t>See section 4(b)(ii) for a description of these activities.</w:t>
            </w:r>
          </w:p>
        </w:tc>
        <w:tc>
          <w:tcPr>
            <w:tcW w:w="425" w:type="pct"/>
            <w:tcBorders>
              <w:top w:val="nil"/>
              <w:left w:val="nil"/>
              <w:bottom w:val="nil"/>
              <w:right w:val="nil"/>
            </w:tcBorders>
            <w:shd w:val="clear" w:color="auto" w:fill="auto"/>
            <w:vAlign w:val="bottom"/>
            <w:hideMark/>
          </w:tcPr>
          <w:p w:rsidR="0039497E" w:rsidRPr="00C31E3F" w:rsidP="000C08CC" w14:paraId="7B40DF4A" w14:textId="77777777">
            <w:pPr>
              <w:rPr>
                <w:sz w:val="20"/>
                <w:szCs w:val="20"/>
              </w:rPr>
            </w:pPr>
          </w:p>
        </w:tc>
      </w:tr>
      <w:tr w14:paraId="0F808C0D" w14:textId="77777777" w:rsidTr="000C08CC">
        <w:tblPrEx>
          <w:tblW w:w="5000" w:type="pct"/>
          <w:tblLook w:val="04A0"/>
        </w:tblPrEx>
        <w:trPr>
          <w:trHeight w:val="288"/>
        </w:trPr>
        <w:tc>
          <w:tcPr>
            <w:tcW w:w="4575" w:type="pct"/>
            <w:gridSpan w:val="9"/>
            <w:tcBorders>
              <w:top w:val="nil"/>
              <w:left w:val="nil"/>
              <w:bottom w:val="nil"/>
              <w:right w:val="nil"/>
            </w:tcBorders>
            <w:shd w:val="clear" w:color="auto" w:fill="auto"/>
            <w:vAlign w:val="bottom"/>
            <w:hideMark/>
          </w:tcPr>
          <w:p w:rsidR="0039497E" w:rsidRPr="00C31E3F" w:rsidP="000C08CC" w14:paraId="0FDE25FC" w14:textId="77777777">
            <w:pPr>
              <w:rPr>
                <w:sz w:val="20"/>
                <w:szCs w:val="20"/>
              </w:rPr>
            </w:pPr>
            <w:r w:rsidRPr="00C31E3F">
              <w:rPr>
                <w:sz w:val="20"/>
                <w:szCs w:val="20"/>
                <w:vertAlign w:val="superscript"/>
              </w:rPr>
              <w:t>d</w:t>
            </w:r>
            <w:r>
              <w:rPr>
                <w:sz w:val="20"/>
                <w:szCs w:val="20"/>
                <w:vertAlign w:val="superscript"/>
              </w:rPr>
              <w:t xml:space="preserve"> </w:t>
            </w:r>
            <w:r w:rsidRPr="00C31E3F">
              <w:rPr>
                <w:sz w:val="20"/>
                <w:szCs w:val="20"/>
              </w:rPr>
              <w:t>Hours are per facility, not per PSEU; number of respondents are facilities, not PSEUs</w:t>
            </w:r>
          </w:p>
        </w:tc>
        <w:tc>
          <w:tcPr>
            <w:tcW w:w="425" w:type="pct"/>
            <w:tcBorders>
              <w:top w:val="nil"/>
              <w:left w:val="nil"/>
              <w:bottom w:val="nil"/>
              <w:right w:val="nil"/>
            </w:tcBorders>
            <w:shd w:val="clear" w:color="auto" w:fill="auto"/>
            <w:vAlign w:val="bottom"/>
            <w:hideMark/>
          </w:tcPr>
          <w:p w:rsidR="0039497E" w:rsidRPr="00C31E3F" w:rsidP="000C08CC" w14:paraId="586400D3" w14:textId="77777777">
            <w:pPr>
              <w:rPr>
                <w:sz w:val="20"/>
                <w:szCs w:val="20"/>
              </w:rPr>
            </w:pPr>
          </w:p>
        </w:tc>
      </w:tr>
      <w:tr w14:paraId="1679CAFC" w14:textId="77777777" w:rsidTr="000C08CC">
        <w:tblPrEx>
          <w:tblW w:w="5000" w:type="pct"/>
          <w:tblLook w:val="04A0"/>
        </w:tblPrEx>
        <w:trPr>
          <w:trHeight w:val="252"/>
        </w:trPr>
        <w:tc>
          <w:tcPr>
            <w:tcW w:w="4575" w:type="pct"/>
            <w:gridSpan w:val="9"/>
            <w:tcBorders>
              <w:top w:val="nil"/>
              <w:left w:val="nil"/>
              <w:bottom w:val="nil"/>
              <w:right w:val="nil"/>
            </w:tcBorders>
            <w:shd w:val="clear" w:color="auto" w:fill="auto"/>
            <w:vAlign w:val="bottom"/>
            <w:hideMark/>
          </w:tcPr>
          <w:p w:rsidR="0039497E" w:rsidRPr="00C31E3F" w:rsidP="000C08CC" w14:paraId="518989B1" w14:textId="77777777">
            <w:pPr>
              <w:rPr>
                <w:sz w:val="20"/>
                <w:szCs w:val="20"/>
              </w:rPr>
            </w:pPr>
            <w:r w:rsidRPr="00C31E3F">
              <w:rPr>
                <w:sz w:val="20"/>
                <w:szCs w:val="20"/>
                <w:vertAlign w:val="superscript"/>
              </w:rPr>
              <w:t>e</w:t>
            </w:r>
            <w:r>
              <w:rPr>
                <w:sz w:val="20"/>
                <w:szCs w:val="20"/>
              </w:rPr>
              <w:t xml:space="preserve"> </w:t>
            </w:r>
            <w:r w:rsidRPr="00C31E3F">
              <w:rPr>
                <w:sz w:val="20"/>
                <w:szCs w:val="20"/>
              </w:rPr>
              <w:t>One-time activity.</w:t>
            </w:r>
          </w:p>
        </w:tc>
        <w:tc>
          <w:tcPr>
            <w:tcW w:w="425" w:type="pct"/>
            <w:tcBorders>
              <w:top w:val="nil"/>
              <w:left w:val="nil"/>
              <w:bottom w:val="nil"/>
              <w:right w:val="nil"/>
            </w:tcBorders>
            <w:shd w:val="clear" w:color="auto" w:fill="auto"/>
            <w:vAlign w:val="bottom"/>
            <w:hideMark/>
          </w:tcPr>
          <w:p w:rsidR="0039497E" w:rsidRPr="00C31E3F" w:rsidP="000C08CC" w14:paraId="24742345" w14:textId="77777777">
            <w:pPr>
              <w:rPr>
                <w:sz w:val="20"/>
                <w:szCs w:val="20"/>
              </w:rPr>
            </w:pPr>
          </w:p>
        </w:tc>
      </w:tr>
      <w:tr w14:paraId="0EE314DE" w14:textId="77777777" w:rsidTr="000C08CC">
        <w:tblPrEx>
          <w:tblW w:w="5000" w:type="pct"/>
          <w:tblLook w:val="04A0"/>
        </w:tblPrEx>
        <w:trPr>
          <w:trHeight w:val="288"/>
        </w:trPr>
        <w:tc>
          <w:tcPr>
            <w:tcW w:w="4575" w:type="pct"/>
            <w:gridSpan w:val="9"/>
            <w:tcBorders>
              <w:top w:val="nil"/>
              <w:left w:val="nil"/>
              <w:bottom w:val="nil"/>
              <w:right w:val="nil"/>
            </w:tcBorders>
            <w:shd w:val="clear" w:color="auto" w:fill="auto"/>
            <w:vAlign w:val="bottom"/>
            <w:hideMark/>
          </w:tcPr>
          <w:p w:rsidR="0039497E" w:rsidRPr="00C31E3F" w:rsidP="000C08CC" w14:paraId="596CF2DF" w14:textId="77777777">
            <w:pPr>
              <w:rPr>
                <w:sz w:val="20"/>
                <w:szCs w:val="20"/>
              </w:rPr>
            </w:pPr>
            <w:r w:rsidRPr="00C31E3F">
              <w:rPr>
                <w:sz w:val="20"/>
                <w:szCs w:val="20"/>
                <w:vertAlign w:val="superscript"/>
              </w:rPr>
              <w:t>f</w:t>
            </w:r>
            <w:r>
              <w:rPr>
                <w:sz w:val="20"/>
                <w:szCs w:val="20"/>
              </w:rPr>
              <w:t xml:space="preserve"> </w:t>
            </w:r>
            <w:r w:rsidRPr="00C31E3F">
              <w:rPr>
                <w:sz w:val="20"/>
                <w:szCs w:val="20"/>
              </w:rPr>
              <w:t>3 hours per facility converted to impact per PSEU by dividing by the average number of PSEUs per facility with at least one PSEU (4.27).</w:t>
            </w:r>
          </w:p>
        </w:tc>
        <w:tc>
          <w:tcPr>
            <w:tcW w:w="425" w:type="pct"/>
            <w:tcBorders>
              <w:top w:val="nil"/>
              <w:left w:val="nil"/>
              <w:bottom w:val="nil"/>
              <w:right w:val="nil"/>
            </w:tcBorders>
            <w:shd w:val="clear" w:color="auto" w:fill="auto"/>
            <w:vAlign w:val="bottom"/>
            <w:hideMark/>
          </w:tcPr>
          <w:p w:rsidR="0039497E" w:rsidRPr="00C31E3F" w:rsidP="000C08CC" w14:paraId="43AE403C" w14:textId="77777777">
            <w:pPr>
              <w:rPr>
                <w:sz w:val="20"/>
                <w:szCs w:val="20"/>
              </w:rPr>
            </w:pPr>
          </w:p>
        </w:tc>
      </w:tr>
      <w:tr w14:paraId="30657248" w14:textId="77777777" w:rsidTr="0039497E">
        <w:tblPrEx>
          <w:tblW w:w="5000" w:type="pct"/>
          <w:tblLook w:val="04A0"/>
        </w:tblPrEx>
        <w:trPr>
          <w:trHeight w:val="80"/>
        </w:trPr>
        <w:tc>
          <w:tcPr>
            <w:tcW w:w="4575" w:type="pct"/>
            <w:gridSpan w:val="9"/>
            <w:tcBorders>
              <w:top w:val="nil"/>
              <w:left w:val="nil"/>
              <w:bottom w:val="nil"/>
              <w:right w:val="nil"/>
            </w:tcBorders>
            <w:shd w:val="clear" w:color="auto" w:fill="auto"/>
            <w:vAlign w:val="center"/>
            <w:hideMark/>
          </w:tcPr>
          <w:p w:rsidR="0039497E" w:rsidRPr="00C31E3F" w:rsidP="000C08CC" w14:paraId="38A43EAC" w14:textId="77777777">
            <w:pPr>
              <w:rPr>
                <w:sz w:val="20"/>
                <w:szCs w:val="20"/>
              </w:rPr>
            </w:pPr>
            <w:r w:rsidRPr="00C31E3F">
              <w:rPr>
                <w:sz w:val="20"/>
                <w:szCs w:val="20"/>
                <w:vertAlign w:val="superscript"/>
              </w:rPr>
              <w:t>g</w:t>
            </w:r>
            <w:r w:rsidRPr="00C31E3F">
              <w:rPr>
                <w:sz w:val="20"/>
                <w:szCs w:val="20"/>
              </w:rPr>
              <w:t xml:space="preserve"> Totals have been rounded to 3 significant figures. Figures may not add exactly due to rounding.</w:t>
            </w:r>
          </w:p>
        </w:tc>
        <w:tc>
          <w:tcPr>
            <w:tcW w:w="425" w:type="pct"/>
            <w:tcBorders>
              <w:top w:val="nil"/>
              <w:left w:val="nil"/>
              <w:bottom w:val="nil"/>
              <w:right w:val="nil"/>
            </w:tcBorders>
            <w:shd w:val="clear" w:color="auto" w:fill="auto"/>
            <w:vAlign w:val="bottom"/>
            <w:hideMark/>
          </w:tcPr>
          <w:p w:rsidR="0039497E" w:rsidRPr="00C31E3F" w:rsidP="000C08CC" w14:paraId="100524E7" w14:textId="77777777">
            <w:pPr>
              <w:rPr>
                <w:sz w:val="20"/>
                <w:szCs w:val="20"/>
              </w:rPr>
            </w:pPr>
          </w:p>
        </w:tc>
      </w:tr>
    </w:tbl>
    <w:p w:rsidR="0039497E" w:rsidP="0039497E" w14:paraId="3EDE0F1F" w14:textId="77777777"/>
    <w:p w:rsidR="0039497E" w:rsidRPr="002D57B3" w:rsidP="0039497E" w14:paraId="67F6DF5E" w14:textId="77777777">
      <w:pPr>
        <w:rPr>
          <w:b/>
          <w:bCs/>
        </w:rPr>
      </w:pPr>
      <w:r w:rsidRPr="002D57B3">
        <w:rPr>
          <w:b/>
          <w:bCs/>
        </w:rPr>
        <w:t>Table 6.1c: Total Source Burden and Labor Costs for All "Large" and "Other" Sources - All Pollutants, 2025-26</w:t>
      </w:r>
    </w:p>
    <w:tbl>
      <w:tblPr>
        <w:tblW w:w="5000" w:type="pct"/>
        <w:tblLook w:val="04A0"/>
      </w:tblPr>
      <w:tblGrid>
        <w:gridCol w:w="3101"/>
        <w:gridCol w:w="1124"/>
        <w:gridCol w:w="1124"/>
        <w:gridCol w:w="1309"/>
        <w:gridCol w:w="1203"/>
        <w:gridCol w:w="1200"/>
        <w:gridCol w:w="1026"/>
        <w:gridCol w:w="1234"/>
        <w:gridCol w:w="1113"/>
        <w:gridCol w:w="1380"/>
      </w:tblGrid>
      <w:tr w14:paraId="44E4262C" w14:textId="77777777" w:rsidTr="000C08CC">
        <w:tblPrEx>
          <w:tblW w:w="5000" w:type="pct"/>
          <w:tblLook w:val="04A0"/>
        </w:tblPrEx>
        <w:trPr>
          <w:trHeight w:val="288"/>
        </w:trPr>
        <w:tc>
          <w:tcPr>
            <w:tcW w:w="14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497E" w:rsidRPr="00C31E3F" w:rsidP="000C08CC" w14:paraId="04E40174" w14:textId="77777777">
            <w:pPr>
              <w:jc w:val="center"/>
              <w:rPr>
                <w:color w:val="000000"/>
                <w:sz w:val="20"/>
                <w:szCs w:val="20"/>
              </w:rPr>
            </w:pPr>
            <w:r w:rsidRPr="00C31E3F">
              <w:rPr>
                <w:color w:val="000000"/>
                <w:sz w:val="20"/>
                <w:szCs w:val="20"/>
              </w:rPr>
              <w:t xml:space="preserve">Burden Item </w:t>
            </w:r>
            <w:r w:rsidRPr="00C31E3F">
              <w:rPr>
                <w:color w:val="000000"/>
                <w:sz w:val="20"/>
                <w:szCs w:val="20"/>
                <w:vertAlign w:val="superscript"/>
              </w:rPr>
              <w:t>c</w:t>
            </w:r>
          </w:p>
        </w:tc>
        <w:tc>
          <w:tcPr>
            <w:tcW w:w="2304" w:type="pct"/>
            <w:gridSpan w:val="6"/>
            <w:tcBorders>
              <w:top w:val="single" w:sz="4" w:space="0" w:color="auto"/>
              <w:left w:val="nil"/>
              <w:bottom w:val="single" w:sz="4" w:space="0" w:color="auto"/>
              <w:right w:val="single" w:sz="4" w:space="0" w:color="000000"/>
            </w:tcBorders>
            <w:shd w:val="clear" w:color="auto" w:fill="auto"/>
            <w:noWrap/>
            <w:vAlign w:val="bottom"/>
            <w:hideMark/>
          </w:tcPr>
          <w:p w:rsidR="0039497E" w:rsidRPr="00C31E3F" w:rsidP="000C08CC" w14:paraId="3A186C9F" w14:textId="77777777">
            <w:pPr>
              <w:jc w:val="center"/>
              <w:rPr>
                <w:color w:val="000000"/>
                <w:sz w:val="20"/>
                <w:szCs w:val="20"/>
              </w:rPr>
            </w:pPr>
            <w:r w:rsidRPr="00C31E3F">
              <w:rPr>
                <w:color w:val="000000"/>
                <w:sz w:val="20"/>
                <w:szCs w:val="20"/>
              </w:rPr>
              <w:t xml:space="preserve">Hours </w:t>
            </w:r>
            <w:r w:rsidRPr="00C31E3F">
              <w:rPr>
                <w:color w:val="000000"/>
                <w:sz w:val="20"/>
                <w:szCs w:val="20"/>
                <w:vertAlign w:val="superscript"/>
              </w:rPr>
              <w:t>a</w:t>
            </w:r>
            <w:r w:rsidRPr="00C31E3F">
              <w:rPr>
                <w:color w:val="000000"/>
                <w:sz w:val="20"/>
                <w:szCs w:val="20"/>
              </w:rPr>
              <w:t xml:space="preserve"> and Costs </w:t>
            </w:r>
            <w:r w:rsidRPr="00C31E3F">
              <w:rPr>
                <w:color w:val="000000"/>
                <w:sz w:val="20"/>
                <w:szCs w:val="20"/>
                <w:vertAlign w:val="superscript"/>
              </w:rPr>
              <w:t>b</w:t>
            </w:r>
            <w:r w:rsidRPr="00C31E3F">
              <w:rPr>
                <w:color w:val="000000"/>
                <w:sz w:val="20"/>
                <w:szCs w:val="20"/>
              </w:rPr>
              <w:t xml:space="preserve"> Per Respondents</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560BF36A" w14:textId="77777777">
            <w:pPr>
              <w:rPr>
                <w:sz w:val="20"/>
                <w:szCs w:val="20"/>
              </w:rPr>
            </w:pPr>
            <w:r w:rsidRPr="00C31E3F">
              <w:rPr>
                <w:sz w:val="20"/>
                <w:szCs w:val="20"/>
              </w:rPr>
              <w:t> </w:t>
            </w:r>
          </w:p>
        </w:tc>
        <w:tc>
          <w:tcPr>
            <w:tcW w:w="423"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238619AD" w14:textId="77777777">
            <w:pPr>
              <w:jc w:val="right"/>
              <w:rPr>
                <w:color w:val="000000"/>
                <w:sz w:val="20"/>
                <w:szCs w:val="20"/>
              </w:rPr>
            </w:pPr>
            <w:r w:rsidRPr="00C31E3F">
              <w:rPr>
                <w:color w:val="000000"/>
                <w:sz w:val="20"/>
                <w:szCs w:val="20"/>
              </w:rPr>
              <w:t> </w:t>
            </w:r>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6A93D876" w14:textId="77777777">
            <w:pPr>
              <w:jc w:val="right"/>
              <w:rPr>
                <w:color w:val="000000"/>
                <w:sz w:val="20"/>
                <w:szCs w:val="20"/>
              </w:rPr>
            </w:pPr>
            <w:r w:rsidRPr="00C31E3F">
              <w:rPr>
                <w:color w:val="000000"/>
                <w:sz w:val="20"/>
                <w:szCs w:val="20"/>
              </w:rPr>
              <w:t> </w:t>
            </w:r>
          </w:p>
        </w:tc>
      </w:tr>
      <w:tr w14:paraId="7DCE07D9" w14:textId="77777777" w:rsidTr="000C08CC">
        <w:tblPrEx>
          <w:tblW w:w="5000" w:type="pct"/>
          <w:tblLook w:val="04A0"/>
        </w:tblPrEx>
        <w:trPr>
          <w:trHeight w:val="1584"/>
        </w:trPr>
        <w:tc>
          <w:tcPr>
            <w:tcW w:w="1481" w:type="pct"/>
            <w:vMerge/>
            <w:tcBorders>
              <w:top w:val="single" w:sz="4" w:space="0" w:color="auto"/>
              <w:left w:val="single" w:sz="4" w:space="0" w:color="auto"/>
              <w:bottom w:val="single" w:sz="4" w:space="0" w:color="000000"/>
              <w:right w:val="single" w:sz="4" w:space="0" w:color="auto"/>
            </w:tcBorders>
            <w:vAlign w:val="center"/>
            <w:hideMark/>
          </w:tcPr>
          <w:p w:rsidR="0039497E" w:rsidRPr="00C31E3F" w:rsidP="000C08CC" w14:paraId="7F9930C2" w14:textId="77777777">
            <w:pPr>
              <w:rPr>
                <w:color w:val="000000"/>
                <w:sz w:val="20"/>
                <w:szCs w:val="20"/>
              </w:rPr>
            </w:pP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32F08D52" w14:textId="77777777">
            <w:pPr>
              <w:jc w:val="center"/>
              <w:rPr>
                <w:color w:val="000000"/>
                <w:sz w:val="20"/>
                <w:szCs w:val="20"/>
              </w:rPr>
            </w:pPr>
            <w:r w:rsidRPr="00C31E3F">
              <w:rPr>
                <w:color w:val="000000"/>
                <w:sz w:val="20"/>
                <w:szCs w:val="20"/>
              </w:rPr>
              <w:t>(A)</w:t>
            </w:r>
            <w:r w:rsidRPr="00C31E3F">
              <w:rPr>
                <w:color w:val="000000"/>
                <w:sz w:val="20"/>
                <w:szCs w:val="20"/>
              </w:rPr>
              <w:br/>
              <w:t>Clerical hours per occurrence</w:t>
            </w: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516A4C98" w14:textId="77777777">
            <w:pPr>
              <w:jc w:val="center"/>
              <w:rPr>
                <w:color w:val="000000"/>
                <w:sz w:val="20"/>
                <w:szCs w:val="20"/>
              </w:rPr>
            </w:pPr>
            <w:r w:rsidRPr="00C31E3F">
              <w:rPr>
                <w:color w:val="000000"/>
                <w:sz w:val="20"/>
                <w:szCs w:val="20"/>
              </w:rPr>
              <w:t>(B)</w:t>
            </w:r>
            <w:r w:rsidRPr="00C31E3F">
              <w:rPr>
                <w:color w:val="000000"/>
                <w:sz w:val="20"/>
                <w:szCs w:val="20"/>
              </w:rPr>
              <w:br/>
              <w:t>Technical hours per occurrence</w:t>
            </w:r>
          </w:p>
        </w:tc>
        <w:tc>
          <w:tcPr>
            <w:tcW w:w="412" w:type="pct"/>
            <w:tcBorders>
              <w:top w:val="nil"/>
              <w:left w:val="nil"/>
              <w:bottom w:val="single" w:sz="4" w:space="0" w:color="auto"/>
              <w:right w:val="single" w:sz="4" w:space="0" w:color="auto"/>
            </w:tcBorders>
            <w:shd w:val="clear" w:color="auto" w:fill="auto"/>
            <w:hideMark/>
          </w:tcPr>
          <w:p w:rsidR="0039497E" w:rsidRPr="00C31E3F" w:rsidP="000C08CC" w14:paraId="760939D5" w14:textId="77777777">
            <w:pPr>
              <w:jc w:val="center"/>
              <w:rPr>
                <w:color w:val="000000"/>
                <w:sz w:val="20"/>
                <w:szCs w:val="20"/>
              </w:rPr>
            </w:pPr>
            <w:r w:rsidRPr="00C31E3F">
              <w:rPr>
                <w:color w:val="000000"/>
                <w:sz w:val="20"/>
                <w:szCs w:val="20"/>
              </w:rPr>
              <w:t xml:space="preserve">(C) </w:t>
            </w:r>
            <w:r w:rsidRPr="00C31E3F">
              <w:rPr>
                <w:color w:val="000000"/>
                <w:sz w:val="20"/>
                <w:szCs w:val="20"/>
              </w:rPr>
              <w:br/>
              <w:t>Management hours per occurrence ([A+B]x0.05)</w:t>
            </w: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5AFC9FAE" w14:textId="77777777">
            <w:pPr>
              <w:jc w:val="center"/>
              <w:rPr>
                <w:color w:val="000000"/>
                <w:sz w:val="20"/>
                <w:szCs w:val="20"/>
              </w:rPr>
            </w:pPr>
            <w:r w:rsidRPr="00C31E3F">
              <w:rPr>
                <w:color w:val="000000"/>
                <w:sz w:val="20"/>
                <w:szCs w:val="20"/>
              </w:rPr>
              <w:t>(D)</w:t>
            </w:r>
            <w:r w:rsidRPr="00C31E3F">
              <w:rPr>
                <w:color w:val="000000"/>
                <w:sz w:val="20"/>
                <w:szCs w:val="20"/>
              </w:rPr>
              <w:br/>
              <w:t xml:space="preserve">Annual occurrences </w:t>
            </w:r>
          </w:p>
        </w:tc>
        <w:tc>
          <w:tcPr>
            <w:tcW w:w="424" w:type="pct"/>
            <w:tcBorders>
              <w:top w:val="nil"/>
              <w:left w:val="nil"/>
              <w:bottom w:val="single" w:sz="4" w:space="0" w:color="auto"/>
              <w:right w:val="single" w:sz="4" w:space="0" w:color="auto"/>
            </w:tcBorders>
            <w:shd w:val="clear" w:color="auto" w:fill="auto"/>
            <w:hideMark/>
          </w:tcPr>
          <w:p w:rsidR="0039497E" w:rsidRPr="00C31E3F" w:rsidP="000C08CC" w14:paraId="2886C76E" w14:textId="77777777">
            <w:pPr>
              <w:jc w:val="center"/>
              <w:rPr>
                <w:color w:val="000000"/>
                <w:sz w:val="20"/>
                <w:szCs w:val="20"/>
              </w:rPr>
            </w:pPr>
            <w:r w:rsidRPr="00C31E3F">
              <w:rPr>
                <w:color w:val="000000"/>
                <w:sz w:val="20"/>
                <w:szCs w:val="20"/>
              </w:rPr>
              <w:t xml:space="preserve">(E) </w:t>
            </w:r>
            <w:r w:rsidRPr="00C31E3F">
              <w:rPr>
                <w:color w:val="000000"/>
                <w:sz w:val="20"/>
                <w:szCs w:val="20"/>
              </w:rPr>
              <w:br/>
              <w:t>Annual person hours ([A+B+C]xD)</w:t>
            </w: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559D8C0B" w14:textId="77777777">
            <w:pPr>
              <w:jc w:val="center"/>
              <w:rPr>
                <w:color w:val="000000"/>
                <w:sz w:val="20"/>
                <w:szCs w:val="20"/>
              </w:rPr>
            </w:pPr>
            <w:r w:rsidRPr="00C31E3F">
              <w:rPr>
                <w:color w:val="000000"/>
                <w:sz w:val="20"/>
                <w:szCs w:val="20"/>
              </w:rPr>
              <w:t>(F)</w:t>
            </w:r>
            <w:r w:rsidRPr="00C31E3F">
              <w:rPr>
                <w:color w:val="000000"/>
                <w:sz w:val="20"/>
                <w:szCs w:val="20"/>
              </w:rPr>
              <w:br/>
              <w:t>Labor cost/year</w:t>
            </w: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18126DF8" w14:textId="77777777">
            <w:pPr>
              <w:jc w:val="center"/>
              <w:rPr>
                <w:color w:val="000000"/>
                <w:sz w:val="20"/>
                <w:szCs w:val="20"/>
              </w:rPr>
            </w:pPr>
            <w:r w:rsidRPr="00C31E3F">
              <w:rPr>
                <w:color w:val="000000"/>
                <w:sz w:val="20"/>
                <w:szCs w:val="20"/>
              </w:rPr>
              <w:t>(G)</w:t>
            </w:r>
            <w:r w:rsidRPr="00C31E3F">
              <w:rPr>
                <w:color w:val="000000"/>
                <w:sz w:val="20"/>
                <w:szCs w:val="20"/>
              </w:rPr>
              <w:br/>
              <w:t>Total number of respondents</w:t>
            </w:r>
          </w:p>
        </w:tc>
        <w:tc>
          <w:tcPr>
            <w:tcW w:w="423" w:type="pct"/>
            <w:tcBorders>
              <w:top w:val="nil"/>
              <w:left w:val="nil"/>
              <w:bottom w:val="single" w:sz="4" w:space="0" w:color="auto"/>
              <w:right w:val="single" w:sz="4" w:space="0" w:color="auto"/>
            </w:tcBorders>
            <w:shd w:val="clear" w:color="auto" w:fill="auto"/>
            <w:hideMark/>
          </w:tcPr>
          <w:p w:rsidR="0039497E" w:rsidRPr="00C31E3F" w:rsidP="000C08CC" w14:paraId="1611931F" w14:textId="77777777">
            <w:pPr>
              <w:jc w:val="center"/>
              <w:rPr>
                <w:color w:val="000000"/>
                <w:sz w:val="20"/>
                <w:szCs w:val="20"/>
              </w:rPr>
            </w:pPr>
            <w:r w:rsidRPr="00C31E3F">
              <w:rPr>
                <w:color w:val="000000"/>
                <w:sz w:val="20"/>
                <w:szCs w:val="20"/>
              </w:rPr>
              <w:t>(H)</w:t>
            </w:r>
            <w:r w:rsidRPr="00C31E3F">
              <w:rPr>
                <w:color w:val="000000"/>
                <w:sz w:val="20"/>
                <w:szCs w:val="20"/>
              </w:rPr>
              <w:br/>
              <w:t>Total hours/year (ExG)</w:t>
            </w:r>
          </w:p>
        </w:tc>
        <w:tc>
          <w:tcPr>
            <w:tcW w:w="425" w:type="pct"/>
            <w:tcBorders>
              <w:top w:val="nil"/>
              <w:left w:val="nil"/>
              <w:bottom w:val="single" w:sz="4" w:space="0" w:color="auto"/>
              <w:right w:val="single" w:sz="4" w:space="0" w:color="auto"/>
            </w:tcBorders>
            <w:shd w:val="clear" w:color="auto" w:fill="auto"/>
            <w:hideMark/>
          </w:tcPr>
          <w:p w:rsidR="0039497E" w:rsidRPr="00C31E3F" w:rsidP="000C08CC" w14:paraId="3B45BF70" w14:textId="77777777">
            <w:pPr>
              <w:jc w:val="center"/>
              <w:rPr>
                <w:color w:val="000000"/>
                <w:sz w:val="20"/>
                <w:szCs w:val="20"/>
              </w:rPr>
            </w:pPr>
            <w:r w:rsidRPr="00C31E3F">
              <w:rPr>
                <w:color w:val="000000"/>
                <w:sz w:val="20"/>
                <w:szCs w:val="20"/>
              </w:rPr>
              <w:t>(I)</w:t>
            </w:r>
            <w:r w:rsidRPr="00C31E3F">
              <w:rPr>
                <w:color w:val="000000"/>
                <w:sz w:val="20"/>
                <w:szCs w:val="20"/>
              </w:rPr>
              <w:br/>
              <w:t>Total labor cost (FxG)</w:t>
            </w:r>
          </w:p>
        </w:tc>
      </w:tr>
      <w:tr w14:paraId="253AADBB"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40FF9B4" w14:textId="77777777">
            <w:pPr>
              <w:rPr>
                <w:color w:val="000000"/>
                <w:sz w:val="20"/>
                <w:szCs w:val="20"/>
              </w:rPr>
            </w:pPr>
            <w:r w:rsidRPr="00C31E3F">
              <w:rPr>
                <w:color w:val="000000"/>
                <w:sz w:val="20"/>
                <w:szCs w:val="20"/>
              </w:rPr>
              <w:t>1.</w:t>
            </w:r>
            <w:r>
              <w:rPr>
                <w:color w:val="000000"/>
                <w:sz w:val="20"/>
                <w:szCs w:val="20"/>
              </w:rPr>
              <w:t xml:space="preserve"> </w:t>
            </w:r>
            <w:r w:rsidRPr="00C31E3F">
              <w:rPr>
                <w:color w:val="000000"/>
                <w:sz w:val="20"/>
                <w:szCs w:val="20"/>
              </w:rPr>
              <w:t xml:space="preserve">Review Requirements </w:t>
            </w:r>
            <w:r w:rsidRPr="00C31E3F">
              <w:rPr>
                <w:color w:val="000000"/>
                <w:sz w:val="20"/>
                <w:szCs w:val="20"/>
                <w:vertAlign w:val="superscript"/>
              </w:rPr>
              <w:t>d</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3EB618E" w14:textId="77777777">
            <w:pPr>
              <w:jc w:val="center"/>
              <w:rPr>
                <w:color w:val="000000"/>
                <w:sz w:val="20"/>
                <w:szCs w:val="20"/>
              </w:rPr>
            </w:pPr>
            <w:r w:rsidRPr="00C31E3F">
              <w:rPr>
                <w:color w:val="000000"/>
                <w:sz w:val="20"/>
                <w:szCs w:val="20"/>
              </w:rPr>
              <w:t>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80A6566" w14:textId="77777777">
            <w:pPr>
              <w:jc w:val="center"/>
              <w:rPr>
                <w:color w:val="000000"/>
                <w:sz w:val="20"/>
                <w:szCs w:val="20"/>
              </w:rPr>
            </w:pPr>
            <w:r w:rsidRPr="00C31E3F">
              <w:rPr>
                <w:color w:val="000000"/>
                <w:sz w:val="20"/>
                <w:szCs w:val="20"/>
              </w:rPr>
              <w:t>15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11E0A13F" w14:textId="77777777">
            <w:pPr>
              <w:jc w:val="center"/>
              <w:rPr>
                <w:color w:val="000000"/>
                <w:sz w:val="20"/>
                <w:szCs w:val="20"/>
              </w:rPr>
            </w:pPr>
            <w:r w:rsidRPr="00C31E3F">
              <w:rPr>
                <w:color w:val="000000"/>
                <w:sz w:val="20"/>
                <w:szCs w:val="20"/>
              </w:rPr>
              <w:t>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196A149"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3AB65E96" w14:textId="77777777">
            <w:pPr>
              <w:jc w:val="center"/>
              <w:rPr>
                <w:color w:val="000000"/>
                <w:sz w:val="20"/>
                <w:szCs w:val="20"/>
              </w:rPr>
            </w:pPr>
            <w:r w:rsidRPr="00C31E3F">
              <w:rPr>
                <w:color w:val="000000"/>
                <w:sz w:val="20"/>
                <w:szCs w:val="20"/>
              </w:rPr>
              <w:t>21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1577E15" w14:textId="77777777">
            <w:pPr>
              <w:jc w:val="center"/>
              <w:rPr>
                <w:color w:val="000000"/>
                <w:sz w:val="20"/>
                <w:szCs w:val="20"/>
              </w:rPr>
            </w:pPr>
            <w:r w:rsidRPr="00C31E3F">
              <w:rPr>
                <w:color w:val="000000"/>
                <w:sz w:val="20"/>
                <w:szCs w:val="20"/>
              </w:rPr>
              <w:t>$2,445.92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48C9A16" w14:textId="77777777">
            <w:pPr>
              <w:jc w:val="center"/>
              <w:rPr>
                <w:color w:val="000000"/>
                <w:sz w:val="20"/>
                <w:szCs w:val="20"/>
              </w:rPr>
            </w:pPr>
            <w:r w:rsidRPr="00C31E3F">
              <w:rPr>
                <w:color w:val="000000"/>
                <w:sz w:val="20"/>
                <w:szCs w:val="20"/>
              </w:rPr>
              <w:t>100</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71000925" w14:textId="77777777">
            <w:pPr>
              <w:jc w:val="right"/>
              <w:rPr>
                <w:color w:val="000000"/>
                <w:sz w:val="20"/>
                <w:szCs w:val="20"/>
              </w:rPr>
            </w:pPr>
            <w:r w:rsidRPr="00C31E3F">
              <w:rPr>
                <w:color w:val="000000"/>
                <w:sz w:val="20"/>
                <w:szCs w:val="20"/>
              </w:rPr>
              <w:t>2100</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296BBCE7" w14:textId="77777777">
            <w:pPr>
              <w:jc w:val="right"/>
              <w:rPr>
                <w:color w:val="000000"/>
                <w:sz w:val="20"/>
                <w:szCs w:val="20"/>
              </w:rPr>
            </w:pPr>
            <w:r w:rsidRPr="00C31E3F">
              <w:rPr>
                <w:color w:val="000000"/>
                <w:sz w:val="20"/>
                <w:szCs w:val="20"/>
              </w:rPr>
              <w:t>$244,592.00</w:t>
            </w:r>
          </w:p>
        </w:tc>
      </w:tr>
      <w:tr w14:paraId="5A51E155"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727A12B" w14:textId="77777777">
            <w:pPr>
              <w:rPr>
                <w:color w:val="000000"/>
                <w:sz w:val="20"/>
                <w:szCs w:val="20"/>
              </w:rPr>
            </w:pPr>
            <w:r w:rsidRPr="00C31E3F">
              <w:rPr>
                <w:color w:val="000000"/>
                <w:sz w:val="20"/>
                <w:szCs w:val="20"/>
              </w:rPr>
              <w:t>2.</w:t>
            </w:r>
            <w:r>
              <w:rPr>
                <w:color w:val="000000"/>
                <w:sz w:val="20"/>
                <w:szCs w:val="20"/>
              </w:rPr>
              <w:t xml:space="preserve"> </w:t>
            </w:r>
            <w:r w:rsidRPr="00C31E3F">
              <w:rPr>
                <w:color w:val="000000"/>
                <w:sz w:val="20"/>
                <w:szCs w:val="20"/>
              </w:rPr>
              <w:t xml:space="preserve">Determine Monitoring Approach </w:t>
            </w:r>
            <w:r w:rsidRPr="00C31E3F">
              <w:rPr>
                <w:color w:val="000000"/>
                <w:sz w:val="20"/>
                <w:szCs w:val="20"/>
                <w:vertAlign w:val="superscript"/>
              </w:rPr>
              <w:t>e</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65EDE57"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08482C7" w14:textId="77777777">
            <w:pPr>
              <w:jc w:val="center"/>
              <w:rPr>
                <w:color w:val="000000"/>
                <w:sz w:val="20"/>
                <w:szCs w:val="20"/>
              </w:rPr>
            </w:pPr>
            <w:r w:rsidRPr="00C31E3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1699D799"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6F0D11D" w14:textId="77777777">
            <w:pPr>
              <w:jc w:val="center"/>
              <w:rPr>
                <w:color w:val="000000"/>
                <w:sz w:val="20"/>
                <w:szCs w:val="20"/>
              </w:rPr>
            </w:pPr>
            <w:r w:rsidRPr="00C31E3F">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7F9318C7"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92A82ED"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EEDA904" w14:textId="77777777">
            <w:pPr>
              <w:jc w:val="center"/>
              <w:rPr>
                <w:color w:val="000000"/>
                <w:sz w:val="20"/>
                <w:szCs w:val="20"/>
              </w:rPr>
            </w:pPr>
            <w:r w:rsidRPr="00C31E3F">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7E7A065F" w14:textId="77777777">
            <w:pPr>
              <w:jc w:val="right"/>
              <w:rPr>
                <w:color w:val="000000"/>
                <w:sz w:val="20"/>
                <w:szCs w:val="20"/>
              </w:rPr>
            </w:pPr>
            <w:r w:rsidRPr="00C31E3F">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2A535789" w14:textId="77777777">
            <w:pPr>
              <w:jc w:val="right"/>
              <w:rPr>
                <w:color w:val="000000"/>
                <w:sz w:val="20"/>
                <w:szCs w:val="20"/>
              </w:rPr>
            </w:pPr>
            <w:r w:rsidRPr="00C31E3F">
              <w:rPr>
                <w:color w:val="000000"/>
                <w:sz w:val="20"/>
                <w:szCs w:val="20"/>
              </w:rPr>
              <w:t> </w:t>
            </w:r>
          </w:p>
        </w:tc>
      </w:tr>
      <w:tr w14:paraId="08328D7A"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23E6D6C"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FF87F27" w14:textId="77777777">
            <w:pPr>
              <w:jc w:val="center"/>
              <w:rPr>
                <w:color w:val="000000"/>
                <w:sz w:val="20"/>
                <w:szCs w:val="20"/>
              </w:rPr>
            </w:pPr>
            <w:r w:rsidRPr="00C31E3F">
              <w:rPr>
                <w:color w:val="000000"/>
                <w:sz w:val="20"/>
                <w:szCs w:val="20"/>
              </w:rPr>
              <w:t>0.75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B3300D6" w14:textId="77777777">
            <w:pPr>
              <w:jc w:val="center"/>
              <w:rPr>
                <w:color w:val="000000"/>
                <w:sz w:val="20"/>
                <w:szCs w:val="20"/>
              </w:rPr>
            </w:pPr>
            <w:r w:rsidRPr="00C31E3F">
              <w:rPr>
                <w:color w:val="000000"/>
                <w:sz w:val="20"/>
                <w:szCs w:val="20"/>
              </w:rPr>
              <w:t>2.25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6EB413BE" w14:textId="77777777">
            <w:pPr>
              <w:jc w:val="center"/>
              <w:rPr>
                <w:color w:val="000000"/>
                <w:sz w:val="20"/>
                <w:szCs w:val="20"/>
              </w:rPr>
            </w:pPr>
            <w:r w:rsidRPr="00C31E3F">
              <w:rPr>
                <w:color w:val="000000"/>
                <w:sz w:val="20"/>
                <w:szCs w:val="20"/>
              </w:rPr>
              <w:t>0.15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D663F8F"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26A11B34" w14:textId="77777777">
            <w:pPr>
              <w:jc w:val="center"/>
              <w:rPr>
                <w:color w:val="000000"/>
                <w:sz w:val="20"/>
                <w:szCs w:val="20"/>
              </w:rPr>
            </w:pPr>
            <w:r w:rsidRPr="00C31E3F">
              <w:rPr>
                <w:color w:val="000000"/>
                <w:sz w:val="20"/>
                <w:szCs w:val="20"/>
              </w:rPr>
              <w:t>3.15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D9D73F5" w14:textId="77777777">
            <w:pPr>
              <w:jc w:val="center"/>
              <w:rPr>
                <w:color w:val="000000"/>
                <w:sz w:val="20"/>
                <w:szCs w:val="20"/>
              </w:rPr>
            </w:pPr>
            <w:r w:rsidRPr="00C31E3F">
              <w:rPr>
                <w:color w:val="000000"/>
                <w:sz w:val="20"/>
                <w:szCs w:val="20"/>
              </w:rPr>
              <w:t>$366.89</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C763E37" w14:textId="77777777">
            <w:pPr>
              <w:jc w:val="center"/>
              <w:rPr>
                <w:color w:val="000000"/>
                <w:sz w:val="20"/>
                <w:szCs w:val="20"/>
              </w:rPr>
            </w:pPr>
            <w:r w:rsidRPr="00C31E3F">
              <w:rPr>
                <w:color w:val="000000"/>
                <w:sz w:val="20"/>
                <w:szCs w:val="20"/>
              </w:rPr>
              <w:t>74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0F3DB760" w14:textId="77777777">
            <w:pPr>
              <w:jc w:val="right"/>
              <w:rPr>
                <w:color w:val="000000"/>
                <w:sz w:val="20"/>
                <w:szCs w:val="20"/>
              </w:rPr>
            </w:pPr>
            <w:r w:rsidRPr="00C31E3F">
              <w:rPr>
                <w:color w:val="000000"/>
                <w:sz w:val="20"/>
                <w:szCs w:val="20"/>
              </w:rPr>
              <w:t>233.1</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4DB086DC" w14:textId="77777777">
            <w:pPr>
              <w:jc w:val="right"/>
              <w:rPr>
                <w:color w:val="000000"/>
                <w:sz w:val="20"/>
                <w:szCs w:val="20"/>
              </w:rPr>
            </w:pPr>
            <w:r w:rsidRPr="00C31E3F">
              <w:rPr>
                <w:color w:val="000000"/>
                <w:sz w:val="20"/>
                <w:szCs w:val="20"/>
              </w:rPr>
              <w:t>$27,149.71</w:t>
            </w:r>
          </w:p>
        </w:tc>
      </w:tr>
      <w:tr w14:paraId="2321BAE1"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66A35D9"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Units with existing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3A085FA" w14:textId="77777777">
            <w:pPr>
              <w:jc w:val="center"/>
              <w:rPr>
                <w:color w:val="000000"/>
                <w:sz w:val="20"/>
                <w:szCs w:val="20"/>
              </w:rPr>
            </w:pPr>
            <w:r w:rsidRPr="00C31E3F">
              <w:rPr>
                <w:color w:val="000000"/>
                <w:sz w:val="20"/>
                <w:szCs w:val="20"/>
              </w:rPr>
              <w:t>0.25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0406784" w14:textId="77777777">
            <w:pPr>
              <w:jc w:val="center"/>
              <w:rPr>
                <w:color w:val="000000"/>
                <w:sz w:val="20"/>
                <w:szCs w:val="20"/>
              </w:rPr>
            </w:pPr>
            <w:r w:rsidRPr="00C31E3F">
              <w:rPr>
                <w:color w:val="000000"/>
                <w:sz w:val="20"/>
                <w:szCs w:val="20"/>
              </w:rPr>
              <w:t>0.75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01D0066D" w14:textId="77777777">
            <w:pPr>
              <w:jc w:val="center"/>
              <w:rPr>
                <w:color w:val="000000"/>
                <w:sz w:val="20"/>
                <w:szCs w:val="20"/>
              </w:rPr>
            </w:pPr>
            <w:r w:rsidRPr="00C31E3F">
              <w:rPr>
                <w:color w:val="000000"/>
                <w:sz w:val="20"/>
                <w:szCs w:val="20"/>
              </w:rPr>
              <w:t>0.05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493446A"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40B44E8F" w14:textId="77777777">
            <w:pPr>
              <w:jc w:val="center"/>
              <w:rPr>
                <w:color w:val="000000"/>
                <w:sz w:val="20"/>
                <w:szCs w:val="20"/>
              </w:rPr>
            </w:pPr>
            <w:r w:rsidRPr="00C31E3F">
              <w:rPr>
                <w:color w:val="000000"/>
                <w:sz w:val="20"/>
                <w:szCs w:val="20"/>
              </w:rPr>
              <w:t>1.05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0368955" w14:textId="77777777">
            <w:pPr>
              <w:jc w:val="center"/>
              <w:rPr>
                <w:color w:val="000000"/>
                <w:sz w:val="20"/>
                <w:szCs w:val="20"/>
              </w:rPr>
            </w:pPr>
            <w:r w:rsidRPr="00C31E3F">
              <w:rPr>
                <w:color w:val="000000"/>
                <w:sz w:val="20"/>
                <w:szCs w:val="20"/>
              </w:rPr>
              <w:t>$122.30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73F635D" w14:textId="77777777">
            <w:pPr>
              <w:jc w:val="center"/>
              <w:rPr>
                <w:color w:val="000000"/>
                <w:sz w:val="20"/>
                <w:szCs w:val="20"/>
              </w:rPr>
            </w:pPr>
            <w:r w:rsidRPr="00C31E3F">
              <w:rPr>
                <w:color w:val="000000"/>
                <w:sz w:val="20"/>
                <w:szCs w:val="20"/>
              </w:rPr>
              <w:t>134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45D3A653" w14:textId="77777777">
            <w:pPr>
              <w:jc w:val="right"/>
              <w:rPr>
                <w:color w:val="000000"/>
                <w:sz w:val="20"/>
                <w:szCs w:val="20"/>
              </w:rPr>
            </w:pPr>
            <w:r w:rsidRPr="00C31E3F">
              <w:rPr>
                <w:color w:val="000000"/>
                <w:sz w:val="20"/>
                <w:szCs w:val="20"/>
              </w:rPr>
              <w:t>140.7</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63A09930" w14:textId="77777777">
            <w:pPr>
              <w:jc w:val="right"/>
              <w:rPr>
                <w:color w:val="000000"/>
                <w:sz w:val="20"/>
                <w:szCs w:val="20"/>
              </w:rPr>
            </w:pPr>
            <w:r w:rsidRPr="00C31E3F">
              <w:rPr>
                <w:color w:val="000000"/>
                <w:sz w:val="20"/>
                <w:szCs w:val="20"/>
              </w:rPr>
              <w:t>$16,387.66</w:t>
            </w:r>
          </w:p>
        </w:tc>
      </w:tr>
      <w:tr w14:paraId="7E286642"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00B078D" w14:textId="77777777">
            <w:pPr>
              <w:rPr>
                <w:color w:val="000000"/>
                <w:sz w:val="20"/>
                <w:szCs w:val="20"/>
              </w:rPr>
            </w:pPr>
            <w:r w:rsidRPr="00C31E3F">
              <w:rPr>
                <w:color w:val="000000"/>
                <w:sz w:val="20"/>
                <w:szCs w:val="20"/>
              </w:rPr>
              <w:t>3.</w:t>
            </w:r>
            <w:r>
              <w:rPr>
                <w:color w:val="000000"/>
                <w:sz w:val="20"/>
                <w:szCs w:val="20"/>
              </w:rPr>
              <w:t xml:space="preserve"> </w:t>
            </w:r>
            <w:r w:rsidRPr="00C31E3F">
              <w:rPr>
                <w:color w:val="000000"/>
                <w:sz w:val="20"/>
                <w:szCs w:val="20"/>
              </w:rPr>
              <w:t xml:space="preserve">Specify Monitoring Plan Elements </w:t>
            </w:r>
            <w:r w:rsidRPr="00C31E3F">
              <w:rPr>
                <w:color w:val="000000"/>
                <w:sz w:val="20"/>
                <w:szCs w:val="20"/>
                <w:vertAlign w:val="superscript"/>
              </w:rPr>
              <w:t>e</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22DA6CF"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C650CF8" w14:textId="77777777">
            <w:pPr>
              <w:jc w:val="center"/>
              <w:rPr>
                <w:color w:val="000000"/>
                <w:sz w:val="20"/>
                <w:szCs w:val="20"/>
              </w:rPr>
            </w:pPr>
            <w:r w:rsidRPr="00C31E3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5BAF61A8"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2424285" w14:textId="77777777">
            <w:pPr>
              <w:jc w:val="center"/>
              <w:rPr>
                <w:color w:val="000000"/>
                <w:sz w:val="20"/>
                <w:szCs w:val="20"/>
              </w:rPr>
            </w:pPr>
            <w:r w:rsidRPr="00C31E3F">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72FED602"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56507EF"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FEE2361" w14:textId="77777777">
            <w:pPr>
              <w:jc w:val="center"/>
              <w:rPr>
                <w:color w:val="000000"/>
                <w:sz w:val="20"/>
                <w:szCs w:val="20"/>
              </w:rPr>
            </w:pPr>
            <w:r w:rsidRPr="00C31E3F">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6DD02BFC" w14:textId="77777777">
            <w:pPr>
              <w:jc w:val="right"/>
              <w:rPr>
                <w:color w:val="000000"/>
                <w:sz w:val="20"/>
                <w:szCs w:val="20"/>
              </w:rPr>
            </w:pPr>
            <w:r w:rsidRPr="00C31E3F">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6634442D" w14:textId="77777777">
            <w:pPr>
              <w:jc w:val="right"/>
              <w:rPr>
                <w:color w:val="000000"/>
                <w:sz w:val="20"/>
                <w:szCs w:val="20"/>
              </w:rPr>
            </w:pPr>
            <w:r w:rsidRPr="00C31E3F">
              <w:rPr>
                <w:color w:val="000000"/>
                <w:sz w:val="20"/>
                <w:szCs w:val="20"/>
              </w:rPr>
              <w:t> </w:t>
            </w:r>
          </w:p>
        </w:tc>
      </w:tr>
      <w:tr w14:paraId="6E2A7F63"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EE7F21A"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33FC0A9" w14:textId="77777777">
            <w:pPr>
              <w:jc w:val="center"/>
              <w:rPr>
                <w:color w:val="000000"/>
                <w:sz w:val="20"/>
                <w:szCs w:val="20"/>
              </w:rPr>
            </w:pPr>
            <w:r w:rsidRPr="00C31E3F">
              <w:rPr>
                <w:color w:val="000000"/>
                <w:sz w:val="20"/>
                <w:szCs w:val="20"/>
              </w:rPr>
              <w:t>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FCEFEEA" w14:textId="77777777">
            <w:pPr>
              <w:jc w:val="center"/>
              <w:rPr>
                <w:color w:val="000000"/>
                <w:sz w:val="20"/>
                <w:szCs w:val="20"/>
              </w:rPr>
            </w:pPr>
            <w:r w:rsidRPr="00C31E3F">
              <w:rPr>
                <w:color w:val="000000"/>
                <w:sz w:val="20"/>
                <w:szCs w:val="20"/>
              </w:rPr>
              <w:t>12</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531649F2" w14:textId="77777777">
            <w:pPr>
              <w:jc w:val="center"/>
              <w:rPr>
                <w:color w:val="000000"/>
                <w:sz w:val="20"/>
                <w:szCs w:val="20"/>
              </w:rPr>
            </w:pPr>
            <w:r w:rsidRPr="00C31E3F">
              <w:rPr>
                <w:color w:val="000000"/>
                <w:sz w:val="20"/>
                <w:szCs w:val="20"/>
              </w:rPr>
              <w:t>0.8</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91FBB2F"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715CAD9F" w14:textId="77777777">
            <w:pPr>
              <w:jc w:val="center"/>
              <w:rPr>
                <w:color w:val="000000"/>
                <w:sz w:val="20"/>
                <w:szCs w:val="20"/>
              </w:rPr>
            </w:pPr>
            <w:r w:rsidRPr="00C31E3F">
              <w:rPr>
                <w:color w:val="000000"/>
                <w:sz w:val="20"/>
                <w:szCs w:val="20"/>
              </w:rPr>
              <w:t>16.8</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B7DABC5" w14:textId="77777777">
            <w:pPr>
              <w:jc w:val="center"/>
              <w:rPr>
                <w:color w:val="000000"/>
                <w:sz w:val="20"/>
                <w:szCs w:val="20"/>
              </w:rPr>
            </w:pPr>
            <w:r w:rsidRPr="00C31E3F">
              <w:rPr>
                <w:color w:val="000000"/>
                <w:sz w:val="20"/>
                <w:szCs w:val="20"/>
              </w:rPr>
              <w:t>$1,956.74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F33538B" w14:textId="77777777">
            <w:pPr>
              <w:jc w:val="center"/>
              <w:rPr>
                <w:color w:val="000000"/>
                <w:sz w:val="20"/>
                <w:szCs w:val="20"/>
              </w:rPr>
            </w:pPr>
            <w:r w:rsidRPr="00C31E3F">
              <w:rPr>
                <w:color w:val="000000"/>
                <w:sz w:val="20"/>
                <w:szCs w:val="20"/>
              </w:rPr>
              <w:t>74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1F18F76E" w14:textId="77777777">
            <w:pPr>
              <w:jc w:val="right"/>
              <w:rPr>
                <w:color w:val="000000"/>
                <w:sz w:val="20"/>
                <w:szCs w:val="20"/>
              </w:rPr>
            </w:pPr>
            <w:r w:rsidRPr="00C31E3F">
              <w:rPr>
                <w:color w:val="000000"/>
                <w:sz w:val="20"/>
                <w:szCs w:val="20"/>
              </w:rPr>
              <w:t>1243.2</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1BD8FB39" w14:textId="77777777">
            <w:pPr>
              <w:jc w:val="right"/>
              <w:rPr>
                <w:color w:val="000000"/>
                <w:sz w:val="20"/>
                <w:szCs w:val="20"/>
              </w:rPr>
            </w:pPr>
            <w:r w:rsidRPr="00C31E3F">
              <w:rPr>
                <w:color w:val="000000"/>
                <w:sz w:val="20"/>
                <w:szCs w:val="20"/>
              </w:rPr>
              <w:t>$144,798.46</w:t>
            </w:r>
          </w:p>
        </w:tc>
      </w:tr>
      <w:tr w14:paraId="6ED52273"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F65F651"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Units with exisiting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5A77D49" w14:textId="77777777">
            <w:pPr>
              <w:jc w:val="center"/>
              <w:rPr>
                <w:color w:val="000000"/>
                <w:sz w:val="20"/>
                <w:szCs w:val="20"/>
              </w:rPr>
            </w:pPr>
            <w:r w:rsidRPr="00C31E3F">
              <w:rPr>
                <w:color w:val="000000"/>
                <w:sz w:val="20"/>
                <w:szCs w:val="20"/>
              </w:rPr>
              <w:t>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57E16BC" w14:textId="77777777">
            <w:pPr>
              <w:jc w:val="center"/>
              <w:rPr>
                <w:color w:val="000000"/>
                <w:sz w:val="20"/>
                <w:szCs w:val="20"/>
              </w:rPr>
            </w:pPr>
            <w:r w:rsidRPr="00C31E3F">
              <w:rPr>
                <w:color w:val="000000"/>
                <w:sz w:val="20"/>
                <w:szCs w:val="20"/>
              </w:rPr>
              <w:t>6</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013B1380" w14:textId="77777777">
            <w:pPr>
              <w:jc w:val="center"/>
              <w:rPr>
                <w:color w:val="000000"/>
                <w:sz w:val="20"/>
                <w:szCs w:val="20"/>
              </w:rPr>
            </w:pPr>
            <w:r w:rsidRPr="00C31E3F">
              <w:rPr>
                <w:color w:val="000000"/>
                <w:sz w:val="20"/>
                <w:szCs w:val="20"/>
              </w:rPr>
              <w:t>0.4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267C9E0"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72B86EF0" w14:textId="77777777">
            <w:pPr>
              <w:jc w:val="center"/>
              <w:rPr>
                <w:color w:val="000000"/>
                <w:sz w:val="20"/>
                <w:szCs w:val="20"/>
              </w:rPr>
            </w:pPr>
            <w:r w:rsidRPr="00C31E3F">
              <w:rPr>
                <w:color w:val="000000"/>
                <w:sz w:val="20"/>
                <w:szCs w:val="20"/>
              </w:rPr>
              <w:t>8.4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884ED51" w14:textId="77777777">
            <w:pPr>
              <w:jc w:val="center"/>
              <w:rPr>
                <w:color w:val="000000"/>
                <w:sz w:val="20"/>
                <w:szCs w:val="20"/>
              </w:rPr>
            </w:pPr>
            <w:r w:rsidRPr="00C31E3F">
              <w:rPr>
                <w:color w:val="000000"/>
                <w:sz w:val="20"/>
                <w:szCs w:val="20"/>
              </w:rPr>
              <w:t>$978.37</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E910748" w14:textId="77777777">
            <w:pPr>
              <w:jc w:val="center"/>
              <w:rPr>
                <w:color w:val="000000"/>
                <w:sz w:val="20"/>
                <w:szCs w:val="20"/>
              </w:rPr>
            </w:pPr>
            <w:r w:rsidRPr="00C31E3F">
              <w:rPr>
                <w:color w:val="000000"/>
                <w:sz w:val="20"/>
                <w:szCs w:val="20"/>
              </w:rPr>
              <w:t>134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6CD11A3D" w14:textId="77777777">
            <w:pPr>
              <w:jc w:val="right"/>
              <w:rPr>
                <w:color w:val="000000"/>
                <w:sz w:val="20"/>
                <w:szCs w:val="20"/>
              </w:rPr>
            </w:pPr>
            <w:r w:rsidRPr="00C31E3F">
              <w:rPr>
                <w:color w:val="000000"/>
                <w:sz w:val="20"/>
                <w:szCs w:val="20"/>
              </w:rPr>
              <w:t>1125.6</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2CE88222" w14:textId="77777777">
            <w:pPr>
              <w:jc w:val="right"/>
              <w:rPr>
                <w:color w:val="000000"/>
                <w:sz w:val="20"/>
                <w:szCs w:val="20"/>
              </w:rPr>
            </w:pPr>
            <w:r w:rsidRPr="00C31E3F">
              <w:rPr>
                <w:color w:val="000000"/>
                <w:sz w:val="20"/>
                <w:szCs w:val="20"/>
              </w:rPr>
              <w:t>$131,101.31</w:t>
            </w:r>
          </w:p>
        </w:tc>
      </w:tr>
      <w:tr w14:paraId="39100C6F"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197764A" w14:textId="77777777">
            <w:pPr>
              <w:rPr>
                <w:color w:val="000000"/>
                <w:sz w:val="20"/>
                <w:szCs w:val="20"/>
              </w:rPr>
            </w:pPr>
            <w:r w:rsidRPr="00C31E3F">
              <w:rPr>
                <w:color w:val="000000"/>
                <w:sz w:val="20"/>
                <w:szCs w:val="20"/>
              </w:rPr>
              <w:t>4.</w:t>
            </w:r>
            <w:r>
              <w:rPr>
                <w:color w:val="000000"/>
                <w:sz w:val="20"/>
                <w:szCs w:val="20"/>
              </w:rPr>
              <w:t xml:space="preserve"> </w:t>
            </w:r>
            <w:r w:rsidRPr="00C31E3F">
              <w:rPr>
                <w:color w:val="000000"/>
                <w:sz w:val="20"/>
                <w:szCs w:val="20"/>
              </w:rPr>
              <w:t xml:space="preserve">Design Documentation </w:t>
            </w:r>
            <w:r w:rsidRPr="00C31E3F">
              <w:rPr>
                <w:color w:val="000000"/>
                <w:sz w:val="20"/>
                <w:szCs w:val="20"/>
                <w:vertAlign w:val="superscript"/>
              </w:rPr>
              <w:t>e</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AA1A690"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67FA634" w14:textId="77777777">
            <w:pPr>
              <w:jc w:val="center"/>
              <w:rPr>
                <w:color w:val="000000"/>
                <w:sz w:val="20"/>
                <w:szCs w:val="20"/>
              </w:rPr>
            </w:pPr>
            <w:r w:rsidRPr="00C31E3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3A17C73C"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D431CAE" w14:textId="77777777">
            <w:pPr>
              <w:jc w:val="center"/>
              <w:rPr>
                <w:color w:val="000000"/>
                <w:sz w:val="20"/>
                <w:szCs w:val="20"/>
              </w:rPr>
            </w:pPr>
            <w:r w:rsidRPr="00C31E3F">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52B01321"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7DAC39C"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E8F23B8" w14:textId="77777777">
            <w:pPr>
              <w:jc w:val="center"/>
              <w:rPr>
                <w:color w:val="000000"/>
                <w:sz w:val="20"/>
                <w:szCs w:val="20"/>
              </w:rPr>
            </w:pPr>
            <w:r w:rsidRPr="00C31E3F">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445A20D6" w14:textId="77777777">
            <w:pPr>
              <w:jc w:val="right"/>
              <w:rPr>
                <w:color w:val="000000"/>
                <w:sz w:val="20"/>
                <w:szCs w:val="20"/>
              </w:rPr>
            </w:pPr>
            <w:r w:rsidRPr="00C31E3F">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50AA8729" w14:textId="77777777">
            <w:pPr>
              <w:jc w:val="right"/>
              <w:rPr>
                <w:color w:val="000000"/>
                <w:sz w:val="20"/>
                <w:szCs w:val="20"/>
              </w:rPr>
            </w:pPr>
            <w:r w:rsidRPr="00C31E3F">
              <w:rPr>
                <w:color w:val="000000"/>
                <w:sz w:val="20"/>
                <w:szCs w:val="20"/>
              </w:rPr>
              <w:t> </w:t>
            </w:r>
          </w:p>
        </w:tc>
      </w:tr>
      <w:tr w14:paraId="26B21E2C"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37B9BE50"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BC6E18B"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7C79392" w14:textId="77777777">
            <w:pPr>
              <w:jc w:val="center"/>
              <w:rPr>
                <w:color w:val="000000"/>
                <w:sz w:val="20"/>
                <w:szCs w:val="20"/>
              </w:rPr>
            </w:pPr>
            <w:r w:rsidRPr="00C31E3F">
              <w:rPr>
                <w:color w:val="000000"/>
                <w:sz w:val="20"/>
                <w:szCs w:val="20"/>
              </w:rPr>
              <w:t>4</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4E752E77" w14:textId="77777777">
            <w:pPr>
              <w:jc w:val="center"/>
              <w:rPr>
                <w:color w:val="000000"/>
                <w:sz w:val="20"/>
                <w:szCs w:val="20"/>
              </w:rPr>
            </w:pPr>
            <w:r w:rsidRPr="00C31E3F">
              <w:rPr>
                <w:color w:val="000000"/>
                <w:sz w:val="20"/>
                <w:szCs w:val="20"/>
              </w:rPr>
              <w:t>0.2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08470B0"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73E3C12A" w14:textId="77777777">
            <w:pPr>
              <w:jc w:val="center"/>
              <w:rPr>
                <w:color w:val="000000"/>
                <w:sz w:val="20"/>
                <w:szCs w:val="20"/>
              </w:rPr>
            </w:pPr>
            <w:r w:rsidRPr="00C31E3F">
              <w:rPr>
                <w:color w:val="000000"/>
                <w:sz w:val="20"/>
                <w:szCs w:val="20"/>
              </w:rPr>
              <w:t>4.2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3764F11" w14:textId="77777777">
            <w:pPr>
              <w:jc w:val="center"/>
              <w:rPr>
                <w:color w:val="000000"/>
                <w:sz w:val="20"/>
                <w:szCs w:val="20"/>
              </w:rPr>
            </w:pPr>
            <w:r w:rsidRPr="00C31E3F">
              <w:rPr>
                <w:color w:val="000000"/>
                <w:sz w:val="20"/>
                <w:szCs w:val="20"/>
              </w:rPr>
              <w:t>$553.75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CC3DFEB" w14:textId="77777777">
            <w:pPr>
              <w:jc w:val="center"/>
              <w:rPr>
                <w:color w:val="000000"/>
                <w:sz w:val="20"/>
                <w:szCs w:val="20"/>
              </w:rPr>
            </w:pPr>
            <w:r w:rsidRPr="00C31E3F">
              <w:rPr>
                <w:color w:val="000000"/>
                <w:sz w:val="20"/>
                <w:szCs w:val="20"/>
              </w:rPr>
              <w:t>74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317222AC" w14:textId="77777777">
            <w:pPr>
              <w:jc w:val="right"/>
              <w:rPr>
                <w:color w:val="000000"/>
                <w:sz w:val="20"/>
                <w:szCs w:val="20"/>
              </w:rPr>
            </w:pPr>
            <w:r w:rsidRPr="00C31E3F">
              <w:rPr>
                <w:color w:val="000000"/>
                <w:sz w:val="20"/>
                <w:szCs w:val="20"/>
              </w:rPr>
              <w:t>310.8</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02A8F455" w14:textId="77777777">
            <w:pPr>
              <w:jc w:val="right"/>
              <w:rPr>
                <w:color w:val="000000"/>
                <w:sz w:val="20"/>
                <w:szCs w:val="20"/>
              </w:rPr>
            </w:pPr>
            <w:r w:rsidRPr="00C31E3F">
              <w:rPr>
                <w:color w:val="000000"/>
                <w:sz w:val="20"/>
                <w:szCs w:val="20"/>
              </w:rPr>
              <w:t>$40,977.80</w:t>
            </w:r>
          </w:p>
        </w:tc>
      </w:tr>
      <w:tr w14:paraId="17C7282C"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A3C47CB"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Units with exisiting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59AFE01"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60F3C3C" w14:textId="77777777">
            <w:pPr>
              <w:jc w:val="center"/>
              <w:rPr>
                <w:color w:val="000000"/>
                <w:sz w:val="20"/>
                <w:szCs w:val="20"/>
              </w:rPr>
            </w:pPr>
            <w:r w:rsidRPr="00C31E3F">
              <w:rPr>
                <w:color w:val="000000"/>
                <w:sz w:val="20"/>
                <w:szCs w:val="20"/>
              </w:rPr>
              <w:t>2</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4186BBC3" w14:textId="77777777">
            <w:pPr>
              <w:jc w:val="center"/>
              <w:rPr>
                <w:color w:val="000000"/>
                <w:sz w:val="20"/>
                <w:szCs w:val="20"/>
              </w:rPr>
            </w:pPr>
            <w:r w:rsidRPr="00C31E3F">
              <w:rPr>
                <w:color w:val="000000"/>
                <w:sz w:val="20"/>
                <w:szCs w:val="20"/>
              </w:rPr>
              <w:t>0.1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8DE0C51"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298B6F85" w14:textId="77777777">
            <w:pPr>
              <w:jc w:val="center"/>
              <w:rPr>
                <w:color w:val="000000"/>
                <w:sz w:val="20"/>
                <w:szCs w:val="20"/>
              </w:rPr>
            </w:pPr>
            <w:r w:rsidRPr="00C31E3F">
              <w:rPr>
                <w:color w:val="000000"/>
                <w:sz w:val="20"/>
                <w:szCs w:val="20"/>
              </w:rPr>
              <w:t>2.1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54210F7" w14:textId="77777777">
            <w:pPr>
              <w:jc w:val="center"/>
              <w:rPr>
                <w:color w:val="000000"/>
                <w:sz w:val="20"/>
                <w:szCs w:val="20"/>
              </w:rPr>
            </w:pPr>
            <w:r w:rsidRPr="00C31E3F">
              <w:rPr>
                <w:color w:val="000000"/>
                <w:sz w:val="20"/>
                <w:szCs w:val="20"/>
              </w:rPr>
              <w:t>$276.88</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291B0CB" w14:textId="77777777">
            <w:pPr>
              <w:jc w:val="center"/>
              <w:rPr>
                <w:color w:val="000000"/>
                <w:sz w:val="20"/>
                <w:szCs w:val="20"/>
              </w:rPr>
            </w:pPr>
            <w:r w:rsidRPr="00C31E3F">
              <w:rPr>
                <w:color w:val="000000"/>
                <w:sz w:val="20"/>
                <w:szCs w:val="20"/>
              </w:rPr>
              <w:t>134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1A382627" w14:textId="77777777">
            <w:pPr>
              <w:jc w:val="right"/>
              <w:rPr>
                <w:color w:val="000000"/>
                <w:sz w:val="20"/>
                <w:szCs w:val="20"/>
              </w:rPr>
            </w:pPr>
            <w:r w:rsidRPr="00C31E3F">
              <w:rPr>
                <w:color w:val="000000"/>
                <w:sz w:val="20"/>
                <w:szCs w:val="20"/>
              </w:rPr>
              <w:t>281.4</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771C67CD" w14:textId="77777777">
            <w:pPr>
              <w:jc w:val="right"/>
              <w:rPr>
                <w:color w:val="000000"/>
                <w:sz w:val="20"/>
                <w:szCs w:val="20"/>
              </w:rPr>
            </w:pPr>
            <w:r w:rsidRPr="00C31E3F">
              <w:rPr>
                <w:color w:val="000000"/>
                <w:sz w:val="20"/>
                <w:szCs w:val="20"/>
              </w:rPr>
              <w:t>$37,101.52</w:t>
            </w:r>
          </w:p>
        </w:tc>
      </w:tr>
      <w:tr w14:paraId="6C196A65"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E5CEDD6" w14:textId="77777777">
            <w:pPr>
              <w:rPr>
                <w:color w:val="000000"/>
                <w:sz w:val="20"/>
                <w:szCs w:val="20"/>
              </w:rPr>
            </w:pPr>
            <w:r w:rsidRPr="00C31E3F">
              <w:rPr>
                <w:color w:val="000000"/>
                <w:sz w:val="20"/>
                <w:szCs w:val="20"/>
              </w:rPr>
              <w:t>5.</w:t>
            </w:r>
            <w:r>
              <w:rPr>
                <w:color w:val="000000"/>
                <w:sz w:val="20"/>
                <w:szCs w:val="20"/>
              </w:rPr>
              <w:t xml:space="preserve"> </w:t>
            </w:r>
            <w:r w:rsidRPr="00C31E3F">
              <w:rPr>
                <w:color w:val="000000"/>
                <w:sz w:val="20"/>
                <w:szCs w:val="20"/>
              </w:rPr>
              <w:t>CAM Renewal</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E1CFA04" w14:textId="77777777">
            <w:pPr>
              <w:jc w:val="center"/>
              <w:rPr>
                <w:color w:val="000000"/>
                <w:sz w:val="20"/>
                <w:szCs w:val="20"/>
              </w:rPr>
            </w:pPr>
            <w:r w:rsidRPr="00C31E3F">
              <w:rPr>
                <w:color w:val="000000"/>
                <w:sz w:val="20"/>
                <w:szCs w:val="20"/>
              </w:rPr>
              <w:t>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8B04C0A" w14:textId="77777777">
            <w:pPr>
              <w:jc w:val="center"/>
              <w:rPr>
                <w:color w:val="000000"/>
                <w:sz w:val="20"/>
                <w:szCs w:val="20"/>
              </w:rPr>
            </w:pPr>
            <w:r w:rsidRPr="00C31E3F">
              <w:rPr>
                <w:color w:val="000000"/>
                <w:sz w:val="20"/>
                <w:szCs w:val="20"/>
              </w:rPr>
              <w:t>2</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3E61D447" w14:textId="77777777">
            <w:pPr>
              <w:jc w:val="center"/>
              <w:rPr>
                <w:color w:val="000000"/>
                <w:sz w:val="20"/>
                <w:szCs w:val="20"/>
              </w:rPr>
            </w:pPr>
            <w:r w:rsidRPr="00C31E3F">
              <w:rPr>
                <w:color w:val="000000"/>
                <w:sz w:val="20"/>
                <w:szCs w:val="20"/>
              </w:rPr>
              <w:t>0.15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A198DEC"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51666050" w14:textId="77777777">
            <w:pPr>
              <w:jc w:val="center"/>
              <w:rPr>
                <w:color w:val="000000"/>
                <w:sz w:val="20"/>
                <w:szCs w:val="20"/>
              </w:rPr>
            </w:pPr>
            <w:r w:rsidRPr="00C31E3F">
              <w:rPr>
                <w:color w:val="000000"/>
                <w:sz w:val="20"/>
                <w:szCs w:val="20"/>
              </w:rPr>
              <w:t>3.15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F89C523" w14:textId="77777777">
            <w:pPr>
              <w:jc w:val="center"/>
              <w:rPr>
                <w:color w:val="000000"/>
                <w:sz w:val="20"/>
                <w:szCs w:val="20"/>
              </w:rPr>
            </w:pPr>
            <w:r w:rsidRPr="00C31E3F">
              <w:rPr>
                <w:color w:val="000000"/>
                <w:sz w:val="20"/>
                <w:szCs w:val="20"/>
              </w:rPr>
              <w:t>$350.75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35CB505" w14:textId="77777777">
            <w:pPr>
              <w:jc w:val="center"/>
              <w:rPr>
                <w:color w:val="000000"/>
                <w:sz w:val="20"/>
                <w:szCs w:val="20"/>
              </w:rPr>
            </w:pPr>
            <w:r w:rsidRPr="00C31E3F">
              <w:rPr>
                <w:color w:val="000000"/>
                <w:sz w:val="20"/>
                <w:szCs w:val="20"/>
              </w:rPr>
              <w:t>4324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56994A78" w14:textId="77777777">
            <w:pPr>
              <w:jc w:val="right"/>
              <w:rPr>
                <w:color w:val="000000"/>
                <w:sz w:val="20"/>
                <w:szCs w:val="20"/>
              </w:rPr>
            </w:pPr>
            <w:r w:rsidRPr="00C31E3F">
              <w:rPr>
                <w:color w:val="000000"/>
                <w:sz w:val="20"/>
                <w:szCs w:val="20"/>
              </w:rPr>
              <w:t>13620.6</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51CACCA3" w14:textId="77777777">
            <w:pPr>
              <w:jc w:val="right"/>
              <w:rPr>
                <w:color w:val="000000"/>
                <w:sz w:val="20"/>
                <w:szCs w:val="20"/>
              </w:rPr>
            </w:pPr>
            <w:r w:rsidRPr="00C31E3F">
              <w:rPr>
                <w:color w:val="000000"/>
                <w:sz w:val="20"/>
                <w:szCs w:val="20"/>
              </w:rPr>
              <w:t>$1,516,623.54</w:t>
            </w:r>
          </w:p>
        </w:tc>
      </w:tr>
      <w:tr w14:paraId="6BDCEF8A"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26139516" w14:textId="77777777">
            <w:pPr>
              <w:rPr>
                <w:color w:val="000000"/>
                <w:sz w:val="20"/>
                <w:szCs w:val="20"/>
              </w:rPr>
            </w:pPr>
            <w:r w:rsidRPr="00C31E3F">
              <w:rPr>
                <w:color w:val="000000"/>
                <w:sz w:val="20"/>
                <w:szCs w:val="20"/>
              </w:rPr>
              <w:t>6.</w:t>
            </w:r>
            <w:r>
              <w:rPr>
                <w:color w:val="000000"/>
                <w:sz w:val="20"/>
                <w:szCs w:val="20"/>
              </w:rPr>
              <w:t xml:space="preserve"> </w:t>
            </w:r>
            <w:r w:rsidRPr="00C31E3F">
              <w:rPr>
                <w:color w:val="000000"/>
                <w:sz w:val="20"/>
                <w:szCs w:val="20"/>
              </w:rPr>
              <w:t>Prepare QIP</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84B3226" w14:textId="77777777">
            <w:pPr>
              <w:jc w:val="center"/>
              <w:rPr>
                <w:color w:val="000000"/>
                <w:sz w:val="20"/>
                <w:szCs w:val="20"/>
              </w:rPr>
            </w:pPr>
            <w:r w:rsidRPr="00C31E3F">
              <w:rPr>
                <w:color w:val="000000"/>
                <w:sz w:val="20"/>
                <w:szCs w:val="20"/>
              </w:rPr>
              <w:t>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7CFCEBE" w14:textId="77777777">
            <w:pPr>
              <w:jc w:val="center"/>
              <w:rPr>
                <w:color w:val="000000"/>
                <w:sz w:val="20"/>
                <w:szCs w:val="20"/>
              </w:rPr>
            </w:pPr>
            <w:r w:rsidRPr="00C31E3F">
              <w:rPr>
                <w:color w:val="000000"/>
                <w:sz w:val="20"/>
                <w:szCs w:val="20"/>
              </w:rPr>
              <w:t>20</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5A3B414A" w14:textId="77777777">
            <w:pPr>
              <w:jc w:val="center"/>
              <w:rPr>
                <w:color w:val="000000"/>
                <w:sz w:val="20"/>
                <w:szCs w:val="20"/>
              </w:rPr>
            </w:pPr>
            <w:r w:rsidRPr="00C31E3F">
              <w:rPr>
                <w:color w:val="000000"/>
                <w:sz w:val="20"/>
                <w:szCs w:val="20"/>
              </w:rPr>
              <w:t>1.25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E448DCC"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1700A3C1" w14:textId="77777777">
            <w:pPr>
              <w:jc w:val="center"/>
              <w:rPr>
                <w:color w:val="000000"/>
                <w:sz w:val="20"/>
                <w:szCs w:val="20"/>
              </w:rPr>
            </w:pPr>
            <w:r w:rsidRPr="00C31E3F">
              <w:rPr>
                <w:color w:val="000000"/>
                <w:sz w:val="20"/>
                <w:szCs w:val="20"/>
              </w:rPr>
              <w:t>26.25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E96D206" w14:textId="77777777">
            <w:pPr>
              <w:jc w:val="center"/>
              <w:rPr>
                <w:color w:val="000000"/>
                <w:sz w:val="20"/>
                <w:szCs w:val="20"/>
              </w:rPr>
            </w:pPr>
            <w:r w:rsidRPr="00C31E3F">
              <w:rPr>
                <w:color w:val="000000"/>
                <w:sz w:val="20"/>
                <w:szCs w:val="20"/>
              </w:rPr>
              <w:t>$3,138.11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B03D86A" w14:textId="77777777">
            <w:pPr>
              <w:jc w:val="center"/>
              <w:rPr>
                <w:color w:val="000000"/>
                <w:sz w:val="20"/>
                <w:szCs w:val="20"/>
              </w:rPr>
            </w:pPr>
            <w:r w:rsidRPr="00C31E3F">
              <w:rPr>
                <w:color w:val="000000"/>
                <w:sz w:val="20"/>
                <w:szCs w:val="20"/>
              </w:rPr>
              <w:t>9</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6D924919" w14:textId="77777777">
            <w:pPr>
              <w:jc w:val="right"/>
              <w:rPr>
                <w:color w:val="000000"/>
                <w:sz w:val="20"/>
                <w:szCs w:val="20"/>
              </w:rPr>
            </w:pPr>
            <w:r w:rsidRPr="00C31E3F">
              <w:rPr>
                <w:color w:val="000000"/>
                <w:sz w:val="20"/>
                <w:szCs w:val="20"/>
              </w:rPr>
              <w:t>233.562</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200B482F" w14:textId="77777777">
            <w:pPr>
              <w:jc w:val="right"/>
              <w:rPr>
                <w:color w:val="000000"/>
                <w:sz w:val="20"/>
                <w:szCs w:val="20"/>
              </w:rPr>
            </w:pPr>
            <w:r w:rsidRPr="00C31E3F">
              <w:rPr>
                <w:color w:val="000000"/>
                <w:sz w:val="20"/>
                <w:szCs w:val="20"/>
              </w:rPr>
              <w:t>$27,921.67</w:t>
            </w:r>
          </w:p>
        </w:tc>
      </w:tr>
      <w:tr w14:paraId="66FFEDA4"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5DE7161" w14:textId="77777777">
            <w:pPr>
              <w:rPr>
                <w:color w:val="000000"/>
                <w:sz w:val="20"/>
                <w:szCs w:val="20"/>
              </w:rPr>
            </w:pPr>
            <w:r w:rsidRPr="00C31E3F">
              <w:rPr>
                <w:color w:val="000000"/>
                <w:sz w:val="20"/>
                <w:szCs w:val="20"/>
              </w:rPr>
              <w:t>7.</w:t>
            </w:r>
            <w:r>
              <w:rPr>
                <w:color w:val="000000"/>
                <w:sz w:val="20"/>
                <w:szCs w:val="20"/>
              </w:rPr>
              <w:t xml:space="preserve"> </w:t>
            </w:r>
            <w:r w:rsidRPr="00C31E3F">
              <w:rPr>
                <w:color w:val="000000"/>
                <w:sz w:val="20"/>
                <w:szCs w:val="20"/>
              </w:rPr>
              <w:t>Records of Corrective Actions</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1B04D9D"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39E3C6E" w14:textId="77777777">
            <w:pPr>
              <w:jc w:val="center"/>
              <w:rPr>
                <w:color w:val="000000"/>
                <w:sz w:val="20"/>
                <w:szCs w:val="20"/>
              </w:rPr>
            </w:pPr>
            <w:r w:rsidRPr="00C31E3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58810ADF"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98AEEB7" w14:textId="77777777">
            <w:pPr>
              <w:jc w:val="center"/>
              <w:rPr>
                <w:color w:val="000000"/>
                <w:sz w:val="20"/>
                <w:szCs w:val="20"/>
              </w:rPr>
            </w:pPr>
            <w:r w:rsidRPr="00C31E3F">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11F4DD4B"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9DA2E8E"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238F326" w14:textId="77777777">
            <w:pPr>
              <w:jc w:val="center"/>
              <w:rPr>
                <w:color w:val="000000"/>
                <w:sz w:val="20"/>
                <w:szCs w:val="20"/>
              </w:rPr>
            </w:pPr>
            <w:r w:rsidRPr="00C31E3F">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1DD4D27F" w14:textId="77777777">
            <w:pPr>
              <w:jc w:val="right"/>
              <w:rPr>
                <w:color w:val="000000"/>
                <w:sz w:val="20"/>
                <w:szCs w:val="20"/>
              </w:rPr>
            </w:pPr>
            <w:r w:rsidRPr="00C31E3F">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089C15E0" w14:textId="77777777">
            <w:pPr>
              <w:jc w:val="right"/>
              <w:rPr>
                <w:color w:val="000000"/>
                <w:sz w:val="20"/>
                <w:szCs w:val="20"/>
              </w:rPr>
            </w:pPr>
            <w:r w:rsidRPr="00C31E3F">
              <w:rPr>
                <w:color w:val="000000"/>
                <w:sz w:val="20"/>
                <w:szCs w:val="20"/>
              </w:rPr>
              <w:t> </w:t>
            </w:r>
          </w:p>
        </w:tc>
      </w:tr>
      <w:tr w14:paraId="15F24528"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34CA06C"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PSEUs with instrumental systems</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DB2FBAB"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66D9DF3" w14:textId="77777777">
            <w:pPr>
              <w:jc w:val="center"/>
              <w:rPr>
                <w:color w:val="000000"/>
                <w:sz w:val="20"/>
                <w:szCs w:val="20"/>
              </w:rPr>
            </w:pPr>
            <w:r w:rsidRPr="00C31E3F">
              <w:rPr>
                <w:color w:val="000000"/>
                <w:sz w:val="20"/>
                <w:szCs w:val="20"/>
              </w:rPr>
              <w:t>0.15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7651410D" w14:textId="77777777">
            <w:pPr>
              <w:jc w:val="center"/>
              <w:rPr>
                <w:color w:val="000000"/>
                <w:sz w:val="20"/>
                <w:szCs w:val="20"/>
              </w:rPr>
            </w:pPr>
            <w:r w:rsidRPr="00C31E3F">
              <w:rPr>
                <w:color w:val="000000"/>
                <w:sz w:val="20"/>
                <w:szCs w:val="20"/>
              </w:rPr>
              <w:t>0.0075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6397E65"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06B2A71C" w14:textId="77777777">
            <w:pPr>
              <w:jc w:val="center"/>
              <w:rPr>
                <w:color w:val="000000"/>
                <w:sz w:val="20"/>
                <w:szCs w:val="20"/>
              </w:rPr>
            </w:pPr>
            <w:r w:rsidRPr="00C31E3F">
              <w:rPr>
                <w:color w:val="000000"/>
                <w:sz w:val="20"/>
                <w:szCs w:val="20"/>
              </w:rPr>
              <w:t>0.1575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EC19C6A" w14:textId="77777777">
            <w:pPr>
              <w:jc w:val="center"/>
              <w:rPr>
                <w:color w:val="000000"/>
                <w:sz w:val="20"/>
                <w:szCs w:val="20"/>
              </w:rPr>
            </w:pPr>
            <w:r w:rsidRPr="00C31E3F">
              <w:rPr>
                <w:color w:val="000000"/>
                <w:sz w:val="20"/>
                <w:szCs w:val="20"/>
              </w:rPr>
              <w:t>$20.77</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49A4DAC" w14:textId="77777777">
            <w:pPr>
              <w:jc w:val="center"/>
              <w:rPr>
                <w:color w:val="000000"/>
                <w:sz w:val="20"/>
                <w:szCs w:val="20"/>
              </w:rPr>
            </w:pPr>
            <w:r w:rsidRPr="00C31E3F">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1EA29E0C" w14:textId="77777777">
            <w:pPr>
              <w:jc w:val="right"/>
              <w:rPr>
                <w:color w:val="000000"/>
                <w:sz w:val="20"/>
                <w:szCs w:val="20"/>
              </w:rPr>
            </w:pPr>
            <w:r w:rsidRPr="00C31E3F">
              <w:rPr>
                <w:color w:val="000000"/>
                <w:sz w:val="20"/>
                <w:szCs w:val="20"/>
              </w:rPr>
              <w:t>0.182007</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5F95EEAD" w14:textId="77777777">
            <w:pPr>
              <w:jc w:val="right"/>
              <w:rPr>
                <w:color w:val="000000"/>
                <w:sz w:val="20"/>
                <w:szCs w:val="20"/>
              </w:rPr>
            </w:pPr>
            <w:r w:rsidRPr="00C31E3F">
              <w:rPr>
                <w:color w:val="000000"/>
                <w:sz w:val="20"/>
                <w:szCs w:val="20"/>
              </w:rPr>
              <w:t>$24.00</w:t>
            </w:r>
          </w:p>
        </w:tc>
      </w:tr>
      <w:tr w14:paraId="5FA27C60"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A53CF00"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PSEUs using work practices</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C38E0B5"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D1151F3" w14:textId="77777777">
            <w:pPr>
              <w:jc w:val="center"/>
              <w:rPr>
                <w:color w:val="000000"/>
                <w:sz w:val="20"/>
                <w:szCs w:val="20"/>
              </w:rPr>
            </w:pPr>
            <w:r w:rsidRPr="00C31E3F">
              <w:rPr>
                <w:color w:val="000000"/>
                <w:sz w:val="20"/>
                <w:szCs w:val="20"/>
              </w:rPr>
              <w:t>0.5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5C81BB15" w14:textId="77777777">
            <w:pPr>
              <w:jc w:val="center"/>
              <w:rPr>
                <w:color w:val="000000"/>
                <w:sz w:val="20"/>
                <w:szCs w:val="20"/>
              </w:rPr>
            </w:pPr>
            <w:r w:rsidRPr="00C31E3F">
              <w:rPr>
                <w:color w:val="000000"/>
                <w:sz w:val="20"/>
                <w:szCs w:val="20"/>
              </w:rPr>
              <w:t>0.025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7F2EC5E"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3D62C6E3" w14:textId="77777777">
            <w:pPr>
              <w:jc w:val="center"/>
              <w:rPr>
                <w:color w:val="000000"/>
                <w:sz w:val="20"/>
                <w:szCs w:val="20"/>
              </w:rPr>
            </w:pPr>
            <w:r w:rsidRPr="00C31E3F">
              <w:rPr>
                <w:color w:val="000000"/>
                <w:sz w:val="20"/>
                <w:szCs w:val="20"/>
              </w:rPr>
              <w:t>0.525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174CC4F" w14:textId="77777777">
            <w:pPr>
              <w:jc w:val="center"/>
              <w:rPr>
                <w:color w:val="000000"/>
                <w:sz w:val="20"/>
                <w:szCs w:val="20"/>
              </w:rPr>
            </w:pPr>
            <w:r w:rsidRPr="00C31E3F">
              <w:rPr>
                <w:color w:val="000000"/>
                <w:sz w:val="20"/>
                <w:szCs w:val="20"/>
              </w:rPr>
              <w:t>$69.22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8CE9E02" w14:textId="77777777">
            <w:pPr>
              <w:jc w:val="center"/>
              <w:rPr>
                <w:color w:val="000000"/>
                <w:sz w:val="20"/>
                <w:szCs w:val="20"/>
              </w:rPr>
            </w:pPr>
            <w:r w:rsidRPr="00C31E3F">
              <w:rPr>
                <w:color w:val="000000"/>
                <w:sz w:val="20"/>
                <w:szCs w:val="20"/>
              </w:rPr>
              <w:t>8</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39908C1E" w14:textId="77777777">
            <w:pPr>
              <w:jc w:val="right"/>
              <w:rPr>
                <w:color w:val="000000"/>
                <w:sz w:val="20"/>
                <w:szCs w:val="20"/>
              </w:rPr>
            </w:pPr>
            <w:r w:rsidRPr="00C31E3F">
              <w:rPr>
                <w:color w:val="000000"/>
                <w:sz w:val="20"/>
                <w:szCs w:val="20"/>
              </w:rPr>
              <w:t>4.06455</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795C291F" w14:textId="77777777">
            <w:pPr>
              <w:jc w:val="right"/>
              <w:rPr>
                <w:color w:val="000000"/>
                <w:sz w:val="20"/>
                <w:szCs w:val="20"/>
              </w:rPr>
            </w:pPr>
            <w:r w:rsidRPr="00C31E3F">
              <w:rPr>
                <w:color w:val="000000"/>
                <w:sz w:val="20"/>
                <w:szCs w:val="20"/>
              </w:rPr>
              <w:t>$535.90</w:t>
            </w:r>
          </w:p>
        </w:tc>
      </w:tr>
      <w:tr w14:paraId="57F2EB69"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78A614A" w14:textId="77777777">
            <w:pPr>
              <w:rPr>
                <w:color w:val="000000"/>
                <w:sz w:val="20"/>
                <w:szCs w:val="20"/>
              </w:rPr>
            </w:pPr>
            <w:r w:rsidRPr="00C31E3F">
              <w:rPr>
                <w:color w:val="000000"/>
                <w:sz w:val="20"/>
                <w:szCs w:val="20"/>
              </w:rPr>
              <w:t>8.</w:t>
            </w:r>
            <w:r>
              <w:rPr>
                <w:color w:val="000000"/>
                <w:sz w:val="20"/>
                <w:szCs w:val="20"/>
              </w:rPr>
              <w:t xml:space="preserve"> </w:t>
            </w:r>
            <w:r w:rsidRPr="00C31E3F">
              <w:rPr>
                <w:color w:val="000000"/>
                <w:sz w:val="20"/>
                <w:szCs w:val="20"/>
              </w:rPr>
              <w:t>Reporting of Corrective Actions</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2C33BBD"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6D76BD8" w14:textId="77777777">
            <w:pPr>
              <w:jc w:val="center"/>
              <w:rPr>
                <w:color w:val="000000"/>
                <w:sz w:val="20"/>
                <w:szCs w:val="20"/>
              </w:rPr>
            </w:pPr>
            <w:r w:rsidRPr="00C31E3F">
              <w:rPr>
                <w:color w:val="000000"/>
                <w:sz w:val="20"/>
                <w:szCs w:val="20"/>
              </w:rPr>
              <w:t>0.5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7151216C" w14:textId="77777777">
            <w:pPr>
              <w:jc w:val="center"/>
              <w:rPr>
                <w:color w:val="000000"/>
                <w:sz w:val="20"/>
                <w:szCs w:val="20"/>
              </w:rPr>
            </w:pPr>
            <w:r w:rsidRPr="00C31E3F">
              <w:rPr>
                <w:color w:val="000000"/>
                <w:sz w:val="20"/>
                <w:szCs w:val="20"/>
              </w:rPr>
              <w:t>0.025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07C11E9" w14:textId="77777777">
            <w:pPr>
              <w:jc w:val="center"/>
              <w:rPr>
                <w:color w:val="000000"/>
                <w:sz w:val="20"/>
                <w:szCs w:val="20"/>
              </w:rPr>
            </w:pPr>
            <w:r w:rsidRPr="00C31E3F">
              <w:rPr>
                <w:color w:val="000000"/>
                <w:sz w:val="20"/>
                <w:szCs w:val="20"/>
              </w:rPr>
              <w:t>2</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42C80437" w14:textId="77777777">
            <w:pPr>
              <w:jc w:val="center"/>
              <w:rPr>
                <w:color w:val="000000"/>
                <w:sz w:val="20"/>
                <w:szCs w:val="20"/>
              </w:rPr>
            </w:pPr>
            <w:r w:rsidRPr="00C31E3F">
              <w:rPr>
                <w:color w:val="000000"/>
                <w:sz w:val="20"/>
                <w:szCs w:val="20"/>
              </w:rPr>
              <w:t>1.05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E569364" w14:textId="77777777">
            <w:pPr>
              <w:jc w:val="center"/>
              <w:rPr>
                <w:color w:val="000000"/>
                <w:sz w:val="20"/>
                <w:szCs w:val="20"/>
              </w:rPr>
            </w:pPr>
            <w:r w:rsidRPr="00C31E3F">
              <w:rPr>
                <w:color w:val="000000"/>
                <w:sz w:val="20"/>
                <w:szCs w:val="20"/>
              </w:rPr>
              <w:t>$138.44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A611BE7" w14:textId="77777777">
            <w:pPr>
              <w:jc w:val="center"/>
              <w:rPr>
                <w:color w:val="000000"/>
                <w:sz w:val="20"/>
                <w:szCs w:val="20"/>
              </w:rPr>
            </w:pPr>
            <w:r w:rsidRPr="00C31E3F">
              <w:rPr>
                <w:color w:val="000000"/>
                <w:sz w:val="20"/>
                <w:szCs w:val="20"/>
              </w:rPr>
              <w:t>9</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6A7825B6" w14:textId="77777777">
            <w:pPr>
              <w:jc w:val="right"/>
              <w:rPr>
                <w:color w:val="000000"/>
                <w:sz w:val="20"/>
                <w:szCs w:val="20"/>
              </w:rPr>
            </w:pPr>
            <w:r w:rsidRPr="00C31E3F">
              <w:rPr>
                <w:color w:val="000000"/>
                <w:sz w:val="20"/>
                <w:szCs w:val="20"/>
              </w:rPr>
              <w:t>9.45</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1E4BAB2F" w14:textId="77777777">
            <w:pPr>
              <w:jc w:val="right"/>
              <w:rPr>
                <w:color w:val="000000"/>
                <w:sz w:val="20"/>
                <w:szCs w:val="20"/>
              </w:rPr>
            </w:pPr>
            <w:r w:rsidRPr="00C31E3F">
              <w:rPr>
                <w:color w:val="000000"/>
                <w:sz w:val="20"/>
                <w:szCs w:val="20"/>
              </w:rPr>
              <w:t>$1,245.95</w:t>
            </w:r>
          </w:p>
        </w:tc>
      </w:tr>
      <w:tr w14:paraId="35FDD0C1"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D3E03F9" w14:textId="77777777">
            <w:pPr>
              <w:rPr>
                <w:color w:val="000000"/>
                <w:sz w:val="20"/>
                <w:szCs w:val="20"/>
              </w:rPr>
            </w:pPr>
            <w:r w:rsidRPr="00C31E3F">
              <w:rPr>
                <w:color w:val="000000"/>
                <w:sz w:val="20"/>
                <w:szCs w:val="20"/>
              </w:rPr>
              <w:t>9.</w:t>
            </w:r>
            <w:r>
              <w:rPr>
                <w:color w:val="000000"/>
                <w:sz w:val="20"/>
                <w:szCs w:val="20"/>
              </w:rPr>
              <w:t xml:space="preserve"> </w:t>
            </w:r>
            <w:r w:rsidRPr="00C31E3F">
              <w:rPr>
                <w:color w:val="000000"/>
                <w:sz w:val="20"/>
                <w:szCs w:val="20"/>
              </w:rPr>
              <w:t xml:space="preserve">Facility Certification </w:t>
            </w:r>
            <w:r w:rsidRPr="00C31E3F">
              <w:rPr>
                <w:color w:val="000000"/>
                <w:sz w:val="20"/>
                <w:szCs w:val="20"/>
                <w:vertAlign w:val="superscript"/>
              </w:rPr>
              <w:t>f</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F2B1F5A" w14:textId="77777777">
            <w:pPr>
              <w:jc w:val="center"/>
              <w:rPr>
                <w:color w:val="000000"/>
                <w:sz w:val="20"/>
                <w:szCs w:val="20"/>
              </w:rPr>
            </w:pPr>
            <w:r w:rsidRPr="00C31E3F">
              <w:rPr>
                <w:color w:val="000000"/>
                <w:sz w:val="20"/>
                <w:szCs w:val="20"/>
              </w:rPr>
              <w:t>0.7</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45EACDD" w14:textId="77777777">
            <w:pPr>
              <w:jc w:val="center"/>
              <w:rPr>
                <w:color w:val="000000"/>
                <w:sz w:val="20"/>
                <w:szCs w:val="20"/>
              </w:rPr>
            </w:pPr>
            <w:r w:rsidRPr="00C31E3F">
              <w:rPr>
                <w:color w:val="000000"/>
                <w:sz w:val="20"/>
                <w:szCs w:val="20"/>
              </w:rPr>
              <w:t>0</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1F1A8D27" w14:textId="77777777">
            <w:pPr>
              <w:jc w:val="center"/>
              <w:rPr>
                <w:color w:val="000000"/>
                <w:sz w:val="20"/>
                <w:szCs w:val="20"/>
              </w:rPr>
            </w:pPr>
            <w:r w:rsidRPr="00C31E3F">
              <w:rPr>
                <w:color w:val="000000"/>
                <w:sz w:val="20"/>
                <w:szCs w:val="20"/>
              </w:rPr>
              <w:t>0.035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8A5D61A"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6D13817A" w14:textId="77777777">
            <w:pPr>
              <w:jc w:val="center"/>
              <w:rPr>
                <w:color w:val="000000"/>
                <w:sz w:val="20"/>
                <w:szCs w:val="20"/>
              </w:rPr>
            </w:pPr>
            <w:r w:rsidRPr="00C31E3F">
              <w:rPr>
                <w:color w:val="000000"/>
                <w:sz w:val="20"/>
                <w:szCs w:val="20"/>
              </w:rPr>
              <w:t>0.735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05B23F4" w14:textId="77777777">
            <w:pPr>
              <w:jc w:val="center"/>
              <w:rPr>
                <w:color w:val="000000"/>
                <w:sz w:val="20"/>
                <w:szCs w:val="20"/>
              </w:rPr>
            </w:pPr>
            <w:r w:rsidRPr="00C31E3F">
              <w:rPr>
                <w:color w:val="000000"/>
                <w:sz w:val="20"/>
                <w:szCs w:val="20"/>
              </w:rPr>
              <w:t>$51.71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37EFA37" w14:textId="77777777">
            <w:pPr>
              <w:jc w:val="center"/>
              <w:rPr>
                <w:color w:val="000000"/>
                <w:sz w:val="20"/>
                <w:szCs w:val="20"/>
              </w:rPr>
            </w:pPr>
            <w:r w:rsidRPr="00C31E3F">
              <w:rPr>
                <w:color w:val="000000"/>
                <w:sz w:val="20"/>
                <w:szCs w:val="20"/>
              </w:rPr>
              <w:t>0</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19520120" w14:textId="77777777">
            <w:pPr>
              <w:jc w:val="right"/>
              <w:rPr>
                <w:color w:val="000000"/>
                <w:sz w:val="20"/>
                <w:szCs w:val="20"/>
              </w:rPr>
            </w:pPr>
            <w:r w:rsidRPr="00C31E3F">
              <w:rPr>
                <w:color w:val="000000"/>
                <w:sz w:val="20"/>
                <w:szCs w:val="20"/>
              </w:rPr>
              <w:t>0</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7A01E6BD" w14:textId="77777777">
            <w:pPr>
              <w:jc w:val="right"/>
              <w:rPr>
                <w:color w:val="000000"/>
                <w:sz w:val="20"/>
                <w:szCs w:val="20"/>
              </w:rPr>
            </w:pPr>
            <w:r w:rsidRPr="00C31E3F">
              <w:rPr>
                <w:color w:val="000000"/>
                <w:sz w:val="20"/>
                <w:szCs w:val="20"/>
              </w:rPr>
              <w:t>$0.00</w:t>
            </w:r>
          </w:p>
        </w:tc>
      </w:tr>
      <w:tr w14:paraId="6FDB3CB7"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653E4BC3" w14:textId="77777777">
            <w:pPr>
              <w:rPr>
                <w:b/>
                <w:bCs/>
                <w:sz w:val="20"/>
                <w:szCs w:val="20"/>
              </w:rPr>
            </w:pPr>
            <w:r w:rsidRPr="00C31E3F">
              <w:rPr>
                <w:b/>
                <w:bCs/>
                <w:sz w:val="20"/>
                <w:szCs w:val="20"/>
              </w:rPr>
              <w:t xml:space="preserve">Total Labor Burden and Costs (rounded) </w:t>
            </w:r>
            <w:r w:rsidRPr="00C31E3F">
              <w:rPr>
                <w:b/>
                <w:bCs/>
                <w:sz w:val="20"/>
                <w:szCs w:val="20"/>
                <w:vertAlign w:val="superscript"/>
              </w:rPr>
              <w:t>g</w:t>
            </w:r>
          </w:p>
        </w:tc>
        <w:tc>
          <w:tcPr>
            <w:tcW w:w="2671" w:type="pct"/>
            <w:gridSpan w:val="7"/>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21ED54E7" w14:textId="77777777">
            <w:pPr>
              <w:jc w:val="center"/>
              <w:rPr>
                <w:b/>
                <w:bCs/>
                <w:sz w:val="20"/>
                <w:szCs w:val="20"/>
              </w:rPr>
            </w:pPr>
            <w:r w:rsidRPr="00C31E3F">
              <w:rPr>
                <w:b/>
                <w:bCs/>
                <w:sz w:val="20"/>
                <w:szCs w:val="20"/>
              </w:rPr>
              <w:t> </w:t>
            </w:r>
          </w:p>
        </w:tc>
        <w:tc>
          <w:tcPr>
            <w:tcW w:w="423" w:type="pct"/>
            <w:tcBorders>
              <w:top w:val="nil"/>
              <w:left w:val="nil"/>
              <w:bottom w:val="single" w:sz="4" w:space="0" w:color="auto"/>
              <w:right w:val="nil"/>
            </w:tcBorders>
            <w:shd w:val="clear" w:color="auto" w:fill="auto"/>
            <w:vAlign w:val="center"/>
            <w:hideMark/>
          </w:tcPr>
          <w:p w:rsidR="0039497E" w:rsidRPr="00C31E3F" w:rsidP="000C08CC" w14:paraId="28DEEC53" w14:textId="77777777">
            <w:pPr>
              <w:jc w:val="center"/>
              <w:rPr>
                <w:b/>
                <w:bCs/>
                <w:sz w:val="20"/>
                <w:szCs w:val="20"/>
              </w:rPr>
            </w:pPr>
            <w:r>
              <w:rPr>
                <w:b/>
                <w:bCs/>
                <w:sz w:val="20"/>
                <w:szCs w:val="20"/>
              </w:rPr>
              <w:t xml:space="preserve"> </w:t>
            </w:r>
            <w:r w:rsidRPr="00C31E3F">
              <w:rPr>
                <w:b/>
                <w:bCs/>
                <w:sz w:val="20"/>
                <w:szCs w:val="20"/>
              </w:rPr>
              <w:t xml:space="preserve">19,300 </w:t>
            </w:r>
          </w:p>
        </w:tc>
        <w:tc>
          <w:tcPr>
            <w:tcW w:w="425"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0B1CEDCB" w14:textId="77777777">
            <w:pPr>
              <w:jc w:val="right"/>
              <w:rPr>
                <w:b/>
                <w:bCs/>
                <w:i/>
                <w:iCs/>
                <w:sz w:val="20"/>
                <w:szCs w:val="20"/>
              </w:rPr>
            </w:pPr>
            <w:r w:rsidRPr="00C31E3F">
              <w:rPr>
                <w:b/>
                <w:bCs/>
                <w:i/>
                <w:iCs/>
                <w:sz w:val="20"/>
                <w:szCs w:val="20"/>
              </w:rPr>
              <w:t>$2,190,000</w:t>
            </w:r>
          </w:p>
        </w:tc>
      </w:tr>
      <w:tr w14:paraId="0BCB7228"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48B52C9E" w14:textId="77777777">
            <w:pPr>
              <w:rPr>
                <w:b/>
                <w:bCs/>
                <w:sz w:val="20"/>
                <w:szCs w:val="20"/>
              </w:rPr>
            </w:pPr>
            <w:r w:rsidRPr="00C31E3F">
              <w:rPr>
                <w:b/>
                <w:bCs/>
                <w:sz w:val="20"/>
                <w:szCs w:val="20"/>
              </w:rPr>
              <w:t>Total Capital and O&amp;M Cost (rounded)</w:t>
            </w:r>
            <w:r w:rsidRPr="00C31E3F">
              <w:rPr>
                <w:b/>
                <w:bCs/>
                <w:sz w:val="20"/>
                <w:szCs w:val="20"/>
                <w:vertAlign w:val="superscript"/>
              </w:rPr>
              <w:t xml:space="preserve"> g</w:t>
            </w:r>
          </w:p>
        </w:tc>
        <w:tc>
          <w:tcPr>
            <w:tcW w:w="3094" w:type="pct"/>
            <w:gridSpan w:val="8"/>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697D9837" w14:textId="77777777">
            <w:pPr>
              <w:jc w:val="center"/>
              <w:rPr>
                <w:b/>
                <w:bCs/>
                <w:sz w:val="20"/>
                <w:szCs w:val="20"/>
              </w:rPr>
            </w:pPr>
            <w:r w:rsidRPr="00C31E3F">
              <w:rPr>
                <w:b/>
                <w:bCs/>
                <w:sz w:val="20"/>
                <w:szCs w:val="20"/>
              </w:rPr>
              <w:t> </w:t>
            </w:r>
          </w:p>
        </w:tc>
        <w:tc>
          <w:tcPr>
            <w:tcW w:w="425" w:type="pct"/>
            <w:tcBorders>
              <w:top w:val="nil"/>
              <w:left w:val="nil"/>
              <w:bottom w:val="single" w:sz="4" w:space="0" w:color="auto"/>
              <w:right w:val="single" w:sz="4" w:space="0" w:color="auto"/>
            </w:tcBorders>
            <w:shd w:val="clear" w:color="auto" w:fill="auto"/>
            <w:vAlign w:val="bottom"/>
            <w:hideMark/>
          </w:tcPr>
          <w:p w:rsidR="0039497E" w:rsidRPr="00C31E3F" w:rsidP="000C08CC" w14:paraId="124568A0" w14:textId="77777777">
            <w:pPr>
              <w:jc w:val="right"/>
              <w:rPr>
                <w:b/>
                <w:bCs/>
                <w:i/>
                <w:iCs/>
                <w:sz w:val="20"/>
                <w:szCs w:val="20"/>
              </w:rPr>
            </w:pPr>
            <w:r w:rsidRPr="00C31E3F">
              <w:rPr>
                <w:b/>
                <w:bCs/>
                <w:i/>
                <w:iCs/>
                <w:sz w:val="20"/>
                <w:szCs w:val="20"/>
              </w:rPr>
              <w:t xml:space="preserve">$0 </w:t>
            </w:r>
          </w:p>
        </w:tc>
      </w:tr>
      <w:tr w14:paraId="5D199473"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16E72C92" w14:textId="77777777">
            <w:pPr>
              <w:rPr>
                <w:b/>
                <w:bCs/>
                <w:sz w:val="20"/>
                <w:szCs w:val="20"/>
              </w:rPr>
            </w:pPr>
            <w:r w:rsidRPr="00C31E3F">
              <w:rPr>
                <w:b/>
                <w:bCs/>
                <w:sz w:val="20"/>
                <w:szCs w:val="20"/>
              </w:rPr>
              <w:t xml:space="preserve">GRAND TOTAL (rounded) </w:t>
            </w:r>
            <w:r w:rsidRPr="00C31E3F">
              <w:rPr>
                <w:b/>
                <w:bCs/>
                <w:sz w:val="20"/>
                <w:szCs w:val="20"/>
                <w:vertAlign w:val="superscript"/>
              </w:rPr>
              <w:t>g</w:t>
            </w:r>
          </w:p>
        </w:tc>
        <w:tc>
          <w:tcPr>
            <w:tcW w:w="3094" w:type="pct"/>
            <w:gridSpan w:val="8"/>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3DA58DD1" w14:textId="77777777">
            <w:pPr>
              <w:jc w:val="center"/>
              <w:rPr>
                <w:b/>
                <w:bCs/>
                <w:sz w:val="20"/>
                <w:szCs w:val="20"/>
              </w:rPr>
            </w:pPr>
            <w:r w:rsidRPr="00C31E3F">
              <w:rPr>
                <w:b/>
                <w:bCs/>
                <w:sz w:val="20"/>
                <w:szCs w:val="20"/>
              </w:rPr>
              <w:t> </w:t>
            </w:r>
          </w:p>
        </w:tc>
        <w:tc>
          <w:tcPr>
            <w:tcW w:w="425" w:type="pct"/>
            <w:tcBorders>
              <w:top w:val="nil"/>
              <w:left w:val="nil"/>
              <w:bottom w:val="single" w:sz="4" w:space="0" w:color="auto"/>
              <w:right w:val="single" w:sz="4" w:space="0" w:color="auto"/>
            </w:tcBorders>
            <w:shd w:val="clear" w:color="auto" w:fill="auto"/>
            <w:vAlign w:val="bottom"/>
            <w:hideMark/>
          </w:tcPr>
          <w:p w:rsidR="0039497E" w:rsidRPr="00C31E3F" w:rsidP="000C08CC" w14:paraId="133E6E49" w14:textId="77777777">
            <w:pPr>
              <w:jc w:val="right"/>
              <w:rPr>
                <w:b/>
                <w:bCs/>
                <w:i/>
                <w:iCs/>
                <w:sz w:val="20"/>
                <w:szCs w:val="20"/>
              </w:rPr>
            </w:pPr>
            <w:r w:rsidRPr="00C31E3F">
              <w:rPr>
                <w:b/>
                <w:bCs/>
                <w:i/>
                <w:iCs/>
                <w:sz w:val="20"/>
                <w:szCs w:val="20"/>
              </w:rPr>
              <w:t xml:space="preserve">$2,190,000 </w:t>
            </w:r>
          </w:p>
        </w:tc>
      </w:tr>
      <w:tr w14:paraId="163E10BB" w14:textId="77777777" w:rsidTr="000C08CC">
        <w:tblPrEx>
          <w:tblW w:w="5000" w:type="pct"/>
          <w:tblLook w:val="04A0"/>
        </w:tblPrEx>
        <w:trPr>
          <w:trHeight w:val="276"/>
        </w:trPr>
        <w:tc>
          <w:tcPr>
            <w:tcW w:w="1481" w:type="pct"/>
            <w:tcBorders>
              <w:top w:val="nil"/>
              <w:left w:val="nil"/>
              <w:bottom w:val="nil"/>
              <w:right w:val="nil"/>
            </w:tcBorders>
            <w:shd w:val="clear" w:color="auto" w:fill="auto"/>
            <w:noWrap/>
            <w:vAlign w:val="bottom"/>
            <w:hideMark/>
          </w:tcPr>
          <w:p w:rsidR="0039497E" w:rsidRPr="00C31E3F" w:rsidP="000C08CC" w14:paraId="3960E6E1" w14:textId="77777777">
            <w:pPr>
              <w:jc w:val="right"/>
              <w:rPr>
                <w:b/>
                <w:bCs/>
                <w:i/>
                <w:iCs/>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55861D2E"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151A4694" w14:textId="77777777">
            <w:pPr>
              <w:rPr>
                <w:sz w:val="20"/>
                <w:szCs w:val="20"/>
              </w:rPr>
            </w:pPr>
          </w:p>
        </w:tc>
        <w:tc>
          <w:tcPr>
            <w:tcW w:w="412" w:type="pct"/>
            <w:tcBorders>
              <w:top w:val="nil"/>
              <w:left w:val="nil"/>
              <w:bottom w:val="nil"/>
              <w:right w:val="nil"/>
            </w:tcBorders>
            <w:shd w:val="clear" w:color="auto" w:fill="auto"/>
            <w:noWrap/>
            <w:vAlign w:val="bottom"/>
            <w:hideMark/>
          </w:tcPr>
          <w:p w:rsidR="0039497E" w:rsidRPr="00C31E3F" w:rsidP="000C08CC" w14:paraId="2C125F94"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57E97300" w14:textId="77777777">
            <w:pPr>
              <w:rPr>
                <w:sz w:val="20"/>
                <w:szCs w:val="20"/>
              </w:rPr>
            </w:pPr>
          </w:p>
        </w:tc>
        <w:tc>
          <w:tcPr>
            <w:tcW w:w="424" w:type="pct"/>
            <w:tcBorders>
              <w:top w:val="nil"/>
              <w:left w:val="nil"/>
              <w:bottom w:val="nil"/>
              <w:right w:val="nil"/>
            </w:tcBorders>
            <w:shd w:val="clear" w:color="auto" w:fill="auto"/>
            <w:noWrap/>
            <w:vAlign w:val="bottom"/>
            <w:hideMark/>
          </w:tcPr>
          <w:p w:rsidR="0039497E" w:rsidRPr="00C31E3F" w:rsidP="000C08CC" w14:paraId="31EDB6B8"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07878405"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74E058C1" w14:textId="77777777">
            <w:pPr>
              <w:rPr>
                <w:sz w:val="20"/>
                <w:szCs w:val="20"/>
              </w:rPr>
            </w:pPr>
          </w:p>
        </w:tc>
        <w:tc>
          <w:tcPr>
            <w:tcW w:w="423" w:type="pct"/>
            <w:tcBorders>
              <w:top w:val="nil"/>
              <w:left w:val="nil"/>
              <w:bottom w:val="nil"/>
              <w:right w:val="nil"/>
            </w:tcBorders>
            <w:shd w:val="clear" w:color="auto" w:fill="auto"/>
            <w:noWrap/>
            <w:vAlign w:val="bottom"/>
            <w:hideMark/>
          </w:tcPr>
          <w:p w:rsidR="0039497E" w:rsidRPr="00C31E3F" w:rsidP="000C08CC" w14:paraId="5DB9D301" w14:textId="77777777">
            <w:pPr>
              <w:rPr>
                <w:sz w:val="20"/>
                <w:szCs w:val="20"/>
              </w:rPr>
            </w:pPr>
          </w:p>
        </w:tc>
        <w:tc>
          <w:tcPr>
            <w:tcW w:w="425" w:type="pct"/>
            <w:tcBorders>
              <w:top w:val="nil"/>
              <w:left w:val="nil"/>
              <w:bottom w:val="nil"/>
              <w:right w:val="nil"/>
            </w:tcBorders>
            <w:shd w:val="clear" w:color="auto" w:fill="auto"/>
            <w:noWrap/>
            <w:vAlign w:val="bottom"/>
            <w:hideMark/>
          </w:tcPr>
          <w:p w:rsidR="0039497E" w:rsidRPr="00C31E3F" w:rsidP="000C08CC" w14:paraId="3CE0C6F9" w14:textId="77777777">
            <w:pPr>
              <w:jc w:val="right"/>
              <w:rPr>
                <w:sz w:val="20"/>
                <w:szCs w:val="20"/>
              </w:rPr>
            </w:pPr>
          </w:p>
        </w:tc>
      </w:tr>
      <w:tr w14:paraId="42912846" w14:textId="77777777" w:rsidTr="000C08CC">
        <w:tblPrEx>
          <w:tblW w:w="5000" w:type="pct"/>
          <w:tblLook w:val="04A0"/>
        </w:tblPrEx>
        <w:trPr>
          <w:trHeight w:val="276"/>
        </w:trPr>
        <w:tc>
          <w:tcPr>
            <w:tcW w:w="1481" w:type="pct"/>
            <w:tcBorders>
              <w:top w:val="nil"/>
              <w:left w:val="nil"/>
              <w:bottom w:val="nil"/>
              <w:right w:val="nil"/>
            </w:tcBorders>
            <w:shd w:val="clear" w:color="auto" w:fill="auto"/>
            <w:noWrap/>
            <w:vAlign w:val="bottom"/>
            <w:hideMark/>
          </w:tcPr>
          <w:p w:rsidR="0039497E" w:rsidRPr="00C31E3F" w:rsidP="000C08CC" w14:paraId="66149A57" w14:textId="77777777">
            <w:pPr>
              <w:rPr>
                <w:b/>
                <w:bCs/>
                <w:color w:val="000000"/>
                <w:sz w:val="20"/>
                <w:szCs w:val="20"/>
              </w:rPr>
            </w:pPr>
            <w:r w:rsidRPr="00C31E3F">
              <w:rPr>
                <w:b/>
                <w:bCs/>
                <w:color w:val="000000"/>
                <w:sz w:val="20"/>
                <w:szCs w:val="20"/>
              </w:rPr>
              <w:t>Assumptions:</w:t>
            </w:r>
          </w:p>
        </w:tc>
        <w:tc>
          <w:tcPr>
            <w:tcW w:w="367" w:type="pct"/>
            <w:tcBorders>
              <w:top w:val="nil"/>
              <w:left w:val="nil"/>
              <w:bottom w:val="nil"/>
              <w:right w:val="nil"/>
            </w:tcBorders>
            <w:shd w:val="clear" w:color="auto" w:fill="auto"/>
            <w:noWrap/>
            <w:vAlign w:val="bottom"/>
            <w:hideMark/>
          </w:tcPr>
          <w:p w:rsidR="0039497E" w:rsidRPr="00C31E3F" w:rsidP="000C08CC" w14:paraId="3F71F597" w14:textId="77777777">
            <w:pPr>
              <w:rPr>
                <w:b/>
                <w:bCs/>
                <w:color w:val="000000"/>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11E7709C" w14:textId="77777777">
            <w:pPr>
              <w:rPr>
                <w:sz w:val="20"/>
                <w:szCs w:val="20"/>
              </w:rPr>
            </w:pPr>
          </w:p>
        </w:tc>
        <w:tc>
          <w:tcPr>
            <w:tcW w:w="412" w:type="pct"/>
            <w:tcBorders>
              <w:top w:val="nil"/>
              <w:left w:val="nil"/>
              <w:bottom w:val="nil"/>
              <w:right w:val="nil"/>
            </w:tcBorders>
            <w:shd w:val="clear" w:color="auto" w:fill="auto"/>
            <w:noWrap/>
            <w:vAlign w:val="bottom"/>
            <w:hideMark/>
          </w:tcPr>
          <w:p w:rsidR="0039497E" w:rsidRPr="00C31E3F" w:rsidP="000C08CC" w14:paraId="76D7C079"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4DFFDDD0" w14:textId="77777777">
            <w:pPr>
              <w:rPr>
                <w:sz w:val="20"/>
                <w:szCs w:val="20"/>
              </w:rPr>
            </w:pPr>
          </w:p>
        </w:tc>
        <w:tc>
          <w:tcPr>
            <w:tcW w:w="424" w:type="pct"/>
            <w:tcBorders>
              <w:top w:val="nil"/>
              <w:left w:val="nil"/>
              <w:bottom w:val="nil"/>
              <w:right w:val="nil"/>
            </w:tcBorders>
            <w:shd w:val="clear" w:color="auto" w:fill="auto"/>
            <w:noWrap/>
            <w:vAlign w:val="bottom"/>
            <w:hideMark/>
          </w:tcPr>
          <w:p w:rsidR="0039497E" w:rsidRPr="00C31E3F" w:rsidP="000C08CC" w14:paraId="6BED5824"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0B5B4648"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47A3EC88" w14:textId="77777777">
            <w:pPr>
              <w:rPr>
                <w:sz w:val="20"/>
                <w:szCs w:val="20"/>
              </w:rPr>
            </w:pPr>
          </w:p>
        </w:tc>
        <w:tc>
          <w:tcPr>
            <w:tcW w:w="423" w:type="pct"/>
            <w:tcBorders>
              <w:top w:val="nil"/>
              <w:left w:val="nil"/>
              <w:bottom w:val="nil"/>
              <w:right w:val="nil"/>
            </w:tcBorders>
            <w:shd w:val="clear" w:color="auto" w:fill="auto"/>
            <w:noWrap/>
            <w:vAlign w:val="bottom"/>
            <w:hideMark/>
          </w:tcPr>
          <w:p w:rsidR="0039497E" w:rsidRPr="00C31E3F" w:rsidP="000C08CC" w14:paraId="76B5F5F8" w14:textId="77777777">
            <w:pPr>
              <w:rPr>
                <w:sz w:val="20"/>
                <w:szCs w:val="20"/>
              </w:rPr>
            </w:pPr>
          </w:p>
        </w:tc>
        <w:tc>
          <w:tcPr>
            <w:tcW w:w="425" w:type="pct"/>
            <w:tcBorders>
              <w:top w:val="nil"/>
              <w:left w:val="nil"/>
              <w:bottom w:val="nil"/>
              <w:right w:val="nil"/>
            </w:tcBorders>
            <w:shd w:val="clear" w:color="auto" w:fill="auto"/>
            <w:noWrap/>
            <w:vAlign w:val="bottom"/>
            <w:hideMark/>
          </w:tcPr>
          <w:p w:rsidR="0039497E" w:rsidRPr="00C31E3F" w:rsidP="000C08CC" w14:paraId="3DAA1FC2" w14:textId="77777777">
            <w:pPr>
              <w:jc w:val="right"/>
              <w:rPr>
                <w:sz w:val="20"/>
                <w:szCs w:val="20"/>
              </w:rPr>
            </w:pPr>
          </w:p>
        </w:tc>
      </w:tr>
      <w:tr w14:paraId="25B7FD20" w14:textId="77777777" w:rsidTr="000C08CC">
        <w:tblPrEx>
          <w:tblW w:w="5000" w:type="pct"/>
          <w:tblLook w:val="04A0"/>
        </w:tblPrEx>
        <w:trPr>
          <w:trHeight w:val="342"/>
        </w:trPr>
        <w:tc>
          <w:tcPr>
            <w:tcW w:w="4575" w:type="pct"/>
            <w:gridSpan w:val="9"/>
            <w:tcBorders>
              <w:top w:val="nil"/>
              <w:left w:val="nil"/>
              <w:bottom w:val="nil"/>
              <w:right w:val="nil"/>
            </w:tcBorders>
            <w:shd w:val="clear" w:color="auto" w:fill="auto"/>
            <w:hideMark/>
          </w:tcPr>
          <w:p w:rsidR="0039497E" w:rsidRPr="00C31E3F" w:rsidP="000C08CC" w14:paraId="55C2D441" w14:textId="77777777">
            <w:pPr>
              <w:rPr>
                <w:sz w:val="20"/>
                <w:szCs w:val="20"/>
              </w:rPr>
            </w:pPr>
            <w:r w:rsidRPr="00C31E3F">
              <w:rPr>
                <w:sz w:val="20"/>
                <w:szCs w:val="20"/>
                <w:vertAlign w:val="superscript"/>
              </w:rPr>
              <w:t>a</w:t>
            </w:r>
            <w:r>
              <w:rPr>
                <w:sz w:val="20"/>
                <w:szCs w:val="20"/>
              </w:rPr>
              <w:t xml:space="preserve"> </w:t>
            </w:r>
            <w:r w:rsidRPr="00C31E3F">
              <w:rPr>
                <w:sz w:val="20"/>
                <w:szCs w:val="20"/>
              </w:rPr>
              <w:t>All hours are per PSEU unless otherwise noted.</w:t>
            </w:r>
          </w:p>
        </w:tc>
        <w:tc>
          <w:tcPr>
            <w:tcW w:w="425" w:type="pct"/>
            <w:tcBorders>
              <w:top w:val="nil"/>
              <w:left w:val="nil"/>
              <w:bottom w:val="nil"/>
              <w:right w:val="nil"/>
            </w:tcBorders>
            <w:shd w:val="clear" w:color="auto" w:fill="auto"/>
            <w:hideMark/>
          </w:tcPr>
          <w:p w:rsidR="0039497E" w:rsidRPr="00C31E3F" w:rsidP="000C08CC" w14:paraId="2E559EC0" w14:textId="77777777">
            <w:pPr>
              <w:rPr>
                <w:sz w:val="20"/>
                <w:szCs w:val="20"/>
              </w:rPr>
            </w:pPr>
          </w:p>
        </w:tc>
      </w:tr>
      <w:tr w14:paraId="4105ADCA" w14:textId="77777777" w:rsidTr="000C08CC">
        <w:tblPrEx>
          <w:tblW w:w="5000" w:type="pct"/>
          <w:tblLook w:val="04A0"/>
        </w:tblPrEx>
        <w:trPr>
          <w:trHeight w:val="1188"/>
        </w:trPr>
        <w:tc>
          <w:tcPr>
            <w:tcW w:w="5000" w:type="pct"/>
            <w:gridSpan w:val="10"/>
            <w:tcBorders>
              <w:top w:val="nil"/>
              <w:left w:val="nil"/>
              <w:bottom w:val="nil"/>
              <w:right w:val="nil"/>
            </w:tcBorders>
            <w:shd w:val="clear" w:color="auto" w:fill="auto"/>
            <w:hideMark/>
          </w:tcPr>
          <w:p w:rsidR="0039497E" w:rsidRPr="00C31E3F" w:rsidP="000C08CC" w14:paraId="1E767225" w14:textId="77777777">
            <w:pPr>
              <w:rPr>
                <w:sz w:val="20"/>
                <w:szCs w:val="20"/>
              </w:rPr>
            </w:pPr>
            <w:r w:rsidRPr="00C31E3F">
              <w:rPr>
                <w:sz w:val="20"/>
                <w:szCs w:val="20"/>
                <w:vertAlign w:val="superscript"/>
              </w:rPr>
              <w:t>b</w:t>
            </w:r>
            <w:r>
              <w:rPr>
                <w:sz w:val="20"/>
                <w:szCs w:val="20"/>
              </w:rPr>
              <w:t xml:space="preserve"> </w:t>
            </w:r>
            <w:r w:rsidRPr="00C31E3F">
              <w:rPr>
                <w:sz w:val="20"/>
                <w:szCs w:val="20"/>
              </w:rPr>
              <w:t>This ICR uses the following labor rates: $163.17 ($77.70 + 110%) per hour for Executive, Administrative, and Managerial labor; $130.28 ($62.04 + 110%) per hour for Technical labor, and $65.71 ($31.29 + 110%) per hour for Clerical labor.</w:t>
            </w:r>
            <w:r>
              <w:rPr>
                <w:sz w:val="20"/>
                <w:szCs w:val="20"/>
              </w:rPr>
              <w:t xml:space="preserve"> </w:t>
            </w:r>
            <w:r w:rsidRPr="00C31E3F">
              <w:rPr>
                <w:sz w:val="20"/>
                <w:szCs w:val="20"/>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B527D5F" w14:textId="77777777" w:rsidTr="000C08CC">
        <w:tblPrEx>
          <w:tblW w:w="5000" w:type="pct"/>
          <w:tblLook w:val="04A0"/>
        </w:tblPrEx>
        <w:trPr>
          <w:trHeight w:val="162"/>
        </w:trPr>
        <w:tc>
          <w:tcPr>
            <w:tcW w:w="4575" w:type="pct"/>
            <w:gridSpan w:val="9"/>
            <w:tcBorders>
              <w:top w:val="nil"/>
              <w:left w:val="nil"/>
              <w:bottom w:val="nil"/>
              <w:right w:val="nil"/>
            </w:tcBorders>
            <w:shd w:val="clear" w:color="auto" w:fill="auto"/>
            <w:vAlign w:val="bottom"/>
            <w:hideMark/>
          </w:tcPr>
          <w:p w:rsidR="0039497E" w:rsidRPr="00C31E3F" w:rsidP="000C08CC" w14:paraId="11E8E8A4" w14:textId="77777777">
            <w:pPr>
              <w:rPr>
                <w:sz w:val="20"/>
                <w:szCs w:val="20"/>
              </w:rPr>
            </w:pPr>
            <w:r w:rsidRPr="00C31E3F">
              <w:rPr>
                <w:sz w:val="20"/>
                <w:szCs w:val="20"/>
                <w:vertAlign w:val="superscript"/>
              </w:rPr>
              <w:t>c</w:t>
            </w:r>
            <w:r>
              <w:rPr>
                <w:sz w:val="20"/>
                <w:szCs w:val="20"/>
              </w:rPr>
              <w:t xml:space="preserve"> </w:t>
            </w:r>
            <w:r w:rsidRPr="00C31E3F">
              <w:rPr>
                <w:sz w:val="20"/>
                <w:szCs w:val="20"/>
              </w:rPr>
              <w:t>See section 4(b)(ii) for a description of these activities.</w:t>
            </w:r>
          </w:p>
        </w:tc>
        <w:tc>
          <w:tcPr>
            <w:tcW w:w="425" w:type="pct"/>
            <w:tcBorders>
              <w:top w:val="nil"/>
              <w:left w:val="nil"/>
              <w:bottom w:val="nil"/>
              <w:right w:val="nil"/>
            </w:tcBorders>
            <w:shd w:val="clear" w:color="auto" w:fill="auto"/>
            <w:vAlign w:val="bottom"/>
            <w:hideMark/>
          </w:tcPr>
          <w:p w:rsidR="0039497E" w:rsidRPr="00C31E3F" w:rsidP="000C08CC" w14:paraId="2F318F48" w14:textId="77777777">
            <w:pPr>
              <w:rPr>
                <w:sz w:val="20"/>
                <w:szCs w:val="20"/>
              </w:rPr>
            </w:pPr>
          </w:p>
        </w:tc>
      </w:tr>
      <w:tr w14:paraId="64FB413C" w14:textId="77777777" w:rsidTr="000C08CC">
        <w:tblPrEx>
          <w:tblW w:w="5000" w:type="pct"/>
          <w:tblLook w:val="04A0"/>
        </w:tblPrEx>
        <w:trPr>
          <w:trHeight w:val="207"/>
        </w:trPr>
        <w:tc>
          <w:tcPr>
            <w:tcW w:w="4575" w:type="pct"/>
            <w:gridSpan w:val="9"/>
            <w:tcBorders>
              <w:top w:val="nil"/>
              <w:left w:val="nil"/>
              <w:bottom w:val="nil"/>
              <w:right w:val="nil"/>
            </w:tcBorders>
            <w:shd w:val="clear" w:color="auto" w:fill="auto"/>
            <w:vAlign w:val="bottom"/>
            <w:hideMark/>
          </w:tcPr>
          <w:p w:rsidR="0039497E" w:rsidRPr="00C31E3F" w:rsidP="000C08CC" w14:paraId="46A0728A" w14:textId="77777777">
            <w:pPr>
              <w:rPr>
                <w:sz w:val="20"/>
                <w:szCs w:val="20"/>
              </w:rPr>
            </w:pPr>
            <w:r w:rsidRPr="00C31E3F">
              <w:rPr>
                <w:sz w:val="20"/>
                <w:szCs w:val="20"/>
                <w:vertAlign w:val="superscript"/>
              </w:rPr>
              <w:t>d</w:t>
            </w:r>
            <w:r>
              <w:rPr>
                <w:sz w:val="20"/>
                <w:szCs w:val="20"/>
                <w:vertAlign w:val="superscript"/>
              </w:rPr>
              <w:t xml:space="preserve"> </w:t>
            </w:r>
            <w:r w:rsidRPr="00C31E3F">
              <w:rPr>
                <w:sz w:val="20"/>
                <w:szCs w:val="20"/>
              </w:rPr>
              <w:t>Hours are per facility, not per PSEU; number of respondents are facilities, not PSEUs</w:t>
            </w:r>
          </w:p>
        </w:tc>
        <w:tc>
          <w:tcPr>
            <w:tcW w:w="425" w:type="pct"/>
            <w:tcBorders>
              <w:top w:val="nil"/>
              <w:left w:val="nil"/>
              <w:bottom w:val="nil"/>
              <w:right w:val="nil"/>
            </w:tcBorders>
            <w:shd w:val="clear" w:color="auto" w:fill="auto"/>
            <w:vAlign w:val="bottom"/>
            <w:hideMark/>
          </w:tcPr>
          <w:p w:rsidR="0039497E" w:rsidRPr="00C31E3F" w:rsidP="000C08CC" w14:paraId="1456E77C" w14:textId="77777777">
            <w:pPr>
              <w:rPr>
                <w:sz w:val="20"/>
                <w:szCs w:val="20"/>
              </w:rPr>
            </w:pPr>
          </w:p>
        </w:tc>
      </w:tr>
      <w:tr w14:paraId="2A554253" w14:textId="77777777" w:rsidTr="000C08CC">
        <w:tblPrEx>
          <w:tblW w:w="5000" w:type="pct"/>
          <w:tblLook w:val="04A0"/>
        </w:tblPrEx>
        <w:trPr>
          <w:trHeight w:val="252"/>
        </w:trPr>
        <w:tc>
          <w:tcPr>
            <w:tcW w:w="4575" w:type="pct"/>
            <w:gridSpan w:val="9"/>
            <w:tcBorders>
              <w:top w:val="nil"/>
              <w:left w:val="nil"/>
              <w:bottom w:val="nil"/>
              <w:right w:val="nil"/>
            </w:tcBorders>
            <w:shd w:val="clear" w:color="auto" w:fill="auto"/>
            <w:vAlign w:val="bottom"/>
            <w:hideMark/>
          </w:tcPr>
          <w:p w:rsidR="0039497E" w:rsidRPr="00C31E3F" w:rsidP="000C08CC" w14:paraId="160275B0" w14:textId="77777777">
            <w:pPr>
              <w:rPr>
                <w:sz w:val="20"/>
                <w:szCs w:val="20"/>
              </w:rPr>
            </w:pPr>
            <w:r w:rsidRPr="00C31E3F">
              <w:rPr>
                <w:sz w:val="20"/>
                <w:szCs w:val="20"/>
                <w:vertAlign w:val="superscript"/>
              </w:rPr>
              <w:t>e</w:t>
            </w:r>
            <w:r>
              <w:rPr>
                <w:sz w:val="20"/>
                <w:szCs w:val="20"/>
              </w:rPr>
              <w:t xml:space="preserve"> </w:t>
            </w:r>
            <w:r w:rsidRPr="00C31E3F">
              <w:rPr>
                <w:sz w:val="20"/>
                <w:szCs w:val="20"/>
              </w:rPr>
              <w:t>One-time activity.</w:t>
            </w:r>
          </w:p>
        </w:tc>
        <w:tc>
          <w:tcPr>
            <w:tcW w:w="425" w:type="pct"/>
            <w:tcBorders>
              <w:top w:val="nil"/>
              <w:left w:val="nil"/>
              <w:bottom w:val="nil"/>
              <w:right w:val="nil"/>
            </w:tcBorders>
            <w:shd w:val="clear" w:color="auto" w:fill="auto"/>
            <w:vAlign w:val="bottom"/>
            <w:hideMark/>
          </w:tcPr>
          <w:p w:rsidR="0039497E" w:rsidRPr="00C31E3F" w:rsidP="000C08CC" w14:paraId="7769A113" w14:textId="77777777">
            <w:pPr>
              <w:rPr>
                <w:sz w:val="20"/>
                <w:szCs w:val="20"/>
              </w:rPr>
            </w:pPr>
          </w:p>
        </w:tc>
      </w:tr>
      <w:tr w14:paraId="18F1B67E" w14:textId="77777777" w:rsidTr="000C08CC">
        <w:tblPrEx>
          <w:tblW w:w="5000" w:type="pct"/>
          <w:tblLook w:val="04A0"/>
        </w:tblPrEx>
        <w:trPr>
          <w:trHeight w:val="270"/>
        </w:trPr>
        <w:tc>
          <w:tcPr>
            <w:tcW w:w="4575" w:type="pct"/>
            <w:gridSpan w:val="9"/>
            <w:tcBorders>
              <w:top w:val="nil"/>
              <w:left w:val="nil"/>
              <w:bottom w:val="nil"/>
              <w:right w:val="nil"/>
            </w:tcBorders>
            <w:shd w:val="clear" w:color="auto" w:fill="auto"/>
            <w:vAlign w:val="bottom"/>
            <w:hideMark/>
          </w:tcPr>
          <w:p w:rsidR="0039497E" w:rsidRPr="00C31E3F" w:rsidP="000C08CC" w14:paraId="23DE3DB3" w14:textId="77777777">
            <w:pPr>
              <w:rPr>
                <w:sz w:val="20"/>
                <w:szCs w:val="20"/>
              </w:rPr>
            </w:pPr>
            <w:r w:rsidRPr="00C31E3F">
              <w:rPr>
                <w:sz w:val="20"/>
                <w:szCs w:val="20"/>
                <w:vertAlign w:val="superscript"/>
              </w:rPr>
              <w:t>f</w:t>
            </w:r>
            <w:r>
              <w:rPr>
                <w:sz w:val="20"/>
                <w:szCs w:val="20"/>
              </w:rPr>
              <w:t xml:space="preserve"> </w:t>
            </w:r>
            <w:r w:rsidRPr="00C31E3F">
              <w:rPr>
                <w:sz w:val="20"/>
                <w:szCs w:val="20"/>
              </w:rPr>
              <w:t>3 hours per facility converted to impact per PSEU by dividing by the average number of PSEUs per facility with at least one PSEU (4.27).</w:t>
            </w:r>
          </w:p>
        </w:tc>
        <w:tc>
          <w:tcPr>
            <w:tcW w:w="425" w:type="pct"/>
            <w:tcBorders>
              <w:top w:val="nil"/>
              <w:left w:val="nil"/>
              <w:bottom w:val="nil"/>
              <w:right w:val="nil"/>
            </w:tcBorders>
            <w:shd w:val="clear" w:color="auto" w:fill="auto"/>
            <w:vAlign w:val="bottom"/>
            <w:hideMark/>
          </w:tcPr>
          <w:p w:rsidR="0039497E" w:rsidRPr="00C31E3F" w:rsidP="000C08CC" w14:paraId="1FF1C3D0" w14:textId="77777777">
            <w:pPr>
              <w:rPr>
                <w:sz w:val="20"/>
                <w:szCs w:val="20"/>
              </w:rPr>
            </w:pPr>
          </w:p>
        </w:tc>
      </w:tr>
      <w:tr w14:paraId="3F257B03" w14:textId="77777777" w:rsidTr="000C08CC">
        <w:tblPrEx>
          <w:tblW w:w="5000" w:type="pct"/>
          <w:tblLook w:val="04A0"/>
        </w:tblPrEx>
        <w:trPr>
          <w:trHeight w:val="444"/>
        </w:trPr>
        <w:tc>
          <w:tcPr>
            <w:tcW w:w="4575" w:type="pct"/>
            <w:gridSpan w:val="9"/>
            <w:tcBorders>
              <w:top w:val="nil"/>
              <w:left w:val="nil"/>
              <w:bottom w:val="nil"/>
              <w:right w:val="nil"/>
            </w:tcBorders>
            <w:shd w:val="clear" w:color="auto" w:fill="auto"/>
            <w:vAlign w:val="center"/>
            <w:hideMark/>
          </w:tcPr>
          <w:p w:rsidR="0039497E" w:rsidRPr="00C31E3F" w:rsidP="000C08CC" w14:paraId="0BF2AE88" w14:textId="77777777">
            <w:pPr>
              <w:rPr>
                <w:sz w:val="20"/>
                <w:szCs w:val="20"/>
              </w:rPr>
            </w:pPr>
            <w:r w:rsidRPr="00C31E3F">
              <w:rPr>
                <w:sz w:val="20"/>
                <w:szCs w:val="20"/>
                <w:vertAlign w:val="superscript"/>
              </w:rPr>
              <w:t>g</w:t>
            </w:r>
            <w:r w:rsidRPr="00C31E3F">
              <w:rPr>
                <w:sz w:val="20"/>
                <w:szCs w:val="20"/>
              </w:rPr>
              <w:t xml:space="preserve"> Totals have been rounded to 3 significant figures. Figures may not add exactly due to rounding.</w:t>
            </w:r>
          </w:p>
        </w:tc>
        <w:tc>
          <w:tcPr>
            <w:tcW w:w="425" w:type="pct"/>
            <w:tcBorders>
              <w:top w:val="nil"/>
              <w:left w:val="nil"/>
              <w:bottom w:val="nil"/>
              <w:right w:val="nil"/>
            </w:tcBorders>
            <w:shd w:val="clear" w:color="auto" w:fill="auto"/>
            <w:vAlign w:val="bottom"/>
            <w:hideMark/>
          </w:tcPr>
          <w:p w:rsidR="0039497E" w:rsidRPr="00C31E3F" w:rsidP="000C08CC" w14:paraId="781E5811" w14:textId="77777777">
            <w:pPr>
              <w:rPr>
                <w:sz w:val="20"/>
                <w:szCs w:val="20"/>
              </w:rPr>
            </w:pPr>
          </w:p>
        </w:tc>
      </w:tr>
    </w:tbl>
    <w:p w:rsidR="0039497E" w:rsidRPr="002D57B3" w:rsidP="0039497E" w14:paraId="1BECFF3A" w14:textId="77777777">
      <w:pPr>
        <w:rPr>
          <w:b/>
          <w:bCs/>
        </w:rPr>
      </w:pPr>
      <w:r w:rsidRPr="002D57B3">
        <w:rPr>
          <w:b/>
          <w:bCs/>
        </w:rPr>
        <w:t>Table 6.2a: Total Permitting Authority Burden and Labor Costs for All "Large" and "Other" Sources - All Pollutants, 2023-24</w:t>
      </w:r>
    </w:p>
    <w:tbl>
      <w:tblPr>
        <w:tblW w:w="11000" w:type="dxa"/>
        <w:tblLook w:val="04A0"/>
      </w:tblPr>
      <w:tblGrid>
        <w:gridCol w:w="4011"/>
        <w:gridCol w:w="1260"/>
        <w:gridCol w:w="1260"/>
        <w:gridCol w:w="1260"/>
        <w:gridCol w:w="1309"/>
        <w:gridCol w:w="1900"/>
      </w:tblGrid>
      <w:tr w14:paraId="4871D9EA" w14:textId="77777777" w:rsidTr="000C08CC">
        <w:tblPrEx>
          <w:tblW w:w="11000" w:type="dxa"/>
          <w:tblLook w:val="04A0"/>
        </w:tblPrEx>
        <w:trPr>
          <w:trHeight w:val="1104"/>
        </w:trPr>
        <w:tc>
          <w:tcPr>
            <w:tcW w:w="4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97E" w:rsidRPr="00C31E3F" w:rsidP="000C08CC" w14:paraId="6E082571" w14:textId="77777777">
            <w:pPr>
              <w:jc w:val="center"/>
              <w:rPr>
                <w:sz w:val="20"/>
                <w:szCs w:val="20"/>
              </w:rPr>
            </w:pPr>
            <w:r w:rsidRPr="00C31E3F">
              <w:rPr>
                <w:sz w:val="20"/>
                <w:szCs w:val="20"/>
              </w:rPr>
              <w:t xml:space="preserve">Burden item </w:t>
            </w:r>
            <w:r w:rsidRPr="00C31E3F">
              <w:rPr>
                <w:sz w:val="20"/>
                <w:szCs w:val="20"/>
                <w:vertAlign w:val="superscript"/>
              </w:rPr>
              <w:t>a</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499143EE" w14:textId="77777777">
            <w:pPr>
              <w:jc w:val="center"/>
              <w:rPr>
                <w:sz w:val="20"/>
                <w:szCs w:val="20"/>
              </w:rPr>
            </w:pPr>
            <w:r w:rsidRPr="00C31E3F">
              <w:rPr>
                <w:sz w:val="20"/>
                <w:szCs w:val="20"/>
              </w:rPr>
              <w:t>(A)</w:t>
            </w:r>
            <w:r w:rsidRPr="00C31E3F">
              <w:rPr>
                <w:sz w:val="20"/>
                <w:szCs w:val="20"/>
              </w:rPr>
              <w:br/>
              <w:t xml:space="preserve">Technical hours per occurrence </w:t>
            </w:r>
            <w:r w:rsidRPr="00C31E3F">
              <w:rPr>
                <w:sz w:val="20"/>
                <w:szCs w:val="20"/>
                <w:vertAlign w:val="superscript"/>
              </w:rPr>
              <w:t>b</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64E7E03E" w14:textId="77777777">
            <w:pPr>
              <w:jc w:val="center"/>
              <w:rPr>
                <w:sz w:val="20"/>
                <w:szCs w:val="20"/>
              </w:rPr>
            </w:pPr>
            <w:r w:rsidRPr="00C31E3F">
              <w:rPr>
                <w:sz w:val="20"/>
                <w:szCs w:val="20"/>
              </w:rPr>
              <w:t xml:space="preserve">(B) </w:t>
            </w:r>
            <w:r w:rsidRPr="00C31E3F">
              <w:rPr>
                <w:sz w:val="20"/>
                <w:szCs w:val="20"/>
              </w:rPr>
              <w:br/>
              <w:t>Occurrences per year</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2E92A21C" w14:textId="77777777">
            <w:pPr>
              <w:jc w:val="center"/>
              <w:rPr>
                <w:sz w:val="20"/>
                <w:szCs w:val="20"/>
              </w:rPr>
            </w:pPr>
            <w:r w:rsidRPr="00C31E3F">
              <w:rPr>
                <w:sz w:val="20"/>
                <w:szCs w:val="20"/>
              </w:rPr>
              <w:t xml:space="preserve">(C) </w:t>
            </w:r>
            <w:r w:rsidRPr="00C31E3F">
              <w:rPr>
                <w:sz w:val="20"/>
                <w:szCs w:val="20"/>
              </w:rPr>
              <w:br/>
              <w:t>Technical hours per year (AxB)</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4A61E21D" w14:textId="77777777">
            <w:pPr>
              <w:jc w:val="center"/>
              <w:rPr>
                <w:sz w:val="20"/>
                <w:szCs w:val="20"/>
              </w:rPr>
            </w:pPr>
            <w:r w:rsidRPr="00C31E3F">
              <w:rPr>
                <w:sz w:val="20"/>
                <w:szCs w:val="20"/>
              </w:rPr>
              <w:t xml:space="preserve">(D) </w:t>
            </w:r>
            <w:r w:rsidRPr="00C31E3F">
              <w:rPr>
                <w:sz w:val="20"/>
                <w:szCs w:val="20"/>
              </w:rPr>
              <w:br/>
              <w:t>Management hours per year (Cx0.05)</w:t>
            </w:r>
          </w:p>
        </w:tc>
        <w:tc>
          <w:tcPr>
            <w:tcW w:w="190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282C597D" w14:textId="77777777">
            <w:pPr>
              <w:jc w:val="center"/>
              <w:rPr>
                <w:sz w:val="20"/>
                <w:szCs w:val="20"/>
              </w:rPr>
            </w:pPr>
            <w:r w:rsidRPr="00C31E3F">
              <w:rPr>
                <w:sz w:val="20"/>
                <w:szCs w:val="20"/>
              </w:rPr>
              <w:t xml:space="preserve">(E) </w:t>
            </w:r>
            <w:r w:rsidRPr="00C31E3F">
              <w:rPr>
                <w:sz w:val="20"/>
                <w:szCs w:val="20"/>
              </w:rPr>
              <w:br/>
              <w:t xml:space="preserve">Total cost per year </w:t>
            </w:r>
            <w:r w:rsidRPr="00C31E3F">
              <w:rPr>
                <w:sz w:val="20"/>
                <w:szCs w:val="20"/>
                <w:vertAlign w:val="superscript"/>
              </w:rPr>
              <w:t>c</w:t>
            </w:r>
          </w:p>
        </w:tc>
      </w:tr>
      <w:tr w14:paraId="7143FC1E"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hideMark/>
          </w:tcPr>
          <w:p w:rsidR="0039497E" w:rsidRPr="00C31E3F" w:rsidP="000C08CC" w14:paraId="52C1C71D" w14:textId="77777777">
            <w:pPr>
              <w:rPr>
                <w:sz w:val="20"/>
                <w:szCs w:val="20"/>
              </w:rPr>
            </w:pPr>
            <w:r w:rsidRPr="00C31E3F">
              <w:rPr>
                <w:sz w:val="20"/>
                <w:szCs w:val="20"/>
              </w:rPr>
              <w:t>1. CAM Activities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F008CF5"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32C82A7"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D9CE6A8"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7499864" w14:textId="77777777">
            <w:pPr>
              <w:jc w:val="center"/>
              <w:rPr>
                <w:sz w:val="20"/>
                <w:szCs w:val="20"/>
              </w:rPr>
            </w:pPr>
            <w:r w:rsidRPr="00C31E3F">
              <w:rPr>
                <w:sz w:val="20"/>
                <w:szCs w:val="20"/>
              </w:rPr>
              <w:t>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0D68319D" w14:textId="77777777">
            <w:pPr>
              <w:jc w:val="right"/>
              <w:rPr>
                <w:sz w:val="20"/>
                <w:szCs w:val="20"/>
              </w:rPr>
            </w:pPr>
            <w:r w:rsidRPr="00C31E3F">
              <w:rPr>
                <w:sz w:val="20"/>
                <w:szCs w:val="20"/>
              </w:rPr>
              <w:t> </w:t>
            </w:r>
          </w:p>
        </w:tc>
      </w:tr>
      <w:tr w14:paraId="5ED411A7" w14:textId="77777777" w:rsidTr="000C08CC">
        <w:tblPrEx>
          <w:tblW w:w="11000" w:type="dxa"/>
          <w:tblLook w:val="04A0"/>
        </w:tblPrEx>
        <w:trPr>
          <w:trHeight w:val="312"/>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82C11EB" w14:textId="77777777">
            <w:pPr>
              <w:ind w:firstLine="200" w:firstLineChars="100"/>
              <w:rPr>
                <w:color w:val="000000"/>
                <w:sz w:val="20"/>
                <w:szCs w:val="20"/>
              </w:rPr>
            </w:pPr>
            <w:r w:rsidRPr="00C31E3F">
              <w:rPr>
                <w:color w:val="000000"/>
                <w:sz w:val="20"/>
                <w:szCs w:val="20"/>
              </w:rPr>
              <w:t xml:space="preserve">A. Rule familiarization </w:t>
            </w:r>
            <w:r w:rsidRPr="00C31E3F">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DB84A80" w14:textId="77777777">
            <w:pPr>
              <w:jc w:val="center"/>
              <w:rPr>
                <w:sz w:val="20"/>
                <w:szCs w:val="20"/>
              </w:rPr>
            </w:pPr>
            <w:r w:rsidRPr="00C31E3F">
              <w:rPr>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20EDA15" w14:textId="77777777">
            <w:pPr>
              <w:jc w:val="center"/>
              <w:rPr>
                <w:sz w:val="20"/>
                <w:szCs w:val="20"/>
              </w:rPr>
            </w:pPr>
            <w:r w:rsidRPr="00C31E3F">
              <w:rPr>
                <w:sz w:val="20"/>
                <w:szCs w:val="20"/>
              </w:rPr>
              <w:t>117</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ED11957" w14:textId="77777777">
            <w:pPr>
              <w:jc w:val="center"/>
              <w:rPr>
                <w:sz w:val="20"/>
                <w:szCs w:val="20"/>
              </w:rPr>
            </w:pPr>
            <w:r w:rsidRPr="00C31E3F">
              <w:rPr>
                <w:sz w:val="20"/>
                <w:szCs w:val="20"/>
              </w:rPr>
              <w:t>1404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6C603E9" w14:textId="77777777">
            <w:pPr>
              <w:jc w:val="center"/>
              <w:rPr>
                <w:sz w:val="20"/>
                <w:szCs w:val="20"/>
              </w:rPr>
            </w:pPr>
            <w:r w:rsidRPr="00C31E3F">
              <w:rPr>
                <w:sz w:val="20"/>
                <w:szCs w:val="20"/>
              </w:rPr>
              <w:t>70.2</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4590CB4D" w14:textId="77777777">
            <w:pPr>
              <w:jc w:val="right"/>
              <w:rPr>
                <w:sz w:val="20"/>
                <w:szCs w:val="20"/>
              </w:rPr>
            </w:pPr>
            <w:r w:rsidRPr="00C31E3F">
              <w:rPr>
                <w:sz w:val="20"/>
                <w:szCs w:val="20"/>
              </w:rPr>
              <w:t xml:space="preserve">$81,688.93 </w:t>
            </w:r>
          </w:p>
        </w:tc>
      </w:tr>
      <w:tr w14:paraId="2B0F8914"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8B614DB" w14:textId="77777777">
            <w:pPr>
              <w:ind w:firstLine="200" w:firstLineChars="100"/>
              <w:rPr>
                <w:color w:val="000000"/>
                <w:sz w:val="20"/>
                <w:szCs w:val="20"/>
              </w:rPr>
            </w:pPr>
            <w:r w:rsidRPr="00C31E3F">
              <w:rPr>
                <w:color w:val="000000"/>
                <w:sz w:val="20"/>
                <w:szCs w:val="20"/>
              </w:rPr>
              <w:t>B. Determine applicability</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C4AB939" w14:textId="77777777">
            <w:pPr>
              <w:jc w:val="center"/>
              <w:rPr>
                <w:sz w:val="20"/>
                <w:szCs w:val="20"/>
              </w:rPr>
            </w:pPr>
            <w:r w:rsidRPr="00C31E3F">
              <w:rPr>
                <w:sz w:val="20"/>
                <w:szCs w:val="20"/>
              </w:rPr>
              <w:t>0.67</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9B0AB3A" w14:textId="77777777">
            <w:pPr>
              <w:jc w:val="center"/>
              <w:rPr>
                <w:sz w:val="20"/>
                <w:szCs w:val="20"/>
              </w:rPr>
            </w:pPr>
            <w:r w:rsidRPr="00C31E3F">
              <w:rPr>
                <w:sz w:val="20"/>
                <w:szCs w:val="20"/>
              </w:rPr>
              <w:t>208</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9A5C303" w14:textId="77777777">
            <w:pPr>
              <w:jc w:val="center"/>
              <w:rPr>
                <w:sz w:val="20"/>
                <w:szCs w:val="20"/>
              </w:rPr>
            </w:pPr>
            <w:r w:rsidRPr="00C31E3F">
              <w:rPr>
                <w:sz w:val="20"/>
                <w:szCs w:val="20"/>
              </w:rPr>
              <w:t>139.36</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73715FE" w14:textId="77777777">
            <w:pPr>
              <w:jc w:val="center"/>
              <w:rPr>
                <w:sz w:val="20"/>
                <w:szCs w:val="20"/>
              </w:rPr>
            </w:pPr>
            <w:r w:rsidRPr="00C31E3F">
              <w:rPr>
                <w:sz w:val="20"/>
                <w:szCs w:val="20"/>
              </w:rPr>
              <w:t>6.968</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07538B31" w14:textId="77777777">
            <w:pPr>
              <w:jc w:val="right"/>
              <w:rPr>
                <w:sz w:val="20"/>
                <w:szCs w:val="20"/>
              </w:rPr>
            </w:pPr>
            <w:r w:rsidRPr="00C31E3F">
              <w:rPr>
                <w:sz w:val="20"/>
                <w:szCs w:val="20"/>
              </w:rPr>
              <w:t xml:space="preserve">$8,108.38 </w:t>
            </w:r>
          </w:p>
        </w:tc>
      </w:tr>
      <w:tr w14:paraId="7F679F75"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E0A998A" w14:textId="77777777">
            <w:pPr>
              <w:rPr>
                <w:color w:val="000000"/>
                <w:sz w:val="20"/>
                <w:szCs w:val="20"/>
              </w:rPr>
            </w:pPr>
            <w:r w:rsidRPr="00C31E3F">
              <w:rPr>
                <w:color w:val="000000"/>
                <w:sz w:val="20"/>
                <w:szCs w:val="20"/>
              </w:rPr>
              <w:t>2. Initial CAM Review</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7B0EB5F"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94263BE"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2F94DC3"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128EE3C" w14:textId="77777777">
            <w:pPr>
              <w:jc w:val="center"/>
              <w:rPr>
                <w:sz w:val="20"/>
                <w:szCs w:val="20"/>
              </w:rPr>
            </w:pPr>
            <w:r w:rsidRPr="00C31E3F">
              <w:rPr>
                <w:sz w:val="20"/>
                <w:szCs w:val="20"/>
              </w:rPr>
              <w:t>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3A4836B5" w14:textId="77777777">
            <w:pPr>
              <w:jc w:val="right"/>
              <w:rPr>
                <w:sz w:val="20"/>
                <w:szCs w:val="20"/>
              </w:rPr>
            </w:pPr>
            <w:r w:rsidRPr="00C31E3F">
              <w:rPr>
                <w:sz w:val="20"/>
                <w:szCs w:val="20"/>
              </w:rPr>
              <w:t> </w:t>
            </w:r>
          </w:p>
        </w:tc>
      </w:tr>
      <w:tr w14:paraId="7B0BB4B4" w14:textId="77777777" w:rsidTr="000C08CC">
        <w:tblPrEx>
          <w:tblW w:w="11000" w:type="dxa"/>
          <w:tblLook w:val="04A0"/>
        </w:tblPrEx>
        <w:trPr>
          <w:trHeight w:val="39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55D4650" w14:textId="77777777">
            <w:pPr>
              <w:ind w:firstLine="200" w:firstLineChars="100"/>
              <w:rPr>
                <w:color w:val="000000"/>
                <w:sz w:val="20"/>
                <w:szCs w:val="20"/>
              </w:rPr>
            </w:pPr>
            <w:r w:rsidRPr="00C31E3F">
              <w:rPr>
                <w:color w:val="000000"/>
                <w:sz w:val="20"/>
                <w:szCs w:val="20"/>
              </w:rPr>
              <w:t>A. Units without existing monitoring</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265F39D0" w14:textId="77777777">
            <w:pPr>
              <w:jc w:val="center"/>
              <w:rPr>
                <w:sz w:val="20"/>
                <w:szCs w:val="20"/>
              </w:rPr>
            </w:pPr>
            <w:r w:rsidRPr="00C31E3F">
              <w:rPr>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2E39B6BB" w14:textId="77777777">
            <w:pPr>
              <w:jc w:val="center"/>
              <w:rPr>
                <w:sz w:val="20"/>
                <w:szCs w:val="20"/>
              </w:rPr>
            </w:pPr>
            <w:r w:rsidRPr="00C31E3F">
              <w:rPr>
                <w:sz w:val="20"/>
                <w:szCs w:val="20"/>
              </w:rPr>
              <w:t>74</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7723F96C" w14:textId="77777777">
            <w:pPr>
              <w:jc w:val="center"/>
              <w:rPr>
                <w:sz w:val="20"/>
                <w:szCs w:val="20"/>
              </w:rPr>
            </w:pPr>
            <w:r w:rsidRPr="00C31E3F">
              <w:rPr>
                <w:sz w:val="20"/>
                <w:szCs w:val="20"/>
              </w:rPr>
              <w:t>148</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3A24AE1A" w14:textId="77777777">
            <w:pPr>
              <w:jc w:val="center"/>
              <w:rPr>
                <w:sz w:val="20"/>
                <w:szCs w:val="20"/>
              </w:rPr>
            </w:pPr>
            <w:r w:rsidRPr="00C31E3F">
              <w:rPr>
                <w:sz w:val="20"/>
                <w:szCs w:val="20"/>
              </w:rPr>
              <w:t>7.4</w:t>
            </w:r>
          </w:p>
        </w:tc>
        <w:tc>
          <w:tcPr>
            <w:tcW w:w="1900" w:type="dxa"/>
            <w:tcBorders>
              <w:top w:val="nil"/>
              <w:left w:val="nil"/>
              <w:bottom w:val="single" w:sz="4" w:space="0" w:color="auto"/>
              <w:right w:val="single" w:sz="4" w:space="0" w:color="auto"/>
            </w:tcBorders>
            <w:shd w:val="clear" w:color="auto" w:fill="auto"/>
            <w:vAlign w:val="center"/>
            <w:hideMark/>
          </w:tcPr>
          <w:p w:rsidR="0039497E" w:rsidRPr="00C31E3F" w:rsidP="000C08CC" w14:paraId="2C37FDAE" w14:textId="77777777">
            <w:pPr>
              <w:jc w:val="right"/>
              <w:rPr>
                <w:sz w:val="20"/>
                <w:szCs w:val="20"/>
              </w:rPr>
            </w:pPr>
            <w:r w:rsidRPr="00C31E3F">
              <w:rPr>
                <w:sz w:val="20"/>
                <w:szCs w:val="20"/>
              </w:rPr>
              <w:t xml:space="preserve">$8,611.08 </w:t>
            </w:r>
          </w:p>
        </w:tc>
      </w:tr>
      <w:tr w14:paraId="029D6BAD"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B205BF3" w14:textId="77777777">
            <w:pPr>
              <w:ind w:firstLine="200" w:firstLineChars="100"/>
              <w:rPr>
                <w:color w:val="000000"/>
                <w:sz w:val="20"/>
                <w:szCs w:val="20"/>
              </w:rPr>
            </w:pPr>
            <w:r w:rsidRPr="00C31E3F">
              <w:rPr>
                <w:color w:val="000000"/>
                <w:sz w:val="20"/>
                <w:szCs w:val="20"/>
              </w:rPr>
              <w:t>B. Units with existing monitoring</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737424CF" w14:textId="77777777">
            <w:pPr>
              <w:jc w:val="center"/>
              <w:rPr>
                <w:sz w:val="20"/>
                <w:szCs w:val="20"/>
              </w:rPr>
            </w:pPr>
            <w:r w:rsidRPr="00C31E3F">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9B5077E" w14:textId="77777777">
            <w:pPr>
              <w:jc w:val="center"/>
              <w:rPr>
                <w:sz w:val="20"/>
                <w:szCs w:val="20"/>
              </w:rPr>
            </w:pPr>
            <w:r w:rsidRPr="00C31E3F">
              <w:rPr>
                <w:sz w:val="20"/>
                <w:szCs w:val="20"/>
              </w:rPr>
              <w:t>134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0ED5500" w14:textId="77777777">
            <w:pPr>
              <w:jc w:val="center"/>
              <w:rPr>
                <w:sz w:val="20"/>
                <w:szCs w:val="20"/>
              </w:rPr>
            </w:pPr>
            <w:r w:rsidRPr="00C31E3F">
              <w:rPr>
                <w:sz w:val="20"/>
                <w:szCs w:val="20"/>
              </w:rPr>
              <w:t>134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BE2ADE0" w14:textId="77777777">
            <w:pPr>
              <w:jc w:val="center"/>
              <w:rPr>
                <w:sz w:val="20"/>
                <w:szCs w:val="20"/>
              </w:rPr>
            </w:pPr>
            <w:r w:rsidRPr="00C31E3F">
              <w:rPr>
                <w:sz w:val="20"/>
                <w:szCs w:val="20"/>
              </w:rPr>
              <w:t>6.7</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72355226" w14:textId="77777777">
            <w:pPr>
              <w:jc w:val="right"/>
              <w:rPr>
                <w:sz w:val="20"/>
                <w:szCs w:val="20"/>
              </w:rPr>
            </w:pPr>
            <w:r w:rsidRPr="00C31E3F">
              <w:rPr>
                <w:sz w:val="20"/>
                <w:szCs w:val="20"/>
              </w:rPr>
              <w:t xml:space="preserve">$7,796.52 </w:t>
            </w:r>
          </w:p>
        </w:tc>
      </w:tr>
      <w:tr w14:paraId="065E9424"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C3886AA" w14:textId="77777777">
            <w:pPr>
              <w:rPr>
                <w:color w:val="000000"/>
                <w:sz w:val="20"/>
                <w:szCs w:val="20"/>
              </w:rPr>
            </w:pPr>
            <w:r w:rsidRPr="00C31E3F">
              <w:rPr>
                <w:color w:val="000000"/>
                <w:sz w:val="20"/>
                <w:szCs w:val="20"/>
              </w:rPr>
              <w:t>3. Evaluate CAM Renewals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F931827" w14:textId="77777777">
            <w:pPr>
              <w:jc w:val="center"/>
              <w:rPr>
                <w:sz w:val="20"/>
                <w:szCs w:val="20"/>
              </w:rPr>
            </w:pPr>
            <w:r w:rsidRPr="00C31E3F">
              <w:rPr>
                <w:sz w:val="20"/>
                <w:szCs w:val="20"/>
              </w:rPr>
              <w:t>0.5</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9126C67" w14:textId="77777777">
            <w:pPr>
              <w:jc w:val="center"/>
              <w:rPr>
                <w:sz w:val="20"/>
                <w:szCs w:val="20"/>
              </w:rPr>
            </w:pPr>
            <w:r w:rsidRPr="00C31E3F">
              <w:rPr>
                <w:sz w:val="20"/>
                <w:szCs w:val="20"/>
              </w:rPr>
              <w:t>4324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2D59C43" w14:textId="77777777">
            <w:pPr>
              <w:jc w:val="center"/>
              <w:rPr>
                <w:sz w:val="20"/>
                <w:szCs w:val="20"/>
              </w:rPr>
            </w:pPr>
            <w:r w:rsidRPr="00C31E3F">
              <w:rPr>
                <w:sz w:val="20"/>
                <w:szCs w:val="20"/>
              </w:rPr>
              <w:t>2162</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7D87EF2" w14:textId="77777777">
            <w:pPr>
              <w:jc w:val="center"/>
              <w:rPr>
                <w:sz w:val="20"/>
                <w:szCs w:val="20"/>
              </w:rPr>
            </w:pPr>
            <w:r w:rsidRPr="00C31E3F">
              <w:rPr>
                <w:sz w:val="20"/>
                <w:szCs w:val="20"/>
              </w:rPr>
              <w:t>108.1</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578AE420" w14:textId="77777777">
            <w:pPr>
              <w:jc w:val="right"/>
              <w:rPr>
                <w:sz w:val="20"/>
                <w:szCs w:val="20"/>
              </w:rPr>
            </w:pPr>
            <w:r w:rsidRPr="00C31E3F">
              <w:rPr>
                <w:sz w:val="20"/>
                <w:szCs w:val="20"/>
              </w:rPr>
              <w:t xml:space="preserve">$125,791.65 </w:t>
            </w:r>
          </w:p>
        </w:tc>
      </w:tr>
      <w:tr w14:paraId="3A192D29"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565EDDC" w14:textId="77777777">
            <w:pPr>
              <w:rPr>
                <w:color w:val="000000"/>
                <w:sz w:val="20"/>
                <w:szCs w:val="20"/>
              </w:rPr>
            </w:pPr>
            <w:r w:rsidRPr="00C31E3F">
              <w:rPr>
                <w:color w:val="000000"/>
                <w:sz w:val="20"/>
                <w:szCs w:val="20"/>
              </w:rPr>
              <w:t>4. Review QIPs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2630762" w14:textId="77777777">
            <w:pPr>
              <w:jc w:val="center"/>
              <w:rPr>
                <w:sz w:val="20"/>
                <w:szCs w:val="20"/>
              </w:rPr>
            </w:pPr>
            <w:r w:rsidRPr="00C31E3F">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C1F1B30"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062B916"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66340C3" w14:textId="77777777">
            <w:pPr>
              <w:jc w:val="center"/>
              <w:rPr>
                <w:sz w:val="20"/>
                <w:szCs w:val="20"/>
              </w:rPr>
            </w:pPr>
            <w:r w:rsidRPr="00C31E3F">
              <w:rPr>
                <w:sz w:val="20"/>
                <w:szCs w:val="20"/>
              </w:rPr>
              <w:t>0.44</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28B81C0F" w14:textId="77777777">
            <w:pPr>
              <w:jc w:val="right"/>
              <w:rPr>
                <w:sz w:val="20"/>
                <w:szCs w:val="20"/>
              </w:rPr>
            </w:pPr>
            <w:r w:rsidRPr="00C31E3F">
              <w:rPr>
                <w:sz w:val="20"/>
                <w:szCs w:val="20"/>
              </w:rPr>
              <w:t xml:space="preserve">$508.01 </w:t>
            </w:r>
          </w:p>
        </w:tc>
      </w:tr>
      <w:tr w14:paraId="064E089C"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2E66332" w14:textId="77777777">
            <w:pPr>
              <w:rPr>
                <w:color w:val="000000"/>
                <w:sz w:val="20"/>
                <w:szCs w:val="20"/>
              </w:rPr>
            </w:pPr>
            <w:r w:rsidRPr="00C31E3F">
              <w:rPr>
                <w:color w:val="000000"/>
                <w:sz w:val="20"/>
                <w:szCs w:val="20"/>
              </w:rPr>
              <w:t>5. Review Reports of Corrective Actions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B78652F" w14:textId="77777777">
            <w:pPr>
              <w:jc w:val="center"/>
              <w:rPr>
                <w:sz w:val="20"/>
                <w:szCs w:val="20"/>
              </w:rPr>
            </w:pPr>
            <w:r w:rsidRPr="00C31E3F">
              <w:rPr>
                <w:sz w:val="20"/>
                <w:szCs w:val="20"/>
              </w:rPr>
              <w:t>0.5</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4CE84D5" w14:textId="77777777">
            <w:pPr>
              <w:jc w:val="center"/>
              <w:rPr>
                <w:sz w:val="20"/>
                <w:szCs w:val="20"/>
              </w:rPr>
            </w:pPr>
            <w:r w:rsidRPr="00C31E3F">
              <w:rPr>
                <w:sz w:val="20"/>
                <w:szCs w:val="20"/>
              </w:rPr>
              <w:t>18</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1CAA12B"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7595B487" w14:textId="77777777">
            <w:pPr>
              <w:jc w:val="center"/>
              <w:rPr>
                <w:sz w:val="20"/>
                <w:szCs w:val="20"/>
              </w:rPr>
            </w:pPr>
            <w:r w:rsidRPr="00C31E3F">
              <w:rPr>
                <w:sz w:val="20"/>
                <w:szCs w:val="20"/>
              </w:rPr>
              <w:t>0.45</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0B3B8AF1" w14:textId="77777777">
            <w:pPr>
              <w:jc w:val="right"/>
              <w:rPr>
                <w:sz w:val="20"/>
                <w:szCs w:val="20"/>
              </w:rPr>
            </w:pPr>
            <w:r w:rsidRPr="00C31E3F">
              <w:rPr>
                <w:sz w:val="20"/>
                <w:szCs w:val="20"/>
              </w:rPr>
              <w:t xml:space="preserve">$523.65 </w:t>
            </w:r>
          </w:p>
        </w:tc>
      </w:tr>
      <w:tr w14:paraId="0717A735"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AACFFF7" w14:textId="77777777">
            <w:pPr>
              <w:rPr>
                <w:color w:val="000000"/>
                <w:sz w:val="20"/>
                <w:szCs w:val="20"/>
              </w:rPr>
            </w:pPr>
            <w:r w:rsidRPr="00C31E3F">
              <w:rPr>
                <w:color w:val="000000"/>
                <w:sz w:val="20"/>
                <w:szCs w:val="20"/>
              </w:rPr>
              <w:t>6. Review Annual Facility Certifications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9E4A8E1" w14:textId="77777777">
            <w:pPr>
              <w:jc w:val="center"/>
              <w:rPr>
                <w:sz w:val="20"/>
                <w:szCs w:val="20"/>
              </w:rPr>
            </w:pPr>
            <w:r w:rsidRPr="00C31E3F">
              <w:rPr>
                <w:sz w:val="20"/>
                <w:szCs w:val="20"/>
              </w:rPr>
              <w:t>0.33</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42FAD36" w14:textId="77777777">
            <w:pPr>
              <w:jc w:val="center"/>
              <w:rPr>
                <w:sz w:val="20"/>
                <w:szCs w:val="20"/>
              </w:rPr>
            </w:pPr>
            <w:r w:rsidRPr="00C31E3F">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414B28E" w14:textId="77777777">
            <w:pPr>
              <w:jc w:val="center"/>
              <w:rPr>
                <w:sz w:val="20"/>
                <w:szCs w:val="20"/>
              </w:rPr>
            </w:pPr>
            <w:r w:rsidRPr="00C31E3F">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912C56E" w14:textId="77777777">
            <w:pPr>
              <w:jc w:val="center"/>
              <w:rPr>
                <w:sz w:val="20"/>
                <w:szCs w:val="20"/>
              </w:rPr>
            </w:pPr>
            <w:r w:rsidRPr="00C31E3F">
              <w:rPr>
                <w:sz w:val="20"/>
                <w:szCs w:val="20"/>
              </w:rPr>
              <w:t>0</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702CF09D" w14:textId="77777777">
            <w:pPr>
              <w:jc w:val="right"/>
              <w:rPr>
                <w:sz w:val="20"/>
                <w:szCs w:val="20"/>
              </w:rPr>
            </w:pPr>
            <w:r w:rsidRPr="00C31E3F">
              <w:rPr>
                <w:sz w:val="20"/>
                <w:szCs w:val="20"/>
              </w:rPr>
              <w:t xml:space="preserve">$0.00 </w:t>
            </w:r>
          </w:p>
        </w:tc>
      </w:tr>
      <w:tr w14:paraId="55C41F0E" w14:textId="77777777" w:rsidTr="000C08CC">
        <w:tblPrEx>
          <w:tblW w:w="11000" w:type="dxa"/>
          <w:tblLook w:val="04A0"/>
        </w:tblPrEx>
        <w:trPr>
          <w:trHeight w:val="3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31764C95" w14:textId="77777777">
            <w:pPr>
              <w:rPr>
                <w:b/>
                <w:bCs/>
                <w:sz w:val="20"/>
                <w:szCs w:val="20"/>
              </w:rPr>
            </w:pPr>
            <w:r w:rsidRPr="00C31E3F">
              <w:rPr>
                <w:b/>
                <w:bCs/>
                <w:sz w:val="20"/>
                <w:szCs w:val="20"/>
              </w:rPr>
              <w:t xml:space="preserve">TOTAL (rounded) </w:t>
            </w:r>
            <w:r w:rsidRPr="00C31E3F">
              <w:rPr>
                <w:b/>
                <w:bCs/>
                <w:sz w:val="20"/>
                <w:szCs w:val="20"/>
                <w:vertAlign w:val="superscript"/>
              </w:rPr>
              <w:t>e</w:t>
            </w:r>
          </w:p>
        </w:tc>
        <w:tc>
          <w:tcPr>
            <w:tcW w:w="2520" w:type="dxa"/>
            <w:gridSpan w:val="2"/>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2264D00A" w14:textId="77777777">
            <w:pPr>
              <w:jc w:val="center"/>
              <w:rPr>
                <w:b/>
                <w:bCs/>
                <w:sz w:val="20"/>
                <w:szCs w:val="20"/>
              </w:rPr>
            </w:pPr>
            <w:r w:rsidRPr="00C31E3F">
              <w:rPr>
                <w:b/>
                <w:bCs/>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08DD64B" w14:textId="77777777">
            <w:pPr>
              <w:rPr>
                <w:b/>
                <w:bCs/>
                <w:sz w:val="20"/>
                <w:szCs w:val="20"/>
              </w:rPr>
            </w:pPr>
            <w:r>
              <w:rPr>
                <w:b/>
                <w:bCs/>
                <w:sz w:val="20"/>
                <w:szCs w:val="20"/>
              </w:rPr>
              <w:t xml:space="preserve"> </w:t>
            </w:r>
            <w:r w:rsidRPr="00C31E3F">
              <w:rPr>
                <w:b/>
                <w:bCs/>
                <w:sz w:val="20"/>
                <w:szCs w:val="20"/>
              </w:rPr>
              <w:t xml:space="preserve">4,010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C62B9BD" w14:textId="77777777">
            <w:pPr>
              <w:jc w:val="right"/>
              <w:rPr>
                <w:b/>
                <w:bCs/>
                <w:sz w:val="20"/>
                <w:szCs w:val="20"/>
              </w:rPr>
            </w:pPr>
            <w:r w:rsidRPr="00C31E3F">
              <w:rPr>
                <w:b/>
                <w:bCs/>
                <w:sz w:val="20"/>
                <w:szCs w:val="20"/>
              </w:rPr>
              <w:t xml:space="preserve">200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627C4DDE" w14:textId="77777777">
            <w:pPr>
              <w:jc w:val="right"/>
              <w:rPr>
                <w:b/>
                <w:bCs/>
                <w:sz w:val="20"/>
                <w:szCs w:val="20"/>
              </w:rPr>
            </w:pPr>
            <w:r w:rsidRPr="00C31E3F">
              <w:rPr>
                <w:b/>
                <w:bCs/>
                <w:sz w:val="20"/>
                <w:szCs w:val="20"/>
              </w:rPr>
              <w:t xml:space="preserve">$233,000 </w:t>
            </w:r>
          </w:p>
        </w:tc>
      </w:tr>
      <w:tr w14:paraId="6B2D0DF9" w14:textId="77777777" w:rsidTr="000C08CC">
        <w:tblPrEx>
          <w:tblW w:w="11000" w:type="dxa"/>
          <w:tblLook w:val="04A0"/>
        </w:tblPrEx>
        <w:trPr>
          <w:trHeight w:val="195"/>
        </w:trPr>
        <w:tc>
          <w:tcPr>
            <w:tcW w:w="11000" w:type="dxa"/>
            <w:gridSpan w:val="6"/>
            <w:tcBorders>
              <w:top w:val="single" w:sz="4" w:space="0" w:color="auto"/>
              <w:left w:val="nil"/>
              <w:bottom w:val="nil"/>
              <w:right w:val="nil"/>
            </w:tcBorders>
            <w:shd w:val="clear" w:color="auto" w:fill="auto"/>
            <w:noWrap/>
            <w:hideMark/>
          </w:tcPr>
          <w:p w:rsidR="0039497E" w:rsidRPr="00C31E3F" w:rsidP="000C08CC" w14:paraId="5FE83B05" w14:textId="77777777">
            <w:pPr>
              <w:rPr>
                <w:sz w:val="20"/>
                <w:szCs w:val="20"/>
              </w:rPr>
            </w:pPr>
            <w:r w:rsidRPr="00C31E3F">
              <w:rPr>
                <w:sz w:val="20"/>
                <w:szCs w:val="20"/>
              </w:rPr>
              <w:t> </w:t>
            </w:r>
          </w:p>
        </w:tc>
      </w:tr>
      <w:tr w14:paraId="0E73BF18" w14:textId="77777777" w:rsidTr="000C08CC">
        <w:tblPrEx>
          <w:tblW w:w="11000" w:type="dxa"/>
          <w:tblLook w:val="04A0"/>
        </w:tblPrEx>
        <w:trPr>
          <w:trHeight w:val="375"/>
        </w:trPr>
        <w:tc>
          <w:tcPr>
            <w:tcW w:w="11000" w:type="dxa"/>
            <w:gridSpan w:val="6"/>
            <w:tcBorders>
              <w:top w:val="nil"/>
              <w:left w:val="nil"/>
              <w:bottom w:val="nil"/>
              <w:right w:val="nil"/>
            </w:tcBorders>
            <w:shd w:val="clear" w:color="auto" w:fill="auto"/>
            <w:noWrap/>
            <w:vAlign w:val="bottom"/>
            <w:hideMark/>
          </w:tcPr>
          <w:p w:rsidR="0039497E" w:rsidRPr="00C31E3F" w:rsidP="0039497E" w14:paraId="3A7DFD86" w14:textId="77777777">
            <w:pPr>
              <w:spacing w:line="240" w:lineRule="auto"/>
              <w:rPr>
                <w:b/>
                <w:bCs/>
                <w:sz w:val="20"/>
                <w:szCs w:val="20"/>
              </w:rPr>
            </w:pPr>
            <w:r w:rsidRPr="00C31E3F">
              <w:rPr>
                <w:b/>
                <w:bCs/>
                <w:sz w:val="20"/>
                <w:szCs w:val="20"/>
              </w:rPr>
              <w:t>Assumptions:</w:t>
            </w:r>
          </w:p>
        </w:tc>
      </w:tr>
      <w:tr w14:paraId="2C761CF2" w14:textId="77777777" w:rsidTr="000C08CC">
        <w:tblPrEx>
          <w:tblW w:w="11000" w:type="dxa"/>
          <w:tblLook w:val="04A0"/>
        </w:tblPrEx>
        <w:trPr>
          <w:trHeight w:val="252"/>
        </w:trPr>
        <w:tc>
          <w:tcPr>
            <w:tcW w:w="11000" w:type="dxa"/>
            <w:gridSpan w:val="6"/>
            <w:tcBorders>
              <w:top w:val="nil"/>
              <w:left w:val="nil"/>
              <w:bottom w:val="nil"/>
              <w:right w:val="nil"/>
            </w:tcBorders>
            <w:shd w:val="clear" w:color="auto" w:fill="auto"/>
            <w:vAlign w:val="bottom"/>
            <w:hideMark/>
          </w:tcPr>
          <w:p w:rsidR="0039497E" w:rsidRPr="00C31E3F" w:rsidP="0039497E" w14:paraId="0976C527" w14:textId="77777777">
            <w:pPr>
              <w:spacing w:after="0" w:line="240" w:lineRule="auto"/>
              <w:rPr>
                <w:sz w:val="20"/>
                <w:szCs w:val="20"/>
              </w:rPr>
            </w:pPr>
            <w:r w:rsidRPr="00C31E3F">
              <w:rPr>
                <w:sz w:val="20"/>
                <w:szCs w:val="20"/>
                <w:vertAlign w:val="superscript"/>
              </w:rPr>
              <w:t>a</w:t>
            </w:r>
            <w:r>
              <w:rPr>
                <w:sz w:val="20"/>
                <w:szCs w:val="20"/>
              </w:rPr>
              <w:t xml:space="preserve"> </w:t>
            </w:r>
            <w:r w:rsidRPr="00C31E3F">
              <w:rPr>
                <w:sz w:val="20"/>
                <w:szCs w:val="20"/>
              </w:rPr>
              <w:t>See section 4(b)(ii) for a description of these activities.</w:t>
            </w:r>
          </w:p>
        </w:tc>
      </w:tr>
      <w:tr w14:paraId="42EB82FD" w14:textId="77777777" w:rsidTr="000C08CC">
        <w:tblPrEx>
          <w:tblW w:w="11000" w:type="dxa"/>
          <w:tblLook w:val="04A0"/>
        </w:tblPrEx>
        <w:trPr>
          <w:trHeight w:val="270"/>
        </w:trPr>
        <w:tc>
          <w:tcPr>
            <w:tcW w:w="11000" w:type="dxa"/>
            <w:gridSpan w:val="6"/>
            <w:tcBorders>
              <w:top w:val="nil"/>
              <w:left w:val="nil"/>
              <w:bottom w:val="nil"/>
              <w:right w:val="nil"/>
            </w:tcBorders>
            <w:shd w:val="clear" w:color="auto" w:fill="auto"/>
            <w:vAlign w:val="bottom"/>
            <w:hideMark/>
          </w:tcPr>
          <w:p w:rsidR="0039497E" w:rsidRPr="00C31E3F" w:rsidP="0039497E" w14:paraId="4A413718" w14:textId="77777777">
            <w:pPr>
              <w:spacing w:after="0" w:line="240" w:lineRule="auto"/>
              <w:rPr>
                <w:sz w:val="20"/>
                <w:szCs w:val="20"/>
              </w:rPr>
            </w:pPr>
            <w:r w:rsidRPr="00C31E3F">
              <w:rPr>
                <w:sz w:val="20"/>
                <w:szCs w:val="20"/>
                <w:vertAlign w:val="superscript"/>
              </w:rPr>
              <w:t>b</w:t>
            </w:r>
            <w:r>
              <w:rPr>
                <w:sz w:val="20"/>
                <w:szCs w:val="20"/>
              </w:rPr>
              <w:t xml:space="preserve"> </w:t>
            </w:r>
            <w:r w:rsidRPr="00C31E3F">
              <w:rPr>
                <w:sz w:val="20"/>
                <w:szCs w:val="20"/>
              </w:rPr>
              <w:t>All hours are per PSEU unless otherwise noted.</w:t>
            </w:r>
          </w:p>
        </w:tc>
      </w:tr>
      <w:tr w14:paraId="6BEB71E1" w14:textId="77777777" w:rsidTr="000C08CC">
        <w:tblPrEx>
          <w:tblW w:w="11000" w:type="dxa"/>
          <w:tblLook w:val="04A0"/>
        </w:tblPrEx>
        <w:trPr>
          <w:trHeight w:val="990"/>
        </w:trPr>
        <w:tc>
          <w:tcPr>
            <w:tcW w:w="11000" w:type="dxa"/>
            <w:gridSpan w:val="6"/>
            <w:tcBorders>
              <w:top w:val="nil"/>
              <w:left w:val="nil"/>
              <w:bottom w:val="nil"/>
              <w:right w:val="nil"/>
            </w:tcBorders>
            <w:shd w:val="clear" w:color="auto" w:fill="auto"/>
            <w:vAlign w:val="bottom"/>
            <w:hideMark/>
          </w:tcPr>
          <w:p w:rsidR="0039497E" w:rsidRPr="00C31E3F" w:rsidP="0039497E" w14:paraId="600CF3A2" w14:textId="77777777">
            <w:pPr>
              <w:spacing w:after="0" w:line="240" w:lineRule="auto"/>
              <w:rPr>
                <w:sz w:val="20"/>
                <w:szCs w:val="20"/>
              </w:rPr>
            </w:pPr>
            <w:r w:rsidRPr="00C31E3F">
              <w:rPr>
                <w:sz w:val="20"/>
                <w:szCs w:val="20"/>
                <w:vertAlign w:val="superscript"/>
              </w:rPr>
              <w:t>c</w:t>
            </w:r>
            <w:r>
              <w:rPr>
                <w:sz w:val="20"/>
                <w:szCs w:val="20"/>
                <w:vertAlign w:val="superscript"/>
              </w:rPr>
              <w:t xml:space="preserve"> </w:t>
            </w:r>
            <w:r w:rsidRPr="00C31E3F">
              <w:rPr>
                <w:sz w:val="20"/>
                <w:szCs w:val="20"/>
              </w:rPr>
              <w:t>The cost is based on the following labor rates: Managerial rate of $73.46 (GS-13, Step 5, $45.91 + 60%) and Technical rate of $54.51 (GS-12, Step 1, $34.07 + 60%).</w:t>
            </w:r>
            <w:r>
              <w:rPr>
                <w:sz w:val="20"/>
                <w:szCs w:val="20"/>
              </w:rPr>
              <w:t xml:space="preserve"> </w:t>
            </w:r>
            <w:r w:rsidRPr="00C31E3F">
              <w:rPr>
                <w:sz w:val="20"/>
                <w:szCs w:val="20"/>
              </w:rPr>
              <w:t>These rates are from the Office of Personnel Management (OPM), 2023 General Schedule, which excludes locality, rates of pay. The rates have been increased by 60 percent to account for the benefit packages available to government employees.</w:t>
            </w:r>
          </w:p>
        </w:tc>
      </w:tr>
      <w:tr w14:paraId="44ADE520" w14:textId="77777777" w:rsidTr="000C08CC">
        <w:tblPrEx>
          <w:tblW w:w="11000" w:type="dxa"/>
          <w:tblLook w:val="04A0"/>
        </w:tblPrEx>
        <w:trPr>
          <w:trHeight w:val="450"/>
        </w:trPr>
        <w:tc>
          <w:tcPr>
            <w:tcW w:w="11000" w:type="dxa"/>
            <w:gridSpan w:val="6"/>
            <w:tcBorders>
              <w:top w:val="nil"/>
              <w:left w:val="nil"/>
              <w:bottom w:val="nil"/>
              <w:right w:val="nil"/>
            </w:tcBorders>
            <w:shd w:val="clear" w:color="auto" w:fill="auto"/>
            <w:vAlign w:val="bottom"/>
            <w:hideMark/>
          </w:tcPr>
          <w:p w:rsidR="0039497E" w:rsidRPr="00C31E3F" w:rsidP="0039497E" w14:paraId="427CB162" w14:textId="77777777">
            <w:pPr>
              <w:spacing w:after="0" w:line="240" w:lineRule="auto"/>
              <w:rPr>
                <w:sz w:val="20"/>
                <w:szCs w:val="20"/>
              </w:rPr>
            </w:pPr>
            <w:r w:rsidRPr="00C31E3F">
              <w:rPr>
                <w:sz w:val="20"/>
                <w:szCs w:val="20"/>
                <w:vertAlign w:val="superscript"/>
              </w:rPr>
              <w:t>d</w:t>
            </w:r>
            <w:r>
              <w:rPr>
                <w:sz w:val="20"/>
                <w:szCs w:val="20"/>
              </w:rPr>
              <w:t xml:space="preserve"> </w:t>
            </w:r>
            <w:r w:rsidRPr="00C31E3F">
              <w:rPr>
                <w:sz w:val="20"/>
                <w:szCs w:val="20"/>
              </w:rPr>
              <w:t>Burden for Rule Familiarization is per Permitting Authority (PA), of which there are 117. Because this is a mature program, PAs are generally familiar with the CAM Rule, but we include 12 hours/year per PA for new staff to become familiar with the rule.</w:t>
            </w:r>
          </w:p>
        </w:tc>
      </w:tr>
      <w:tr w14:paraId="3ADB6B2B" w14:textId="77777777" w:rsidTr="000C08CC">
        <w:tblPrEx>
          <w:tblW w:w="11000" w:type="dxa"/>
          <w:tblLook w:val="04A0"/>
        </w:tblPrEx>
        <w:trPr>
          <w:trHeight w:val="288"/>
        </w:trPr>
        <w:tc>
          <w:tcPr>
            <w:tcW w:w="11000" w:type="dxa"/>
            <w:gridSpan w:val="6"/>
            <w:tcBorders>
              <w:top w:val="nil"/>
              <w:left w:val="nil"/>
              <w:bottom w:val="nil"/>
              <w:right w:val="nil"/>
            </w:tcBorders>
            <w:shd w:val="clear" w:color="auto" w:fill="auto"/>
            <w:vAlign w:val="center"/>
            <w:hideMark/>
          </w:tcPr>
          <w:p w:rsidR="0039497E" w:rsidRPr="00C31E3F" w:rsidP="0039497E" w14:paraId="5E3BE560" w14:textId="77777777">
            <w:pPr>
              <w:spacing w:after="0" w:line="240" w:lineRule="auto"/>
              <w:rPr>
                <w:sz w:val="20"/>
                <w:szCs w:val="20"/>
              </w:rPr>
            </w:pPr>
            <w:r w:rsidRPr="00C31E3F">
              <w:rPr>
                <w:sz w:val="20"/>
                <w:szCs w:val="20"/>
                <w:vertAlign w:val="superscript"/>
              </w:rPr>
              <w:t>e</w:t>
            </w:r>
            <w:r>
              <w:rPr>
                <w:sz w:val="20"/>
                <w:szCs w:val="20"/>
              </w:rPr>
              <w:t xml:space="preserve"> </w:t>
            </w:r>
            <w:r w:rsidRPr="00C31E3F">
              <w:rPr>
                <w:sz w:val="20"/>
                <w:szCs w:val="20"/>
              </w:rPr>
              <w:t>Totals have been rounded to 3 significant figures. Figures may not add exactly due to rounding.</w:t>
            </w:r>
          </w:p>
        </w:tc>
      </w:tr>
    </w:tbl>
    <w:p w:rsidR="0039497E" w:rsidP="0039497E" w14:paraId="0EAB1B8D" w14:textId="77777777">
      <w:pPr>
        <w:rPr>
          <w:b/>
          <w:bCs/>
        </w:rPr>
      </w:pPr>
    </w:p>
    <w:p w:rsidR="0039497E" w:rsidRPr="008A6766" w:rsidP="0039497E" w14:paraId="554CBC46" w14:textId="77777777">
      <w:pPr>
        <w:rPr>
          <w:b/>
          <w:bCs/>
        </w:rPr>
      </w:pPr>
      <w:r w:rsidRPr="008A6766">
        <w:rPr>
          <w:b/>
          <w:bCs/>
        </w:rPr>
        <w:t>Table 6.2</w:t>
      </w:r>
      <w:r>
        <w:rPr>
          <w:b/>
          <w:bCs/>
        </w:rPr>
        <w:t>b</w:t>
      </w:r>
      <w:r w:rsidRPr="008A6766">
        <w:rPr>
          <w:b/>
          <w:bCs/>
        </w:rPr>
        <w:t>: Total Permitting Authority Burden and Labor Costs for All "Large" and "Other" Sources - All Pollutants, 202</w:t>
      </w:r>
      <w:r>
        <w:rPr>
          <w:b/>
          <w:bCs/>
        </w:rPr>
        <w:t>4</w:t>
      </w:r>
      <w:r w:rsidRPr="008A6766">
        <w:rPr>
          <w:b/>
          <w:bCs/>
        </w:rPr>
        <w:t>-2</w:t>
      </w:r>
      <w:r>
        <w:rPr>
          <w:b/>
          <w:bCs/>
        </w:rPr>
        <w:t>5</w:t>
      </w:r>
    </w:p>
    <w:tbl>
      <w:tblPr>
        <w:tblW w:w="11000" w:type="dxa"/>
        <w:tblLook w:val="04A0"/>
      </w:tblPr>
      <w:tblGrid>
        <w:gridCol w:w="4011"/>
        <w:gridCol w:w="1260"/>
        <w:gridCol w:w="1260"/>
        <w:gridCol w:w="1260"/>
        <w:gridCol w:w="1309"/>
        <w:gridCol w:w="1900"/>
      </w:tblGrid>
      <w:tr w14:paraId="36F43E3D" w14:textId="77777777" w:rsidTr="000C08CC">
        <w:tblPrEx>
          <w:tblW w:w="11000" w:type="dxa"/>
          <w:tblLook w:val="04A0"/>
        </w:tblPrEx>
        <w:trPr>
          <w:trHeight w:val="1104"/>
        </w:trPr>
        <w:tc>
          <w:tcPr>
            <w:tcW w:w="4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97E" w:rsidRPr="00C31E3F" w:rsidP="000C08CC" w14:paraId="7BDFB147" w14:textId="77777777">
            <w:pPr>
              <w:jc w:val="center"/>
              <w:rPr>
                <w:sz w:val="20"/>
                <w:szCs w:val="20"/>
              </w:rPr>
            </w:pPr>
            <w:r w:rsidRPr="00C31E3F">
              <w:rPr>
                <w:sz w:val="20"/>
                <w:szCs w:val="20"/>
              </w:rPr>
              <w:t xml:space="preserve">Burden item </w:t>
            </w:r>
            <w:r w:rsidRPr="00C31E3F">
              <w:rPr>
                <w:sz w:val="20"/>
                <w:szCs w:val="20"/>
                <w:vertAlign w:val="superscript"/>
              </w:rPr>
              <w:t>a</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4FA0E78E" w14:textId="77777777">
            <w:pPr>
              <w:jc w:val="center"/>
              <w:rPr>
                <w:sz w:val="20"/>
                <w:szCs w:val="20"/>
              </w:rPr>
            </w:pPr>
            <w:r w:rsidRPr="00C31E3F">
              <w:rPr>
                <w:sz w:val="20"/>
                <w:szCs w:val="20"/>
              </w:rPr>
              <w:t>(A)</w:t>
            </w:r>
            <w:r w:rsidRPr="00C31E3F">
              <w:rPr>
                <w:sz w:val="20"/>
                <w:szCs w:val="20"/>
              </w:rPr>
              <w:br/>
              <w:t xml:space="preserve">Technical hours per occurrence </w:t>
            </w:r>
            <w:r w:rsidRPr="00C31E3F">
              <w:rPr>
                <w:sz w:val="20"/>
                <w:szCs w:val="20"/>
                <w:vertAlign w:val="superscript"/>
              </w:rPr>
              <w:t>b</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6AE008AD" w14:textId="77777777">
            <w:pPr>
              <w:jc w:val="center"/>
              <w:rPr>
                <w:sz w:val="20"/>
                <w:szCs w:val="20"/>
              </w:rPr>
            </w:pPr>
            <w:r w:rsidRPr="00C31E3F">
              <w:rPr>
                <w:sz w:val="20"/>
                <w:szCs w:val="20"/>
              </w:rPr>
              <w:t xml:space="preserve">(B) </w:t>
            </w:r>
            <w:r w:rsidRPr="00C31E3F">
              <w:rPr>
                <w:sz w:val="20"/>
                <w:szCs w:val="20"/>
              </w:rPr>
              <w:br/>
              <w:t>Occurrences per year</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2FB9C9BD" w14:textId="77777777">
            <w:pPr>
              <w:jc w:val="center"/>
              <w:rPr>
                <w:sz w:val="20"/>
                <w:szCs w:val="20"/>
              </w:rPr>
            </w:pPr>
            <w:r w:rsidRPr="00C31E3F">
              <w:rPr>
                <w:sz w:val="20"/>
                <w:szCs w:val="20"/>
              </w:rPr>
              <w:t xml:space="preserve">(C) </w:t>
            </w:r>
            <w:r w:rsidRPr="00C31E3F">
              <w:rPr>
                <w:sz w:val="20"/>
                <w:szCs w:val="20"/>
              </w:rPr>
              <w:br/>
              <w:t>Technical hours per year (AxB)</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057D18ED" w14:textId="77777777">
            <w:pPr>
              <w:jc w:val="center"/>
              <w:rPr>
                <w:sz w:val="20"/>
                <w:szCs w:val="20"/>
              </w:rPr>
            </w:pPr>
            <w:r w:rsidRPr="00C31E3F">
              <w:rPr>
                <w:sz w:val="20"/>
                <w:szCs w:val="20"/>
              </w:rPr>
              <w:t xml:space="preserve">(D) </w:t>
            </w:r>
            <w:r w:rsidRPr="00C31E3F">
              <w:rPr>
                <w:sz w:val="20"/>
                <w:szCs w:val="20"/>
              </w:rPr>
              <w:br/>
              <w:t>Management hours per year (Cx0.05)</w:t>
            </w:r>
          </w:p>
        </w:tc>
        <w:tc>
          <w:tcPr>
            <w:tcW w:w="190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2B31F798" w14:textId="77777777">
            <w:pPr>
              <w:jc w:val="center"/>
              <w:rPr>
                <w:sz w:val="20"/>
                <w:szCs w:val="20"/>
              </w:rPr>
            </w:pPr>
            <w:r w:rsidRPr="00C31E3F">
              <w:rPr>
                <w:sz w:val="20"/>
                <w:szCs w:val="20"/>
              </w:rPr>
              <w:t xml:space="preserve">(E) </w:t>
            </w:r>
            <w:r w:rsidRPr="00C31E3F">
              <w:rPr>
                <w:sz w:val="20"/>
                <w:szCs w:val="20"/>
              </w:rPr>
              <w:br/>
              <w:t xml:space="preserve">Total cost per year </w:t>
            </w:r>
            <w:r w:rsidRPr="00C31E3F">
              <w:rPr>
                <w:sz w:val="20"/>
                <w:szCs w:val="20"/>
                <w:vertAlign w:val="superscript"/>
              </w:rPr>
              <w:t>c</w:t>
            </w:r>
          </w:p>
        </w:tc>
      </w:tr>
      <w:tr w14:paraId="0723E464"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hideMark/>
          </w:tcPr>
          <w:p w:rsidR="0039497E" w:rsidRPr="00C31E3F" w:rsidP="000C08CC" w14:paraId="53047098" w14:textId="77777777">
            <w:pPr>
              <w:rPr>
                <w:sz w:val="20"/>
                <w:szCs w:val="20"/>
              </w:rPr>
            </w:pPr>
            <w:r w:rsidRPr="00C31E3F">
              <w:rPr>
                <w:sz w:val="20"/>
                <w:szCs w:val="20"/>
              </w:rPr>
              <w:t>1. CAM Activities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C60472A"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4970F31"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722EAB3B"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36BEDE0" w14:textId="77777777">
            <w:pPr>
              <w:jc w:val="center"/>
              <w:rPr>
                <w:sz w:val="20"/>
                <w:szCs w:val="20"/>
              </w:rPr>
            </w:pPr>
            <w:r w:rsidRPr="00C31E3F">
              <w:rPr>
                <w:sz w:val="20"/>
                <w:szCs w:val="20"/>
              </w:rPr>
              <w:t>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5E914C2B" w14:textId="77777777">
            <w:pPr>
              <w:jc w:val="right"/>
              <w:rPr>
                <w:sz w:val="20"/>
                <w:szCs w:val="20"/>
              </w:rPr>
            </w:pPr>
            <w:r w:rsidRPr="00C31E3F">
              <w:rPr>
                <w:sz w:val="20"/>
                <w:szCs w:val="20"/>
              </w:rPr>
              <w:t> </w:t>
            </w:r>
          </w:p>
        </w:tc>
      </w:tr>
      <w:tr w14:paraId="1FCCE23E" w14:textId="77777777" w:rsidTr="000C08CC">
        <w:tblPrEx>
          <w:tblW w:w="11000" w:type="dxa"/>
          <w:tblLook w:val="04A0"/>
        </w:tblPrEx>
        <w:trPr>
          <w:trHeight w:val="312"/>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6FD90D8" w14:textId="77777777">
            <w:pPr>
              <w:ind w:firstLine="200" w:firstLineChars="100"/>
              <w:rPr>
                <w:color w:val="000000"/>
                <w:sz w:val="20"/>
                <w:szCs w:val="20"/>
              </w:rPr>
            </w:pPr>
            <w:r w:rsidRPr="00C31E3F">
              <w:rPr>
                <w:color w:val="000000"/>
                <w:sz w:val="20"/>
                <w:szCs w:val="20"/>
              </w:rPr>
              <w:t xml:space="preserve">A. Rule familiarization </w:t>
            </w:r>
            <w:r w:rsidRPr="00C31E3F">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8AA7101" w14:textId="77777777">
            <w:pPr>
              <w:jc w:val="center"/>
              <w:rPr>
                <w:sz w:val="20"/>
                <w:szCs w:val="20"/>
              </w:rPr>
            </w:pPr>
            <w:r w:rsidRPr="00C31E3F">
              <w:rPr>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DBE1897" w14:textId="77777777">
            <w:pPr>
              <w:jc w:val="center"/>
              <w:rPr>
                <w:sz w:val="20"/>
                <w:szCs w:val="20"/>
              </w:rPr>
            </w:pPr>
            <w:r w:rsidRPr="00C31E3F">
              <w:rPr>
                <w:sz w:val="20"/>
                <w:szCs w:val="20"/>
              </w:rPr>
              <w:t>117</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0C241E8" w14:textId="77777777">
            <w:pPr>
              <w:jc w:val="center"/>
              <w:rPr>
                <w:sz w:val="20"/>
                <w:szCs w:val="20"/>
              </w:rPr>
            </w:pPr>
            <w:r w:rsidRPr="00C31E3F">
              <w:rPr>
                <w:sz w:val="20"/>
                <w:szCs w:val="20"/>
              </w:rPr>
              <w:t>1404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7672E16" w14:textId="77777777">
            <w:pPr>
              <w:jc w:val="center"/>
              <w:rPr>
                <w:sz w:val="20"/>
                <w:szCs w:val="20"/>
              </w:rPr>
            </w:pPr>
            <w:r w:rsidRPr="00C31E3F">
              <w:rPr>
                <w:sz w:val="20"/>
                <w:szCs w:val="20"/>
              </w:rPr>
              <w:t>70.2</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1C5FBC70" w14:textId="77777777">
            <w:pPr>
              <w:jc w:val="right"/>
              <w:rPr>
                <w:sz w:val="20"/>
                <w:szCs w:val="20"/>
              </w:rPr>
            </w:pPr>
            <w:r w:rsidRPr="00C31E3F">
              <w:rPr>
                <w:sz w:val="20"/>
                <w:szCs w:val="20"/>
              </w:rPr>
              <w:t xml:space="preserve">$81,688.93 </w:t>
            </w:r>
          </w:p>
        </w:tc>
      </w:tr>
      <w:tr w14:paraId="7FD0A016"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21017ED" w14:textId="77777777">
            <w:pPr>
              <w:ind w:firstLine="200" w:firstLineChars="100"/>
              <w:rPr>
                <w:color w:val="000000"/>
                <w:sz w:val="20"/>
                <w:szCs w:val="20"/>
              </w:rPr>
            </w:pPr>
            <w:r w:rsidRPr="00C31E3F">
              <w:rPr>
                <w:color w:val="000000"/>
                <w:sz w:val="20"/>
                <w:szCs w:val="20"/>
              </w:rPr>
              <w:t>B. Determine applicability</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E72A9CE" w14:textId="77777777">
            <w:pPr>
              <w:jc w:val="center"/>
              <w:rPr>
                <w:sz w:val="20"/>
                <w:szCs w:val="20"/>
              </w:rPr>
            </w:pPr>
            <w:r w:rsidRPr="00C31E3F">
              <w:rPr>
                <w:sz w:val="20"/>
                <w:szCs w:val="20"/>
              </w:rPr>
              <w:t>0.67</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FE8FAFB" w14:textId="77777777">
            <w:pPr>
              <w:jc w:val="center"/>
              <w:rPr>
                <w:sz w:val="20"/>
                <w:szCs w:val="20"/>
              </w:rPr>
            </w:pPr>
            <w:r w:rsidRPr="00C31E3F">
              <w:rPr>
                <w:sz w:val="20"/>
                <w:szCs w:val="20"/>
              </w:rPr>
              <w:t>208</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7F16367" w14:textId="77777777">
            <w:pPr>
              <w:jc w:val="center"/>
              <w:rPr>
                <w:sz w:val="20"/>
                <w:szCs w:val="20"/>
              </w:rPr>
            </w:pPr>
            <w:r w:rsidRPr="00C31E3F">
              <w:rPr>
                <w:sz w:val="20"/>
                <w:szCs w:val="20"/>
              </w:rPr>
              <w:t>139.36</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27F0F54" w14:textId="77777777">
            <w:pPr>
              <w:jc w:val="center"/>
              <w:rPr>
                <w:sz w:val="20"/>
                <w:szCs w:val="20"/>
              </w:rPr>
            </w:pPr>
            <w:r w:rsidRPr="00C31E3F">
              <w:rPr>
                <w:sz w:val="20"/>
                <w:szCs w:val="20"/>
              </w:rPr>
              <w:t>6.968</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6F7BEA18" w14:textId="77777777">
            <w:pPr>
              <w:jc w:val="right"/>
              <w:rPr>
                <w:sz w:val="20"/>
                <w:szCs w:val="20"/>
              </w:rPr>
            </w:pPr>
            <w:r w:rsidRPr="00C31E3F">
              <w:rPr>
                <w:sz w:val="20"/>
                <w:szCs w:val="20"/>
              </w:rPr>
              <w:t xml:space="preserve">$8,108.38 </w:t>
            </w:r>
          </w:p>
        </w:tc>
      </w:tr>
      <w:tr w14:paraId="5B274B53"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19A787D" w14:textId="77777777">
            <w:pPr>
              <w:rPr>
                <w:color w:val="000000"/>
                <w:sz w:val="20"/>
                <w:szCs w:val="20"/>
              </w:rPr>
            </w:pPr>
            <w:r w:rsidRPr="00C31E3F">
              <w:rPr>
                <w:color w:val="000000"/>
                <w:sz w:val="20"/>
                <w:szCs w:val="20"/>
              </w:rPr>
              <w:t>2. Initial CAM Review</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E0CF6B4"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72612012"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3183F3A"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43E4680" w14:textId="77777777">
            <w:pPr>
              <w:jc w:val="center"/>
              <w:rPr>
                <w:sz w:val="20"/>
                <w:szCs w:val="20"/>
              </w:rPr>
            </w:pPr>
            <w:r w:rsidRPr="00C31E3F">
              <w:rPr>
                <w:sz w:val="20"/>
                <w:szCs w:val="20"/>
              </w:rPr>
              <w:t>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04235959" w14:textId="77777777">
            <w:pPr>
              <w:jc w:val="right"/>
              <w:rPr>
                <w:sz w:val="20"/>
                <w:szCs w:val="20"/>
              </w:rPr>
            </w:pPr>
            <w:r w:rsidRPr="00C31E3F">
              <w:rPr>
                <w:sz w:val="20"/>
                <w:szCs w:val="20"/>
              </w:rPr>
              <w:t> </w:t>
            </w:r>
          </w:p>
        </w:tc>
      </w:tr>
      <w:tr w14:paraId="4D013561" w14:textId="77777777" w:rsidTr="000C08CC">
        <w:tblPrEx>
          <w:tblW w:w="11000" w:type="dxa"/>
          <w:tblLook w:val="04A0"/>
        </w:tblPrEx>
        <w:trPr>
          <w:trHeight w:val="39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D819E80" w14:textId="77777777">
            <w:pPr>
              <w:ind w:firstLine="200" w:firstLineChars="100"/>
              <w:rPr>
                <w:color w:val="000000"/>
                <w:sz w:val="20"/>
                <w:szCs w:val="20"/>
              </w:rPr>
            </w:pPr>
            <w:r w:rsidRPr="00C31E3F">
              <w:rPr>
                <w:color w:val="000000"/>
                <w:sz w:val="20"/>
                <w:szCs w:val="20"/>
              </w:rPr>
              <w:t>A. Units without existing monitoring</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40AA44D4" w14:textId="77777777">
            <w:pPr>
              <w:jc w:val="center"/>
              <w:rPr>
                <w:sz w:val="20"/>
                <w:szCs w:val="20"/>
              </w:rPr>
            </w:pPr>
            <w:r w:rsidRPr="00C31E3F">
              <w:rPr>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5F1F58EC" w14:textId="77777777">
            <w:pPr>
              <w:jc w:val="center"/>
              <w:rPr>
                <w:sz w:val="20"/>
                <w:szCs w:val="20"/>
              </w:rPr>
            </w:pPr>
            <w:r w:rsidRPr="00C31E3F">
              <w:rPr>
                <w:sz w:val="20"/>
                <w:szCs w:val="20"/>
              </w:rPr>
              <w:t>74</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50A342C1" w14:textId="77777777">
            <w:pPr>
              <w:jc w:val="center"/>
              <w:rPr>
                <w:sz w:val="20"/>
                <w:szCs w:val="20"/>
              </w:rPr>
            </w:pPr>
            <w:r w:rsidRPr="00C31E3F">
              <w:rPr>
                <w:sz w:val="20"/>
                <w:szCs w:val="20"/>
              </w:rPr>
              <w:t>148</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2244CAF8" w14:textId="77777777">
            <w:pPr>
              <w:jc w:val="center"/>
              <w:rPr>
                <w:sz w:val="20"/>
                <w:szCs w:val="20"/>
              </w:rPr>
            </w:pPr>
            <w:r w:rsidRPr="00C31E3F">
              <w:rPr>
                <w:sz w:val="20"/>
                <w:szCs w:val="20"/>
              </w:rPr>
              <w:t>7.4</w:t>
            </w:r>
          </w:p>
        </w:tc>
        <w:tc>
          <w:tcPr>
            <w:tcW w:w="1900" w:type="dxa"/>
            <w:tcBorders>
              <w:top w:val="nil"/>
              <w:left w:val="nil"/>
              <w:bottom w:val="single" w:sz="4" w:space="0" w:color="auto"/>
              <w:right w:val="single" w:sz="4" w:space="0" w:color="auto"/>
            </w:tcBorders>
            <w:shd w:val="clear" w:color="auto" w:fill="auto"/>
            <w:vAlign w:val="center"/>
            <w:hideMark/>
          </w:tcPr>
          <w:p w:rsidR="0039497E" w:rsidRPr="00C31E3F" w:rsidP="000C08CC" w14:paraId="442B524D" w14:textId="77777777">
            <w:pPr>
              <w:jc w:val="right"/>
              <w:rPr>
                <w:sz w:val="20"/>
                <w:szCs w:val="20"/>
              </w:rPr>
            </w:pPr>
            <w:r w:rsidRPr="00C31E3F">
              <w:rPr>
                <w:sz w:val="20"/>
                <w:szCs w:val="20"/>
              </w:rPr>
              <w:t xml:space="preserve">$8,611.08 </w:t>
            </w:r>
          </w:p>
        </w:tc>
      </w:tr>
      <w:tr w14:paraId="5D5B58B3"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269A92C" w14:textId="77777777">
            <w:pPr>
              <w:ind w:firstLine="200" w:firstLineChars="100"/>
              <w:rPr>
                <w:color w:val="000000"/>
                <w:sz w:val="20"/>
                <w:szCs w:val="20"/>
              </w:rPr>
            </w:pPr>
            <w:r w:rsidRPr="00C31E3F">
              <w:rPr>
                <w:color w:val="000000"/>
                <w:sz w:val="20"/>
                <w:szCs w:val="20"/>
              </w:rPr>
              <w:t>B. Units with existing monitoring</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A8BDC24" w14:textId="77777777">
            <w:pPr>
              <w:jc w:val="center"/>
              <w:rPr>
                <w:sz w:val="20"/>
                <w:szCs w:val="20"/>
              </w:rPr>
            </w:pPr>
            <w:r w:rsidRPr="00C31E3F">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2894525" w14:textId="77777777">
            <w:pPr>
              <w:jc w:val="center"/>
              <w:rPr>
                <w:sz w:val="20"/>
                <w:szCs w:val="20"/>
              </w:rPr>
            </w:pPr>
            <w:r w:rsidRPr="00C31E3F">
              <w:rPr>
                <w:sz w:val="20"/>
                <w:szCs w:val="20"/>
              </w:rPr>
              <w:t>134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72E5DC8" w14:textId="77777777">
            <w:pPr>
              <w:jc w:val="center"/>
              <w:rPr>
                <w:sz w:val="20"/>
                <w:szCs w:val="20"/>
              </w:rPr>
            </w:pPr>
            <w:r w:rsidRPr="00C31E3F">
              <w:rPr>
                <w:sz w:val="20"/>
                <w:szCs w:val="20"/>
              </w:rPr>
              <w:t>134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8D0841F" w14:textId="77777777">
            <w:pPr>
              <w:jc w:val="center"/>
              <w:rPr>
                <w:sz w:val="20"/>
                <w:szCs w:val="20"/>
              </w:rPr>
            </w:pPr>
            <w:r w:rsidRPr="00C31E3F">
              <w:rPr>
                <w:sz w:val="20"/>
                <w:szCs w:val="20"/>
              </w:rPr>
              <w:t>6.7</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42695129" w14:textId="77777777">
            <w:pPr>
              <w:jc w:val="right"/>
              <w:rPr>
                <w:sz w:val="20"/>
                <w:szCs w:val="20"/>
              </w:rPr>
            </w:pPr>
            <w:r w:rsidRPr="00C31E3F">
              <w:rPr>
                <w:sz w:val="20"/>
                <w:szCs w:val="20"/>
              </w:rPr>
              <w:t xml:space="preserve">$7,796.52 </w:t>
            </w:r>
          </w:p>
        </w:tc>
      </w:tr>
      <w:tr w14:paraId="2767F641"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466BDD2" w14:textId="77777777">
            <w:pPr>
              <w:rPr>
                <w:color w:val="000000"/>
                <w:sz w:val="20"/>
                <w:szCs w:val="20"/>
              </w:rPr>
            </w:pPr>
            <w:r w:rsidRPr="00C31E3F">
              <w:rPr>
                <w:color w:val="000000"/>
                <w:sz w:val="20"/>
                <w:szCs w:val="20"/>
              </w:rPr>
              <w:t>3. Evaluate CAM Renewals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48CDF41" w14:textId="77777777">
            <w:pPr>
              <w:jc w:val="center"/>
              <w:rPr>
                <w:sz w:val="20"/>
                <w:szCs w:val="20"/>
              </w:rPr>
            </w:pPr>
            <w:r w:rsidRPr="00C31E3F">
              <w:rPr>
                <w:sz w:val="20"/>
                <w:szCs w:val="20"/>
              </w:rPr>
              <w:t>0.5</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B5DA2C4" w14:textId="77777777">
            <w:pPr>
              <w:jc w:val="center"/>
              <w:rPr>
                <w:sz w:val="20"/>
                <w:szCs w:val="20"/>
              </w:rPr>
            </w:pPr>
            <w:r w:rsidRPr="00C31E3F">
              <w:rPr>
                <w:sz w:val="20"/>
                <w:szCs w:val="20"/>
              </w:rPr>
              <w:t>4324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23A3776" w14:textId="77777777">
            <w:pPr>
              <w:jc w:val="center"/>
              <w:rPr>
                <w:sz w:val="20"/>
                <w:szCs w:val="20"/>
              </w:rPr>
            </w:pPr>
            <w:r w:rsidRPr="00C31E3F">
              <w:rPr>
                <w:sz w:val="20"/>
                <w:szCs w:val="20"/>
              </w:rPr>
              <w:t>2162</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E6E5FE5" w14:textId="77777777">
            <w:pPr>
              <w:jc w:val="center"/>
              <w:rPr>
                <w:sz w:val="20"/>
                <w:szCs w:val="20"/>
              </w:rPr>
            </w:pPr>
            <w:r w:rsidRPr="00C31E3F">
              <w:rPr>
                <w:sz w:val="20"/>
                <w:szCs w:val="20"/>
              </w:rPr>
              <w:t>108.1</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3B61863F" w14:textId="77777777">
            <w:pPr>
              <w:jc w:val="right"/>
              <w:rPr>
                <w:sz w:val="20"/>
                <w:szCs w:val="20"/>
              </w:rPr>
            </w:pPr>
            <w:r w:rsidRPr="00C31E3F">
              <w:rPr>
                <w:sz w:val="20"/>
                <w:szCs w:val="20"/>
              </w:rPr>
              <w:t xml:space="preserve">$125,791.65 </w:t>
            </w:r>
          </w:p>
        </w:tc>
      </w:tr>
      <w:tr w14:paraId="2533B034"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A5EED82" w14:textId="77777777">
            <w:pPr>
              <w:rPr>
                <w:color w:val="000000"/>
                <w:sz w:val="20"/>
                <w:szCs w:val="20"/>
              </w:rPr>
            </w:pPr>
            <w:r w:rsidRPr="00C31E3F">
              <w:rPr>
                <w:color w:val="000000"/>
                <w:sz w:val="20"/>
                <w:szCs w:val="20"/>
              </w:rPr>
              <w:t>4. Review QIPs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6CA8286" w14:textId="77777777">
            <w:pPr>
              <w:jc w:val="center"/>
              <w:rPr>
                <w:sz w:val="20"/>
                <w:szCs w:val="20"/>
              </w:rPr>
            </w:pPr>
            <w:r w:rsidRPr="00C31E3F">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1FE108B"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ACD7160"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683314A" w14:textId="77777777">
            <w:pPr>
              <w:jc w:val="center"/>
              <w:rPr>
                <w:sz w:val="20"/>
                <w:szCs w:val="20"/>
              </w:rPr>
            </w:pPr>
            <w:r w:rsidRPr="00C31E3F">
              <w:rPr>
                <w:sz w:val="20"/>
                <w:szCs w:val="20"/>
              </w:rPr>
              <w:t>0.44</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1206AD51" w14:textId="77777777">
            <w:pPr>
              <w:jc w:val="right"/>
              <w:rPr>
                <w:sz w:val="20"/>
                <w:szCs w:val="20"/>
              </w:rPr>
            </w:pPr>
            <w:r w:rsidRPr="00C31E3F">
              <w:rPr>
                <w:sz w:val="20"/>
                <w:szCs w:val="20"/>
              </w:rPr>
              <w:t xml:space="preserve">$512.85 </w:t>
            </w:r>
          </w:p>
        </w:tc>
      </w:tr>
      <w:tr w14:paraId="793A57C9"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AFB8212" w14:textId="77777777">
            <w:pPr>
              <w:rPr>
                <w:color w:val="000000"/>
                <w:sz w:val="20"/>
                <w:szCs w:val="20"/>
              </w:rPr>
            </w:pPr>
            <w:r w:rsidRPr="00C31E3F">
              <w:rPr>
                <w:color w:val="000000"/>
                <w:sz w:val="20"/>
                <w:szCs w:val="20"/>
              </w:rPr>
              <w:t>5. Review Reports of Corrective Actions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DB9DBCF" w14:textId="77777777">
            <w:pPr>
              <w:jc w:val="center"/>
              <w:rPr>
                <w:sz w:val="20"/>
                <w:szCs w:val="20"/>
              </w:rPr>
            </w:pPr>
            <w:r w:rsidRPr="00C31E3F">
              <w:rPr>
                <w:sz w:val="20"/>
                <w:szCs w:val="20"/>
              </w:rPr>
              <w:t>0.5</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E3263EC" w14:textId="77777777">
            <w:pPr>
              <w:jc w:val="center"/>
              <w:rPr>
                <w:sz w:val="20"/>
                <w:szCs w:val="20"/>
              </w:rPr>
            </w:pPr>
            <w:r w:rsidRPr="00C31E3F">
              <w:rPr>
                <w:sz w:val="20"/>
                <w:szCs w:val="20"/>
              </w:rPr>
              <w:t>18</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7E3038C3"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AFE7D7D" w14:textId="77777777">
            <w:pPr>
              <w:jc w:val="center"/>
              <w:rPr>
                <w:sz w:val="20"/>
                <w:szCs w:val="20"/>
              </w:rPr>
            </w:pPr>
            <w:r w:rsidRPr="00C31E3F">
              <w:rPr>
                <w:sz w:val="20"/>
                <w:szCs w:val="20"/>
              </w:rPr>
              <w:t>0.45</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3020E693" w14:textId="77777777">
            <w:pPr>
              <w:jc w:val="right"/>
              <w:rPr>
                <w:sz w:val="20"/>
                <w:szCs w:val="20"/>
              </w:rPr>
            </w:pPr>
            <w:r w:rsidRPr="00C31E3F">
              <w:rPr>
                <w:sz w:val="20"/>
                <w:szCs w:val="20"/>
              </w:rPr>
              <w:t xml:space="preserve">$523.65 </w:t>
            </w:r>
          </w:p>
        </w:tc>
      </w:tr>
      <w:tr w14:paraId="5191AF5B"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E46B7AC" w14:textId="77777777">
            <w:pPr>
              <w:rPr>
                <w:color w:val="000000"/>
                <w:sz w:val="20"/>
                <w:szCs w:val="20"/>
              </w:rPr>
            </w:pPr>
            <w:r w:rsidRPr="00C31E3F">
              <w:rPr>
                <w:color w:val="000000"/>
                <w:sz w:val="20"/>
                <w:szCs w:val="20"/>
              </w:rPr>
              <w:t>6. Review Annual Facility Certifications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A0132DB" w14:textId="77777777">
            <w:pPr>
              <w:jc w:val="center"/>
              <w:rPr>
                <w:sz w:val="20"/>
                <w:szCs w:val="20"/>
              </w:rPr>
            </w:pPr>
            <w:r w:rsidRPr="00C31E3F">
              <w:rPr>
                <w:sz w:val="20"/>
                <w:szCs w:val="20"/>
              </w:rPr>
              <w:t>0.33</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B08A837" w14:textId="77777777">
            <w:pPr>
              <w:jc w:val="center"/>
              <w:rPr>
                <w:sz w:val="20"/>
                <w:szCs w:val="20"/>
              </w:rPr>
            </w:pPr>
            <w:r w:rsidRPr="00C31E3F">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62A29B6" w14:textId="77777777">
            <w:pPr>
              <w:jc w:val="center"/>
              <w:rPr>
                <w:sz w:val="20"/>
                <w:szCs w:val="20"/>
              </w:rPr>
            </w:pPr>
            <w:r w:rsidRPr="00C31E3F">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A8EFBF7" w14:textId="77777777">
            <w:pPr>
              <w:jc w:val="center"/>
              <w:rPr>
                <w:sz w:val="20"/>
                <w:szCs w:val="20"/>
              </w:rPr>
            </w:pPr>
            <w:r w:rsidRPr="00C31E3F">
              <w:rPr>
                <w:sz w:val="20"/>
                <w:szCs w:val="20"/>
              </w:rPr>
              <w:t>0</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3A650C32" w14:textId="77777777">
            <w:pPr>
              <w:jc w:val="right"/>
              <w:rPr>
                <w:sz w:val="20"/>
                <w:szCs w:val="20"/>
              </w:rPr>
            </w:pPr>
            <w:r w:rsidRPr="00C31E3F">
              <w:rPr>
                <w:sz w:val="20"/>
                <w:szCs w:val="20"/>
              </w:rPr>
              <w:t xml:space="preserve">$0.00 </w:t>
            </w:r>
          </w:p>
        </w:tc>
      </w:tr>
      <w:tr w14:paraId="06CCE2C5" w14:textId="77777777" w:rsidTr="000C08CC">
        <w:tblPrEx>
          <w:tblW w:w="11000" w:type="dxa"/>
          <w:tblLook w:val="04A0"/>
        </w:tblPrEx>
        <w:trPr>
          <w:trHeight w:val="3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5D01240D" w14:textId="77777777">
            <w:pPr>
              <w:rPr>
                <w:b/>
                <w:bCs/>
                <w:sz w:val="20"/>
                <w:szCs w:val="20"/>
              </w:rPr>
            </w:pPr>
            <w:r w:rsidRPr="00C31E3F">
              <w:rPr>
                <w:b/>
                <w:bCs/>
                <w:sz w:val="20"/>
                <w:szCs w:val="20"/>
              </w:rPr>
              <w:t xml:space="preserve">TOTAL (rounded) </w:t>
            </w:r>
            <w:r w:rsidRPr="00C31E3F">
              <w:rPr>
                <w:b/>
                <w:bCs/>
                <w:sz w:val="20"/>
                <w:szCs w:val="20"/>
                <w:vertAlign w:val="superscript"/>
              </w:rPr>
              <w:t>h</w:t>
            </w:r>
          </w:p>
        </w:tc>
        <w:tc>
          <w:tcPr>
            <w:tcW w:w="25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9497E" w:rsidRPr="00C31E3F" w:rsidP="000C08CC" w14:paraId="0FD0F971" w14:textId="77777777">
            <w:pPr>
              <w:jc w:val="center"/>
              <w:rPr>
                <w:b/>
                <w:bCs/>
                <w:sz w:val="20"/>
                <w:szCs w:val="20"/>
              </w:rPr>
            </w:pPr>
            <w:r w:rsidRPr="00C31E3F">
              <w:rPr>
                <w:b/>
                <w:bCs/>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EFE1B0C" w14:textId="77777777">
            <w:pPr>
              <w:rPr>
                <w:b/>
                <w:bCs/>
                <w:sz w:val="20"/>
                <w:szCs w:val="20"/>
              </w:rPr>
            </w:pPr>
            <w:r>
              <w:rPr>
                <w:b/>
                <w:bCs/>
                <w:sz w:val="20"/>
                <w:szCs w:val="20"/>
              </w:rPr>
              <w:t xml:space="preserve"> </w:t>
            </w:r>
            <w:r w:rsidRPr="00C31E3F">
              <w:rPr>
                <w:b/>
                <w:bCs/>
                <w:sz w:val="20"/>
                <w:szCs w:val="20"/>
              </w:rPr>
              <w:t xml:space="preserve">4,010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56081A3" w14:textId="77777777">
            <w:pPr>
              <w:rPr>
                <w:b/>
                <w:bCs/>
                <w:sz w:val="20"/>
                <w:szCs w:val="20"/>
              </w:rPr>
            </w:pPr>
            <w:r>
              <w:rPr>
                <w:b/>
                <w:bCs/>
                <w:sz w:val="20"/>
                <w:szCs w:val="20"/>
              </w:rPr>
              <w:t xml:space="preserve"> </w:t>
            </w:r>
            <w:r w:rsidRPr="00C31E3F">
              <w:rPr>
                <w:b/>
                <w:bCs/>
                <w:sz w:val="20"/>
                <w:szCs w:val="20"/>
              </w:rPr>
              <w:t xml:space="preserve">200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725A21BA" w14:textId="77777777">
            <w:pPr>
              <w:jc w:val="right"/>
              <w:rPr>
                <w:b/>
                <w:bCs/>
                <w:sz w:val="20"/>
                <w:szCs w:val="20"/>
              </w:rPr>
            </w:pPr>
            <w:r w:rsidRPr="00C31E3F">
              <w:rPr>
                <w:b/>
                <w:bCs/>
                <w:sz w:val="20"/>
                <w:szCs w:val="20"/>
              </w:rPr>
              <w:t xml:space="preserve">$233,000 </w:t>
            </w:r>
          </w:p>
        </w:tc>
      </w:tr>
      <w:tr w14:paraId="776A0975" w14:textId="77777777" w:rsidTr="000C08CC">
        <w:tblPrEx>
          <w:tblW w:w="11000" w:type="dxa"/>
          <w:tblLook w:val="04A0"/>
        </w:tblPrEx>
        <w:trPr>
          <w:trHeight w:val="195"/>
        </w:trPr>
        <w:tc>
          <w:tcPr>
            <w:tcW w:w="11000" w:type="dxa"/>
            <w:gridSpan w:val="6"/>
            <w:tcBorders>
              <w:top w:val="single" w:sz="4" w:space="0" w:color="auto"/>
              <w:left w:val="nil"/>
              <w:bottom w:val="nil"/>
              <w:right w:val="nil"/>
            </w:tcBorders>
            <w:shd w:val="clear" w:color="auto" w:fill="auto"/>
            <w:noWrap/>
            <w:hideMark/>
          </w:tcPr>
          <w:p w:rsidR="0039497E" w:rsidRPr="00C31E3F" w:rsidP="000C08CC" w14:paraId="7D245F54" w14:textId="77777777">
            <w:pPr>
              <w:rPr>
                <w:sz w:val="20"/>
                <w:szCs w:val="20"/>
              </w:rPr>
            </w:pPr>
            <w:r w:rsidRPr="00C31E3F">
              <w:rPr>
                <w:sz w:val="20"/>
                <w:szCs w:val="20"/>
              </w:rPr>
              <w:t> </w:t>
            </w:r>
          </w:p>
        </w:tc>
      </w:tr>
      <w:tr w14:paraId="3BBD93E3" w14:textId="77777777" w:rsidTr="000C08CC">
        <w:tblPrEx>
          <w:tblW w:w="11000" w:type="dxa"/>
          <w:tblLook w:val="04A0"/>
        </w:tblPrEx>
        <w:trPr>
          <w:trHeight w:val="375"/>
        </w:trPr>
        <w:tc>
          <w:tcPr>
            <w:tcW w:w="11000" w:type="dxa"/>
            <w:gridSpan w:val="6"/>
            <w:tcBorders>
              <w:top w:val="nil"/>
              <w:left w:val="nil"/>
              <w:bottom w:val="nil"/>
              <w:right w:val="nil"/>
            </w:tcBorders>
            <w:shd w:val="clear" w:color="auto" w:fill="auto"/>
            <w:noWrap/>
            <w:vAlign w:val="bottom"/>
            <w:hideMark/>
          </w:tcPr>
          <w:p w:rsidR="0039497E" w:rsidRPr="00C31E3F" w:rsidP="000C08CC" w14:paraId="39F9B5BB" w14:textId="77777777">
            <w:pPr>
              <w:rPr>
                <w:b/>
                <w:bCs/>
                <w:sz w:val="20"/>
                <w:szCs w:val="20"/>
              </w:rPr>
            </w:pPr>
            <w:r w:rsidRPr="00C31E3F">
              <w:rPr>
                <w:b/>
                <w:bCs/>
                <w:sz w:val="20"/>
                <w:szCs w:val="20"/>
              </w:rPr>
              <w:t>Assumptions:</w:t>
            </w:r>
          </w:p>
        </w:tc>
      </w:tr>
      <w:tr w14:paraId="77D4D123" w14:textId="77777777" w:rsidTr="000C08CC">
        <w:tblPrEx>
          <w:tblW w:w="11000" w:type="dxa"/>
          <w:tblLook w:val="04A0"/>
        </w:tblPrEx>
        <w:trPr>
          <w:trHeight w:val="243"/>
        </w:trPr>
        <w:tc>
          <w:tcPr>
            <w:tcW w:w="11000" w:type="dxa"/>
            <w:gridSpan w:val="6"/>
            <w:tcBorders>
              <w:top w:val="nil"/>
              <w:left w:val="nil"/>
              <w:bottom w:val="nil"/>
              <w:right w:val="nil"/>
            </w:tcBorders>
            <w:shd w:val="clear" w:color="auto" w:fill="auto"/>
            <w:vAlign w:val="bottom"/>
            <w:hideMark/>
          </w:tcPr>
          <w:p w:rsidR="0039497E" w:rsidRPr="00C31E3F" w:rsidP="0039497E" w14:paraId="72DF33D8" w14:textId="77777777">
            <w:pPr>
              <w:spacing w:after="0"/>
              <w:rPr>
                <w:sz w:val="20"/>
                <w:szCs w:val="20"/>
              </w:rPr>
            </w:pPr>
            <w:r w:rsidRPr="00C31E3F">
              <w:rPr>
                <w:sz w:val="20"/>
                <w:szCs w:val="20"/>
                <w:vertAlign w:val="superscript"/>
              </w:rPr>
              <w:t>a</w:t>
            </w:r>
            <w:r>
              <w:rPr>
                <w:sz w:val="20"/>
                <w:szCs w:val="20"/>
              </w:rPr>
              <w:t xml:space="preserve"> </w:t>
            </w:r>
            <w:r w:rsidRPr="00C31E3F">
              <w:rPr>
                <w:sz w:val="20"/>
                <w:szCs w:val="20"/>
              </w:rPr>
              <w:t>See section 4(b)(ii) for a description of these activities.</w:t>
            </w:r>
          </w:p>
        </w:tc>
      </w:tr>
      <w:tr w14:paraId="498666D3" w14:textId="77777777" w:rsidTr="000C08CC">
        <w:tblPrEx>
          <w:tblW w:w="11000" w:type="dxa"/>
          <w:tblLook w:val="04A0"/>
        </w:tblPrEx>
        <w:trPr>
          <w:trHeight w:val="270"/>
        </w:trPr>
        <w:tc>
          <w:tcPr>
            <w:tcW w:w="11000" w:type="dxa"/>
            <w:gridSpan w:val="6"/>
            <w:tcBorders>
              <w:top w:val="nil"/>
              <w:left w:val="nil"/>
              <w:bottom w:val="nil"/>
              <w:right w:val="nil"/>
            </w:tcBorders>
            <w:shd w:val="clear" w:color="auto" w:fill="auto"/>
            <w:vAlign w:val="bottom"/>
            <w:hideMark/>
          </w:tcPr>
          <w:p w:rsidR="0039497E" w:rsidRPr="00C31E3F" w:rsidP="0039497E" w14:paraId="3A682CAB" w14:textId="77777777">
            <w:pPr>
              <w:spacing w:after="0"/>
              <w:rPr>
                <w:sz w:val="20"/>
                <w:szCs w:val="20"/>
              </w:rPr>
            </w:pPr>
            <w:r w:rsidRPr="00C31E3F">
              <w:rPr>
                <w:sz w:val="20"/>
                <w:szCs w:val="20"/>
                <w:vertAlign w:val="superscript"/>
              </w:rPr>
              <w:t>b</w:t>
            </w:r>
            <w:r>
              <w:rPr>
                <w:sz w:val="20"/>
                <w:szCs w:val="20"/>
              </w:rPr>
              <w:t xml:space="preserve"> </w:t>
            </w:r>
            <w:r w:rsidRPr="00C31E3F">
              <w:rPr>
                <w:sz w:val="20"/>
                <w:szCs w:val="20"/>
              </w:rPr>
              <w:t>All hours are per PSEU unless otherwise noted.</w:t>
            </w:r>
          </w:p>
        </w:tc>
      </w:tr>
      <w:tr w14:paraId="22783B1C" w14:textId="77777777" w:rsidTr="000C08CC">
        <w:tblPrEx>
          <w:tblW w:w="11000" w:type="dxa"/>
          <w:tblLook w:val="04A0"/>
        </w:tblPrEx>
        <w:trPr>
          <w:trHeight w:val="900"/>
        </w:trPr>
        <w:tc>
          <w:tcPr>
            <w:tcW w:w="11000" w:type="dxa"/>
            <w:gridSpan w:val="6"/>
            <w:tcBorders>
              <w:top w:val="nil"/>
              <w:left w:val="nil"/>
              <w:bottom w:val="nil"/>
              <w:right w:val="nil"/>
            </w:tcBorders>
            <w:shd w:val="clear" w:color="auto" w:fill="auto"/>
            <w:vAlign w:val="bottom"/>
            <w:hideMark/>
          </w:tcPr>
          <w:p w:rsidR="0039497E" w:rsidRPr="00C31E3F" w:rsidP="0039497E" w14:paraId="44238A2A" w14:textId="77777777">
            <w:pPr>
              <w:spacing w:after="0"/>
              <w:rPr>
                <w:sz w:val="20"/>
                <w:szCs w:val="20"/>
              </w:rPr>
            </w:pPr>
            <w:r w:rsidRPr="00C31E3F">
              <w:rPr>
                <w:sz w:val="20"/>
                <w:szCs w:val="20"/>
                <w:vertAlign w:val="superscript"/>
              </w:rPr>
              <w:t>c</w:t>
            </w:r>
            <w:r>
              <w:rPr>
                <w:sz w:val="20"/>
                <w:szCs w:val="20"/>
                <w:vertAlign w:val="superscript"/>
              </w:rPr>
              <w:t xml:space="preserve"> </w:t>
            </w:r>
            <w:r w:rsidRPr="00C31E3F">
              <w:rPr>
                <w:sz w:val="20"/>
                <w:szCs w:val="20"/>
              </w:rPr>
              <w:t>The cost is based on the following labor rates: Managerial rate of $73.46 (GS-13, Step 5, $45.91 + 60%) and Technical rate of $54.51 (GS-12, Step 1, $34.07 + 60%).</w:t>
            </w:r>
            <w:r>
              <w:rPr>
                <w:sz w:val="20"/>
                <w:szCs w:val="20"/>
              </w:rPr>
              <w:t xml:space="preserve"> </w:t>
            </w:r>
            <w:r w:rsidRPr="00C31E3F">
              <w:rPr>
                <w:sz w:val="20"/>
                <w:szCs w:val="20"/>
              </w:rPr>
              <w:t>These rates are from the Office of Personnel Management (OPM), 2023 General Schedule, which excludes locality, rates of pay. The rates have been increased by 60 percent to account for the benefit packages available to government employees.</w:t>
            </w:r>
          </w:p>
        </w:tc>
      </w:tr>
      <w:tr w14:paraId="4F66A5FF" w14:textId="77777777" w:rsidTr="000C08CC">
        <w:tblPrEx>
          <w:tblW w:w="11000" w:type="dxa"/>
          <w:tblLook w:val="04A0"/>
        </w:tblPrEx>
        <w:trPr>
          <w:trHeight w:val="522"/>
        </w:trPr>
        <w:tc>
          <w:tcPr>
            <w:tcW w:w="11000" w:type="dxa"/>
            <w:gridSpan w:val="6"/>
            <w:tcBorders>
              <w:top w:val="nil"/>
              <w:left w:val="nil"/>
              <w:bottom w:val="nil"/>
              <w:right w:val="nil"/>
            </w:tcBorders>
            <w:shd w:val="clear" w:color="auto" w:fill="auto"/>
            <w:vAlign w:val="bottom"/>
            <w:hideMark/>
          </w:tcPr>
          <w:p w:rsidR="0039497E" w:rsidRPr="00C31E3F" w:rsidP="0039497E" w14:paraId="79807071" w14:textId="77777777">
            <w:pPr>
              <w:spacing w:after="0"/>
              <w:rPr>
                <w:sz w:val="20"/>
                <w:szCs w:val="20"/>
              </w:rPr>
            </w:pPr>
            <w:r w:rsidRPr="00C31E3F">
              <w:rPr>
                <w:sz w:val="20"/>
                <w:szCs w:val="20"/>
                <w:vertAlign w:val="superscript"/>
              </w:rPr>
              <w:t>d</w:t>
            </w:r>
            <w:r>
              <w:rPr>
                <w:sz w:val="20"/>
                <w:szCs w:val="20"/>
              </w:rPr>
              <w:t xml:space="preserve"> </w:t>
            </w:r>
            <w:r w:rsidRPr="00C31E3F">
              <w:rPr>
                <w:sz w:val="20"/>
                <w:szCs w:val="20"/>
              </w:rPr>
              <w:t>Burden for Rule Familiarization is per Permitting Authority (PA), of which there are 117. Because this is a mature program, PAs are generally familiar with the CAM Rule, but we include 12 hours/year per PA for new staff to become familiar with the rule.</w:t>
            </w:r>
          </w:p>
        </w:tc>
      </w:tr>
      <w:tr w14:paraId="4C3DADF0" w14:textId="77777777" w:rsidTr="000C08CC">
        <w:tblPrEx>
          <w:tblW w:w="11000" w:type="dxa"/>
          <w:tblLook w:val="04A0"/>
        </w:tblPrEx>
        <w:trPr>
          <w:trHeight w:val="384"/>
        </w:trPr>
        <w:tc>
          <w:tcPr>
            <w:tcW w:w="11000" w:type="dxa"/>
            <w:gridSpan w:val="6"/>
            <w:tcBorders>
              <w:top w:val="nil"/>
              <w:left w:val="nil"/>
              <w:bottom w:val="nil"/>
              <w:right w:val="nil"/>
            </w:tcBorders>
            <w:shd w:val="clear" w:color="auto" w:fill="auto"/>
            <w:vAlign w:val="center"/>
            <w:hideMark/>
          </w:tcPr>
          <w:p w:rsidR="0039497E" w:rsidP="0039497E" w14:paraId="30C351F6" w14:textId="77777777">
            <w:pPr>
              <w:spacing w:after="0"/>
              <w:rPr>
                <w:sz w:val="20"/>
                <w:szCs w:val="20"/>
              </w:rPr>
            </w:pPr>
            <w:r w:rsidRPr="00C31E3F">
              <w:rPr>
                <w:sz w:val="20"/>
                <w:szCs w:val="20"/>
                <w:vertAlign w:val="superscript"/>
              </w:rPr>
              <w:t>e</w:t>
            </w:r>
            <w:r>
              <w:rPr>
                <w:sz w:val="20"/>
                <w:szCs w:val="20"/>
              </w:rPr>
              <w:t xml:space="preserve"> </w:t>
            </w:r>
            <w:r w:rsidRPr="00C31E3F">
              <w:rPr>
                <w:sz w:val="20"/>
                <w:szCs w:val="20"/>
              </w:rPr>
              <w:t>Totals have been rounded to 3 significant figures. Figures may not add exactly due to rounding.</w:t>
            </w:r>
          </w:p>
          <w:p w:rsidR="0039497E" w:rsidP="0039497E" w14:paraId="43C72CDB" w14:textId="77777777">
            <w:pPr>
              <w:spacing w:after="0"/>
              <w:rPr>
                <w:sz w:val="20"/>
                <w:szCs w:val="20"/>
              </w:rPr>
            </w:pPr>
          </w:p>
          <w:p w:rsidR="0039497E" w:rsidRPr="00C31E3F" w:rsidP="0039497E" w14:paraId="2FFB06B9" w14:textId="77777777">
            <w:pPr>
              <w:spacing w:after="0"/>
              <w:rPr>
                <w:sz w:val="20"/>
                <w:szCs w:val="20"/>
              </w:rPr>
            </w:pPr>
          </w:p>
        </w:tc>
      </w:tr>
    </w:tbl>
    <w:p w:rsidR="0039497E" w:rsidRPr="008A6766" w:rsidP="0039497E" w14:paraId="7546BC02" w14:textId="77777777">
      <w:pPr>
        <w:rPr>
          <w:b/>
          <w:bCs/>
        </w:rPr>
      </w:pPr>
      <w:r w:rsidRPr="008A6766">
        <w:rPr>
          <w:b/>
          <w:bCs/>
        </w:rPr>
        <w:t>Table 6.2</w:t>
      </w:r>
      <w:r>
        <w:rPr>
          <w:b/>
          <w:bCs/>
        </w:rPr>
        <w:t>c</w:t>
      </w:r>
      <w:r w:rsidRPr="008A6766">
        <w:rPr>
          <w:b/>
          <w:bCs/>
        </w:rPr>
        <w:t>: Total Permitting Authority Burden and Labor Costs for All "Large" and "Other" Sources - All Pollutants, 202</w:t>
      </w:r>
      <w:r>
        <w:rPr>
          <w:b/>
          <w:bCs/>
        </w:rPr>
        <w:t>5</w:t>
      </w:r>
      <w:r w:rsidRPr="008A6766">
        <w:rPr>
          <w:b/>
          <w:bCs/>
        </w:rPr>
        <w:t>-2</w:t>
      </w:r>
      <w:r>
        <w:rPr>
          <w:b/>
          <w:bCs/>
        </w:rPr>
        <w:t>6</w:t>
      </w:r>
    </w:p>
    <w:tbl>
      <w:tblPr>
        <w:tblW w:w="11000" w:type="dxa"/>
        <w:tblLook w:val="04A0"/>
      </w:tblPr>
      <w:tblGrid>
        <w:gridCol w:w="4011"/>
        <w:gridCol w:w="1260"/>
        <w:gridCol w:w="1260"/>
        <w:gridCol w:w="1260"/>
        <w:gridCol w:w="1309"/>
        <w:gridCol w:w="1900"/>
      </w:tblGrid>
      <w:tr w14:paraId="5FCB8CBE" w14:textId="77777777" w:rsidTr="000C08CC">
        <w:tblPrEx>
          <w:tblW w:w="11000" w:type="dxa"/>
          <w:tblLook w:val="04A0"/>
        </w:tblPrEx>
        <w:trPr>
          <w:trHeight w:val="1104"/>
        </w:trPr>
        <w:tc>
          <w:tcPr>
            <w:tcW w:w="4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97E" w:rsidRPr="00C31E3F" w:rsidP="000C08CC" w14:paraId="35A7812D" w14:textId="77777777">
            <w:pPr>
              <w:jc w:val="center"/>
              <w:rPr>
                <w:sz w:val="20"/>
                <w:szCs w:val="20"/>
              </w:rPr>
            </w:pPr>
            <w:r w:rsidRPr="00C31E3F">
              <w:rPr>
                <w:sz w:val="20"/>
                <w:szCs w:val="20"/>
              </w:rPr>
              <w:t xml:space="preserve">Burden item </w:t>
            </w:r>
            <w:r w:rsidRPr="00C31E3F">
              <w:rPr>
                <w:sz w:val="20"/>
                <w:szCs w:val="20"/>
                <w:vertAlign w:val="superscript"/>
              </w:rPr>
              <w:t>a</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76137D47" w14:textId="77777777">
            <w:pPr>
              <w:jc w:val="center"/>
              <w:rPr>
                <w:sz w:val="20"/>
                <w:szCs w:val="20"/>
              </w:rPr>
            </w:pPr>
            <w:r w:rsidRPr="00C31E3F">
              <w:rPr>
                <w:sz w:val="20"/>
                <w:szCs w:val="20"/>
              </w:rPr>
              <w:t>(A)</w:t>
            </w:r>
            <w:r w:rsidRPr="00C31E3F">
              <w:rPr>
                <w:sz w:val="20"/>
                <w:szCs w:val="20"/>
              </w:rPr>
              <w:br/>
              <w:t xml:space="preserve">Technical hours per occurrence </w:t>
            </w:r>
            <w:r w:rsidRPr="00C31E3F">
              <w:rPr>
                <w:sz w:val="20"/>
                <w:szCs w:val="20"/>
                <w:vertAlign w:val="superscript"/>
              </w:rPr>
              <w:t>b</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64B9F624" w14:textId="77777777">
            <w:pPr>
              <w:jc w:val="center"/>
              <w:rPr>
                <w:sz w:val="20"/>
                <w:szCs w:val="20"/>
              </w:rPr>
            </w:pPr>
            <w:r w:rsidRPr="00C31E3F">
              <w:rPr>
                <w:sz w:val="20"/>
                <w:szCs w:val="20"/>
              </w:rPr>
              <w:t xml:space="preserve">(B) </w:t>
            </w:r>
            <w:r w:rsidRPr="00C31E3F">
              <w:rPr>
                <w:sz w:val="20"/>
                <w:szCs w:val="20"/>
              </w:rPr>
              <w:br/>
              <w:t>Occurrences per year</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4D24ABE7" w14:textId="77777777">
            <w:pPr>
              <w:jc w:val="center"/>
              <w:rPr>
                <w:sz w:val="20"/>
                <w:szCs w:val="20"/>
              </w:rPr>
            </w:pPr>
            <w:r w:rsidRPr="00C31E3F">
              <w:rPr>
                <w:sz w:val="20"/>
                <w:szCs w:val="20"/>
              </w:rPr>
              <w:t xml:space="preserve">(C) </w:t>
            </w:r>
            <w:r w:rsidRPr="00C31E3F">
              <w:rPr>
                <w:sz w:val="20"/>
                <w:szCs w:val="20"/>
              </w:rPr>
              <w:br/>
              <w:t>Technical hours per year (AxB)</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12E39B2E" w14:textId="77777777">
            <w:pPr>
              <w:jc w:val="center"/>
              <w:rPr>
                <w:sz w:val="20"/>
                <w:szCs w:val="20"/>
              </w:rPr>
            </w:pPr>
            <w:r w:rsidRPr="00C31E3F">
              <w:rPr>
                <w:sz w:val="20"/>
                <w:szCs w:val="20"/>
              </w:rPr>
              <w:t xml:space="preserve">(D) </w:t>
            </w:r>
            <w:r w:rsidRPr="00C31E3F">
              <w:rPr>
                <w:sz w:val="20"/>
                <w:szCs w:val="20"/>
              </w:rPr>
              <w:br/>
              <w:t>Management hours per year (Cx0.05)</w:t>
            </w:r>
          </w:p>
        </w:tc>
        <w:tc>
          <w:tcPr>
            <w:tcW w:w="190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40C4FA85" w14:textId="77777777">
            <w:pPr>
              <w:jc w:val="center"/>
              <w:rPr>
                <w:sz w:val="20"/>
                <w:szCs w:val="20"/>
              </w:rPr>
            </w:pPr>
            <w:r w:rsidRPr="00C31E3F">
              <w:rPr>
                <w:sz w:val="20"/>
                <w:szCs w:val="20"/>
              </w:rPr>
              <w:t xml:space="preserve">(E) </w:t>
            </w:r>
            <w:r w:rsidRPr="00C31E3F">
              <w:rPr>
                <w:sz w:val="20"/>
                <w:szCs w:val="20"/>
              </w:rPr>
              <w:br/>
              <w:t xml:space="preserve">Total cost per year </w:t>
            </w:r>
            <w:r w:rsidRPr="00C31E3F">
              <w:rPr>
                <w:sz w:val="20"/>
                <w:szCs w:val="20"/>
                <w:vertAlign w:val="superscript"/>
              </w:rPr>
              <w:t>c</w:t>
            </w:r>
          </w:p>
        </w:tc>
      </w:tr>
      <w:tr w14:paraId="0A404175"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hideMark/>
          </w:tcPr>
          <w:p w:rsidR="0039497E" w:rsidRPr="00C31E3F" w:rsidP="000C08CC" w14:paraId="1EE3395B" w14:textId="77777777">
            <w:pPr>
              <w:rPr>
                <w:sz w:val="20"/>
                <w:szCs w:val="20"/>
              </w:rPr>
            </w:pPr>
            <w:r w:rsidRPr="00C31E3F">
              <w:rPr>
                <w:sz w:val="20"/>
                <w:szCs w:val="20"/>
              </w:rPr>
              <w:t>1. CAM Activities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E1C13DB"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6326A16"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71CAA4E"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1BE43C8" w14:textId="77777777">
            <w:pPr>
              <w:jc w:val="center"/>
              <w:rPr>
                <w:sz w:val="20"/>
                <w:szCs w:val="20"/>
              </w:rPr>
            </w:pPr>
            <w:r w:rsidRPr="00C31E3F">
              <w:rPr>
                <w:sz w:val="20"/>
                <w:szCs w:val="20"/>
              </w:rPr>
              <w:t>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5B3B3A81" w14:textId="77777777">
            <w:pPr>
              <w:jc w:val="right"/>
              <w:rPr>
                <w:sz w:val="20"/>
                <w:szCs w:val="20"/>
              </w:rPr>
            </w:pPr>
            <w:r w:rsidRPr="00C31E3F">
              <w:rPr>
                <w:sz w:val="20"/>
                <w:szCs w:val="20"/>
              </w:rPr>
              <w:t> </w:t>
            </w:r>
          </w:p>
        </w:tc>
      </w:tr>
      <w:tr w14:paraId="2868298D" w14:textId="77777777" w:rsidTr="000C08CC">
        <w:tblPrEx>
          <w:tblW w:w="11000" w:type="dxa"/>
          <w:tblLook w:val="04A0"/>
        </w:tblPrEx>
        <w:trPr>
          <w:trHeight w:val="312"/>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E1BC9C5" w14:textId="77777777">
            <w:pPr>
              <w:ind w:firstLine="200" w:firstLineChars="100"/>
              <w:rPr>
                <w:color w:val="000000"/>
                <w:sz w:val="20"/>
                <w:szCs w:val="20"/>
              </w:rPr>
            </w:pPr>
            <w:r w:rsidRPr="00C31E3F">
              <w:rPr>
                <w:color w:val="000000"/>
                <w:sz w:val="20"/>
                <w:szCs w:val="20"/>
              </w:rPr>
              <w:t xml:space="preserve">A. Rule familiarization </w:t>
            </w:r>
            <w:r w:rsidRPr="00C31E3F">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B18611B" w14:textId="77777777">
            <w:pPr>
              <w:jc w:val="center"/>
              <w:rPr>
                <w:sz w:val="20"/>
                <w:szCs w:val="20"/>
              </w:rPr>
            </w:pPr>
            <w:r w:rsidRPr="00C31E3F">
              <w:rPr>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1524125" w14:textId="77777777">
            <w:pPr>
              <w:jc w:val="center"/>
              <w:rPr>
                <w:sz w:val="20"/>
                <w:szCs w:val="20"/>
              </w:rPr>
            </w:pPr>
            <w:r w:rsidRPr="00C31E3F">
              <w:rPr>
                <w:sz w:val="20"/>
                <w:szCs w:val="20"/>
              </w:rPr>
              <w:t>117</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B99F77D" w14:textId="77777777">
            <w:pPr>
              <w:jc w:val="center"/>
              <w:rPr>
                <w:sz w:val="20"/>
                <w:szCs w:val="20"/>
              </w:rPr>
            </w:pPr>
            <w:r w:rsidRPr="00C31E3F">
              <w:rPr>
                <w:sz w:val="20"/>
                <w:szCs w:val="20"/>
              </w:rPr>
              <w:t>1404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CB86874" w14:textId="77777777">
            <w:pPr>
              <w:jc w:val="center"/>
              <w:rPr>
                <w:sz w:val="20"/>
                <w:szCs w:val="20"/>
              </w:rPr>
            </w:pPr>
            <w:r w:rsidRPr="00C31E3F">
              <w:rPr>
                <w:sz w:val="20"/>
                <w:szCs w:val="20"/>
              </w:rPr>
              <w:t>70.2</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198BEF4D" w14:textId="77777777">
            <w:pPr>
              <w:jc w:val="right"/>
              <w:rPr>
                <w:sz w:val="20"/>
                <w:szCs w:val="20"/>
              </w:rPr>
            </w:pPr>
            <w:r w:rsidRPr="00C31E3F">
              <w:rPr>
                <w:sz w:val="20"/>
                <w:szCs w:val="20"/>
              </w:rPr>
              <w:t xml:space="preserve">$81,688.93 </w:t>
            </w:r>
          </w:p>
        </w:tc>
      </w:tr>
      <w:tr w14:paraId="25904D15"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3F0ED220" w14:textId="77777777">
            <w:pPr>
              <w:ind w:firstLine="200" w:firstLineChars="100"/>
              <w:rPr>
                <w:color w:val="000000"/>
                <w:sz w:val="20"/>
                <w:szCs w:val="20"/>
              </w:rPr>
            </w:pPr>
            <w:r w:rsidRPr="00C31E3F">
              <w:rPr>
                <w:color w:val="000000"/>
                <w:sz w:val="20"/>
                <w:szCs w:val="20"/>
              </w:rPr>
              <w:t>B. Determine applicability</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69FEF8A" w14:textId="77777777">
            <w:pPr>
              <w:jc w:val="center"/>
              <w:rPr>
                <w:sz w:val="20"/>
                <w:szCs w:val="20"/>
              </w:rPr>
            </w:pPr>
            <w:r w:rsidRPr="00C31E3F">
              <w:rPr>
                <w:sz w:val="20"/>
                <w:szCs w:val="20"/>
              </w:rPr>
              <w:t>0.67</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0B559C6" w14:textId="77777777">
            <w:pPr>
              <w:jc w:val="center"/>
              <w:rPr>
                <w:sz w:val="20"/>
                <w:szCs w:val="20"/>
              </w:rPr>
            </w:pPr>
            <w:r w:rsidRPr="00C31E3F">
              <w:rPr>
                <w:sz w:val="20"/>
                <w:szCs w:val="20"/>
              </w:rPr>
              <w:t>208</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841D633" w14:textId="77777777">
            <w:pPr>
              <w:jc w:val="center"/>
              <w:rPr>
                <w:sz w:val="20"/>
                <w:szCs w:val="20"/>
              </w:rPr>
            </w:pPr>
            <w:r w:rsidRPr="00C31E3F">
              <w:rPr>
                <w:sz w:val="20"/>
                <w:szCs w:val="20"/>
              </w:rPr>
              <w:t>139.36</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0C33120" w14:textId="77777777">
            <w:pPr>
              <w:jc w:val="center"/>
              <w:rPr>
                <w:sz w:val="20"/>
                <w:szCs w:val="20"/>
              </w:rPr>
            </w:pPr>
            <w:r w:rsidRPr="00C31E3F">
              <w:rPr>
                <w:sz w:val="20"/>
                <w:szCs w:val="20"/>
              </w:rPr>
              <w:t>6.968</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6B408738" w14:textId="77777777">
            <w:pPr>
              <w:jc w:val="right"/>
              <w:rPr>
                <w:sz w:val="20"/>
                <w:szCs w:val="20"/>
              </w:rPr>
            </w:pPr>
            <w:r w:rsidRPr="00C31E3F">
              <w:rPr>
                <w:sz w:val="20"/>
                <w:szCs w:val="20"/>
              </w:rPr>
              <w:t xml:space="preserve">$8,108.38 </w:t>
            </w:r>
          </w:p>
        </w:tc>
      </w:tr>
      <w:tr w14:paraId="4E1F8F6B"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2BE9DB19" w14:textId="77777777">
            <w:pPr>
              <w:rPr>
                <w:color w:val="000000"/>
                <w:sz w:val="20"/>
                <w:szCs w:val="20"/>
              </w:rPr>
            </w:pPr>
            <w:r w:rsidRPr="00C31E3F">
              <w:rPr>
                <w:color w:val="000000"/>
                <w:sz w:val="20"/>
                <w:szCs w:val="20"/>
              </w:rPr>
              <w:t>2. Initial CAM Review</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58717F6"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AAF15F3"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9EA0675"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206A806" w14:textId="77777777">
            <w:pPr>
              <w:jc w:val="center"/>
              <w:rPr>
                <w:sz w:val="20"/>
                <w:szCs w:val="20"/>
              </w:rPr>
            </w:pPr>
            <w:r w:rsidRPr="00C31E3F">
              <w:rPr>
                <w:sz w:val="20"/>
                <w:szCs w:val="20"/>
              </w:rPr>
              <w:t>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5468A8C6" w14:textId="77777777">
            <w:pPr>
              <w:jc w:val="right"/>
              <w:rPr>
                <w:sz w:val="20"/>
                <w:szCs w:val="20"/>
              </w:rPr>
            </w:pPr>
            <w:r w:rsidRPr="00C31E3F">
              <w:rPr>
                <w:sz w:val="20"/>
                <w:szCs w:val="20"/>
              </w:rPr>
              <w:t> </w:t>
            </w:r>
          </w:p>
        </w:tc>
      </w:tr>
      <w:tr w14:paraId="7C01E54A" w14:textId="77777777" w:rsidTr="000C08CC">
        <w:tblPrEx>
          <w:tblW w:w="11000" w:type="dxa"/>
          <w:tblLook w:val="04A0"/>
        </w:tblPrEx>
        <w:trPr>
          <w:trHeight w:val="39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2BCDE466" w14:textId="77777777">
            <w:pPr>
              <w:ind w:firstLine="200" w:firstLineChars="100"/>
              <w:rPr>
                <w:color w:val="000000"/>
                <w:sz w:val="20"/>
                <w:szCs w:val="20"/>
              </w:rPr>
            </w:pPr>
            <w:r w:rsidRPr="00C31E3F">
              <w:rPr>
                <w:color w:val="000000"/>
                <w:sz w:val="20"/>
                <w:szCs w:val="20"/>
              </w:rPr>
              <w:t>A. Units without existing monitoring</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14BFDF72" w14:textId="77777777">
            <w:pPr>
              <w:jc w:val="center"/>
              <w:rPr>
                <w:sz w:val="20"/>
                <w:szCs w:val="20"/>
              </w:rPr>
            </w:pPr>
            <w:r w:rsidRPr="00C31E3F">
              <w:rPr>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1FEBC958" w14:textId="77777777">
            <w:pPr>
              <w:jc w:val="center"/>
              <w:rPr>
                <w:sz w:val="20"/>
                <w:szCs w:val="20"/>
              </w:rPr>
            </w:pPr>
            <w:r w:rsidRPr="00C31E3F">
              <w:rPr>
                <w:sz w:val="20"/>
                <w:szCs w:val="20"/>
              </w:rPr>
              <w:t>74</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3397FFE6" w14:textId="77777777">
            <w:pPr>
              <w:jc w:val="center"/>
              <w:rPr>
                <w:sz w:val="20"/>
                <w:szCs w:val="20"/>
              </w:rPr>
            </w:pPr>
            <w:r w:rsidRPr="00C31E3F">
              <w:rPr>
                <w:sz w:val="20"/>
                <w:szCs w:val="20"/>
              </w:rPr>
              <w:t>148</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6940E69B" w14:textId="77777777">
            <w:pPr>
              <w:jc w:val="center"/>
              <w:rPr>
                <w:sz w:val="20"/>
                <w:szCs w:val="20"/>
              </w:rPr>
            </w:pPr>
            <w:r w:rsidRPr="00C31E3F">
              <w:rPr>
                <w:sz w:val="20"/>
                <w:szCs w:val="20"/>
              </w:rPr>
              <w:t>7.4</w:t>
            </w:r>
          </w:p>
        </w:tc>
        <w:tc>
          <w:tcPr>
            <w:tcW w:w="1900" w:type="dxa"/>
            <w:tcBorders>
              <w:top w:val="nil"/>
              <w:left w:val="nil"/>
              <w:bottom w:val="single" w:sz="4" w:space="0" w:color="auto"/>
              <w:right w:val="single" w:sz="4" w:space="0" w:color="auto"/>
            </w:tcBorders>
            <w:shd w:val="clear" w:color="auto" w:fill="auto"/>
            <w:vAlign w:val="center"/>
            <w:hideMark/>
          </w:tcPr>
          <w:p w:rsidR="0039497E" w:rsidRPr="00C31E3F" w:rsidP="000C08CC" w14:paraId="79DBB028" w14:textId="77777777">
            <w:pPr>
              <w:jc w:val="right"/>
              <w:rPr>
                <w:sz w:val="20"/>
                <w:szCs w:val="20"/>
              </w:rPr>
            </w:pPr>
            <w:r w:rsidRPr="00C31E3F">
              <w:rPr>
                <w:sz w:val="20"/>
                <w:szCs w:val="20"/>
              </w:rPr>
              <w:t xml:space="preserve">$8,611.08 </w:t>
            </w:r>
          </w:p>
        </w:tc>
      </w:tr>
      <w:tr w14:paraId="71298518"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FC64456" w14:textId="77777777">
            <w:pPr>
              <w:ind w:firstLine="200" w:firstLineChars="100"/>
              <w:rPr>
                <w:color w:val="000000"/>
                <w:sz w:val="20"/>
                <w:szCs w:val="20"/>
              </w:rPr>
            </w:pPr>
            <w:r w:rsidRPr="00C31E3F">
              <w:rPr>
                <w:color w:val="000000"/>
                <w:sz w:val="20"/>
                <w:szCs w:val="20"/>
              </w:rPr>
              <w:t>B. Units with existing monitoring</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4388C35" w14:textId="77777777">
            <w:pPr>
              <w:jc w:val="center"/>
              <w:rPr>
                <w:sz w:val="20"/>
                <w:szCs w:val="20"/>
              </w:rPr>
            </w:pPr>
            <w:r w:rsidRPr="00C31E3F">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8679590" w14:textId="77777777">
            <w:pPr>
              <w:jc w:val="center"/>
              <w:rPr>
                <w:sz w:val="20"/>
                <w:szCs w:val="20"/>
              </w:rPr>
            </w:pPr>
            <w:r w:rsidRPr="00C31E3F">
              <w:rPr>
                <w:sz w:val="20"/>
                <w:szCs w:val="20"/>
              </w:rPr>
              <w:t>134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8E173A8" w14:textId="77777777">
            <w:pPr>
              <w:jc w:val="center"/>
              <w:rPr>
                <w:sz w:val="20"/>
                <w:szCs w:val="20"/>
              </w:rPr>
            </w:pPr>
            <w:r w:rsidRPr="00C31E3F">
              <w:rPr>
                <w:sz w:val="20"/>
                <w:szCs w:val="20"/>
              </w:rPr>
              <w:t>134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C1EAC4D" w14:textId="77777777">
            <w:pPr>
              <w:jc w:val="center"/>
              <w:rPr>
                <w:sz w:val="20"/>
                <w:szCs w:val="20"/>
              </w:rPr>
            </w:pPr>
            <w:r w:rsidRPr="00C31E3F">
              <w:rPr>
                <w:sz w:val="20"/>
                <w:szCs w:val="20"/>
              </w:rPr>
              <w:t>6.7</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6FC4EF9E" w14:textId="77777777">
            <w:pPr>
              <w:jc w:val="right"/>
              <w:rPr>
                <w:sz w:val="20"/>
                <w:szCs w:val="20"/>
              </w:rPr>
            </w:pPr>
            <w:r w:rsidRPr="00C31E3F">
              <w:rPr>
                <w:sz w:val="20"/>
                <w:szCs w:val="20"/>
              </w:rPr>
              <w:t xml:space="preserve">$7,796.52 </w:t>
            </w:r>
          </w:p>
        </w:tc>
      </w:tr>
      <w:tr w14:paraId="432ECA7C"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0E3DDEE" w14:textId="77777777">
            <w:pPr>
              <w:rPr>
                <w:color w:val="000000"/>
                <w:sz w:val="20"/>
                <w:szCs w:val="20"/>
              </w:rPr>
            </w:pPr>
            <w:r w:rsidRPr="00C31E3F">
              <w:rPr>
                <w:color w:val="000000"/>
                <w:sz w:val="20"/>
                <w:szCs w:val="20"/>
              </w:rPr>
              <w:t>3. Evaluate CAM Renewals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0C5E92D" w14:textId="77777777">
            <w:pPr>
              <w:jc w:val="center"/>
              <w:rPr>
                <w:sz w:val="20"/>
                <w:szCs w:val="20"/>
              </w:rPr>
            </w:pPr>
            <w:r w:rsidRPr="00C31E3F">
              <w:rPr>
                <w:sz w:val="20"/>
                <w:szCs w:val="20"/>
              </w:rPr>
              <w:t>0.5</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38F2489" w14:textId="77777777">
            <w:pPr>
              <w:jc w:val="center"/>
              <w:rPr>
                <w:sz w:val="20"/>
                <w:szCs w:val="20"/>
              </w:rPr>
            </w:pPr>
            <w:r w:rsidRPr="00C31E3F">
              <w:rPr>
                <w:sz w:val="20"/>
                <w:szCs w:val="20"/>
              </w:rPr>
              <w:t>4324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57976A9" w14:textId="77777777">
            <w:pPr>
              <w:jc w:val="center"/>
              <w:rPr>
                <w:sz w:val="20"/>
                <w:szCs w:val="20"/>
              </w:rPr>
            </w:pPr>
            <w:r w:rsidRPr="00C31E3F">
              <w:rPr>
                <w:sz w:val="20"/>
                <w:szCs w:val="20"/>
              </w:rPr>
              <w:t>2162</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FC9F189" w14:textId="77777777">
            <w:pPr>
              <w:jc w:val="center"/>
              <w:rPr>
                <w:sz w:val="20"/>
                <w:szCs w:val="20"/>
              </w:rPr>
            </w:pPr>
            <w:r w:rsidRPr="00C31E3F">
              <w:rPr>
                <w:sz w:val="20"/>
                <w:szCs w:val="20"/>
              </w:rPr>
              <w:t>108.1</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2143DAD4" w14:textId="77777777">
            <w:pPr>
              <w:jc w:val="right"/>
              <w:rPr>
                <w:sz w:val="20"/>
                <w:szCs w:val="20"/>
              </w:rPr>
            </w:pPr>
            <w:r w:rsidRPr="00C31E3F">
              <w:rPr>
                <w:sz w:val="20"/>
                <w:szCs w:val="20"/>
              </w:rPr>
              <w:t xml:space="preserve">$125,791.65 </w:t>
            </w:r>
          </w:p>
        </w:tc>
      </w:tr>
      <w:tr w14:paraId="638679E8"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51ADE38" w14:textId="77777777">
            <w:pPr>
              <w:rPr>
                <w:color w:val="000000"/>
                <w:sz w:val="20"/>
                <w:szCs w:val="20"/>
              </w:rPr>
            </w:pPr>
            <w:r w:rsidRPr="00C31E3F">
              <w:rPr>
                <w:color w:val="000000"/>
                <w:sz w:val="20"/>
                <w:szCs w:val="20"/>
              </w:rPr>
              <w:t>4. Review QIPs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2CC0F1E" w14:textId="77777777">
            <w:pPr>
              <w:jc w:val="center"/>
              <w:rPr>
                <w:sz w:val="20"/>
                <w:szCs w:val="20"/>
              </w:rPr>
            </w:pPr>
            <w:r w:rsidRPr="00C31E3F">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96CC6A5"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D0D6C21"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76F9ECB3" w14:textId="77777777">
            <w:pPr>
              <w:jc w:val="center"/>
              <w:rPr>
                <w:sz w:val="20"/>
                <w:szCs w:val="20"/>
              </w:rPr>
            </w:pPr>
            <w:r w:rsidRPr="00C31E3F">
              <w:rPr>
                <w:sz w:val="20"/>
                <w:szCs w:val="20"/>
              </w:rPr>
              <w:t>0.44</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6CFA9080" w14:textId="77777777">
            <w:pPr>
              <w:jc w:val="right"/>
              <w:rPr>
                <w:sz w:val="20"/>
                <w:szCs w:val="20"/>
              </w:rPr>
            </w:pPr>
            <w:r w:rsidRPr="00C31E3F">
              <w:rPr>
                <w:sz w:val="20"/>
                <w:szCs w:val="20"/>
              </w:rPr>
              <w:t xml:space="preserve">$517.69 </w:t>
            </w:r>
          </w:p>
        </w:tc>
      </w:tr>
      <w:tr w14:paraId="6A3BA33F"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38FF996A" w14:textId="77777777">
            <w:pPr>
              <w:rPr>
                <w:color w:val="000000"/>
                <w:sz w:val="20"/>
                <w:szCs w:val="20"/>
              </w:rPr>
            </w:pPr>
            <w:r w:rsidRPr="00C31E3F">
              <w:rPr>
                <w:color w:val="000000"/>
                <w:sz w:val="20"/>
                <w:szCs w:val="20"/>
              </w:rPr>
              <w:t>5. Review Reports of Corrective Actions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0AD5312" w14:textId="77777777">
            <w:pPr>
              <w:jc w:val="center"/>
              <w:rPr>
                <w:sz w:val="20"/>
                <w:szCs w:val="20"/>
              </w:rPr>
            </w:pPr>
            <w:r w:rsidRPr="00C31E3F">
              <w:rPr>
                <w:sz w:val="20"/>
                <w:szCs w:val="20"/>
              </w:rPr>
              <w:t>0.5</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458B207" w14:textId="77777777">
            <w:pPr>
              <w:jc w:val="center"/>
              <w:rPr>
                <w:sz w:val="20"/>
                <w:szCs w:val="20"/>
              </w:rPr>
            </w:pPr>
            <w:r w:rsidRPr="00C31E3F">
              <w:rPr>
                <w:sz w:val="20"/>
                <w:szCs w:val="20"/>
              </w:rPr>
              <w:t>18</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9B2A43C"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5538F02" w14:textId="77777777">
            <w:pPr>
              <w:jc w:val="center"/>
              <w:rPr>
                <w:sz w:val="20"/>
                <w:szCs w:val="20"/>
              </w:rPr>
            </w:pPr>
            <w:r w:rsidRPr="00C31E3F">
              <w:rPr>
                <w:sz w:val="20"/>
                <w:szCs w:val="20"/>
              </w:rPr>
              <w:t>0.45</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71A1E0D8" w14:textId="77777777">
            <w:pPr>
              <w:jc w:val="right"/>
              <w:rPr>
                <w:sz w:val="20"/>
                <w:szCs w:val="20"/>
              </w:rPr>
            </w:pPr>
            <w:r w:rsidRPr="00C31E3F">
              <w:rPr>
                <w:sz w:val="20"/>
                <w:szCs w:val="20"/>
              </w:rPr>
              <w:t xml:space="preserve">$523.65 </w:t>
            </w:r>
          </w:p>
        </w:tc>
      </w:tr>
      <w:tr w14:paraId="0D596BD1"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CF28D91" w14:textId="77777777">
            <w:pPr>
              <w:rPr>
                <w:color w:val="000000"/>
                <w:sz w:val="20"/>
                <w:szCs w:val="20"/>
              </w:rPr>
            </w:pPr>
            <w:r w:rsidRPr="00C31E3F">
              <w:rPr>
                <w:color w:val="000000"/>
                <w:sz w:val="20"/>
                <w:szCs w:val="20"/>
              </w:rPr>
              <w:t>6. Review Annual Facility Certifications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02DB9CF" w14:textId="77777777">
            <w:pPr>
              <w:jc w:val="center"/>
              <w:rPr>
                <w:sz w:val="20"/>
                <w:szCs w:val="20"/>
              </w:rPr>
            </w:pPr>
            <w:r w:rsidRPr="00C31E3F">
              <w:rPr>
                <w:sz w:val="20"/>
                <w:szCs w:val="20"/>
              </w:rPr>
              <w:t>0.33</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53E14A4" w14:textId="77777777">
            <w:pPr>
              <w:jc w:val="center"/>
              <w:rPr>
                <w:sz w:val="20"/>
                <w:szCs w:val="20"/>
              </w:rPr>
            </w:pPr>
            <w:r w:rsidRPr="00C31E3F">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9AA9445" w14:textId="77777777">
            <w:pPr>
              <w:jc w:val="center"/>
              <w:rPr>
                <w:sz w:val="20"/>
                <w:szCs w:val="20"/>
              </w:rPr>
            </w:pPr>
            <w:r w:rsidRPr="00C31E3F">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006F9D9" w14:textId="77777777">
            <w:pPr>
              <w:jc w:val="center"/>
              <w:rPr>
                <w:sz w:val="20"/>
                <w:szCs w:val="20"/>
              </w:rPr>
            </w:pPr>
            <w:r w:rsidRPr="00C31E3F">
              <w:rPr>
                <w:sz w:val="20"/>
                <w:szCs w:val="20"/>
              </w:rPr>
              <w:t>0</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06ABF16C" w14:textId="77777777">
            <w:pPr>
              <w:jc w:val="right"/>
              <w:rPr>
                <w:sz w:val="20"/>
                <w:szCs w:val="20"/>
              </w:rPr>
            </w:pPr>
            <w:r w:rsidRPr="00C31E3F">
              <w:rPr>
                <w:sz w:val="20"/>
                <w:szCs w:val="20"/>
              </w:rPr>
              <w:t xml:space="preserve">$0.00 </w:t>
            </w:r>
          </w:p>
        </w:tc>
      </w:tr>
      <w:tr w14:paraId="35A9C8FD" w14:textId="77777777" w:rsidTr="000C08CC">
        <w:tblPrEx>
          <w:tblW w:w="11000" w:type="dxa"/>
          <w:tblLook w:val="04A0"/>
        </w:tblPrEx>
        <w:trPr>
          <w:trHeight w:val="3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3A89F184" w14:textId="77777777">
            <w:pPr>
              <w:rPr>
                <w:b/>
                <w:bCs/>
                <w:sz w:val="20"/>
                <w:szCs w:val="20"/>
              </w:rPr>
            </w:pPr>
            <w:r w:rsidRPr="00C31E3F">
              <w:rPr>
                <w:b/>
                <w:bCs/>
                <w:sz w:val="20"/>
                <w:szCs w:val="20"/>
              </w:rPr>
              <w:t xml:space="preserve">TOTAL (rounded) </w:t>
            </w:r>
            <w:r w:rsidRPr="00C31E3F">
              <w:rPr>
                <w:b/>
                <w:bCs/>
                <w:sz w:val="20"/>
                <w:szCs w:val="20"/>
                <w:vertAlign w:val="superscript"/>
              </w:rPr>
              <w:t>h</w:t>
            </w:r>
          </w:p>
        </w:tc>
        <w:tc>
          <w:tcPr>
            <w:tcW w:w="2520" w:type="dxa"/>
            <w:gridSpan w:val="2"/>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59031E75" w14:textId="77777777">
            <w:pPr>
              <w:jc w:val="center"/>
              <w:rPr>
                <w:b/>
                <w:bCs/>
                <w:sz w:val="20"/>
                <w:szCs w:val="20"/>
              </w:rPr>
            </w:pPr>
            <w:r w:rsidRPr="00C31E3F">
              <w:rPr>
                <w:b/>
                <w:bCs/>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7B44F9C" w14:textId="77777777">
            <w:pPr>
              <w:rPr>
                <w:b/>
                <w:bCs/>
                <w:sz w:val="20"/>
                <w:szCs w:val="20"/>
              </w:rPr>
            </w:pPr>
            <w:r>
              <w:rPr>
                <w:b/>
                <w:bCs/>
                <w:sz w:val="20"/>
                <w:szCs w:val="20"/>
              </w:rPr>
              <w:t xml:space="preserve"> </w:t>
            </w:r>
            <w:r w:rsidRPr="00C31E3F">
              <w:rPr>
                <w:b/>
                <w:bCs/>
                <w:sz w:val="20"/>
                <w:szCs w:val="20"/>
              </w:rPr>
              <w:t xml:space="preserve">4,010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B5EFD19" w14:textId="77777777">
            <w:pPr>
              <w:rPr>
                <w:b/>
                <w:bCs/>
                <w:sz w:val="20"/>
                <w:szCs w:val="20"/>
              </w:rPr>
            </w:pPr>
            <w:r>
              <w:rPr>
                <w:b/>
                <w:bCs/>
                <w:sz w:val="20"/>
                <w:szCs w:val="20"/>
              </w:rPr>
              <w:t xml:space="preserve"> </w:t>
            </w:r>
            <w:r w:rsidRPr="00C31E3F">
              <w:rPr>
                <w:b/>
                <w:bCs/>
                <w:sz w:val="20"/>
                <w:szCs w:val="20"/>
              </w:rPr>
              <w:t xml:space="preserve">200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5620715C" w14:textId="77777777">
            <w:pPr>
              <w:jc w:val="right"/>
              <w:rPr>
                <w:b/>
                <w:bCs/>
                <w:sz w:val="20"/>
                <w:szCs w:val="20"/>
              </w:rPr>
            </w:pPr>
            <w:r w:rsidRPr="00C31E3F">
              <w:rPr>
                <w:b/>
                <w:bCs/>
                <w:sz w:val="20"/>
                <w:szCs w:val="20"/>
              </w:rPr>
              <w:t xml:space="preserve">$233,000 </w:t>
            </w:r>
          </w:p>
        </w:tc>
      </w:tr>
      <w:tr w14:paraId="36F2E866" w14:textId="77777777" w:rsidTr="000C08CC">
        <w:tblPrEx>
          <w:tblW w:w="11000" w:type="dxa"/>
          <w:tblLook w:val="04A0"/>
        </w:tblPrEx>
        <w:trPr>
          <w:trHeight w:val="195"/>
        </w:trPr>
        <w:tc>
          <w:tcPr>
            <w:tcW w:w="11000" w:type="dxa"/>
            <w:gridSpan w:val="6"/>
            <w:tcBorders>
              <w:top w:val="single" w:sz="4" w:space="0" w:color="auto"/>
              <w:left w:val="nil"/>
              <w:bottom w:val="nil"/>
              <w:right w:val="nil"/>
            </w:tcBorders>
            <w:shd w:val="clear" w:color="auto" w:fill="auto"/>
            <w:noWrap/>
            <w:hideMark/>
          </w:tcPr>
          <w:p w:rsidR="0039497E" w:rsidRPr="00C31E3F" w:rsidP="000C08CC" w14:paraId="4D906155" w14:textId="77777777">
            <w:pPr>
              <w:rPr>
                <w:sz w:val="20"/>
                <w:szCs w:val="20"/>
              </w:rPr>
            </w:pPr>
            <w:r w:rsidRPr="00C31E3F">
              <w:rPr>
                <w:sz w:val="20"/>
                <w:szCs w:val="20"/>
              </w:rPr>
              <w:t> </w:t>
            </w:r>
          </w:p>
        </w:tc>
      </w:tr>
      <w:tr w14:paraId="32FDCA2B" w14:textId="77777777" w:rsidTr="000C08CC">
        <w:tblPrEx>
          <w:tblW w:w="11000" w:type="dxa"/>
          <w:tblLook w:val="04A0"/>
        </w:tblPrEx>
        <w:trPr>
          <w:trHeight w:val="375"/>
        </w:trPr>
        <w:tc>
          <w:tcPr>
            <w:tcW w:w="11000" w:type="dxa"/>
            <w:gridSpan w:val="6"/>
            <w:tcBorders>
              <w:top w:val="nil"/>
              <w:left w:val="nil"/>
              <w:bottom w:val="nil"/>
              <w:right w:val="nil"/>
            </w:tcBorders>
            <w:shd w:val="clear" w:color="auto" w:fill="auto"/>
            <w:noWrap/>
            <w:vAlign w:val="bottom"/>
            <w:hideMark/>
          </w:tcPr>
          <w:p w:rsidR="0039497E" w:rsidRPr="00C31E3F" w:rsidP="000C08CC" w14:paraId="1FCA67D3" w14:textId="77777777">
            <w:pPr>
              <w:rPr>
                <w:b/>
                <w:bCs/>
                <w:sz w:val="20"/>
                <w:szCs w:val="20"/>
              </w:rPr>
            </w:pPr>
            <w:r w:rsidRPr="00C31E3F">
              <w:rPr>
                <w:b/>
                <w:bCs/>
                <w:sz w:val="20"/>
                <w:szCs w:val="20"/>
              </w:rPr>
              <w:t>Assumptions:</w:t>
            </w:r>
          </w:p>
        </w:tc>
      </w:tr>
      <w:tr w14:paraId="682A61C2" w14:textId="77777777" w:rsidTr="000C08CC">
        <w:tblPrEx>
          <w:tblW w:w="11000" w:type="dxa"/>
          <w:tblLook w:val="04A0"/>
        </w:tblPrEx>
        <w:trPr>
          <w:trHeight w:val="243"/>
        </w:trPr>
        <w:tc>
          <w:tcPr>
            <w:tcW w:w="11000" w:type="dxa"/>
            <w:gridSpan w:val="6"/>
            <w:tcBorders>
              <w:top w:val="nil"/>
              <w:left w:val="nil"/>
              <w:bottom w:val="nil"/>
              <w:right w:val="nil"/>
            </w:tcBorders>
            <w:shd w:val="clear" w:color="auto" w:fill="auto"/>
            <w:vAlign w:val="bottom"/>
            <w:hideMark/>
          </w:tcPr>
          <w:p w:rsidR="0039497E" w:rsidRPr="00C31E3F" w:rsidP="000C08CC" w14:paraId="4D419628" w14:textId="77777777">
            <w:pPr>
              <w:rPr>
                <w:sz w:val="20"/>
                <w:szCs w:val="20"/>
              </w:rPr>
            </w:pPr>
            <w:r w:rsidRPr="00C31E3F">
              <w:rPr>
                <w:sz w:val="20"/>
                <w:szCs w:val="20"/>
                <w:vertAlign w:val="superscript"/>
              </w:rPr>
              <w:t>a</w:t>
            </w:r>
            <w:r>
              <w:rPr>
                <w:sz w:val="20"/>
                <w:szCs w:val="20"/>
              </w:rPr>
              <w:t xml:space="preserve"> </w:t>
            </w:r>
            <w:r w:rsidRPr="00C31E3F">
              <w:rPr>
                <w:sz w:val="20"/>
                <w:szCs w:val="20"/>
              </w:rPr>
              <w:t>See section 4(b)(ii) for a description of these activities.</w:t>
            </w:r>
          </w:p>
        </w:tc>
      </w:tr>
      <w:tr w14:paraId="26865FD9" w14:textId="77777777" w:rsidTr="000C08CC">
        <w:tblPrEx>
          <w:tblW w:w="11000" w:type="dxa"/>
          <w:tblLook w:val="04A0"/>
        </w:tblPrEx>
        <w:trPr>
          <w:trHeight w:val="270"/>
        </w:trPr>
        <w:tc>
          <w:tcPr>
            <w:tcW w:w="11000" w:type="dxa"/>
            <w:gridSpan w:val="6"/>
            <w:tcBorders>
              <w:top w:val="nil"/>
              <w:left w:val="nil"/>
              <w:bottom w:val="nil"/>
              <w:right w:val="nil"/>
            </w:tcBorders>
            <w:shd w:val="clear" w:color="auto" w:fill="auto"/>
            <w:vAlign w:val="bottom"/>
            <w:hideMark/>
          </w:tcPr>
          <w:p w:rsidR="0039497E" w:rsidRPr="00C31E3F" w:rsidP="000C08CC" w14:paraId="3CF53887" w14:textId="77777777">
            <w:pPr>
              <w:rPr>
                <w:sz w:val="20"/>
                <w:szCs w:val="20"/>
              </w:rPr>
            </w:pPr>
            <w:r w:rsidRPr="00C31E3F">
              <w:rPr>
                <w:sz w:val="20"/>
                <w:szCs w:val="20"/>
                <w:vertAlign w:val="superscript"/>
              </w:rPr>
              <w:t>b</w:t>
            </w:r>
            <w:r>
              <w:rPr>
                <w:sz w:val="20"/>
                <w:szCs w:val="20"/>
              </w:rPr>
              <w:t xml:space="preserve"> </w:t>
            </w:r>
            <w:r w:rsidRPr="00C31E3F">
              <w:rPr>
                <w:sz w:val="20"/>
                <w:szCs w:val="20"/>
              </w:rPr>
              <w:t>All hours are per PSEU unless otherwise noted.</w:t>
            </w:r>
          </w:p>
        </w:tc>
      </w:tr>
      <w:tr w14:paraId="0684EB59" w14:textId="77777777" w:rsidTr="000C08CC">
        <w:tblPrEx>
          <w:tblW w:w="11000" w:type="dxa"/>
          <w:tblLook w:val="04A0"/>
        </w:tblPrEx>
        <w:trPr>
          <w:trHeight w:val="810"/>
        </w:trPr>
        <w:tc>
          <w:tcPr>
            <w:tcW w:w="11000" w:type="dxa"/>
            <w:gridSpan w:val="6"/>
            <w:tcBorders>
              <w:top w:val="nil"/>
              <w:left w:val="nil"/>
              <w:bottom w:val="nil"/>
              <w:right w:val="nil"/>
            </w:tcBorders>
            <w:shd w:val="clear" w:color="auto" w:fill="auto"/>
            <w:vAlign w:val="bottom"/>
            <w:hideMark/>
          </w:tcPr>
          <w:p w:rsidR="0039497E" w:rsidRPr="00C31E3F" w:rsidP="000C08CC" w14:paraId="0C17C248" w14:textId="77777777">
            <w:pPr>
              <w:rPr>
                <w:sz w:val="20"/>
                <w:szCs w:val="20"/>
              </w:rPr>
            </w:pPr>
            <w:r w:rsidRPr="00C31E3F">
              <w:rPr>
                <w:sz w:val="20"/>
                <w:szCs w:val="20"/>
                <w:vertAlign w:val="superscript"/>
              </w:rPr>
              <w:t>c</w:t>
            </w:r>
            <w:r>
              <w:rPr>
                <w:sz w:val="20"/>
                <w:szCs w:val="20"/>
                <w:vertAlign w:val="superscript"/>
              </w:rPr>
              <w:t xml:space="preserve"> </w:t>
            </w:r>
            <w:r w:rsidRPr="00C31E3F">
              <w:rPr>
                <w:sz w:val="20"/>
                <w:szCs w:val="20"/>
              </w:rPr>
              <w:t>The cost is based on the following labor rates: Managerial rate of $73.46 (GS-13, Step 5, $45.91 + 60%) and Technical rate of $54.51 (GS-12, Step 1, $34.07 + 60%).</w:t>
            </w:r>
            <w:r>
              <w:rPr>
                <w:sz w:val="20"/>
                <w:szCs w:val="20"/>
              </w:rPr>
              <w:t xml:space="preserve"> </w:t>
            </w:r>
            <w:r w:rsidRPr="00C31E3F">
              <w:rPr>
                <w:sz w:val="20"/>
                <w:szCs w:val="20"/>
              </w:rPr>
              <w:t>These rates are from the Office of Personnel Management (OPM), 2023 General Schedule, which excludes locality, rates of pay. The rates have been increased by 60 percent to account for the benefit packages available to government employees.</w:t>
            </w:r>
          </w:p>
        </w:tc>
      </w:tr>
      <w:tr w14:paraId="65CFBF00" w14:textId="77777777" w:rsidTr="000C08CC">
        <w:tblPrEx>
          <w:tblW w:w="11000" w:type="dxa"/>
          <w:tblLook w:val="04A0"/>
        </w:tblPrEx>
        <w:trPr>
          <w:trHeight w:val="522"/>
        </w:trPr>
        <w:tc>
          <w:tcPr>
            <w:tcW w:w="11000" w:type="dxa"/>
            <w:gridSpan w:val="6"/>
            <w:tcBorders>
              <w:top w:val="nil"/>
              <w:left w:val="nil"/>
              <w:bottom w:val="nil"/>
              <w:right w:val="nil"/>
            </w:tcBorders>
            <w:shd w:val="clear" w:color="auto" w:fill="auto"/>
            <w:vAlign w:val="bottom"/>
            <w:hideMark/>
          </w:tcPr>
          <w:p w:rsidR="0039497E" w:rsidRPr="00C31E3F" w:rsidP="000C08CC" w14:paraId="344568BC" w14:textId="77777777">
            <w:pPr>
              <w:rPr>
                <w:sz w:val="20"/>
                <w:szCs w:val="20"/>
              </w:rPr>
            </w:pPr>
            <w:r w:rsidRPr="00C31E3F">
              <w:rPr>
                <w:sz w:val="20"/>
                <w:szCs w:val="20"/>
                <w:vertAlign w:val="superscript"/>
              </w:rPr>
              <w:t>d</w:t>
            </w:r>
            <w:r>
              <w:rPr>
                <w:sz w:val="20"/>
                <w:szCs w:val="20"/>
              </w:rPr>
              <w:t xml:space="preserve"> </w:t>
            </w:r>
            <w:r w:rsidRPr="00C31E3F">
              <w:rPr>
                <w:sz w:val="20"/>
                <w:szCs w:val="20"/>
              </w:rPr>
              <w:t>Burden for Rule Familiarization is per Permitting Authority (PA), of which there are 117. Because this is a mature program, PAs are generally familiar with the CAM Rule, but we include 12 hours/year per PA for new staff to become familiar with the rule.</w:t>
            </w:r>
          </w:p>
        </w:tc>
      </w:tr>
      <w:tr w14:paraId="28BAAF71" w14:textId="77777777" w:rsidTr="000C08CC">
        <w:tblPrEx>
          <w:tblW w:w="11000" w:type="dxa"/>
          <w:tblLook w:val="04A0"/>
        </w:tblPrEx>
        <w:trPr>
          <w:trHeight w:val="348"/>
        </w:trPr>
        <w:tc>
          <w:tcPr>
            <w:tcW w:w="11000" w:type="dxa"/>
            <w:gridSpan w:val="6"/>
            <w:tcBorders>
              <w:top w:val="nil"/>
              <w:left w:val="nil"/>
              <w:bottom w:val="nil"/>
              <w:right w:val="nil"/>
            </w:tcBorders>
            <w:shd w:val="clear" w:color="auto" w:fill="auto"/>
            <w:vAlign w:val="center"/>
            <w:hideMark/>
          </w:tcPr>
          <w:p w:rsidR="0039497E" w:rsidRPr="00BB2CEB" w:rsidP="000C08CC" w14:paraId="6DDF4082" w14:textId="77777777">
            <w:r w:rsidRPr="00BB2CEB">
              <w:rPr>
                <w:vertAlign w:val="superscript"/>
              </w:rPr>
              <w:t>e</w:t>
            </w:r>
            <w:r>
              <w:t xml:space="preserve"> </w:t>
            </w:r>
            <w:r w:rsidRPr="00BB2CEB">
              <w:t>Totals have been rounded to 3 significant figures. Figures may not add exactly due to rounding.</w:t>
            </w:r>
          </w:p>
        </w:tc>
      </w:tr>
    </w:tbl>
    <w:p w:rsidR="0039497E" w:rsidRPr="00BB2CEB" w:rsidP="0039497E" w14:paraId="1CE95167" w14:textId="77777777">
      <w:pPr>
        <w:rPr>
          <w:b/>
          <w:bCs/>
        </w:rPr>
      </w:pPr>
    </w:p>
    <w:p w:rsidR="0039497E" w:rsidRPr="00BB2CEB" w:rsidP="0039497E" w14:paraId="3DE49D9B" w14:textId="77777777">
      <w:pPr>
        <w:rPr>
          <w:b/>
          <w:bCs/>
          <w:sz w:val="20"/>
          <w:szCs w:val="20"/>
        </w:rPr>
      </w:pPr>
      <w:r w:rsidRPr="00BB2CEB">
        <w:rPr>
          <w:b/>
          <w:bCs/>
          <w:sz w:val="20"/>
          <w:szCs w:val="20"/>
        </w:rPr>
        <w:t>Table 6.3: Federal Labor Hours and Costs for All "Large" and "Other" Sources - All Pollutants, 2024-26</w:t>
      </w:r>
    </w:p>
    <w:tbl>
      <w:tblPr>
        <w:tblW w:w="5000" w:type="pct"/>
        <w:tblLook w:val="04A0"/>
      </w:tblPr>
      <w:tblGrid>
        <w:gridCol w:w="1830"/>
        <w:gridCol w:w="1498"/>
        <w:gridCol w:w="1498"/>
        <w:gridCol w:w="1497"/>
        <w:gridCol w:w="1500"/>
        <w:gridCol w:w="1497"/>
        <w:gridCol w:w="1497"/>
        <w:gridCol w:w="1497"/>
        <w:gridCol w:w="1500"/>
      </w:tblGrid>
      <w:tr w14:paraId="41ECE02E" w14:textId="77777777" w:rsidTr="000C08CC">
        <w:tblPrEx>
          <w:tblW w:w="5000" w:type="pct"/>
          <w:tblLook w:val="04A0"/>
        </w:tblPrEx>
        <w:trPr>
          <w:trHeight w:val="639"/>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497E" w:rsidRPr="00BB2CEB" w:rsidP="000C08CC" w14:paraId="067F1E33" w14:textId="77777777">
            <w:pPr>
              <w:rPr>
                <w:b/>
                <w:bCs/>
                <w:color w:val="000000"/>
                <w:sz w:val="20"/>
                <w:szCs w:val="20"/>
              </w:rPr>
            </w:pPr>
            <w:r w:rsidRPr="00BB2CEB">
              <w:rPr>
                <w:b/>
                <w:bCs/>
                <w:color w:val="000000"/>
                <w:sz w:val="20"/>
                <w:szCs w:val="20"/>
              </w:rPr>
              <w:t>CAM Activities</w:t>
            </w:r>
          </w:p>
        </w:tc>
        <w:tc>
          <w:tcPr>
            <w:tcW w:w="2169" w:type="pct"/>
            <w:gridSpan w:val="4"/>
            <w:tcBorders>
              <w:top w:val="single" w:sz="4" w:space="0" w:color="auto"/>
              <w:left w:val="nil"/>
              <w:bottom w:val="single" w:sz="4" w:space="0" w:color="auto"/>
              <w:right w:val="single" w:sz="4" w:space="0" w:color="000000"/>
            </w:tcBorders>
            <w:shd w:val="clear" w:color="auto" w:fill="auto"/>
            <w:vAlign w:val="center"/>
            <w:hideMark/>
          </w:tcPr>
          <w:p w:rsidR="0039497E" w:rsidRPr="00BB2CEB" w:rsidP="000C08CC" w14:paraId="55B64AAA" w14:textId="77777777">
            <w:pPr>
              <w:jc w:val="center"/>
              <w:rPr>
                <w:b/>
                <w:bCs/>
                <w:color w:val="000000"/>
                <w:sz w:val="20"/>
                <w:szCs w:val="20"/>
              </w:rPr>
            </w:pPr>
            <w:r w:rsidRPr="00BB2CEB">
              <w:rPr>
                <w:b/>
                <w:bCs/>
                <w:color w:val="000000"/>
                <w:sz w:val="20"/>
                <w:szCs w:val="20"/>
              </w:rPr>
              <w:t>Annual Burden</w:t>
            </w:r>
          </w:p>
        </w:tc>
        <w:tc>
          <w:tcPr>
            <w:tcW w:w="2169" w:type="pct"/>
            <w:gridSpan w:val="4"/>
            <w:tcBorders>
              <w:top w:val="single" w:sz="4" w:space="0" w:color="auto"/>
              <w:left w:val="nil"/>
              <w:bottom w:val="single" w:sz="4" w:space="0" w:color="auto"/>
              <w:right w:val="single" w:sz="4" w:space="0" w:color="000000"/>
            </w:tcBorders>
            <w:shd w:val="clear" w:color="auto" w:fill="auto"/>
            <w:vAlign w:val="center"/>
            <w:hideMark/>
          </w:tcPr>
          <w:p w:rsidR="0039497E" w:rsidRPr="00BB2CEB" w:rsidP="000C08CC" w14:paraId="4D5B482E" w14:textId="77777777">
            <w:pPr>
              <w:jc w:val="center"/>
              <w:rPr>
                <w:b/>
                <w:bCs/>
                <w:color w:val="000000"/>
                <w:sz w:val="20"/>
                <w:szCs w:val="20"/>
              </w:rPr>
            </w:pPr>
            <w:r w:rsidRPr="00BB2CEB">
              <w:rPr>
                <w:b/>
                <w:bCs/>
                <w:color w:val="000000"/>
                <w:sz w:val="20"/>
                <w:szCs w:val="20"/>
              </w:rPr>
              <w:t>Three Year Total</w:t>
            </w:r>
          </w:p>
        </w:tc>
      </w:tr>
      <w:tr w14:paraId="70512425" w14:textId="77777777" w:rsidTr="000C08CC">
        <w:tblPrEx>
          <w:tblW w:w="5000" w:type="pct"/>
          <w:tblLook w:val="04A0"/>
        </w:tblPrEx>
        <w:trPr>
          <w:trHeight w:val="639"/>
        </w:trPr>
        <w:tc>
          <w:tcPr>
            <w:tcW w:w="662" w:type="pct"/>
            <w:tcBorders>
              <w:top w:val="nil"/>
              <w:left w:val="single" w:sz="4" w:space="0" w:color="auto"/>
              <w:bottom w:val="single" w:sz="4" w:space="0" w:color="auto"/>
              <w:right w:val="single" w:sz="4" w:space="0" w:color="auto"/>
            </w:tcBorders>
            <w:shd w:val="clear" w:color="auto" w:fill="auto"/>
            <w:vAlign w:val="center"/>
            <w:hideMark/>
          </w:tcPr>
          <w:p w:rsidR="0039497E" w:rsidRPr="00BB2CEB" w:rsidP="000C08CC" w14:paraId="37612BE3" w14:textId="77777777">
            <w:pPr>
              <w:rPr>
                <w:b/>
                <w:bCs/>
                <w:color w:val="000000"/>
                <w:sz w:val="20"/>
                <w:szCs w:val="20"/>
              </w:rPr>
            </w:pPr>
            <w:r w:rsidRPr="00BB2CEB">
              <w:rPr>
                <w:b/>
                <w:bCs/>
                <w:color w:val="000000"/>
                <w:sz w:val="20"/>
                <w:szCs w:val="20"/>
              </w:rPr>
              <w:t> </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25DD81E0" w14:textId="77777777">
            <w:pPr>
              <w:jc w:val="center"/>
              <w:rPr>
                <w:color w:val="000000"/>
                <w:sz w:val="20"/>
                <w:szCs w:val="20"/>
              </w:rPr>
            </w:pPr>
            <w:r w:rsidRPr="00BB2CEB">
              <w:rPr>
                <w:color w:val="000000"/>
                <w:sz w:val="20"/>
                <w:szCs w:val="20"/>
              </w:rPr>
              <w:t>Technical Hours</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3DCC431F" w14:textId="77777777">
            <w:pPr>
              <w:jc w:val="center"/>
              <w:rPr>
                <w:color w:val="000000"/>
                <w:sz w:val="20"/>
                <w:szCs w:val="20"/>
              </w:rPr>
            </w:pPr>
            <w:r w:rsidRPr="00BB2CEB">
              <w:rPr>
                <w:color w:val="000000"/>
                <w:sz w:val="20"/>
                <w:szCs w:val="20"/>
              </w:rPr>
              <w:t>Management Hours</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6037C072" w14:textId="77777777">
            <w:pPr>
              <w:jc w:val="center"/>
              <w:rPr>
                <w:color w:val="000000"/>
                <w:sz w:val="20"/>
                <w:szCs w:val="20"/>
              </w:rPr>
            </w:pPr>
            <w:r w:rsidRPr="00BB2CEB">
              <w:rPr>
                <w:color w:val="000000"/>
                <w:sz w:val="20"/>
                <w:szCs w:val="20"/>
              </w:rPr>
              <w:t>Total Hours</w:t>
            </w:r>
          </w:p>
        </w:tc>
        <w:tc>
          <w:tcPr>
            <w:tcW w:w="543" w:type="pct"/>
            <w:tcBorders>
              <w:top w:val="nil"/>
              <w:left w:val="nil"/>
              <w:bottom w:val="single" w:sz="4" w:space="0" w:color="auto"/>
              <w:right w:val="single" w:sz="4" w:space="0" w:color="auto"/>
            </w:tcBorders>
            <w:shd w:val="clear" w:color="auto" w:fill="auto"/>
            <w:vAlign w:val="center"/>
            <w:hideMark/>
          </w:tcPr>
          <w:p w:rsidR="0039497E" w:rsidRPr="00BB2CEB" w:rsidP="000C08CC" w14:paraId="55DEBA7E" w14:textId="77777777">
            <w:pPr>
              <w:jc w:val="center"/>
              <w:rPr>
                <w:color w:val="000000"/>
                <w:sz w:val="20"/>
                <w:szCs w:val="20"/>
              </w:rPr>
            </w:pPr>
            <w:r w:rsidRPr="00BB2CEB">
              <w:rPr>
                <w:color w:val="000000"/>
                <w:sz w:val="20"/>
                <w:szCs w:val="20"/>
              </w:rPr>
              <w:t xml:space="preserve">Annual Cost </w:t>
            </w:r>
            <w:r w:rsidRPr="00BB2CEB">
              <w:rPr>
                <w:color w:val="000000"/>
                <w:sz w:val="20"/>
                <w:szCs w:val="20"/>
                <w:vertAlign w:val="superscript"/>
              </w:rPr>
              <w:t>b</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5CA54EE3" w14:textId="77777777">
            <w:pPr>
              <w:jc w:val="center"/>
              <w:rPr>
                <w:color w:val="000000"/>
                <w:sz w:val="20"/>
                <w:szCs w:val="20"/>
              </w:rPr>
            </w:pPr>
            <w:r w:rsidRPr="00BB2CEB">
              <w:rPr>
                <w:color w:val="000000"/>
                <w:sz w:val="20"/>
                <w:szCs w:val="20"/>
              </w:rPr>
              <w:t>Technical Hours</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4CD02F82" w14:textId="77777777">
            <w:pPr>
              <w:jc w:val="center"/>
              <w:rPr>
                <w:color w:val="000000"/>
                <w:sz w:val="20"/>
                <w:szCs w:val="20"/>
              </w:rPr>
            </w:pPr>
            <w:r w:rsidRPr="00BB2CEB">
              <w:rPr>
                <w:color w:val="000000"/>
                <w:sz w:val="20"/>
                <w:szCs w:val="20"/>
              </w:rPr>
              <w:t>Management Hours</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69BB6E48" w14:textId="77777777">
            <w:pPr>
              <w:jc w:val="center"/>
              <w:rPr>
                <w:color w:val="000000"/>
                <w:sz w:val="20"/>
                <w:szCs w:val="20"/>
              </w:rPr>
            </w:pPr>
            <w:r w:rsidRPr="00BB2CEB">
              <w:rPr>
                <w:color w:val="000000"/>
                <w:sz w:val="20"/>
                <w:szCs w:val="20"/>
              </w:rPr>
              <w:t>Total Hours</w:t>
            </w:r>
          </w:p>
        </w:tc>
        <w:tc>
          <w:tcPr>
            <w:tcW w:w="543" w:type="pct"/>
            <w:tcBorders>
              <w:top w:val="nil"/>
              <w:left w:val="nil"/>
              <w:bottom w:val="single" w:sz="4" w:space="0" w:color="auto"/>
              <w:right w:val="single" w:sz="4" w:space="0" w:color="auto"/>
            </w:tcBorders>
            <w:shd w:val="clear" w:color="auto" w:fill="auto"/>
            <w:vAlign w:val="center"/>
            <w:hideMark/>
          </w:tcPr>
          <w:p w:rsidR="0039497E" w:rsidRPr="00BB2CEB" w:rsidP="000C08CC" w14:paraId="5682BB1D" w14:textId="77777777">
            <w:pPr>
              <w:jc w:val="center"/>
              <w:rPr>
                <w:color w:val="000000"/>
                <w:sz w:val="20"/>
                <w:szCs w:val="20"/>
              </w:rPr>
            </w:pPr>
            <w:r w:rsidRPr="00BB2CEB">
              <w:rPr>
                <w:color w:val="000000"/>
                <w:sz w:val="20"/>
                <w:szCs w:val="20"/>
              </w:rPr>
              <w:t>Annual Cost</w:t>
            </w:r>
          </w:p>
        </w:tc>
      </w:tr>
      <w:tr w14:paraId="6F708B28" w14:textId="77777777" w:rsidTr="000C08CC">
        <w:tblPrEx>
          <w:tblW w:w="5000" w:type="pct"/>
          <w:tblLook w:val="04A0"/>
        </w:tblPrEx>
        <w:trPr>
          <w:trHeight w:val="384"/>
        </w:trPr>
        <w:tc>
          <w:tcPr>
            <w:tcW w:w="662" w:type="pct"/>
            <w:tcBorders>
              <w:top w:val="nil"/>
              <w:left w:val="single" w:sz="4" w:space="0" w:color="auto"/>
              <w:bottom w:val="single" w:sz="4" w:space="0" w:color="auto"/>
              <w:right w:val="single" w:sz="4" w:space="0" w:color="auto"/>
            </w:tcBorders>
            <w:shd w:val="clear" w:color="auto" w:fill="auto"/>
            <w:vAlign w:val="center"/>
            <w:hideMark/>
          </w:tcPr>
          <w:p w:rsidR="0039497E" w:rsidRPr="00BB2CEB" w:rsidP="000C08CC" w14:paraId="73E48CC2" w14:textId="77777777">
            <w:pPr>
              <w:rPr>
                <w:color w:val="000000"/>
                <w:sz w:val="20"/>
                <w:szCs w:val="20"/>
              </w:rPr>
            </w:pPr>
            <w:r w:rsidRPr="00BB2CEB">
              <w:rPr>
                <w:color w:val="000000"/>
                <w:sz w:val="20"/>
                <w:szCs w:val="20"/>
              </w:rPr>
              <w:t xml:space="preserve">Rule Familiarzation </w:t>
            </w:r>
            <w:r w:rsidRPr="00BB2CEB">
              <w:rPr>
                <w:color w:val="000000"/>
                <w:sz w:val="20"/>
                <w:szCs w:val="20"/>
                <w:vertAlign w:val="superscript"/>
              </w:rPr>
              <w:t>a</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21F8EF48" w14:textId="77777777">
            <w:pPr>
              <w:jc w:val="center"/>
              <w:rPr>
                <w:color w:val="000000"/>
                <w:sz w:val="20"/>
                <w:szCs w:val="20"/>
              </w:rPr>
            </w:pPr>
            <w:r w:rsidRPr="00BB2CEB">
              <w:rPr>
                <w:color w:val="000000"/>
                <w:sz w:val="20"/>
                <w:szCs w:val="20"/>
              </w:rPr>
              <w:t>114</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660059EC" w14:textId="77777777">
            <w:pPr>
              <w:jc w:val="center"/>
              <w:rPr>
                <w:color w:val="000000"/>
                <w:sz w:val="20"/>
                <w:szCs w:val="20"/>
              </w:rPr>
            </w:pPr>
            <w:r w:rsidRPr="00BB2CEB">
              <w:rPr>
                <w:color w:val="000000"/>
                <w:sz w:val="20"/>
                <w:szCs w:val="20"/>
              </w:rPr>
              <w:t>6</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3686987D" w14:textId="77777777">
            <w:pPr>
              <w:jc w:val="center"/>
              <w:rPr>
                <w:color w:val="000000"/>
                <w:sz w:val="20"/>
                <w:szCs w:val="20"/>
              </w:rPr>
            </w:pPr>
            <w:r w:rsidRPr="00BB2CEB">
              <w:rPr>
                <w:color w:val="000000"/>
                <w:sz w:val="20"/>
                <w:szCs w:val="20"/>
              </w:rPr>
              <w:t>120</w:t>
            </w:r>
          </w:p>
        </w:tc>
        <w:tc>
          <w:tcPr>
            <w:tcW w:w="543" w:type="pct"/>
            <w:tcBorders>
              <w:top w:val="nil"/>
              <w:left w:val="nil"/>
              <w:bottom w:val="single" w:sz="4" w:space="0" w:color="auto"/>
              <w:right w:val="single" w:sz="4" w:space="0" w:color="auto"/>
            </w:tcBorders>
            <w:shd w:val="clear" w:color="auto" w:fill="auto"/>
            <w:vAlign w:val="center"/>
            <w:hideMark/>
          </w:tcPr>
          <w:p w:rsidR="0039497E" w:rsidRPr="00BB2CEB" w:rsidP="000C08CC" w14:paraId="6494C082" w14:textId="77777777">
            <w:pPr>
              <w:jc w:val="center"/>
              <w:rPr>
                <w:color w:val="000000"/>
                <w:sz w:val="20"/>
                <w:szCs w:val="20"/>
              </w:rPr>
            </w:pPr>
            <w:r w:rsidRPr="00BB2CEB">
              <w:rPr>
                <w:color w:val="000000"/>
                <w:sz w:val="20"/>
                <w:szCs w:val="20"/>
              </w:rPr>
              <w:t>$6,633</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39AA37E8" w14:textId="77777777">
            <w:pPr>
              <w:jc w:val="center"/>
              <w:rPr>
                <w:color w:val="000000"/>
                <w:sz w:val="20"/>
                <w:szCs w:val="20"/>
              </w:rPr>
            </w:pPr>
            <w:r w:rsidRPr="00BB2CEB">
              <w:rPr>
                <w:color w:val="000000"/>
                <w:sz w:val="20"/>
                <w:szCs w:val="20"/>
              </w:rPr>
              <w:t>342</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522FA2B6" w14:textId="77777777">
            <w:pPr>
              <w:jc w:val="center"/>
              <w:rPr>
                <w:color w:val="000000"/>
                <w:sz w:val="20"/>
                <w:szCs w:val="20"/>
              </w:rPr>
            </w:pPr>
            <w:r w:rsidRPr="00BB2CEB">
              <w:rPr>
                <w:color w:val="000000"/>
                <w:sz w:val="20"/>
                <w:szCs w:val="20"/>
              </w:rPr>
              <w:t>17</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0881FB62" w14:textId="77777777">
            <w:pPr>
              <w:jc w:val="center"/>
              <w:rPr>
                <w:color w:val="000000"/>
                <w:sz w:val="20"/>
                <w:szCs w:val="20"/>
              </w:rPr>
            </w:pPr>
            <w:r w:rsidRPr="00BB2CEB">
              <w:rPr>
                <w:color w:val="000000"/>
                <w:sz w:val="20"/>
                <w:szCs w:val="20"/>
              </w:rPr>
              <w:t>359</w:t>
            </w:r>
          </w:p>
        </w:tc>
        <w:tc>
          <w:tcPr>
            <w:tcW w:w="543" w:type="pct"/>
            <w:tcBorders>
              <w:top w:val="nil"/>
              <w:left w:val="nil"/>
              <w:bottom w:val="single" w:sz="4" w:space="0" w:color="auto"/>
              <w:right w:val="single" w:sz="4" w:space="0" w:color="auto"/>
            </w:tcBorders>
            <w:shd w:val="clear" w:color="auto" w:fill="auto"/>
            <w:vAlign w:val="center"/>
            <w:hideMark/>
          </w:tcPr>
          <w:p w:rsidR="0039497E" w:rsidRPr="00BB2CEB" w:rsidP="000C08CC" w14:paraId="7D959B37" w14:textId="77777777">
            <w:pPr>
              <w:jc w:val="center"/>
              <w:rPr>
                <w:color w:val="000000"/>
                <w:sz w:val="20"/>
                <w:szCs w:val="20"/>
              </w:rPr>
            </w:pPr>
            <w:r w:rsidRPr="00BB2CEB">
              <w:rPr>
                <w:color w:val="000000"/>
                <w:sz w:val="20"/>
                <w:szCs w:val="20"/>
              </w:rPr>
              <w:t>$19,899</w:t>
            </w:r>
          </w:p>
        </w:tc>
      </w:tr>
      <w:tr w14:paraId="4DF7A2F3" w14:textId="77777777" w:rsidTr="000C08CC">
        <w:tblPrEx>
          <w:tblW w:w="5000" w:type="pct"/>
          <w:tblLook w:val="04A0"/>
        </w:tblPrEx>
        <w:trPr>
          <w:trHeight w:val="639"/>
        </w:trPr>
        <w:tc>
          <w:tcPr>
            <w:tcW w:w="662" w:type="pct"/>
            <w:tcBorders>
              <w:top w:val="nil"/>
              <w:left w:val="single" w:sz="4" w:space="0" w:color="auto"/>
              <w:bottom w:val="single" w:sz="4" w:space="0" w:color="auto"/>
              <w:right w:val="single" w:sz="4" w:space="0" w:color="auto"/>
            </w:tcBorders>
            <w:shd w:val="clear" w:color="auto" w:fill="auto"/>
            <w:vAlign w:val="center"/>
            <w:hideMark/>
          </w:tcPr>
          <w:p w:rsidR="0039497E" w:rsidRPr="00BB2CEB" w:rsidP="000C08CC" w14:paraId="4B97793D" w14:textId="77777777">
            <w:pPr>
              <w:rPr>
                <w:color w:val="000000"/>
                <w:sz w:val="20"/>
                <w:szCs w:val="20"/>
              </w:rPr>
            </w:pPr>
            <w:r w:rsidRPr="00BB2CEB">
              <w:rPr>
                <w:color w:val="000000"/>
                <w:sz w:val="20"/>
                <w:szCs w:val="20"/>
              </w:rPr>
              <w:t xml:space="preserve">Review CAM Plans </w:t>
            </w:r>
            <w:r w:rsidRPr="00BB2CEB">
              <w:rPr>
                <w:color w:val="000000"/>
                <w:sz w:val="20"/>
                <w:szCs w:val="20"/>
                <w:vertAlign w:val="superscript"/>
              </w:rPr>
              <w:t>a</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0D12EECE" w14:textId="77777777">
            <w:pPr>
              <w:jc w:val="center"/>
              <w:rPr>
                <w:color w:val="000000"/>
                <w:sz w:val="20"/>
                <w:szCs w:val="20"/>
              </w:rPr>
            </w:pPr>
            <w:r w:rsidRPr="00BB2CEB">
              <w:rPr>
                <w:color w:val="000000"/>
                <w:sz w:val="20"/>
                <w:szCs w:val="20"/>
              </w:rPr>
              <w:t>1786</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2A601FEA" w14:textId="77777777">
            <w:pPr>
              <w:jc w:val="center"/>
              <w:rPr>
                <w:color w:val="000000"/>
                <w:sz w:val="20"/>
                <w:szCs w:val="20"/>
              </w:rPr>
            </w:pPr>
            <w:r w:rsidRPr="00BB2CEB">
              <w:rPr>
                <w:color w:val="000000"/>
                <w:sz w:val="20"/>
                <w:szCs w:val="20"/>
              </w:rPr>
              <w:t>94</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44B52DFF" w14:textId="77777777">
            <w:pPr>
              <w:jc w:val="center"/>
              <w:rPr>
                <w:color w:val="000000"/>
                <w:sz w:val="20"/>
                <w:szCs w:val="20"/>
              </w:rPr>
            </w:pPr>
            <w:r w:rsidRPr="00BB2CEB">
              <w:rPr>
                <w:color w:val="000000"/>
                <w:sz w:val="20"/>
                <w:szCs w:val="20"/>
              </w:rPr>
              <w:t>1880</w:t>
            </w:r>
          </w:p>
        </w:tc>
        <w:tc>
          <w:tcPr>
            <w:tcW w:w="543" w:type="pct"/>
            <w:tcBorders>
              <w:top w:val="nil"/>
              <w:left w:val="nil"/>
              <w:bottom w:val="single" w:sz="4" w:space="0" w:color="auto"/>
              <w:right w:val="single" w:sz="4" w:space="0" w:color="auto"/>
            </w:tcBorders>
            <w:shd w:val="clear" w:color="auto" w:fill="auto"/>
            <w:vAlign w:val="center"/>
            <w:hideMark/>
          </w:tcPr>
          <w:p w:rsidR="0039497E" w:rsidRPr="00BB2CEB" w:rsidP="000C08CC" w14:paraId="75B26F3E" w14:textId="77777777">
            <w:pPr>
              <w:jc w:val="center"/>
              <w:rPr>
                <w:color w:val="000000"/>
                <w:sz w:val="20"/>
                <w:szCs w:val="20"/>
              </w:rPr>
            </w:pPr>
            <w:r w:rsidRPr="00BB2CEB">
              <w:rPr>
                <w:color w:val="000000"/>
                <w:sz w:val="20"/>
                <w:szCs w:val="20"/>
              </w:rPr>
              <w:t>$104,260</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59629508" w14:textId="77777777">
            <w:pPr>
              <w:jc w:val="center"/>
              <w:rPr>
                <w:color w:val="000000"/>
                <w:sz w:val="20"/>
                <w:szCs w:val="20"/>
              </w:rPr>
            </w:pPr>
            <w:r w:rsidRPr="00BB2CEB">
              <w:rPr>
                <w:color w:val="000000"/>
                <w:sz w:val="20"/>
                <w:szCs w:val="20"/>
              </w:rPr>
              <w:t>5358</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35FC4952" w14:textId="77777777">
            <w:pPr>
              <w:jc w:val="center"/>
              <w:rPr>
                <w:color w:val="000000"/>
                <w:sz w:val="20"/>
                <w:szCs w:val="20"/>
              </w:rPr>
            </w:pPr>
            <w:r w:rsidRPr="00BB2CEB">
              <w:rPr>
                <w:color w:val="000000"/>
                <w:sz w:val="20"/>
                <w:szCs w:val="20"/>
              </w:rPr>
              <w:t>282</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2A959A78" w14:textId="77777777">
            <w:pPr>
              <w:jc w:val="center"/>
              <w:rPr>
                <w:color w:val="000000"/>
                <w:sz w:val="20"/>
                <w:szCs w:val="20"/>
              </w:rPr>
            </w:pPr>
            <w:r w:rsidRPr="00BB2CEB">
              <w:rPr>
                <w:color w:val="000000"/>
                <w:sz w:val="20"/>
                <w:szCs w:val="20"/>
              </w:rPr>
              <w:t>5640</w:t>
            </w:r>
          </w:p>
        </w:tc>
        <w:tc>
          <w:tcPr>
            <w:tcW w:w="543" w:type="pct"/>
            <w:tcBorders>
              <w:top w:val="nil"/>
              <w:left w:val="nil"/>
              <w:bottom w:val="single" w:sz="4" w:space="0" w:color="auto"/>
              <w:right w:val="single" w:sz="4" w:space="0" w:color="auto"/>
            </w:tcBorders>
            <w:shd w:val="clear" w:color="auto" w:fill="auto"/>
            <w:vAlign w:val="center"/>
            <w:hideMark/>
          </w:tcPr>
          <w:p w:rsidR="0039497E" w:rsidRPr="00BB2CEB" w:rsidP="000C08CC" w14:paraId="4853B29A" w14:textId="77777777">
            <w:pPr>
              <w:jc w:val="center"/>
              <w:rPr>
                <w:color w:val="000000"/>
                <w:sz w:val="20"/>
                <w:szCs w:val="20"/>
              </w:rPr>
            </w:pPr>
            <w:r w:rsidRPr="00BB2CEB">
              <w:rPr>
                <w:color w:val="000000"/>
                <w:sz w:val="20"/>
                <w:szCs w:val="20"/>
              </w:rPr>
              <w:t>$312,780</w:t>
            </w:r>
          </w:p>
        </w:tc>
      </w:tr>
      <w:tr w14:paraId="0222DC70" w14:textId="77777777" w:rsidTr="000C08CC">
        <w:tblPrEx>
          <w:tblW w:w="5000" w:type="pct"/>
          <w:tblLook w:val="04A0"/>
        </w:tblPrEx>
        <w:trPr>
          <w:trHeight w:val="639"/>
        </w:trPr>
        <w:tc>
          <w:tcPr>
            <w:tcW w:w="662" w:type="pct"/>
            <w:tcBorders>
              <w:top w:val="nil"/>
              <w:left w:val="single" w:sz="4" w:space="0" w:color="auto"/>
              <w:bottom w:val="single" w:sz="4" w:space="0" w:color="auto"/>
              <w:right w:val="single" w:sz="4" w:space="0" w:color="auto"/>
            </w:tcBorders>
            <w:shd w:val="clear" w:color="auto" w:fill="auto"/>
            <w:vAlign w:val="center"/>
            <w:hideMark/>
          </w:tcPr>
          <w:p w:rsidR="0039497E" w:rsidRPr="00BB2CEB" w:rsidP="000C08CC" w14:paraId="3033186C" w14:textId="77777777">
            <w:pPr>
              <w:rPr>
                <w:b/>
                <w:bCs/>
                <w:color w:val="000000"/>
                <w:sz w:val="20"/>
                <w:szCs w:val="20"/>
              </w:rPr>
            </w:pPr>
            <w:r w:rsidRPr="00BB2CEB">
              <w:rPr>
                <w:b/>
                <w:bCs/>
                <w:color w:val="000000"/>
                <w:sz w:val="20"/>
                <w:szCs w:val="20"/>
              </w:rPr>
              <w:t xml:space="preserve">Total Cost and Burden (rounded) </w:t>
            </w:r>
            <w:r w:rsidRPr="00BB2CEB">
              <w:rPr>
                <w:b/>
                <w:bCs/>
                <w:color w:val="000000"/>
                <w:sz w:val="20"/>
                <w:szCs w:val="20"/>
                <w:vertAlign w:val="superscript"/>
              </w:rPr>
              <w:t>c</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333CC066" w14:textId="77777777">
            <w:pPr>
              <w:jc w:val="center"/>
              <w:rPr>
                <w:b/>
                <w:bCs/>
                <w:color w:val="000000"/>
                <w:sz w:val="20"/>
                <w:szCs w:val="20"/>
              </w:rPr>
            </w:pPr>
            <w:r w:rsidRPr="00BB2CEB">
              <w:rPr>
                <w:b/>
                <w:bCs/>
                <w:color w:val="000000"/>
                <w:sz w:val="20"/>
                <w:szCs w:val="20"/>
              </w:rPr>
              <w:t>1900</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3CADE8BD" w14:textId="77777777">
            <w:pPr>
              <w:jc w:val="center"/>
              <w:rPr>
                <w:b/>
                <w:bCs/>
                <w:color w:val="000000"/>
                <w:sz w:val="20"/>
                <w:szCs w:val="20"/>
              </w:rPr>
            </w:pPr>
            <w:r w:rsidRPr="00BB2CEB">
              <w:rPr>
                <w:b/>
                <w:bCs/>
                <w:color w:val="000000"/>
                <w:sz w:val="20"/>
                <w:szCs w:val="20"/>
              </w:rPr>
              <w:t>100</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76C672C6" w14:textId="77777777">
            <w:pPr>
              <w:jc w:val="center"/>
              <w:rPr>
                <w:b/>
                <w:bCs/>
                <w:color w:val="000000"/>
                <w:sz w:val="20"/>
                <w:szCs w:val="20"/>
              </w:rPr>
            </w:pPr>
            <w:r w:rsidRPr="00BB2CEB">
              <w:rPr>
                <w:b/>
                <w:bCs/>
                <w:color w:val="000000"/>
                <w:sz w:val="20"/>
                <w:szCs w:val="20"/>
              </w:rPr>
              <w:t>2000</w:t>
            </w:r>
          </w:p>
        </w:tc>
        <w:tc>
          <w:tcPr>
            <w:tcW w:w="543" w:type="pct"/>
            <w:tcBorders>
              <w:top w:val="nil"/>
              <w:left w:val="nil"/>
              <w:bottom w:val="single" w:sz="4" w:space="0" w:color="auto"/>
              <w:right w:val="single" w:sz="4" w:space="0" w:color="auto"/>
            </w:tcBorders>
            <w:shd w:val="clear" w:color="auto" w:fill="auto"/>
            <w:vAlign w:val="center"/>
            <w:hideMark/>
          </w:tcPr>
          <w:p w:rsidR="0039497E" w:rsidRPr="00BB2CEB" w:rsidP="000C08CC" w14:paraId="362E0726" w14:textId="77777777">
            <w:pPr>
              <w:jc w:val="center"/>
              <w:rPr>
                <w:b/>
                <w:bCs/>
                <w:color w:val="000000"/>
                <w:sz w:val="20"/>
                <w:szCs w:val="20"/>
              </w:rPr>
            </w:pPr>
            <w:r w:rsidRPr="00BB2CEB">
              <w:rPr>
                <w:b/>
                <w:bCs/>
                <w:color w:val="000000"/>
                <w:sz w:val="20"/>
                <w:szCs w:val="20"/>
              </w:rPr>
              <w:t>$111,000</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1ED501F7" w14:textId="77777777">
            <w:pPr>
              <w:jc w:val="center"/>
              <w:rPr>
                <w:b/>
                <w:bCs/>
                <w:color w:val="000000"/>
                <w:sz w:val="20"/>
                <w:szCs w:val="20"/>
              </w:rPr>
            </w:pPr>
            <w:r w:rsidRPr="00BB2CEB">
              <w:rPr>
                <w:b/>
                <w:bCs/>
                <w:color w:val="000000"/>
                <w:sz w:val="20"/>
                <w:szCs w:val="20"/>
              </w:rPr>
              <w:t>5700</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6CB92D4E" w14:textId="77777777">
            <w:pPr>
              <w:jc w:val="center"/>
              <w:rPr>
                <w:b/>
                <w:bCs/>
                <w:color w:val="000000"/>
                <w:sz w:val="20"/>
                <w:szCs w:val="20"/>
              </w:rPr>
            </w:pPr>
            <w:r w:rsidRPr="00BB2CEB">
              <w:rPr>
                <w:b/>
                <w:bCs/>
                <w:color w:val="000000"/>
                <w:sz w:val="20"/>
                <w:szCs w:val="20"/>
              </w:rPr>
              <w:t>299</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170BFB9B" w14:textId="77777777">
            <w:pPr>
              <w:jc w:val="center"/>
              <w:rPr>
                <w:b/>
                <w:bCs/>
                <w:color w:val="000000"/>
                <w:sz w:val="20"/>
                <w:szCs w:val="20"/>
              </w:rPr>
            </w:pPr>
            <w:r w:rsidRPr="00BB2CEB">
              <w:rPr>
                <w:b/>
                <w:bCs/>
                <w:color w:val="000000"/>
                <w:sz w:val="20"/>
                <w:szCs w:val="20"/>
              </w:rPr>
              <w:t>5999</w:t>
            </w:r>
          </w:p>
        </w:tc>
        <w:tc>
          <w:tcPr>
            <w:tcW w:w="543" w:type="pct"/>
            <w:tcBorders>
              <w:top w:val="nil"/>
              <w:left w:val="nil"/>
              <w:bottom w:val="single" w:sz="4" w:space="0" w:color="auto"/>
              <w:right w:val="single" w:sz="4" w:space="0" w:color="auto"/>
            </w:tcBorders>
            <w:shd w:val="clear" w:color="auto" w:fill="auto"/>
            <w:vAlign w:val="center"/>
            <w:hideMark/>
          </w:tcPr>
          <w:p w:rsidR="0039497E" w:rsidRPr="00BB2CEB" w:rsidP="000C08CC" w14:paraId="41C01CEF" w14:textId="77777777">
            <w:pPr>
              <w:jc w:val="center"/>
              <w:rPr>
                <w:b/>
                <w:bCs/>
                <w:color w:val="000000"/>
                <w:sz w:val="20"/>
                <w:szCs w:val="20"/>
              </w:rPr>
            </w:pPr>
            <w:r w:rsidRPr="00BB2CEB">
              <w:rPr>
                <w:b/>
                <w:bCs/>
                <w:color w:val="000000"/>
                <w:sz w:val="20"/>
                <w:szCs w:val="20"/>
              </w:rPr>
              <w:t>$333,000</w:t>
            </w:r>
          </w:p>
        </w:tc>
      </w:tr>
      <w:tr w14:paraId="66E5F3B4" w14:textId="77777777" w:rsidTr="000C08CC">
        <w:tblPrEx>
          <w:tblW w:w="5000" w:type="pct"/>
          <w:tblLook w:val="04A0"/>
        </w:tblPrEx>
        <w:trPr>
          <w:trHeight w:val="300"/>
        </w:trPr>
        <w:tc>
          <w:tcPr>
            <w:tcW w:w="662" w:type="pct"/>
            <w:tcBorders>
              <w:top w:val="nil"/>
              <w:left w:val="nil"/>
              <w:bottom w:val="nil"/>
              <w:right w:val="nil"/>
            </w:tcBorders>
            <w:shd w:val="clear" w:color="auto" w:fill="auto"/>
            <w:noWrap/>
            <w:vAlign w:val="bottom"/>
            <w:hideMark/>
          </w:tcPr>
          <w:p w:rsidR="0039497E" w:rsidRPr="00BB2CEB" w:rsidP="000C08CC" w14:paraId="0E6F5F7A" w14:textId="77777777">
            <w:pPr>
              <w:jc w:val="center"/>
              <w:rPr>
                <w:b/>
                <w:bCs/>
                <w:color w:val="000000"/>
                <w:sz w:val="20"/>
                <w:szCs w:val="20"/>
              </w:rPr>
            </w:pPr>
          </w:p>
        </w:tc>
        <w:tc>
          <w:tcPr>
            <w:tcW w:w="542" w:type="pct"/>
            <w:tcBorders>
              <w:top w:val="nil"/>
              <w:left w:val="nil"/>
              <w:bottom w:val="nil"/>
              <w:right w:val="nil"/>
            </w:tcBorders>
            <w:shd w:val="clear" w:color="auto" w:fill="auto"/>
            <w:noWrap/>
            <w:vAlign w:val="bottom"/>
            <w:hideMark/>
          </w:tcPr>
          <w:p w:rsidR="0039497E" w:rsidRPr="00BB2CEB" w:rsidP="000C08CC" w14:paraId="61AE73EF" w14:textId="77777777">
            <w:pPr>
              <w:rPr>
                <w:sz w:val="20"/>
                <w:szCs w:val="20"/>
              </w:rPr>
            </w:pPr>
          </w:p>
        </w:tc>
        <w:tc>
          <w:tcPr>
            <w:tcW w:w="542" w:type="pct"/>
            <w:tcBorders>
              <w:top w:val="nil"/>
              <w:left w:val="nil"/>
              <w:bottom w:val="nil"/>
              <w:right w:val="nil"/>
            </w:tcBorders>
            <w:shd w:val="clear" w:color="auto" w:fill="auto"/>
            <w:noWrap/>
            <w:vAlign w:val="bottom"/>
            <w:hideMark/>
          </w:tcPr>
          <w:p w:rsidR="0039497E" w:rsidRPr="00BB2CEB" w:rsidP="000C08CC" w14:paraId="7CA27388" w14:textId="77777777">
            <w:pPr>
              <w:rPr>
                <w:sz w:val="20"/>
                <w:szCs w:val="20"/>
              </w:rPr>
            </w:pPr>
          </w:p>
        </w:tc>
        <w:tc>
          <w:tcPr>
            <w:tcW w:w="542" w:type="pct"/>
            <w:tcBorders>
              <w:top w:val="nil"/>
              <w:left w:val="nil"/>
              <w:bottom w:val="nil"/>
              <w:right w:val="nil"/>
            </w:tcBorders>
            <w:shd w:val="clear" w:color="auto" w:fill="auto"/>
            <w:noWrap/>
            <w:vAlign w:val="bottom"/>
            <w:hideMark/>
          </w:tcPr>
          <w:p w:rsidR="0039497E" w:rsidRPr="00BB2CEB" w:rsidP="000C08CC" w14:paraId="7F373531" w14:textId="77777777">
            <w:pPr>
              <w:rPr>
                <w:sz w:val="20"/>
                <w:szCs w:val="20"/>
              </w:rPr>
            </w:pPr>
          </w:p>
        </w:tc>
        <w:tc>
          <w:tcPr>
            <w:tcW w:w="543" w:type="pct"/>
            <w:tcBorders>
              <w:top w:val="nil"/>
              <w:left w:val="nil"/>
              <w:bottom w:val="nil"/>
              <w:right w:val="nil"/>
            </w:tcBorders>
            <w:shd w:val="clear" w:color="auto" w:fill="auto"/>
            <w:noWrap/>
            <w:vAlign w:val="bottom"/>
            <w:hideMark/>
          </w:tcPr>
          <w:p w:rsidR="0039497E" w:rsidRPr="00BB2CEB" w:rsidP="000C08CC" w14:paraId="0400A4B2" w14:textId="77777777">
            <w:pPr>
              <w:rPr>
                <w:sz w:val="20"/>
                <w:szCs w:val="20"/>
              </w:rPr>
            </w:pPr>
          </w:p>
        </w:tc>
        <w:tc>
          <w:tcPr>
            <w:tcW w:w="542" w:type="pct"/>
            <w:tcBorders>
              <w:top w:val="nil"/>
              <w:left w:val="nil"/>
              <w:bottom w:val="nil"/>
              <w:right w:val="nil"/>
            </w:tcBorders>
            <w:shd w:val="clear" w:color="auto" w:fill="auto"/>
            <w:noWrap/>
            <w:vAlign w:val="bottom"/>
            <w:hideMark/>
          </w:tcPr>
          <w:p w:rsidR="0039497E" w:rsidRPr="00BB2CEB" w:rsidP="000C08CC" w14:paraId="27BAF8F0" w14:textId="77777777">
            <w:pPr>
              <w:rPr>
                <w:sz w:val="20"/>
                <w:szCs w:val="20"/>
              </w:rPr>
            </w:pPr>
          </w:p>
        </w:tc>
        <w:tc>
          <w:tcPr>
            <w:tcW w:w="542" w:type="pct"/>
            <w:tcBorders>
              <w:top w:val="nil"/>
              <w:left w:val="nil"/>
              <w:bottom w:val="nil"/>
              <w:right w:val="nil"/>
            </w:tcBorders>
            <w:shd w:val="clear" w:color="auto" w:fill="auto"/>
            <w:noWrap/>
            <w:vAlign w:val="bottom"/>
            <w:hideMark/>
          </w:tcPr>
          <w:p w:rsidR="0039497E" w:rsidRPr="00BB2CEB" w:rsidP="000C08CC" w14:paraId="4AECD279" w14:textId="77777777">
            <w:pPr>
              <w:rPr>
                <w:sz w:val="20"/>
                <w:szCs w:val="20"/>
              </w:rPr>
            </w:pPr>
          </w:p>
        </w:tc>
        <w:tc>
          <w:tcPr>
            <w:tcW w:w="542" w:type="pct"/>
            <w:tcBorders>
              <w:top w:val="nil"/>
              <w:left w:val="nil"/>
              <w:bottom w:val="nil"/>
              <w:right w:val="nil"/>
            </w:tcBorders>
            <w:shd w:val="clear" w:color="auto" w:fill="auto"/>
            <w:noWrap/>
            <w:vAlign w:val="bottom"/>
            <w:hideMark/>
          </w:tcPr>
          <w:p w:rsidR="0039497E" w:rsidRPr="00BB2CEB" w:rsidP="000C08CC" w14:paraId="7A534A23" w14:textId="77777777">
            <w:pPr>
              <w:rPr>
                <w:sz w:val="20"/>
                <w:szCs w:val="20"/>
              </w:rPr>
            </w:pPr>
          </w:p>
        </w:tc>
        <w:tc>
          <w:tcPr>
            <w:tcW w:w="543" w:type="pct"/>
            <w:tcBorders>
              <w:top w:val="nil"/>
              <w:left w:val="nil"/>
              <w:bottom w:val="nil"/>
              <w:right w:val="nil"/>
            </w:tcBorders>
            <w:shd w:val="clear" w:color="auto" w:fill="auto"/>
            <w:noWrap/>
            <w:vAlign w:val="bottom"/>
            <w:hideMark/>
          </w:tcPr>
          <w:p w:rsidR="0039497E" w:rsidRPr="00BB2CEB" w:rsidP="000C08CC" w14:paraId="68502D47" w14:textId="77777777">
            <w:pPr>
              <w:rPr>
                <w:sz w:val="20"/>
                <w:szCs w:val="20"/>
              </w:rPr>
            </w:pPr>
          </w:p>
        </w:tc>
      </w:tr>
      <w:tr w14:paraId="28DC08AF" w14:textId="77777777" w:rsidTr="000C08CC">
        <w:tblPrEx>
          <w:tblW w:w="5000" w:type="pct"/>
          <w:tblLook w:val="04A0"/>
        </w:tblPrEx>
        <w:trPr>
          <w:trHeight w:val="432"/>
        </w:trPr>
        <w:tc>
          <w:tcPr>
            <w:tcW w:w="5000" w:type="pct"/>
            <w:gridSpan w:val="9"/>
            <w:tcBorders>
              <w:top w:val="nil"/>
              <w:left w:val="nil"/>
              <w:bottom w:val="nil"/>
              <w:right w:val="nil"/>
            </w:tcBorders>
            <w:shd w:val="clear" w:color="auto" w:fill="auto"/>
            <w:hideMark/>
          </w:tcPr>
          <w:p w:rsidR="0039497E" w:rsidRPr="00BB2CEB" w:rsidP="000C08CC" w14:paraId="1EC32459" w14:textId="77777777">
            <w:pPr>
              <w:rPr>
                <w:color w:val="000000"/>
                <w:sz w:val="20"/>
                <w:szCs w:val="20"/>
              </w:rPr>
            </w:pPr>
            <w:r w:rsidRPr="00BB2CEB">
              <w:rPr>
                <w:color w:val="000000"/>
                <w:sz w:val="20"/>
                <w:szCs w:val="20"/>
                <w:vertAlign w:val="superscript"/>
              </w:rPr>
              <w:t>a</w:t>
            </w:r>
            <w:r w:rsidRPr="00BB2CEB">
              <w:rPr>
                <w:color w:val="000000"/>
                <w:sz w:val="20"/>
                <w:szCs w:val="20"/>
              </w:rPr>
              <w:t xml:space="preserve"> We assumed 0.1 FTEs, or 200 hours per region per year; 200 hours/region * 10 regions = 2,000 hours/yr. We assumed the majority of the time is spent reviewing CAM plans; some time was allocated to Rule familiarization for new staff.</w:t>
            </w:r>
          </w:p>
          <w:p w:rsidR="0039497E" w:rsidRPr="00BB2CEB" w:rsidP="000C08CC" w14:paraId="3F5629A6" w14:textId="77777777">
            <w:pPr>
              <w:rPr>
                <w:color w:val="000000"/>
                <w:sz w:val="20"/>
                <w:szCs w:val="20"/>
              </w:rPr>
            </w:pPr>
            <w:r w:rsidRPr="00BB2CEB">
              <w:rPr>
                <w:color w:val="000000"/>
                <w:sz w:val="20"/>
                <w:szCs w:val="20"/>
                <w:vertAlign w:val="superscript"/>
              </w:rPr>
              <w:t>b</w:t>
            </w:r>
            <w:r w:rsidRPr="00BB2CEB">
              <w:rPr>
                <w:color w:val="000000"/>
                <w:sz w:val="20"/>
                <w:szCs w:val="20"/>
              </w:rPr>
              <w:t xml:space="preserve"> The cost is based on the following labor rates: Managerial rate of $73.46 (GS-13, Step 5, $45.91 + 60%) and Technical rate of $54.51 (GS-12, Step 1, $34.07 + 60%).</w:t>
            </w:r>
            <w:r>
              <w:rPr>
                <w:color w:val="000000"/>
                <w:sz w:val="20"/>
                <w:szCs w:val="20"/>
              </w:rPr>
              <w:t xml:space="preserve"> </w:t>
            </w:r>
            <w:r w:rsidRPr="00BB2CEB">
              <w:rPr>
                <w:color w:val="000000"/>
                <w:sz w:val="20"/>
                <w:szCs w:val="20"/>
              </w:rPr>
              <w:t>These rates are from the Office of Personnel Management (OPM), 2023 General Schedule, which excludes locality, rates of pay. The rates have been increased by 60 percent to account for the benefit packages available to government employees.</w:t>
            </w:r>
          </w:p>
          <w:p w:rsidR="0039497E" w:rsidRPr="00BB2CEB" w:rsidP="000C08CC" w14:paraId="67888B6F" w14:textId="77777777">
            <w:pPr>
              <w:rPr>
                <w:color w:val="000000"/>
                <w:sz w:val="20"/>
                <w:szCs w:val="20"/>
              </w:rPr>
            </w:pPr>
            <w:r w:rsidRPr="00BB2CEB">
              <w:rPr>
                <w:color w:val="000000"/>
                <w:sz w:val="20"/>
                <w:szCs w:val="20"/>
                <w:vertAlign w:val="superscript"/>
              </w:rPr>
              <w:t>c</w:t>
            </w:r>
            <w:r w:rsidRPr="00BB2CEB">
              <w:rPr>
                <w:color w:val="000000"/>
                <w:sz w:val="20"/>
                <w:szCs w:val="20"/>
              </w:rPr>
              <w:t xml:space="preserve"> Totals have been rounded to 3 significant figures. Figures may not add exactly due to rounding.</w:t>
            </w:r>
          </w:p>
          <w:p w:rsidR="0039497E" w:rsidRPr="00BB2CEB" w:rsidP="000C08CC" w14:paraId="7C5A221F" w14:textId="77777777">
            <w:pPr>
              <w:rPr>
                <w:color w:val="000000"/>
                <w:sz w:val="20"/>
                <w:szCs w:val="20"/>
              </w:rPr>
            </w:pPr>
          </w:p>
        </w:tc>
      </w:tr>
    </w:tbl>
    <w:p w:rsidR="0039497E" w:rsidP="0039497E" w14:paraId="1C45DA26" w14:textId="6A74F022">
      <w:pPr>
        <w:rPr>
          <w:b/>
          <w:bCs/>
        </w:rPr>
      </w:pPr>
    </w:p>
    <w:p w:rsidR="0039497E" w14:paraId="232D482E" w14:textId="77777777">
      <w:pPr>
        <w:rPr>
          <w:b/>
          <w:bCs/>
        </w:rPr>
      </w:pPr>
      <w:r>
        <w:rPr>
          <w:b/>
          <w:bCs/>
        </w:rPr>
        <w:br w:type="page"/>
      </w:r>
    </w:p>
    <w:p w:rsidR="0039497E" w:rsidP="0039497E" w14:paraId="5FB2D3D1" w14:textId="77777777">
      <w:pPr>
        <w:rPr>
          <w:b/>
          <w:bCs/>
        </w:rPr>
      </w:pPr>
    </w:p>
    <w:p w:rsidR="0039497E" w:rsidP="0039497E" w14:paraId="3ECE9C9A" w14:textId="77777777">
      <w:pPr>
        <w:rPr>
          <w:b/>
          <w:bCs/>
        </w:rPr>
      </w:pPr>
      <w:r w:rsidRPr="00A31CA4">
        <w:rPr>
          <w:b/>
          <w:bCs/>
        </w:rPr>
        <w:t>Table 6.4: Average Source Burden and Labor Costs for All "Large" and "Other" Sources - All Pollutants</w:t>
      </w:r>
    </w:p>
    <w:tbl>
      <w:tblPr>
        <w:tblW w:w="10964" w:type="dxa"/>
        <w:tblLook w:val="04A0"/>
      </w:tblPr>
      <w:tblGrid>
        <w:gridCol w:w="3055"/>
        <w:gridCol w:w="1752"/>
        <w:gridCol w:w="1820"/>
        <w:gridCol w:w="2272"/>
        <w:gridCol w:w="2065"/>
      </w:tblGrid>
      <w:tr w14:paraId="441958FC" w14:textId="77777777" w:rsidTr="000C08CC">
        <w:tblPrEx>
          <w:tblW w:w="10964" w:type="dxa"/>
          <w:tblLook w:val="04A0"/>
        </w:tblPrEx>
        <w:trPr>
          <w:trHeight w:val="930"/>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97E" w:rsidRPr="00A31CA4" w:rsidP="000C08CC" w14:paraId="175A8DA6" w14:textId="77777777">
            <w:pPr>
              <w:jc w:val="center"/>
              <w:rPr>
                <w:b/>
                <w:bCs/>
                <w:color w:val="000000"/>
                <w:sz w:val="20"/>
                <w:szCs w:val="20"/>
              </w:rPr>
            </w:pPr>
            <w:r w:rsidRPr="00A31CA4">
              <w:rPr>
                <w:b/>
                <w:bCs/>
                <w:color w:val="000000"/>
                <w:sz w:val="20"/>
                <w:szCs w:val="20"/>
              </w:rPr>
              <w:t>Year</w:t>
            </w:r>
          </w:p>
        </w:tc>
        <w:tc>
          <w:tcPr>
            <w:tcW w:w="1752"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07F8DAA5" w14:textId="77777777">
            <w:pPr>
              <w:jc w:val="center"/>
              <w:rPr>
                <w:b/>
                <w:bCs/>
                <w:color w:val="000000"/>
                <w:sz w:val="20"/>
                <w:szCs w:val="20"/>
              </w:rPr>
            </w:pPr>
            <w:r w:rsidRPr="00A31CA4">
              <w:rPr>
                <w:b/>
                <w:bCs/>
                <w:color w:val="000000"/>
                <w:sz w:val="20"/>
                <w:szCs w:val="20"/>
              </w:rPr>
              <w:t>Annual Total Hours</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70E8AE66" w14:textId="77777777">
            <w:pPr>
              <w:jc w:val="center"/>
              <w:rPr>
                <w:b/>
                <w:bCs/>
                <w:color w:val="000000"/>
                <w:sz w:val="20"/>
                <w:szCs w:val="20"/>
              </w:rPr>
            </w:pPr>
            <w:r w:rsidRPr="00A31CA4">
              <w:rPr>
                <w:b/>
                <w:bCs/>
                <w:color w:val="000000"/>
                <w:sz w:val="20"/>
                <w:szCs w:val="20"/>
              </w:rPr>
              <w:t>Annual Labor Cost</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297783AE" w14:textId="77777777">
            <w:pPr>
              <w:jc w:val="center"/>
              <w:rPr>
                <w:b/>
                <w:bCs/>
                <w:color w:val="000000"/>
                <w:sz w:val="20"/>
                <w:szCs w:val="20"/>
              </w:rPr>
            </w:pPr>
            <w:r w:rsidRPr="00A31CA4">
              <w:rPr>
                <w:b/>
                <w:bCs/>
                <w:color w:val="000000"/>
                <w:sz w:val="20"/>
                <w:szCs w:val="20"/>
              </w:rPr>
              <w:t>Annual Capital &amp; O&amp;M Cost</w:t>
            </w:r>
          </w:p>
        </w:tc>
        <w:tc>
          <w:tcPr>
            <w:tcW w:w="2065"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6903712A" w14:textId="77777777">
            <w:pPr>
              <w:jc w:val="center"/>
              <w:rPr>
                <w:b/>
                <w:bCs/>
                <w:color w:val="000000"/>
                <w:sz w:val="20"/>
                <w:szCs w:val="20"/>
              </w:rPr>
            </w:pPr>
            <w:r w:rsidRPr="00A31CA4">
              <w:rPr>
                <w:b/>
                <w:bCs/>
                <w:color w:val="000000"/>
                <w:sz w:val="20"/>
                <w:szCs w:val="20"/>
              </w:rPr>
              <w:t>Total Annual Cost</w:t>
            </w:r>
          </w:p>
        </w:tc>
      </w:tr>
      <w:tr w14:paraId="450BDB50"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1B7797A3" w14:textId="46EEB8A7">
            <w:pPr>
              <w:rPr>
                <w:sz w:val="20"/>
                <w:szCs w:val="20"/>
              </w:rPr>
            </w:pPr>
            <w:r w:rsidRPr="00A31CA4">
              <w:rPr>
                <w:sz w:val="20"/>
                <w:szCs w:val="20"/>
              </w:rPr>
              <w:t xml:space="preserve">2023 </w:t>
            </w:r>
            <w:r w:rsidR="00852E9F">
              <w:rPr>
                <w:sz w:val="20"/>
                <w:szCs w:val="20"/>
              </w:rPr>
              <w:t>–</w:t>
            </w:r>
            <w:r w:rsidRPr="00A31CA4">
              <w:rPr>
                <w:sz w:val="20"/>
                <w:szCs w:val="20"/>
              </w:rPr>
              <w:t xml:space="preserve"> 24</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560104C2" w14:textId="77777777">
            <w:pPr>
              <w:jc w:val="center"/>
              <w:rPr>
                <w:sz w:val="20"/>
                <w:szCs w:val="20"/>
              </w:rPr>
            </w:pPr>
            <w:r>
              <w:rPr>
                <w:sz w:val="20"/>
                <w:szCs w:val="20"/>
              </w:rPr>
              <w:t xml:space="preserve"> </w:t>
            </w:r>
            <w:r w:rsidRPr="00A31CA4">
              <w:rPr>
                <w:sz w:val="20"/>
                <w:szCs w:val="20"/>
              </w:rPr>
              <w:t>19,30</w:t>
            </w:r>
            <w:r>
              <w:rPr>
                <w:sz w:val="20"/>
                <w:szCs w:val="20"/>
              </w:rPr>
              <w:t>0</w:t>
            </w:r>
            <w:r w:rsidRPr="00A31CA4">
              <w:rPr>
                <w:sz w:val="20"/>
                <w:szCs w:val="20"/>
              </w:rPr>
              <w:t xml:space="preserve"> </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00205754" w14:textId="77777777">
            <w:pPr>
              <w:jc w:val="right"/>
              <w:rPr>
                <w:sz w:val="20"/>
                <w:szCs w:val="20"/>
              </w:rPr>
            </w:pPr>
            <w:r w:rsidRPr="00A31CA4">
              <w:rPr>
                <w:sz w:val="20"/>
                <w:szCs w:val="20"/>
              </w:rPr>
              <w:t>$</w:t>
            </w:r>
            <w:r>
              <w:rPr>
                <w:sz w:val="20"/>
                <w:szCs w:val="20"/>
              </w:rPr>
              <w:t>2,190,000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73C2E49D" w14:textId="77777777">
            <w:pPr>
              <w:jc w:val="right"/>
              <w:rPr>
                <w:color w:val="000000"/>
                <w:sz w:val="20"/>
                <w:szCs w:val="20"/>
              </w:rPr>
            </w:pPr>
            <w:r w:rsidRPr="00A31CA4">
              <w:rPr>
                <w:color w:val="000000"/>
                <w:sz w:val="20"/>
                <w:szCs w:val="20"/>
              </w:rPr>
              <w:t xml:space="preserve">$0 </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16C95699" w14:textId="77777777">
            <w:pPr>
              <w:jc w:val="right"/>
              <w:rPr>
                <w:rFonts w:ascii="Calibri" w:hAnsi="Calibri" w:cs="Calibri"/>
                <w:sz w:val="20"/>
                <w:szCs w:val="20"/>
              </w:rPr>
            </w:pPr>
            <w:r w:rsidRPr="00A31CA4">
              <w:rPr>
                <w:sz w:val="20"/>
                <w:szCs w:val="20"/>
              </w:rPr>
              <w:t>$</w:t>
            </w:r>
            <w:r>
              <w:rPr>
                <w:sz w:val="20"/>
                <w:szCs w:val="20"/>
              </w:rPr>
              <w:t>2,190,000</w:t>
            </w:r>
          </w:p>
        </w:tc>
      </w:tr>
      <w:tr w14:paraId="4D883315"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72E95A96" w14:textId="4C6F3BA9">
            <w:pPr>
              <w:rPr>
                <w:color w:val="000000"/>
                <w:sz w:val="20"/>
                <w:szCs w:val="20"/>
              </w:rPr>
            </w:pPr>
            <w:r w:rsidRPr="00A31CA4">
              <w:rPr>
                <w:color w:val="000000"/>
                <w:sz w:val="20"/>
                <w:szCs w:val="20"/>
              </w:rPr>
              <w:t xml:space="preserve">2024 </w:t>
            </w:r>
            <w:r w:rsidR="00852E9F">
              <w:rPr>
                <w:color w:val="000000"/>
                <w:sz w:val="20"/>
                <w:szCs w:val="20"/>
              </w:rPr>
              <w:t>–</w:t>
            </w:r>
            <w:r w:rsidRPr="00A31CA4">
              <w:rPr>
                <w:color w:val="000000"/>
                <w:sz w:val="20"/>
                <w:szCs w:val="20"/>
              </w:rPr>
              <w:t xml:space="preserve"> 25</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7D45141D" w14:textId="77777777">
            <w:pPr>
              <w:jc w:val="center"/>
              <w:rPr>
                <w:sz w:val="20"/>
                <w:szCs w:val="20"/>
              </w:rPr>
            </w:pPr>
            <w:r>
              <w:rPr>
                <w:sz w:val="20"/>
                <w:szCs w:val="20"/>
              </w:rPr>
              <w:t xml:space="preserve"> </w:t>
            </w:r>
            <w:r w:rsidRPr="00A31CA4">
              <w:rPr>
                <w:sz w:val="20"/>
                <w:szCs w:val="20"/>
              </w:rPr>
              <w:t>19,30</w:t>
            </w:r>
            <w:r>
              <w:rPr>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5E21A4D4" w14:textId="77777777">
            <w:pPr>
              <w:jc w:val="right"/>
              <w:rPr>
                <w:sz w:val="20"/>
                <w:szCs w:val="20"/>
              </w:rPr>
            </w:pPr>
            <w:r w:rsidRPr="00A31CA4">
              <w:rPr>
                <w:sz w:val="20"/>
                <w:szCs w:val="20"/>
              </w:rPr>
              <w:t>$</w:t>
            </w:r>
            <w:r>
              <w:rPr>
                <w:sz w:val="20"/>
                <w:szCs w:val="20"/>
              </w:rPr>
              <w:t>2,190,000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4BBD4270" w14:textId="77777777">
            <w:pPr>
              <w:jc w:val="right"/>
              <w:rPr>
                <w:color w:val="000000"/>
                <w:sz w:val="20"/>
                <w:szCs w:val="20"/>
              </w:rPr>
            </w:pPr>
            <w:r w:rsidRPr="00A31CA4">
              <w:rPr>
                <w:color w:val="000000"/>
                <w:sz w:val="20"/>
                <w:szCs w:val="20"/>
              </w:rPr>
              <w:t xml:space="preserve">$0 </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36AAB255" w14:textId="77777777">
            <w:pPr>
              <w:jc w:val="right"/>
              <w:rPr>
                <w:rFonts w:ascii="Calibri" w:hAnsi="Calibri" w:cs="Calibri"/>
                <w:sz w:val="20"/>
                <w:szCs w:val="20"/>
              </w:rPr>
            </w:pPr>
            <w:r w:rsidRPr="00A31CA4">
              <w:rPr>
                <w:sz w:val="20"/>
                <w:szCs w:val="20"/>
              </w:rPr>
              <w:t>$</w:t>
            </w:r>
            <w:r>
              <w:rPr>
                <w:sz w:val="20"/>
                <w:szCs w:val="20"/>
              </w:rPr>
              <w:t>2,190,000</w:t>
            </w:r>
          </w:p>
        </w:tc>
      </w:tr>
      <w:tr w14:paraId="34E04E0C"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7D1C7C0D" w14:textId="48EB4274">
            <w:pPr>
              <w:rPr>
                <w:color w:val="000000"/>
                <w:sz w:val="20"/>
                <w:szCs w:val="20"/>
              </w:rPr>
            </w:pPr>
            <w:r w:rsidRPr="00A31CA4">
              <w:rPr>
                <w:color w:val="000000"/>
                <w:sz w:val="20"/>
                <w:szCs w:val="20"/>
              </w:rPr>
              <w:t xml:space="preserve">2025 </w:t>
            </w:r>
            <w:r w:rsidR="00852E9F">
              <w:rPr>
                <w:color w:val="000000"/>
                <w:sz w:val="20"/>
                <w:szCs w:val="20"/>
              </w:rPr>
              <w:t>–</w:t>
            </w:r>
            <w:r w:rsidRPr="00A31CA4">
              <w:rPr>
                <w:color w:val="000000"/>
                <w:sz w:val="20"/>
                <w:szCs w:val="20"/>
              </w:rPr>
              <w:t xml:space="preserve"> 26</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48CFED3E" w14:textId="77777777">
            <w:pPr>
              <w:jc w:val="center"/>
              <w:rPr>
                <w:sz w:val="20"/>
                <w:szCs w:val="20"/>
              </w:rPr>
            </w:pPr>
            <w:r>
              <w:rPr>
                <w:sz w:val="20"/>
                <w:szCs w:val="20"/>
              </w:rPr>
              <w:t xml:space="preserve"> </w:t>
            </w:r>
            <w:r w:rsidRPr="00A31CA4">
              <w:rPr>
                <w:sz w:val="20"/>
                <w:szCs w:val="20"/>
              </w:rPr>
              <w:t>19,30</w:t>
            </w:r>
            <w:r>
              <w:rPr>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6BCD3A5D" w14:textId="77777777">
            <w:pPr>
              <w:jc w:val="right"/>
              <w:rPr>
                <w:sz w:val="20"/>
                <w:szCs w:val="20"/>
              </w:rPr>
            </w:pPr>
            <w:r w:rsidRPr="00A31CA4">
              <w:rPr>
                <w:sz w:val="20"/>
                <w:szCs w:val="20"/>
              </w:rPr>
              <w:t>$</w:t>
            </w:r>
            <w:r>
              <w:rPr>
                <w:sz w:val="20"/>
                <w:szCs w:val="20"/>
              </w:rPr>
              <w:t>2,190,000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3B44EFA1" w14:textId="77777777">
            <w:pPr>
              <w:jc w:val="right"/>
              <w:rPr>
                <w:color w:val="000000"/>
                <w:sz w:val="20"/>
                <w:szCs w:val="20"/>
              </w:rPr>
            </w:pPr>
            <w:r w:rsidRPr="00A31CA4">
              <w:rPr>
                <w:color w:val="000000"/>
                <w:sz w:val="20"/>
                <w:szCs w:val="20"/>
              </w:rPr>
              <w:t xml:space="preserve">$0 </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5EA9D86A" w14:textId="77777777">
            <w:pPr>
              <w:jc w:val="right"/>
              <w:rPr>
                <w:rFonts w:ascii="Calibri" w:hAnsi="Calibri" w:cs="Calibri"/>
                <w:sz w:val="20"/>
                <w:szCs w:val="20"/>
              </w:rPr>
            </w:pPr>
            <w:r w:rsidRPr="00A31CA4">
              <w:rPr>
                <w:sz w:val="20"/>
                <w:szCs w:val="20"/>
              </w:rPr>
              <w:t>$</w:t>
            </w:r>
            <w:r>
              <w:rPr>
                <w:sz w:val="20"/>
                <w:szCs w:val="20"/>
              </w:rPr>
              <w:t>2,190,000</w:t>
            </w:r>
          </w:p>
        </w:tc>
      </w:tr>
      <w:tr w14:paraId="759153F4"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1C1EFFA6" w14:textId="77777777">
            <w:pPr>
              <w:rPr>
                <w:color w:val="000000"/>
                <w:sz w:val="20"/>
                <w:szCs w:val="20"/>
              </w:rPr>
            </w:pPr>
            <w:r w:rsidRPr="00A31CA4">
              <w:rPr>
                <w:color w:val="000000"/>
                <w:sz w:val="20"/>
                <w:szCs w:val="20"/>
              </w:rPr>
              <w:t> </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6C423C3F" w14:textId="77777777">
            <w:pPr>
              <w:jc w:val="center"/>
              <w:rPr>
                <w:sz w:val="20"/>
                <w:szCs w:val="20"/>
              </w:rPr>
            </w:pPr>
            <w:r w:rsidRPr="00A31CA4">
              <w:rPr>
                <w:sz w:val="20"/>
                <w:szCs w:val="20"/>
              </w:rPr>
              <w:t> </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440E3EE3" w14:textId="77777777">
            <w:pPr>
              <w:jc w:val="right"/>
              <w:rPr>
                <w:color w:val="000000"/>
                <w:sz w:val="20"/>
                <w:szCs w:val="20"/>
              </w:rPr>
            </w:pPr>
            <w:r w:rsidRPr="00A31CA4">
              <w:rPr>
                <w:color w:val="000000"/>
                <w:sz w:val="20"/>
                <w:szCs w:val="20"/>
              </w:rPr>
              <w:t> </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718F69FF" w14:textId="77777777">
            <w:pPr>
              <w:jc w:val="right"/>
              <w:rPr>
                <w:color w:val="000000"/>
                <w:sz w:val="20"/>
                <w:szCs w:val="20"/>
              </w:rPr>
            </w:pPr>
            <w:r w:rsidRPr="00A31CA4">
              <w:rPr>
                <w:color w:val="000000"/>
                <w:sz w:val="20"/>
                <w:szCs w:val="20"/>
              </w:rPr>
              <w:t> </w:t>
            </w:r>
          </w:p>
        </w:tc>
        <w:tc>
          <w:tcPr>
            <w:tcW w:w="2065" w:type="dxa"/>
            <w:tcBorders>
              <w:top w:val="nil"/>
              <w:left w:val="nil"/>
              <w:bottom w:val="single" w:sz="4" w:space="0" w:color="auto"/>
              <w:right w:val="single" w:sz="4" w:space="0" w:color="auto"/>
            </w:tcBorders>
            <w:shd w:val="clear" w:color="auto" w:fill="auto"/>
            <w:vAlign w:val="center"/>
            <w:hideMark/>
          </w:tcPr>
          <w:p w:rsidR="0039497E" w:rsidRPr="00A31CA4" w:rsidP="000C08CC" w14:paraId="25E24C2E" w14:textId="77777777">
            <w:pPr>
              <w:jc w:val="center"/>
              <w:rPr>
                <w:color w:val="000000"/>
                <w:sz w:val="20"/>
                <w:szCs w:val="20"/>
              </w:rPr>
            </w:pPr>
            <w:r w:rsidRPr="00A31CA4">
              <w:rPr>
                <w:color w:val="000000"/>
                <w:sz w:val="20"/>
                <w:szCs w:val="20"/>
              </w:rPr>
              <w:t> </w:t>
            </w:r>
          </w:p>
        </w:tc>
      </w:tr>
      <w:tr w14:paraId="65F81129"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634EB046" w14:textId="77777777">
            <w:pPr>
              <w:rPr>
                <w:b/>
                <w:bCs/>
                <w:sz w:val="20"/>
                <w:szCs w:val="20"/>
              </w:rPr>
            </w:pPr>
            <w:r w:rsidRPr="00A31CA4">
              <w:rPr>
                <w:b/>
                <w:bCs/>
                <w:sz w:val="20"/>
                <w:szCs w:val="20"/>
              </w:rPr>
              <w:t>Total</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5CCD585A" w14:textId="77777777">
            <w:pPr>
              <w:jc w:val="center"/>
              <w:rPr>
                <w:sz w:val="20"/>
                <w:szCs w:val="20"/>
              </w:rPr>
            </w:pPr>
            <w:r>
              <w:rPr>
                <w:sz w:val="20"/>
                <w:szCs w:val="20"/>
              </w:rPr>
              <w:t xml:space="preserve"> </w:t>
            </w:r>
            <w:r w:rsidRPr="00A31CA4">
              <w:rPr>
                <w:sz w:val="20"/>
                <w:szCs w:val="20"/>
              </w:rPr>
              <w:t>57,9</w:t>
            </w:r>
            <w:r>
              <w:rPr>
                <w:sz w:val="20"/>
                <w:szCs w:val="20"/>
              </w:rPr>
              <w:t>00</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4CC35640" w14:textId="77777777">
            <w:pPr>
              <w:jc w:val="right"/>
              <w:rPr>
                <w:sz w:val="20"/>
                <w:szCs w:val="20"/>
              </w:rPr>
            </w:pPr>
            <w:r w:rsidRPr="00A31CA4">
              <w:rPr>
                <w:sz w:val="20"/>
                <w:szCs w:val="20"/>
              </w:rPr>
              <w:t>$</w:t>
            </w:r>
            <w:r>
              <w:rPr>
                <w:sz w:val="20"/>
                <w:szCs w:val="20"/>
              </w:rPr>
              <w:t>6,570,000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7CD0C21E" w14:textId="77777777">
            <w:pPr>
              <w:jc w:val="right"/>
              <w:rPr>
                <w:sz w:val="20"/>
                <w:szCs w:val="20"/>
              </w:rPr>
            </w:pPr>
            <w:r w:rsidRPr="00A31CA4">
              <w:rPr>
                <w:sz w:val="20"/>
                <w:szCs w:val="20"/>
              </w:rPr>
              <w:t xml:space="preserve">$0 </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6FB3F62D" w14:textId="77777777">
            <w:pPr>
              <w:jc w:val="right"/>
              <w:rPr>
                <w:rFonts w:ascii="Calibri" w:hAnsi="Calibri" w:cs="Calibri"/>
                <w:color w:val="000000"/>
                <w:sz w:val="20"/>
                <w:szCs w:val="20"/>
              </w:rPr>
            </w:pPr>
            <w:r w:rsidRPr="00A31CA4">
              <w:rPr>
                <w:rFonts w:ascii="Calibri" w:hAnsi="Calibri" w:cs="Calibri"/>
                <w:color w:val="000000"/>
                <w:sz w:val="20"/>
                <w:szCs w:val="20"/>
              </w:rPr>
              <w:t>$</w:t>
            </w:r>
            <w:r>
              <w:rPr>
                <w:rFonts w:ascii="Calibri" w:hAnsi="Calibri" w:cs="Calibri"/>
                <w:color w:val="000000"/>
                <w:sz w:val="20"/>
                <w:szCs w:val="20"/>
              </w:rPr>
              <w:t>6,570,000</w:t>
            </w:r>
          </w:p>
        </w:tc>
      </w:tr>
      <w:tr w14:paraId="242E2DDA"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39497E" w:rsidRPr="00A31CA4" w:rsidP="000C08CC" w14:paraId="78B732A0" w14:textId="77777777">
            <w:pPr>
              <w:rPr>
                <w:b/>
                <w:bCs/>
                <w:sz w:val="20"/>
                <w:szCs w:val="20"/>
              </w:rPr>
            </w:pPr>
            <w:r w:rsidRPr="00A31CA4">
              <w:rPr>
                <w:b/>
                <w:bCs/>
                <w:sz w:val="20"/>
                <w:szCs w:val="20"/>
              </w:rPr>
              <w:t>Average</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271E1113" w14:textId="77777777">
            <w:pPr>
              <w:jc w:val="center"/>
              <w:rPr>
                <w:sz w:val="20"/>
                <w:szCs w:val="20"/>
              </w:rPr>
            </w:pPr>
            <w:r>
              <w:rPr>
                <w:sz w:val="20"/>
                <w:szCs w:val="20"/>
              </w:rPr>
              <w:t xml:space="preserve"> </w:t>
            </w:r>
            <w:r w:rsidRPr="00A31CA4">
              <w:rPr>
                <w:sz w:val="20"/>
                <w:szCs w:val="20"/>
              </w:rPr>
              <w:t>19,30</w:t>
            </w:r>
            <w:r>
              <w:rPr>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4781BD93" w14:textId="77777777">
            <w:pPr>
              <w:jc w:val="right"/>
              <w:rPr>
                <w:sz w:val="20"/>
                <w:szCs w:val="20"/>
              </w:rPr>
            </w:pPr>
            <w:r w:rsidRPr="00A31CA4">
              <w:rPr>
                <w:sz w:val="20"/>
                <w:szCs w:val="20"/>
              </w:rPr>
              <w:t>$</w:t>
            </w:r>
            <w:r>
              <w:rPr>
                <w:sz w:val="20"/>
                <w:szCs w:val="20"/>
              </w:rPr>
              <w:t>2,190,000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575288AB" w14:textId="77777777">
            <w:pPr>
              <w:jc w:val="right"/>
              <w:rPr>
                <w:sz w:val="20"/>
                <w:szCs w:val="20"/>
              </w:rPr>
            </w:pPr>
            <w:r w:rsidRPr="00A31CA4">
              <w:rPr>
                <w:sz w:val="20"/>
                <w:szCs w:val="20"/>
              </w:rPr>
              <w:t xml:space="preserve">$0 </w:t>
            </w:r>
          </w:p>
        </w:tc>
        <w:tc>
          <w:tcPr>
            <w:tcW w:w="2065" w:type="dxa"/>
            <w:tcBorders>
              <w:top w:val="nil"/>
              <w:left w:val="nil"/>
              <w:bottom w:val="single" w:sz="4" w:space="0" w:color="auto"/>
              <w:right w:val="single" w:sz="4" w:space="0" w:color="auto"/>
            </w:tcBorders>
            <w:shd w:val="clear" w:color="auto" w:fill="auto"/>
            <w:vAlign w:val="center"/>
            <w:hideMark/>
          </w:tcPr>
          <w:p w:rsidR="0039497E" w:rsidRPr="00A31CA4" w:rsidP="000C08CC" w14:paraId="1451E0EA" w14:textId="77777777">
            <w:pPr>
              <w:jc w:val="right"/>
              <w:rPr>
                <w:sz w:val="20"/>
                <w:szCs w:val="20"/>
              </w:rPr>
            </w:pPr>
            <w:r w:rsidRPr="00A31CA4">
              <w:rPr>
                <w:sz w:val="20"/>
                <w:szCs w:val="20"/>
              </w:rPr>
              <w:t>$</w:t>
            </w:r>
            <w:r>
              <w:rPr>
                <w:sz w:val="20"/>
                <w:szCs w:val="20"/>
              </w:rPr>
              <w:t>2,190,000</w:t>
            </w:r>
          </w:p>
        </w:tc>
      </w:tr>
      <w:tr w14:paraId="0F872BAA" w14:textId="77777777" w:rsidTr="000C08CC">
        <w:tblPrEx>
          <w:tblW w:w="10964" w:type="dxa"/>
          <w:tblLook w:val="04A0"/>
        </w:tblPrEx>
        <w:trPr>
          <w:trHeight w:val="225"/>
        </w:trPr>
        <w:tc>
          <w:tcPr>
            <w:tcW w:w="3055" w:type="dxa"/>
            <w:tcBorders>
              <w:top w:val="nil"/>
              <w:left w:val="nil"/>
              <w:bottom w:val="nil"/>
              <w:right w:val="nil"/>
            </w:tcBorders>
            <w:shd w:val="clear" w:color="auto" w:fill="auto"/>
            <w:vAlign w:val="center"/>
            <w:hideMark/>
          </w:tcPr>
          <w:p w:rsidR="0039497E" w:rsidRPr="00A31CA4" w:rsidP="000C08CC" w14:paraId="1AA1CA8E" w14:textId="77777777">
            <w:pPr>
              <w:jc w:val="right"/>
              <w:rPr>
                <w:sz w:val="20"/>
                <w:szCs w:val="20"/>
              </w:rPr>
            </w:pPr>
          </w:p>
        </w:tc>
        <w:tc>
          <w:tcPr>
            <w:tcW w:w="1752" w:type="dxa"/>
            <w:tcBorders>
              <w:top w:val="nil"/>
              <w:left w:val="nil"/>
              <w:bottom w:val="nil"/>
              <w:right w:val="nil"/>
            </w:tcBorders>
            <w:shd w:val="clear" w:color="auto" w:fill="auto"/>
            <w:vAlign w:val="center"/>
            <w:hideMark/>
          </w:tcPr>
          <w:p w:rsidR="0039497E" w:rsidRPr="00A31CA4" w:rsidP="000C08CC" w14:paraId="4BE47291" w14:textId="77777777">
            <w:pPr>
              <w:rPr>
                <w:sz w:val="20"/>
                <w:szCs w:val="20"/>
              </w:rPr>
            </w:pPr>
          </w:p>
        </w:tc>
        <w:tc>
          <w:tcPr>
            <w:tcW w:w="1820" w:type="dxa"/>
            <w:tcBorders>
              <w:top w:val="nil"/>
              <w:left w:val="nil"/>
              <w:bottom w:val="nil"/>
              <w:right w:val="nil"/>
            </w:tcBorders>
            <w:shd w:val="clear" w:color="auto" w:fill="auto"/>
            <w:vAlign w:val="center"/>
            <w:hideMark/>
          </w:tcPr>
          <w:p w:rsidR="0039497E" w:rsidRPr="00A31CA4" w:rsidP="000C08CC" w14:paraId="160BFB5F" w14:textId="77777777">
            <w:pPr>
              <w:jc w:val="center"/>
              <w:rPr>
                <w:sz w:val="20"/>
                <w:szCs w:val="20"/>
              </w:rPr>
            </w:pPr>
          </w:p>
        </w:tc>
        <w:tc>
          <w:tcPr>
            <w:tcW w:w="2272" w:type="dxa"/>
            <w:tcBorders>
              <w:top w:val="nil"/>
              <w:left w:val="nil"/>
              <w:bottom w:val="nil"/>
              <w:right w:val="nil"/>
            </w:tcBorders>
            <w:shd w:val="clear" w:color="auto" w:fill="auto"/>
            <w:vAlign w:val="center"/>
            <w:hideMark/>
          </w:tcPr>
          <w:p w:rsidR="0039497E" w:rsidRPr="00A31CA4" w:rsidP="000C08CC" w14:paraId="64B7250E" w14:textId="77777777">
            <w:pPr>
              <w:jc w:val="center"/>
              <w:rPr>
                <w:sz w:val="20"/>
                <w:szCs w:val="20"/>
              </w:rPr>
            </w:pPr>
          </w:p>
        </w:tc>
        <w:tc>
          <w:tcPr>
            <w:tcW w:w="2065" w:type="dxa"/>
            <w:tcBorders>
              <w:top w:val="nil"/>
              <w:left w:val="nil"/>
              <w:bottom w:val="nil"/>
              <w:right w:val="nil"/>
            </w:tcBorders>
            <w:shd w:val="clear" w:color="auto" w:fill="auto"/>
            <w:vAlign w:val="center"/>
            <w:hideMark/>
          </w:tcPr>
          <w:p w:rsidR="0039497E" w:rsidRPr="00A31CA4" w:rsidP="000C08CC" w14:paraId="6115771B" w14:textId="77777777">
            <w:pPr>
              <w:jc w:val="center"/>
              <w:rPr>
                <w:sz w:val="20"/>
                <w:szCs w:val="20"/>
              </w:rPr>
            </w:pPr>
          </w:p>
        </w:tc>
      </w:tr>
      <w:tr w14:paraId="65B46F3C" w14:textId="77777777" w:rsidTr="000C08CC">
        <w:tblPrEx>
          <w:tblW w:w="10964" w:type="dxa"/>
          <w:tblLook w:val="04A0"/>
        </w:tblPrEx>
        <w:trPr>
          <w:trHeight w:val="276"/>
        </w:trPr>
        <w:tc>
          <w:tcPr>
            <w:tcW w:w="3055" w:type="dxa"/>
            <w:tcBorders>
              <w:top w:val="nil"/>
              <w:left w:val="nil"/>
              <w:bottom w:val="nil"/>
              <w:right w:val="nil"/>
            </w:tcBorders>
            <w:shd w:val="clear" w:color="auto" w:fill="auto"/>
            <w:hideMark/>
          </w:tcPr>
          <w:p w:rsidR="0039497E" w:rsidRPr="00A31CA4" w:rsidP="000C08CC" w14:paraId="4FA2DEF7" w14:textId="77777777">
            <w:pPr>
              <w:jc w:val="center"/>
              <w:rPr>
                <w:sz w:val="20"/>
                <w:szCs w:val="20"/>
              </w:rPr>
            </w:pPr>
          </w:p>
        </w:tc>
        <w:tc>
          <w:tcPr>
            <w:tcW w:w="1752" w:type="dxa"/>
            <w:tcBorders>
              <w:top w:val="nil"/>
              <w:left w:val="nil"/>
              <w:bottom w:val="nil"/>
              <w:right w:val="nil"/>
            </w:tcBorders>
            <w:shd w:val="clear" w:color="auto" w:fill="auto"/>
            <w:hideMark/>
          </w:tcPr>
          <w:p w:rsidR="0039497E" w:rsidRPr="00A31CA4" w:rsidP="000C08CC" w14:paraId="36508B23" w14:textId="77777777">
            <w:pPr>
              <w:rPr>
                <w:sz w:val="20"/>
                <w:szCs w:val="20"/>
              </w:rPr>
            </w:pPr>
          </w:p>
        </w:tc>
        <w:tc>
          <w:tcPr>
            <w:tcW w:w="1820" w:type="dxa"/>
            <w:tcBorders>
              <w:top w:val="nil"/>
              <w:left w:val="nil"/>
              <w:bottom w:val="nil"/>
              <w:right w:val="nil"/>
            </w:tcBorders>
            <w:shd w:val="clear" w:color="auto" w:fill="auto"/>
            <w:hideMark/>
          </w:tcPr>
          <w:p w:rsidR="0039497E" w:rsidRPr="00A31CA4" w:rsidP="000C08CC" w14:paraId="4AF69CA6" w14:textId="77777777">
            <w:pPr>
              <w:rPr>
                <w:sz w:val="20"/>
                <w:szCs w:val="20"/>
              </w:rPr>
            </w:pPr>
          </w:p>
        </w:tc>
        <w:tc>
          <w:tcPr>
            <w:tcW w:w="2272" w:type="dxa"/>
            <w:tcBorders>
              <w:top w:val="nil"/>
              <w:left w:val="nil"/>
              <w:bottom w:val="nil"/>
              <w:right w:val="nil"/>
            </w:tcBorders>
            <w:shd w:val="clear" w:color="auto" w:fill="auto"/>
            <w:hideMark/>
          </w:tcPr>
          <w:p w:rsidR="0039497E" w:rsidRPr="00A31CA4" w:rsidP="000C08CC" w14:paraId="71E46B76" w14:textId="77777777">
            <w:pPr>
              <w:rPr>
                <w:sz w:val="20"/>
                <w:szCs w:val="20"/>
              </w:rPr>
            </w:pPr>
          </w:p>
        </w:tc>
        <w:tc>
          <w:tcPr>
            <w:tcW w:w="2065" w:type="dxa"/>
            <w:tcBorders>
              <w:top w:val="nil"/>
              <w:left w:val="nil"/>
              <w:bottom w:val="nil"/>
              <w:right w:val="nil"/>
            </w:tcBorders>
            <w:shd w:val="clear" w:color="auto" w:fill="auto"/>
            <w:hideMark/>
          </w:tcPr>
          <w:p w:rsidR="0039497E" w:rsidRPr="00A31CA4" w:rsidP="000C08CC" w14:paraId="62FB81EE" w14:textId="77777777">
            <w:pPr>
              <w:rPr>
                <w:sz w:val="20"/>
                <w:szCs w:val="20"/>
              </w:rPr>
            </w:pPr>
          </w:p>
        </w:tc>
      </w:tr>
      <w:tr w14:paraId="7F96955C" w14:textId="77777777" w:rsidTr="000C08CC">
        <w:tblPrEx>
          <w:tblW w:w="10964" w:type="dxa"/>
          <w:tblLook w:val="04A0"/>
        </w:tblPrEx>
        <w:trPr>
          <w:trHeight w:val="528"/>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97E" w:rsidRPr="00A31CA4" w:rsidP="000C08CC" w14:paraId="561C4097" w14:textId="77777777">
            <w:pPr>
              <w:jc w:val="center"/>
              <w:rPr>
                <w:b/>
                <w:bCs/>
                <w:color w:val="000000"/>
                <w:sz w:val="20"/>
                <w:szCs w:val="20"/>
              </w:rPr>
            </w:pPr>
            <w:r w:rsidRPr="00A31CA4">
              <w:rPr>
                <w:b/>
                <w:bCs/>
                <w:color w:val="000000"/>
                <w:sz w:val="20"/>
                <w:szCs w:val="20"/>
              </w:rPr>
              <w:t>Year</w:t>
            </w:r>
          </w:p>
        </w:tc>
        <w:tc>
          <w:tcPr>
            <w:tcW w:w="1752"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14E6BAFF" w14:textId="77777777">
            <w:pPr>
              <w:jc w:val="center"/>
              <w:rPr>
                <w:b/>
                <w:bCs/>
                <w:color w:val="000000"/>
                <w:sz w:val="20"/>
                <w:szCs w:val="20"/>
              </w:rPr>
            </w:pPr>
            <w:r w:rsidRPr="00A31CA4">
              <w:rPr>
                <w:b/>
                <w:bCs/>
                <w:color w:val="000000"/>
                <w:sz w:val="20"/>
                <w:szCs w:val="20"/>
              </w:rPr>
              <w:t># PSEUs Subject to CAM</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72A08FD1" w14:textId="77777777">
            <w:pPr>
              <w:jc w:val="center"/>
              <w:rPr>
                <w:b/>
                <w:bCs/>
                <w:color w:val="000000"/>
                <w:sz w:val="20"/>
                <w:szCs w:val="20"/>
              </w:rPr>
            </w:pPr>
            <w:r w:rsidRPr="00A31CA4">
              <w:rPr>
                <w:b/>
                <w:bCs/>
                <w:color w:val="000000"/>
                <w:sz w:val="20"/>
                <w:szCs w:val="20"/>
              </w:rPr>
              <w:t>Annual Total Hours</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14BA3433" w14:textId="77777777">
            <w:pPr>
              <w:jc w:val="center"/>
              <w:rPr>
                <w:b/>
                <w:bCs/>
                <w:color w:val="000000"/>
                <w:sz w:val="20"/>
                <w:szCs w:val="20"/>
              </w:rPr>
            </w:pPr>
            <w:r w:rsidRPr="00A31CA4">
              <w:rPr>
                <w:b/>
                <w:bCs/>
                <w:color w:val="000000"/>
                <w:sz w:val="20"/>
                <w:szCs w:val="20"/>
              </w:rPr>
              <w:t>Hours per PSEU</w:t>
            </w:r>
          </w:p>
        </w:tc>
        <w:tc>
          <w:tcPr>
            <w:tcW w:w="2065"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467131F6" w14:textId="77777777">
            <w:pPr>
              <w:jc w:val="center"/>
              <w:rPr>
                <w:b/>
                <w:bCs/>
                <w:color w:val="000000"/>
                <w:sz w:val="20"/>
                <w:szCs w:val="20"/>
              </w:rPr>
            </w:pPr>
            <w:r w:rsidRPr="00A31CA4">
              <w:rPr>
                <w:b/>
                <w:bCs/>
                <w:color w:val="000000"/>
                <w:sz w:val="20"/>
                <w:szCs w:val="20"/>
              </w:rPr>
              <w:t xml:space="preserve">Hours per Facility </w:t>
            </w:r>
            <w:r w:rsidRPr="00A31CA4">
              <w:rPr>
                <w:b/>
                <w:bCs/>
                <w:color w:val="000000"/>
                <w:sz w:val="20"/>
                <w:szCs w:val="20"/>
                <w:vertAlign w:val="superscript"/>
              </w:rPr>
              <w:t>a</w:t>
            </w:r>
          </w:p>
        </w:tc>
      </w:tr>
      <w:tr w14:paraId="55378FF1"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4EECF94F" w14:textId="1F2A3DD3">
            <w:pPr>
              <w:rPr>
                <w:sz w:val="20"/>
                <w:szCs w:val="20"/>
              </w:rPr>
            </w:pPr>
            <w:r w:rsidRPr="00A31CA4">
              <w:rPr>
                <w:sz w:val="20"/>
                <w:szCs w:val="20"/>
              </w:rPr>
              <w:t xml:space="preserve">2023 </w:t>
            </w:r>
            <w:r w:rsidR="00852E9F">
              <w:rPr>
                <w:sz w:val="20"/>
                <w:szCs w:val="20"/>
              </w:rPr>
              <w:t>–</w:t>
            </w:r>
            <w:r w:rsidRPr="00A31CA4">
              <w:rPr>
                <w:sz w:val="20"/>
                <w:szCs w:val="20"/>
              </w:rPr>
              <w:t xml:space="preserve"> 24</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74253485" w14:textId="77777777">
            <w:pPr>
              <w:jc w:val="center"/>
              <w:rPr>
                <w:sz w:val="20"/>
                <w:szCs w:val="20"/>
              </w:rPr>
            </w:pPr>
            <w:r>
              <w:rPr>
                <w:sz w:val="20"/>
                <w:szCs w:val="20"/>
              </w:rPr>
              <w:t xml:space="preserve"> </w:t>
            </w:r>
            <w:r w:rsidRPr="00A31CA4">
              <w:rPr>
                <w:sz w:val="20"/>
                <w:szCs w:val="20"/>
              </w:rPr>
              <w:t xml:space="preserve">21,828 </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525CD6F0" w14:textId="77777777">
            <w:pPr>
              <w:jc w:val="right"/>
              <w:rPr>
                <w:sz w:val="20"/>
                <w:szCs w:val="20"/>
              </w:rPr>
            </w:pPr>
            <w:r w:rsidRPr="00A31CA4">
              <w:rPr>
                <w:sz w:val="20"/>
                <w:szCs w:val="20"/>
              </w:rPr>
              <w:t>1930</w:t>
            </w:r>
            <w:r>
              <w:rPr>
                <w:sz w:val="20"/>
                <w:szCs w:val="20"/>
              </w:rPr>
              <w:t>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4EAEA282" w14:textId="77777777">
            <w:pPr>
              <w:jc w:val="right"/>
              <w:rPr>
                <w:color w:val="000000"/>
                <w:sz w:val="20"/>
                <w:szCs w:val="20"/>
              </w:rPr>
            </w:pPr>
            <w:r w:rsidRPr="00A31CA4">
              <w:rPr>
                <w:color w:val="000000"/>
                <w:sz w:val="20"/>
                <w:szCs w:val="20"/>
              </w:rPr>
              <w:t>1</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1C9D2F98" w14:textId="77777777">
            <w:pPr>
              <w:jc w:val="right"/>
              <w:rPr>
                <w:rFonts w:ascii="Calibri" w:hAnsi="Calibri" w:cs="Calibri"/>
                <w:sz w:val="20"/>
                <w:szCs w:val="20"/>
              </w:rPr>
            </w:pPr>
            <w:r w:rsidRPr="00A31CA4">
              <w:rPr>
                <w:rFonts w:ascii="Calibri" w:hAnsi="Calibri" w:cs="Calibri"/>
                <w:sz w:val="20"/>
                <w:szCs w:val="20"/>
              </w:rPr>
              <w:t>4</w:t>
            </w:r>
          </w:p>
        </w:tc>
      </w:tr>
      <w:tr w14:paraId="034BE323"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4F99F375" w14:textId="3BEE8B9B">
            <w:pPr>
              <w:rPr>
                <w:color w:val="000000"/>
                <w:sz w:val="20"/>
                <w:szCs w:val="20"/>
              </w:rPr>
            </w:pPr>
            <w:r w:rsidRPr="00A31CA4">
              <w:rPr>
                <w:color w:val="000000"/>
                <w:sz w:val="20"/>
                <w:szCs w:val="20"/>
              </w:rPr>
              <w:t xml:space="preserve">2024 </w:t>
            </w:r>
            <w:r w:rsidR="00852E9F">
              <w:rPr>
                <w:color w:val="000000"/>
                <w:sz w:val="20"/>
                <w:szCs w:val="20"/>
              </w:rPr>
              <w:t>–</w:t>
            </w:r>
            <w:r w:rsidRPr="00A31CA4">
              <w:rPr>
                <w:color w:val="000000"/>
                <w:sz w:val="20"/>
                <w:szCs w:val="20"/>
              </w:rPr>
              <w:t xml:space="preserve"> 25</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601DA05A" w14:textId="77777777">
            <w:pPr>
              <w:jc w:val="center"/>
              <w:rPr>
                <w:sz w:val="20"/>
                <w:szCs w:val="20"/>
              </w:rPr>
            </w:pPr>
            <w:r>
              <w:rPr>
                <w:sz w:val="20"/>
                <w:szCs w:val="20"/>
              </w:rPr>
              <w:t xml:space="preserve"> </w:t>
            </w:r>
            <w:r w:rsidRPr="00A31CA4">
              <w:rPr>
                <w:sz w:val="20"/>
                <w:szCs w:val="20"/>
              </w:rPr>
              <w:t xml:space="preserve">22,036 </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6B9D7628" w14:textId="77777777">
            <w:pPr>
              <w:jc w:val="right"/>
              <w:rPr>
                <w:sz w:val="20"/>
                <w:szCs w:val="20"/>
              </w:rPr>
            </w:pPr>
            <w:r w:rsidRPr="00A31CA4">
              <w:rPr>
                <w:sz w:val="20"/>
                <w:szCs w:val="20"/>
              </w:rPr>
              <w:t>1930</w:t>
            </w:r>
            <w:r>
              <w:rPr>
                <w:sz w:val="20"/>
                <w:szCs w:val="20"/>
              </w:rPr>
              <w:t>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12CAD817" w14:textId="77777777">
            <w:pPr>
              <w:jc w:val="right"/>
              <w:rPr>
                <w:color w:val="000000"/>
                <w:sz w:val="20"/>
                <w:szCs w:val="20"/>
              </w:rPr>
            </w:pPr>
            <w:r w:rsidRPr="00A31CA4">
              <w:rPr>
                <w:color w:val="000000"/>
                <w:sz w:val="20"/>
                <w:szCs w:val="20"/>
              </w:rPr>
              <w:t>1</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0AD0B211" w14:textId="77777777">
            <w:pPr>
              <w:jc w:val="right"/>
              <w:rPr>
                <w:rFonts w:ascii="Calibri" w:hAnsi="Calibri" w:cs="Calibri"/>
                <w:sz w:val="20"/>
                <w:szCs w:val="20"/>
              </w:rPr>
            </w:pPr>
            <w:r w:rsidRPr="00A31CA4">
              <w:rPr>
                <w:rFonts w:ascii="Calibri" w:hAnsi="Calibri" w:cs="Calibri"/>
                <w:sz w:val="20"/>
                <w:szCs w:val="20"/>
              </w:rPr>
              <w:t>4</w:t>
            </w:r>
          </w:p>
        </w:tc>
      </w:tr>
      <w:tr w14:paraId="44514A3D"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11556898" w14:textId="2F75087B">
            <w:pPr>
              <w:rPr>
                <w:color w:val="000000"/>
                <w:sz w:val="20"/>
                <w:szCs w:val="20"/>
              </w:rPr>
            </w:pPr>
            <w:r w:rsidRPr="00A31CA4">
              <w:rPr>
                <w:color w:val="000000"/>
                <w:sz w:val="20"/>
                <w:szCs w:val="20"/>
              </w:rPr>
              <w:t xml:space="preserve">2025 </w:t>
            </w:r>
            <w:r w:rsidR="00852E9F">
              <w:rPr>
                <w:color w:val="000000"/>
                <w:sz w:val="20"/>
                <w:szCs w:val="20"/>
              </w:rPr>
              <w:t>–</w:t>
            </w:r>
            <w:r w:rsidRPr="00A31CA4">
              <w:rPr>
                <w:color w:val="000000"/>
                <w:sz w:val="20"/>
                <w:szCs w:val="20"/>
              </w:rPr>
              <w:t xml:space="preserve"> 26</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149A4F83" w14:textId="77777777">
            <w:pPr>
              <w:jc w:val="center"/>
              <w:rPr>
                <w:sz w:val="20"/>
                <w:szCs w:val="20"/>
              </w:rPr>
            </w:pPr>
            <w:r>
              <w:rPr>
                <w:sz w:val="20"/>
                <w:szCs w:val="20"/>
              </w:rPr>
              <w:t xml:space="preserve"> </w:t>
            </w:r>
            <w:r w:rsidRPr="00A31CA4">
              <w:rPr>
                <w:sz w:val="20"/>
                <w:szCs w:val="20"/>
              </w:rPr>
              <w:t xml:space="preserve">22,244 </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7EE91938" w14:textId="77777777">
            <w:pPr>
              <w:jc w:val="right"/>
              <w:rPr>
                <w:sz w:val="20"/>
                <w:szCs w:val="20"/>
              </w:rPr>
            </w:pPr>
            <w:r w:rsidRPr="00A31CA4">
              <w:rPr>
                <w:sz w:val="20"/>
                <w:szCs w:val="20"/>
              </w:rPr>
              <w:t>1930</w:t>
            </w:r>
            <w:r>
              <w:rPr>
                <w:sz w:val="20"/>
                <w:szCs w:val="20"/>
              </w:rPr>
              <w:t>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4F79883B" w14:textId="77777777">
            <w:pPr>
              <w:jc w:val="right"/>
              <w:rPr>
                <w:color w:val="000000"/>
                <w:sz w:val="20"/>
                <w:szCs w:val="20"/>
              </w:rPr>
            </w:pPr>
            <w:r w:rsidRPr="00A31CA4">
              <w:rPr>
                <w:color w:val="000000"/>
                <w:sz w:val="20"/>
                <w:szCs w:val="20"/>
              </w:rPr>
              <w:t>1</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046C2843" w14:textId="77777777">
            <w:pPr>
              <w:jc w:val="right"/>
              <w:rPr>
                <w:rFonts w:ascii="Calibri" w:hAnsi="Calibri" w:cs="Calibri"/>
                <w:sz w:val="20"/>
                <w:szCs w:val="20"/>
              </w:rPr>
            </w:pPr>
            <w:r w:rsidRPr="00A31CA4">
              <w:rPr>
                <w:rFonts w:ascii="Calibri" w:hAnsi="Calibri" w:cs="Calibri"/>
                <w:sz w:val="20"/>
                <w:szCs w:val="20"/>
              </w:rPr>
              <w:t>4</w:t>
            </w:r>
          </w:p>
        </w:tc>
      </w:tr>
      <w:tr w14:paraId="0FD9F2C6"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7D99CCF7" w14:textId="77777777">
            <w:pPr>
              <w:rPr>
                <w:color w:val="000000"/>
                <w:sz w:val="20"/>
                <w:szCs w:val="20"/>
              </w:rPr>
            </w:pPr>
            <w:r w:rsidRPr="00A31CA4">
              <w:rPr>
                <w:color w:val="000000"/>
                <w:sz w:val="20"/>
                <w:szCs w:val="20"/>
              </w:rPr>
              <w:t> </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10591286" w14:textId="77777777">
            <w:pPr>
              <w:jc w:val="center"/>
              <w:rPr>
                <w:sz w:val="20"/>
                <w:szCs w:val="20"/>
              </w:rPr>
            </w:pPr>
            <w:r w:rsidRPr="00A31CA4">
              <w:rPr>
                <w:sz w:val="20"/>
                <w:szCs w:val="20"/>
              </w:rPr>
              <w:t> </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44285CA5" w14:textId="77777777">
            <w:pPr>
              <w:jc w:val="right"/>
              <w:rPr>
                <w:color w:val="000000"/>
                <w:sz w:val="20"/>
                <w:szCs w:val="20"/>
              </w:rPr>
            </w:pPr>
            <w:r w:rsidRPr="00A31CA4">
              <w:rPr>
                <w:color w:val="000000"/>
                <w:sz w:val="20"/>
                <w:szCs w:val="20"/>
              </w:rPr>
              <w:t> </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5B770819" w14:textId="77777777">
            <w:pPr>
              <w:jc w:val="right"/>
              <w:rPr>
                <w:color w:val="000000"/>
                <w:sz w:val="20"/>
                <w:szCs w:val="20"/>
              </w:rPr>
            </w:pPr>
            <w:r w:rsidRPr="00A31CA4">
              <w:rPr>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007E7EFA" w14:textId="77777777">
            <w:pPr>
              <w:rPr>
                <w:rFonts w:ascii="Calibri" w:hAnsi="Calibri" w:cs="Calibri"/>
                <w:sz w:val="20"/>
                <w:szCs w:val="20"/>
              </w:rPr>
            </w:pPr>
            <w:r w:rsidRPr="00A31CA4">
              <w:rPr>
                <w:rFonts w:ascii="Calibri" w:hAnsi="Calibri" w:cs="Calibri"/>
                <w:sz w:val="20"/>
                <w:szCs w:val="20"/>
              </w:rPr>
              <w:t> </w:t>
            </w:r>
          </w:p>
        </w:tc>
      </w:tr>
      <w:tr w14:paraId="484FDFAD"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37434104" w14:textId="77777777">
            <w:pPr>
              <w:rPr>
                <w:b/>
                <w:bCs/>
                <w:sz w:val="20"/>
                <w:szCs w:val="20"/>
              </w:rPr>
            </w:pPr>
            <w:r w:rsidRPr="00A31CA4">
              <w:rPr>
                <w:b/>
                <w:bCs/>
                <w:sz w:val="20"/>
                <w:szCs w:val="20"/>
              </w:rPr>
              <w:t>Total</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2A220671" w14:textId="77777777">
            <w:pPr>
              <w:jc w:val="center"/>
              <w:rPr>
                <w:sz w:val="20"/>
                <w:szCs w:val="20"/>
              </w:rPr>
            </w:pPr>
            <w:r>
              <w:rPr>
                <w:sz w:val="20"/>
                <w:szCs w:val="20"/>
              </w:rPr>
              <w:t xml:space="preserve"> </w:t>
            </w:r>
            <w:r w:rsidRPr="00A31CA4">
              <w:rPr>
                <w:sz w:val="20"/>
                <w:szCs w:val="20"/>
              </w:rPr>
              <w:t xml:space="preserve">66,108 </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765DDFE2" w14:textId="77777777">
            <w:pPr>
              <w:jc w:val="right"/>
              <w:rPr>
                <w:sz w:val="20"/>
                <w:szCs w:val="20"/>
              </w:rPr>
            </w:pPr>
            <w:r w:rsidRPr="00A31CA4">
              <w:rPr>
                <w:sz w:val="20"/>
                <w:szCs w:val="20"/>
              </w:rPr>
              <w:t>579</w:t>
            </w:r>
            <w:r>
              <w:rPr>
                <w:sz w:val="20"/>
                <w:szCs w:val="20"/>
              </w:rPr>
              <w:t>00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0A62E235" w14:textId="77777777">
            <w:pPr>
              <w:jc w:val="right"/>
              <w:rPr>
                <w:color w:val="000000"/>
                <w:sz w:val="20"/>
                <w:szCs w:val="20"/>
              </w:rPr>
            </w:pPr>
            <w:r>
              <w:rPr>
                <w:color w:val="000000"/>
                <w:sz w:val="20"/>
                <w:szCs w:val="20"/>
              </w:rPr>
              <w:t>3</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0E8CBD89" w14:textId="77777777">
            <w:pPr>
              <w:jc w:val="right"/>
              <w:rPr>
                <w:rFonts w:ascii="Calibri" w:hAnsi="Calibri" w:cs="Calibri"/>
                <w:sz w:val="20"/>
                <w:szCs w:val="20"/>
              </w:rPr>
            </w:pPr>
            <w:r>
              <w:rPr>
                <w:rFonts w:ascii="Calibri" w:hAnsi="Calibri" w:cs="Calibri"/>
                <w:sz w:val="20"/>
                <w:szCs w:val="20"/>
              </w:rPr>
              <w:t>11</w:t>
            </w:r>
          </w:p>
        </w:tc>
      </w:tr>
      <w:tr w14:paraId="19E278B8"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39497E" w:rsidRPr="00A31CA4" w:rsidP="000C08CC" w14:paraId="3B44BE73" w14:textId="77777777">
            <w:pPr>
              <w:rPr>
                <w:b/>
                <w:bCs/>
                <w:sz w:val="20"/>
                <w:szCs w:val="20"/>
              </w:rPr>
            </w:pPr>
            <w:r w:rsidRPr="00A31CA4">
              <w:rPr>
                <w:b/>
                <w:bCs/>
                <w:sz w:val="20"/>
                <w:szCs w:val="20"/>
              </w:rPr>
              <w:t>Average</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574B0A02" w14:textId="77777777">
            <w:pPr>
              <w:jc w:val="center"/>
              <w:rPr>
                <w:sz w:val="20"/>
                <w:szCs w:val="20"/>
              </w:rPr>
            </w:pPr>
            <w:r>
              <w:rPr>
                <w:sz w:val="20"/>
                <w:szCs w:val="20"/>
              </w:rPr>
              <w:t xml:space="preserve"> </w:t>
            </w:r>
            <w:r w:rsidRPr="00A31CA4">
              <w:rPr>
                <w:sz w:val="20"/>
                <w:szCs w:val="20"/>
              </w:rPr>
              <w:t xml:space="preserve">22,036 </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74CBCC75" w14:textId="77777777">
            <w:pPr>
              <w:jc w:val="right"/>
              <w:rPr>
                <w:sz w:val="20"/>
                <w:szCs w:val="20"/>
              </w:rPr>
            </w:pPr>
            <w:r w:rsidRPr="00A31CA4">
              <w:rPr>
                <w:sz w:val="20"/>
                <w:szCs w:val="20"/>
              </w:rPr>
              <w:t>1930</w:t>
            </w:r>
            <w:r>
              <w:rPr>
                <w:sz w:val="20"/>
                <w:szCs w:val="20"/>
              </w:rPr>
              <w:t>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496FAD9F" w14:textId="77777777">
            <w:pPr>
              <w:jc w:val="right"/>
              <w:rPr>
                <w:color w:val="000000"/>
                <w:sz w:val="20"/>
                <w:szCs w:val="20"/>
              </w:rPr>
            </w:pPr>
            <w:r w:rsidRPr="00A31CA4">
              <w:rPr>
                <w:color w:val="000000"/>
                <w:sz w:val="20"/>
                <w:szCs w:val="20"/>
              </w:rPr>
              <w:t>1</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5C64962F" w14:textId="77777777">
            <w:pPr>
              <w:jc w:val="right"/>
              <w:rPr>
                <w:rFonts w:ascii="Calibri" w:hAnsi="Calibri" w:cs="Calibri"/>
                <w:sz w:val="20"/>
                <w:szCs w:val="20"/>
              </w:rPr>
            </w:pPr>
            <w:r w:rsidRPr="00A31CA4">
              <w:rPr>
                <w:rFonts w:ascii="Calibri" w:hAnsi="Calibri" w:cs="Calibri"/>
                <w:sz w:val="20"/>
                <w:szCs w:val="20"/>
              </w:rPr>
              <w:t>4</w:t>
            </w:r>
          </w:p>
        </w:tc>
      </w:tr>
      <w:tr w14:paraId="677AFDC9" w14:textId="77777777" w:rsidTr="000C08CC">
        <w:tblPrEx>
          <w:tblW w:w="10964" w:type="dxa"/>
          <w:tblLook w:val="04A0"/>
        </w:tblPrEx>
        <w:trPr>
          <w:trHeight w:val="276"/>
        </w:trPr>
        <w:tc>
          <w:tcPr>
            <w:tcW w:w="3055" w:type="dxa"/>
            <w:tcBorders>
              <w:top w:val="nil"/>
              <w:left w:val="nil"/>
              <w:bottom w:val="nil"/>
              <w:right w:val="nil"/>
            </w:tcBorders>
            <w:shd w:val="clear" w:color="auto" w:fill="auto"/>
            <w:noWrap/>
            <w:vAlign w:val="bottom"/>
            <w:hideMark/>
          </w:tcPr>
          <w:p w:rsidR="0039497E" w:rsidRPr="00A31CA4" w:rsidP="000C08CC" w14:paraId="203DF70C" w14:textId="77777777">
            <w:pPr>
              <w:jc w:val="right"/>
              <w:rPr>
                <w:rFonts w:ascii="Calibri" w:hAnsi="Calibri" w:cs="Calibri"/>
                <w:sz w:val="20"/>
                <w:szCs w:val="20"/>
              </w:rPr>
            </w:pPr>
          </w:p>
        </w:tc>
        <w:tc>
          <w:tcPr>
            <w:tcW w:w="1752" w:type="dxa"/>
            <w:tcBorders>
              <w:top w:val="nil"/>
              <w:left w:val="nil"/>
              <w:bottom w:val="nil"/>
              <w:right w:val="nil"/>
            </w:tcBorders>
            <w:shd w:val="clear" w:color="auto" w:fill="auto"/>
            <w:noWrap/>
            <w:vAlign w:val="bottom"/>
            <w:hideMark/>
          </w:tcPr>
          <w:p w:rsidR="0039497E" w:rsidRPr="00A31CA4" w:rsidP="000C08CC" w14:paraId="043B56CA" w14:textId="77777777">
            <w:pPr>
              <w:rPr>
                <w:sz w:val="20"/>
                <w:szCs w:val="20"/>
              </w:rPr>
            </w:pPr>
          </w:p>
        </w:tc>
        <w:tc>
          <w:tcPr>
            <w:tcW w:w="1820" w:type="dxa"/>
            <w:tcBorders>
              <w:top w:val="nil"/>
              <w:left w:val="nil"/>
              <w:bottom w:val="nil"/>
              <w:right w:val="nil"/>
            </w:tcBorders>
            <w:shd w:val="clear" w:color="auto" w:fill="auto"/>
            <w:noWrap/>
            <w:vAlign w:val="bottom"/>
            <w:hideMark/>
          </w:tcPr>
          <w:p w:rsidR="0039497E" w:rsidRPr="00A31CA4" w:rsidP="000C08CC" w14:paraId="737D252C" w14:textId="77777777">
            <w:pPr>
              <w:rPr>
                <w:sz w:val="20"/>
                <w:szCs w:val="20"/>
              </w:rPr>
            </w:pPr>
          </w:p>
        </w:tc>
        <w:tc>
          <w:tcPr>
            <w:tcW w:w="2272" w:type="dxa"/>
            <w:tcBorders>
              <w:top w:val="nil"/>
              <w:left w:val="nil"/>
              <w:bottom w:val="nil"/>
              <w:right w:val="nil"/>
            </w:tcBorders>
            <w:shd w:val="clear" w:color="auto" w:fill="auto"/>
            <w:noWrap/>
            <w:vAlign w:val="bottom"/>
            <w:hideMark/>
          </w:tcPr>
          <w:p w:rsidR="0039497E" w:rsidRPr="00A31CA4" w:rsidP="000C08CC" w14:paraId="2308061E" w14:textId="77777777">
            <w:pPr>
              <w:rPr>
                <w:sz w:val="20"/>
                <w:szCs w:val="20"/>
              </w:rPr>
            </w:pPr>
          </w:p>
        </w:tc>
        <w:tc>
          <w:tcPr>
            <w:tcW w:w="2065" w:type="dxa"/>
            <w:tcBorders>
              <w:top w:val="nil"/>
              <w:left w:val="nil"/>
              <w:bottom w:val="nil"/>
              <w:right w:val="nil"/>
            </w:tcBorders>
            <w:shd w:val="clear" w:color="auto" w:fill="auto"/>
            <w:noWrap/>
            <w:vAlign w:val="bottom"/>
            <w:hideMark/>
          </w:tcPr>
          <w:p w:rsidR="0039497E" w:rsidRPr="00A31CA4" w:rsidP="000C08CC" w14:paraId="05DF6D91" w14:textId="77777777">
            <w:pPr>
              <w:rPr>
                <w:sz w:val="20"/>
                <w:szCs w:val="20"/>
              </w:rPr>
            </w:pPr>
          </w:p>
        </w:tc>
      </w:tr>
      <w:tr w14:paraId="6EC797D2" w14:textId="77777777" w:rsidTr="000C08CC">
        <w:tblPrEx>
          <w:tblW w:w="10964" w:type="dxa"/>
          <w:tblLook w:val="04A0"/>
        </w:tblPrEx>
        <w:trPr>
          <w:trHeight w:val="300"/>
        </w:trPr>
        <w:tc>
          <w:tcPr>
            <w:tcW w:w="3055" w:type="dxa"/>
            <w:tcBorders>
              <w:top w:val="nil"/>
              <w:left w:val="nil"/>
              <w:bottom w:val="nil"/>
              <w:right w:val="nil"/>
            </w:tcBorders>
            <w:shd w:val="clear" w:color="auto" w:fill="auto"/>
            <w:noWrap/>
            <w:vAlign w:val="bottom"/>
            <w:hideMark/>
          </w:tcPr>
          <w:p w:rsidR="0039497E" w:rsidRPr="00A31CA4" w:rsidP="000C08CC" w14:paraId="7466E501" w14:textId="77777777">
            <w:pPr>
              <w:rPr>
                <w:rFonts w:ascii="Calibri" w:hAnsi="Calibri" w:cs="Calibri"/>
                <w:color w:val="000000"/>
                <w:sz w:val="20"/>
                <w:szCs w:val="20"/>
              </w:rPr>
            </w:pPr>
            <w:r w:rsidRPr="00A31CA4">
              <w:rPr>
                <w:rFonts w:ascii="Calibri" w:hAnsi="Calibri" w:cs="Calibri"/>
                <w:color w:val="000000"/>
                <w:sz w:val="20"/>
                <w:szCs w:val="20"/>
                <w:vertAlign w:val="superscript"/>
              </w:rPr>
              <w:t>a</w:t>
            </w:r>
            <w:r w:rsidRPr="00A31CA4">
              <w:rPr>
                <w:rFonts w:ascii="Calibri" w:hAnsi="Calibri" w:cs="Calibri"/>
                <w:color w:val="000000"/>
                <w:sz w:val="20"/>
                <w:szCs w:val="20"/>
              </w:rPr>
              <w:t xml:space="preserve"> </w:t>
            </w:r>
            <w:r w:rsidRPr="00BB2CEB">
              <w:rPr>
                <w:color w:val="000000"/>
                <w:sz w:val="20"/>
                <w:szCs w:val="20"/>
              </w:rPr>
              <w:t>Assumes 4.27 PSEUs per facility</w:t>
            </w:r>
          </w:p>
        </w:tc>
        <w:tc>
          <w:tcPr>
            <w:tcW w:w="1752" w:type="dxa"/>
            <w:tcBorders>
              <w:top w:val="nil"/>
              <w:left w:val="nil"/>
              <w:bottom w:val="nil"/>
              <w:right w:val="nil"/>
            </w:tcBorders>
            <w:shd w:val="clear" w:color="auto" w:fill="auto"/>
            <w:noWrap/>
            <w:vAlign w:val="bottom"/>
            <w:hideMark/>
          </w:tcPr>
          <w:p w:rsidR="0039497E" w:rsidRPr="00A31CA4" w:rsidP="000C08CC" w14:paraId="2A6C412A" w14:textId="77777777">
            <w:pPr>
              <w:rPr>
                <w:rFonts w:ascii="Calibri" w:hAnsi="Calibri" w:cs="Calibri"/>
                <w:color w:val="000000"/>
                <w:sz w:val="20"/>
                <w:szCs w:val="20"/>
              </w:rPr>
            </w:pPr>
          </w:p>
        </w:tc>
        <w:tc>
          <w:tcPr>
            <w:tcW w:w="1820" w:type="dxa"/>
            <w:tcBorders>
              <w:top w:val="nil"/>
              <w:left w:val="nil"/>
              <w:bottom w:val="nil"/>
              <w:right w:val="nil"/>
            </w:tcBorders>
            <w:shd w:val="clear" w:color="auto" w:fill="auto"/>
            <w:noWrap/>
            <w:vAlign w:val="bottom"/>
            <w:hideMark/>
          </w:tcPr>
          <w:p w:rsidR="0039497E" w:rsidRPr="00A31CA4" w:rsidP="000C08CC" w14:paraId="160CAE05" w14:textId="77777777">
            <w:pPr>
              <w:rPr>
                <w:sz w:val="20"/>
                <w:szCs w:val="20"/>
              </w:rPr>
            </w:pPr>
          </w:p>
        </w:tc>
        <w:tc>
          <w:tcPr>
            <w:tcW w:w="2272" w:type="dxa"/>
            <w:tcBorders>
              <w:top w:val="nil"/>
              <w:left w:val="nil"/>
              <w:bottom w:val="nil"/>
              <w:right w:val="nil"/>
            </w:tcBorders>
            <w:shd w:val="clear" w:color="auto" w:fill="auto"/>
            <w:noWrap/>
            <w:vAlign w:val="bottom"/>
            <w:hideMark/>
          </w:tcPr>
          <w:p w:rsidR="0039497E" w:rsidRPr="00A31CA4" w:rsidP="000C08CC" w14:paraId="7F7CAD69" w14:textId="77777777">
            <w:pPr>
              <w:rPr>
                <w:sz w:val="20"/>
                <w:szCs w:val="20"/>
              </w:rPr>
            </w:pPr>
          </w:p>
        </w:tc>
        <w:tc>
          <w:tcPr>
            <w:tcW w:w="2065" w:type="dxa"/>
            <w:tcBorders>
              <w:top w:val="nil"/>
              <w:left w:val="nil"/>
              <w:bottom w:val="nil"/>
              <w:right w:val="nil"/>
            </w:tcBorders>
            <w:shd w:val="clear" w:color="auto" w:fill="auto"/>
            <w:noWrap/>
            <w:vAlign w:val="bottom"/>
            <w:hideMark/>
          </w:tcPr>
          <w:p w:rsidR="0039497E" w:rsidRPr="00A31CA4" w:rsidP="000C08CC" w14:paraId="6D158CCD" w14:textId="77777777">
            <w:pPr>
              <w:rPr>
                <w:sz w:val="20"/>
                <w:szCs w:val="20"/>
              </w:rPr>
            </w:pPr>
          </w:p>
        </w:tc>
      </w:tr>
    </w:tbl>
    <w:p w:rsidR="0039497E" w:rsidP="0039497E" w14:paraId="7A183D29" w14:textId="4B4B055C">
      <w:pPr>
        <w:rPr>
          <w:b/>
          <w:bCs/>
        </w:rPr>
      </w:pPr>
    </w:p>
    <w:p w:rsidR="0039497E" w14:paraId="181977C9" w14:textId="77777777">
      <w:pPr>
        <w:rPr>
          <w:b/>
          <w:bCs/>
        </w:rPr>
      </w:pPr>
      <w:r>
        <w:rPr>
          <w:b/>
          <w:bCs/>
        </w:rPr>
        <w:br w:type="page"/>
      </w:r>
    </w:p>
    <w:p w:rsidR="0039497E" w:rsidP="0039497E" w14:paraId="238548EA" w14:textId="77777777">
      <w:pPr>
        <w:rPr>
          <w:b/>
          <w:bCs/>
        </w:rPr>
      </w:pPr>
    </w:p>
    <w:p w:rsidR="0039497E" w:rsidP="0039497E" w14:paraId="0EEF4110" w14:textId="77777777">
      <w:pPr>
        <w:rPr>
          <w:b/>
          <w:bCs/>
        </w:rPr>
      </w:pPr>
      <w:r w:rsidRPr="00A31CA4">
        <w:rPr>
          <w:b/>
          <w:bCs/>
        </w:rPr>
        <w:t>Table 6.5: Average Permitting Authority Burden and Labor Costs for All "Large" and "Other" Sources - All Pollutants</w:t>
      </w:r>
    </w:p>
    <w:tbl>
      <w:tblPr>
        <w:tblW w:w="4360" w:type="dxa"/>
        <w:tblLook w:val="04A0"/>
      </w:tblPr>
      <w:tblGrid>
        <w:gridCol w:w="1720"/>
        <w:gridCol w:w="1280"/>
        <w:gridCol w:w="1360"/>
      </w:tblGrid>
      <w:tr w14:paraId="43B90E1B" w14:textId="77777777" w:rsidTr="000C08CC">
        <w:tblPrEx>
          <w:tblW w:w="4360" w:type="dxa"/>
          <w:tblLook w:val="04A0"/>
        </w:tblPrEx>
        <w:trPr>
          <w:trHeight w:val="528"/>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97E" w:rsidRPr="00A31CA4" w:rsidP="000C08CC" w14:paraId="0B9FBD56" w14:textId="77777777">
            <w:pPr>
              <w:jc w:val="center"/>
              <w:rPr>
                <w:color w:val="000000"/>
                <w:sz w:val="20"/>
                <w:szCs w:val="20"/>
              </w:rPr>
            </w:pPr>
            <w:r w:rsidRPr="00A31CA4">
              <w:rPr>
                <w:color w:val="000000"/>
                <w:sz w:val="20"/>
                <w:szCs w:val="20"/>
              </w:rPr>
              <w:t>Year</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0A2F3A67" w14:textId="77777777">
            <w:pPr>
              <w:jc w:val="center"/>
              <w:rPr>
                <w:color w:val="000000"/>
                <w:sz w:val="20"/>
                <w:szCs w:val="20"/>
              </w:rPr>
            </w:pPr>
            <w:r w:rsidRPr="00A31CA4">
              <w:rPr>
                <w:color w:val="000000"/>
                <w:sz w:val="20"/>
                <w:szCs w:val="20"/>
              </w:rPr>
              <w:t>Annual Total Hours</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50E030B2" w14:textId="77777777">
            <w:pPr>
              <w:jc w:val="center"/>
              <w:rPr>
                <w:color w:val="000000"/>
                <w:sz w:val="20"/>
                <w:szCs w:val="20"/>
              </w:rPr>
            </w:pPr>
            <w:r w:rsidRPr="00A31CA4">
              <w:rPr>
                <w:color w:val="000000"/>
                <w:sz w:val="20"/>
                <w:szCs w:val="20"/>
              </w:rPr>
              <w:t>Total Annual Cost</w:t>
            </w:r>
          </w:p>
        </w:tc>
      </w:tr>
      <w:tr w14:paraId="260C7640" w14:textId="77777777" w:rsidTr="000C08CC">
        <w:tblPrEx>
          <w:tblW w:w="4360" w:type="dxa"/>
          <w:tblLook w:val="04A0"/>
        </w:tblPrEx>
        <w:trPr>
          <w:trHeight w:val="34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2D5EFBCD" w14:textId="77777777">
            <w:pPr>
              <w:rPr>
                <w:sz w:val="20"/>
                <w:szCs w:val="20"/>
              </w:rPr>
            </w:pPr>
            <w:r w:rsidRPr="00A31CA4">
              <w:rPr>
                <w:sz w:val="20"/>
                <w:szCs w:val="20"/>
              </w:rPr>
              <w:t>2023 - 24</w:t>
            </w:r>
          </w:p>
        </w:tc>
        <w:tc>
          <w:tcPr>
            <w:tcW w:w="1280" w:type="dxa"/>
            <w:tcBorders>
              <w:top w:val="nil"/>
              <w:left w:val="nil"/>
              <w:bottom w:val="single" w:sz="4" w:space="0" w:color="auto"/>
              <w:right w:val="single" w:sz="4" w:space="0" w:color="auto"/>
            </w:tcBorders>
            <w:shd w:val="clear" w:color="auto" w:fill="auto"/>
            <w:vAlign w:val="center"/>
            <w:hideMark/>
          </w:tcPr>
          <w:p w:rsidR="0039497E" w:rsidRPr="00A31CA4" w:rsidP="000C08CC" w14:paraId="2FEEA0B8" w14:textId="77777777">
            <w:pPr>
              <w:jc w:val="center"/>
              <w:rPr>
                <w:color w:val="000000"/>
                <w:sz w:val="20"/>
                <w:szCs w:val="20"/>
              </w:rPr>
            </w:pPr>
            <w:r>
              <w:rPr>
                <w:color w:val="000000"/>
                <w:sz w:val="20"/>
                <w:szCs w:val="20"/>
              </w:rPr>
              <w:t xml:space="preserve"> </w:t>
            </w:r>
            <w:r w:rsidRPr="00A31CA4">
              <w:rPr>
                <w:color w:val="000000"/>
                <w:sz w:val="20"/>
                <w:szCs w:val="20"/>
              </w:rPr>
              <w:t>4,2</w:t>
            </w:r>
            <w:r>
              <w:rPr>
                <w:color w:val="000000"/>
                <w:sz w:val="20"/>
                <w:szCs w:val="20"/>
              </w:rPr>
              <w:t>10</w:t>
            </w:r>
          </w:p>
        </w:tc>
        <w:tc>
          <w:tcPr>
            <w:tcW w:w="1360" w:type="dxa"/>
            <w:tcBorders>
              <w:top w:val="nil"/>
              <w:left w:val="nil"/>
              <w:bottom w:val="single" w:sz="4" w:space="0" w:color="auto"/>
              <w:right w:val="single" w:sz="4" w:space="0" w:color="auto"/>
            </w:tcBorders>
            <w:shd w:val="clear" w:color="auto" w:fill="auto"/>
            <w:vAlign w:val="center"/>
            <w:hideMark/>
          </w:tcPr>
          <w:p w:rsidR="0039497E" w:rsidRPr="00A31CA4" w:rsidP="000C08CC" w14:paraId="709883FD" w14:textId="77777777">
            <w:pPr>
              <w:jc w:val="right"/>
              <w:rPr>
                <w:color w:val="000000"/>
                <w:sz w:val="20"/>
                <w:szCs w:val="20"/>
              </w:rPr>
            </w:pPr>
            <w:r w:rsidRPr="00A31CA4">
              <w:rPr>
                <w:color w:val="000000"/>
                <w:sz w:val="20"/>
                <w:szCs w:val="20"/>
              </w:rPr>
              <w:t>$2</w:t>
            </w:r>
            <w:r>
              <w:rPr>
                <w:color w:val="000000"/>
                <w:sz w:val="20"/>
                <w:szCs w:val="20"/>
              </w:rPr>
              <w:t>33</w:t>
            </w:r>
            <w:r w:rsidRPr="00A31CA4">
              <w:rPr>
                <w:color w:val="000000"/>
                <w:sz w:val="20"/>
                <w:szCs w:val="20"/>
              </w:rPr>
              <w:t xml:space="preserve">,000 </w:t>
            </w:r>
          </w:p>
        </w:tc>
      </w:tr>
      <w:tr w14:paraId="681B0646" w14:textId="77777777" w:rsidTr="000C08CC">
        <w:tblPrEx>
          <w:tblW w:w="4360" w:type="dxa"/>
          <w:tblLook w:val="04A0"/>
        </w:tblPrEx>
        <w:trPr>
          <w:trHeight w:val="276"/>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47213A1C" w14:textId="77777777">
            <w:pPr>
              <w:rPr>
                <w:color w:val="000000"/>
                <w:sz w:val="20"/>
                <w:szCs w:val="20"/>
              </w:rPr>
            </w:pPr>
            <w:r w:rsidRPr="00A31CA4">
              <w:rPr>
                <w:color w:val="000000"/>
                <w:sz w:val="20"/>
                <w:szCs w:val="20"/>
              </w:rPr>
              <w:t>2024 - 25</w:t>
            </w:r>
          </w:p>
        </w:tc>
        <w:tc>
          <w:tcPr>
            <w:tcW w:w="1280" w:type="dxa"/>
            <w:tcBorders>
              <w:top w:val="nil"/>
              <w:left w:val="nil"/>
              <w:bottom w:val="single" w:sz="4" w:space="0" w:color="auto"/>
              <w:right w:val="single" w:sz="4" w:space="0" w:color="auto"/>
            </w:tcBorders>
            <w:shd w:val="clear" w:color="auto" w:fill="auto"/>
            <w:vAlign w:val="center"/>
            <w:hideMark/>
          </w:tcPr>
          <w:p w:rsidR="0039497E" w:rsidRPr="00A31CA4" w:rsidP="000C08CC" w14:paraId="60BF1B3D" w14:textId="77777777">
            <w:pPr>
              <w:jc w:val="center"/>
              <w:rPr>
                <w:color w:val="000000"/>
                <w:sz w:val="20"/>
                <w:szCs w:val="20"/>
              </w:rPr>
            </w:pPr>
            <w:r>
              <w:rPr>
                <w:color w:val="000000"/>
                <w:sz w:val="20"/>
                <w:szCs w:val="20"/>
              </w:rPr>
              <w:t xml:space="preserve"> </w:t>
            </w:r>
            <w:r w:rsidRPr="00A31CA4">
              <w:rPr>
                <w:color w:val="000000"/>
                <w:sz w:val="20"/>
                <w:szCs w:val="20"/>
              </w:rPr>
              <w:t>4,2</w:t>
            </w:r>
            <w:r>
              <w:rPr>
                <w:color w:val="000000"/>
                <w:sz w:val="20"/>
                <w:szCs w:val="20"/>
              </w:rPr>
              <w:t>10</w:t>
            </w:r>
            <w:r w:rsidRPr="00A31CA4">
              <w:rPr>
                <w:color w:val="000000"/>
                <w:sz w:val="20"/>
                <w:szCs w:val="20"/>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39497E" w:rsidRPr="00A31CA4" w:rsidP="000C08CC" w14:paraId="1E84CF8D" w14:textId="77777777">
            <w:pPr>
              <w:jc w:val="right"/>
              <w:rPr>
                <w:color w:val="000000"/>
                <w:sz w:val="20"/>
                <w:szCs w:val="20"/>
              </w:rPr>
            </w:pPr>
            <w:r w:rsidRPr="00A31CA4">
              <w:rPr>
                <w:color w:val="000000"/>
                <w:sz w:val="20"/>
                <w:szCs w:val="20"/>
              </w:rPr>
              <w:t>$2</w:t>
            </w:r>
            <w:r>
              <w:rPr>
                <w:color w:val="000000"/>
                <w:sz w:val="20"/>
                <w:szCs w:val="20"/>
              </w:rPr>
              <w:t>33</w:t>
            </w:r>
            <w:r w:rsidRPr="00A31CA4">
              <w:rPr>
                <w:color w:val="000000"/>
                <w:sz w:val="20"/>
                <w:szCs w:val="20"/>
              </w:rPr>
              <w:t>,000</w:t>
            </w:r>
          </w:p>
        </w:tc>
      </w:tr>
      <w:tr w14:paraId="18746091" w14:textId="77777777" w:rsidTr="000C08CC">
        <w:tblPrEx>
          <w:tblW w:w="4360" w:type="dxa"/>
          <w:tblLook w:val="04A0"/>
        </w:tblPrEx>
        <w:trPr>
          <w:trHeight w:val="276"/>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6FCC9227" w14:textId="77777777">
            <w:pPr>
              <w:rPr>
                <w:color w:val="000000"/>
                <w:sz w:val="20"/>
                <w:szCs w:val="20"/>
              </w:rPr>
            </w:pPr>
            <w:r w:rsidRPr="00A31CA4">
              <w:rPr>
                <w:color w:val="000000"/>
                <w:sz w:val="20"/>
                <w:szCs w:val="20"/>
              </w:rPr>
              <w:t>2025 - 26</w:t>
            </w:r>
          </w:p>
        </w:tc>
        <w:tc>
          <w:tcPr>
            <w:tcW w:w="1280" w:type="dxa"/>
            <w:tcBorders>
              <w:top w:val="nil"/>
              <w:left w:val="nil"/>
              <w:bottom w:val="single" w:sz="4" w:space="0" w:color="auto"/>
              <w:right w:val="single" w:sz="4" w:space="0" w:color="auto"/>
            </w:tcBorders>
            <w:shd w:val="clear" w:color="auto" w:fill="auto"/>
            <w:vAlign w:val="center"/>
            <w:hideMark/>
          </w:tcPr>
          <w:p w:rsidR="0039497E" w:rsidRPr="00A31CA4" w:rsidP="000C08CC" w14:paraId="160FE37F" w14:textId="77777777">
            <w:pPr>
              <w:jc w:val="center"/>
              <w:rPr>
                <w:color w:val="000000"/>
                <w:sz w:val="20"/>
                <w:szCs w:val="20"/>
              </w:rPr>
            </w:pPr>
            <w:r>
              <w:rPr>
                <w:color w:val="000000"/>
                <w:sz w:val="20"/>
                <w:szCs w:val="20"/>
              </w:rPr>
              <w:t xml:space="preserve"> </w:t>
            </w:r>
            <w:r w:rsidRPr="00A31CA4">
              <w:rPr>
                <w:color w:val="000000"/>
                <w:sz w:val="20"/>
                <w:szCs w:val="20"/>
              </w:rPr>
              <w:t>4,2</w:t>
            </w:r>
            <w:r>
              <w:rPr>
                <w:color w:val="000000"/>
                <w:sz w:val="20"/>
                <w:szCs w:val="20"/>
              </w:rPr>
              <w:t>10</w:t>
            </w:r>
          </w:p>
        </w:tc>
        <w:tc>
          <w:tcPr>
            <w:tcW w:w="1360" w:type="dxa"/>
            <w:tcBorders>
              <w:top w:val="nil"/>
              <w:left w:val="nil"/>
              <w:bottom w:val="single" w:sz="4" w:space="0" w:color="auto"/>
              <w:right w:val="single" w:sz="4" w:space="0" w:color="auto"/>
            </w:tcBorders>
            <w:shd w:val="clear" w:color="auto" w:fill="auto"/>
            <w:vAlign w:val="center"/>
            <w:hideMark/>
          </w:tcPr>
          <w:p w:rsidR="0039497E" w:rsidRPr="00A31CA4" w:rsidP="000C08CC" w14:paraId="7A974664" w14:textId="77777777">
            <w:pPr>
              <w:jc w:val="right"/>
              <w:rPr>
                <w:color w:val="000000"/>
                <w:sz w:val="20"/>
                <w:szCs w:val="20"/>
              </w:rPr>
            </w:pPr>
            <w:r w:rsidRPr="00A31CA4">
              <w:rPr>
                <w:color w:val="000000"/>
                <w:sz w:val="20"/>
                <w:szCs w:val="20"/>
              </w:rPr>
              <w:t>$2</w:t>
            </w:r>
            <w:r>
              <w:rPr>
                <w:color w:val="000000"/>
                <w:sz w:val="20"/>
                <w:szCs w:val="20"/>
              </w:rPr>
              <w:t>33</w:t>
            </w:r>
            <w:r w:rsidRPr="00A31CA4">
              <w:rPr>
                <w:color w:val="000000"/>
                <w:sz w:val="20"/>
                <w:szCs w:val="20"/>
              </w:rPr>
              <w:t>,000</w:t>
            </w:r>
          </w:p>
        </w:tc>
      </w:tr>
      <w:tr w14:paraId="5844BC0F" w14:textId="77777777" w:rsidTr="000C08CC">
        <w:tblPrEx>
          <w:tblW w:w="4360" w:type="dxa"/>
          <w:tblLook w:val="04A0"/>
        </w:tblPrEx>
        <w:trPr>
          <w:trHeight w:val="276"/>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43A9666E" w14:textId="77777777">
            <w:pPr>
              <w:rPr>
                <w:color w:val="000000"/>
                <w:sz w:val="20"/>
                <w:szCs w:val="20"/>
              </w:rPr>
            </w:pPr>
            <w:r w:rsidRPr="00A31CA4">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39497E" w:rsidRPr="00A31CA4" w:rsidP="000C08CC" w14:paraId="54CB55F0" w14:textId="77777777">
            <w:pPr>
              <w:jc w:val="center"/>
              <w:rPr>
                <w:color w:val="000000"/>
                <w:sz w:val="20"/>
                <w:szCs w:val="20"/>
              </w:rPr>
            </w:pPr>
            <w:r w:rsidRPr="00A31CA4">
              <w:rPr>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rsidR="0039497E" w:rsidRPr="00A31CA4" w:rsidP="000C08CC" w14:paraId="17ACB913" w14:textId="77777777">
            <w:pPr>
              <w:jc w:val="center"/>
              <w:rPr>
                <w:color w:val="000000"/>
                <w:sz w:val="20"/>
                <w:szCs w:val="20"/>
              </w:rPr>
            </w:pPr>
            <w:r w:rsidRPr="00A31CA4">
              <w:rPr>
                <w:color w:val="000000"/>
                <w:sz w:val="20"/>
                <w:szCs w:val="20"/>
              </w:rPr>
              <w:t> </w:t>
            </w:r>
          </w:p>
        </w:tc>
      </w:tr>
      <w:tr w14:paraId="78487AC3" w14:textId="77777777" w:rsidTr="000C08CC">
        <w:tblPrEx>
          <w:tblW w:w="4360" w:type="dxa"/>
          <w:tblLook w:val="04A0"/>
        </w:tblPrEx>
        <w:trPr>
          <w:trHeight w:val="276"/>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5FEF6117" w14:textId="77777777">
            <w:pPr>
              <w:rPr>
                <w:b/>
                <w:bCs/>
                <w:sz w:val="20"/>
                <w:szCs w:val="20"/>
              </w:rPr>
            </w:pPr>
            <w:r w:rsidRPr="00A31CA4">
              <w:rPr>
                <w:b/>
                <w:bCs/>
                <w:sz w:val="20"/>
                <w:szCs w:val="20"/>
              </w:rPr>
              <w:t>Total</w:t>
            </w:r>
          </w:p>
        </w:tc>
        <w:tc>
          <w:tcPr>
            <w:tcW w:w="1280" w:type="dxa"/>
            <w:tcBorders>
              <w:top w:val="nil"/>
              <w:left w:val="nil"/>
              <w:bottom w:val="single" w:sz="4" w:space="0" w:color="auto"/>
              <w:right w:val="single" w:sz="4" w:space="0" w:color="auto"/>
            </w:tcBorders>
            <w:shd w:val="clear" w:color="auto" w:fill="auto"/>
            <w:vAlign w:val="center"/>
            <w:hideMark/>
          </w:tcPr>
          <w:p w:rsidR="0039497E" w:rsidRPr="00A31CA4" w:rsidP="000C08CC" w14:paraId="7D6CA0CB" w14:textId="77777777">
            <w:pPr>
              <w:jc w:val="center"/>
              <w:rPr>
                <w:color w:val="000000"/>
                <w:sz w:val="20"/>
                <w:szCs w:val="20"/>
              </w:rPr>
            </w:pPr>
            <w:r>
              <w:rPr>
                <w:color w:val="000000"/>
                <w:sz w:val="20"/>
                <w:szCs w:val="20"/>
              </w:rPr>
              <w:t xml:space="preserve"> </w:t>
            </w:r>
            <w:r w:rsidRPr="00A31CA4">
              <w:rPr>
                <w:color w:val="000000"/>
                <w:sz w:val="20"/>
                <w:szCs w:val="20"/>
              </w:rPr>
              <w:t>12,6</w:t>
            </w:r>
            <w:r>
              <w:rPr>
                <w:color w:val="000000"/>
                <w:sz w:val="20"/>
                <w:szCs w:val="20"/>
              </w:rPr>
              <w:t>31</w:t>
            </w:r>
          </w:p>
        </w:tc>
        <w:tc>
          <w:tcPr>
            <w:tcW w:w="1360" w:type="dxa"/>
            <w:tcBorders>
              <w:top w:val="nil"/>
              <w:left w:val="nil"/>
              <w:bottom w:val="single" w:sz="4" w:space="0" w:color="auto"/>
              <w:right w:val="single" w:sz="4" w:space="0" w:color="auto"/>
            </w:tcBorders>
            <w:shd w:val="clear" w:color="auto" w:fill="auto"/>
            <w:vAlign w:val="center"/>
            <w:hideMark/>
          </w:tcPr>
          <w:p w:rsidR="0039497E" w:rsidRPr="00A31CA4" w:rsidP="000C08CC" w14:paraId="4B618C19" w14:textId="77777777">
            <w:pPr>
              <w:jc w:val="right"/>
              <w:rPr>
                <w:color w:val="000000"/>
                <w:sz w:val="20"/>
                <w:szCs w:val="20"/>
              </w:rPr>
            </w:pPr>
            <w:r w:rsidRPr="00A31CA4">
              <w:rPr>
                <w:color w:val="000000"/>
                <w:sz w:val="20"/>
                <w:szCs w:val="20"/>
              </w:rPr>
              <w:t>$</w:t>
            </w:r>
            <w:r>
              <w:rPr>
                <w:color w:val="000000"/>
                <w:sz w:val="20"/>
                <w:szCs w:val="20"/>
              </w:rPr>
              <w:t>699</w:t>
            </w:r>
            <w:r w:rsidRPr="00A31CA4">
              <w:rPr>
                <w:color w:val="000000"/>
                <w:sz w:val="20"/>
                <w:szCs w:val="20"/>
              </w:rPr>
              <w:t xml:space="preserve">,000 </w:t>
            </w:r>
          </w:p>
        </w:tc>
      </w:tr>
      <w:tr w14:paraId="33085627" w14:textId="77777777" w:rsidTr="000C08CC">
        <w:tblPrEx>
          <w:tblW w:w="4360" w:type="dxa"/>
          <w:tblLook w:val="04A0"/>
        </w:tblPrEx>
        <w:trPr>
          <w:trHeight w:val="57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39497E" w:rsidRPr="00A31CA4" w:rsidP="000C08CC" w14:paraId="0F9A8952" w14:textId="77777777">
            <w:pPr>
              <w:rPr>
                <w:b/>
                <w:bCs/>
                <w:sz w:val="20"/>
                <w:szCs w:val="20"/>
              </w:rPr>
            </w:pPr>
            <w:r w:rsidRPr="00A31CA4">
              <w:rPr>
                <w:b/>
                <w:bCs/>
                <w:sz w:val="20"/>
                <w:szCs w:val="20"/>
              </w:rPr>
              <w:t>Average</w:t>
            </w:r>
          </w:p>
        </w:tc>
        <w:tc>
          <w:tcPr>
            <w:tcW w:w="1280" w:type="dxa"/>
            <w:tcBorders>
              <w:top w:val="nil"/>
              <w:left w:val="nil"/>
              <w:bottom w:val="single" w:sz="4" w:space="0" w:color="auto"/>
              <w:right w:val="single" w:sz="4" w:space="0" w:color="auto"/>
            </w:tcBorders>
            <w:shd w:val="clear" w:color="auto" w:fill="auto"/>
            <w:vAlign w:val="center"/>
            <w:hideMark/>
          </w:tcPr>
          <w:p w:rsidR="0039497E" w:rsidRPr="00A31CA4" w:rsidP="000C08CC" w14:paraId="3692D9A5" w14:textId="77777777">
            <w:pPr>
              <w:jc w:val="center"/>
              <w:rPr>
                <w:color w:val="000000"/>
                <w:sz w:val="20"/>
                <w:szCs w:val="20"/>
              </w:rPr>
            </w:pPr>
            <w:r>
              <w:rPr>
                <w:color w:val="000000"/>
                <w:sz w:val="20"/>
                <w:szCs w:val="20"/>
              </w:rPr>
              <w:t xml:space="preserve"> </w:t>
            </w:r>
            <w:r w:rsidRPr="00A31CA4">
              <w:rPr>
                <w:color w:val="000000"/>
                <w:sz w:val="20"/>
                <w:szCs w:val="20"/>
              </w:rPr>
              <w:t>4,2</w:t>
            </w:r>
            <w:r>
              <w:rPr>
                <w:color w:val="000000"/>
                <w:sz w:val="20"/>
                <w:szCs w:val="20"/>
              </w:rPr>
              <w:t>10</w:t>
            </w:r>
            <w:r w:rsidRPr="00A31CA4">
              <w:rPr>
                <w:color w:val="000000"/>
                <w:sz w:val="20"/>
                <w:szCs w:val="20"/>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39497E" w:rsidRPr="00A31CA4" w:rsidP="000C08CC" w14:paraId="3AB45407" w14:textId="77777777">
            <w:pPr>
              <w:jc w:val="right"/>
              <w:rPr>
                <w:color w:val="000000"/>
                <w:sz w:val="20"/>
                <w:szCs w:val="20"/>
              </w:rPr>
            </w:pPr>
            <w:r w:rsidRPr="00A31CA4">
              <w:rPr>
                <w:color w:val="000000"/>
                <w:sz w:val="20"/>
                <w:szCs w:val="20"/>
              </w:rPr>
              <w:t>$2</w:t>
            </w:r>
            <w:r>
              <w:rPr>
                <w:color w:val="000000"/>
                <w:sz w:val="20"/>
                <w:szCs w:val="20"/>
              </w:rPr>
              <w:t>33</w:t>
            </w:r>
            <w:r w:rsidRPr="00A31CA4">
              <w:rPr>
                <w:color w:val="000000"/>
                <w:sz w:val="20"/>
                <w:szCs w:val="20"/>
              </w:rPr>
              <w:t>,000</w:t>
            </w:r>
          </w:p>
        </w:tc>
      </w:tr>
    </w:tbl>
    <w:p w:rsidR="0039497E" w:rsidP="0039497E" w14:paraId="61DDE631" w14:textId="77777777">
      <w:pPr>
        <w:rPr>
          <w:b/>
          <w:bCs/>
        </w:rPr>
      </w:pPr>
    </w:p>
    <w:p w:rsidR="0039497E" w:rsidP="0039497E" w14:paraId="18D4BF58" w14:textId="77777777">
      <w:pPr>
        <w:rPr>
          <w:b/>
          <w:bCs/>
        </w:rPr>
      </w:pPr>
      <w:r w:rsidRPr="00A31CA4">
        <w:rPr>
          <w:b/>
          <w:bCs/>
        </w:rPr>
        <w:t>Table 6.6: Total Estimated Respondent Burden and Cost Summary</w:t>
      </w:r>
    </w:p>
    <w:tbl>
      <w:tblPr>
        <w:tblW w:w="5000" w:type="pct"/>
        <w:tblLook w:val="04A0"/>
      </w:tblPr>
      <w:tblGrid>
        <w:gridCol w:w="1726"/>
        <w:gridCol w:w="1726"/>
        <w:gridCol w:w="1727"/>
        <w:gridCol w:w="1727"/>
        <w:gridCol w:w="1727"/>
        <w:gridCol w:w="1727"/>
        <w:gridCol w:w="1727"/>
        <w:gridCol w:w="1727"/>
      </w:tblGrid>
      <w:tr w14:paraId="0B6615EE" w14:textId="77777777" w:rsidTr="000C08CC">
        <w:tblPrEx>
          <w:tblW w:w="5000" w:type="pct"/>
          <w:tblLook w:val="04A0"/>
        </w:tblPrEx>
        <w:trPr>
          <w:trHeight w:val="1044"/>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9497E" w:rsidRPr="00BB2CEB" w:rsidP="000C08CC" w14:paraId="34BD48C5" w14:textId="77777777">
            <w:pPr>
              <w:jc w:val="center"/>
              <w:rPr>
                <w:b/>
                <w:bCs/>
                <w:color w:val="000000"/>
                <w:sz w:val="20"/>
                <w:szCs w:val="20"/>
              </w:rPr>
            </w:pPr>
            <w:r w:rsidRPr="00BB2CEB">
              <w:rPr>
                <w:b/>
                <w:bCs/>
                <w:color w:val="000000"/>
                <w:sz w:val="20"/>
                <w:szCs w:val="20"/>
              </w:rPr>
              <w:t>Type of respondent</w:t>
            </w:r>
          </w:p>
        </w:tc>
        <w:tc>
          <w:tcPr>
            <w:tcW w:w="625" w:type="pct"/>
            <w:tcBorders>
              <w:top w:val="single" w:sz="4" w:space="0" w:color="auto"/>
              <w:left w:val="nil"/>
              <w:bottom w:val="single" w:sz="4" w:space="0" w:color="auto"/>
              <w:right w:val="single" w:sz="4" w:space="0" w:color="auto"/>
            </w:tcBorders>
            <w:shd w:val="clear" w:color="auto" w:fill="auto"/>
            <w:vAlign w:val="bottom"/>
            <w:hideMark/>
          </w:tcPr>
          <w:p w:rsidR="0039497E" w:rsidRPr="00BB2CEB" w:rsidP="000C08CC" w14:paraId="5C9D7113" w14:textId="77777777">
            <w:pPr>
              <w:jc w:val="center"/>
              <w:rPr>
                <w:b/>
                <w:bCs/>
                <w:color w:val="000000"/>
                <w:sz w:val="20"/>
                <w:szCs w:val="20"/>
              </w:rPr>
            </w:pPr>
            <w:r w:rsidRPr="00BB2CEB">
              <w:rPr>
                <w:b/>
                <w:bCs/>
                <w:color w:val="000000"/>
                <w:sz w:val="20"/>
                <w:szCs w:val="20"/>
              </w:rPr>
              <w:t>Average annual number of respondents</w:t>
            </w:r>
          </w:p>
        </w:tc>
        <w:tc>
          <w:tcPr>
            <w:tcW w:w="625" w:type="pct"/>
            <w:tcBorders>
              <w:top w:val="single" w:sz="4" w:space="0" w:color="auto"/>
              <w:left w:val="nil"/>
              <w:bottom w:val="single" w:sz="4" w:space="0" w:color="auto"/>
              <w:right w:val="single" w:sz="4" w:space="0" w:color="auto"/>
            </w:tcBorders>
            <w:shd w:val="clear" w:color="auto" w:fill="auto"/>
            <w:vAlign w:val="bottom"/>
            <w:hideMark/>
          </w:tcPr>
          <w:p w:rsidR="0039497E" w:rsidRPr="00BB2CEB" w:rsidP="000C08CC" w14:paraId="1F07D8FF" w14:textId="77777777">
            <w:pPr>
              <w:jc w:val="center"/>
              <w:rPr>
                <w:b/>
                <w:bCs/>
                <w:color w:val="000000"/>
                <w:sz w:val="20"/>
                <w:szCs w:val="20"/>
              </w:rPr>
            </w:pPr>
            <w:r w:rsidRPr="00BB2CEB">
              <w:rPr>
                <w:b/>
                <w:bCs/>
                <w:color w:val="000000"/>
                <w:sz w:val="20"/>
                <w:szCs w:val="20"/>
              </w:rPr>
              <w:t>Average annual labor hours</w:t>
            </w:r>
          </w:p>
        </w:tc>
        <w:tc>
          <w:tcPr>
            <w:tcW w:w="625" w:type="pct"/>
            <w:tcBorders>
              <w:top w:val="single" w:sz="4" w:space="0" w:color="auto"/>
              <w:left w:val="nil"/>
              <w:bottom w:val="single" w:sz="4" w:space="0" w:color="auto"/>
              <w:right w:val="single" w:sz="4" w:space="0" w:color="auto"/>
            </w:tcBorders>
            <w:shd w:val="clear" w:color="auto" w:fill="auto"/>
            <w:vAlign w:val="bottom"/>
            <w:hideMark/>
          </w:tcPr>
          <w:p w:rsidR="0039497E" w:rsidRPr="00BB2CEB" w:rsidP="000C08CC" w14:paraId="0B1C621E" w14:textId="77777777">
            <w:pPr>
              <w:jc w:val="center"/>
              <w:rPr>
                <w:b/>
                <w:bCs/>
                <w:color w:val="000000"/>
                <w:sz w:val="20"/>
                <w:szCs w:val="20"/>
              </w:rPr>
            </w:pPr>
            <w:r w:rsidRPr="00BB2CEB">
              <w:rPr>
                <w:b/>
                <w:bCs/>
                <w:color w:val="000000"/>
                <w:sz w:val="20"/>
                <w:szCs w:val="20"/>
              </w:rPr>
              <w:t>Average annual labor cost</w:t>
            </w:r>
          </w:p>
        </w:tc>
        <w:tc>
          <w:tcPr>
            <w:tcW w:w="625" w:type="pct"/>
            <w:tcBorders>
              <w:top w:val="single" w:sz="4" w:space="0" w:color="auto"/>
              <w:left w:val="nil"/>
              <w:bottom w:val="single" w:sz="4" w:space="0" w:color="auto"/>
              <w:right w:val="single" w:sz="4" w:space="0" w:color="auto"/>
            </w:tcBorders>
            <w:shd w:val="clear" w:color="auto" w:fill="auto"/>
            <w:vAlign w:val="bottom"/>
            <w:hideMark/>
          </w:tcPr>
          <w:p w:rsidR="0039497E" w:rsidRPr="00BB2CEB" w:rsidP="000C08CC" w14:paraId="5AECC435" w14:textId="77777777">
            <w:pPr>
              <w:jc w:val="center"/>
              <w:rPr>
                <w:b/>
                <w:bCs/>
                <w:color w:val="000000"/>
                <w:sz w:val="20"/>
                <w:szCs w:val="20"/>
              </w:rPr>
            </w:pPr>
            <w:r w:rsidRPr="00BB2CEB">
              <w:rPr>
                <w:b/>
                <w:bCs/>
                <w:color w:val="000000"/>
                <w:sz w:val="20"/>
                <w:szCs w:val="20"/>
              </w:rPr>
              <w:t>Average annual capital and O&amp;M cost</w:t>
            </w:r>
          </w:p>
        </w:tc>
        <w:tc>
          <w:tcPr>
            <w:tcW w:w="625" w:type="pct"/>
            <w:tcBorders>
              <w:top w:val="single" w:sz="4" w:space="0" w:color="auto"/>
              <w:left w:val="nil"/>
              <w:bottom w:val="single" w:sz="4" w:space="0" w:color="auto"/>
              <w:right w:val="single" w:sz="4" w:space="0" w:color="auto"/>
            </w:tcBorders>
            <w:shd w:val="clear" w:color="auto" w:fill="auto"/>
            <w:vAlign w:val="bottom"/>
            <w:hideMark/>
          </w:tcPr>
          <w:p w:rsidR="0039497E" w:rsidRPr="00BB2CEB" w:rsidP="000C08CC" w14:paraId="482FFEA5" w14:textId="77777777">
            <w:pPr>
              <w:jc w:val="center"/>
              <w:rPr>
                <w:b/>
                <w:bCs/>
                <w:color w:val="000000"/>
                <w:sz w:val="20"/>
                <w:szCs w:val="20"/>
              </w:rPr>
            </w:pPr>
            <w:r w:rsidRPr="00BB2CEB">
              <w:rPr>
                <w:b/>
                <w:bCs/>
                <w:color w:val="000000"/>
                <w:sz w:val="20"/>
                <w:szCs w:val="20"/>
              </w:rPr>
              <w:t>Average total annual cost</w:t>
            </w:r>
          </w:p>
        </w:tc>
        <w:tc>
          <w:tcPr>
            <w:tcW w:w="625" w:type="pct"/>
            <w:tcBorders>
              <w:top w:val="single" w:sz="4" w:space="0" w:color="auto"/>
              <w:left w:val="nil"/>
              <w:bottom w:val="single" w:sz="4" w:space="0" w:color="auto"/>
              <w:right w:val="single" w:sz="4" w:space="0" w:color="auto"/>
            </w:tcBorders>
            <w:shd w:val="clear" w:color="auto" w:fill="auto"/>
            <w:vAlign w:val="bottom"/>
            <w:hideMark/>
          </w:tcPr>
          <w:p w:rsidR="0039497E" w:rsidRPr="00BB2CEB" w:rsidP="000C08CC" w14:paraId="7448CE2A" w14:textId="77777777">
            <w:pPr>
              <w:jc w:val="center"/>
              <w:rPr>
                <w:b/>
                <w:bCs/>
                <w:color w:val="000000"/>
                <w:sz w:val="20"/>
                <w:szCs w:val="20"/>
              </w:rPr>
            </w:pPr>
            <w:r w:rsidRPr="00BB2CEB">
              <w:rPr>
                <w:b/>
                <w:bCs/>
                <w:color w:val="000000"/>
                <w:sz w:val="20"/>
                <w:szCs w:val="20"/>
              </w:rPr>
              <w:t>Average annual labor hours per respondent</w:t>
            </w:r>
          </w:p>
        </w:tc>
        <w:tc>
          <w:tcPr>
            <w:tcW w:w="625" w:type="pct"/>
            <w:tcBorders>
              <w:top w:val="single" w:sz="4" w:space="0" w:color="auto"/>
              <w:left w:val="nil"/>
              <w:bottom w:val="single" w:sz="4" w:space="0" w:color="auto"/>
              <w:right w:val="single" w:sz="4" w:space="0" w:color="auto"/>
            </w:tcBorders>
            <w:shd w:val="clear" w:color="auto" w:fill="auto"/>
            <w:vAlign w:val="bottom"/>
            <w:hideMark/>
          </w:tcPr>
          <w:p w:rsidR="0039497E" w:rsidRPr="00BB2CEB" w:rsidP="000C08CC" w14:paraId="281A1360" w14:textId="77777777">
            <w:pPr>
              <w:jc w:val="center"/>
              <w:rPr>
                <w:b/>
                <w:bCs/>
                <w:color w:val="000000"/>
                <w:sz w:val="20"/>
                <w:szCs w:val="20"/>
              </w:rPr>
            </w:pPr>
            <w:r w:rsidRPr="00BB2CEB">
              <w:rPr>
                <w:b/>
                <w:bCs/>
                <w:color w:val="000000"/>
                <w:sz w:val="20"/>
                <w:szCs w:val="20"/>
              </w:rPr>
              <w:t>Average annual cost per respondent</w:t>
            </w:r>
          </w:p>
        </w:tc>
      </w:tr>
      <w:tr w14:paraId="07957A77" w14:textId="77777777" w:rsidTr="000C08CC">
        <w:tblPrEx>
          <w:tblW w:w="5000" w:type="pct"/>
          <w:tblLook w:val="04A0"/>
        </w:tblPrEx>
        <w:trPr>
          <w:trHeight w:val="324"/>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39497E" w:rsidRPr="00BB2CEB" w:rsidP="000C08CC" w14:paraId="66640CF2" w14:textId="77777777">
            <w:pPr>
              <w:rPr>
                <w:color w:val="000000"/>
                <w:sz w:val="20"/>
                <w:szCs w:val="20"/>
              </w:rPr>
            </w:pPr>
            <w:r w:rsidRPr="00BB2CEB">
              <w:rPr>
                <w:color w:val="000000"/>
                <w:sz w:val="20"/>
                <w:szCs w:val="20"/>
              </w:rPr>
              <w:t xml:space="preserve">Sources </w:t>
            </w:r>
            <w:r w:rsidRPr="00BB2CEB">
              <w:rPr>
                <w:color w:val="000000"/>
                <w:sz w:val="20"/>
                <w:szCs w:val="20"/>
                <w:vertAlign w:val="superscript"/>
              </w:rPr>
              <w:t>a</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275196AD" w14:textId="77777777">
            <w:pPr>
              <w:rPr>
                <w:color w:val="000000"/>
                <w:sz w:val="20"/>
                <w:szCs w:val="20"/>
              </w:rPr>
            </w:pPr>
            <w:r>
              <w:rPr>
                <w:color w:val="000000"/>
                <w:sz w:val="20"/>
                <w:szCs w:val="20"/>
              </w:rPr>
              <w:t xml:space="preserve"> </w:t>
            </w:r>
            <w:r w:rsidRPr="00BB2CEB">
              <w:rPr>
                <w:color w:val="000000"/>
                <w:sz w:val="20"/>
                <w:szCs w:val="20"/>
              </w:rPr>
              <w:t xml:space="preserve">22,036 </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000E40DF" w14:textId="77777777">
            <w:pPr>
              <w:rPr>
                <w:color w:val="000000"/>
                <w:sz w:val="20"/>
                <w:szCs w:val="20"/>
              </w:rPr>
            </w:pPr>
            <w:r>
              <w:rPr>
                <w:color w:val="000000"/>
                <w:sz w:val="20"/>
                <w:szCs w:val="20"/>
              </w:rPr>
              <w:t xml:space="preserve"> </w:t>
            </w:r>
            <w:r w:rsidRPr="00BB2CEB">
              <w:rPr>
                <w:color w:val="000000"/>
                <w:sz w:val="20"/>
                <w:szCs w:val="20"/>
              </w:rPr>
              <w:t xml:space="preserve">19,300 </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3DDB4C35" w14:textId="77777777">
            <w:pPr>
              <w:jc w:val="right"/>
              <w:rPr>
                <w:color w:val="000000"/>
                <w:sz w:val="20"/>
                <w:szCs w:val="20"/>
              </w:rPr>
            </w:pPr>
            <w:r w:rsidRPr="00BB2CEB">
              <w:rPr>
                <w:color w:val="000000"/>
                <w:sz w:val="20"/>
                <w:szCs w:val="20"/>
              </w:rPr>
              <w:t>$2,190,000</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210752A4" w14:textId="77777777">
            <w:pPr>
              <w:jc w:val="right"/>
              <w:rPr>
                <w:color w:val="000000"/>
                <w:sz w:val="20"/>
                <w:szCs w:val="20"/>
              </w:rPr>
            </w:pPr>
            <w:r w:rsidRPr="00BB2CEB">
              <w:rPr>
                <w:color w:val="000000"/>
                <w:sz w:val="20"/>
                <w:szCs w:val="20"/>
              </w:rPr>
              <w:t>$0</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30FA2656" w14:textId="77777777">
            <w:pPr>
              <w:jc w:val="right"/>
              <w:rPr>
                <w:color w:val="000000"/>
                <w:sz w:val="20"/>
                <w:szCs w:val="20"/>
              </w:rPr>
            </w:pPr>
            <w:r w:rsidRPr="00BB2CEB">
              <w:rPr>
                <w:color w:val="000000"/>
                <w:sz w:val="20"/>
                <w:szCs w:val="20"/>
              </w:rPr>
              <w:t>$2,190,000</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079D7308" w14:textId="77777777">
            <w:pPr>
              <w:rPr>
                <w:color w:val="000000"/>
                <w:sz w:val="20"/>
                <w:szCs w:val="20"/>
              </w:rPr>
            </w:pPr>
            <w:r>
              <w:rPr>
                <w:color w:val="000000"/>
                <w:sz w:val="20"/>
                <w:szCs w:val="20"/>
              </w:rPr>
              <w:t xml:space="preserve"> </w:t>
            </w:r>
            <w:r w:rsidRPr="00BB2CEB">
              <w:rPr>
                <w:color w:val="000000"/>
                <w:sz w:val="20"/>
                <w:szCs w:val="20"/>
              </w:rPr>
              <w:t xml:space="preserve">1 </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3E52BFD1" w14:textId="77777777">
            <w:pPr>
              <w:jc w:val="right"/>
              <w:rPr>
                <w:color w:val="000000"/>
                <w:sz w:val="20"/>
                <w:szCs w:val="20"/>
              </w:rPr>
            </w:pPr>
            <w:r w:rsidRPr="00BB2CEB">
              <w:rPr>
                <w:color w:val="000000"/>
                <w:sz w:val="20"/>
                <w:szCs w:val="20"/>
              </w:rPr>
              <w:t>$99</w:t>
            </w:r>
          </w:p>
        </w:tc>
      </w:tr>
      <w:tr w14:paraId="12AAD57E" w14:textId="77777777" w:rsidTr="000C08CC">
        <w:tblPrEx>
          <w:tblW w:w="5000" w:type="pct"/>
          <w:tblLook w:val="04A0"/>
        </w:tblPrEx>
        <w:trPr>
          <w:trHeight w:val="288"/>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39497E" w:rsidRPr="00BB2CEB" w:rsidP="000C08CC" w14:paraId="0C87C9ED" w14:textId="77777777">
            <w:pPr>
              <w:rPr>
                <w:color w:val="000000"/>
                <w:sz w:val="20"/>
                <w:szCs w:val="20"/>
              </w:rPr>
            </w:pPr>
            <w:r w:rsidRPr="00BB2CEB">
              <w:rPr>
                <w:color w:val="000000"/>
                <w:sz w:val="20"/>
                <w:szCs w:val="20"/>
              </w:rPr>
              <w:t>PAs</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505A4065" w14:textId="77777777">
            <w:pPr>
              <w:rPr>
                <w:color w:val="000000"/>
                <w:sz w:val="20"/>
                <w:szCs w:val="20"/>
              </w:rPr>
            </w:pPr>
            <w:r>
              <w:rPr>
                <w:color w:val="000000"/>
                <w:sz w:val="20"/>
                <w:szCs w:val="20"/>
              </w:rPr>
              <w:t xml:space="preserve"> </w:t>
            </w:r>
            <w:r w:rsidRPr="00BB2CEB">
              <w:rPr>
                <w:color w:val="000000"/>
                <w:sz w:val="20"/>
                <w:szCs w:val="20"/>
              </w:rPr>
              <w:t xml:space="preserve">117 </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31653E7B" w14:textId="77777777">
            <w:pPr>
              <w:rPr>
                <w:color w:val="000000"/>
                <w:sz w:val="20"/>
                <w:szCs w:val="20"/>
              </w:rPr>
            </w:pPr>
            <w:r>
              <w:rPr>
                <w:color w:val="000000"/>
                <w:sz w:val="20"/>
                <w:szCs w:val="20"/>
              </w:rPr>
              <w:t xml:space="preserve"> </w:t>
            </w:r>
            <w:r w:rsidRPr="00BB2CEB">
              <w:rPr>
                <w:color w:val="000000"/>
                <w:sz w:val="20"/>
                <w:szCs w:val="20"/>
              </w:rPr>
              <w:t xml:space="preserve">4,210 </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141ABBB8" w14:textId="77777777">
            <w:pPr>
              <w:jc w:val="right"/>
              <w:rPr>
                <w:color w:val="000000"/>
                <w:sz w:val="20"/>
                <w:szCs w:val="20"/>
              </w:rPr>
            </w:pPr>
            <w:r w:rsidRPr="00BB2CEB">
              <w:rPr>
                <w:color w:val="000000"/>
                <w:sz w:val="20"/>
                <w:szCs w:val="20"/>
              </w:rPr>
              <w:t>$233,000</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60A03CD0" w14:textId="77777777">
            <w:pPr>
              <w:jc w:val="right"/>
              <w:rPr>
                <w:color w:val="000000"/>
                <w:sz w:val="20"/>
                <w:szCs w:val="20"/>
              </w:rPr>
            </w:pPr>
            <w:r w:rsidRPr="00BB2CEB">
              <w:rPr>
                <w:color w:val="000000"/>
                <w:sz w:val="20"/>
                <w:szCs w:val="20"/>
              </w:rPr>
              <w:t>$0</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7E49CF86" w14:textId="77777777">
            <w:pPr>
              <w:jc w:val="right"/>
              <w:rPr>
                <w:color w:val="000000"/>
                <w:sz w:val="20"/>
                <w:szCs w:val="20"/>
              </w:rPr>
            </w:pPr>
            <w:r w:rsidRPr="00BB2CEB">
              <w:rPr>
                <w:color w:val="000000"/>
                <w:sz w:val="20"/>
                <w:szCs w:val="20"/>
              </w:rPr>
              <w:t>$233,000</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70AB5152" w14:textId="77777777">
            <w:pPr>
              <w:rPr>
                <w:color w:val="000000"/>
                <w:sz w:val="20"/>
                <w:szCs w:val="20"/>
              </w:rPr>
            </w:pPr>
            <w:r>
              <w:rPr>
                <w:color w:val="000000"/>
                <w:sz w:val="20"/>
                <w:szCs w:val="20"/>
              </w:rPr>
              <w:t xml:space="preserve"> </w:t>
            </w:r>
            <w:r w:rsidRPr="00BB2CEB">
              <w:rPr>
                <w:color w:val="000000"/>
                <w:sz w:val="20"/>
                <w:szCs w:val="20"/>
              </w:rPr>
              <w:t xml:space="preserve">36 </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775BAA8D" w14:textId="77777777">
            <w:pPr>
              <w:jc w:val="right"/>
              <w:rPr>
                <w:color w:val="000000"/>
                <w:sz w:val="20"/>
                <w:szCs w:val="20"/>
              </w:rPr>
            </w:pPr>
            <w:r w:rsidRPr="00BB2CEB">
              <w:rPr>
                <w:color w:val="000000"/>
                <w:sz w:val="20"/>
                <w:szCs w:val="20"/>
              </w:rPr>
              <w:t>$1,991</w:t>
            </w:r>
          </w:p>
        </w:tc>
      </w:tr>
      <w:tr w14:paraId="69B16E45" w14:textId="77777777" w:rsidTr="000C08CC">
        <w:tblPrEx>
          <w:tblW w:w="5000" w:type="pct"/>
          <w:tblLook w:val="04A0"/>
        </w:tblPrEx>
        <w:trPr>
          <w:trHeight w:val="288"/>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39497E" w:rsidRPr="00BB2CEB" w:rsidP="000C08CC" w14:paraId="3ECCF666" w14:textId="77777777">
            <w:pPr>
              <w:rPr>
                <w:b/>
                <w:bCs/>
                <w:color w:val="000000"/>
                <w:sz w:val="20"/>
                <w:szCs w:val="20"/>
              </w:rPr>
            </w:pPr>
            <w:r w:rsidRPr="00BB2CEB">
              <w:rPr>
                <w:b/>
                <w:bCs/>
                <w:color w:val="000000"/>
                <w:sz w:val="20"/>
                <w:szCs w:val="20"/>
              </w:rPr>
              <w:t xml:space="preserve">Total (rounded) </w:t>
            </w:r>
            <w:r w:rsidRPr="00BB2CEB">
              <w:rPr>
                <w:b/>
                <w:bCs/>
                <w:color w:val="000000"/>
                <w:sz w:val="20"/>
                <w:szCs w:val="20"/>
                <w:vertAlign w:val="superscript"/>
              </w:rPr>
              <w:t>b</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581586A9" w14:textId="77777777">
            <w:pPr>
              <w:rPr>
                <w:b/>
                <w:bCs/>
                <w:color w:val="000000"/>
                <w:sz w:val="20"/>
                <w:szCs w:val="20"/>
              </w:rPr>
            </w:pPr>
            <w:r>
              <w:rPr>
                <w:b/>
                <w:bCs/>
                <w:color w:val="000000"/>
                <w:sz w:val="20"/>
                <w:szCs w:val="20"/>
              </w:rPr>
              <w:t xml:space="preserve"> </w:t>
            </w:r>
            <w:r w:rsidRPr="00BB2CEB">
              <w:rPr>
                <w:b/>
                <w:bCs/>
                <w:color w:val="000000"/>
                <w:sz w:val="20"/>
                <w:szCs w:val="20"/>
              </w:rPr>
              <w:t xml:space="preserve">22,200 </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4CDBF8E8" w14:textId="77777777">
            <w:pPr>
              <w:rPr>
                <w:b/>
                <w:bCs/>
                <w:color w:val="000000"/>
                <w:sz w:val="20"/>
                <w:szCs w:val="20"/>
              </w:rPr>
            </w:pPr>
            <w:r>
              <w:rPr>
                <w:b/>
                <w:bCs/>
                <w:color w:val="000000"/>
                <w:sz w:val="20"/>
                <w:szCs w:val="20"/>
              </w:rPr>
              <w:t xml:space="preserve"> </w:t>
            </w:r>
            <w:r w:rsidRPr="00BB2CEB">
              <w:rPr>
                <w:b/>
                <w:bCs/>
                <w:color w:val="000000"/>
                <w:sz w:val="20"/>
                <w:szCs w:val="20"/>
              </w:rPr>
              <w:t xml:space="preserve">23,500 </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2DE8AB42" w14:textId="77777777">
            <w:pPr>
              <w:jc w:val="right"/>
              <w:rPr>
                <w:b/>
                <w:bCs/>
                <w:color w:val="000000"/>
                <w:sz w:val="20"/>
                <w:szCs w:val="20"/>
              </w:rPr>
            </w:pPr>
            <w:r w:rsidRPr="00BB2CEB">
              <w:rPr>
                <w:b/>
                <w:bCs/>
                <w:color w:val="000000"/>
                <w:sz w:val="20"/>
                <w:szCs w:val="20"/>
              </w:rPr>
              <w:t>$2,420,000</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51FEC7AF" w14:textId="77777777">
            <w:pPr>
              <w:jc w:val="right"/>
              <w:rPr>
                <w:b/>
                <w:bCs/>
                <w:color w:val="000000"/>
                <w:sz w:val="20"/>
                <w:szCs w:val="20"/>
              </w:rPr>
            </w:pPr>
            <w:r w:rsidRPr="00BB2CEB">
              <w:rPr>
                <w:b/>
                <w:bCs/>
                <w:color w:val="000000"/>
                <w:sz w:val="20"/>
                <w:szCs w:val="20"/>
              </w:rPr>
              <w:t>$0</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363F7412" w14:textId="77777777">
            <w:pPr>
              <w:jc w:val="right"/>
              <w:rPr>
                <w:b/>
                <w:bCs/>
                <w:color w:val="000000"/>
                <w:sz w:val="20"/>
                <w:szCs w:val="20"/>
              </w:rPr>
            </w:pPr>
            <w:r w:rsidRPr="00BB2CEB">
              <w:rPr>
                <w:b/>
                <w:bCs/>
                <w:color w:val="000000"/>
                <w:sz w:val="20"/>
                <w:szCs w:val="20"/>
              </w:rPr>
              <w:t>$2,420,000</w:t>
            </w:r>
          </w:p>
        </w:tc>
        <w:tc>
          <w:tcPr>
            <w:tcW w:w="625" w:type="pct"/>
            <w:tcBorders>
              <w:top w:val="nil"/>
              <w:left w:val="nil"/>
              <w:bottom w:val="single" w:sz="4" w:space="0" w:color="auto"/>
              <w:right w:val="single" w:sz="4" w:space="0" w:color="auto"/>
            </w:tcBorders>
            <w:shd w:val="thinDiagStripe" w:color="000000" w:fill="auto"/>
            <w:noWrap/>
            <w:vAlign w:val="bottom"/>
            <w:hideMark/>
          </w:tcPr>
          <w:p w:rsidR="0039497E" w:rsidRPr="00BB2CEB" w:rsidP="000C08CC" w14:paraId="3B5494CE" w14:textId="77777777">
            <w:pPr>
              <w:rPr>
                <w:b/>
                <w:bCs/>
                <w:color w:val="000000"/>
                <w:sz w:val="20"/>
                <w:szCs w:val="20"/>
              </w:rPr>
            </w:pPr>
            <w:r w:rsidRPr="00BB2CEB">
              <w:rPr>
                <w:b/>
                <w:bCs/>
                <w:color w:val="000000"/>
                <w:sz w:val="20"/>
                <w:szCs w:val="20"/>
              </w:rPr>
              <w:t> </w:t>
            </w:r>
          </w:p>
        </w:tc>
        <w:tc>
          <w:tcPr>
            <w:tcW w:w="625" w:type="pct"/>
            <w:tcBorders>
              <w:top w:val="nil"/>
              <w:left w:val="nil"/>
              <w:bottom w:val="single" w:sz="4" w:space="0" w:color="auto"/>
              <w:right w:val="single" w:sz="4" w:space="0" w:color="auto"/>
            </w:tcBorders>
            <w:shd w:val="thinDiagStripe" w:color="000000" w:fill="auto"/>
            <w:noWrap/>
            <w:vAlign w:val="bottom"/>
            <w:hideMark/>
          </w:tcPr>
          <w:p w:rsidR="0039497E" w:rsidRPr="00BB2CEB" w:rsidP="000C08CC" w14:paraId="36DD7A81" w14:textId="77777777">
            <w:pPr>
              <w:rPr>
                <w:b/>
                <w:bCs/>
                <w:color w:val="000000"/>
                <w:sz w:val="20"/>
                <w:szCs w:val="20"/>
              </w:rPr>
            </w:pPr>
            <w:r w:rsidRPr="00BB2CEB">
              <w:rPr>
                <w:b/>
                <w:bCs/>
                <w:color w:val="000000"/>
                <w:sz w:val="20"/>
                <w:szCs w:val="20"/>
              </w:rPr>
              <w:t> </w:t>
            </w:r>
          </w:p>
        </w:tc>
      </w:tr>
      <w:tr w14:paraId="7327ECCB" w14:textId="77777777" w:rsidTr="000C08CC">
        <w:tblPrEx>
          <w:tblW w:w="5000" w:type="pct"/>
          <w:tblLook w:val="04A0"/>
        </w:tblPrEx>
        <w:trPr>
          <w:trHeight w:val="288"/>
        </w:trPr>
        <w:tc>
          <w:tcPr>
            <w:tcW w:w="625" w:type="pct"/>
            <w:tcBorders>
              <w:top w:val="nil"/>
              <w:left w:val="nil"/>
              <w:bottom w:val="nil"/>
              <w:right w:val="nil"/>
            </w:tcBorders>
            <w:shd w:val="clear" w:color="auto" w:fill="auto"/>
            <w:noWrap/>
            <w:vAlign w:val="bottom"/>
            <w:hideMark/>
          </w:tcPr>
          <w:p w:rsidR="0039497E" w:rsidRPr="00BB2CEB" w:rsidP="000C08CC" w14:paraId="56E02AE0" w14:textId="77777777">
            <w:pPr>
              <w:rPr>
                <w:b/>
                <w:bCs/>
                <w:color w:val="000000"/>
                <w:sz w:val="20"/>
                <w:szCs w:val="20"/>
              </w:rPr>
            </w:pPr>
          </w:p>
        </w:tc>
        <w:tc>
          <w:tcPr>
            <w:tcW w:w="625" w:type="pct"/>
            <w:tcBorders>
              <w:top w:val="nil"/>
              <w:left w:val="nil"/>
              <w:bottom w:val="nil"/>
              <w:right w:val="nil"/>
            </w:tcBorders>
            <w:shd w:val="clear" w:color="auto" w:fill="auto"/>
            <w:noWrap/>
            <w:vAlign w:val="bottom"/>
            <w:hideMark/>
          </w:tcPr>
          <w:p w:rsidR="0039497E" w:rsidRPr="00BB2CEB" w:rsidP="000C08CC" w14:paraId="70D9BD19" w14:textId="77777777">
            <w:pPr>
              <w:rPr>
                <w:sz w:val="20"/>
                <w:szCs w:val="20"/>
              </w:rPr>
            </w:pPr>
          </w:p>
        </w:tc>
        <w:tc>
          <w:tcPr>
            <w:tcW w:w="625" w:type="pct"/>
            <w:tcBorders>
              <w:top w:val="nil"/>
              <w:left w:val="nil"/>
              <w:bottom w:val="nil"/>
              <w:right w:val="nil"/>
            </w:tcBorders>
            <w:shd w:val="clear" w:color="auto" w:fill="auto"/>
            <w:noWrap/>
            <w:vAlign w:val="bottom"/>
            <w:hideMark/>
          </w:tcPr>
          <w:p w:rsidR="0039497E" w:rsidRPr="00BB2CEB" w:rsidP="000C08CC" w14:paraId="6C384D3C" w14:textId="77777777">
            <w:pPr>
              <w:rPr>
                <w:sz w:val="20"/>
                <w:szCs w:val="20"/>
              </w:rPr>
            </w:pPr>
          </w:p>
        </w:tc>
        <w:tc>
          <w:tcPr>
            <w:tcW w:w="625" w:type="pct"/>
            <w:tcBorders>
              <w:top w:val="nil"/>
              <w:left w:val="nil"/>
              <w:bottom w:val="nil"/>
              <w:right w:val="nil"/>
            </w:tcBorders>
            <w:shd w:val="clear" w:color="auto" w:fill="auto"/>
            <w:noWrap/>
            <w:vAlign w:val="bottom"/>
            <w:hideMark/>
          </w:tcPr>
          <w:p w:rsidR="0039497E" w:rsidRPr="00BB2CEB" w:rsidP="000C08CC" w14:paraId="46F7D907" w14:textId="77777777">
            <w:pPr>
              <w:rPr>
                <w:sz w:val="20"/>
                <w:szCs w:val="20"/>
              </w:rPr>
            </w:pPr>
          </w:p>
        </w:tc>
        <w:tc>
          <w:tcPr>
            <w:tcW w:w="625" w:type="pct"/>
            <w:tcBorders>
              <w:top w:val="nil"/>
              <w:left w:val="nil"/>
              <w:bottom w:val="nil"/>
              <w:right w:val="nil"/>
            </w:tcBorders>
            <w:shd w:val="clear" w:color="auto" w:fill="auto"/>
            <w:noWrap/>
            <w:vAlign w:val="bottom"/>
            <w:hideMark/>
          </w:tcPr>
          <w:p w:rsidR="0039497E" w:rsidRPr="00BB2CEB" w:rsidP="000C08CC" w14:paraId="2D4DC07B" w14:textId="77777777">
            <w:pPr>
              <w:rPr>
                <w:sz w:val="20"/>
                <w:szCs w:val="20"/>
              </w:rPr>
            </w:pPr>
          </w:p>
        </w:tc>
        <w:tc>
          <w:tcPr>
            <w:tcW w:w="625" w:type="pct"/>
            <w:tcBorders>
              <w:top w:val="nil"/>
              <w:left w:val="nil"/>
              <w:bottom w:val="nil"/>
              <w:right w:val="nil"/>
            </w:tcBorders>
            <w:shd w:val="clear" w:color="auto" w:fill="auto"/>
            <w:noWrap/>
            <w:vAlign w:val="bottom"/>
            <w:hideMark/>
          </w:tcPr>
          <w:p w:rsidR="0039497E" w:rsidRPr="00BB2CEB" w:rsidP="000C08CC" w14:paraId="1ADDE77B" w14:textId="77777777">
            <w:pPr>
              <w:rPr>
                <w:sz w:val="20"/>
                <w:szCs w:val="20"/>
              </w:rPr>
            </w:pPr>
          </w:p>
        </w:tc>
        <w:tc>
          <w:tcPr>
            <w:tcW w:w="625" w:type="pct"/>
            <w:tcBorders>
              <w:top w:val="nil"/>
              <w:left w:val="nil"/>
              <w:bottom w:val="nil"/>
              <w:right w:val="nil"/>
            </w:tcBorders>
            <w:shd w:val="clear" w:color="auto" w:fill="auto"/>
            <w:noWrap/>
            <w:vAlign w:val="bottom"/>
            <w:hideMark/>
          </w:tcPr>
          <w:p w:rsidR="0039497E" w:rsidRPr="00BB2CEB" w:rsidP="000C08CC" w14:paraId="4E062762" w14:textId="77777777">
            <w:pPr>
              <w:rPr>
                <w:sz w:val="20"/>
                <w:szCs w:val="20"/>
              </w:rPr>
            </w:pPr>
          </w:p>
        </w:tc>
        <w:tc>
          <w:tcPr>
            <w:tcW w:w="625" w:type="pct"/>
            <w:tcBorders>
              <w:top w:val="nil"/>
              <w:left w:val="nil"/>
              <w:bottom w:val="nil"/>
              <w:right w:val="nil"/>
            </w:tcBorders>
            <w:shd w:val="clear" w:color="auto" w:fill="auto"/>
            <w:noWrap/>
            <w:vAlign w:val="bottom"/>
            <w:hideMark/>
          </w:tcPr>
          <w:p w:rsidR="0039497E" w:rsidRPr="00BB2CEB" w:rsidP="000C08CC" w14:paraId="5D21C24D" w14:textId="77777777">
            <w:pPr>
              <w:rPr>
                <w:sz w:val="20"/>
                <w:szCs w:val="20"/>
              </w:rPr>
            </w:pPr>
          </w:p>
        </w:tc>
      </w:tr>
      <w:tr w14:paraId="615378F5" w14:textId="77777777" w:rsidTr="000C08CC">
        <w:tblPrEx>
          <w:tblW w:w="5000" w:type="pct"/>
          <w:tblLook w:val="04A0"/>
        </w:tblPrEx>
        <w:trPr>
          <w:trHeight w:val="624"/>
        </w:trPr>
        <w:tc>
          <w:tcPr>
            <w:tcW w:w="5000" w:type="pct"/>
            <w:gridSpan w:val="8"/>
            <w:tcBorders>
              <w:top w:val="nil"/>
              <w:left w:val="nil"/>
              <w:bottom w:val="nil"/>
              <w:right w:val="nil"/>
            </w:tcBorders>
            <w:shd w:val="clear" w:color="auto" w:fill="auto"/>
            <w:hideMark/>
          </w:tcPr>
          <w:p w:rsidR="0039497E" w:rsidRPr="00BB2CEB" w:rsidP="000C08CC" w14:paraId="5DB42C5E" w14:textId="77777777">
            <w:pPr>
              <w:rPr>
                <w:color w:val="000000"/>
                <w:sz w:val="20"/>
                <w:szCs w:val="20"/>
              </w:rPr>
            </w:pPr>
            <w:r w:rsidRPr="00BB2CEB">
              <w:rPr>
                <w:color w:val="000000"/>
                <w:sz w:val="20"/>
                <w:szCs w:val="20"/>
                <w:vertAlign w:val="superscript"/>
              </w:rPr>
              <w:t>a</w:t>
            </w:r>
            <w:r w:rsidRPr="00BB2CEB">
              <w:rPr>
                <w:color w:val="000000"/>
                <w:sz w:val="20"/>
                <w:szCs w:val="20"/>
              </w:rPr>
              <w:t xml:space="preserve"> For sources, the number of respondents is the number of PSEUs subject to the CAM Rule. There are an average of 4.27 affected PSEUs per facility with at least one PSEU.</w:t>
            </w:r>
          </w:p>
          <w:p w:rsidR="0039497E" w:rsidRPr="00BB2CEB" w:rsidP="000C08CC" w14:paraId="6416FF78" w14:textId="77777777">
            <w:pPr>
              <w:rPr>
                <w:color w:val="000000"/>
                <w:sz w:val="20"/>
                <w:szCs w:val="20"/>
              </w:rPr>
            </w:pPr>
            <w:r w:rsidRPr="00BB2CEB">
              <w:rPr>
                <w:color w:val="000000"/>
                <w:sz w:val="20"/>
                <w:szCs w:val="20"/>
                <w:vertAlign w:val="superscript"/>
              </w:rPr>
              <w:t>b</w:t>
            </w:r>
            <w:r w:rsidRPr="00BB2CEB">
              <w:rPr>
                <w:color w:val="000000"/>
                <w:sz w:val="20"/>
                <w:szCs w:val="20"/>
              </w:rPr>
              <w:t xml:space="preserve"> Totals have been rounded to 3 significant figures. Figures may not add exactly due to rounding.</w:t>
            </w:r>
          </w:p>
        </w:tc>
      </w:tr>
    </w:tbl>
    <w:p w:rsidR="0039497E" w:rsidRPr="00BB2CEB" w:rsidP="0039497E" w14:paraId="01787F31" w14:textId="77777777">
      <w:pPr>
        <w:outlineLvl w:val="0"/>
        <w:rPr>
          <w:b/>
          <w:bCs/>
          <w:color w:val="000000"/>
          <w:sz w:val="20"/>
          <w:szCs w:val="20"/>
        </w:rPr>
      </w:pPr>
    </w:p>
    <w:p w:rsidR="0039497E" w:rsidRPr="00BB362A" w:rsidP="00D27218" w14:paraId="7133A3D8" w14:textId="77777777">
      <w:pPr>
        <w:ind w:firstLine="360"/>
        <w:rPr>
          <w:rFonts w:cstheme="minorHAnsi"/>
          <w:i/>
          <w:iCs/>
        </w:rPr>
      </w:pPr>
    </w:p>
    <w:sectPr w:rsidSect="0039497E">
      <w:headerReference w:type="default" r:id="rId11"/>
      <w:pgSz w:w="15840" w:h="12240" w:orient="landscape" w:code="1"/>
      <w:pgMar w:top="1008" w:right="1008" w:bottom="1008" w:left="1008"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6ED5" w:rsidP="002335AB" w14:paraId="35642B45" w14:textId="77777777">
      <w:pPr>
        <w:spacing w:after="0" w:line="240" w:lineRule="auto"/>
      </w:pPr>
      <w:r>
        <w:separator/>
      </w:r>
    </w:p>
  </w:footnote>
  <w:footnote w:type="continuationSeparator" w:id="1">
    <w:p w:rsidR="00346ED5" w:rsidP="002335AB" w14:paraId="5512EC21" w14:textId="77777777">
      <w:pPr>
        <w:spacing w:after="0" w:line="240" w:lineRule="auto"/>
      </w:pPr>
      <w:r>
        <w:continuationSeparator/>
      </w:r>
    </w:p>
  </w:footnote>
  <w:footnote w:type="continuationNotice" w:id="2">
    <w:p w:rsidR="00346ED5" w14:paraId="6E0D53FA" w14:textId="77777777">
      <w:pPr>
        <w:spacing w:after="0" w:line="240" w:lineRule="auto"/>
      </w:pPr>
    </w:p>
  </w:footnote>
  <w:footnote w:id="3">
    <w:p w:rsidR="00150456" w:rsidRPr="00587175" w:rsidP="00150456" w14:paraId="2E892AA4" w14:textId="77777777">
      <w:pPr>
        <w:tabs>
          <w:tab w:val="left" w:pos="-1440"/>
        </w:tabs>
        <w:spacing w:after="120"/>
        <w:ind w:left="144" w:hanging="144"/>
        <w:rPr>
          <w:rFonts w:cs="Courier"/>
        </w:rPr>
      </w:pPr>
      <w:r w:rsidRPr="00EE3C59">
        <w:rPr>
          <w:sz w:val="20"/>
          <w:szCs w:val="20"/>
          <w:vertAlign w:val="superscript"/>
        </w:rPr>
        <w:t>1</w:t>
      </w:r>
      <w:r>
        <w:rPr>
          <w:sz w:val="16"/>
          <w:szCs w:val="16"/>
        </w:rPr>
        <w:tab/>
      </w:r>
      <w:r w:rsidRPr="00EE3C59">
        <w:rPr>
          <w:sz w:val="20"/>
          <w:szCs w:val="20"/>
        </w:rPr>
        <w:t>For purposes of simplicity, this ICR applies the terms “owners and operators,” “firm,” and “sources” interchangeably. References to actions or responsibilities of sources or firms should be interpreted as referring to the owners and operators of that source or firm.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3F7C" w14:paraId="06B42D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D547A9"/>
    <w:multiLevelType w:val="hybridMultilevel"/>
    <w:tmpl w:val="BCE05A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1D1527F"/>
    <w:multiLevelType w:val="hybridMultilevel"/>
    <w:tmpl w:val="1C8814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AFE3844"/>
    <w:multiLevelType w:val="hybridMultilevel"/>
    <w:tmpl w:val="4EE8986E"/>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31505C"/>
    <w:multiLevelType w:val="hybridMultilevel"/>
    <w:tmpl w:val="0344B5C6"/>
    <w:lvl w:ilvl="0">
      <w:start w:val="1"/>
      <w:numFmt w:val="decimal"/>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FA53A7F"/>
    <w:multiLevelType w:val="hybridMultilevel"/>
    <w:tmpl w:val="82F6B076"/>
    <w:lvl w:ilvl="0">
      <w:start w:val="1"/>
      <w:numFmt w:val="bullet"/>
      <w:pStyle w:val="bullet1"/>
      <w:lvlText w:val=""/>
      <w:lvlJc w:val="left"/>
      <w:pPr>
        <w:ind w:left="12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3465EE4"/>
    <w:multiLevelType w:val="hybridMultilevel"/>
    <w:tmpl w:val="28387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9155322"/>
    <w:multiLevelType w:val="hybridMultilevel"/>
    <w:tmpl w:val="FB4AC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447395"/>
    <w:multiLevelType w:val="hybridMultilevel"/>
    <w:tmpl w:val="DC4028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5687918">
    <w:abstractNumId w:val="6"/>
  </w:num>
  <w:num w:numId="2" w16cid:durableId="423957196">
    <w:abstractNumId w:val="2"/>
  </w:num>
  <w:num w:numId="3" w16cid:durableId="2031829208">
    <w:abstractNumId w:val="8"/>
  </w:num>
  <w:num w:numId="4" w16cid:durableId="1792938267">
    <w:abstractNumId w:val="11"/>
  </w:num>
  <w:num w:numId="5" w16cid:durableId="239490726">
    <w:abstractNumId w:val="1"/>
  </w:num>
  <w:num w:numId="6" w16cid:durableId="469980091">
    <w:abstractNumId w:val="9"/>
  </w:num>
  <w:num w:numId="7" w16cid:durableId="1762339686">
    <w:abstractNumId w:val="4"/>
  </w:num>
  <w:num w:numId="8" w16cid:durableId="473331731">
    <w:abstractNumId w:val="3"/>
  </w:num>
  <w:num w:numId="9" w16cid:durableId="169490578">
    <w:abstractNumId w:val="10"/>
  </w:num>
  <w:num w:numId="10" w16cid:durableId="1834027937">
    <w:abstractNumId w:val="0"/>
  </w:num>
  <w:num w:numId="11" w16cid:durableId="1350990008">
    <w:abstractNumId w:val="5"/>
  </w:num>
  <w:num w:numId="12" w16cid:durableId="8522770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4ED8"/>
    <w:rsid w:val="000069C3"/>
    <w:rsid w:val="00006C95"/>
    <w:rsid w:val="00007FB5"/>
    <w:rsid w:val="00010EEE"/>
    <w:rsid w:val="000129E1"/>
    <w:rsid w:val="00013852"/>
    <w:rsid w:val="00013CE8"/>
    <w:rsid w:val="00013FE4"/>
    <w:rsid w:val="00014B10"/>
    <w:rsid w:val="00015FF6"/>
    <w:rsid w:val="0001637F"/>
    <w:rsid w:val="00017B90"/>
    <w:rsid w:val="00020791"/>
    <w:rsid w:val="000267E1"/>
    <w:rsid w:val="00030670"/>
    <w:rsid w:val="0003166C"/>
    <w:rsid w:val="00032552"/>
    <w:rsid w:val="00033219"/>
    <w:rsid w:val="00036CF2"/>
    <w:rsid w:val="00037107"/>
    <w:rsid w:val="0004467E"/>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28E0"/>
    <w:rsid w:val="00073C3D"/>
    <w:rsid w:val="00074E51"/>
    <w:rsid w:val="00075C7A"/>
    <w:rsid w:val="000762A8"/>
    <w:rsid w:val="00076439"/>
    <w:rsid w:val="00076F0F"/>
    <w:rsid w:val="00077D8A"/>
    <w:rsid w:val="00082A72"/>
    <w:rsid w:val="00083D4A"/>
    <w:rsid w:val="00084BF3"/>
    <w:rsid w:val="0008680D"/>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4527"/>
    <w:rsid w:val="000B31CF"/>
    <w:rsid w:val="000B3576"/>
    <w:rsid w:val="000B461B"/>
    <w:rsid w:val="000B6577"/>
    <w:rsid w:val="000B7BBA"/>
    <w:rsid w:val="000C08CC"/>
    <w:rsid w:val="000C28DB"/>
    <w:rsid w:val="000C41A7"/>
    <w:rsid w:val="000C43C8"/>
    <w:rsid w:val="000C608D"/>
    <w:rsid w:val="000D224E"/>
    <w:rsid w:val="000D251E"/>
    <w:rsid w:val="000D2D5D"/>
    <w:rsid w:val="000D3C22"/>
    <w:rsid w:val="000D45B2"/>
    <w:rsid w:val="000D516A"/>
    <w:rsid w:val="000D5863"/>
    <w:rsid w:val="000D6FA4"/>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1362"/>
    <w:rsid w:val="0010158E"/>
    <w:rsid w:val="0010258D"/>
    <w:rsid w:val="00102EE5"/>
    <w:rsid w:val="00103DD8"/>
    <w:rsid w:val="00105F52"/>
    <w:rsid w:val="00106C2C"/>
    <w:rsid w:val="00107505"/>
    <w:rsid w:val="00112360"/>
    <w:rsid w:val="00112675"/>
    <w:rsid w:val="001141DA"/>
    <w:rsid w:val="001142C4"/>
    <w:rsid w:val="00116064"/>
    <w:rsid w:val="00117FE1"/>
    <w:rsid w:val="0013006A"/>
    <w:rsid w:val="00130CF9"/>
    <w:rsid w:val="001310E0"/>
    <w:rsid w:val="00132921"/>
    <w:rsid w:val="001329B3"/>
    <w:rsid w:val="00135EAD"/>
    <w:rsid w:val="00136237"/>
    <w:rsid w:val="00137EB8"/>
    <w:rsid w:val="00145DAE"/>
    <w:rsid w:val="00147B68"/>
    <w:rsid w:val="00150456"/>
    <w:rsid w:val="0015084F"/>
    <w:rsid w:val="00152A80"/>
    <w:rsid w:val="00160461"/>
    <w:rsid w:val="00161846"/>
    <w:rsid w:val="001636DA"/>
    <w:rsid w:val="00164169"/>
    <w:rsid w:val="00166B27"/>
    <w:rsid w:val="00170329"/>
    <w:rsid w:val="00170689"/>
    <w:rsid w:val="00170EB8"/>
    <w:rsid w:val="00171DC0"/>
    <w:rsid w:val="00173422"/>
    <w:rsid w:val="00173E50"/>
    <w:rsid w:val="00176BA8"/>
    <w:rsid w:val="001775F3"/>
    <w:rsid w:val="00180511"/>
    <w:rsid w:val="00184011"/>
    <w:rsid w:val="00185251"/>
    <w:rsid w:val="00187645"/>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47F8"/>
    <w:rsid w:val="001D4CDC"/>
    <w:rsid w:val="001D4D40"/>
    <w:rsid w:val="001D4F2F"/>
    <w:rsid w:val="001D51D8"/>
    <w:rsid w:val="001D5CED"/>
    <w:rsid w:val="001E0924"/>
    <w:rsid w:val="001E211E"/>
    <w:rsid w:val="001E2A0E"/>
    <w:rsid w:val="001E3A31"/>
    <w:rsid w:val="001E534A"/>
    <w:rsid w:val="001E548A"/>
    <w:rsid w:val="001E601A"/>
    <w:rsid w:val="001E6E50"/>
    <w:rsid w:val="001E7480"/>
    <w:rsid w:val="001E74E1"/>
    <w:rsid w:val="001F0D3B"/>
    <w:rsid w:val="001F1A52"/>
    <w:rsid w:val="001F1F14"/>
    <w:rsid w:val="001F370A"/>
    <w:rsid w:val="001F5541"/>
    <w:rsid w:val="001F75D9"/>
    <w:rsid w:val="001F7B1A"/>
    <w:rsid w:val="001F7DF2"/>
    <w:rsid w:val="0020142E"/>
    <w:rsid w:val="00201886"/>
    <w:rsid w:val="002064A4"/>
    <w:rsid w:val="00211627"/>
    <w:rsid w:val="0021345A"/>
    <w:rsid w:val="00213AE6"/>
    <w:rsid w:val="00216C6A"/>
    <w:rsid w:val="00220258"/>
    <w:rsid w:val="00222530"/>
    <w:rsid w:val="0022259D"/>
    <w:rsid w:val="0022416D"/>
    <w:rsid w:val="00224BB3"/>
    <w:rsid w:val="00224D61"/>
    <w:rsid w:val="00224F14"/>
    <w:rsid w:val="00226D49"/>
    <w:rsid w:val="0022710C"/>
    <w:rsid w:val="00227759"/>
    <w:rsid w:val="00230F45"/>
    <w:rsid w:val="00233342"/>
    <w:rsid w:val="002335AB"/>
    <w:rsid w:val="00235E79"/>
    <w:rsid w:val="002360BC"/>
    <w:rsid w:val="00240F23"/>
    <w:rsid w:val="0024175E"/>
    <w:rsid w:val="002420F2"/>
    <w:rsid w:val="002455F0"/>
    <w:rsid w:val="00246A7E"/>
    <w:rsid w:val="00247198"/>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6FA0"/>
    <w:rsid w:val="00287F94"/>
    <w:rsid w:val="00290BEB"/>
    <w:rsid w:val="00291493"/>
    <w:rsid w:val="00291589"/>
    <w:rsid w:val="0029755D"/>
    <w:rsid w:val="002A43D0"/>
    <w:rsid w:val="002A45EB"/>
    <w:rsid w:val="002A6075"/>
    <w:rsid w:val="002A676B"/>
    <w:rsid w:val="002A6E4E"/>
    <w:rsid w:val="002A774D"/>
    <w:rsid w:val="002A7860"/>
    <w:rsid w:val="002A78D3"/>
    <w:rsid w:val="002B0036"/>
    <w:rsid w:val="002B2BB2"/>
    <w:rsid w:val="002B7383"/>
    <w:rsid w:val="002C0623"/>
    <w:rsid w:val="002C1434"/>
    <w:rsid w:val="002C1646"/>
    <w:rsid w:val="002C4713"/>
    <w:rsid w:val="002C7DDE"/>
    <w:rsid w:val="002D3E1A"/>
    <w:rsid w:val="002D57B3"/>
    <w:rsid w:val="002E0316"/>
    <w:rsid w:val="002E0999"/>
    <w:rsid w:val="002E5BAD"/>
    <w:rsid w:val="002E6047"/>
    <w:rsid w:val="002E6D1D"/>
    <w:rsid w:val="002F0614"/>
    <w:rsid w:val="002F077A"/>
    <w:rsid w:val="002F10BE"/>
    <w:rsid w:val="002F13DA"/>
    <w:rsid w:val="002F15EB"/>
    <w:rsid w:val="002F3CE0"/>
    <w:rsid w:val="002F6A76"/>
    <w:rsid w:val="003005BB"/>
    <w:rsid w:val="00303DE5"/>
    <w:rsid w:val="00304842"/>
    <w:rsid w:val="00306E78"/>
    <w:rsid w:val="00307411"/>
    <w:rsid w:val="00310FDB"/>
    <w:rsid w:val="00312370"/>
    <w:rsid w:val="00312F28"/>
    <w:rsid w:val="00313941"/>
    <w:rsid w:val="00316194"/>
    <w:rsid w:val="003169B4"/>
    <w:rsid w:val="00316BE6"/>
    <w:rsid w:val="00317844"/>
    <w:rsid w:val="00317A6C"/>
    <w:rsid w:val="003224B7"/>
    <w:rsid w:val="00322A16"/>
    <w:rsid w:val="00323E74"/>
    <w:rsid w:val="00324F21"/>
    <w:rsid w:val="003256A4"/>
    <w:rsid w:val="00330B87"/>
    <w:rsid w:val="00331168"/>
    <w:rsid w:val="0033211D"/>
    <w:rsid w:val="00333489"/>
    <w:rsid w:val="00342DB5"/>
    <w:rsid w:val="00343CEF"/>
    <w:rsid w:val="00344CB0"/>
    <w:rsid w:val="003467C8"/>
    <w:rsid w:val="00346ED5"/>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5F30"/>
    <w:rsid w:val="0038330C"/>
    <w:rsid w:val="003856DC"/>
    <w:rsid w:val="003901B8"/>
    <w:rsid w:val="003911C0"/>
    <w:rsid w:val="0039497E"/>
    <w:rsid w:val="003A1D0D"/>
    <w:rsid w:val="003A38FB"/>
    <w:rsid w:val="003A41A0"/>
    <w:rsid w:val="003A6BEF"/>
    <w:rsid w:val="003B04B9"/>
    <w:rsid w:val="003B153D"/>
    <w:rsid w:val="003B4D4F"/>
    <w:rsid w:val="003C0DBC"/>
    <w:rsid w:val="003C2B04"/>
    <w:rsid w:val="003C321D"/>
    <w:rsid w:val="003C5631"/>
    <w:rsid w:val="003C68C2"/>
    <w:rsid w:val="003D06CD"/>
    <w:rsid w:val="003D0C03"/>
    <w:rsid w:val="003D1457"/>
    <w:rsid w:val="003D23D5"/>
    <w:rsid w:val="003D29E8"/>
    <w:rsid w:val="003D2F77"/>
    <w:rsid w:val="003D333B"/>
    <w:rsid w:val="003D3498"/>
    <w:rsid w:val="003D598C"/>
    <w:rsid w:val="003D7167"/>
    <w:rsid w:val="003D7919"/>
    <w:rsid w:val="003D7B2A"/>
    <w:rsid w:val="003E133B"/>
    <w:rsid w:val="003E4425"/>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4EE"/>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3D11"/>
    <w:rsid w:val="004A4B8D"/>
    <w:rsid w:val="004A5B46"/>
    <w:rsid w:val="004A6B13"/>
    <w:rsid w:val="004B0167"/>
    <w:rsid w:val="004B710E"/>
    <w:rsid w:val="004C17A6"/>
    <w:rsid w:val="004C17D1"/>
    <w:rsid w:val="004C43EA"/>
    <w:rsid w:val="004C4445"/>
    <w:rsid w:val="004C53AD"/>
    <w:rsid w:val="004C6291"/>
    <w:rsid w:val="004C65F0"/>
    <w:rsid w:val="004C680C"/>
    <w:rsid w:val="004C6EC4"/>
    <w:rsid w:val="004C7205"/>
    <w:rsid w:val="004D0275"/>
    <w:rsid w:val="004D59E6"/>
    <w:rsid w:val="004D5E8D"/>
    <w:rsid w:val="004D6404"/>
    <w:rsid w:val="004E1414"/>
    <w:rsid w:val="004E19BC"/>
    <w:rsid w:val="004E336F"/>
    <w:rsid w:val="004E3CB0"/>
    <w:rsid w:val="004E5457"/>
    <w:rsid w:val="004E5A83"/>
    <w:rsid w:val="004E6BDB"/>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DFC"/>
    <w:rsid w:val="00527EB0"/>
    <w:rsid w:val="005303CA"/>
    <w:rsid w:val="00530DF8"/>
    <w:rsid w:val="00531CA7"/>
    <w:rsid w:val="005324A6"/>
    <w:rsid w:val="005346D7"/>
    <w:rsid w:val="00535D3D"/>
    <w:rsid w:val="00536768"/>
    <w:rsid w:val="005372F7"/>
    <w:rsid w:val="00537322"/>
    <w:rsid w:val="00537BD9"/>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57EF1"/>
    <w:rsid w:val="005609B4"/>
    <w:rsid w:val="00560A26"/>
    <w:rsid w:val="005636FA"/>
    <w:rsid w:val="0056373A"/>
    <w:rsid w:val="00564A1B"/>
    <w:rsid w:val="00564BF4"/>
    <w:rsid w:val="00565A5E"/>
    <w:rsid w:val="00566F71"/>
    <w:rsid w:val="005723B9"/>
    <w:rsid w:val="005726BA"/>
    <w:rsid w:val="0057299B"/>
    <w:rsid w:val="00574C83"/>
    <w:rsid w:val="005810DF"/>
    <w:rsid w:val="005836B3"/>
    <w:rsid w:val="00584D72"/>
    <w:rsid w:val="0058662D"/>
    <w:rsid w:val="00587175"/>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C55CE"/>
    <w:rsid w:val="005D0ACB"/>
    <w:rsid w:val="005D1C36"/>
    <w:rsid w:val="005D1F2E"/>
    <w:rsid w:val="005D2654"/>
    <w:rsid w:val="005D2E6F"/>
    <w:rsid w:val="005D5624"/>
    <w:rsid w:val="005D5865"/>
    <w:rsid w:val="005D5F1D"/>
    <w:rsid w:val="005E03A2"/>
    <w:rsid w:val="005E35C4"/>
    <w:rsid w:val="005E4A7B"/>
    <w:rsid w:val="005E588F"/>
    <w:rsid w:val="005E5D2D"/>
    <w:rsid w:val="005E6FAB"/>
    <w:rsid w:val="005F1234"/>
    <w:rsid w:val="005F13AA"/>
    <w:rsid w:val="005F484B"/>
    <w:rsid w:val="00601B3B"/>
    <w:rsid w:val="00602636"/>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01"/>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34A0"/>
    <w:rsid w:val="0068529E"/>
    <w:rsid w:val="00686D59"/>
    <w:rsid w:val="00687254"/>
    <w:rsid w:val="00687583"/>
    <w:rsid w:val="00691A07"/>
    <w:rsid w:val="00692B88"/>
    <w:rsid w:val="00693D40"/>
    <w:rsid w:val="006971C6"/>
    <w:rsid w:val="00697598"/>
    <w:rsid w:val="006A01ED"/>
    <w:rsid w:val="006A173F"/>
    <w:rsid w:val="006A1AC5"/>
    <w:rsid w:val="006A231D"/>
    <w:rsid w:val="006A29EB"/>
    <w:rsid w:val="006A562D"/>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1752"/>
    <w:rsid w:val="006C4CAA"/>
    <w:rsid w:val="006C68A7"/>
    <w:rsid w:val="006C780F"/>
    <w:rsid w:val="006C79DB"/>
    <w:rsid w:val="006D09D6"/>
    <w:rsid w:val="006D1400"/>
    <w:rsid w:val="006D18D6"/>
    <w:rsid w:val="006D419B"/>
    <w:rsid w:val="006D7A1A"/>
    <w:rsid w:val="006E009D"/>
    <w:rsid w:val="006E0122"/>
    <w:rsid w:val="006E0960"/>
    <w:rsid w:val="006E116F"/>
    <w:rsid w:val="006E13FF"/>
    <w:rsid w:val="006E1DC0"/>
    <w:rsid w:val="006E4817"/>
    <w:rsid w:val="006E6819"/>
    <w:rsid w:val="006E6A2C"/>
    <w:rsid w:val="006E6C7E"/>
    <w:rsid w:val="006E7D37"/>
    <w:rsid w:val="006F1F1D"/>
    <w:rsid w:val="006F3852"/>
    <w:rsid w:val="006F4946"/>
    <w:rsid w:val="006F60AF"/>
    <w:rsid w:val="00700983"/>
    <w:rsid w:val="007020F8"/>
    <w:rsid w:val="007029CB"/>
    <w:rsid w:val="00702E91"/>
    <w:rsid w:val="00702F36"/>
    <w:rsid w:val="00703FEF"/>
    <w:rsid w:val="00704459"/>
    <w:rsid w:val="007045C4"/>
    <w:rsid w:val="00704CBA"/>
    <w:rsid w:val="007050D0"/>
    <w:rsid w:val="00706B15"/>
    <w:rsid w:val="00706F41"/>
    <w:rsid w:val="00710337"/>
    <w:rsid w:val="00710A21"/>
    <w:rsid w:val="00712749"/>
    <w:rsid w:val="007128E1"/>
    <w:rsid w:val="007139DB"/>
    <w:rsid w:val="00714D14"/>
    <w:rsid w:val="00714E66"/>
    <w:rsid w:val="007167A3"/>
    <w:rsid w:val="00716971"/>
    <w:rsid w:val="00716CE1"/>
    <w:rsid w:val="00716D1D"/>
    <w:rsid w:val="0072202C"/>
    <w:rsid w:val="00724442"/>
    <w:rsid w:val="00724815"/>
    <w:rsid w:val="00726EFA"/>
    <w:rsid w:val="007279D9"/>
    <w:rsid w:val="00732759"/>
    <w:rsid w:val="00732A40"/>
    <w:rsid w:val="00735197"/>
    <w:rsid w:val="00735C37"/>
    <w:rsid w:val="0074077E"/>
    <w:rsid w:val="00741CD7"/>
    <w:rsid w:val="00742DE0"/>
    <w:rsid w:val="00743A10"/>
    <w:rsid w:val="00743BAD"/>
    <w:rsid w:val="00745A5F"/>
    <w:rsid w:val="007467B4"/>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1777"/>
    <w:rsid w:val="00772C87"/>
    <w:rsid w:val="00772D61"/>
    <w:rsid w:val="00775025"/>
    <w:rsid w:val="00775405"/>
    <w:rsid w:val="0077747C"/>
    <w:rsid w:val="00780787"/>
    <w:rsid w:val="007837C6"/>
    <w:rsid w:val="007838DA"/>
    <w:rsid w:val="0078463B"/>
    <w:rsid w:val="007853D4"/>
    <w:rsid w:val="007856C2"/>
    <w:rsid w:val="00786880"/>
    <w:rsid w:val="00787D54"/>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1ECB"/>
    <w:rsid w:val="007D2824"/>
    <w:rsid w:val="007D3C4B"/>
    <w:rsid w:val="007D4381"/>
    <w:rsid w:val="007D47D8"/>
    <w:rsid w:val="007D58A8"/>
    <w:rsid w:val="007E0597"/>
    <w:rsid w:val="007E0985"/>
    <w:rsid w:val="007E1BD7"/>
    <w:rsid w:val="007E1DEB"/>
    <w:rsid w:val="007E2E4D"/>
    <w:rsid w:val="007E403E"/>
    <w:rsid w:val="007E4B86"/>
    <w:rsid w:val="007E6E0D"/>
    <w:rsid w:val="007E7DC0"/>
    <w:rsid w:val="007F1FD4"/>
    <w:rsid w:val="007F246C"/>
    <w:rsid w:val="007F2A90"/>
    <w:rsid w:val="007F5265"/>
    <w:rsid w:val="007F7757"/>
    <w:rsid w:val="0080187D"/>
    <w:rsid w:val="00802495"/>
    <w:rsid w:val="0080293D"/>
    <w:rsid w:val="00803457"/>
    <w:rsid w:val="008042DB"/>
    <w:rsid w:val="00806D50"/>
    <w:rsid w:val="00807B4F"/>
    <w:rsid w:val="00807C44"/>
    <w:rsid w:val="00811D22"/>
    <w:rsid w:val="00811FC2"/>
    <w:rsid w:val="008144DD"/>
    <w:rsid w:val="0081485B"/>
    <w:rsid w:val="00815A4C"/>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2E9F"/>
    <w:rsid w:val="0085327B"/>
    <w:rsid w:val="00853B1E"/>
    <w:rsid w:val="00856CDB"/>
    <w:rsid w:val="00860243"/>
    <w:rsid w:val="00862ACA"/>
    <w:rsid w:val="00863B5C"/>
    <w:rsid w:val="00863E35"/>
    <w:rsid w:val="0086480C"/>
    <w:rsid w:val="0086680C"/>
    <w:rsid w:val="00866A4F"/>
    <w:rsid w:val="00866F44"/>
    <w:rsid w:val="00873EFF"/>
    <w:rsid w:val="008749E8"/>
    <w:rsid w:val="00876774"/>
    <w:rsid w:val="00876C6F"/>
    <w:rsid w:val="008803DA"/>
    <w:rsid w:val="00881794"/>
    <w:rsid w:val="00881CAD"/>
    <w:rsid w:val="00883A58"/>
    <w:rsid w:val="0089326A"/>
    <w:rsid w:val="0089358E"/>
    <w:rsid w:val="00893F67"/>
    <w:rsid w:val="00895E6F"/>
    <w:rsid w:val="0089703F"/>
    <w:rsid w:val="008A0297"/>
    <w:rsid w:val="008A034D"/>
    <w:rsid w:val="008A1004"/>
    <w:rsid w:val="008A15C2"/>
    <w:rsid w:val="008A2F96"/>
    <w:rsid w:val="008A34CB"/>
    <w:rsid w:val="008A3C14"/>
    <w:rsid w:val="008A474D"/>
    <w:rsid w:val="008A6766"/>
    <w:rsid w:val="008A6835"/>
    <w:rsid w:val="008B170E"/>
    <w:rsid w:val="008B19A0"/>
    <w:rsid w:val="008B37A1"/>
    <w:rsid w:val="008B467F"/>
    <w:rsid w:val="008B57B0"/>
    <w:rsid w:val="008C06CB"/>
    <w:rsid w:val="008C0C83"/>
    <w:rsid w:val="008C582D"/>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3330"/>
    <w:rsid w:val="009048BF"/>
    <w:rsid w:val="00911E06"/>
    <w:rsid w:val="009124E7"/>
    <w:rsid w:val="00912F15"/>
    <w:rsid w:val="00916633"/>
    <w:rsid w:val="00916658"/>
    <w:rsid w:val="00916674"/>
    <w:rsid w:val="00916D23"/>
    <w:rsid w:val="0091768B"/>
    <w:rsid w:val="00917ED4"/>
    <w:rsid w:val="009203C2"/>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3FB7"/>
    <w:rsid w:val="009551C5"/>
    <w:rsid w:val="00956636"/>
    <w:rsid w:val="00961FE9"/>
    <w:rsid w:val="009620C0"/>
    <w:rsid w:val="009628DB"/>
    <w:rsid w:val="00963312"/>
    <w:rsid w:val="0096386A"/>
    <w:rsid w:val="0096508A"/>
    <w:rsid w:val="00965ABF"/>
    <w:rsid w:val="00971A41"/>
    <w:rsid w:val="00975BE8"/>
    <w:rsid w:val="00976C07"/>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E02"/>
    <w:rsid w:val="009A151F"/>
    <w:rsid w:val="009A24BC"/>
    <w:rsid w:val="009A442C"/>
    <w:rsid w:val="009A5C07"/>
    <w:rsid w:val="009A6AF8"/>
    <w:rsid w:val="009A7EF0"/>
    <w:rsid w:val="009B2A92"/>
    <w:rsid w:val="009B3C05"/>
    <w:rsid w:val="009B46F6"/>
    <w:rsid w:val="009B5CB4"/>
    <w:rsid w:val="009B76F3"/>
    <w:rsid w:val="009B7753"/>
    <w:rsid w:val="009C2087"/>
    <w:rsid w:val="009C24FF"/>
    <w:rsid w:val="009C2DE1"/>
    <w:rsid w:val="009C3712"/>
    <w:rsid w:val="009C3BA8"/>
    <w:rsid w:val="009C3C64"/>
    <w:rsid w:val="009C66BD"/>
    <w:rsid w:val="009C721B"/>
    <w:rsid w:val="009D040F"/>
    <w:rsid w:val="009D043F"/>
    <w:rsid w:val="009D1603"/>
    <w:rsid w:val="009D23AF"/>
    <w:rsid w:val="009D4B0D"/>
    <w:rsid w:val="009D57EC"/>
    <w:rsid w:val="009D5839"/>
    <w:rsid w:val="009D5AD5"/>
    <w:rsid w:val="009D5F5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3011"/>
    <w:rsid w:val="009F45ED"/>
    <w:rsid w:val="009F71F1"/>
    <w:rsid w:val="00A02D1A"/>
    <w:rsid w:val="00A03078"/>
    <w:rsid w:val="00A0627A"/>
    <w:rsid w:val="00A10781"/>
    <w:rsid w:val="00A10C30"/>
    <w:rsid w:val="00A12BD8"/>
    <w:rsid w:val="00A15F64"/>
    <w:rsid w:val="00A24F5B"/>
    <w:rsid w:val="00A26353"/>
    <w:rsid w:val="00A26E89"/>
    <w:rsid w:val="00A274B4"/>
    <w:rsid w:val="00A27E5C"/>
    <w:rsid w:val="00A306EB"/>
    <w:rsid w:val="00A31484"/>
    <w:rsid w:val="00A31CA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87229"/>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A7814"/>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73A"/>
    <w:rsid w:val="00B13DEC"/>
    <w:rsid w:val="00B15AEE"/>
    <w:rsid w:val="00B15B9E"/>
    <w:rsid w:val="00B16386"/>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48A"/>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602F"/>
    <w:rsid w:val="00BA1A18"/>
    <w:rsid w:val="00BA45E6"/>
    <w:rsid w:val="00BA5E6F"/>
    <w:rsid w:val="00BB0D04"/>
    <w:rsid w:val="00BB29FA"/>
    <w:rsid w:val="00BB2CEB"/>
    <w:rsid w:val="00BB362A"/>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600C"/>
    <w:rsid w:val="00C27150"/>
    <w:rsid w:val="00C30469"/>
    <w:rsid w:val="00C3183C"/>
    <w:rsid w:val="00C31E3F"/>
    <w:rsid w:val="00C32359"/>
    <w:rsid w:val="00C32D5B"/>
    <w:rsid w:val="00C33E98"/>
    <w:rsid w:val="00C347F1"/>
    <w:rsid w:val="00C34842"/>
    <w:rsid w:val="00C36AEE"/>
    <w:rsid w:val="00C375CA"/>
    <w:rsid w:val="00C4298A"/>
    <w:rsid w:val="00C42F7B"/>
    <w:rsid w:val="00C441E0"/>
    <w:rsid w:val="00C44A9E"/>
    <w:rsid w:val="00C44AD6"/>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404"/>
    <w:rsid w:val="00C76FDB"/>
    <w:rsid w:val="00C76FE7"/>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517E"/>
    <w:rsid w:val="00C96032"/>
    <w:rsid w:val="00C96BDE"/>
    <w:rsid w:val="00CA27B9"/>
    <w:rsid w:val="00CA32FE"/>
    <w:rsid w:val="00CA4137"/>
    <w:rsid w:val="00CA5AE4"/>
    <w:rsid w:val="00CA6D14"/>
    <w:rsid w:val="00CA7D74"/>
    <w:rsid w:val="00CB02A1"/>
    <w:rsid w:val="00CB1797"/>
    <w:rsid w:val="00CB4B04"/>
    <w:rsid w:val="00CB6AD7"/>
    <w:rsid w:val="00CC03C4"/>
    <w:rsid w:val="00CC2643"/>
    <w:rsid w:val="00CC338D"/>
    <w:rsid w:val="00CC3C26"/>
    <w:rsid w:val="00CC43C5"/>
    <w:rsid w:val="00CC43CD"/>
    <w:rsid w:val="00CC4618"/>
    <w:rsid w:val="00CD1614"/>
    <w:rsid w:val="00CD1836"/>
    <w:rsid w:val="00CD275E"/>
    <w:rsid w:val="00CD2EF7"/>
    <w:rsid w:val="00CD38AB"/>
    <w:rsid w:val="00CD4100"/>
    <w:rsid w:val="00CD4338"/>
    <w:rsid w:val="00CD4809"/>
    <w:rsid w:val="00CE0942"/>
    <w:rsid w:val="00CE1EF9"/>
    <w:rsid w:val="00CE2CB1"/>
    <w:rsid w:val="00CE3ACF"/>
    <w:rsid w:val="00CE4292"/>
    <w:rsid w:val="00CE4DEB"/>
    <w:rsid w:val="00CE5752"/>
    <w:rsid w:val="00CE6F2D"/>
    <w:rsid w:val="00CF23B4"/>
    <w:rsid w:val="00CF242E"/>
    <w:rsid w:val="00CF413A"/>
    <w:rsid w:val="00CF4631"/>
    <w:rsid w:val="00CF5A3C"/>
    <w:rsid w:val="00CF5EFF"/>
    <w:rsid w:val="00D00106"/>
    <w:rsid w:val="00D00D33"/>
    <w:rsid w:val="00D01A8F"/>
    <w:rsid w:val="00D04072"/>
    <w:rsid w:val="00D10B82"/>
    <w:rsid w:val="00D12D20"/>
    <w:rsid w:val="00D14A68"/>
    <w:rsid w:val="00D163B0"/>
    <w:rsid w:val="00D208F5"/>
    <w:rsid w:val="00D210DB"/>
    <w:rsid w:val="00D225E2"/>
    <w:rsid w:val="00D226CC"/>
    <w:rsid w:val="00D234AD"/>
    <w:rsid w:val="00D24AC0"/>
    <w:rsid w:val="00D26124"/>
    <w:rsid w:val="00D27218"/>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50C3C"/>
    <w:rsid w:val="00D51356"/>
    <w:rsid w:val="00D517F0"/>
    <w:rsid w:val="00D5260D"/>
    <w:rsid w:val="00D54138"/>
    <w:rsid w:val="00D54334"/>
    <w:rsid w:val="00D544EC"/>
    <w:rsid w:val="00D55926"/>
    <w:rsid w:val="00D55EB1"/>
    <w:rsid w:val="00D57716"/>
    <w:rsid w:val="00D61EDC"/>
    <w:rsid w:val="00D62C7F"/>
    <w:rsid w:val="00D64254"/>
    <w:rsid w:val="00D67FCF"/>
    <w:rsid w:val="00D73509"/>
    <w:rsid w:val="00D73DBE"/>
    <w:rsid w:val="00D73E09"/>
    <w:rsid w:val="00D74290"/>
    <w:rsid w:val="00D76DB3"/>
    <w:rsid w:val="00D77C8D"/>
    <w:rsid w:val="00D87764"/>
    <w:rsid w:val="00D90653"/>
    <w:rsid w:val="00D92ED6"/>
    <w:rsid w:val="00D9599C"/>
    <w:rsid w:val="00DA53F8"/>
    <w:rsid w:val="00DA7843"/>
    <w:rsid w:val="00DA7E80"/>
    <w:rsid w:val="00DB0E66"/>
    <w:rsid w:val="00DB13CB"/>
    <w:rsid w:val="00DB523F"/>
    <w:rsid w:val="00DB52E0"/>
    <w:rsid w:val="00DB5E95"/>
    <w:rsid w:val="00DB6062"/>
    <w:rsid w:val="00DB799B"/>
    <w:rsid w:val="00DC1889"/>
    <w:rsid w:val="00DC1EEC"/>
    <w:rsid w:val="00DC2C56"/>
    <w:rsid w:val="00DC2D99"/>
    <w:rsid w:val="00DC57CD"/>
    <w:rsid w:val="00DC6593"/>
    <w:rsid w:val="00DD35B0"/>
    <w:rsid w:val="00DD4E7A"/>
    <w:rsid w:val="00DD6533"/>
    <w:rsid w:val="00DD718B"/>
    <w:rsid w:val="00DE15D8"/>
    <w:rsid w:val="00DE26D9"/>
    <w:rsid w:val="00DE3DF8"/>
    <w:rsid w:val="00DE50FF"/>
    <w:rsid w:val="00DE60DC"/>
    <w:rsid w:val="00DE68CB"/>
    <w:rsid w:val="00DF0955"/>
    <w:rsid w:val="00DF4973"/>
    <w:rsid w:val="00DF5AF0"/>
    <w:rsid w:val="00DF6030"/>
    <w:rsid w:val="00DF7E5D"/>
    <w:rsid w:val="00E00589"/>
    <w:rsid w:val="00E0220E"/>
    <w:rsid w:val="00E034D9"/>
    <w:rsid w:val="00E03FC8"/>
    <w:rsid w:val="00E04947"/>
    <w:rsid w:val="00E076DF"/>
    <w:rsid w:val="00E10927"/>
    <w:rsid w:val="00E128B1"/>
    <w:rsid w:val="00E14BF3"/>
    <w:rsid w:val="00E16410"/>
    <w:rsid w:val="00E205A3"/>
    <w:rsid w:val="00E207CD"/>
    <w:rsid w:val="00E2389F"/>
    <w:rsid w:val="00E25157"/>
    <w:rsid w:val="00E27F78"/>
    <w:rsid w:val="00E30B71"/>
    <w:rsid w:val="00E30F8E"/>
    <w:rsid w:val="00E33FC1"/>
    <w:rsid w:val="00E3518D"/>
    <w:rsid w:val="00E35BF8"/>
    <w:rsid w:val="00E36FAD"/>
    <w:rsid w:val="00E37A2B"/>
    <w:rsid w:val="00E40D81"/>
    <w:rsid w:val="00E42EA6"/>
    <w:rsid w:val="00E42FAC"/>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5ABA"/>
    <w:rsid w:val="00E87F99"/>
    <w:rsid w:val="00E87FCD"/>
    <w:rsid w:val="00E91C6A"/>
    <w:rsid w:val="00E94E34"/>
    <w:rsid w:val="00E957A4"/>
    <w:rsid w:val="00E97093"/>
    <w:rsid w:val="00EA0CF2"/>
    <w:rsid w:val="00EA3625"/>
    <w:rsid w:val="00EA3AE4"/>
    <w:rsid w:val="00EA4A33"/>
    <w:rsid w:val="00EA58E6"/>
    <w:rsid w:val="00EA5D83"/>
    <w:rsid w:val="00EA6184"/>
    <w:rsid w:val="00EA6BDC"/>
    <w:rsid w:val="00EB0C83"/>
    <w:rsid w:val="00EB1912"/>
    <w:rsid w:val="00EB1C08"/>
    <w:rsid w:val="00EB34A6"/>
    <w:rsid w:val="00EB4C2F"/>
    <w:rsid w:val="00EC04E3"/>
    <w:rsid w:val="00EC0D68"/>
    <w:rsid w:val="00EC1141"/>
    <w:rsid w:val="00EC11F9"/>
    <w:rsid w:val="00EC122D"/>
    <w:rsid w:val="00EC1979"/>
    <w:rsid w:val="00EC230D"/>
    <w:rsid w:val="00EC6B27"/>
    <w:rsid w:val="00EC700B"/>
    <w:rsid w:val="00EC7AEE"/>
    <w:rsid w:val="00ED1842"/>
    <w:rsid w:val="00ED1C59"/>
    <w:rsid w:val="00ED2C2E"/>
    <w:rsid w:val="00ED31BD"/>
    <w:rsid w:val="00ED3C90"/>
    <w:rsid w:val="00ED4385"/>
    <w:rsid w:val="00ED44A3"/>
    <w:rsid w:val="00ED6496"/>
    <w:rsid w:val="00EE038B"/>
    <w:rsid w:val="00EE2072"/>
    <w:rsid w:val="00EE2B2F"/>
    <w:rsid w:val="00EE3C59"/>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3F7C"/>
    <w:rsid w:val="00F252CD"/>
    <w:rsid w:val="00F2554C"/>
    <w:rsid w:val="00F27BD2"/>
    <w:rsid w:val="00F27FB1"/>
    <w:rsid w:val="00F3030A"/>
    <w:rsid w:val="00F31DEE"/>
    <w:rsid w:val="00F32BF6"/>
    <w:rsid w:val="00F33388"/>
    <w:rsid w:val="00F33E4D"/>
    <w:rsid w:val="00F34178"/>
    <w:rsid w:val="00F36284"/>
    <w:rsid w:val="00F36723"/>
    <w:rsid w:val="00F37D13"/>
    <w:rsid w:val="00F405E9"/>
    <w:rsid w:val="00F43533"/>
    <w:rsid w:val="00F440BC"/>
    <w:rsid w:val="00F462DB"/>
    <w:rsid w:val="00F5019F"/>
    <w:rsid w:val="00F50C29"/>
    <w:rsid w:val="00F51F05"/>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5973"/>
    <w:rsid w:val="00FA0F0D"/>
    <w:rsid w:val="00FA243A"/>
    <w:rsid w:val="00FA4C93"/>
    <w:rsid w:val="00FA5FC1"/>
    <w:rsid w:val="00FA7931"/>
    <w:rsid w:val="00FB012C"/>
    <w:rsid w:val="00FB2200"/>
    <w:rsid w:val="00FB37E2"/>
    <w:rsid w:val="00FB38ED"/>
    <w:rsid w:val="00FB72D9"/>
    <w:rsid w:val="00FB7E9F"/>
    <w:rsid w:val="00FC02BD"/>
    <w:rsid w:val="00FC0F42"/>
    <w:rsid w:val="00FC2365"/>
    <w:rsid w:val="00FC4CC6"/>
    <w:rsid w:val="00FC4FBB"/>
    <w:rsid w:val="00FC51AE"/>
    <w:rsid w:val="00FC53C7"/>
    <w:rsid w:val="00FC601F"/>
    <w:rsid w:val="00FC6545"/>
    <w:rsid w:val="00FC7E37"/>
    <w:rsid w:val="00FD0324"/>
    <w:rsid w:val="00FD071A"/>
    <w:rsid w:val="00FD3EF8"/>
    <w:rsid w:val="00FD54EB"/>
    <w:rsid w:val="00FE0BEA"/>
    <w:rsid w:val="00FE0D6A"/>
    <w:rsid w:val="00FE2C1F"/>
    <w:rsid w:val="00FE539F"/>
    <w:rsid w:val="00FF04B1"/>
    <w:rsid w:val="00FF0CC3"/>
    <w:rsid w:val="00FF0DE8"/>
    <w:rsid w:val="00FF11A9"/>
    <w:rsid w:val="00FF165F"/>
    <w:rsid w:val="00FF16DB"/>
    <w:rsid w:val="00FF2397"/>
    <w:rsid w:val="00FF3DDF"/>
    <w:rsid w:val="00FF4E26"/>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29B6C98"/>
    <w:rsid w:val="12BD9676"/>
    <w:rsid w:val="131FD8A5"/>
    <w:rsid w:val="13CB0A04"/>
    <w:rsid w:val="13F72327"/>
    <w:rsid w:val="1543CD3F"/>
    <w:rsid w:val="15BD4994"/>
    <w:rsid w:val="166451EE"/>
    <w:rsid w:val="16971CCD"/>
    <w:rsid w:val="16B4A4E5"/>
    <w:rsid w:val="16D612E6"/>
    <w:rsid w:val="173E4C25"/>
    <w:rsid w:val="177504D9"/>
    <w:rsid w:val="17897176"/>
    <w:rsid w:val="17D03F3F"/>
    <w:rsid w:val="17E67368"/>
    <w:rsid w:val="181E39F3"/>
    <w:rsid w:val="184778CF"/>
    <w:rsid w:val="1855D6E5"/>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F1DF7F"/>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02BE9A6-E9C6-42A5-81B9-764740A6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88F"/>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unhideWhenUsed/>
    <w:rsid w:val="00427079"/>
    <w:rPr>
      <w:b/>
      <w:bCs/>
    </w:rPr>
  </w:style>
  <w:style w:type="character" w:customStyle="1" w:styleId="CommentSubjectChar">
    <w:name w:val="Comment Subject Char"/>
    <w:basedOn w:val="CommentTextChar"/>
    <w:link w:val="CommentSubject"/>
    <w:uiPriority w:val="99"/>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iPriority w:val="99"/>
    <w:unhideWhenUsed/>
    <w:rsid w:val="005723B9"/>
    <w:pPr>
      <w:spacing w:after="0" w:line="240" w:lineRule="auto"/>
    </w:pPr>
    <w:rPr>
      <w:sz w:val="20"/>
      <w:szCs w:val="20"/>
    </w:rPr>
  </w:style>
  <w:style w:type="character" w:customStyle="1" w:styleId="FootnoteTextChar">
    <w:name w:val="Footnote Text Char"/>
    <w:basedOn w:val="DefaultParagraphFont"/>
    <w:link w:val="FootnoteText"/>
    <w:uiPriority w:val="99"/>
    <w:rsid w:val="005723B9"/>
    <w:rPr>
      <w:sz w:val="20"/>
      <w:szCs w:val="20"/>
    </w:rPr>
  </w:style>
  <w:style w:type="character" w:styleId="FootnoteReference">
    <w:name w:val="footnote reference"/>
    <w:basedOn w:val="DefaultParagraphFont"/>
    <w:uiPriority w:val="99"/>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5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customStyle="1" w:styleId="BodyText1">
    <w:name w:val="Body Text1"/>
    <w:basedOn w:val="Normal"/>
    <w:qFormat/>
    <w:rsid w:val="00150456"/>
    <w:pPr>
      <w:tabs>
        <w:tab w:val="left" w:pos="720"/>
      </w:tabs>
      <w:autoSpaceDE w:val="0"/>
      <w:autoSpaceDN w:val="0"/>
      <w:adjustRightInd w:val="0"/>
      <w:spacing w:before="120" w:after="120" w:line="240" w:lineRule="auto"/>
      <w:ind w:firstLine="720"/>
    </w:pPr>
    <w:rPr>
      <w:rFonts w:ascii="Times New Roman" w:eastAsia="Times New Roman" w:hAnsi="Times New Roman" w:cs="Times New Roman"/>
      <w:sz w:val="24"/>
      <w:szCs w:val="24"/>
    </w:rPr>
  </w:style>
  <w:style w:type="paragraph" w:customStyle="1" w:styleId="bullet1">
    <w:name w:val="bullet 1"/>
    <w:basedOn w:val="Normal"/>
    <w:qFormat/>
    <w:rsid w:val="00150456"/>
    <w:pPr>
      <w:numPr>
        <w:numId w:val="7"/>
      </w:numPr>
      <w:tabs>
        <w:tab w:val="left" w:pos="1080"/>
      </w:tabs>
      <w:autoSpaceDE w:val="0"/>
      <w:autoSpaceDN w:val="0"/>
      <w:adjustRightInd w:val="0"/>
      <w:spacing w:after="0" w:line="240" w:lineRule="auto"/>
      <w:ind w:left="1080"/>
    </w:pPr>
    <w:rPr>
      <w:rFonts w:ascii="Times New Roman" w:eastAsia="Times New Roman" w:hAnsi="Times New Roman" w:cs="Times New Roman"/>
      <w:sz w:val="24"/>
      <w:szCs w:val="24"/>
    </w:rPr>
  </w:style>
  <w:style w:type="paragraph" w:customStyle="1" w:styleId="numlist">
    <w:name w:val="num list"/>
    <w:basedOn w:val="Normal"/>
    <w:qFormat/>
    <w:rsid w:val="00150456"/>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character" w:customStyle="1" w:styleId="cf01">
    <w:name w:val="cf01"/>
    <w:basedOn w:val="DefaultParagraphFont"/>
    <w:rsid w:val="00D208F5"/>
    <w:rPr>
      <w:rFonts w:ascii="Segoe UI" w:hAnsi="Segoe UI" w:cs="Segoe UI" w:hint="default"/>
      <w:sz w:val="18"/>
      <w:szCs w:val="18"/>
    </w:rPr>
  </w:style>
  <w:style w:type="character" w:customStyle="1" w:styleId="Hypertext">
    <w:name w:val="Hypertext"/>
    <w:rsid w:val="0039497E"/>
    <w:rPr>
      <w:color w:val="0000FF"/>
      <w:u w:val="single"/>
    </w:rPr>
  </w:style>
  <w:style w:type="paragraph" w:customStyle="1" w:styleId="Level1">
    <w:name w:val="Level 1"/>
    <w:basedOn w:val="Normal"/>
    <w:rsid w:val="0039497E"/>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character" w:customStyle="1" w:styleId="1">
    <w:name w:val="1"/>
    <w:rsid w:val="0039497E"/>
  </w:style>
  <w:style w:type="paragraph" w:styleId="DocumentMap">
    <w:name w:val="Document Map"/>
    <w:basedOn w:val="Normal"/>
    <w:link w:val="DocumentMapChar"/>
    <w:rsid w:val="0039497E"/>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39497E"/>
    <w:rPr>
      <w:rFonts w:ascii="Tahoma" w:eastAsia="Times New Roman" w:hAnsi="Tahoma" w:cs="Tahoma"/>
      <w:sz w:val="16"/>
      <w:szCs w:val="16"/>
    </w:rPr>
  </w:style>
  <w:style w:type="character" w:customStyle="1" w:styleId="xmsoins">
    <w:name w:val="x_msoins"/>
    <w:basedOn w:val="DefaultParagraphFont"/>
    <w:rsid w:val="0039497E"/>
  </w:style>
  <w:style w:type="character" w:styleId="PageNumber">
    <w:name w:val="page number"/>
    <w:basedOn w:val="DefaultParagraphFont"/>
    <w:rsid w:val="0039497E"/>
  </w:style>
  <w:style w:type="paragraph" w:styleId="NormalWeb">
    <w:name w:val="Normal (Web)"/>
    <w:basedOn w:val="Normal"/>
    <w:uiPriority w:val="99"/>
    <w:unhideWhenUsed/>
    <w:rsid w:val="0039497E"/>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793673E6-4982-4D97-9C69-C2B260541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30</Pages>
  <Words>10904</Words>
  <Characters>58123</Characters>
  <Application>Microsoft Office Word</Application>
  <DocSecurity>0</DocSecurity>
  <Lines>2152</Lines>
  <Paragraphs>1278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67749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10</cp:revision>
  <dcterms:created xsi:type="dcterms:W3CDTF">2024-01-23T01:05:00Z</dcterms:created>
  <dcterms:modified xsi:type="dcterms:W3CDTF">2024-01-24T13:16:00Z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