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5937" w:rsidRPr="00880795" w14:paraId="77AA2665" w14:textId="681B3F5D">
      <w:pPr>
        <w:rPr>
          <w:sz w:val="24"/>
          <w:szCs w:val="24"/>
        </w:rPr>
      </w:pPr>
      <w:r w:rsidRPr="00880795">
        <w:rPr>
          <w:sz w:val="24"/>
          <w:szCs w:val="24"/>
        </w:rPr>
        <w:t xml:space="preserve">As posted at </w:t>
      </w:r>
      <w:hyperlink r:id="rId4" w:history="1">
        <w:r w:rsidRPr="00880795">
          <w:rPr>
            <w:rStyle w:val="Hyperlink"/>
            <w:sz w:val="24"/>
            <w:szCs w:val="24"/>
          </w:rPr>
          <w:t>https://www.ttb.gov/forms/tips-for-form-5000-24</w:t>
        </w:r>
      </w:hyperlink>
      <w:r>
        <w:rPr>
          <w:sz w:val="24"/>
          <w:szCs w:val="24"/>
        </w:rPr>
        <w:t xml:space="preserve"> (01/16/2024)</w:t>
      </w:r>
      <w:r w:rsidRPr="00880795">
        <w:rPr>
          <w:sz w:val="24"/>
          <w:szCs w:val="24"/>
        </w:rPr>
        <w:t xml:space="preserve">. </w:t>
      </w:r>
    </w:p>
    <w:p w:rsidR="00880795" w14:paraId="472A0EA2" w14:textId="338032DF"/>
    <w:p w:rsidR="00880795" w:rsidRPr="00880795" w:rsidP="00880795" w14:paraId="57E89C2D" w14:textId="77777777">
      <w:pPr>
        <w:shd w:val="clear" w:color="auto" w:fill="FFFFFF"/>
        <w:spacing w:before="161" w:after="161" w:line="240" w:lineRule="auto"/>
        <w:outlineLvl w:val="0"/>
        <w:rPr>
          <w:rFonts w:ascii="Merriweather Sans" w:eastAsia="Times New Roman" w:hAnsi="Merriweather Sans" w:cs="Times New Roman"/>
          <w:b/>
          <w:bCs/>
          <w:color w:val="3D3D3D"/>
          <w:kern w:val="36"/>
          <w:sz w:val="48"/>
          <w:szCs w:val="48"/>
        </w:rPr>
      </w:pPr>
      <w:r w:rsidRPr="00880795">
        <w:rPr>
          <w:rFonts w:ascii="Merriweather Sans" w:eastAsia="Times New Roman" w:hAnsi="Merriweather Sans" w:cs="Times New Roman"/>
          <w:b/>
          <w:bCs/>
          <w:color w:val="3D3D3D"/>
          <w:kern w:val="36"/>
          <w:sz w:val="48"/>
          <w:szCs w:val="48"/>
        </w:rPr>
        <w:t>Helpful Hints in Preparing Form 5000.24, Excise Tax Return</w:t>
      </w:r>
    </w:p>
    <w:p w:rsidR="00880795" w:rsidRPr="00880795" w:rsidP="00880795" w14:paraId="11BC5A85" w14:textId="77777777">
      <w:pPr>
        <w:shd w:val="clear" w:color="auto" w:fill="FFFFFF"/>
        <w:spacing w:after="150"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b/>
          <w:bCs/>
          <w:color w:val="1B1B1B"/>
          <w:sz w:val="24"/>
          <w:szCs w:val="24"/>
        </w:rPr>
        <w:t>Taxpayer Reminder – Send Returns and Payments to the Correct Address</w:t>
      </w:r>
    </w:p>
    <w:p w:rsidR="00880795" w:rsidRPr="00880795" w:rsidP="00880795" w14:paraId="01E95093" w14:textId="77777777">
      <w:pPr>
        <w:shd w:val="clear" w:color="auto" w:fill="FFFFFF"/>
        <w:spacing w:after="150"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When filing your TTB excise tax returns and payments by mail, please be sure to use the correct address.  TTB Excise Tax Returns and payments must be mailed to:</w:t>
      </w:r>
    </w:p>
    <w:p w:rsidR="00880795" w:rsidRPr="00880795" w:rsidP="00880795" w14:paraId="6EC4C9FA" w14:textId="77777777">
      <w:pPr>
        <w:shd w:val="clear" w:color="auto" w:fill="FFFFFF"/>
        <w:spacing w:after="150"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TTB</w:t>
      </w:r>
      <w:r w:rsidRPr="00880795">
        <w:rPr>
          <w:rFonts w:ascii="Public Sans" w:eastAsia="Times New Roman" w:hAnsi="Public Sans" w:cs="Times New Roman"/>
          <w:color w:val="1B1B1B"/>
          <w:sz w:val="24"/>
          <w:szCs w:val="24"/>
        </w:rPr>
        <w:br/>
        <w:t>Excise Tax</w:t>
      </w:r>
      <w:r w:rsidRPr="00880795">
        <w:rPr>
          <w:rFonts w:ascii="Public Sans" w:eastAsia="Times New Roman" w:hAnsi="Public Sans" w:cs="Times New Roman"/>
          <w:color w:val="1B1B1B"/>
          <w:sz w:val="24"/>
          <w:szCs w:val="24"/>
        </w:rPr>
        <w:br/>
        <w:t>P.O. Box 790353</w:t>
      </w:r>
      <w:r w:rsidRPr="00880795">
        <w:rPr>
          <w:rFonts w:ascii="Public Sans" w:eastAsia="Times New Roman" w:hAnsi="Public Sans" w:cs="Times New Roman"/>
          <w:color w:val="1B1B1B"/>
          <w:sz w:val="24"/>
          <w:szCs w:val="24"/>
        </w:rPr>
        <w:br/>
        <w:t>St. Louis, MO  63179-0353</w:t>
      </w:r>
    </w:p>
    <w:p w:rsidR="00880795" w:rsidRPr="00880795" w:rsidP="00880795" w14:paraId="0E856CF8" w14:textId="77777777">
      <w:pPr>
        <w:shd w:val="clear" w:color="auto" w:fill="FFFFFF"/>
        <w:spacing w:after="150"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b/>
          <w:bCs/>
          <w:color w:val="1B1B1B"/>
          <w:sz w:val="24"/>
          <w:szCs w:val="24"/>
        </w:rPr>
        <w:t>Please DO NOT mail returns and/or payments to the National Revenue Center in Cincinnati, Ohio.</w:t>
      </w:r>
    </w:p>
    <w:p w:rsidR="00880795" w:rsidRPr="00880795" w:rsidP="00880795" w14:paraId="2FB214ED" w14:textId="77777777">
      <w:pPr>
        <w:shd w:val="clear" w:color="auto" w:fill="FFFFFF"/>
        <w:spacing w:after="150" w:line="240" w:lineRule="auto"/>
        <w:rPr>
          <w:rFonts w:ascii="Public Sans" w:eastAsia="Times New Roman" w:hAnsi="Public Sans" w:cs="Times New Roman"/>
          <w:b/>
          <w:bCs/>
          <w:color w:val="D0021B"/>
          <w:sz w:val="24"/>
          <w:szCs w:val="24"/>
        </w:rPr>
      </w:pPr>
      <w:r w:rsidRPr="00880795">
        <w:rPr>
          <w:rFonts w:ascii="Public Sans" w:eastAsia="Times New Roman" w:hAnsi="Public Sans" w:cs="Times New Roman"/>
          <w:b/>
          <w:bCs/>
          <w:color w:val="D0021B"/>
          <w:sz w:val="24"/>
          <w:szCs w:val="24"/>
        </w:rPr>
        <w:t>Late returns or payment are subject to penalties and interest.</w:t>
      </w:r>
    </w:p>
    <w:p w:rsidR="00880795" w:rsidRPr="00880795" w:rsidP="00880795" w14:paraId="5DD98FBA" w14:textId="77777777">
      <w:pPr>
        <w:shd w:val="clear" w:color="auto" w:fill="FFFFFF"/>
        <w:spacing w:after="150"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Once you have downloaded </w:t>
      </w:r>
      <w:hyperlink r:id="rId5" w:tgtFrame="_blank" w:history="1">
        <w:r w:rsidRPr="00880795">
          <w:rPr>
            <w:rFonts w:ascii="Public Sans" w:eastAsia="Times New Roman" w:hAnsi="Public Sans" w:cs="Times New Roman"/>
            <w:color w:val="0053A2"/>
            <w:sz w:val="24"/>
            <w:szCs w:val="24"/>
            <w:u w:val="single"/>
          </w:rPr>
          <w:t>TTB F 5000.24, Excise Tax Return</w:t>
        </w:r>
      </w:hyperlink>
      <w:r w:rsidRPr="00880795">
        <w:rPr>
          <w:rFonts w:ascii="Public Sans" w:eastAsia="Times New Roman" w:hAnsi="Public Sans" w:cs="Times New Roman"/>
          <w:color w:val="1B1B1B"/>
          <w:sz w:val="24"/>
          <w:szCs w:val="24"/>
        </w:rPr>
        <w:t>, please read the form carefully and complete </w:t>
      </w:r>
      <w:r w:rsidRPr="00880795">
        <w:rPr>
          <w:rFonts w:ascii="Public Sans" w:eastAsia="Times New Roman" w:hAnsi="Public Sans" w:cs="Times New Roman"/>
          <w:b/>
          <w:bCs/>
          <w:color w:val="1B1B1B"/>
          <w:sz w:val="24"/>
          <w:szCs w:val="24"/>
        </w:rPr>
        <w:t>all</w:t>
      </w:r>
      <w:r w:rsidRPr="00880795">
        <w:rPr>
          <w:rFonts w:ascii="Public Sans" w:eastAsia="Times New Roman" w:hAnsi="Public Sans" w:cs="Times New Roman"/>
          <w:color w:val="1B1B1B"/>
          <w:sz w:val="24"/>
          <w:szCs w:val="24"/>
        </w:rPr>
        <w:t> items that apply. See the </w:t>
      </w:r>
      <w:hyperlink r:id="rId6" w:tooltip="schedule of due dates" w:history="1">
        <w:r w:rsidRPr="00880795">
          <w:rPr>
            <w:rFonts w:ascii="Public Sans" w:eastAsia="Times New Roman" w:hAnsi="Public Sans" w:cs="Times New Roman"/>
            <w:color w:val="0053A2"/>
            <w:sz w:val="24"/>
            <w:szCs w:val="24"/>
            <w:u w:val="single"/>
          </w:rPr>
          <w:t>schedule of due dates</w:t>
        </w:r>
      </w:hyperlink>
      <w:r w:rsidRPr="00880795">
        <w:rPr>
          <w:rFonts w:ascii="Public Sans" w:eastAsia="Times New Roman" w:hAnsi="Public Sans" w:cs="Times New Roman"/>
          <w:color w:val="1B1B1B"/>
          <w:sz w:val="24"/>
          <w:szCs w:val="24"/>
        </w:rPr>
        <w:t> and refer to the latest </w:t>
      </w:r>
      <w:hyperlink r:id="rId7" w:tooltip="tax rates" w:history="1">
        <w:r w:rsidRPr="00880795">
          <w:rPr>
            <w:rFonts w:ascii="Public Sans" w:eastAsia="Times New Roman" w:hAnsi="Public Sans" w:cs="Times New Roman"/>
            <w:color w:val="0053A2"/>
            <w:sz w:val="24"/>
            <w:szCs w:val="24"/>
            <w:u w:val="single"/>
          </w:rPr>
          <w:t>tax rates</w:t>
        </w:r>
      </w:hyperlink>
      <w:r w:rsidRPr="00880795">
        <w:rPr>
          <w:rFonts w:ascii="Public Sans" w:eastAsia="Times New Roman" w:hAnsi="Public Sans" w:cs="Times New Roman"/>
          <w:color w:val="1B1B1B"/>
          <w:sz w:val="24"/>
          <w:szCs w:val="24"/>
        </w:rPr>
        <w:t> to assist with determining your taxes.</w:t>
      </w:r>
    </w:p>
    <w:p w:rsidR="00880795" w:rsidRPr="00880795" w:rsidP="00880795" w14:paraId="7E6BC548" w14:textId="77777777">
      <w:pPr>
        <w:shd w:val="clear" w:color="auto" w:fill="FFFFFF"/>
        <w:spacing w:after="150"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The following items cover errors commonly found on excise tax returns:</w:t>
      </w:r>
    </w:p>
    <w:p w:rsidR="00880795" w:rsidRPr="00880795" w:rsidP="00880795" w14:paraId="077C5EE2" w14:textId="77777777">
      <w:pPr>
        <w:numPr>
          <w:ilvl w:val="0"/>
          <w:numId w:val="1"/>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The serial number in item 1 must begin with </w:t>
      </w:r>
      <w:r w:rsidRPr="00880795">
        <w:rPr>
          <w:rFonts w:ascii="Public Sans" w:eastAsia="Times New Roman" w:hAnsi="Public Sans" w:cs="Times New Roman"/>
          <w:b/>
          <w:bCs/>
          <w:color w:val="1B1B1B"/>
          <w:sz w:val="24"/>
          <w:szCs w:val="24"/>
        </w:rPr>
        <w:t>the year, then followed</w:t>
      </w:r>
      <w:r w:rsidRPr="00880795">
        <w:rPr>
          <w:rFonts w:ascii="Public Sans" w:eastAsia="Times New Roman" w:hAnsi="Public Sans" w:cs="Times New Roman"/>
          <w:color w:val="1B1B1B"/>
          <w:sz w:val="24"/>
          <w:szCs w:val="24"/>
        </w:rPr>
        <w:t> by number 1 at the beginning of operations, and again at the beginning of each calendar year. After the first year, the serial number will match that shown on the due date schedule for the period. Pre-payments are numbered sequentially, returning to number 1 each new calendar year.</w:t>
      </w:r>
    </w:p>
    <w:p w:rsidR="00880795" w:rsidRPr="00880795" w:rsidP="00880795" w14:paraId="4950C42A" w14:textId="77777777">
      <w:pPr>
        <w:numPr>
          <w:ilvl w:val="0"/>
          <w:numId w:val="1"/>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 xml:space="preserve">Check the proper method of payment in item 2. Check “other” and specify “none” if filing a </w:t>
      </w:r>
      <w:r w:rsidRPr="00880795">
        <w:rPr>
          <w:rFonts w:ascii="Public Sans" w:eastAsia="Times New Roman" w:hAnsi="Public Sans" w:cs="Times New Roman"/>
          <w:color w:val="1B1B1B"/>
          <w:sz w:val="24"/>
          <w:szCs w:val="24"/>
        </w:rPr>
        <w:t>zero balance</w:t>
      </w:r>
      <w:r w:rsidRPr="00880795">
        <w:rPr>
          <w:rFonts w:ascii="Public Sans" w:eastAsia="Times New Roman" w:hAnsi="Public Sans" w:cs="Times New Roman"/>
          <w:color w:val="1B1B1B"/>
          <w:sz w:val="24"/>
          <w:szCs w:val="24"/>
        </w:rPr>
        <w:t xml:space="preserve"> return.</w:t>
      </w:r>
    </w:p>
    <w:p w:rsidR="00880795" w:rsidRPr="00880795" w:rsidP="00880795" w14:paraId="3A8264B6" w14:textId="77777777">
      <w:pPr>
        <w:numPr>
          <w:ilvl w:val="0"/>
          <w:numId w:val="1"/>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Check the appropriate box in item 4 and list the dates covered by the return. Return periods will be the 1st through 15th day of the month and the 16th through the last day of the month, except for September, which requires 3 returns for semimonthly filers.</w:t>
      </w:r>
    </w:p>
    <w:p w:rsidR="00880795" w:rsidRPr="00880795" w:rsidP="00880795" w14:paraId="375E71B6" w14:textId="77777777">
      <w:pPr>
        <w:numPr>
          <w:ilvl w:val="0"/>
          <w:numId w:val="1"/>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Item 8 should show the complete premises address as shown on your approved notice or permit.</w:t>
      </w:r>
    </w:p>
    <w:p w:rsidR="00880795" w:rsidRPr="00880795" w:rsidP="00880795" w14:paraId="3D3D138E" w14:textId="77777777">
      <w:pPr>
        <w:numPr>
          <w:ilvl w:val="0"/>
          <w:numId w:val="1"/>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You should </w:t>
      </w:r>
      <w:r w:rsidRPr="00880795">
        <w:rPr>
          <w:rFonts w:ascii="Public Sans" w:eastAsia="Times New Roman" w:hAnsi="Public Sans" w:cs="Times New Roman"/>
          <w:b/>
          <w:bCs/>
          <w:color w:val="1B1B1B"/>
          <w:sz w:val="24"/>
          <w:szCs w:val="24"/>
        </w:rPr>
        <w:t>always</w:t>
      </w:r>
      <w:r w:rsidRPr="00880795">
        <w:rPr>
          <w:rFonts w:ascii="Public Sans" w:eastAsia="Times New Roman" w:hAnsi="Public Sans" w:cs="Times New Roman"/>
          <w:color w:val="1B1B1B"/>
          <w:sz w:val="24"/>
          <w:szCs w:val="24"/>
        </w:rPr>
        <w:t> have an entry on:</w:t>
      </w:r>
    </w:p>
    <w:p w:rsidR="00880795" w:rsidRPr="00880795" w:rsidP="00880795" w14:paraId="6B241084" w14:textId="77777777">
      <w:pPr>
        <w:numPr>
          <w:ilvl w:val="0"/>
          <w:numId w:val="2"/>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b/>
          <w:bCs/>
          <w:color w:val="1B1B1B"/>
          <w:sz w:val="24"/>
          <w:szCs w:val="24"/>
        </w:rPr>
        <w:t>Line 9 for Distilled Spirits</w:t>
      </w:r>
      <w:r w:rsidRPr="00880795">
        <w:rPr>
          <w:rFonts w:ascii="Public Sans" w:eastAsia="Times New Roman" w:hAnsi="Public Sans" w:cs="Times New Roman"/>
          <w:color w:val="1B1B1B"/>
          <w:sz w:val="24"/>
          <w:szCs w:val="24"/>
        </w:rPr>
        <w:t> – Indicates the total number of proof gallons of spirits removed from the bonded premises for consumption or sale, multiplied by $13.50, less any credits allowed by 26 U.S.C. 5010; or</w:t>
      </w:r>
    </w:p>
    <w:p w:rsidR="00880795" w:rsidRPr="00880795" w:rsidP="00880795" w14:paraId="619A814D" w14:textId="77777777">
      <w:pPr>
        <w:numPr>
          <w:ilvl w:val="1"/>
          <w:numId w:val="2"/>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b/>
          <w:bCs/>
          <w:color w:val="1B1B1B"/>
          <w:sz w:val="24"/>
          <w:szCs w:val="24"/>
        </w:rPr>
        <w:t>Line 9 for Distilled Spirits</w:t>
      </w:r>
      <w:r w:rsidRPr="00880795">
        <w:rPr>
          <w:rFonts w:ascii="Public Sans" w:eastAsia="Times New Roman" w:hAnsi="Public Sans" w:cs="Times New Roman"/>
          <w:color w:val="1B1B1B"/>
          <w:sz w:val="24"/>
          <w:szCs w:val="24"/>
        </w:rPr>
        <w:t> – Indicates the total number of proof gallons of spirits removed from the bonded premises for consumption or sale, multiplied by the applicable tax rate ($2.70, $13.34 or $13.50, depending on the distilled spirits distilled or processed and removed during the calendar year), less any credits allowed by 26 U.S.C. 5010 (</w:t>
      </w:r>
      <w:hyperlink r:id="rId8" w:anchor="ds" w:history="1">
        <w:r w:rsidRPr="00880795">
          <w:rPr>
            <w:rFonts w:ascii="Public Sans" w:eastAsia="Times New Roman" w:hAnsi="Public Sans" w:cs="Times New Roman"/>
            <w:color w:val="0053A2"/>
            <w:sz w:val="24"/>
            <w:szCs w:val="24"/>
            <w:u w:val="single"/>
          </w:rPr>
          <w:t>click here for current spirits tax rates</w:t>
        </w:r>
      </w:hyperlink>
      <w:r w:rsidRPr="00880795">
        <w:rPr>
          <w:rFonts w:ascii="Public Sans" w:eastAsia="Times New Roman" w:hAnsi="Public Sans" w:cs="Times New Roman"/>
          <w:color w:val="1B1B1B"/>
          <w:sz w:val="24"/>
          <w:szCs w:val="24"/>
        </w:rPr>
        <w:t>); or</w:t>
      </w:r>
    </w:p>
    <w:p w:rsidR="00880795" w:rsidRPr="00880795" w:rsidP="00880795" w14:paraId="7F5F4FCB" w14:textId="77777777">
      <w:pPr>
        <w:numPr>
          <w:ilvl w:val="0"/>
          <w:numId w:val="2"/>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b/>
          <w:bCs/>
          <w:color w:val="1B1B1B"/>
          <w:sz w:val="24"/>
          <w:szCs w:val="24"/>
        </w:rPr>
        <w:t>Line 10 for Wine</w:t>
      </w:r>
      <w:r w:rsidRPr="00880795">
        <w:rPr>
          <w:rFonts w:ascii="Public Sans" w:eastAsia="Times New Roman" w:hAnsi="Public Sans" w:cs="Times New Roman"/>
          <w:color w:val="1B1B1B"/>
          <w:sz w:val="24"/>
          <w:szCs w:val="24"/>
        </w:rPr>
        <w:t> – Indicates the total number of bulk or bottled gallons of wine removed for consumption or sale during the calendar year, multiplied by tax rates listed in 26 U.S.C. 5041(b) (</w:t>
      </w:r>
      <w:hyperlink r:id="rId8" w:anchor="wine" w:history="1">
        <w:r w:rsidRPr="00880795">
          <w:rPr>
            <w:rFonts w:ascii="Public Sans" w:eastAsia="Times New Roman" w:hAnsi="Public Sans" w:cs="Times New Roman"/>
            <w:color w:val="0053A2"/>
            <w:sz w:val="24"/>
            <w:szCs w:val="24"/>
            <w:u w:val="single"/>
          </w:rPr>
          <w:t>click here for current wine tax rates</w:t>
        </w:r>
      </w:hyperlink>
      <w:r w:rsidRPr="00880795">
        <w:rPr>
          <w:rFonts w:ascii="Public Sans" w:eastAsia="Times New Roman" w:hAnsi="Public Sans" w:cs="Times New Roman"/>
          <w:color w:val="1B1B1B"/>
          <w:sz w:val="24"/>
          <w:szCs w:val="24"/>
        </w:rPr>
        <w:t>); or</w:t>
      </w:r>
    </w:p>
    <w:p w:rsidR="00880795" w:rsidRPr="00880795" w:rsidP="00880795" w14:paraId="0685235F" w14:textId="77777777">
      <w:pPr>
        <w:numPr>
          <w:ilvl w:val="0"/>
          <w:numId w:val="2"/>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b/>
          <w:bCs/>
          <w:color w:val="1B1B1B"/>
          <w:sz w:val="24"/>
          <w:szCs w:val="24"/>
        </w:rPr>
        <w:t>Line 11 for Beer</w:t>
      </w:r>
      <w:r w:rsidRPr="00880795">
        <w:rPr>
          <w:rFonts w:ascii="Public Sans" w:eastAsia="Times New Roman" w:hAnsi="Public Sans" w:cs="Times New Roman"/>
          <w:color w:val="1B1B1B"/>
          <w:sz w:val="24"/>
          <w:szCs w:val="24"/>
        </w:rPr>
        <w:t> – Indicates the total number of barrels of beer removed for consumption or sale multiplied by the applicable tax rate ($3.50, $16 or $18 , depending upon the rate of production and other factors, such as controlled group rule (</w:t>
      </w:r>
      <w:hyperlink r:id="rId8" w:anchor="beer" w:history="1">
        <w:r w:rsidRPr="00880795">
          <w:rPr>
            <w:rFonts w:ascii="Public Sans" w:eastAsia="Times New Roman" w:hAnsi="Public Sans" w:cs="Times New Roman"/>
            <w:color w:val="0053A2"/>
            <w:sz w:val="24"/>
            <w:szCs w:val="24"/>
            <w:u w:val="single"/>
          </w:rPr>
          <w:t>click here for current beer tax rates</w:t>
        </w:r>
      </w:hyperlink>
      <w:r w:rsidRPr="00880795">
        <w:rPr>
          <w:rFonts w:ascii="Public Sans" w:eastAsia="Times New Roman" w:hAnsi="Public Sans" w:cs="Times New Roman"/>
          <w:color w:val="1B1B1B"/>
          <w:sz w:val="24"/>
          <w:szCs w:val="24"/>
        </w:rPr>
        <w:t>) ; or</w:t>
      </w:r>
    </w:p>
    <w:p w:rsidR="00880795" w:rsidRPr="00880795" w:rsidP="00880795" w14:paraId="3CAABA78" w14:textId="77777777">
      <w:pPr>
        <w:numPr>
          <w:ilvl w:val="0"/>
          <w:numId w:val="2"/>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b/>
          <w:bCs/>
          <w:color w:val="1B1B1B"/>
          <w:sz w:val="24"/>
          <w:szCs w:val="24"/>
        </w:rPr>
        <w:t>Lines 12 – 16 for Tobacco</w:t>
      </w:r>
      <w:r w:rsidRPr="00880795">
        <w:rPr>
          <w:rFonts w:ascii="Public Sans" w:eastAsia="Times New Roman" w:hAnsi="Public Sans" w:cs="Times New Roman"/>
          <w:color w:val="1B1B1B"/>
          <w:sz w:val="24"/>
          <w:szCs w:val="24"/>
        </w:rPr>
        <w:t> – Indicates the total number of small cigars and cigarettes removed subject to tax, divided by 1,000, then multiplied by the appropriate tax rate listed in 26 U.S.C. 5701 (a) and (b). For large cigars (those weighing more than three pounds per thousand), the tax is 52.75% of the price for which sold, but not more than 40.26 cents per cigar. For pipe tobacco, roll your own tobacco, and smokeless tobacco products, line 15 or 16 (as appropriate) should equal the number of pounds removed subject to tax, multiplied by the appropriate tax rate listed in 26 U.S.C. 5701 (f), (g) and (e), respectively (</w:t>
      </w:r>
      <w:hyperlink r:id="rId8" w:anchor="tobacco" w:history="1">
        <w:r w:rsidRPr="00880795">
          <w:rPr>
            <w:rFonts w:ascii="Public Sans" w:eastAsia="Times New Roman" w:hAnsi="Public Sans" w:cs="Times New Roman"/>
            <w:color w:val="0053A2"/>
            <w:sz w:val="24"/>
            <w:szCs w:val="24"/>
            <w:u w:val="single"/>
          </w:rPr>
          <w:t>click here for current tobacco tax rates</w:t>
        </w:r>
      </w:hyperlink>
      <w:r w:rsidRPr="00880795">
        <w:rPr>
          <w:rFonts w:ascii="Public Sans" w:eastAsia="Times New Roman" w:hAnsi="Public Sans" w:cs="Times New Roman"/>
          <w:color w:val="1B1B1B"/>
          <w:sz w:val="24"/>
          <w:szCs w:val="24"/>
        </w:rPr>
        <w:t>).</w:t>
      </w:r>
    </w:p>
    <w:p w:rsidR="00880795" w:rsidRPr="00880795" w:rsidP="00880795" w14:paraId="7CC067F4" w14:textId="77777777">
      <w:pPr>
        <w:numPr>
          <w:ilvl w:val="0"/>
          <w:numId w:val="2"/>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b/>
          <w:bCs/>
          <w:color w:val="1B1B1B"/>
          <w:sz w:val="24"/>
          <w:szCs w:val="24"/>
        </w:rPr>
        <w:t>Lines 17, 19, and 21</w:t>
      </w:r>
      <w:r w:rsidRPr="00880795">
        <w:rPr>
          <w:rFonts w:ascii="Public Sans" w:eastAsia="Times New Roman" w:hAnsi="Public Sans" w:cs="Times New Roman"/>
          <w:color w:val="1B1B1B"/>
          <w:sz w:val="24"/>
          <w:szCs w:val="24"/>
        </w:rPr>
        <w:t>, even if the amount is zero. (Entries will be on line 18 or 20 only if explained in Schedule A or B.</w:t>
      </w:r>
    </w:p>
    <w:p w:rsidR="00880795" w:rsidRPr="00880795" w:rsidP="00880795" w14:paraId="7C60FE16" w14:textId="77777777">
      <w:pPr>
        <w:numPr>
          <w:ilvl w:val="0"/>
          <w:numId w:val="3"/>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The person signing the return must have signing authority on file with TTB. Stamped or photocopied signatures </w:t>
      </w:r>
      <w:r w:rsidRPr="00880795">
        <w:rPr>
          <w:rFonts w:ascii="Public Sans" w:eastAsia="Times New Roman" w:hAnsi="Public Sans" w:cs="Times New Roman"/>
          <w:b/>
          <w:bCs/>
          <w:color w:val="1B1B1B"/>
          <w:sz w:val="24"/>
          <w:szCs w:val="24"/>
        </w:rPr>
        <w:t>cannot</w:t>
      </w:r>
      <w:r w:rsidRPr="00880795">
        <w:rPr>
          <w:rFonts w:ascii="Public Sans" w:eastAsia="Times New Roman" w:hAnsi="Public Sans" w:cs="Times New Roman"/>
          <w:color w:val="1B1B1B"/>
          <w:sz w:val="24"/>
          <w:szCs w:val="24"/>
        </w:rPr>
        <w:t> be accepted.</w:t>
      </w:r>
    </w:p>
    <w:p w:rsidR="00880795" w:rsidRPr="00880795" w:rsidP="00880795" w14:paraId="30009B56" w14:textId="77777777">
      <w:pPr>
        <w:numPr>
          <w:ilvl w:val="0"/>
          <w:numId w:val="3"/>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Late returns or payments are subject to penalties and interest.</w:t>
      </w:r>
    </w:p>
    <w:p w:rsidR="00880795" w:rsidRPr="00880795" w:rsidP="00880795" w14:paraId="22540A23" w14:textId="77777777">
      <w:pPr>
        <w:numPr>
          <w:ilvl w:val="0"/>
          <w:numId w:val="3"/>
        </w:numPr>
        <w:shd w:val="clear" w:color="auto" w:fill="FFFFFF"/>
        <w:spacing w:before="100" w:beforeAutospacing="1" w:after="100" w:afterAutospacing="1"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Please mail your tax return to:</w:t>
      </w:r>
      <w:r w:rsidRPr="00880795">
        <w:rPr>
          <w:rFonts w:ascii="Public Sans" w:eastAsia="Times New Roman" w:hAnsi="Public Sans" w:cs="Times New Roman"/>
          <w:color w:val="1B1B1B"/>
          <w:sz w:val="24"/>
          <w:szCs w:val="24"/>
        </w:rPr>
        <w:br/>
        <w:t>Alcohol and Tobacco Tax and Trade Bureau</w:t>
      </w:r>
      <w:r w:rsidRPr="00880795">
        <w:rPr>
          <w:rFonts w:ascii="Public Sans" w:eastAsia="Times New Roman" w:hAnsi="Public Sans" w:cs="Times New Roman"/>
          <w:color w:val="1B1B1B"/>
          <w:sz w:val="24"/>
          <w:szCs w:val="24"/>
        </w:rPr>
        <w:br/>
        <w:t>Excise Tax</w:t>
      </w:r>
      <w:r w:rsidRPr="00880795">
        <w:rPr>
          <w:rFonts w:ascii="Public Sans" w:eastAsia="Times New Roman" w:hAnsi="Public Sans" w:cs="Times New Roman"/>
          <w:color w:val="1B1B1B"/>
          <w:sz w:val="24"/>
          <w:szCs w:val="24"/>
        </w:rPr>
        <w:br/>
        <w:t>P.O. Box 790353</w:t>
      </w:r>
      <w:r w:rsidRPr="00880795">
        <w:rPr>
          <w:rFonts w:ascii="Public Sans" w:eastAsia="Times New Roman" w:hAnsi="Public Sans" w:cs="Times New Roman"/>
          <w:color w:val="1B1B1B"/>
          <w:sz w:val="24"/>
          <w:szCs w:val="24"/>
        </w:rPr>
        <w:br/>
        <w:t>St. Louis, MO 63179-0353</w:t>
      </w:r>
    </w:p>
    <w:p w:rsidR="00880795" w:rsidRPr="00880795" w:rsidP="00880795" w14:paraId="0D1596AB" w14:textId="77777777">
      <w:pPr>
        <w:shd w:val="clear" w:color="auto" w:fill="FFFFFF"/>
        <w:spacing w:after="150"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For more information about taxes including electronic filing, penalties and interest, disaster claims, and more see our </w:t>
      </w:r>
      <w:hyperlink r:id="rId9" w:tgtFrame="_self" w:tooltip="Taxes and Filing" w:history="1">
        <w:r w:rsidRPr="00880795">
          <w:rPr>
            <w:rFonts w:ascii="Public Sans" w:eastAsia="Times New Roman" w:hAnsi="Public Sans" w:cs="Times New Roman"/>
            <w:color w:val="0053A2"/>
            <w:sz w:val="24"/>
            <w:szCs w:val="24"/>
            <w:u w:val="single"/>
          </w:rPr>
          <w:t>Taxes and Filing</w:t>
        </w:r>
      </w:hyperlink>
      <w:r w:rsidRPr="00880795">
        <w:rPr>
          <w:rFonts w:ascii="Public Sans" w:eastAsia="Times New Roman" w:hAnsi="Public Sans" w:cs="Times New Roman"/>
          <w:color w:val="1B1B1B"/>
          <w:sz w:val="24"/>
          <w:szCs w:val="24"/>
        </w:rPr>
        <w:t> Web page.</w:t>
      </w:r>
    </w:p>
    <w:p w:rsidR="00880795" w:rsidRPr="00880795" w:rsidP="00880795" w14:paraId="1041C935" w14:textId="77777777">
      <w:pPr>
        <w:shd w:val="clear" w:color="auto" w:fill="B4C7E7"/>
        <w:spacing w:after="150"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noProof/>
          <w:color w:val="1B1B1B"/>
          <w:sz w:val="24"/>
          <w:szCs w:val="24"/>
        </w:rPr>
        <w:drawing>
          <wp:inline distT="0" distB="0" distL="0" distR="0">
            <wp:extent cx="285750" cy="285750"/>
            <wp:effectExtent l="0" t="0" r="0" b="0"/>
            <wp:docPr id="3"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hone icon"/>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85750"/>
                    </a:xfrm>
                    <a:prstGeom prst="rect">
                      <a:avLst/>
                    </a:prstGeom>
                    <a:noFill/>
                    <a:ln>
                      <a:noFill/>
                    </a:ln>
                  </pic:spPr>
                </pic:pic>
              </a:graphicData>
            </a:graphic>
          </wp:inline>
        </w:drawing>
      </w:r>
      <w:r w:rsidRPr="00880795">
        <w:rPr>
          <w:rFonts w:ascii="Public Sans" w:eastAsia="Times New Roman" w:hAnsi="Public Sans" w:cs="Times New Roman"/>
          <w:b/>
          <w:bCs/>
          <w:color w:val="1B1B1B"/>
          <w:sz w:val="24"/>
          <w:szCs w:val="24"/>
        </w:rPr>
        <w:t> NOTE</w:t>
      </w:r>
      <w:r w:rsidRPr="00880795">
        <w:rPr>
          <w:rFonts w:ascii="Public Sans" w:eastAsia="Times New Roman" w:hAnsi="Public Sans" w:cs="Times New Roman"/>
          <w:color w:val="1B1B1B"/>
          <w:sz w:val="24"/>
          <w:szCs w:val="24"/>
        </w:rPr>
        <w:br/>
        <w:t>If you are signing on behalf of someone else, you must have </w:t>
      </w:r>
      <w:hyperlink r:id="rId11" w:tgtFrame="_blank" w:history="1">
        <w:r w:rsidRPr="00880795">
          <w:rPr>
            <w:rFonts w:ascii="Public Sans" w:eastAsia="Times New Roman" w:hAnsi="Public Sans" w:cs="Times New Roman"/>
            <w:color w:val="0053A2"/>
            <w:sz w:val="24"/>
            <w:szCs w:val="24"/>
            <w:u w:val="single"/>
          </w:rPr>
          <w:t>signing authority</w:t>
        </w:r>
      </w:hyperlink>
      <w:r w:rsidRPr="00880795">
        <w:rPr>
          <w:rFonts w:ascii="Public Sans" w:eastAsia="Times New Roman" w:hAnsi="Public Sans" w:cs="Times New Roman"/>
          <w:color w:val="1B1B1B"/>
          <w:sz w:val="24"/>
          <w:szCs w:val="24"/>
        </w:rPr>
        <w:t> on file with TTB.</w:t>
      </w:r>
    </w:p>
    <w:p w:rsidR="00880795" w:rsidRPr="00880795" w:rsidP="00880795" w14:paraId="46D0BABD" w14:textId="77777777">
      <w:pPr>
        <w:shd w:val="clear" w:color="auto" w:fill="C8ED97"/>
        <w:spacing w:after="150"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noProof/>
          <w:color w:val="1B1B1B"/>
          <w:sz w:val="24"/>
          <w:szCs w:val="24"/>
        </w:rPr>
        <w:drawing>
          <wp:inline distT="0" distB="0" distL="0" distR="0">
            <wp:extent cx="276225" cy="276225"/>
            <wp:effectExtent l="0" t="0" r="9525" b="9525"/>
            <wp:docPr id="4" name="Picture 4" descr="Green icon with a whit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een icon with a white phon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225" cy="276225"/>
                    </a:xfrm>
                    <a:prstGeom prst="rect">
                      <a:avLst/>
                    </a:prstGeom>
                    <a:noFill/>
                    <a:ln>
                      <a:noFill/>
                    </a:ln>
                  </pic:spPr>
                </pic:pic>
              </a:graphicData>
            </a:graphic>
          </wp:inline>
        </w:drawing>
      </w:r>
      <w:r w:rsidRPr="00880795">
        <w:rPr>
          <w:rFonts w:ascii="Public Sans" w:eastAsia="Times New Roman" w:hAnsi="Public Sans" w:cs="Times New Roman"/>
          <w:b/>
          <w:bCs/>
          <w:color w:val="1B1B1B"/>
          <w:sz w:val="24"/>
          <w:szCs w:val="24"/>
        </w:rPr>
        <w:t> CONTACT US</w:t>
      </w:r>
    </w:p>
    <w:p w:rsidR="00880795" w:rsidRPr="00880795" w:rsidP="00880795" w14:paraId="5098BF3F" w14:textId="77777777">
      <w:pPr>
        <w:shd w:val="clear" w:color="auto" w:fill="C8ED97"/>
        <w:spacing w:after="150" w:line="240" w:lineRule="auto"/>
        <w:rPr>
          <w:rFonts w:ascii="Public Sans" w:eastAsia="Times New Roman" w:hAnsi="Public Sans" w:cs="Times New Roman"/>
          <w:color w:val="1B1B1B"/>
          <w:sz w:val="24"/>
          <w:szCs w:val="24"/>
        </w:rPr>
      </w:pPr>
      <w:r w:rsidRPr="00880795">
        <w:rPr>
          <w:rFonts w:ascii="Public Sans" w:eastAsia="Times New Roman" w:hAnsi="Public Sans" w:cs="Times New Roman"/>
          <w:color w:val="1B1B1B"/>
          <w:sz w:val="24"/>
          <w:szCs w:val="24"/>
        </w:rPr>
        <w:t>Contact the </w:t>
      </w:r>
      <w:hyperlink r:id="rId13" w:history="1">
        <w:r w:rsidRPr="00880795">
          <w:rPr>
            <w:rFonts w:ascii="Public Sans" w:eastAsia="Times New Roman" w:hAnsi="Public Sans" w:cs="Times New Roman"/>
            <w:color w:val="0053A2"/>
            <w:sz w:val="24"/>
            <w:szCs w:val="24"/>
            <w:u w:val="single"/>
          </w:rPr>
          <w:t>National Revenue Center</w:t>
        </w:r>
      </w:hyperlink>
      <w:r w:rsidRPr="00880795">
        <w:rPr>
          <w:rFonts w:ascii="Public Sans" w:eastAsia="Times New Roman" w:hAnsi="Public Sans" w:cs="Times New Roman"/>
          <w:color w:val="1B1B1B"/>
          <w:sz w:val="24"/>
          <w:szCs w:val="24"/>
        </w:rPr>
        <w:t> online or by phone at </w:t>
      </w:r>
      <w:r w:rsidRPr="00880795">
        <w:rPr>
          <w:rFonts w:ascii="Public Sans" w:eastAsia="Times New Roman" w:hAnsi="Public Sans" w:cs="Times New Roman"/>
          <w:b/>
          <w:bCs/>
          <w:color w:val="1B1B1B"/>
          <w:sz w:val="24"/>
          <w:szCs w:val="24"/>
        </w:rPr>
        <w:t>877-882-3277</w:t>
      </w:r>
      <w:r w:rsidRPr="00880795">
        <w:rPr>
          <w:rFonts w:ascii="Public Sans" w:eastAsia="Times New Roman" w:hAnsi="Public Sans" w:cs="Times New Roman"/>
          <w:color w:val="1B1B1B"/>
          <w:sz w:val="24"/>
          <w:szCs w:val="24"/>
        </w:rPr>
        <w:t> for general tax questions. You can also get specific information on </w:t>
      </w:r>
      <w:hyperlink r:id="rId14" w:tooltip="Office NRC" w:history="1">
        <w:r w:rsidRPr="00880795">
          <w:rPr>
            <w:rFonts w:ascii="Public Sans" w:eastAsia="Times New Roman" w:hAnsi="Public Sans" w:cs="Times New Roman"/>
            <w:color w:val="0053A2"/>
            <w:sz w:val="24"/>
            <w:szCs w:val="24"/>
            <w:u w:val="single"/>
          </w:rPr>
          <w:t>who to contact and where to file</w:t>
        </w:r>
      </w:hyperlink>
      <w:r w:rsidRPr="00880795">
        <w:rPr>
          <w:rFonts w:ascii="Public Sans" w:eastAsia="Times New Roman" w:hAnsi="Public Sans" w:cs="Times New Roman"/>
          <w:color w:val="1B1B1B"/>
          <w:sz w:val="24"/>
          <w:szCs w:val="24"/>
        </w:rPr>
        <w:t>.</w:t>
      </w:r>
    </w:p>
    <w:p w:rsidR="00880795" w14:paraId="582C5C91" w14:textId="38E8126C"/>
    <w:p w:rsidR="00880795" w14:paraId="3A179AB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4300A6"/>
    <w:multiLevelType w:val="multilevel"/>
    <w:tmpl w:val="2FF63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D52A79"/>
    <w:multiLevelType w:val="multilevel"/>
    <w:tmpl w:val="1A848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0B3287"/>
    <w:multiLevelType w:val="multilevel"/>
    <w:tmpl w:val="573CFA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3972180">
    <w:abstractNumId w:val="0"/>
  </w:num>
  <w:num w:numId="2" w16cid:durableId="1205677306">
    <w:abstractNumId w:val="1"/>
  </w:num>
  <w:num w:numId="3" w16cid:durableId="506363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95"/>
    <w:rsid w:val="004D3B91"/>
    <w:rsid w:val="00655937"/>
    <w:rsid w:val="00880795"/>
    <w:rsid w:val="00BA6542"/>
    <w:rsid w:val="00F149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B53A00"/>
  <w15:chartTrackingRefBased/>
  <w15:docId w15:val="{D2332021-EA10-41D0-A9A7-EBA355C6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795"/>
    <w:rPr>
      <w:color w:val="0563C1" w:themeColor="hyperlink"/>
      <w:u w:val="single"/>
    </w:rPr>
  </w:style>
  <w:style w:type="character" w:styleId="UnresolvedMention">
    <w:name w:val="Unresolved Mention"/>
    <w:basedOn w:val="DefaultParagraphFont"/>
    <w:uiPriority w:val="99"/>
    <w:semiHidden/>
    <w:unhideWhenUsed/>
    <w:rsid w:val="00880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www.ttb.gov/images/pdfs/forms/f51001.pdf" TargetMode="External" /><Relationship Id="rId12" Type="http://schemas.openxmlformats.org/officeDocument/2006/relationships/image" Target="media/image2.png" /><Relationship Id="rId13" Type="http://schemas.openxmlformats.org/officeDocument/2006/relationships/hyperlink" Target="https://www.ttb.gov/contact-nrc" TargetMode="External" /><Relationship Id="rId14" Type="http://schemas.openxmlformats.org/officeDocument/2006/relationships/hyperlink" Target="https://www.ttb.gov/offices/national-revenue-cente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tb.gov/forms/tips-for-form-5000-24" TargetMode="External" /><Relationship Id="rId5" Type="http://schemas.openxmlformats.org/officeDocument/2006/relationships/hyperlink" Target="https://www.ttb.gov/images/pdfs/forms/f500024sm.pdf" TargetMode="External" /><Relationship Id="rId6" Type="http://schemas.openxmlformats.org/officeDocument/2006/relationships/hyperlink" Target="https://www.ttb.gov/tax-audit/excise-tax-and-export-due-dates" TargetMode="External" /><Relationship Id="rId7" Type="http://schemas.openxmlformats.org/officeDocument/2006/relationships/hyperlink" Target="https://www.ttb.gov/what-we-do/taxes-and-filing/tax-rates" TargetMode="External" /><Relationship Id="rId8" Type="http://schemas.openxmlformats.org/officeDocument/2006/relationships/hyperlink" Target="https://www.ttb.gov/tax-audit/tax-and-fee-rates" TargetMode="External" /><Relationship Id="rId9" Type="http://schemas.openxmlformats.org/officeDocument/2006/relationships/hyperlink" Target="https://www.ttb.gov/what-we-do/taxes-and-fil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4553</Characters>
  <Application>Microsoft Office Word</Application>
  <DocSecurity>0</DocSecurity>
  <Lines>37</Lines>
  <Paragraphs>10</Paragraphs>
  <ScaleCrop>false</ScaleCrop>
  <Company>TTB</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Hoover, Michael D.</dc:creator>
  <cp:lastModifiedBy>Hoover, Michael D.</cp:lastModifiedBy>
  <cp:revision>1</cp:revision>
  <dcterms:created xsi:type="dcterms:W3CDTF">2024-01-16T18:55:00Z</dcterms:created>
  <dcterms:modified xsi:type="dcterms:W3CDTF">2024-01-16T18:57:00Z</dcterms:modified>
</cp:coreProperties>
</file>