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1904" w:rsidP="00A3228D" w14:paraId="278CB80E" w14:textId="5F9DEBF9">
      <w:pPr>
        <w:pStyle w:val="Heading1ES"/>
        <w:spacing w:line="276" w:lineRule="auto"/>
      </w:pPr>
      <w:r>
        <w:t>Expert Consultations</w:t>
      </w:r>
      <w:r w:rsidR="00163CB1">
        <w:t xml:space="preserve"> </w:t>
      </w:r>
      <w:r w:rsidR="00022B5A">
        <w:t>Discussion Guide</w:t>
      </w:r>
    </w:p>
    <w:p w:rsidR="000839C1" w:rsidP="4FEBB9DB" w14:paraId="080ABD4B" w14:textId="392CB393">
      <w:pPr>
        <w:spacing w:line="276" w:lineRule="auto"/>
        <w:rPr>
          <w:i/>
        </w:rPr>
      </w:pPr>
      <w:r>
        <w:rPr>
          <w:i/>
        </w:rPr>
        <w:t xml:space="preserve">A tailored introduction will be provided for each of the sessions. Below </w:t>
      </w:r>
      <w:r w:rsidR="0060288A">
        <w:rPr>
          <w:i/>
        </w:rPr>
        <w:t>is</w:t>
      </w:r>
      <w:r>
        <w:rPr>
          <w:i/>
        </w:rPr>
        <w:t xml:space="preserve"> a list of anticipated questions to be asked of more than 9 individuals.</w:t>
      </w:r>
    </w:p>
    <w:p w:rsidR="00145C0A" w:rsidRPr="006B49D3" w:rsidP="4FEBB9DB" w14:paraId="07AF5D85" w14:textId="118DFEA4">
      <w:pPr>
        <w:spacing w:line="276" w:lineRule="auto"/>
        <w:rPr>
          <w:iCs/>
        </w:rPr>
      </w:pPr>
      <w:r>
        <w:rPr>
          <w:i/>
          <w:iCs/>
        </w:rPr>
        <w:t xml:space="preserve">We expect this session to </w:t>
      </w:r>
      <w:r>
        <w:rPr>
          <w:i/>
          <w:iCs/>
        </w:rPr>
        <w:t xml:space="preserve">last </w:t>
      </w:r>
      <w:r w:rsidR="00546FDE">
        <w:rPr>
          <w:i/>
          <w:iCs/>
        </w:rPr>
        <w:t>about</w:t>
      </w:r>
      <w:r w:rsidR="00546FDE">
        <w:rPr>
          <w:i/>
          <w:iCs/>
        </w:rPr>
        <w:t xml:space="preserve"> 120 </w:t>
      </w:r>
      <w:r>
        <w:rPr>
          <w:i/>
          <w:iCs/>
        </w:rPr>
        <w:t>minutes</w:t>
      </w:r>
      <w:r w:rsidR="00546FDE">
        <w:rPr>
          <w:i/>
          <w:iCs/>
        </w:rPr>
        <w:t>. We estimate that individuals will spend about 45 minutes responding to questions, dependent on the amount of information you choose to share. Y</w:t>
      </w:r>
      <w:r>
        <w:rPr>
          <w:i/>
          <w:iCs/>
        </w:rPr>
        <w:t>our participation in this feedback session is completely voluntary</w:t>
      </w:r>
      <w:r w:rsidR="00AA3540">
        <w:rPr>
          <w:i/>
          <w:iCs/>
        </w:rPr>
        <w:t xml:space="preserve">. </w:t>
      </w:r>
      <w:r w:rsidR="006B49D3">
        <w:rPr>
          <w:i/>
          <w:iCs/>
        </w:rPr>
        <w:t>T</w:t>
      </w:r>
      <w:r w:rsidRPr="006B49D3" w:rsidR="00AA3540">
        <w:rPr>
          <w:i/>
          <w:iCs/>
        </w:rPr>
        <w:t xml:space="preserve">he data collected </w:t>
      </w:r>
      <w:r w:rsidR="006B49D3">
        <w:rPr>
          <w:i/>
          <w:iCs/>
        </w:rPr>
        <w:t xml:space="preserve">is this </w:t>
      </w:r>
      <w:r w:rsidR="006B49D3">
        <w:rPr>
          <w:i/>
          <w:iCs/>
        </w:rPr>
        <w:t>session</w:t>
      </w:r>
      <w:r w:rsidRPr="006B49D3" w:rsidR="00AA3540">
        <w:rPr>
          <w:i/>
          <w:iCs/>
        </w:rPr>
        <w:t xml:space="preserve"> will not be shared outside of the federal and project staff directly involved with the project.</w:t>
      </w:r>
    </w:p>
    <w:p w:rsidR="00E20F22" w:rsidRPr="00695305" w:rsidP="00E20F22" w14:paraId="5A343149" w14:textId="68B6C813">
      <w:pPr>
        <w:pStyle w:val="Heading2"/>
        <w:numPr>
          <w:ilvl w:val="0"/>
          <w:numId w:val="0"/>
        </w:numPr>
        <w:spacing w:line="276" w:lineRule="auto"/>
        <w:ind w:left="720" w:hanging="720"/>
      </w:pPr>
      <w:r>
        <w:t>General Questions</w:t>
      </w:r>
    </w:p>
    <w:p w:rsidR="000839C1" w:rsidP="4FEBB9DB" w14:paraId="7A7C76EF" w14:textId="1E5FE117">
      <w:pPr>
        <w:spacing w:line="276" w:lineRule="auto"/>
        <w:rPr>
          <w:iCs/>
        </w:rPr>
      </w:pPr>
      <w:r>
        <w:rPr>
          <w:iCs/>
        </w:rPr>
        <w:t xml:space="preserve">What adjustments or refinements would you suggest to [insert </w:t>
      </w:r>
      <w:r w:rsidR="00945E57">
        <w:rPr>
          <w:i/>
        </w:rPr>
        <w:t>Handbook of Standards and Procedures</w:t>
      </w:r>
      <w:r>
        <w:rPr>
          <w:iCs/>
        </w:rPr>
        <w:t xml:space="preserve"> section of interest]?</w:t>
      </w:r>
    </w:p>
    <w:p w:rsidR="00945E57" w:rsidRPr="00484359" w:rsidP="4FEBB9DB" w14:paraId="261154D6" w14:textId="2C3B771E">
      <w:pPr>
        <w:spacing w:line="276" w:lineRule="auto"/>
        <w:rPr>
          <w:iCs/>
        </w:rPr>
      </w:pPr>
      <w:r>
        <w:rPr>
          <w:iCs/>
        </w:rPr>
        <w:t xml:space="preserve">What are the pros and cons of [insert potential update to the </w:t>
      </w:r>
      <w:r>
        <w:rPr>
          <w:i/>
        </w:rPr>
        <w:t>Handbook of Standards and Procedures</w:t>
      </w:r>
      <w:r>
        <w:rPr>
          <w:iCs/>
        </w:rPr>
        <w:t>]?</w:t>
      </w:r>
    </w:p>
    <w:p w:rsidR="00E62678" w:rsidRPr="00695305" w:rsidP="009B2D7F" w14:paraId="06A57C79" w14:textId="4D108DDF">
      <w:pPr>
        <w:pStyle w:val="Heading2"/>
        <w:numPr>
          <w:ilvl w:val="0"/>
          <w:numId w:val="0"/>
        </w:numPr>
        <w:spacing w:line="276" w:lineRule="auto"/>
        <w:ind w:left="720" w:hanging="720"/>
      </w:pPr>
      <w:r>
        <w:t xml:space="preserve">Topic 1. </w:t>
      </w:r>
      <w:r w:rsidR="00716549">
        <w:t>Eligible Programs and Services</w:t>
      </w:r>
      <w:r w:rsidRPr="00695305" w:rsidR="004272CB">
        <w:t xml:space="preserve"> </w:t>
      </w:r>
    </w:p>
    <w:p w:rsidR="00AC3B55" w:rsidRPr="00695305" w:rsidP="00185EB2" w14:paraId="3602B015" w14:textId="319F4D51">
      <w:pPr>
        <w:pStyle w:val="BodyText"/>
        <w:numPr>
          <w:ilvl w:val="0"/>
          <w:numId w:val="34"/>
        </w:numPr>
        <w:spacing w:line="240" w:lineRule="auto"/>
        <w:rPr>
          <w:rFonts w:asciiTheme="majorBidi" w:hAnsiTheme="majorBidi" w:cstheme="majorBidi"/>
          <w:iCs/>
          <w:szCs w:val="22"/>
        </w:rPr>
      </w:pPr>
      <w:r w:rsidRPr="00695305">
        <w:rPr>
          <w:rFonts w:asciiTheme="majorBidi" w:hAnsiTheme="majorBidi" w:cstheme="majorBidi"/>
          <w:iCs/>
          <w:szCs w:val="22"/>
        </w:rPr>
        <w:t xml:space="preserve">What clarifications and refinements would </w:t>
      </w:r>
      <w:r w:rsidR="00484359">
        <w:rPr>
          <w:rFonts w:asciiTheme="majorBidi" w:hAnsiTheme="majorBidi" w:cstheme="majorBidi"/>
          <w:iCs/>
          <w:szCs w:val="22"/>
        </w:rPr>
        <w:t>you</w:t>
      </w:r>
      <w:r w:rsidRPr="00695305" w:rsidR="00484359">
        <w:rPr>
          <w:rFonts w:asciiTheme="majorBidi" w:hAnsiTheme="majorBidi" w:cstheme="majorBidi"/>
          <w:iCs/>
          <w:szCs w:val="22"/>
        </w:rPr>
        <w:t xml:space="preserve"> </w:t>
      </w:r>
      <w:r w:rsidRPr="00695305">
        <w:rPr>
          <w:rFonts w:asciiTheme="majorBidi" w:hAnsiTheme="majorBidi" w:cstheme="majorBidi"/>
          <w:iCs/>
          <w:szCs w:val="22"/>
        </w:rPr>
        <w:t xml:space="preserve">suggest for the current program </w:t>
      </w:r>
      <w:r w:rsidR="008F03A5">
        <w:rPr>
          <w:rFonts w:asciiTheme="majorBidi" w:hAnsiTheme="majorBidi" w:cstheme="majorBidi"/>
          <w:iCs/>
          <w:szCs w:val="22"/>
        </w:rPr>
        <w:t xml:space="preserve">and service </w:t>
      </w:r>
      <w:r w:rsidRPr="00695305">
        <w:rPr>
          <w:rFonts w:asciiTheme="majorBidi" w:hAnsiTheme="majorBidi" w:cstheme="majorBidi"/>
          <w:iCs/>
          <w:szCs w:val="22"/>
        </w:rPr>
        <w:t xml:space="preserve">area definitions? </w:t>
      </w:r>
    </w:p>
    <w:p w:rsidR="00AC3B55" w:rsidP="00185EB2" w14:paraId="52969F1F" w14:textId="703785DC">
      <w:pPr>
        <w:pStyle w:val="BodyText"/>
        <w:numPr>
          <w:ilvl w:val="0"/>
          <w:numId w:val="34"/>
        </w:numPr>
        <w:spacing w:line="240" w:lineRule="auto"/>
        <w:rPr>
          <w:rFonts w:asciiTheme="majorBidi" w:hAnsiTheme="majorBidi" w:cstheme="majorBidi"/>
          <w:szCs w:val="22"/>
        </w:rPr>
      </w:pPr>
      <w:r w:rsidRPr="008D6B6C">
        <w:rPr>
          <w:rFonts w:cstheme="minorHAnsi"/>
        </w:rPr>
        <w:t>How could the Clearinghouse broaden the definitions of the program and service areas as currently defined to include programs and services that are currently ineligible (e.g.</w:t>
      </w:r>
      <w:r w:rsidR="005B1FEE">
        <w:rPr>
          <w:rFonts w:cstheme="minorHAnsi"/>
        </w:rPr>
        <w:t>,</w:t>
      </w:r>
      <w:r w:rsidRPr="008D6B6C">
        <w:rPr>
          <w:rFonts w:cstheme="minorHAnsi"/>
        </w:rPr>
        <w:t xml:space="preserve"> housing) while still aligning with FFPSA? If the definitions were broadened, what are examples of prog</w:t>
      </w:r>
      <w:r w:rsidR="0010085C">
        <w:rPr>
          <w:rFonts w:cstheme="minorHAnsi"/>
        </w:rPr>
        <w:t>r</w:t>
      </w:r>
      <w:r w:rsidRPr="008D6B6C">
        <w:rPr>
          <w:rFonts w:cstheme="minorHAnsi"/>
        </w:rPr>
        <w:t>ams and services that may fall under these broadened categories?</w:t>
      </w:r>
      <w:r w:rsidRPr="00185EB2" w:rsidR="00B904D2">
        <w:rPr>
          <w:rFonts w:asciiTheme="majorBidi" w:hAnsiTheme="majorBidi" w:cstheme="majorBidi"/>
          <w:szCs w:val="22"/>
        </w:rPr>
        <w:t xml:space="preserve"> </w:t>
      </w:r>
    </w:p>
    <w:p w:rsidR="00F51A0E" w:rsidRPr="00CA65DF" w:rsidP="00F763B9" w14:paraId="09E58B2E" w14:textId="046ED72D">
      <w:pPr>
        <w:pStyle w:val="Heading2"/>
        <w:numPr>
          <w:ilvl w:val="0"/>
          <w:numId w:val="0"/>
        </w:numPr>
        <w:spacing w:line="276" w:lineRule="auto"/>
        <w:ind w:left="720" w:hanging="720"/>
      </w:pPr>
      <w:r>
        <w:t xml:space="preserve">Topic 2. </w:t>
      </w:r>
      <w:r w:rsidR="004272CB">
        <w:t xml:space="preserve">Eligible Comparison Conditions </w:t>
      </w:r>
    </w:p>
    <w:p w:rsidR="00553134" w:rsidP="00553134" w14:paraId="672FC7EA" w14:textId="11C92563">
      <w:pPr>
        <w:pStyle w:val="BodyText"/>
        <w:numPr>
          <w:ilvl w:val="0"/>
          <w:numId w:val="33"/>
        </w:numPr>
        <w:spacing w:line="240" w:lineRule="auto"/>
        <w:rPr>
          <w:rFonts w:asciiTheme="majorBidi" w:hAnsiTheme="majorBidi" w:cstheme="majorBidi"/>
          <w:szCs w:val="22"/>
        </w:rPr>
      </w:pPr>
      <w:r w:rsidRPr="00553134">
        <w:rPr>
          <w:rFonts w:asciiTheme="majorBidi" w:hAnsiTheme="majorBidi" w:cstheme="majorBidi"/>
          <w:szCs w:val="22"/>
        </w:rPr>
        <w:t xml:space="preserve">What clarifications and refinements would </w:t>
      </w:r>
      <w:r w:rsidR="000E60EA">
        <w:rPr>
          <w:rFonts w:asciiTheme="majorBidi" w:hAnsiTheme="majorBidi" w:cstheme="majorBidi"/>
          <w:szCs w:val="22"/>
        </w:rPr>
        <w:t>you</w:t>
      </w:r>
      <w:r w:rsidRPr="00553134" w:rsidR="000E60EA">
        <w:rPr>
          <w:rFonts w:asciiTheme="majorBidi" w:hAnsiTheme="majorBidi" w:cstheme="majorBidi"/>
          <w:szCs w:val="22"/>
        </w:rPr>
        <w:t xml:space="preserve"> </w:t>
      </w:r>
      <w:r w:rsidRPr="00553134">
        <w:rPr>
          <w:rFonts w:asciiTheme="majorBidi" w:hAnsiTheme="majorBidi" w:cstheme="majorBidi"/>
          <w:szCs w:val="22"/>
        </w:rPr>
        <w:t xml:space="preserve">recommend regarding eligible comparison conditions to align with research practices in </w:t>
      </w:r>
      <w:r>
        <w:rPr>
          <w:rFonts w:asciiTheme="majorBidi" w:hAnsiTheme="majorBidi" w:cstheme="majorBidi"/>
          <w:szCs w:val="22"/>
        </w:rPr>
        <w:t>[</w:t>
      </w:r>
      <w:r w:rsidR="0060288A">
        <w:rPr>
          <w:rFonts w:asciiTheme="majorBidi" w:hAnsiTheme="majorBidi" w:cstheme="majorBidi"/>
          <w:szCs w:val="22"/>
        </w:rPr>
        <w:t>topics and program areas of interest</w:t>
      </w:r>
      <w:r>
        <w:rPr>
          <w:rFonts w:asciiTheme="majorBidi" w:hAnsiTheme="majorBidi" w:cstheme="majorBidi"/>
        </w:rPr>
        <w:t>]</w:t>
      </w:r>
      <w:r w:rsidRPr="00553134">
        <w:rPr>
          <w:rFonts w:asciiTheme="majorBidi" w:hAnsiTheme="majorBidi" w:cstheme="majorBidi"/>
          <w:szCs w:val="22"/>
        </w:rPr>
        <w:t xml:space="preserve">? </w:t>
      </w:r>
    </w:p>
    <w:p w:rsidR="00431392" w:rsidP="00431392" w14:paraId="3EE8E7ED" w14:textId="64425388">
      <w:pPr>
        <w:pStyle w:val="BodyText"/>
        <w:numPr>
          <w:ilvl w:val="0"/>
          <w:numId w:val="33"/>
        </w:numPr>
        <w:spacing w:line="240" w:lineRule="auto"/>
        <w:rPr>
          <w:rFonts w:asciiTheme="majorBidi" w:hAnsiTheme="majorBidi" w:cstheme="majorBidi"/>
          <w:szCs w:val="22"/>
        </w:rPr>
      </w:pPr>
      <w:r w:rsidRPr="00553134">
        <w:rPr>
          <w:rFonts w:asciiTheme="majorBidi" w:hAnsiTheme="majorBidi" w:cstheme="majorBidi"/>
          <w:szCs w:val="22"/>
        </w:rPr>
        <w:t xml:space="preserve">Are there types of comparison conditions </w:t>
      </w:r>
      <w:r w:rsidR="00E06F51">
        <w:rPr>
          <w:rFonts w:asciiTheme="majorBidi" w:hAnsiTheme="majorBidi" w:cstheme="majorBidi"/>
          <w:szCs w:val="22"/>
        </w:rPr>
        <w:t xml:space="preserve">common </w:t>
      </w:r>
      <w:r w:rsidRPr="00553134">
        <w:rPr>
          <w:rFonts w:asciiTheme="majorBidi" w:hAnsiTheme="majorBidi" w:cstheme="majorBidi"/>
          <w:szCs w:val="22"/>
        </w:rPr>
        <w:t xml:space="preserve">in the </w:t>
      </w:r>
      <w:r w:rsidR="00E06F51">
        <w:rPr>
          <w:rFonts w:asciiTheme="majorBidi" w:hAnsiTheme="majorBidi" w:cstheme="majorBidi"/>
          <w:szCs w:val="22"/>
        </w:rPr>
        <w:t xml:space="preserve">research </w:t>
      </w:r>
      <w:r w:rsidRPr="00553134">
        <w:rPr>
          <w:rFonts w:asciiTheme="majorBidi" w:hAnsiTheme="majorBidi" w:cstheme="majorBidi"/>
          <w:szCs w:val="22"/>
        </w:rPr>
        <w:t xml:space="preserve">literature on </w:t>
      </w:r>
      <w:r w:rsidR="00553134">
        <w:rPr>
          <w:rFonts w:asciiTheme="majorBidi" w:hAnsiTheme="majorBidi" w:cstheme="majorBidi"/>
          <w:szCs w:val="22"/>
        </w:rPr>
        <w:t>[</w:t>
      </w:r>
      <w:r w:rsidR="0060288A">
        <w:rPr>
          <w:rFonts w:asciiTheme="majorBidi" w:hAnsiTheme="majorBidi" w:cstheme="majorBidi"/>
          <w:szCs w:val="22"/>
        </w:rPr>
        <w:t>topics and program areas of interest</w:t>
      </w:r>
      <w:r w:rsidR="00553134">
        <w:rPr>
          <w:rFonts w:asciiTheme="majorBidi" w:hAnsiTheme="majorBidi" w:cstheme="majorBidi"/>
          <w:szCs w:val="22"/>
        </w:rPr>
        <w:t>]</w:t>
      </w:r>
      <w:r w:rsidRPr="00553134">
        <w:rPr>
          <w:rFonts w:asciiTheme="majorBidi" w:hAnsiTheme="majorBidi" w:cstheme="majorBidi"/>
          <w:szCs w:val="22"/>
        </w:rPr>
        <w:t xml:space="preserve"> that </w:t>
      </w:r>
      <w:r w:rsidR="00263966">
        <w:rPr>
          <w:rFonts w:asciiTheme="majorBidi" w:hAnsiTheme="majorBidi" w:cstheme="majorBidi"/>
          <w:szCs w:val="22"/>
        </w:rPr>
        <w:t>the Clearinghouse</w:t>
      </w:r>
      <w:r w:rsidRPr="00553134">
        <w:rPr>
          <w:rFonts w:asciiTheme="majorBidi" w:hAnsiTheme="majorBidi" w:cstheme="majorBidi"/>
          <w:szCs w:val="22"/>
        </w:rPr>
        <w:t xml:space="preserve"> should consider including?</w:t>
      </w:r>
    </w:p>
    <w:p w:rsidR="00CE4E9C" w:rsidRPr="002513B1" w14:paraId="679EE628" w14:textId="7D4F7CB0">
      <w:pPr>
        <w:pStyle w:val="BodyText"/>
        <w:numPr>
          <w:ilvl w:val="0"/>
          <w:numId w:val="33"/>
        </w:numPr>
        <w:spacing w:line="240" w:lineRule="auto"/>
        <w:rPr>
          <w:rFonts w:asciiTheme="majorBidi" w:hAnsiTheme="majorBidi" w:cstheme="majorBidi"/>
          <w:szCs w:val="22"/>
        </w:rPr>
      </w:pPr>
      <w:r w:rsidRPr="00EF290F">
        <w:rPr>
          <w:rFonts w:cstheme="minorHAnsi"/>
        </w:rPr>
        <w:t>How might the interpretation of a significant favorable finding differ in a study where the comparison condition is: (a) no or minimal treatment; (b) treatment as usual; (c) active comparison with evidence of effectiveness; and (d) active comparison without evidence of effectiveness?</w:t>
      </w:r>
    </w:p>
    <w:p w:rsidR="00E15DA6" w:rsidRPr="008D7D50" w:rsidP="008D7D50" w14:paraId="283998E4" w14:textId="77777777">
      <w:pPr>
        <w:pStyle w:val="ListParagraph"/>
        <w:numPr>
          <w:ilvl w:val="0"/>
          <w:numId w:val="33"/>
        </w:numPr>
        <w:spacing w:after="180" w:line="240" w:lineRule="auto"/>
        <w:contextualSpacing w:val="0"/>
        <w:rPr>
          <w:rFonts w:eastAsiaTheme="minorHAnsi"/>
        </w:rPr>
      </w:pPr>
      <w:r w:rsidRPr="008D7D50">
        <w:rPr>
          <w:rFonts w:cstheme="minorHAnsi"/>
        </w:rPr>
        <w:t>How might the interpretation of a significant unfavorable finding differ in a study where the comparison condition is: (a) no or minimal treatment; (b) treatment as usual; (c) active comparison with evidence of effectiveness; and (d) active comparison without evidence of effectiveness. Should the type of comparison condition be considered in the assessment of risk of harm?</w:t>
      </w:r>
    </w:p>
    <w:p w:rsidR="00680489" w:rsidRPr="008D7D50" w:rsidP="008D7D50" w14:paraId="29D3D520" w14:textId="69E7E7B8">
      <w:pPr>
        <w:pStyle w:val="ListParagraph"/>
        <w:numPr>
          <w:ilvl w:val="0"/>
          <w:numId w:val="33"/>
        </w:numPr>
        <w:spacing w:before="240" w:line="240" w:lineRule="auto"/>
        <w:rPr>
          <w:rFonts w:eastAsiaTheme="minorHAnsi"/>
        </w:rPr>
      </w:pPr>
      <w:r w:rsidRPr="008D7D50">
        <w:rPr>
          <w:rFonts w:cstheme="minorHAnsi"/>
        </w:rPr>
        <w:t xml:space="preserve">What do you suggest </w:t>
      </w:r>
      <w:r w:rsidRPr="008D7D50">
        <w:rPr>
          <w:rFonts w:cstheme="minorHAnsi"/>
        </w:rPr>
        <w:t>with regard to</w:t>
      </w:r>
      <w:r w:rsidRPr="008D7D50">
        <w:rPr>
          <w:rFonts w:cstheme="minorHAnsi"/>
        </w:rPr>
        <w:t xml:space="preserve"> reviewing multi-arm studies that compare an intervention of interest to two or more comparison arms? How should multiple comparisons within a study contribute to program and service ratings?</w:t>
      </w:r>
    </w:p>
    <w:p w:rsidR="00A70B6B" w:rsidRPr="00CA65DF" w:rsidP="00793082" w14:paraId="0AE993C1" w14:textId="7C118801">
      <w:pPr>
        <w:pStyle w:val="Heading2"/>
        <w:numPr>
          <w:ilvl w:val="0"/>
          <w:numId w:val="0"/>
        </w:numPr>
        <w:spacing w:line="276" w:lineRule="auto"/>
        <w:ind w:left="720" w:hanging="720"/>
      </w:pPr>
      <w:r>
        <w:t xml:space="preserve">Topic 3. </w:t>
      </w:r>
      <w:r w:rsidR="004272CB">
        <w:t xml:space="preserve">Eligible Outcomes &amp; Measurement Standards </w:t>
      </w:r>
    </w:p>
    <w:p w:rsidR="00112C5F" w:rsidP="00935C13" w14:paraId="273DCBCB" w14:textId="7F5418CF">
      <w:pPr>
        <w:pStyle w:val="BodyText"/>
        <w:numPr>
          <w:ilvl w:val="0"/>
          <w:numId w:val="38"/>
        </w:numPr>
        <w:spacing w:line="240" w:lineRule="auto"/>
        <w:rPr>
          <w:rFonts w:asciiTheme="majorBidi" w:hAnsiTheme="majorBidi" w:cstheme="majorBidi"/>
          <w:szCs w:val="22"/>
        </w:rPr>
      </w:pPr>
      <w:r w:rsidRPr="00112C5F">
        <w:rPr>
          <w:rFonts w:asciiTheme="majorBidi" w:hAnsiTheme="majorBidi" w:cstheme="majorBidi"/>
          <w:szCs w:val="22"/>
        </w:rPr>
        <w:t xml:space="preserve">What clarifications and refinements would </w:t>
      </w:r>
      <w:r w:rsidR="000E60EA">
        <w:rPr>
          <w:rFonts w:asciiTheme="majorBidi" w:hAnsiTheme="majorBidi" w:cstheme="majorBidi"/>
          <w:szCs w:val="22"/>
        </w:rPr>
        <w:t>you</w:t>
      </w:r>
      <w:r w:rsidRPr="00112C5F" w:rsidR="000E60EA">
        <w:rPr>
          <w:rFonts w:asciiTheme="majorBidi" w:hAnsiTheme="majorBidi" w:cstheme="majorBidi"/>
          <w:szCs w:val="22"/>
        </w:rPr>
        <w:t xml:space="preserve"> </w:t>
      </w:r>
      <w:r w:rsidRPr="00112C5F">
        <w:rPr>
          <w:rFonts w:asciiTheme="majorBidi" w:hAnsiTheme="majorBidi" w:cstheme="majorBidi"/>
          <w:szCs w:val="22"/>
        </w:rPr>
        <w:t xml:space="preserve">suggest to the definitions for </w:t>
      </w:r>
      <w:r>
        <w:rPr>
          <w:rFonts w:asciiTheme="majorBidi" w:hAnsiTheme="majorBidi" w:cstheme="majorBidi"/>
          <w:szCs w:val="22"/>
        </w:rPr>
        <w:t>[</w:t>
      </w:r>
      <w:r w:rsidR="0060288A">
        <w:rPr>
          <w:rFonts w:asciiTheme="majorBidi" w:hAnsiTheme="majorBidi" w:cstheme="majorBidi"/>
          <w:szCs w:val="22"/>
        </w:rPr>
        <w:t>insert relevant outcome domains</w:t>
      </w:r>
      <w:r w:rsidR="00A327EE">
        <w:rPr>
          <w:rFonts w:asciiTheme="majorBidi" w:hAnsiTheme="majorBidi" w:cstheme="majorBidi"/>
          <w:szCs w:val="22"/>
        </w:rPr>
        <w:t>/subdomains</w:t>
      </w:r>
      <w:r>
        <w:rPr>
          <w:rFonts w:asciiTheme="majorBidi" w:hAnsiTheme="majorBidi" w:cstheme="majorBidi"/>
          <w:szCs w:val="22"/>
        </w:rPr>
        <w:t>]</w:t>
      </w:r>
      <w:r w:rsidRPr="00112C5F">
        <w:rPr>
          <w:rFonts w:asciiTheme="majorBidi" w:hAnsiTheme="majorBidi" w:cstheme="majorBidi"/>
          <w:szCs w:val="22"/>
        </w:rPr>
        <w:t xml:space="preserve">? </w:t>
      </w:r>
    </w:p>
    <w:p w:rsidR="008C2657" w:rsidRPr="008C2657" w:rsidP="008C2657" w14:paraId="0D699554" w14:textId="07C476EC">
      <w:pPr>
        <w:pStyle w:val="BodyText"/>
        <w:numPr>
          <w:ilvl w:val="0"/>
          <w:numId w:val="38"/>
        </w:numPr>
        <w:spacing w:line="240" w:lineRule="auto"/>
        <w:rPr>
          <w:rFonts w:asciiTheme="majorBidi" w:hAnsiTheme="majorBidi" w:cstheme="majorBidi"/>
        </w:rPr>
      </w:pPr>
      <w:r w:rsidRPr="00926CBB">
        <w:rPr>
          <w:rFonts w:asciiTheme="majorBidi" w:hAnsiTheme="majorBidi" w:cstheme="majorBidi"/>
        </w:rPr>
        <w:t xml:space="preserve">What clarifications and refinements would </w:t>
      </w:r>
      <w:r w:rsidR="000E60EA">
        <w:rPr>
          <w:rFonts w:asciiTheme="majorBidi" w:hAnsiTheme="majorBidi" w:cstheme="majorBidi"/>
        </w:rPr>
        <w:t>you</w:t>
      </w:r>
      <w:r w:rsidRPr="00926CBB" w:rsidR="000E60EA">
        <w:rPr>
          <w:rFonts w:asciiTheme="majorBidi" w:hAnsiTheme="majorBidi" w:cstheme="majorBidi"/>
        </w:rPr>
        <w:t xml:space="preserve"> </w:t>
      </w:r>
      <w:r w:rsidRPr="00926CBB">
        <w:rPr>
          <w:rFonts w:asciiTheme="majorBidi" w:hAnsiTheme="majorBidi" w:cstheme="majorBidi"/>
        </w:rPr>
        <w:t>recommend regarding the</w:t>
      </w:r>
      <w:r w:rsidR="00747D8E">
        <w:rPr>
          <w:rFonts w:asciiTheme="majorBidi" w:hAnsiTheme="majorBidi" w:cstheme="majorBidi"/>
        </w:rPr>
        <w:t xml:space="preserve"> standards for</w:t>
      </w:r>
      <w:r w:rsidRPr="00926CBB">
        <w:rPr>
          <w:rFonts w:asciiTheme="majorBidi" w:hAnsiTheme="majorBidi" w:cstheme="majorBidi"/>
        </w:rPr>
        <w:t xml:space="preserve"> reliability and validity of measures</w:t>
      </w:r>
      <w:r w:rsidR="00747D8E">
        <w:rPr>
          <w:rFonts w:asciiTheme="majorBidi" w:hAnsiTheme="majorBidi" w:cstheme="majorBidi"/>
        </w:rPr>
        <w:t>,</w:t>
      </w:r>
      <w:r w:rsidRPr="00926CBB">
        <w:rPr>
          <w:rFonts w:asciiTheme="majorBidi" w:hAnsiTheme="majorBidi" w:cstheme="majorBidi"/>
        </w:rPr>
        <w:t xml:space="preserve"> especially </w:t>
      </w:r>
      <w:r w:rsidR="008C4CA7">
        <w:rPr>
          <w:rFonts w:asciiTheme="majorBidi" w:hAnsiTheme="majorBidi" w:cstheme="majorBidi"/>
        </w:rPr>
        <w:t>[</w:t>
      </w:r>
      <w:r w:rsidR="008C4CA7">
        <w:rPr>
          <w:rFonts w:asciiTheme="majorBidi" w:hAnsiTheme="majorBidi" w:cstheme="majorBidi"/>
        </w:rPr>
        <w:t>particular topics</w:t>
      </w:r>
      <w:r w:rsidR="008C4CA7">
        <w:rPr>
          <w:rFonts w:asciiTheme="majorBidi" w:hAnsiTheme="majorBidi" w:cstheme="majorBidi"/>
        </w:rPr>
        <w:t xml:space="preserve"> of interest]</w:t>
      </w:r>
      <w:r w:rsidRPr="00926CBB">
        <w:rPr>
          <w:rFonts w:asciiTheme="majorBidi" w:hAnsiTheme="majorBidi" w:cstheme="majorBidi"/>
        </w:rPr>
        <w:t>?</w:t>
      </w:r>
    </w:p>
    <w:p w:rsidR="001635E2" w:rsidP="001635E2" w14:paraId="79EE45D3" w14:textId="2AF270D0">
      <w:pPr>
        <w:pStyle w:val="Heading2ES"/>
      </w:pPr>
      <w:r>
        <w:t>Topic 4. Follow-up Timing</w:t>
      </w:r>
    </w:p>
    <w:p w:rsidR="00543BF7" w:rsidRPr="00112C5F" w:rsidP="001635E2" w14:paraId="1463816B" w14:textId="276F17AF">
      <w:pPr>
        <w:pStyle w:val="BodyText"/>
        <w:numPr>
          <w:ilvl w:val="0"/>
          <w:numId w:val="42"/>
        </w:numPr>
        <w:spacing w:line="240" w:lineRule="auto"/>
        <w:rPr>
          <w:rFonts w:asciiTheme="majorBidi" w:hAnsiTheme="majorBidi" w:cstheme="majorBidi"/>
          <w:szCs w:val="22"/>
        </w:rPr>
      </w:pPr>
      <w:r w:rsidRPr="00112C5F">
        <w:rPr>
          <w:rFonts w:asciiTheme="majorBidi" w:hAnsiTheme="majorBidi" w:cstheme="majorBidi"/>
          <w:szCs w:val="22"/>
        </w:rPr>
        <w:t xml:space="preserve">Program and service ratings take into consideration the length of the follow-up period after the end of an intervention (as specified in </w:t>
      </w:r>
      <w:r w:rsidR="00F57333">
        <w:rPr>
          <w:rFonts w:asciiTheme="majorBidi" w:hAnsiTheme="majorBidi" w:cstheme="majorBidi"/>
          <w:szCs w:val="22"/>
        </w:rPr>
        <w:t>FFPSA</w:t>
      </w:r>
      <w:r w:rsidRPr="00112C5F">
        <w:rPr>
          <w:rFonts w:asciiTheme="majorBidi" w:hAnsiTheme="majorBidi" w:cstheme="majorBidi"/>
          <w:szCs w:val="22"/>
        </w:rPr>
        <w:t xml:space="preserve">). This is difficult to determine when interventions have no clear end point or are designed to continue indefinitely. What suggestions do </w:t>
      </w:r>
      <w:r w:rsidR="003A19C3">
        <w:rPr>
          <w:rFonts w:asciiTheme="majorBidi" w:hAnsiTheme="majorBidi" w:cstheme="majorBidi"/>
          <w:szCs w:val="22"/>
        </w:rPr>
        <w:t>you</w:t>
      </w:r>
      <w:r w:rsidRPr="00112C5F" w:rsidR="00D10CD0">
        <w:rPr>
          <w:rFonts w:asciiTheme="majorBidi" w:hAnsiTheme="majorBidi" w:cstheme="majorBidi"/>
          <w:szCs w:val="22"/>
        </w:rPr>
        <w:t xml:space="preserve"> </w:t>
      </w:r>
      <w:r w:rsidRPr="00112C5F">
        <w:rPr>
          <w:rFonts w:asciiTheme="majorBidi" w:hAnsiTheme="majorBidi" w:cstheme="majorBidi"/>
          <w:szCs w:val="22"/>
        </w:rPr>
        <w:t xml:space="preserve">have to assess longer term impacts for such interventions that are aligned with </w:t>
      </w:r>
      <w:r w:rsidR="007C3453">
        <w:rPr>
          <w:rFonts w:asciiTheme="majorBidi" w:hAnsiTheme="majorBidi" w:cstheme="majorBidi"/>
          <w:szCs w:val="22"/>
        </w:rPr>
        <w:t>FFPSA</w:t>
      </w:r>
      <w:r w:rsidRPr="00112C5F">
        <w:rPr>
          <w:rFonts w:asciiTheme="majorBidi" w:hAnsiTheme="majorBidi" w:cstheme="majorBidi"/>
          <w:szCs w:val="22"/>
        </w:rPr>
        <w:t>?</w:t>
      </w:r>
    </w:p>
    <w:p w:rsidR="00D00309" w:rsidRPr="00CA65DF" w:rsidP="00793082" w14:paraId="3C268D7E" w14:textId="449A7603">
      <w:pPr>
        <w:pStyle w:val="Heading2"/>
        <w:numPr>
          <w:ilvl w:val="0"/>
          <w:numId w:val="0"/>
        </w:numPr>
        <w:spacing w:line="276" w:lineRule="auto"/>
        <w:ind w:left="720" w:hanging="720"/>
      </w:pPr>
      <w:r>
        <w:t xml:space="preserve">Topic </w:t>
      </w:r>
      <w:r w:rsidR="001635E2">
        <w:t>5</w:t>
      </w:r>
      <w:r>
        <w:t xml:space="preserve">. </w:t>
      </w:r>
      <w:r w:rsidR="0035229A">
        <w:t xml:space="preserve">Design &amp; Execution Standards </w:t>
      </w:r>
    </w:p>
    <w:p w:rsidR="00583B40" w:rsidRPr="00926CBB" w:rsidP="00935C13" w14:paraId="3A3606AD" w14:textId="19A12DDF">
      <w:pPr>
        <w:pStyle w:val="BodyText"/>
        <w:numPr>
          <w:ilvl w:val="0"/>
          <w:numId w:val="39"/>
        </w:numPr>
        <w:spacing w:line="240" w:lineRule="auto"/>
        <w:rPr>
          <w:rFonts w:asciiTheme="majorBidi" w:hAnsiTheme="majorBidi" w:cstheme="majorBidi"/>
          <w:szCs w:val="22"/>
        </w:rPr>
      </w:pPr>
      <w:r>
        <w:rPr>
          <w:rFonts w:asciiTheme="majorBidi" w:hAnsiTheme="majorBidi" w:cstheme="majorBidi"/>
          <w:szCs w:val="22"/>
        </w:rPr>
        <w:t>Baseline Equivalence</w:t>
      </w:r>
    </w:p>
    <w:p w:rsidR="0027478E" w:rsidRPr="00D90CA1" w:rsidP="0027478E" w14:paraId="66B33A0D" w14:textId="73461C5C">
      <w:pPr>
        <w:pStyle w:val="BodyText"/>
        <w:numPr>
          <w:ilvl w:val="1"/>
          <w:numId w:val="30"/>
        </w:numPr>
        <w:spacing w:line="240" w:lineRule="auto"/>
        <w:rPr>
          <w:rFonts w:asciiTheme="majorBidi" w:hAnsiTheme="majorBidi" w:cstheme="majorBidi"/>
          <w:szCs w:val="22"/>
        </w:rPr>
      </w:pPr>
      <w:r w:rsidRPr="00411EBD">
        <w:rPr>
          <w:rFonts w:asciiTheme="majorBidi" w:hAnsiTheme="majorBidi" w:cstheme="majorBidi"/>
        </w:rPr>
        <w:t xml:space="preserve">What clarifications and refinements would </w:t>
      </w:r>
      <w:r w:rsidR="003A19C3">
        <w:rPr>
          <w:rFonts w:asciiTheme="majorBidi" w:hAnsiTheme="majorBidi" w:cstheme="majorBidi"/>
        </w:rPr>
        <w:t>you</w:t>
      </w:r>
      <w:r w:rsidRPr="00411EBD" w:rsidR="003A19C3">
        <w:rPr>
          <w:rFonts w:asciiTheme="majorBidi" w:hAnsiTheme="majorBidi" w:cstheme="majorBidi"/>
        </w:rPr>
        <w:t xml:space="preserve"> </w:t>
      </w:r>
      <w:r w:rsidRPr="00411EBD">
        <w:rPr>
          <w:rFonts w:asciiTheme="majorBidi" w:hAnsiTheme="majorBidi" w:cstheme="majorBidi"/>
        </w:rPr>
        <w:t xml:space="preserve">suggest </w:t>
      </w:r>
      <w:r w:rsidRPr="00411EBD">
        <w:rPr>
          <w:rFonts w:asciiTheme="majorBidi" w:hAnsiTheme="majorBidi" w:cstheme="majorBidi"/>
        </w:rPr>
        <w:t>with regard to</w:t>
      </w:r>
      <w:r w:rsidRPr="00411EBD">
        <w:rPr>
          <w:rFonts w:asciiTheme="majorBidi" w:hAnsiTheme="majorBidi" w:cstheme="majorBidi"/>
        </w:rPr>
        <w:t xml:space="preserve"> the current baseline equivalence standards? </w:t>
      </w:r>
    </w:p>
    <w:p w:rsidR="00D90CA1" w:rsidRPr="00411EBD" w:rsidP="0027478E" w14:paraId="1CB240B4" w14:textId="0F0497EC">
      <w:pPr>
        <w:pStyle w:val="BodyText"/>
        <w:numPr>
          <w:ilvl w:val="1"/>
          <w:numId w:val="30"/>
        </w:numPr>
        <w:spacing w:line="240" w:lineRule="auto"/>
        <w:rPr>
          <w:rFonts w:asciiTheme="majorBidi" w:hAnsiTheme="majorBidi" w:cstheme="majorBidi"/>
          <w:szCs w:val="22"/>
        </w:rPr>
      </w:pPr>
      <w:r w:rsidRPr="00926CBB">
        <w:rPr>
          <w:rFonts w:asciiTheme="majorBidi" w:hAnsiTheme="majorBidi" w:cstheme="majorBidi"/>
          <w:szCs w:val="22"/>
        </w:rPr>
        <w:t xml:space="preserve">Are there clarifications and refinements to the standards for pre-tests and pre-test alternatives that would be more aligned with research practices in </w:t>
      </w:r>
      <w:r>
        <w:rPr>
          <w:rFonts w:asciiTheme="majorBidi" w:hAnsiTheme="majorBidi" w:cstheme="majorBidi"/>
          <w:szCs w:val="22"/>
        </w:rPr>
        <w:t>the [</w:t>
      </w:r>
      <w:r w:rsidR="00945E57">
        <w:rPr>
          <w:rFonts w:asciiTheme="majorBidi" w:hAnsiTheme="majorBidi" w:cstheme="majorBidi"/>
          <w:szCs w:val="22"/>
        </w:rPr>
        <w:t>insert program</w:t>
      </w:r>
      <w:r w:rsidR="00FB6F6C">
        <w:rPr>
          <w:rFonts w:asciiTheme="majorBidi" w:hAnsiTheme="majorBidi" w:cstheme="majorBidi"/>
          <w:szCs w:val="22"/>
        </w:rPr>
        <w:t xml:space="preserve"> or service</w:t>
      </w:r>
      <w:r w:rsidR="00945E57">
        <w:rPr>
          <w:rFonts w:asciiTheme="majorBidi" w:hAnsiTheme="majorBidi" w:cstheme="majorBidi"/>
          <w:szCs w:val="22"/>
        </w:rPr>
        <w:t xml:space="preserve"> </w:t>
      </w:r>
      <w:r w:rsidRPr="00926CBB">
        <w:rPr>
          <w:rFonts w:asciiTheme="majorBidi" w:hAnsiTheme="majorBidi" w:cstheme="majorBidi"/>
          <w:szCs w:val="22"/>
        </w:rPr>
        <w:t>area</w:t>
      </w:r>
      <w:r w:rsidR="00945E57">
        <w:rPr>
          <w:rFonts w:asciiTheme="majorBidi" w:hAnsiTheme="majorBidi" w:cstheme="majorBidi"/>
          <w:szCs w:val="22"/>
        </w:rPr>
        <w:t>]</w:t>
      </w:r>
      <w:r w:rsidRPr="00926CBB">
        <w:rPr>
          <w:rFonts w:asciiTheme="majorBidi" w:hAnsiTheme="majorBidi" w:cstheme="majorBidi"/>
          <w:szCs w:val="22"/>
        </w:rPr>
        <w:t xml:space="preserve"> while still maintaining rigor?</w:t>
      </w:r>
    </w:p>
    <w:p w:rsidR="00C2595B" w:rsidP="00F37932" w14:paraId="3382C6A0" w14:textId="6A5798E1">
      <w:pPr>
        <w:pStyle w:val="BodyText"/>
        <w:numPr>
          <w:ilvl w:val="1"/>
          <w:numId w:val="30"/>
        </w:numPr>
        <w:spacing w:line="240" w:lineRule="auto"/>
        <w:rPr>
          <w:rFonts w:asciiTheme="majorBidi" w:hAnsiTheme="majorBidi" w:cstheme="majorBidi"/>
        </w:rPr>
      </w:pPr>
      <w:r>
        <w:rPr>
          <w:rFonts w:asciiTheme="majorBidi" w:hAnsiTheme="majorBidi" w:cstheme="majorBidi"/>
        </w:rPr>
        <w:t xml:space="preserve">What are the </w:t>
      </w:r>
      <w:r w:rsidR="00A61249">
        <w:rPr>
          <w:rFonts w:asciiTheme="majorBidi" w:hAnsiTheme="majorBidi" w:cstheme="majorBidi"/>
        </w:rPr>
        <w:t>tradeoffs</w:t>
      </w:r>
      <w:r>
        <w:rPr>
          <w:rFonts w:asciiTheme="majorBidi" w:hAnsiTheme="majorBidi" w:cstheme="majorBidi"/>
        </w:rPr>
        <w:t xml:space="preserve"> of using race/ethnicity and socioeconomic status to establish baseline equivalence when direct pretests or pretest alternatives are not available? Are there alternatives that would be more acceptable in a child welfare context?</w:t>
      </w:r>
    </w:p>
    <w:p w:rsidR="00EC3507" w:rsidRPr="00717402" w:rsidP="00F37932" w14:paraId="49AE50C6" w14:textId="6CDE71F9">
      <w:pPr>
        <w:pStyle w:val="BodyText"/>
        <w:numPr>
          <w:ilvl w:val="1"/>
          <w:numId w:val="30"/>
        </w:numPr>
        <w:spacing w:line="240" w:lineRule="auto"/>
        <w:rPr>
          <w:rFonts w:asciiTheme="majorBidi" w:hAnsiTheme="majorBidi" w:cstheme="majorBidi"/>
        </w:rPr>
      </w:pPr>
      <w:r w:rsidRPr="00717402">
        <w:rPr>
          <w:rFonts w:asciiTheme="majorBidi" w:hAnsiTheme="majorBidi" w:cstheme="majorBidi"/>
        </w:rPr>
        <w:t xml:space="preserve">The most common reason that studies do not meet design and execution standards is baseline equivalence—either baseline descriptive statistics are not reported or the baseline measures that are reported are out of balance. In addition, </w:t>
      </w:r>
      <w:r w:rsidRPr="00717402">
        <w:rPr>
          <w:rFonts w:asciiTheme="majorBidi" w:hAnsiTheme="majorBidi" w:cstheme="majorBidi"/>
        </w:rPr>
        <w:t>the majority of</w:t>
      </w:r>
      <w:r w:rsidRPr="00717402">
        <w:rPr>
          <w:rFonts w:asciiTheme="majorBidi" w:hAnsiTheme="majorBidi" w:cstheme="majorBidi"/>
        </w:rPr>
        <w:t xml:space="preserve"> author queries request baseline descriptive statistics needed to establish baseline equivalence. Are there any refinements </w:t>
      </w:r>
      <w:r w:rsidR="003A19C3">
        <w:rPr>
          <w:rFonts w:asciiTheme="majorBidi" w:hAnsiTheme="majorBidi" w:cstheme="majorBidi"/>
        </w:rPr>
        <w:t>you</w:t>
      </w:r>
      <w:r w:rsidRPr="00717402" w:rsidR="003A19C3">
        <w:rPr>
          <w:rFonts w:asciiTheme="majorBidi" w:hAnsiTheme="majorBidi" w:cstheme="majorBidi"/>
        </w:rPr>
        <w:t xml:space="preserve"> </w:t>
      </w:r>
      <w:r w:rsidRPr="00717402">
        <w:rPr>
          <w:rFonts w:asciiTheme="majorBidi" w:hAnsiTheme="majorBidi" w:cstheme="majorBidi"/>
        </w:rPr>
        <w:t>would suggest making to the baseline equivalence standard that would continue to provide a moderate level of confidence that a study can produce a defensible causal impact estimate?</w:t>
      </w:r>
    </w:p>
    <w:p w:rsidR="0035229A" w:rsidP="00804E16" w14:paraId="0D3E9AF0" w14:textId="3441658C">
      <w:pPr>
        <w:pStyle w:val="BodyText"/>
        <w:numPr>
          <w:ilvl w:val="0"/>
          <w:numId w:val="39"/>
        </w:numPr>
        <w:spacing w:line="240" w:lineRule="auto"/>
        <w:rPr>
          <w:rFonts w:asciiTheme="majorBidi" w:hAnsiTheme="majorBidi" w:cstheme="majorBidi"/>
        </w:rPr>
      </w:pPr>
      <w:r>
        <w:rPr>
          <w:rFonts w:asciiTheme="majorBidi" w:hAnsiTheme="majorBidi" w:cstheme="majorBidi"/>
        </w:rPr>
        <w:t xml:space="preserve">Subgroup Analyses </w:t>
      </w:r>
    </w:p>
    <w:p w:rsidR="00BA183C" w:rsidP="00B132CA" w14:paraId="1A0C9244" w14:textId="3353C8D6">
      <w:pPr>
        <w:pStyle w:val="BodyText"/>
        <w:numPr>
          <w:ilvl w:val="1"/>
          <w:numId w:val="36"/>
        </w:numPr>
        <w:spacing w:line="240" w:lineRule="auto"/>
        <w:rPr>
          <w:rFonts w:asciiTheme="majorBidi" w:hAnsiTheme="majorBidi" w:cstheme="majorBidi"/>
        </w:rPr>
      </w:pPr>
      <w:r>
        <w:rPr>
          <w:rFonts w:asciiTheme="majorBidi" w:hAnsiTheme="majorBidi" w:cstheme="majorBidi"/>
        </w:rPr>
        <w:t>If</w:t>
      </w:r>
      <w:r w:rsidRPr="00234AD9">
        <w:rPr>
          <w:rFonts w:asciiTheme="majorBidi" w:hAnsiTheme="majorBidi" w:cstheme="majorBidi"/>
        </w:rPr>
        <w:t xml:space="preserve"> </w:t>
      </w:r>
      <w:r w:rsidRPr="00234AD9" w:rsidR="0035229A">
        <w:rPr>
          <w:rFonts w:asciiTheme="majorBidi" w:hAnsiTheme="majorBidi" w:cstheme="majorBidi"/>
        </w:rPr>
        <w:t xml:space="preserve">the Clearinghouse </w:t>
      </w:r>
      <w:r>
        <w:rPr>
          <w:rFonts w:asciiTheme="majorBidi" w:hAnsiTheme="majorBidi" w:cstheme="majorBidi"/>
        </w:rPr>
        <w:t xml:space="preserve">were to </w:t>
      </w:r>
      <w:r w:rsidRPr="00234AD9" w:rsidR="0035229A">
        <w:rPr>
          <w:rFonts w:asciiTheme="majorBidi" w:hAnsiTheme="majorBidi" w:cstheme="majorBidi"/>
        </w:rPr>
        <w:t>review subgroup analyses</w:t>
      </w:r>
      <w:r w:rsidRPr="00234AD9" w:rsidR="00234AD9">
        <w:rPr>
          <w:rFonts w:asciiTheme="majorBidi" w:hAnsiTheme="majorBidi" w:cstheme="majorBidi"/>
        </w:rPr>
        <w:t xml:space="preserve">, </w:t>
      </w:r>
      <w:r w:rsidR="00234AD9">
        <w:rPr>
          <w:rFonts w:asciiTheme="majorBidi" w:hAnsiTheme="majorBidi" w:cstheme="majorBidi"/>
        </w:rPr>
        <w:t>h</w:t>
      </w:r>
      <w:r w:rsidRPr="00234AD9" w:rsidR="0035229A">
        <w:rPr>
          <w:rFonts w:asciiTheme="majorBidi" w:hAnsiTheme="majorBidi" w:cstheme="majorBidi"/>
        </w:rPr>
        <w:t>ow should such analyses contribute to ratings?</w:t>
      </w:r>
      <w:r w:rsidR="001635E2">
        <w:rPr>
          <w:rFonts w:asciiTheme="majorBidi" w:hAnsiTheme="majorBidi" w:cstheme="majorBidi"/>
        </w:rPr>
        <w:t xml:space="preserve"> </w:t>
      </w:r>
    </w:p>
    <w:p w:rsidR="00D03D1F" w:rsidRPr="00E806B4" w:rsidP="00B132CA" w14:paraId="7304E14E" w14:textId="60E36B7E">
      <w:pPr>
        <w:pStyle w:val="BodyText"/>
        <w:numPr>
          <w:ilvl w:val="1"/>
          <w:numId w:val="36"/>
        </w:numPr>
        <w:spacing w:line="240" w:lineRule="auto"/>
        <w:rPr>
          <w:rFonts w:asciiTheme="majorBidi" w:hAnsiTheme="majorBidi" w:cstheme="majorBidi"/>
        </w:rPr>
      </w:pPr>
      <w:r w:rsidRPr="008D7D50">
        <w:rPr>
          <w:rFonts w:asciiTheme="majorBidi" w:hAnsiTheme="majorBidi" w:cstheme="majorBidi"/>
        </w:rPr>
        <w:t>What additional parameters would you suggest for determining whether or which subgroup analyses should be reviewed by the Clearinghouse (e.g., preregistered subgroup analyses; specification of confirmatory vs. exploratory analyses)?</w:t>
      </w:r>
    </w:p>
    <w:p w:rsidR="005A1A34" w:rsidP="00181F47" w14:paraId="288E8D9A" w14:textId="01909C3B">
      <w:pPr>
        <w:pStyle w:val="Heading2"/>
        <w:numPr>
          <w:ilvl w:val="0"/>
          <w:numId w:val="0"/>
        </w:numPr>
        <w:spacing w:line="276" w:lineRule="auto"/>
        <w:ind w:left="720" w:hanging="720"/>
      </w:pPr>
      <w:r>
        <w:t xml:space="preserve">Topic 6: </w:t>
      </w:r>
    </w:p>
    <w:p w:rsidR="00146C13" w:rsidP="00EC3D19" w14:paraId="36EB9A70" w14:textId="324046FE">
      <w:pPr>
        <w:pStyle w:val="ListParagraph"/>
        <w:numPr>
          <w:ilvl w:val="0"/>
          <w:numId w:val="29"/>
        </w:numPr>
        <w:spacing w:after="200" w:line="276" w:lineRule="auto"/>
      </w:pPr>
      <w:r>
        <w:t>What research design considerations, beyond those discussed so far today, might need to be part of our standards revision process</w:t>
      </w:r>
      <w:r w:rsidRPr="004627BF" w:rsidR="005A1A34">
        <w:t>?</w:t>
      </w:r>
    </w:p>
    <w:p w:rsidR="005A1A34" w:rsidP="00A3228D" w14:paraId="03117F43" w14:textId="594AA331">
      <w:pPr>
        <w:spacing w:after="200" w:line="276" w:lineRule="auto"/>
        <w:rPr>
          <w:i/>
        </w:rPr>
      </w:pPr>
      <w:r w:rsidRPr="00146C13">
        <w:rPr>
          <w:i/>
        </w:rPr>
        <w:t>Thank you so much for participating in this session and sharing your helpful input.</w:t>
      </w:r>
      <w:r w:rsidR="00E572F9">
        <w:rPr>
          <w:i/>
        </w:rPr>
        <w:t xml:space="preserve"> Please s</w:t>
      </w:r>
      <w:r w:rsidR="008E371A">
        <w:rPr>
          <w:i/>
        </w:rPr>
        <w:t>end your feedback forms back to {XXX}, who will also be contacting you to arrange for the honorarium payment</w:t>
      </w:r>
      <w:r w:rsidRPr="00146C13">
        <w:rPr>
          <w:i/>
        </w:rPr>
        <w:t>.</w:t>
      </w:r>
    </w:p>
    <w:p w:rsidR="004272CB" w:rsidRPr="004272CB" w:rsidP="004272CB" w14:paraId="4DDE646D" w14:textId="77777777">
      <w:pPr>
        <w:spacing w:after="200" w:line="276" w:lineRule="auto"/>
        <w:rPr>
          <w:i/>
        </w:rPr>
      </w:pPr>
    </w:p>
    <w:sectPr w:rsidSect="003A0DA9">
      <w:headerReference w:type="default" r:id="rId8"/>
      <w:footerReference w:type="default" r:id="rId9"/>
      <w:pgSz w:w="12240" w:h="15840" w:code="1"/>
      <w:pgMar w:top="1440" w:right="1440" w:bottom="1440" w:left="1440" w:header="108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F13" w:rsidRPr="0066134E" w:rsidP="00E94524" w14:paraId="48455965" w14:textId="65849D25">
    <w:pPr>
      <w:pStyle w:val="Footer"/>
      <w:tabs>
        <w:tab w:val="clear" w:pos="4507"/>
        <w:tab w:val="clear" w:pos="9000"/>
        <w:tab w:val="right" w:pos="9360"/>
      </w:tabs>
    </w:pPr>
    <w:r w:rsidRPr="00967D7C">
      <w:rPr>
        <w:color w:val="DA291C"/>
      </w:rPr>
      <w:t>Abt Associ</w:t>
    </w:r>
    <w:r>
      <w:rPr>
        <w:color w:val="DA291C"/>
      </w:rPr>
      <w:t xml:space="preserve">ates </w:t>
    </w:r>
    <w:r w:rsidRPr="0066134E">
      <w:tab/>
    </w:r>
    <w:r>
      <w:rPr>
        <w:rStyle w:val="PageNumber"/>
        <w:b/>
      </w:rPr>
      <w:t xml:space="preserve">Title IV-E Prevention Services Clearinghouse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430AE">
      <w:rPr>
        <w:rStyle w:val="PageNumber"/>
        <w:b/>
        <w:noProof/>
        <w:color w:val="DA291C"/>
      </w:rPr>
      <w:t>6</w:t>
    </w:r>
    <w:r w:rsidRPr="002064D3">
      <w:rPr>
        <w:rStyle w:val="PageNumber"/>
        <w:b/>
        <w:noProof/>
        <w:color w:val="DA291C"/>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F13" w:rsidRPr="007E78C1" w:rsidP="00E94524" w14:paraId="0DC00708" w14:textId="08E0BE86">
    <w:pPr>
      <w:pStyle w:val="Header"/>
    </w:pPr>
    <w:r>
      <w:t>Expert Consultations –</w:t>
    </w:r>
    <w:r w:rsidR="00AE1C16">
      <w:t xml:space="preserve"> </w:t>
    </w:r>
    <w:r w:rsidR="00756B1F">
      <w:t>Discussion</w:t>
    </w:r>
    <w:r w:rsidR="00053DA0">
      <w:t xml:space="preserve">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863C0"/>
    <w:multiLevelType w:val="hybridMultilevel"/>
    <w:tmpl w:val="32A2C3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5E1DBD"/>
    <w:multiLevelType w:val="hybridMultilevel"/>
    <w:tmpl w:val="9BD6CD2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831CCB"/>
    <w:multiLevelType w:val="multilevel"/>
    <w:tmpl w:val="A1D29D12"/>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00B16AC"/>
    <w:multiLevelType w:val="hybridMultilevel"/>
    <w:tmpl w:val="738A177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F92500"/>
    <w:multiLevelType w:val="hybridMultilevel"/>
    <w:tmpl w:val="8FF8B3F4"/>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AF34E5"/>
    <w:multiLevelType w:val="hybridMultilevel"/>
    <w:tmpl w:val="1C9CDE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D6092B"/>
    <w:multiLevelType w:val="hybridMultilevel"/>
    <w:tmpl w:val="786A02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C947130"/>
    <w:multiLevelType w:val="hybridMultilevel"/>
    <w:tmpl w:val="42D66690"/>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E50C30"/>
    <w:multiLevelType w:val="multilevel"/>
    <w:tmpl w:val="777E7A3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D863AD5"/>
    <w:multiLevelType w:val="hybridMultilevel"/>
    <w:tmpl w:val="1B32C4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E442EFD"/>
    <w:multiLevelType w:val="hybridMultilevel"/>
    <w:tmpl w:val="4C3C221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3C41C0"/>
    <w:multiLevelType w:val="hybridMultilevel"/>
    <w:tmpl w:val="0F128A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57456EA"/>
    <w:multiLevelType w:val="singleLevel"/>
    <w:tmpl w:val="BE94DE2A"/>
    <w:lvl w:ilvl="0">
      <w:start w:val="1"/>
      <w:numFmt w:val="decimal"/>
      <w:lvlText w:val="%1."/>
      <w:lvlJc w:val="left"/>
      <w:pPr>
        <w:tabs>
          <w:tab w:val="num" w:pos="720"/>
        </w:tabs>
        <w:ind w:left="720" w:hanging="720"/>
      </w:pPr>
    </w:lvl>
  </w:abstractNum>
  <w:abstractNum w:abstractNumId="14">
    <w:nsid w:val="370740E5"/>
    <w:multiLevelType w:val="hybridMultilevel"/>
    <w:tmpl w:val="F9B424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7FE466E"/>
    <w:multiLevelType w:val="multilevel"/>
    <w:tmpl w:val="4CEC91D4"/>
    <w:lvl w:ilvl="0">
      <w:start w:val="1"/>
      <w:numFmt w:val="bullet"/>
      <w:lvlText w:val="·"/>
      <w:lvlJc w:val="left"/>
      <w:pPr>
        <w:tabs>
          <w:tab w:val="left" w:pos="144"/>
        </w:tabs>
        <w:ind w:left="720"/>
      </w:pPr>
      <w:rPr>
        <w:rFonts w:ascii="Symbol" w:eastAsia="Symbol" w:hAnsi="Symbol"/>
        <w:strike w:val="0"/>
        <w:color w:val="000000"/>
        <w:spacing w:val="-4"/>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82B1609"/>
    <w:multiLevelType w:val="hybridMultilevel"/>
    <w:tmpl w:val="F87C44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97C0EFD"/>
    <w:multiLevelType w:val="hybridMultilevel"/>
    <w:tmpl w:val="0B0C4B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DBC1E27"/>
    <w:multiLevelType w:val="hybridMultilevel"/>
    <w:tmpl w:val="0B0C4B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21">
    <w:nsid w:val="3F892597"/>
    <w:multiLevelType w:val="hybridMultilevel"/>
    <w:tmpl w:val="A762E7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180011A"/>
    <w:multiLevelType w:val="hybridMultilevel"/>
    <w:tmpl w:val="AC34E97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0E370F"/>
    <w:multiLevelType w:val="singleLevel"/>
    <w:tmpl w:val="DFE01D44"/>
    <w:lvl w:ilvl="0">
      <w:start w:val="1"/>
      <w:numFmt w:val="decimal"/>
      <w:lvlText w:val="%1."/>
      <w:lvlJc w:val="left"/>
      <w:pPr>
        <w:tabs>
          <w:tab w:val="num" w:pos="1080"/>
        </w:tabs>
        <w:ind w:left="1080" w:hanging="360"/>
      </w:pPr>
    </w:lvl>
  </w:abstractNum>
  <w:abstractNum w:abstractNumId="24">
    <w:nsid w:val="4B8903CF"/>
    <w:multiLevelType w:val="hybridMultilevel"/>
    <w:tmpl w:val="B9AA382E"/>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BC72C3"/>
    <w:multiLevelType w:val="hybridMultilevel"/>
    <w:tmpl w:val="42D66690"/>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661B60"/>
    <w:multiLevelType w:val="hybridMultilevel"/>
    <w:tmpl w:val="AC34E97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971B8D"/>
    <w:multiLevelType w:val="hybridMultilevel"/>
    <w:tmpl w:val="1DC6886C"/>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C323A3"/>
    <w:multiLevelType w:val="hybridMultilevel"/>
    <w:tmpl w:val="1C9CDE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38F429E"/>
    <w:multiLevelType w:val="hybridMultilevel"/>
    <w:tmpl w:val="EB92D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0F78FD"/>
    <w:multiLevelType w:val="hybridMultilevel"/>
    <w:tmpl w:val="AC34E97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8C765B"/>
    <w:multiLevelType w:val="hybridMultilevel"/>
    <w:tmpl w:val="CD76B80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6C4D5D"/>
    <w:multiLevelType w:val="hybridMultilevel"/>
    <w:tmpl w:val="C17C5B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35">
    <w:nsid w:val="75F642E0"/>
    <w:multiLevelType w:val="hybridMultilevel"/>
    <w:tmpl w:val="8FF8B3F4"/>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FC1C07"/>
    <w:multiLevelType w:val="hybridMultilevel"/>
    <w:tmpl w:val="BD5AA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5E35BA"/>
    <w:multiLevelType w:val="hybridMultilevel"/>
    <w:tmpl w:val="D5060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9">
    <w:nsid w:val="7D9174C1"/>
    <w:multiLevelType w:val="hybridMultilevel"/>
    <w:tmpl w:val="D4D23AA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38"/>
  </w:num>
  <w:num w:numId="4">
    <w:abstractNumId w:val="20"/>
  </w:num>
  <w:num w:numId="5">
    <w:abstractNumId w:val="40"/>
  </w:num>
  <w:num w:numId="6">
    <w:abstractNumId w:val="15"/>
  </w:num>
  <w:num w:numId="7">
    <w:abstractNumId w:val="2"/>
  </w:num>
  <w:num w:numId="8">
    <w:abstractNumId w:val="9"/>
  </w:num>
  <w:num w:numId="9">
    <w:abstractNumId w:val="13"/>
  </w:num>
  <w:num w:numId="10">
    <w:abstractNumId w:val="34"/>
  </w:num>
  <w:num w:numId="11">
    <w:abstractNumId w:val="23"/>
  </w:num>
  <w:num w:numId="12">
    <w:abstractNumId w:val="36"/>
  </w:num>
  <w:num w:numId="13">
    <w:abstractNumId w:val="16"/>
  </w:num>
  <w:num w:numId="14">
    <w:abstractNumId w:val="20"/>
  </w:num>
  <w:num w:numId="15">
    <w:abstractNumId w:val="29"/>
  </w:num>
  <w:num w:numId="16">
    <w:abstractNumId w:val="18"/>
  </w:num>
  <w:num w:numId="17">
    <w:abstractNumId w:val="31"/>
  </w:num>
  <w:num w:numId="18">
    <w:abstractNumId w:val="8"/>
  </w:num>
  <w:num w:numId="19">
    <w:abstractNumId w:val="32"/>
  </w:num>
  <w:num w:numId="20">
    <w:abstractNumId w:val="24"/>
  </w:num>
  <w:num w:numId="21">
    <w:abstractNumId w:val="1"/>
  </w:num>
  <w:num w:numId="22">
    <w:abstractNumId w:val="27"/>
  </w:num>
  <w:num w:numId="23">
    <w:abstractNumId w:val="39"/>
  </w:num>
  <w:num w:numId="24">
    <w:abstractNumId w:val="26"/>
  </w:num>
  <w:num w:numId="25">
    <w:abstractNumId w:val="22"/>
  </w:num>
  <w:num w:numId="26">
    <w:abstractNumId w:val="30"/>
  </w:num>
  <w:num w:numId="27">
    <w:abstractNumId w:val="35"/>
  </w:num>
  <w:num w:numId="28">
    <w:abstractNumId w:val="4"/>
  </w:num>
  <w:num w:numId="29">
    <w:abstractNumId w:val="25"/>
  </w:num>
  <w:num w:numId="30">
    <w:abstractNumId w:val="3"/>
  </w:num>
  <w:num w:numId="31">
    <w:abstractNumId w:val="17"/>
  </w:num>
  <w:num w:numId="32">
    <w:abstractNumId w:val="37"/>
  </w:num>
  <w:num w:numId="33">
    <w:abstractNumId w:val="10"/>
  </w:num>
  <w:num w:numId="34">
    <w:abstractNumId w:val="28"/>
  </w:num>
  <w:num w:numId="35">
    <w:abstractNumId w:val="19"/>
  </w:num>
  <w:num w:numId="36">
    <w:abstractNumId w:val="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1"/>
  </w:num>
  <w:num w:numId="40">
    <w:abstractNumId w:val="14"/>
  </w:num>
  <w:num w:numId="41">
    <w:abstractNumId w:val="0"/>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36F3"/>
    <w:rsid w:val="00016E17"/>
    <w:rsid w:val="000177E9"/>
    <w:rsid w:val="0002216E"/>
    <w:rsid w:val="00022B5A"/>
    <w:rsid w:val="00035827"/>
    <w:rsid w:val="00040E00"/>
    <w:rsid w:val="000440A2"/>
    <w:rsid w:val="00046728"/>
    <w:rsid w:val="000525E0"/>
    <w:rsid w:val="00053DA0"/>
    <w:rsid w:val="00053EEF"/>
    <w:rsid w:val="000542D6"/>
    <w:rsid w:val="000543DC"/>
    <w:rsid w:val="00054FCD"/>
    <w:rsid w:val="00055022"/>
    <w:rsid w:val="000556C8"/>
    <w:rsid w:val="0005750B"/>
    <w:rsid w:val="00060199"/>
    <w:rsid w:val="0006045E"/>
    <w:rsid w:val="0006113F"/>
    <w:rsid w:val="0006587B"/>
    <w:rsid w:val="00067769"/>
    <w:rsid w:val="00070322"/>
    <w:rsid w:val="00076A4B"/>
    <w:rsid w:val="0008246B"/>
    <w:rsid w:val="00082D01"/>
    <w:rsid w:val="000839C1"/>
    <w:rsid w:val="000849AB"/>
    <w:rsid w:val="00087856"/>
    <w:rsid w:val="000902AA"/>
    <w:rsid w:val="00091C6A"/>
    <w:rsid w:val="00093B28"/>
    <w:rsid w:val="00095D40"/>
    <w:rsid w:val="00095E81"/>
    <w:rsid w:val="000977EE"/>
    <w:rsid w:val="000A00A2"/>
    <w:rsid w:val="000A1BC0"/>
    <w:rsid w:val="000A1C6D"/>
    <w:rsid w:val="000A4516"/>
    <w:rsid w:val="000A7A79"/>
    <w:rsid w:val="000A7A7B"/>
    <w:rsid w:val="000A7D69"/>
    <w:rsid w:val="000B33D1"/>
    <w:rsid w:val="000C0A39"/>
    <w:rsid w:val="000C0C51"/>
    <w:rsid w:val="000C250F"/>
    <w:rsid w:val="000C3040"/>
    <w:rsid w:val="000C4311"/>
    <w:rsid w:val="000D53F1"/>
    <w:rsid w:val="000D5777"/>
    <w:rsid w:val="000D70CA"/>
    <w:rsid w:val="000D7AA5"/>
    <w:rsid w:val="000E1A73"/>
    <w:rsid w:val="000E60EA"/>
    <w:rsid w:val="000E6B75"/>
    <w:rsid w:val="000F53F4"/>
    <w:rsid w:val="0010085C"/>
    <w:rsid w:val="00100D2A"/>
    <w:rsid w:val="00101BC4"/>
    <w:rsid w:val="001034D7"/>
    <w:rsid w:val="00104E79"/>
    <w:rsid w:val="00104F2A"/>
    <w:rsid w:val="00106BCD"/>
    <w:rsid w:val="00107A04"/>
    <w:rsid w:val="00111300"/>
    <w:rsid w:val="0011170B"/>
    <w:rsid w:val="00112C5F"/>
    <w:rsid w:val="001178CA"/>
    <w:rsid w:val="0012472E"/>
    <w:rsid w:val="001307A5"/>
    <w:rsid w:val="00133465"/>
    <w:rsid w:val="001362E7"/>
    <w:rsid w:val="001436F0"/>
    <w:rsid w:val="00145A08"/>
    <w:rsid w:val="00145C0A"/>
    <w:rsid w:val="00146C13"/>
    <w:rsid w:val="00146DA3"/>
    <w:rsid w:val="00152153"/>
    <w:rsid w:val="00154F17"/>
    <w:rsid w:val="00156215"/>
    <w:rsid w:val="00157E04"/>
    <w:rsid w:val="00160534"/>
    <w:rsid w:val="00160657"/>
    <w:rsid w:val="00160B87"/>
    <w:rsid w:val="001635E2"/>
    <w:rsid w:val="001638B9"/>
    <w:rsid w:val="00163C7B"/>
    <w:rsid w:val="00163CB1"/>
    <w:rsid w:val="001677DC"/>
    <w:rsid w:val="00172119"/>
    <w:rsid w:val="00176D0B"/>
    <w:rsid w:val="00181F47"/>
    <w:rsid w:val="00185EB2"/>
    <w:rsid w:val="001927B6"/>
    <w:rsid w:val="00197072"/>
    <w:rsid w:val="001A04CE"/>
    <w:rsid w:val="001A0E0A"/>
    <w:rsid w:val="001A23B5"/>
    <w:rsid w:val="001A403F"/>
    <w:rsid w:val="001A4633"/>
    <w:rsid w:val="001B4509"/>
    <w:rsid w:val="001B5B6F"/>
    <w:rsid w:val="001C0891"/>
    <w:rsid w:val="001C10AF"/>
    <w:rsid w:val="001C5253"/>
    <w:rsid w:val="001D4FDD"/>
    <w:rsid w:val="001D617B"/>
    <w:rsid w:val="001E2CF1"/>
    <w:rsid w:val="001F1E34"/>
    <w:rsid w:val="001F2F61"/>
    <w:rsid w:val="00200E58"/>
    <w:rsid w:val="002021BC"/>
    <w:rsid w:val="002064D3"/>
    <w:rsid w:val="002106BF"/>
    <w:rsid w:val="002176B8"/>
    <w:rsid w:val="002205E3"/>
    <w:rsid w:val="002216AD"/>
    <w:rsid w:val="00221D99"/>
    <w:rsid w:val="00222D24"/>
    <w:rsid w:val="00223A9F"/>
    <w:rsid w:val="0022674D"/>
    <w:rsid w:val="00227977"/>
    <w:rsid w:val="00233A91"/>
    <w:rsid w:val="0023449A"/>
    <w:rsid w:val="00234AD9"/>
    <w:rsid w:val="00235F88"/>
    <w:rsid w:val="00245317"/>
    <w:rsid w:val="0024632C"/>
    <w:rsid w:val="002513B1"/>
    <w:rsid w:val="00255975"/>
    <w:rsid w:val="0025649A"/>
    <w:rsid w:val="00257CFE"/>
    <w:rsid w:val="0026308D"/>
    <w:rsid w:val="00263966"/>
    <w:rsid w:val="00266796"/>
    <w:rsid w:val="002702F7"/>
    <w:rsid w:val="00270FF2"/>
    <w:rsid w:val="00273EAA"/>
    <w:rsid w:val="0027478E"/>
    <w:rsid w:val="00275924"/>
    <w:rsid w:val="00276702"/>
    <w:rsid w:val="002778E5"/>
    <w:rsid w:val="002819B8"/>
    <w:rsid w:val="0028328D"/>
    <w:rsid w:val="002838F5"/>
    <w:rsid w:val="00285BB6"/>
    <w:rsid w:val="002903DF"/>
    <w:rsid w:val="0029491C"/>
    <w:rsid w:val="00294AD2"/>
    <w:rsid w:val="002A0552"/>
    <w:rsid w:val="002A35CF"/>
    <w:rsid w:val="002A4078"/>
    <w:rsid w:val="002A5CE0"/>
    <w:rsid w:val="002A7F00"/>
    <w:rsid w:val="002B2F3C"/>
    <w:rsid w:val="002B4842"/>
    <w:rsid w:val="002C2CE7"/>
    <w:rsid w:val="002C32AB"/>
    <w:rsid w:val="002C41F9"/>
    <w:rsid w:val="002C4495"/>
    <w:rsid w:val="002C5998"/>
    <w:rsid w:val="002C5AC8"/>
    <w:rsid w:val="002C76AB"/>
    <w:rsid w:val="002D4536"/>
    <w:rsid w:val="002D48C3"/>
    <w:rsid w:val="002D5525"/>
    <w:rsid w:val="002E0162"/>
    <w:rsid w:val="002E36FC"/>
    <w:rsid w:val="002F422C"/>
    <w:rsid w:val="002F48C8"/>
    <w:rsid w:val="002F55CE"/>
    <w:rsid w:val="002F6B1E"/>
    <w:rsid w:val="002F6DF3"/>
    <w:rsid w:val="002F71BD"/>
    <w:rsid w:val="002F76F5"/>
    <w:rsid w:val="002F7A8F"/>
    <w:rsid w:val="00314A8A"/>
    <w:rsid w:val="00324EC2"/>
    <w:rsid w:val="003279F2"/>
    <w:rsid w:val="00332B46"/>
    <w:rsid w:val="00334F50"/>
    <w:rsid w:val="00342A86"/>
    <w:rsid w:val="00342BA9"/>
    <w:rsid w:val="003455BC"/>
    <w:rsid w:val="0035229A"/>
    <w:rsid w:val="00354503"/>
    <w:rsid w:val="00361A15"/>
    <w:rsid w:val="003623F0"/>
    <w:rsid w:val="00362DFC"/>
    <w:rsid w:val="00370164"/>
    <w:rsid w:val="003711CD"/>
    <w:rsid w:val="003731C4"/>
    <w:rsid w:val="00380DB1"/>
    <w:rsid w:val="003826C6"/>
    <w:rsid w:val="00383BFC"/>
    <w:rsid w:val="00384611"/>
    <w:rsid w:val="00384CA0"/>
    <w:rsid w:val="003870BA"/>
    <w:rsid w:val="00395A89"/>
    <w:rsid w:val="00395E02"/>
    <w:rsid w:val="00397333"/>
    <w:rsid w:val="003979FC"/>
    <w:rsid w:val="003A0DA9"/>
    <w:rsid w:val="003A19C3"/>
    <w:rsid w:val="003A2FA8"/>
    <w:rsid w:val="003A3403"/>
    <w:rsid w:val="003A422E"/>
    <w:rsid w:val="003A61B8"/>
    <w:rsid w:val="003A6F74"/>
    <w:rsid w:val="003B0F27"/>
    <w:rsid w:val="003B4770"/>
    <w:rsid w:val="003B74C8"/>
    <w:rsid w:val="003C0107"/>
    <w:rsid w:val="003C20BF"/>
    <w:rsid w:val="003C796B"/>
    <w:rsid w:val="003D5616"/>
    <w:rsid w:val="003D630D"/>
    <w:rsid w:val="003E46A8"/>
    <w:rsid w:val="003E666B"/>
    <w:rsid w:val="003F1456"/>
    <w:rsid w:val="003F2B77"/>
    <w:rsid w:val="003F3E19"/>
    <w:rsid w:val="004008B3"/>
    <w:rsid w:val="00410CF2"/>
    <w:rsid w:val="00411EBD"/>
    <w:rsid w:val="00412EC7"/>
    <w:rsid w:val="00423092"/>
    <w:rsid w:val="00424FFB"/>
    <w:rsid w:val="004253E8"/>
    <w:rsid w:val="004272CB"/>
    <w:rsid w:val="00427E1C"/>
    <w:rsid w:val="00427EA9"/>
    <w:rsid w:val="00431392"/>
    <w:rsid w:val="004313E2"/>
    <w:rsid w:val="004319BC"/>
    <w:rsid w:val="00431BA8"/>
    <w:rsid w:val="004325C6"/>
    <w:rsid w:val="004350B0"/>
    <w:rsid w:val="00436CE5"/>
    <w:rsid w:val="00440B2B"/>
    <w:rsid w:val="00445765"/>
    <w:rsid w:val="00447B7B"/>
    <w:rsid w:val="004524A4"/>
    <w:rsid w:val="00452531"/>
    <w:rsid w:val="00453FE3"/>
    <w:rsid w:val="004627BF"/>
    <w:rsid w:val="00470AB4"/>
    <w:rsid w:val="00472E16"/>
    <w:rsid w:val="004734DF"/>
    <w:rsid w:val="00473F35"/>
    <w:rsid w:val="0047417F"/>
    <w:rsid w:val="0048119B"/>
    <w:rsid w:val="00484359"/>
    <w:rsid w:val="00485BF4"/>
    <w:rsid w:val="00486943"/>
    <w:rsid w:val="00487FB5"/>
    <w:rsid w:val="00495B91"/>
    <w:rsid w:val="004A12BE"/>
    <w:rsid w:val="004A1A5C"/>
    <w:rsid w:val="004A5408"/>
    <w:rsid w:val="004A5C54"/>
    <w:rsid w:val="004A6E2E"/>
    <w:rsid w:val="004A72BE"/>
    <w:rsid w:val="004A7753"/>
    <w:rsid w:val="004C18DF"/>
    <w:rsid w:val="004C29E5"/>
    <w:rsid w:val="004C2B46"/>
    <w:rsid w:val="004C6BDE"/>
    <w:rsid w:val="004D4C6D"/>
    <w:rsid w:val="004D7ED8"/>
    <w:rsid w:val="004E01A4"/>
    <w:rsid w:val="004F6742"/>
    <w:rsid w:val="004F709B"/>
    <w:rsid w:val="004F78ED"/>
    <w:rsid w:val="00503049"/>
    <w:rsid w:val="005156D5"/>
    <w:rsid w:val="0052169F"/>
    <w:rsid w:val="0052440E"/>
    <w:rsid w:val="0053019B"/>
    <w:rsid w:val="00534B03"/>
    <w:rsid w:val="00534C33"/>
    <w:rsid w:val="00536DB4"/>
    <w:rsid w:val="0054025D"/>
    <w:rsid w:val="005402EE"/>
    <w:rsid w:val="00543BF7"/>
    <w:rsid w:val="00546FDE"/>
    <w:rsid w:val="00550F0E"/>
    <w:rsid w:val="0055123E"/>
    <w:rsid w:val="00553134"/>
    <w:rsid w:val="0056063F"/>
    <w:rsid w:val="00574572"/>
    <w:rsid w:val="00576D1D"/>
    <w:rsid w:val="00583B40"/>
    <w:rsid w:val="00585CA4"/>
    <w:rsid w:val="00592720"/>
    <w:rsid w:val="00594D98"/>
    <w:rsid w:val="005952C7"/>
    <w:rsid w:val="00597948"/>
    <w:rsid w:val="005A1A34"/>
    <w:rsid w:val="005A2F8F"/>
    <w:rsid w:val="005B1AC5"/>
    <w:rsid w:val="005B1FEE"/>
    <w:rsid w:val="005B2526"/>
    <w:rsid w:val="005B4593"/>
    <w:rsid w:val="005B6A25"/>
    <w:rsid w:val="005B78D2"/>
    <w:rsid w:val="005C4647"/>
    <w:rsid w:val="005C519F"/>
    <w:rsid w:val="005D45B6"/>
    <w:rsid w:val="005D5A9A"/>
    <w:rsid w:val="005E0CF2"/>
    <w:rsid w:val="005E2AEA"/>
    <w:rsid w:val="005E6B70"/>
    <w:rsid w:val="005F5BD3"/>
    <w:rsid w:val="005F6DC7"/>
    <w:rsid w:val="006011F1"/>
    <w:rsid w:val="00602153"/>
    <w:rsid w:val="0060288A"/>
    <w:rsid w:val="00603342"/>
    <w:rsid w:val="006122D8"/>
    <w:rsid w:val="0061247A"/>
    <w:rsid w:val="00612E34"/>
    <w:rsid w:val="00615938"/>
    <w:rsid w:val="006234E4"/>
    <w:rsid w:val="0063014E"/>
    <w:rsid w:val="00646D81"/>
    <w:rsid w:val="0065112D"/>
    <w:rsid w:val="0065247E"/>
    <w:rsid w:val="006566BC"/>
    <w:rsid w:val="00656D63"/>
    <w:rsid w:val="0066134E"/>
    <w:rsid w:val="0066438B"/>
    <w:rsid w:val="00680489"/>
    <w:rsid w:val="00680C65"/>
    <w:rsid w:val="00681124"/>
    <w:rsid w:val="006814BB"/>
    <w:rsid w:val="006840EB"/>
    <w:rsid w:val="006845A4"/>
    <w:rsid w:val="00686B49"/>
    <w:rsid w:val="0069342C"/>
    <w:rsid w:val="0069461E"/>
    <w:rsid w:val="00695305"/>
    <w:rsid w:val="0069723E"/>
    <w:rsid w:val="006A541C"/>
    <w:rsid w:val="006A5B3B"/>
    <w:rsid w:val="006B1DA6"/>
    <w:rsid w:val="006B49D3"/>
    <w:rsid w:val="006B5F82"/>
    <w:rsid w:val="006C646D"/>
    <w:rsid w:val="006C7A4C"/>
    <w:rsid w:val="006D406B"/>
    <w:rsid w:val="006D72B3"/>
    <w:rsid w:val="006E0A45"/>
    <w:rsid w:val="006E2B32"/>
    <w:rsid w:val="006E2EAC"/>
    <w:rsid w:val="006F0255"/>
    <w:rsid w:val="006F0A37"/>
    <w:rsid w:val="006F2B34"/>
    <w:rsid w:val="006F6B73"/>
    <w:rsid w:val="007057ED"/>
    <w:rsid w:val="0070672F"/>
    <w:rsid w:val="007076AF"/>
    <w:rsid w:val="007105A6"/>
    <w:rsid w:val="00715417"/>
    <w:rsid w:val="00716549"/>
    <w:rsid w:val="00717402"/>
    <w:rsid w:val="00717B79"/>
    <w:rsid w:val="00726DD4"/>
    <w:rsid w:val="00730195"/>
    <w:rsid w:val="00730F56"/>
    <w:rsid w:val="00741A4A"/>
    <w:rsid w:val="00743066"/>
    <w:rsid w:val="00744E2C"/>
    <w:rsid w:val="00747D8E"/>
    <w:rsid w:val="007520E3"/>
    <w:rsid w:val="00752119"/>
    <w:rsid w:val="00754408"/>
    <w:rsid w:val="00756B1F"/>
    <w:rsid w:val="007631C7"/>
    <w:rsid w:val="00763CCC"/>
    <w:rsid w:val="00767D18"/>
    <w:rsid w:val="00776C72"/>
    <w:rsid w:val="0078258F"/>
    <w:rsid w:val="00782672"/>
    <w:rsid w:val="007846BC"/>
    <w:rsid w:val="00793082"/>
    <w:rsid w:val="007931B3"/>
    <w:rsid w:val="00794B6E"/>
    <w:rsid w:val="00794CFD"/>
    <w:rsid w:val="007969A4"/>
    <w:rsid w:val="007A0114"/>
    <w:rsid w:val="007A07D4"/>
    <w:rsid w:val="007B1321"/>
    <w:rsid w:val="007B1904"/>
    <w:rsid w:val="007B2DB1"/>
    <w:rsid w:val="007C062B"/>
    <w:rsid w:val="007C3453"/>
    <w:rsid w:val="007C5A52"/>
    <w:rsid w:val="007C5B86"/>
    <w:rsid w:val="007D3F5F"/>
    <w:rsid w:val="007D5CB8"/>
    <w:rsid w:val="007D5DC4"/>
    <w:rsid w:val="007D6370"/>
    <w:rsid w:val="007E092F"/>
    <w:rsid w:val="007E3F97"/>
    <w:rsid w:val="007E5EC0"/>
    <w:rsid w:val="007E78C1"/>
    <w:rsid w:val="007F5AAE"/>
    <w:rsid w:val="0080098A"/>
    <w:rsid w:val="00801761"/>
    <w:rsid w:val="00802FB9"/>
    <w:rsid w:val="00804E16"/>
    <w:rsid w:val="008111EB"/>
    <w:rsid w:val="008130C9"/>
    <w:rsid w:val="00813D02"/>
    <w:rsid w:val="00814833"/>
    <w:rsid w:val="0082033D"/>
    <w:rsid w:val="00820A25"/>
    <w:rsid w:val="00821BF6"/>
    <w:rsid w:val="008222AD"/>
    <w:rsid w:val="00830A37"/>
    <w:rsid w:val="0083104D"/>
    <w:rsid w:val="00832363"/>
    <w:rsid w:val="008349AE"/>
    <w:rsid w:val="00834DC2"/>
    <w:rsid w:val="00845F5B"/>
    <w:rsid w:val="00846D77"/>
    <w:rsid w:val="0084732E"/>
    <w:rsid w:val="00847BB7"/>
    <w:rsid w:val="00852480"/>
    <w:rsid w:val="00854B99"/>
    <w:rsid w:val="00856632"/>
    <w:rsid w:val="0086083D"/>
    <w:rsid w:val="00867308"/>
    <w:rsid w:val="00873972"/>
    <w:rsid w:val="00890C4E"/>
    <w:rsid w:val="008B0543"/>
    <w:rsid w:val="008B5BFB"/>
    <w:rsid w:val="008C0888"/>
    <w:rsid w:val="008C2657"/>
    <w:rsid w:val="008C3505"/>
    <w:rsid w:val="008C4CA7"/>
    <w:rsid w:val="008D30EA"/>
    <w:rsid w:val="008D55C8"/>
    <w:rsid w:val="008D6B6C"/>
    <w:rsid w:val="008D6E36"/>
    <w:rsid w:val="008D7D50"/>
    <w:rsid w:val="008E20DE"/>
    <w:rsid w:val="008E371A"/>
    <w:rsid w:val="008E607C"/>
    <w:rsid w:val="008F03A5"/>
    <w:rsid w:val="008F1770"/>
    <w:rsid w:val="008F6B11"/>
    <w:rsid w:val="009013C5"/>
    <w:rsid w:val="009061A4"/>
    <w:rsid w:val="00912E02"/>
    <w:rsid w:val="00926CBB"/>
    <w:rsid w:val="00934E23"/>
    <w:rsid w:val="00935C13"/>
    <w:rsid w:val="00936A6A"/>
    <w:rsid w:val="00937F82"/>
    <w:rsid w:val="00942024"/>
    <w:rsid w:val="00944550"/>
    <w:rsid w:val="00944BD2"/>
    <w:rsid w:val="00945E57"/>
    <w:rsid w:val="00950F4D"/>
    <w:rsid w:val="009550AD"/>
    <w:rsid w:val="009565D4"/>
    <w:rsid w:val="0096409A"/>
    <w:rsid w:val="00967D7C"/>
    <w:rsid w:val="0097023C"/>
    <w:rsid w:val="009775FF"/>
    <w:rsid w:val="00977D73"/>
    <w:rsid w:val="0099262A"/>
    <w:rsid w:val="00994799"/>
    <w:rsid w:val="009A05F3"/>
    <w:rsid w:val="009A0DBE"/>
    <w:rsid w:val="009B2D7F"/>
    <w:rsid w:val="009B3D0C"/>
    <w:rsid w:val="009B56DA"/>
    <w:rsid w:val="009C1849"/>
    <w:rsid w:val="009D13BB"/>
    <w:rsid w:val="009D50EB"/>
    <w:rsid w:val="009E2FE6"/>
    <w:rsid w:val="009E32F5"/>
    <w:rsid w:val="009E3435"/>
    <w:rsid w:val="009E6279"/>
    <w:rsid w:val="009E7520"/>
    <w:rsid w:val="009F2649"/>
    <w:rsid w:val="009F2EB7"/>
    <w:rsid w:val="009F6A80"/>
    <w:rsid w:val="009F6DCE"/>
    <w:rsid w:val="009F704C"/>
    <w:rsid w:val="00A0187E"/>
    <w:rsid w:val="00A01922"/>
    <w:rsid w:val="00A0215D"/>
    <w:rsid w:val="00A025ED"/>
    <w:rsid w:val="00A05B05"/>
    <w:rsid w:val="00A06666"/>
    <w:rsid w:val="00A105E0"/>
    <w:rsid w:val="00A3018B"/>
    <w:rsid w:val="00A3128D"/>
    <w:rsid w:val="00A3228D"/>
    <w:rsid w:val="00A324EA"/>
    <w:rsid w:val="00A32528"/>
    <w:rsid w:val="00A327EE"/>
    <w:rsid w:val="00A33090"/>
    <w:rsid w:val="00A33A46"/>
    <w:rsid w:val="00A45B43"/>
    <w:rsid w:val="00A45B9C"/>
    <w:rsid w:val="00A4794A"/>
    <w:rsid w:val="00A50D06"/>
    <w:rsid w:val="00A51845"/>
    <w:rsid w:val="00A533DE"/>
    <w:rsid w:val="00A53E2B"/>
    <w:rsid w:val="00A54454"/>
    <w:rsid w:val="00A5731C"/>
    <w:rsid w:val="00A61249"/>
    <w:rsid w:val="00A651CA"/>
    <w:rsid w:val="00A66365"/>
    <w:rsid w:val="00A70B6B"/>
    <w:rsid w:val="00A71B21"/>
    <w:rsid w:val="00A817CE"/>
    <w:rsid w:val="00A84BBD"/>
    <w:rsid w:val="00A84CC4"/>
    <w:rsid w:val="00A928FA"/>
    <w:rsid w:val="00A94BB5"/>
    <w:rsid w:val="00AA0EC8"/>
    <w:rsid w:val="00AA30CF"/>
    <w:rsid w:val="00AA3540"/>
    <w:rsid w:val="00AA7B0B"/>
    <w:rsid w:val="00AB02FF"/>
    <w:rsid w:val="00AB32CF"/>
    <w:rsid w:val="00AC17A4"/>
    <w:rsid w:val="00AC3B55"/>
    <w:rsid w:val="00AC59EB"/>
    <w:rsid w:val="00AD2235"/>
    <w:rsid w:val="00AD2557"/>
    <w:rsid w:val="00AD5E01"/>
    <w:rsid w:val="00AE1C16"/>
    <w:rsid w:val="00AE5530"/>
    <w:rsid w:val="00AE5F13"/>
    <w:rsid w:val="00B02599"/>
    <w:rsid w:val="00B0493E"/>
    <w:rsid w:val="00B04C8F"/>
    <w:rsid w:val="00B132CA"/>
    <w:rsid w:val="00B14060"/>
    <w:rsid w:val="00B16B3C"/>
    <w:rsid w:val="00B21A3A"/>
    <w:rsid w:val="00B23D29"/>
    <w:rsid w:val="00B25EE3"/>
    <w:rsid w:val="00B269D4"/>
    <w:rsid w:val="00B3357C"/>
    <w:rsid w:val="00B365EB"/>
    <w:rsid w:val="00B375C4"/>
    <w:rsid w:val="00B4773E"/>
    <w:rsid w:val="00B50643"/>
    <w:rsid w:val="00B518F2"/>
    <w:rsid w:val="00B53927"/>
    <w:rsid w:val="00B57554"/>
    <w:rsid w:val="00B61C4A"/>
    <w:rsid w:val="00B61EC9"/>
    <w:rsid w:val="00B679AD"/>
    <w:rsid w:val="00B7744A"/>
    <w:rsid w:val="00B82805"/>
    <w:rsid w:val="00B82989"/>
    <w:rsid w:val="00B82D4D"/>
    <w:rsid w:val="00B87EE6"/>
    <w:rsid w:val="00B904D2"/>
    <w:rsid w:val="00B9260A"/>
    <w:rsid w:val="00B9365F"/>
    <w:rsid w:val="00B96ABD"/>
    <w:rsid w:val="00BA183C"/>
    <w:rsid w:val="00BB040D"/>
    <w:rsid w:val="00BB494A"/>
    <w:rsid w:val="00BB6DBE"/>
    <w:rsid w:val="00BD1A11"/>
    <w:rsid w:val="00BD696A"/>
    <w:rsid w:val="00BD723A"/>
    <w:rsid w:val="00BE342F"/>
    <w:rsid w:val="00BE469C"/>
    <w:rsid w:val="00BF18DC"/>
    <w:rsid w:val="00C0059C"/>
    <w:rsid w:val="00C04B4F"/>
    <w:rsid w:val="00C10DED"/>
    <w:rsid w:val="00C13DE2"/>
    <w:rsid w:val="00C14408"/>
    <w:rsid w:val="00C14776"/>
    <w:rsid w:val="00C17F58"/>
    <w:rsid w:val="00C2327F"/>
    <w:rsid w:val="00C2595B"/>
    <w:rsid w:val="00C307E7"/>
    <w:rsid w:val="00C34A92"/>
    <w:rsid w:val="00C3538E"/>
    <w:rsid w:val="00C35829"/>
    <w:rsid w:val="00C36245"/>
    <w:rsid w:val="00C36DF2"/>
    <w:rsid w:val="00C370A7"/>
    <w:rsid w:val="00C5593B"/>
    <w:rsid w:val="00C57E90"/>
    <w:rsid w:val="00C602F0"/>
    <w:rsid w:val="00C62F1C"/>
    <w:rsid w:val="00C6380F"/>
    <w:rsid w:val="00C66A1A"/>
    <w:rsid w:val="00C66F1C"/>
    <w:rsid w:val="00C67B72"/>
    <w:rsid w:val="00C744A3"/>
    <w:rsid w:val="00C77610"/>
    <w:rsid w:val="00C81DB5"/>
    <w:rsid w:val="00C900FF"/>
    <w:rsid w:val="00CA65DF"/>
    <w:rsid w:val="00CA667F"/>
    <w:rsid w:val="00CA6DED"/>
    <w:rsid w:val="00CB3FC8"/>
    <w:rsid w:val="00CB442A"/>
    <w:rsid w:val="00CD2213"/>
    <w:rsid w:val="00CD4B2E"/>
    <w:rsid w:val="00CD4DE4"/>
    <w:rsid w:val="00CD596A"/>
    <w:rsid w:val="00CD6527"/>
    <w:rsid w:val="00CD6B3F"/>
    <w:rsid w:val="00CE4E9C"/>
    <w:rsid w:val="00CF3E63"/>
    <w:rsid w:val="00CF561E"/>
    <w:rsid w:val="00D00309"/>
    <w:rsid w:val="00D03D1F"/>
    <w:rsid w:val="00D10CD0"/>
    <w:rsid w:val="00D143BA"/>
    <w:rsid w:val="00D20DD2"/>
    <w:rsid w:val="00D34EEE"/>
    <w:rsid w:val="00D376ED"/>
    <w:rsid w:val="00D37930"/>
    <w:rsid w:val="00D37BAF"/>
    <w:rsid w:val="00D42610"/>
    <w:rsid w:val="00D43E26"/>
    <w:rsid w:val="00D50E49"/>
    <w:rsid w:val="00D51B1E"/>
    <w:rsid w:val="00D523C9"/>
    <w:rsid w:val="00D53894"/>
    <w:rsid w:val="00D612CD"/>
    <w:rsid w:val="00D61E9B"/>
    <w:rsid w:val="00D64C08"/>
    <w:rsid w:val="00D65FDD"/>
    <w:rsid w:val="00D71287"/>
    <w:rsid w:val="00D7544D"/>
    <w:rsid w:val="00D76E5A"/>
    <w:rsid w:val="00D77EDB"/>
    <w:rsid w:val="00D80A57"/>
    <w:rsid w:val="00D8104B"/>
    <w:rsid w:val="00D845FD"/>
    <w:rsid w:val="00D84D7B"/>
    <w:rsid w:val="00D905F2"/>
    <w:rsid w:val="00D90CA1"/>
    <w:rsid w:val="00D96301"/>
    <w:rsid w:val="00D96598"/>
    <w:rsid w:val="00D979EA"/>
    <w:rsid w:val="00DA02B9"/>
    <w:rsid w:val="00DA42EA"/>
    <w:rsid w:val="00DA7FEA"/>
    <w:rsid w:val="00DB269B"/>
    <w:rsid w:val="00DC02B5"/>
    <w:rsid w:val="00DC3E76"/>
    <w:rsid w:val="00DC5342"/>
    <w:rsid w:val="00DC53DC"/>
    <w:rsid w:val="00DD27D1"/>
    <w:rsid w:val="00DD3602"/>
    <w:rsid w:val="00DD48AE"/>
    <w:rsid w:val="00DD62C8"/>
    <w:rsid w:val="00DD782E"/>
    <w:rsid w:val="00DE221A"/>
    <w:rsid w:val="00DE2334"/>
    <w:rsid w:val="00DE5C1E"/>
    <w:rsid w:val="00DE640A"/>
    <w:rsid w:val="00DF3D72"/>
    <w:rsid w:val="00DF68F0"/>
    <w:rsid w:val="00DF6CDE"/>
    <w:rsid w:val="00E0113D"/>
    <w:rsid w:val="00E039CB"/>
    <w:rsid w:val="00E03EEE"/>
    <w:rsid w:val="00E04B91"/>
    <w:rsid w:val="00E05627"/>
    <w:rsid w:val="00E0571F"/>
    <w:rsid w:val="00E0581A"/>
    <w:rsid w:val="00E06F51"/>
    <w:rsid w:val="00E12B89"/>
    <w:rsid w:val="00E1423B"/>
    <w:rsid w:val="00E15DA6"/>
    <w:rsid w:val="00E20F22"/>
    <w:rsid w:val="00E317E1"/>
    <w:rsid w:val="00E33231"/>
    <w:rsid w:val="00E36C84"/>
    <w:rsid w:val="00E41501"/>
    <w:rsid w:val="00E41F1A"/>
    <w:rsid w:val="00E47F76"/>
    <w:rsid w:val="00E563CB"/>
    <w:rsid w:val="00E572F9"/>
    <w:rsid w:val="00E616B1"/>
    <w:rsid w:val="00E6186E"/>
    <w:rsid w:val="00E62678"/>
    <w:rsid w:val="00E72F03"/>
    <w:rsid w:val="00E73293"/>
    <w:rsid w:val="00E7429A"/>
    <w:rsid w:val="00E75D89"/>
    <w:rsid w:val="00E806B4"/>
    <w:rsid w:val="00E807A7"/>
    <w:rsid w:val="00E84434"/>
    <w:rsid w:val="00E8529C"/>
    <w:rsid w:val="00E85F8A"/>
    <w:rsid w:val="00E86B5D"/>
    <w:rsid w:val="00E929E0"/>
    <w:rsid w:val="00E94524"/>
    <w:rsid w:val="00E96241"/>
    <w:rsid w:val="00EA0512"/>
    <w:rsid w:val="00EA19DA"/>
    <w:rsid w:val="00EB30F5"/>
    <w:rsid w:val="00EB5C8B"/>
    <w:rsid w:val="00EC3507"/>
    <w:rsid w:val="00EC3CC1"/>
    <w:rsid w:val="00EC3D19"/>
    <w:rsid w:val="00EC47CA"/>
    <w:rsid w:val="00EC5B6A"/>
    <w:rsid w:val="00ED0B78"/>
    <w:rsid w:val="00ED263C"/>
    <w:rsid w:val="00ED2A92"/>
    <w:rsid w:val="00ED3A88"/>
    <w:rsid w:val="00ED503D"/>
    <w:rsid w:val="00EE0CD5"/>
    <w:rsid w:val="00EE11FD"/>
    <w:rsid w:val="00EE1D07"/>
    <w:rsid w:val="00EF290F"/>
    <w:rsid w:val="00EF3D94"/>
    <w:rsid w:val="00F00E0A"/>
    <w:rsid w:val="00F13235"/>
    <w:rsid w:val="00F1494E"/>
    <w:rsid w:val="00F23798"/>
    <w:rsid w:val="00F25E8A"/>
    <w:rsid w:val="00F260AC"/>
    <w:rsid w:val="00F26DFB"/>
    <w:rsid w:val="00F27043"/>
    <w:rsid w:val="00F32C54"/>
    <w:rsid w:val="00F32E6E"/>
    <w:rsid w:val="00F371F7"/>
    <w:rsid w:val="00F37932"/>
    <w:rsid w:val="00F4263A"/>
    <w:rsid w:val="00F430AE"/>
    <w:rsid w:val="00F47E96"/>
    <w:rsid w:val="00F50A3A"/>
    <w:rsid w:val="00F51A0E"/>
    <w:rsid w:val="00F57333"/>
    <w:rsid w:val="00F62A1E"/>
    <w:rsid w:val="00F64DB9"/>
    <w:rsid w:val="00F65513"/>
    <w:rsid w:val="00F74EC9"/>
    <w:rsid w:val="00F763B9"/>
    <w:rsid w:val="00F85399"/>
    <w:rsid w:val="00F91521"/>
    <w:rsid w:val="00F93183"/>
    <w:rsid w:val="00FA035F"/>
    <w:rsid w:val="00FA3770"/>
    <w:rsid w:val="00FA686C"/>
    <w:rsid w:val="00FA6932"/>
    <w:rsid w:val="00FB3972"/>
    <w:rsid w:val="00FB4FEF"/>
    <w:rsid w:val="00FB6C6F"/>
    <w:rsid w:val="00FB6F6C"/>
    <w:rsid w:val="00FB70DE"/>
    <w:rsid w:val="00FC2BD1"/>
    <w:rsid w:val="00FC562E"/>
    <w:rsid w:val="00FD17C2"/>
    <w:rsid w:val="00FD634F"/>
    <w:rsid w:val="00FE0A7C"/>
    <w:rsid w:val="00FE2611"/>
    <w:rsid w:val="00FF084F"/>
    <w:rsid w:val="00FF2067"/>
    <w:rsid w:val="00FF3FFA"/>
    <w:rsid w:val="099BC755"/>
    <w:rsid w:val="0A0F822E"/>
    <w:rsid w:val="3F7AF379"/>
    <w:rsid w:val="4FEBB9DB"/>
    <w:rsid w:val="697346A4"/>
    <w:rsid w:val="736DC5E7"/>
  </w:rsids>
  <w:docVars>
    <w:docVar w:name="__Grammarly_42___1" w:val="H4sIAAAAAAAEAKtWcslP9kxRslIyNDYyNzc1NzE0MDewMDQwMTdW0lEKTi0uzszPAykwqgUALRKahy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09544F7"/>
  <w15:docId w15:val="{92694D6D-3D40-41FB-A36C-A37A5725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28D"/>
    <w:pPr>
      <w:spacing w:after="180" w:line="264" w:lineRule="auto"/>
    </w:pPr>
    <w:rPr>
      <w:rFonts w:eastAsia="Garamond"/>
      <w:sz w:val="24"/>
      <w:szCs w:val="24"/>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style>
  <w:style w:type="paragraph" w:styleId="Heading8">
    <w:name w:val="heading 8"/>
    <w:basedOn w:val="Normal"/>
    <w:next w:val="Normal"/>
    <w:qFormat/>
    <w:rsid w:val="003A3403"/>
    <w:pPr>
      <w:numPr>
        <w:ilvl w:val="7"/>
        <w:numId w:val="4"/>
      </w:numPr>
      <w:spacing w:before="240" w:after="60"/>
      <w:outlineLvl w:val="7"/>
    </w:pPr>
    <w:rPr>
      <w:i/>
      <w:iCs/>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4313E2"/>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067769"/>
    <w:pPr>
      <w:numPr>
        <w:ilvl w:val="0"/>
        <w:numId w:val="0"/>
      </w:numPr>
      <w:spacing w:after="0"/>
      <w:outlineLvl w:val="9"/>
    </w:pPr>
  </w:style>
  <w:style w:type="paragraph" w:customStyle="1" w:styleId="Default">
    <w:name w:val="Default"/>
    <w:rsid w:val="00E4150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C53DC"/>
    <w:rPr>
      <w:sz w:val="22"/>
    </w:rPr>
  </w:style>
  <w:style w:type="character" w:styleId="FollowedHyperlink">
    <w:name w:val="FollowedHyperlink"/>
    <w:basedOn w:val="DefaultParagraphFont"/>
    <w:uiPriority w:val="99"/>
    <w:semiHidden/>
    <w:unhideWhenUsed/>
    <w:rsid w:val="00934E23"/>
    <w:rPr>
      <w:color w:val="954F72"/>
      <w:u w:val="single"/>
    </w:rPr>
  </w:style>
  <w:style w:type="paragraph" w:customStyle="1" w:styleId="font5">
    <w:name w:val="font5"/>
    <w:basedOn w:val="Normal"/>
    <w:rsid w:val="00934E23"/>
    <w:pPr>
      <w:spacing w:before="100" w:beforeAutospacing="1" w:after="100" w:afterAutospacing="1" w:line="240" w:lineRule="auto"/>
    </w:pPr>
    <w:rPr>
      <w:rFonts w:ascii="Arial Narrow" w:hAnsi="Arial Narrow"/>
      <w:color w:val="000000"/>
      <w:sz w:val="18"/>
      <w:szCs w:val="18"/>
    </w:rPr>
  </w:style>
  <w:style w:type="paragraph" w:customStyle="1" w:styleId="font6">
    <w:name w:val="font6"/>
    <w:basedOn w:val="Normal"/>
    <w:rsid w:val="00934E23"/>
    <w:pPr>
      <w:spacing w:before="100" w:beforeAutospacing="1" w:after="100" w:afterAutospacing="1" w:line="240" w:lineRule="auto"/>
    </w:pPr>
    <w:rPr>
      <w:rFonts w:ascii="Arial Narrow" w:hAnsi="Arial Narrow"/>
      <w:i/>
      <w:iCs/>
      <w:color w:val="000000"/>
      <w:sz w:val="18"/>
      <w:szCs w:val="18"/>
    </w:rPr>
  </w:style>
  <w:style w:type="paragraph" w:customStyle="1" w:styleId="xl63">
    <w:name w:val="xl63"/>
    <w:basedOn w:val="Normal"/>
    <w:rsid w:val="00934E23"/>
    <w:pPr>
      <w:spacing w:before="100" w:beforeAutospacing="1" w:after="100" w:afterAutospacing="1" w:line="240" w:lineRule="auto"/>
      <w:textAlignment w:val="center"/>
    </w:pPr>
    <w:rPr>
      <w:rFonts w:ascii="Arial Narrow" w:hAnsi="Arial Narrow"/>
      <w:sz w:val="18"/>
      <w:szCs w:val="18"/>
    </w:rPr>
  </w:style>
  <w:style w:type="paragraph" w:customStyle="1" w:styleId="xl64">
    <w:name w:val="xl64"/>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65">
    <w:name w:val="xl65"/>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sz w:val="18"/>
      <w:szCs w:val="18"/>
    </w:rPr>
  </w:style>
  <w:style w:type="paragraph" w:customStyle="1" w:styleId="xl66">
    <w:name w:val="xl66"/>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sz w:val="18"/>
      <w:szCs w:val="18"/>
    </w:rPr>
  </w:style>
  <w:style w:type="paragraph" w:customStyle="1" w:styleId="xl67">
    <w:name w:val="xl67"/>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sz w:val="18"/>
      <w:szCs w:val="18"/>
    </w:rPr>
  </w:style>
  <w:style w:type="paragraph" w:customStyle="1" w:styleId="xl68">
    <w:name w:val="xl68"/>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sz w:val="18"/>
      <w:szCs w:val="18"/>
    </w:rPr>
  </w:style>
  <w:style w:type="paragraph" w:customStyle="1" w:styleId="xl69">
    <w:name w:val="xl69"/>
    <w:basedOn w:val="Normal"/>
    <w:rsid w:val="00934E23"/>
    <w:pPr>
      <w:pBdr>
        <w:top w:val="single" w:sz="4" w:space="0" w:color="D9D9D9"/>
        <w:left w:val="single" w:sz="4" w:space="0" w:color="D9D9D9"/>
        <w:bottom w:val="single" w:sz="4" w:space="0" w:color="D9D9D9"/>
        <w:right w:val="single" w:sz="4" w:space="0" w:color="D9D9D9"/>
      </w:pBdr>
      <w:shd w:val="clear" w:color="000000" w:fill="C00000"/>
      <w:spacing w:before="100" w:beforeAutospacing="1" w:after="100" w:afterAutospacing="1" w:line="240" w:lineRule="auto"/>
      <w:textAlignment w:val="center"/>
    </w:pPr>
    <w:rPr>
      <w:rFonts w:ascii="Arial Narrow" w:hAnsi="Arial Narrow"/>
      <w:sz w:val="18"/>
      <w:szCs w:val="18"/>
    </w:rPr>
  </w:style>
  <w:style w:type="paragraph" w:customStyle="1" w:styleId="xl70">
    <w:name w:val="xl70"/>
    <w:basedOn w:val="Normal"/>
    <w:rsid w:val="00934E23"/>
    <w:pPr>
      <w:pBdr>
        <w:top w:val="single" w:sz="4" w:space="0" w:color="D9D9D9"/>
        <w:left w:val="single" w:sz="4" w:space="0" w:color="D9D9D9"/>
        <w:bottom w:val="single" w:sz="4" w:space="0" w:color="D9D9D9"/>
        <w:right w:val="single" w:sz="4" w:space="0" w:color="D9D9D9"/>
      </w:pBdr>
      <w:shd w:val="clear" w:color="000000" w:fill="FF9B9B"/>
      <w:spacing w:before="100" w:beforeAutospacing="1" w:after="100" w:afterAutospacing="1" w:line="240" w:lineRule="auto"/>
      <w:textAlignment w:val="center"/>
    </w:pPr>
    <w:rPr>
      <w:rFonts w:ascii="Arial Narrow" w:hAnsi="Arial Narrow"/>
      <w:sz w:val="18"/>
      <w:szCs w:val="18"/>
    </w:rPr>
  </w:style>
  <w:style w:type="paragraph" w:customStyle="1" w:styleId="xl71">
    <w:name w:val="xl71"/>
    <w:basedOn w:val="Normal"/>
    <w:rsid w:val="00934E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Arial Narrow" w:hAnsi="Arial Narrow"/>
      <w:b/>
      <w:bCs/>
      <w:sz w:val="18"/>
      <w:szCs w:val="18"/>
    </w:rPr>
  </w:style>
  <w:style w:type="paragraph" w:customStyle="1" w:styleId="xl72">
    <w:name w:val="xl72"/>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b/>
      <w:bCs/>
      <w:sz w:val="18"/>
      <w:szCs w:val="18"/>
    </w:rPr>
  </w:style>
  <w:style w:type="paragraph" w:customStyle="1" w:styleId="xl73">
    <w:name w:val="xl73"/>
    <w:basedOn w:val="Normal"/>
    <w:rsid w:val="00934E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textAlignment w:val="center"/>
    </w:pPr>
    <w:rPr>
      <w:rFonts w:ascii="Arial Narrow" w:hAnsi="Arial Narrow"/>
      <w:b/>
      <w:bCs/>
      <w:sz w:val="18"/>
      <w:szCs w:val="18"/>
    </w:rPr>
  </w:style>
  <w:style w:type="paragraph" w:customStyle="1" w:styleId="xl74">
    <w:name w:val="xl74"/>
    <w:basedOn w:val="Normal"/>
    <w:rsid w:val="00934E23"/>
    <w:pPr>
      <w:pBdr>
        <w:top w:val="single" w:sz="4" w:space="0" w:color="D9D9D9"/>
        <w:left w:val="single" w:sz="4" w:space="0" w:color="D9D9D9"/>
        <w:bottom w:val="single" w:sz="4" w:space="0" w:color="D9D9D9"/>
        <w:right w:val="single" w:sz="4" w:space="0" w:color="D9D9D9"/>
      </w:pBdr>
      <w:shd w:val="thinDiagStripe" w:color="000000" w:fill="FF9B9B"/>
      <w:spacing w:before="100" w:beforeAutospacing="1" w:after="100" w:afterAutospacing="1" w:line="240" w:lineRule="auto"/>
      <w:textAlignment w:val="center"/>
    </w:pPr>
    <w:rPr>
      <w:rFonts w:ascii="Arial Narrow" w:hAnsi="Arial Narrow"/>
      <w:sz w:val="18"/>
      <w:szCs w:val="18"/>
    </w:rPr>
  </w:style>
  <w:style w:type="paragraph" w:customStyle="1" w:styleId="xl75">
    <w:name w:val="xl75"/>
    <w:basedOn w:val="Normal"/>
    <w:rsid w:val="00934E23"/>
    <w:pPr>
      <w:pBdr>
        <w:top w:val="single" w:sz="4" w:space="0" w:color="D9D9D9"/>
        <w:left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6">
    <w:name w:val="xl76"/>
    <w:basedOn w:val="Normal"/>
    <w:rsid w:val="00934E23"/>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7">
    <w:name w:val="xl77"/>
    <w:basedOn w:val="Normal"/>
    <w:rsid w:val="00934E23"/>
    <w:pPr>
      <w:pBdr>
        <w:top w:val="single" w:sz="4" w:space="0" w:color="D9D9D9"/>
        <w:left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xl78">
    <w:name w:val="xl78"/>
    <w:basedOn w:val="Normal"/>
    <w:rsid w:val="00934E23"/>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hAnsi="Arial Narrow"/>
      <w:b/>
      <w:bCs/>
      <w:sz w:val="18"/>
      <w:szCs w:val="18"/>
    </w:rPr>
  </w:style>
  <w:style w:type="paragraph" w:customStyle="1" w:styleId="AbtHeadC">
    <w:name w:val="AbtHead C"/>
    <w:basedOn w:val="Normal"/>
    <w:next w:val="BodyText"/>
    <w:rsid w:val="00A51845"/>
    <w:pPr>
      <w:keepNext/>
      <w:keepLines/>
      <w:tabs>
        <w:tab w:val="left" w:pos="360"/>
        <w:tab w:val="left" w:pos="720"/>
        <w:tab w:val="left" w:pos="1440"/>
      </w:tabs>
      <w:spacing w:after="240"/>
      <w:outlineLvl w:val="2"/>
    </w:pPr>
    <w:rPr>
      <w:rFonts w:ascii="Arial" w:hAnsi="Arial"/>
      <w:b/>
      <w:sz w:val="20"/>
    </w:rPr>
  </w:style>
  <w:style w:type="paragraph" w:customStyle="1" w:styleId="AbtHeadD">
    <w:name w:val="AbtHead D"/>
    <w:basedOn w:val="Normal"/>
    <w:next w:val="BodyText"/>
    <w:rsid w:val="00A51845"/>
    <w:pPr>
      <w:keepNext/>
      <w:keepLines/>
      <w:tabs>
        <w:tab w:val="left" w:pos="360"/>
        <w:tab w:val="left" w:pos="720"/>
        <w:tab w:val="left" w:pos="1440"/>
      </w:tabs>
      <w:spacing w:after="0"/>
      <w:outlineLvl w:val="3"/>
    </w:pPr>
    <w:rPr>
      <w:b/>
      <w:i/>
      <w:sz w:val="23"/>
    </w:rPr>
  </w:style>
  <w:style w:type="paragraph" w:customStyle="1" w:styleId="Table">
    <w:name w:val="Table"/>
    <w:basedOn w:val="Normal"/>
    <w:rsid w:val="00A51845"/>
    <w:pPr>
      <w:tabs>
        <w:tab w:val="left" w:pos="360"/>
        <w:tab w:val="left" w:pos="720"/>
        <w:tab w:val="left" w:pos="1440"/>
      </w:tabs>
      <w:spacing w:after="0"/>
    </w:pPr>
    <w:rPr>
      <w:rFonts w:ascii="Arial" w:hAnsi="Arial"/>
      <w:sz w:val="20"/>
    </w:rPr>
  </w:style>
  <w:style w:type="paragraph" w:styleId="ListParagraph">
    <w:name w:val="List Paragraph"/>
    <w:basedOn w:val="Normal"/>
    <w:uiPriority w:val="34"/>
    <w:qFormat/>
    <w:rsid w:val="00A51845"/>
    <w:pPr>
      <w:spacing w:after="0"/>
      <w:ind w:left="720"/>
      <w:contextualSpacing/>
    </w:pPr>
  </w:style>
  <w:style w:type="character" w:customStyle="1" w:styleId="CommentTextChar">
    <w:name w:val="Comment Text Char"/>
    <w:basedOn w:val="DefaultParagraphFont"/>
    <w:link w:val="CommentText"/>
    <w:uiPriority w:val="99"/>
    <w:rsid w:val="00A51845"/>
  </w:style>
  <w:style w:type="character" w:styleId="Strong">
    <w:name w:val="Strong"/>
    <w:basedOn w:val="DefaultParagraphFont"/>
    <w:uiPriority w:val="22"/>
    <w:qFormat/>
    <w:rsid w:val="00A51845"/>
    <w:rPr>
      <w:b/>
      <w:bCs/>
    </w:rPr>
  </w:style>
  <w:style w:type="paragraph" w:customStyle="1" w:styleId="StyleAbtHeadCDarkRed">
    <w:name w:val="Style AbtHead C + Dark Red"/>
    <w:basedOn w:val="AbtHeadC"/>
    <w:rsid w:val="00A51845"/>
    <w:rPr>
      <w:bCs/>
      <w:color w:val="C00000"/>
      <w:sz w:val="24"/>
    </w:rPr>
  </w:style>
  <w:style w:type="paragraph" w:styleId="TOCHeading">
    <w:name w:val="TOC Heading"/>
    <w:basedOn w:val="Heading1"/>
    <w:next w:val="Normal"/>
    <w:uiPriority w:val="39"/>
    <w:unhideWhenUsed/>
    <w:qFormat/>
    <w:rsid w:val="00245317"/>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styleId="PlainText">
    <w:name w:val="Plain Text"/>
    <w:basedOn w:val="Normal"/>
    <w:link w:val="PlainTextChar"/>
    <w:uiPriority w:val="99"/>
    <w:unhideWhenUsed/>
    <w:rsid w:val="005A1A34"/>
    <w:pPr>
      <w:spacing w:after="0" w:line="240" w:lineRule="auto"/>
    </w:pPr>
    <w:rPr>
      <w:rFonts w:ascii="Calibri" w:hAnsi="Calibri" w:eastAsiaTheme="minorHAnsi"/>
      <w:sz w:val="22"/>
      <w:szCs w:val="22"/>
    </w:rPr>
  </w:style>
  <w:style w:type="character" w:customStyle="1" w:styleId="PlainTextChar">
    <w:name w:val="Plain Text Char"/>
    <w:basedOn w:val="DefaultParagraphFont"/>
    <w:link w:val="PlainText"/>
    <w:uiPriority w:val="99"/>
    <w:rsid w:val="005A1A34"/>
    <w:rPr>
      <w:rFonts w:ascii="Calibri" w:hAnsi="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09377-965F-4713-8A1A-7E2DD924C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3C5A7-CF2E-4984-8A85-6DB0928CED57}">
  <ds:schemaRefs>
    <ds:schemaRef ds:uri="http://schemas.openxmlformats.org/officeDocument/2006/bibliography"/>
  </ds:schemaRefs>
</ds:datastoreItem>
</file>

<file path=customXml/itemProps3.xml><?xml version="1.0" encoding="utf-8"?>
<ds:datastoreItem xmlns:ds="http://schemas.openxmlformats.org/officeDocument/2006/customXml" ds:itemID="{0DCD8869-5C7A-48A0-84C5-4629D76F88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648A4F-C766-46E2-915B-512C0959A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787</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Abt Report</vt:lpstr>
    </vt:vector>
  </TitlesOfParts>
  <Company>Abt Associates Inc.</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Report</dc:title>
  <dc:creator>Missy Robinson</dc:creator>
  <cp:keywords>Single-Sided body Templates</cp:keywords>
  <cp:lastModifiedBy>OPRE</cp:lastModifiedBy>
  <cp:revision>44</cp:revision>
  <cp:lastPrinted>2009-12-28T13:45:00Z</cp:lastPrinted>
  <dcterms:created xsi:type="dcterms:W3CDTF">2021-11-10T17:52:00Z</dcterms:created>
  <dcterms:modified xsi:type="dcterms:W3CDTF">2021-12-28T05:43:00Z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