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83F59" w:rsidP="00783F59" w14:paraId="4A8C2FA0" w14:textId="77777777">
      <w:pPr>
        <w:pStyle w:val="Title"/>
        <w:spacing w:after="0"/>
      </w:pPr>
      <w:bookmarkStart w:id="0" w:name="_top"/>
      <w:bookmarkStart w:id="1" w:name="_Toc483414325"/>
      <w:bookmarkEnd w:id="0"/>
      <w:r w:rsidRPr="00077AA2">
        <w:t xml:space="preserve">Medicaid Section 1115 </w:t>
      </w:r>
      <w:r>
        <w:t>Serious Mental Illness and Serious</w:t>
      </w:r>
      <w:r>
        <w:br/>
        <w:t xml:space="preserve">Emotional Disturbance Demonstrations </w:t>
      </w:r>
    </w:p>
    <w:p w:rsidR="008F7153" w:rsidRPr="000C27C6" w:rsidP="000C27C6" w14:paraId="03005C83" w14:textId="1FE8167F">
      <w:pPr>
        <w:pStyle w:val="Title"/>
        <w:spacing w:after="0"/>
        <w:contextualSpacing/>
      </w:pPr>
      <w:r w:rsidRPr="00077AA2">
        <w:t>Monitoring</w:t>
      </w:r>
      <w:r>
        <w:t xml:space="preserve"> Report Template</w:t>
      </w:r>
    </w:p>
    <w:p w:rsidR="008F7153" w:rsidP="008F7153" w14:paraId="3FE9CDF4" w14:textId="77777777">
      <w:pPr>
        <w:pStyle w:val="ParagraphContinued"/>
        <w:rPr>
          <w:rStyle w:val="Italic"/>
          <w:szCs w:val="20"/>
        </w:rPr>
      </w:pPr>
      <w:r>
        <w:rPr>
          <w:rStyle w:val="Italic"/>
        </w:rPr>
        <w:t>Note: PRA Disclosure Statement to be added here</w:t>
      </w:r>
    </w:p>
    <w:p w:rsidR="008F7153" w:rsidP="008F7153" w14:paraId="078EE49C" w14:textId="77777777">
      <w:pPr>
        <w:spacing w:line="240" w:lineRule="auto"/>
        <w:rPr>
          <w:b/>
        </w:rPr>
      </w:pPr>
      <w:r>
        <w:br w:type="page"/>
      </w:r>
    </w:p>
    <w:p w:rsidR="008F7153" w:rsidP="008F7153" w14:paraId="0FE4EC6C" w14:textId="3F7D46C2">
      <w:pPr>
        <w:pStyle w:val="H1"/>
      </w:pPr>
      <w:r>
        <w:t>1.</w:t>
      </w:r>
      <w:r>
        <w:tab/>
      </w:r>
      <w:bookmarkEnd w:id="1"/>
      <w:r w:rsidRPr="00783F59" w:rsidR="00783F59">
        <w:t>Title page for the state’s serious mental illness and serious emotional disturbance (SMI/SED) demonstration or the SMI/SED component of the broader demonstration</w:t>
      </w:r>
    </w:p>
    <w:p w:rsidR="008F7153" w:rsidP="008F7153" w14:paraId="5C4EA41B" w14:textId="6CD62873">
      <w:pPr>
        <w:pStyle w:val="ParagraphContinued"/>
        <w:rPr>
          <w:rStyle w:val="Italic"/>
        </w:rPr>
      </w:pPr>
      <w:bookmarkStart w:id="2" w:name="_Toc482044768"/>
      <w:bookmarkStart w:id="3" w:name="_Toc482045215"/>
      <w:bookmarkStart w:id="4" w:name="_Toc482046327"/>
      <w:bookmarkStart w:id="5" w:name="_Toc482373901"/>
      <w:bookmarkStart w:id="6" w:name="_Toc482631905"/>
      <w:bookmarkStart w:id="7" w:name="_Toc482650299"/>
      <w:bookmarkStart w:id="8" w:name="_Toc483414326"/>
      <w:bookmarkEnd w:id="2"/>
      <w:bookmarkEnd w:id="3"/>
      <w:bookmarkEnd w:id="4"/>
      <w:bookmarkEnd w:id="5"/>
      <w:bookmarkEnd w:id="6"/>
      <w:bookmarkEnd w:id="7"/>
      <w:bookmarkEnd w:id="8"/>
      <w:r>
        <w:rPr>
          <w:rStyle w:val="Italic"/>
        </w:rPr>
        <w:t xml:space="preserve">The title page is a brief form that the state completed as part of its monitoring protocol.  The title page will be populated with the information from the state’s approved </w:t>
      </w:r>
      <w:r w:rsidR="000C27C6">
        <w:rPr>
          <w:rStyle w:val="Italic"/>
        </w:rPr>
        <w:t xml:space="preserve">monitoring </w:t>
      </w:r>
      <w:r>
        <w:rPr>
          <w:rStyle w:val="Italic"/>
        </w:rPr>
        <w:t>protocol.  The state should complete the remaining two rows.  Definitions for certain rows are below the table.</w:t>
      </w:r>
    </w:p>
    <w:tbl>
      <w:tblPr>
        <w:tblStyle w:val="TableGrid"/>
        <w:tblCaption w:val="Title Page for the State's SUD Demonstration or SUD Components of Broader Demonstration"/>
        <w:tblW w:w="5000" w:type="pct"/>
        <w:tblLook w:val="04A0"/>
      </w:tblPr>
      <w:tblGrid>
        <w:gridCol w:w="2338"/>
        <w:gridCol w:w="222"/>
        <w:gridCol w:w="6790"/>
      </w:tblGrid>
      <w:tr w14:paraId="3D5BADDA" w14:textId="77777777" w:rsidTr="00CB7617">
        <w:tblPrEx>
          <w:tblW w:w="5000" w:type="pct"/>
          <w:tblLook w:val="04A0"/>
        </w:tblPrEx>
        <w:trPr>
          <w:cantSplit/>
          <w:trHeight w:val="623"/>
          <w:tblHeader/>
        </w:trPr>
        <w:tc>
          <w:tcPr>
            <w:tcW w:w="125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F7153" w14:paraId="4FFA747A" w14:textId="77777777">
            <w:pPr>
              <w:pStyle w:val="TableTextLeft"/>
              <w:rPr>
                <w:rFonts w:asciiTheme="minorHAnsi" w:hAnsiTheme="minorHAnsi" w:cstheme="minorHAnsi"/>
                <w:b/>
                <w:bCs/>
              </w:rPr>
            </w:pPr>
            <w:r>
              <w:rPr>
                <w:rFonts w:asciiTheme="minorHAnsi" w:hAnsiTheme="minorHAnsi" w:cstheme="minorHAnsi"/>
                <w:b/>
                <w:bCs/>
              </w:rPr>
              <w:t>State</w:t>
            </w:r>
          </w:p>
        </w:tc>
        <w:tc>
          <w:tcPr>
            <w:tcW w:w="118" w:type="pct"/>
            <w:tcBorders>
              <w:top w:val="single" w:sz="4" w:space="0" w:color="auto"/>
              <w:left w:val="single" w:sz="4" w:space="0" w:color="auto"/>
              <w:bottom w:val="single" w:sz="4" w:space="0" w:color="auto"/>
              <w:right w:val="single" w:sz="4" w:space="0" w:color="auto"/>
            </w:tcBorders>
            <w:shd w:val="clear" w:color="auto" w:fill="000000" w:themeFill="text1"/>
            <w:hideMark/>
          </w:tcPr>
          <w:p w:rsidR="008F7153" w14:paraId="56534FE6" w14:textId="77777777">
            <w:pPr>
              <w:pStyle w:val="TableTextLeft"/>
              <w:rPr>
                <w:rFonts w:asciiTheme="minorHAnsi" w:hAnsiTheme="minorHAnsi" w:cstheme="minorHAnsi"/>
              </w:rPr>
            </w:pPr>
            <w:r>
              <w:rPr>
                <w:rFonts w:asciiTheme="minorHAnsi" w:hAnsiTheme="minorHAnsi" w:cstheme="minorHAnsi"/>
              </w:rPr>
              <w:t xml:space="preserve"> </w:t>
            </w:r>
          </w:p>
        </w:tc>
        <w:tc>
          <w:tcPr>
            <w:tcW w:w="3630" w:type="pct"/>
            <w:tcBorders>
              <w:top w:val="single" w:sz="4" w:space="0" w:color="auto"/>
              <w:left w:val="single" w:sz="4" w:space="0" w:color="auto"/>
              <w:bottom w:val="single" w:sz="4" w:space="0" w:color="auto"/>
              <w:right w:val="single" w:sz="4" w:space="0" w:color="auto"/>
            </w:tcBorders>
            <w:hideMark/>
          </w:tcPr>
          <w:p w:rsidR="008F7153" w:rsidRPr="005925B4" w:rsidP="005925B4" w14:paraId="552D13C1" w14:textId="77777777">
            <w:pPr>
              <w:pStyle w:val="TableTextLeft"/>
              <w:rPr>
                <w:rStyle w:val="Italic"/>
              </w:rPr>
            </w:pPr>
            <w:r w:rsidRPr="001E215E">
              <w:rPr>
                <w:rStyle w:val="Italic"/>
                <w:color w:val="6F6F6F"/>
              </w:rPr>
              <w:t xml:space="preserve">Automatically populated with the state name. </w:t>
            </w:r>
          </w:p>
        </w:tc>
      </w:tr>
      <w:tr w14:paraId="62CCD1D4" w14:textId="77777777" w:rsidTr="00CB7617">
        <w:tblPrEx>
          <w:tblW w:w="5000" w:type="pct"/>
          <w:tblLook w:val="04A0"/>
        </w:tblPrEx>
        <w:trPr>
          <w:cantSplit/>
          <w:trHeight w:val="580"/>
          <w:tblHeader/>
        </w:trPr>
        <w:tc>
          <w:tcPr>
            <w:tcW w:w="125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F7153" w14:paraId="01295CC4" w14:textId="77777777">
            <w:pPr>
              <w:pStyle w:val="TableTextLeft"/>
              <w:rPr>
                <w:rFonts w:asciiTheme="minorHAnsi" w:hAnsiTheme="minorHAnsi" w:cstheme="minorHAnsi"/>
                <w:b/>
                <w:bCs/>
                <w:color w:val="auto"/>
              </w:rPr>
            </w:pPr>
            <w:r>
              <w:rPr>
                <w:rFonts w:asciiTheme="minorHAnsi" w:hAnsiTheme="minorHAnsi" w:cstheme="minorHAnsi"/>
                <w:b/>
                <w:bCs/>
              </w:rPr>
              <w:t xml:space="preserve">Demonstration name </w:t>
            </w:r>
          </w:p>
        </w:tc>
        <w:tc>
          <w:tcPr>
            <w:tcW w:w="118" w:type="pct"/>
            <w:tcBorders>
              <w:top w:val="single" w:sz="4" w:space="0" w:color="auto"/>
              <w:left w:val="single" w:sz="4" w:space="0" w:color="auto"/>
              <w:bottom w:val="single" w:sz="4" w:space="0" w:color="auto"/>
              <w:right w:val="single" w:sz="4" w:space="0" w:color="auto"/>
            </w:tcBorders>
            <w:shd w:val="clear" w:color="auto" w:fill="000000" w:themeFill="text1"/>
            <w:hideMark/>
          </w:tcPr>
          <w:p w:rsidR="008F7153" w14:paraId="2AD87324" w14:textId="77777777">
            <w:pPr>
              <w:pStyle w:val="TableTextLeft"/>
              <w:rPr>
                <w:rFonts w:asciiTheme="minorHAnsi" w:hAnsiTheme="minorHAnsi" w:cstheme="minorHAnsi"/>
              </w:rPr>
            </w:pPr>
            <w:r>
              <w:rPr>
                <w:rFonts w:asciiTheme="minorHAnsi" w:hAnsiTheme="minorHAnsi" w:cstheme="minorHAnsi"/>
              </w:rPr>
              <w:t xml:space="preserve"> </w:t>
            </w:r>
          </w:p>
        </w:tc>
        <w:tc>
          <w:tcPr>
            <w:tcW w:w="3630" w:type="pct"/>
            <w:tcBorders>
              <w:top w:val="single" w:sz="4" w:space="0" w:color="auto"/>
              <w:left w:val="single" w:sz="4" w:space="0" w:color="auto"/>
              <w:bottom w:val="single" w:sz="4" w:space="0" w:color="auto"/>
              <w:right w:val="single" w:sz="4" w:space="0" w:color="auto"/>
            </w:tcBorders>
            <w:hideMark/>
          </w:tcPr>
          <w:p w:rsidR="008F7153" w:rsidRPr="001E215E" w:rsidP="005925B4" w14:paraId="4CC5FECD" w14:textId="77777777">
            <w:pPr>
              <w:pStyle w:val="TableTextLeft"/>
              <w:rPr>
                <w:rStyle w:val="Italic"/>
                <w:color w:val="6F6F6F"/>
              </w:rPr>
            </w:pPr>
            <w:r w:rsidRPr="001E215E">
              <w:rPr>
                <w:rStyle w:val="Italic"/>
                <w:color w:val="6F6F6F"/>
              </w:rPr>
              <w:t>Automatically populated with the demonstration name.</w:t>
            </w:r>
          </w:p>
        </w:tc>
      </w:tr>
      <w:tr w14:paraId="6AE67AB1" w14:textId="77777777" w:rsidTr="00CB7617">
        <w:tblPrEx>
          <w:tblW w:w="5000" w:type="pct"/>
          <w:tblLook w:val="04A0"/>
        </w:tblPrEx>
        <w:trPr>
          <w:cantSplit/>
          <w:trHeight w:val="580"/>
          <w:tblHeader/>
        </w:trPr>
        <w:tc>
          <w:tcPr>
            <w:tcW w:w="125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F7153" w14:paraId="669AA1F5" w14:textId="77777777">
            <w:pPr>
              <w:pStyle w:val="TableTextLeft"/>
              <w:rPr>
                <w:rFonts w:asciiTheme="minorHAnsi" w:hAnsiTheme="minorHAnsi" w:cstheme="minorHAnsi"/>
                <w:b/>
                <w:bCs/>
                <w:color w:val="auto"/>
              </w:rPr>
            </w:pPr>
            <w:r>
              <w:rPr>
                <w:rFonts w:ascii="Times New Roman" w:hAnsi="Times New Roman"/>
                <w:b/>
                <w:bCs/>
                <w:color w:val="000000"/>
              </w:rPr>
              <w:t>Approval period for section 1115 demonstration</w:t>
            </w:r>
          </w:p>
        </w:tc>
        <w:tc>
          <w:tcPr>
            <w:tcW w:w="118" w:type="pct"/>
            <w:tcBorders>
              <w:top w:val="single" w:sz="4" w:space="0" w:color="auto"/>
              <w:left w:val="single" w:sz="4" w:space="0" w:color="auto"/>
              <w:bottom w:val="single" w:sz="4" w:space="0" w:color="auto"/>
              <w:right w:val="single" w:sz="4" w:space="0" w:color="auto"/>
            </w:tcBorders>
            <w:shd w:val="clear" w:color="auto" w:fill="000000" w:themeFill="text1"/>
          </w:tcPr>
          <w:p w:rsidR="008F7153" w14:paraId="55441C14" w14:textId="77777777">
            <w:pPr>
              <w:pStyle w:val="TableTextLeft"/>
              <w:rPr>
                <w:rFonts w:asciiTheme="minorHAnsi" w:hAnsiTheme="minorHAnsi" w:cstheme="minorHAnsi"/>
              </w:rPr>
            </w:pPr>
          </w:p>
        </w:tc>
        <w:tc>
          <w:tcPr>
            <w:tcW w:w="3630" w:type="pct"/>
            <w:tcBorders>
              <w:top w:val="single" w:sz="4" w:space="0" w:color="auto"/>
              <w:left w:val="single" w:sz="4" w:space="0" w:color="auto"/>
              <w:bottom w:val="single" w:sz="4" w:space="0" w:color="auto"/>
              <w:right w:val="single" w:sz="4" w:space="0" w:color="auto"/>
            </w:tcBorders>
            <w:hideMark/>
          </w:tcPr>
          <w:p w:rsidR="008F7153" w:rsidRPr="005925B4" w:rsidP="005925B4" w14:paraId="30F61092" w14:textId="77777777">
            <w:pPr>
              <w:pStyle w:val="TableTextLeft"/>
              <w:rPr>
                <w:rStyle w:val="Italic"/>
              </w:rPr>
            </w:pPr>
            <w:r w:rsidRPr="001E215E">
              <w:rPr>
                <w:rStyle w:val="Italic"/>
                <w:color w:val="6F6F6F"/>
              </w:rPr>
              <w:t>Automatically populated with the current approval period for the section 1115 demonstration as listed in the current special terms and conditions (STC), including the start date and end date (MM/DD/YYYY – MM/DD/YYYY).</w:t>
            </w:r>
          </w:p>
        </w:tc>
      </w:tr>
      <w:tr w14:paraId="51E3539E" w14:textId="77777777" w:rsidTr="00CB7617">
        <w:tblPrEx>
          <w:tblW w:w="5000" w:type="pct"/>
          <w:tblLook w:val="04A0"/>
        </w:tblPrEx>
        <w:trPr>
          <w:cantSplit/>
          <w:trHeight w:val="580"/>
          <w:tblHeader/>
        </w:trPr>
        <w:tc>
          <w:tcPr>
            <w:tcW w:w="125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F7153" w14:paraId="26FDC759" w14:textId="047E452C">
            <w:pPr>
              <w:pStyle w:val="TableTextLeft"/>
              <w:rPr>
                <w:rFonts w:asciiTheme="minorHAnsi" w:hAnsiTheme="minorHAnsi" w:cstheme="minorHAnsi"/>
                <w:b/>
                <w:bCs/>
                <w:color w:val="auto"/>
              </w:rPr>
            </w:pPr>
            <w:bookmarkStart w:id="9" w:name="_Hlk41054975"/>
            <w:r>
              <w:rPr>
                <w:rFonts w:ascii="Times New Roman" w:hAnsi="Times New Roman"/>
                <w:b/>
                <w:bCs/>
                <w:color w:val="000000"/>
              </w:rPr>
              <w:t>SMI/SED</w:t>
            </w:r>
            <w:r w:rsidR="003E632B">
              <w:rPr>
                <w:rFonts w:ascii="Times New Roman" w:hAnsi="Times New Roman"/>
                <w:b/>
                <w:bCs/>
                <w:color w:val="000000"/>
              </w:rPr>
              <w:t xml:space="preserve"> </w:t>
            </w:r>
            <w:r>
              <w:rPr>
                <w:rFonts w:ascii="Times New Roman" w:hAnsi="Times New Roman"/>
                <w:b/>
                <w:bCs/>
                <w:color w:val="000000"/>
              </w:rPr>
              <w:t>demonstration</w:t>
            </w:r>
            <w:bookmarkEnd w:id="9"/>
            <w:r>
              <w:rPr>
                <w:rFonts w:ascii="Times New Roman" w:hAnsi="Times New Roman"/>
                <w:b/>
                <w:bCs/>
                <w:color w:val="000000"/>
              </w:rPr>
              <w:t xml:space="preserve"> start </w:t>
            </w:r>
            <w:r>
              <w:rPr>
                <w:rFonts w:ascii="Times New Roman" w:hAnsi="Times New Roman"/>
                <w:b/>
                <w:bCs/>
                <w:color w:val="000000"/>
              </w:rPr>
              <w:t>date</w:t>
            </w:r>
            <w:r>
              <w:rPr>
                <w:rFonts w:ascii="Times New Roman" w:hAnsi="Times New Roman"/>
                <w:b/>
                <w:bCs/>
                <w:color w:val="000000"/>
                <w:vertAlign w:val="superscript"/>
              </w:rPr>
              <w:t>a</w:t>
            </w:r>
          </w:p>
        </w:tc>
        <w:tc>
          <w:tcPr>
            <w:tcW w:w="118" w:type="pct"/>
            <w:tcBorders>
              <w:top w:val="single" w:sz="4" w:space="0" w:color="auto"/>
              <w:left w:val="single" w:sz="4" w:space="0" w:color="auto"/>
              <w:bottom w:val="single" w:sz="4" w:space="0" w:color="auto"/>
              <w:right w:val="single" w:sz="4" w:space="0" w:color="auto"/>
            </w:tcBorders>
            <w:shd w:val="clear" w:color="auto" w:fill="000000" w:themeFill="text1"/>
          </w:tcPr>
          <w:p w:rsidR="008F7153" w14:paraId="70D55C4C" w14:textId="77777777">
            <w:pPr>
              <w:pStyle w:val="TableTextLeft"/>
              <w:rPr>
                <w:rFonts w:asciiTheme="minorHAnsi" w:hAnsiTheme="minorHAnsi" w:cstheme="minorHAnsi"/>
              </w:rPr>
            </w:pPr>
          </w:p>
        </w:tc>
        <w:tc>
          <w:tcPr>
            <w:tcW w:w="3630" w:type="pct"/>
            <w:tcBorders>
              <w:top w:val="single" w:sz="4" w:space="0" w:color="auto"/>
              <w:left w:val="single" w:sz="4" w:space="0" w:color="auto"/>
              <w:bottom w:val="single" w:sz="4" w:space="0" w:color="auto"/>
              <w:right w:val="single" w:sz="4" w:space="0" w:color="auto"/>
            </w:tcBorders>
            <w:hideMark/>
          </w:tcPr>
          <w:p w:rsidR="008F7153" w:rsidRPr="005925B4" w:rsidP="005925B4" w14:paraId="4442CDF0" w14:textId="09BD9D75">
            <w:pPr>
              <w:pStyle w:val="TableTextLeft"/>
              <w:rPr>
                <w:rStyle w:val="Italic"/>
              </w:rPr>
            </w:pPr>
            <w:r w:rsidRPr="001E215E">
              <w:rPr>
                <w:rStyle w:val="Italic"/>
                <w:color w:val="6F6F6F"/>
              </w:rPr>
              <w:t>Automatically populated with the start date for the section 1115 S</w:t>
            </w:r>
            <w:r w:rsidRPr="001E215E" w:rsidR="0079614B">
              <w:rPr>
                <w:rStyle w:val="Italic"/>
                <w:color w:val="6F6F6F"/>
              </w:rPr>
              <w:t>MI/SED</w:t>
            </w:r>
            <w:r w:rsidRPr="001E215E">
              <w:rPr>
                <w:rStyle w:val="Italic"/>
                <w:color w:val="6F6F6F"/>
              </w:rPr>
              <w:t xml:space="preserve"> demonstration or </w:t>
            </w:r>
            <w:r w:rsidRPr="001E215E" w:rsidR="0079614B">
              <w:rPr>
                <w:rStyle w:val="Italic"/>
                <w:color w:val="6F6F6F"/>
              </w:rPr>
              <w:t>SMI/SED</w:t>
            </w:r>
            <w:r w:rsidRPr="001E215E">
              <w:rPr>
                <w:rStyle w:val="Italic"/>
                <w:color w:val="6F6F6F"/>
              </w:rPr>
              <w:t xml:space="preserve"> component if part of a broader demonstration (MM/DD/YYYY). </w:t>
            </w:r>
          </w:p>
        </w:tc>
      </w:tr>
      <w:tr w14:paraId="2A783EA5" w14:textId="77777777" w:rsidTr="00CB7617">
        <w:tblPrEx>
          <w:tblW w:w="5000" w:type="pct"/>
          <w:tblLook w:val="04A0"/>
        </w:tblPrEx>
        <w:trPr>
          <w:cantSplit/>
          <w:trHeight w:val="580"/>
          <w:tblHeader/>
        </w:trPr>
        <w:tc>
          <w:tcPr>
            <w:tcW w:w="125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F7153" w14:paraId="190BAFAA" w14:textId="708EECAB">
            <w:pPr>
              <w:pStyle w:val="TableTextLeft"/>
              <w:rPr>
                <w:rFonts w:asciiTheme="minorHAnsi" w:hAnsiTheme="minorHAnsi" w:cstheme="minorHAnsi"/>
                <w:b/>
                <w:bCs/>
                <w:color w:val="auto"/>
              </w:rPr>
            </w:pPr>
            <w:bookmarkStart w:id="10" w:name="_Hlk37325772"/>
            <w:r>
              <w:rPr>
                <w:rFonts w:ascii="Times New Roman" w:hAnsi="Times New Roman"/>
                <w:b/>
                <w:bCs/>
                <w:color w:val="000000"/>
              </w:rPr>
              <w:t>Implementation date of S</w:t>
            </w:r>
            <w:r w:rsidR="0079614B">
              <w:rPr>
                <w:rFonts w:ascii="Times New Roman" w:hAnsi="Times New Roman"/>
                <w:b/>
                <w:bCs/>
                <w:color w:val="000000"/>
              </w:rPr>
              <w:t>MI/SED</w:t>
            </w:r>
            <w:r>
              <w:rPr>
                <w:rFonts w:ascii="Times New Roman" w:hAnsi="Times New Roman"/>
                <w:b/>
                <w:bCs/>
                <w:color w:val="000000"/>
              </w:rPr>
              <w:t xml:space="preserve"> demonstration, if different from S</w:t>
            </w:r>
            <w:r w:rsidR="0079614B">
              <w:rPr>
                <w:rFonts w:ascii="Times New Roman" w:hAnsi="Times New Roman"/>
                <w:b/>
                <w:bCs/>
                <w:color w:val="000000"/>
              </w:rPr>
              <w:t>MI/SED</w:t>
            </w:r>
            <w:r>
              <w:rPr>
                <w:rFonts w:ascii="Times New Roman" w:hAnsi="Times New Roman"/>
                <w:b/>
                <w:bCs/>
                <w:color w:val="000000"/>
              </w:rPr>
              <w:t xml:space="preserve"> demonstration start </w:t>
            </w:r>
            <w:r>
              <w:rPr>
                <w:rFonts w:ascii="Times New Roman" w:hAnsi="Times New Roman"/>
                <w:b/>
                <w:bCs/>
                <w:color w:val="000000"/>
              </w:rPr>
              <w:t>date</w:t>
            </w:r>
            <w:bookmarkEnd w:id="10"/>
            <w:r>
              <w:rPr>
                <w:rStyle w:val="Superscript"/>
              </w:rPr>
              <w:t>b</w:t>
            </w:r>
          </w:p>
        </w:tc>
        <w:tc>
          <w:tcPr>
            <w:tcW w:w="118" w:type="pct"/>
            <w:tcBorders>
              <w:top w:val="single" w:sz="4" w:space="0" w:color="auto"/>
              <w:left w:val="single" w:sz="4" w:space="0" w:color="auto"/>
              <w:bottom w:val="single" w:sz="4" w:space="0" w:color="auto"/>
              <w:right w:val="single" w:sz="4" w:space="0" w:color="auto"/>
            </w:tcBorders>
            <w:shd w:val="clear" w:color="auto" w:fill="000000" w:themeFill="text1"/>
          </w:tcPr>
          <w:p w:rsidR="008F7153" w14:paraId="705EC95F" w14:textId="77777777">
            <w:pPr>
              <w:pStyle w:val="TableTextLeft"/>
              <w:rPr>
                <w:rFonts w:asciiTheme="minorHAnsi" w:hAnsiTheme="minorHAnsi" w:cstheme="minorHAnsi"/>
              </w:rPr>
            </w:pPr>
          </w:p>
        </w:tc>
        <w:tc>
          <w:tcPr>
            <w:tcW w:w="3630" w:type="pct"/>
            <w:tcBorders>
              <w:top w:val="single" w:sz="4" w:space="0" w:color="auto"/>
              <w:left w:val="single" w:sz="4" w:space="0" w:color="auto"/>
              <w:bottom w:val="single" w:sz="4" w:space="0" w:color="auto"/>
              <w:right w:val="single" w:sz="4" w:space="0" w:color="auto"/>
            </w:tcBorders>
            <w:hideMark/>
          </w:tcPr>
          <w:p w:rsidR="008F7153" w:rsidRPr="005925B4" w:rsidP="005925B4" w14:paraId="7F603FB0" w14:textId="7AF7E8D6">
            <w:pPr>
              <w:pStyle w:val="TableTextLeft"/>
              <w:rPr>
                <w:rStyle w:val="Italic"/>
              </w:rPr>
            </w:pPr>
            <w:r w:rsidRPr="001E215E">
              <w:rPr>
                <w:rStyle w:val="Italic"/>
                <w:color w:val="6F6F6F"/>
              </w:rPr>
              <w:t xml:space="preserve">Automatically populated with the </w:t>
            </w:r>
            <w:r w:rsidRPr="001E215E" w:rsidR="0079614B">
              <w:rPr>
                <w:rStyle w:val="Italic"/>
                <w:color w:val="6F6F6F"/>
              </w:rPr>
              <w:t>SMI/SED</w:t>
            </w:r>
            <w:r w:rsidRPr="001E215E">
              <w:rPr>
                <w:rStyle w:val="Italic"/>
                <w:color w:val="6F6F6F"/>
              </w:rPr>
              <w:t xml:space="preserve"> demonstration implementation date (MM/DD/YYYY). </w:t>
            </w:r>
          </w:p>
        </w:tc>
      </w:tr>
      <w:tr w14:paraId="7BA07139" w14:textId="77777777" w:rsidTr="00CB7617">
        <w:tblPrEx>
          <w:tblW w:w="5000" w:type="pct"/>
          <w:tblLook w:val="04A0"/>
        </w:tblPrEx>
        <w:trPr>
          <w:cantSplit/>
          <w:trHeight w:val="580"/>
          <w:tblHeader/>
        </w:trPr>
        <w:tc>
          <w:tcPr>
            <w:tcW w:w="125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F7153" w14:paraId="62081595" w14:textId="58325680">
            <w:pPr>
              <w:pStyle w:val="TableTextLeft"/>
              <w:rPr>
                <w:rFonts w:asciiTheme="minorHAnsi" w:hAnsiTheme="minorHAnsi" w:cstheme="minorHAnsi"/>
                <w:b/>
                <w:bCs/>
                <w:color w:val="auto"/>
              </w:rPr>
            </w:pPr>
            <w:r>
              <w:rPr>
                <w:rFonts w:ascii="Times New Roman" w:hAnsi="Times New Roman"/>
                <w:b/>
                <w:bCs/>
                <w:color w:val="000000"/>
              </w:rPr>
              <w:t>SMI/SED</w:t>
            </w:r>
            <w:r>
              <w:rPr>
                <w:rFonts w:ascii="Times New Roman" w:hAnsi="Times New Roman"/>
                <w:b/>
                <w:bCs/>
                <w:color w:val="000000"/>
              </w:rPr>
              <w:t xml:space="preserve"> (or if broader demonstration, then </w:t>
            </w:r>
            <w:r>
              <w:rPr>
                <w:rFonts w:ascii="Times New Roman" w:hAnsi="Times New Roman"/>
                <w:b/>
                <w:bCs/>
                <w:color w:val="000000"/>
              </w:rPr>
              <w:t>SMI/SED</w:t>
            </w:r>
            <w:r>
              <w:rPr>
                <w:rFonts w:ascii="Times New Roman" w:hAnsi="Times New Roman"/>
                <w:b/>
                <w:bCs/>
                <w:color w:val="000000"/>
              </w:rPr>
              <w:t>-related) demonstration goals and objectives</w:t>
            </w:r>
          </w:p>
        </w:tc>
        <w:tc>
          <w:tcPr>
            <w:tcW w:w="118" w:type="pct"/>
            <w:tcBorders>
              <w:top w:val="single" w:sz="4" w:space="0" w:color="auto"/>
              <w:left w:val="single" w:sz="4" w:space="0" w:color="auto"/>
              <w:bottom w:val="single" w:sz="4" w:space="0" w:color="auto"/>
              <w:right w:val="single" w:sz="4" w:space="0" w:color="auto"/>
            </w:tcBorders>
            <w:shd w:val="clear" w:color="auto" w:fill="000000" w:themeFill="text1"/>
          </w:tcPr>
          <w:p w:rsidR="008F7153" w14:paraId="6B30E691" w14:textId="77777777">
            <w:pPr>
              <w:pStyle w:val="TableTextLeft"/>
              <w:rPr>
                <w:rFonts w:asciiTheme="minorHAnsi" w:hAnsiTheme="minorHAnsi" w:cstheme="minorHAnsi"/>
              </w:rPr>
            </w:pPr>
          </w:p>
        </w:tc>
        <w:tc>
          <w:tcPr>
            <w:tcW w:w="3630" w:type="pct"/>
            <w:tcBorders>
              <w:top w:val="single" w:sz="4" w:space="0" w:color="auto"/>
              <w:left w:val="single" w:sz="4" w:space="0" w:color="auto"/>
              <w:bottom w:val="single" w:sz="4" w:space="0" w:color="auto"/>
              <w:right w:val="single" w:sz="4" w:space="0" w:color="auto"/>
            </w:tcBorders>
            <w:hideMark/>
          </w:tcPr>
          <w:p w:rsidR="008F7153" w:rsidRPr="001E215E" w:rsidP="005925B4" w14:paraId="4E0A4907" w14:textId="478B397B">
            <w:pPr>
              <w:pStyle w:val="TableTextLeft"/>
              <w:rPr>
                <w:rStyle w:val="Italic"/>
                <w:color w:val="6F6F6F"/>
              </w:rPr>
            </w:pPr>
            <w:r w:rsidRPr="001E215E">
              <w:rPr>
                <w:rStyle w:val="Italic"/>
                <w:color w:val="6F6F6F"/>
              </w:rPr>
              <w:t xml:space="preserve">Automatically populated with the summary of the </w:t>
            </w:r>
            <w:r w:rsidRPr="001E215E" w:rsidR="0079614B">
              <w:rPr>
                <w:rStyle w:val="Italic"/>
                <w:color w:val="6F6F6F"/>
              </w:rPr>
              <w:t>SMI/SED</w:t>
            </w:r>
            <w:r w:rsidRPr="001E215E">
              <w:rPr>
                <w:rStyle w:val="Italic"/>
                <w:color w:val="6F6F6F"/>
              </w:rPr>
              <w:t xml:space="preserve"> (or if broader demonstration, then </w:t>
            </w:r>
            <w:r w:rsidRPr="001E215E" w:rsidR="0079614B">
              <w:rPr>
                <w:rStyle w:val="Italic"/>
                <w:color w:val="6F6F6F"/>
              </w:rPr>
              <w:t>SMI/SED-</w:t>
            </w:r>
            <w:r w:rsidRPr="001E215E">
              <w:rPr>
                <w:rStyle w:val="Italic"/>
                <w:color w:val="6F6F6F"/>
              </w:rPr>
              <w:t>related) demonstration goals and objectives.</w:t>
            </w:r>
          </w:p>
        </w:tc>
      </w:tr>
      <w:tr w14:paraId="6BC206A3" w14:textId="77777777" w:rsidTr="00CB7617">
        <w:tblPrEx>
          <w:tblW w:w="5000" w:type="pct"/>
          <w:tblLook w:val="04A0"/>
        </w:tblPrEx>
        <w:trPr>
          <w:cantSplit/>
          <w:trHeight w:val="580"/>
          <w:tblHeader/>
        </w:trPr>
        <w:tc>
          <w:tcPr>
            <w:tcW w:w="125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F7153" w14:paraId="5524962F" w14:textId="62A707EC">
            <w:pPr>
              <w:pStyle w:val="TableTextLeft"/>
              <w:rPr>
                <w:rFonts w:asciiTheme="minorHAnsi" w:hAnsiTheme="minorHAnsi" w:cstheme="minorHAnsi"/>
                <w:b/>
                <w:bCs/>
                <w:color w:val="auto"/>
              </w:rPr>
            </w:pPr>
            <w:r>
              <w:rPr>
                <w:rFonts w:asciiTheme="minorHAnsi" w:hAnsiTheme="minorHAnsi" w:cstheme="minorHAnsi"/>
                <w:b/>
                <w:bCs/>
              </w:rPr>
              <w:t>S</w:t>
            </w:r>
            <w:r w:rsidR="0079614B">
              <w:rPr>
                <w:rFonts w:asciiTheme="minorHAnsi" w:hAnsiTheme="minorHAnsi" w:cstheme="minorHAnsi"/>
                <w:b/>
                <w:bCs/>
              </w:rPr>
              <w:t>MI/SED</w:t>
            </w:r>
            <w:r>
              <w:rPr>
                <w:rFonts w:asciiTheme="minorHAnsi" w:hAnsiTheme="minorHAnsi" w:cstheme="minorHAnsi"/>
                <w:b/>
                <w:bCs/>
              </w:rPr>
              <w:t xml:space="preserve"> demonstration year and quarter</w:t>
            </w:r>
          </w:p>
        </w:tc>
        <w:tc>
          <w:tcPr>
            <w:tcW w:w="118" w:type="pct"/>
            <w:tcBorders>
              <w:top w:val="single" w:sz="4" w:space="0" w:color="auto"/>
              <w:left w:val="single" w:sz="4" w:space="0" w:color="auto"/>
              <w:bottom w:val="single" w:sz="4" w:space="0" w:color="auto"/>
              <w:right w:val="single" w:sz="4" w:space="0" w:color="auto"/>
            </w:tcBorders>
            <w:shd w:val="clear" w:color="auto" w:fill="000000" w:themeFill="text1"/>
          </w:tcPr>
          <w:p w:rsidR="008F7153" w14:paraId="77A27A4A" w14:textId="77777777">
            <w:pPr>
              <w:pStyle w:val="TableTextLeft"/>
              <w:rPr>
                <w:rFonts w:asciiTheme="minorHAnsi" w:hAnsiTheme="minorHAnsi" w:cstheme="minorHAnsi"/>
              </w:rPr>
            </w:pPr>
          </w:p>
        </w:tc>
        <w:tc>
          <w:tcPr>
            <w:tcW w:w="3630" w:type="pct"/>
            <w:tcBorders>
              <w:top w:val="single" w:sz="4" w:space="0" w:color="auto"/>
              <w:left w:val="single" w:sz="4" w:space="0" w:color="auto"/>
              <w:bottom w:val="single" w:sz="4" w:space="0" w:color="auto"/>
              <w:right w:val="single" w:sz="4" w:space="0" w:color="auto"/>
            </w:tcBorders>
            <w:hideMark/>
          </w:tcPr>
          <w:p w:rsidR="008F7153" w:rsidRPr="005925B4" w:rsidP="005925B4" w14:paraId="2F3A5455" w14:textId="2A3DED35">
            <w:pPr>
              <w:pStyle w:val="TableTextLeft"/>
              <w:rPr>
                <w:rStyle w:val="Italic"/>
              </w:rPr>
            </w:pPr>
            <w:sdt>
              <w:sdtPr>
                <w:rPr>
                  <w:i/>
                  <w:color w:val="6F6F6F"/>
                </w:rPr>
                <w:tag w:val="[demo]AD[/demo][policy]AD[/policy]sudmrt1sec1row8cell2"/>
                <w:id w:val="-323740553"/>
                <w:placeholder>
                  <w:docPart w:val="CFAC23E8BE3442D5A5636A3E5B999E5F"/>
                </w:placeholder>
                <w:text w:multiLine="1"/>
              </w:sdtPr>
              <w:sdtContent>
                <w:r w:rsidRPr="001E215E" w:rsidR="00F84062">
                  <w:rPr>
                    <w:i/>
                    <w:color w:val="6F6F6F"/>
                  </w:rPr>
                  <w:t xml:space="preserve">Enter the SMI/SED demonstration year and quarter associated with this report (e.g., SMI/SED DY1Q3 report). </w:t>
                </w:r>
                <w:r w:rsidR="008C2409">
                  <w:rPr>
                    <w:i/>
                    <w:color w:val="6F6F6F"/>
                  </w:rPr>
                  <w:t xml:space="preserve"> </w:t>
                </w:r>
                <w:r w:rsidRPr="001E215E" w:rsidR="00F84062">
                  <w:rPr>
                    <w:i/>
                    <w:color w:val="6F6F6F"/>
                  </w:rPr>
                  <w:t>This should align with the reporting schedule in the state’s approved monitoring protocol.</w:t>
                </w:r>
              </w:sdtContent>
            </w:sdt>
            <w:r w:rsidRPr="001E215E">
              <w:rPr>
                <w:rStyle w:val="Italic"/>
                <w:color w:val="6F6F6F"/>
              </w:rPr>
              <w:t xml:space="preserve"> </w:t>
            </w:r>
          </w:p>
        </w:tc>
      </w:tr>
      <w:tr w14:paraId="11B783CF" w14:textId="77777777" w:rsidTr="00CB7617">
        <w:tblPrEx>
          <w:tblW w:w="5000" w:type="pct"/>
          <w:tblLook w:val="04A0"/>
        </w:tblPrEx>
        <w:trPr>
          <w:cantSplit/>
          <w:trHeight w:val="580"/>
          <w:tblHeader/>
        </w:trPr>
        <w:tc>
          <w:tcPr>
            <w:tcW w:w="125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F7153" w14:paraId="0D85792E" w14:textId="77777777">
            <w:pPr>
              <w:pStyle w:val="TableTextLeft"/>
              <w:rPr>
                <w:rFonts w:asciiTheme="minorHAnsi" w:hAnsiTheme="minorHAnsi" w:cstheme="minorHAnsi"/>
                <w:b/>
                <w:bCs/>
                <w:color w:val="auto"/>
              </w:rPr>
            </w:pPr>
            <w:r>
              <w:rPr>
                <w:rFonts w:asciiTheme="minorHAnsi" w:hAnsiTheme="minorHAnsi" w:cstheme="minorHAnsi"/>
                <w:b/>
                <w:bCs/>
              </w:rPr>
              <w:t>Reporting period</w:t>
            </w:r>
          </w:p>
        </w:tc>
        <w:tc>
          <w:tcPr>
            <w:tcW w:w="118" w:type="pct"/>
            <w:tcBorders>
              <w:top w:val="single" w:sz="4" w:space="0" w:color="auto"/>
              <w:left w:val="single" w:sz="4" w:space="0" w:color="auto"/>
              <w:bottom w:val="single" w:sz="4" w:space="0" w:color="auto"/>
              <w:right w:val="single" w:sz="4" w:space="0" w:color="auto"/>
            </w:tcBorders>
            <w:shd w:val="clear" w:color="auto" w:fill="000000" w:themeFill="text1"/>
          </w:tcPr>
          <w:p w:rsidR="008F7153" w14:paraId="548684CB" w14:textId="77777777">
            <w:pPr>
              <w:pStyle w:val="TableTextLeft"/>
              <w:rPr>
                <w:rFonts w:asciiTheme="minorHAnsi" w:hAnsiTheme="minorHAnsi" w:cstheme="minorHAnsi"/>
              </w:rPr>
            </w:pPr>
          </w:p>
        </w:tc>
        <w:tc>
          <w:tcPr>
            <w:tcW w:w="3630" w:type="pct"/>
            <w:tcBorders>
              <w:top w:val="single" w:sz="4" w:space="0" w:color="auto"/>
              <w:left w:val="single" w:sz="4" w:space="0" w:color="auto"/>
              <w:bottom w:val="single" w:sz="4" w:space="0" w:color="auto"/>
              <w:right w:val="single" w:sz="4" w:space="0" w:color="auto"/>
            </w:tcBorders>
            <w:hideMark/>
          </w:tcPr>
          <w:p w:rsidR="008F7153" w:rsidRPr="005925B4" w:rsidP="005925B4" w14:paraId="47A14A98" w14:textId="77777777">
            <w:pPr>
              <w:pStyle w:val="TableTextLeft"/>
              <w:rPr>
                <w:rStyle w:val="Italic"/>
              </w:rPr>
            </w:pPr>
            <w:sdt>
              <w:sdtPr>
                <w:rPr>
                  <w:rStyle w:val="Italic"/>
                  <w:color w:val="6F6F6F"/>
                </w:rPr>
                <w:tag w:val="[demo]AD[/demo][policy]AD[/policy]sudmrt1sec1row9cell2"/>
                <w:id w:val="1282994938"/>
                <w:placeholder>
                  <w:docPart w:val="D3F0B02BBB3F477E9962221E5E773B09"/>
                </w:placeholder>
                <w:text w:multiLine="1"/>
              </w:sdtPr>
              <w:sdtEndPr>
                <w:rPr>
                  <w:rStyle w:val="Italic"/>
                </w:rPr>
              </w:sdtEndPr>
              <w:sdtContent>
                <w:r w:rsidRPr="001E215E">
                  <w:rPr>
                    <w:rStyle w:val="Italic"/>
                    <w:color w:val="6F6F6F"/>
                  </w:rPr>
                  <w:t xml:space="preserve">Enter calendar dates for the current reporting period (i.e., for the quarter or year) (MM/DD/YYYY – MM/DD/YYYY).  This should align with the reporting schedule in the state’s approved monitoring protocol. </w:t>
                </w:r>
              </w:sdtContent>
            </w:sdt>
          </w:p>
        </w:tc>
      </w:tr>
    </w:tbl>
    <w:p w:rsidR="008F7153" w:rsidP="005925B4" w14:paraId="484866D4" w14:textId="5F7E5682">
      <w:pPr>
        <w:pStyle w:val="TableFootnote"/>
        <w:rPr>
          <w:rFonts w:eastAsia="Times New Roman"/>
        </w:rPr>
      </w:pPr>
      <w:r>
        <w:rPr>
          <w:rStyle w:val="Superscript"/>
        </w:rPr>
        <w:t xml:space="preserve">a </w:t>
      </w:r>
      <w:r>
        <w:rPr>
          <w:rStyle w:val="Bold"/>
        </w:rPr>
        <w:t>S</w:t>
      </w:r>
      <w:r w:rsidR="0079614B">
        <w:rPr>
          <w:rStyle w:val="Bold"/>
        </w:rPr>
        <w:t>MI/SED</w:t>
      </w:r>
      <w:r>
        <w:rPr>
          <w:rStyle w:val="Bold"/>
        </w:rPr>
        <w:t xml:space="preserve"> demonstration start date:</w:t>
      </w:r>
      <w:r>
        <w:t xml:space="preserve"> For monitoring purposes, CMS defines the start date of the demonstration as the </w:t>
      </w:r>
      <w:r>
        <w:rPr>
          <w:i/>
          <w:iCs/>
        </w:rPr>
        <w:t>effective date</w:t>
      </w:r>
      <w:r>
        <w:t xml:space="preserve"> listed in the state’s STCs at time of </w:t>
      </w:r>
      <w:r w:rsidR="0079614B">
        <w:t>SMI/SED</w:t>
      </w:r>
      <w:r>
        <w:t xml:space="preserve"> demonstration approval.  For example, if the state’s STCs at the time of S</w:t>
      </w:r>
      <w:r w:rsidR="0079614B">
        <w:t>MI/SED</w:t>
      </w:r>
      <w:r>
        <w:t xml:space="preserve"> demonstration approval note that the S</w:t>
      </w:r>
      <w:r w:rsidR="0079614B">
        <w:t>MI/SED</w:t>
      </w:r>
      <w:r>
        <w:t xml:space="preserve"> demonstration is effective January 1, 2020 – December 31, 2025, the state should consider January 1, 2020 to be the start date of the </w:t>
      </w:r>
      <w:r w:rsidR="00397123">
        <w:t>SMI/SED</w:t>
      </w:r>
      <w:r>
        <w:t xml:space="preserve"> demonstration.  Note that the effective date is considered to be the first day the state may begin its S</w:t>
      </w:r>
      <w:r w:rsidR="0079614B">
        <w:t>MI/SED</w:t>
      </w:r>
      <w:r>
        <w:t xml:space="preserve"> demonstration.  In many cases, the effective date is distinct from the approval date of a demonstration; that is, in certain cases, CMS may approve a section 1115 demonstration with an effective date that is in the future.  For example, CMS may approve an extension request on December 15, 2020, with an effective date of January 1, 2021 for the new demonstration period.  In many cases, the effective date also differs from the date a state begins implementing its demonstration.</w:t>
      </w:r>
    </w:p>
    <w:p w:rsidR="008F7153" w:rsidP="00FE2662" w14:paraId="677EA4EB" w14:textId="14EF7E6E">
      <w:pPr>
        <w:pStyle w:val="TableFootnote"/>
        <w:rPr>
          <w:szCs w:val="20"/>
          <w:u w:val="single" w:color="000000"/>
        </w:rPr>
      </w:pPr>
      <w:r>
        <w:rPr>
          <w:rStyle w:val="Superscript"/>
        </w:rPr>
        <w:t xml:space="preserve">b </w:t>
      </w:r>
      <w:r>
        <w:rPr>
          <w:rStyle w:val="Bold"/>
        </w:rPr>
        <w:t>Implementation date of S</w:t>
      </w:r>
      <w:r w:rsidR="0079614B">
        <w:rPr>
          <w:rStyle w:val="Bold"/>
        </w:rPr>
        <w:t>MI/SED</w:t>
      </w:r>
      <w:r>
        <w:rPr>
          <w:rStyle w:val="Bold"/>
        </w:rPr>
        <w:t xml:space="preserve"> demonstration:</w:t>
      </w:r>
      <w:r>
        <w:t xml:space="preserve"> </w:t>
      </w:r>
      <w:r w:rsidRPr="00FE2662" w:rsidR="00FE2662">
        <w:rPr>
          <w:szCs w:val="16"/>
        </w:rPr>
        <w:t>The date the state began claiming or will begin claiming federal financial participation for services provided to individuals in institutions for mental disease.</w:t>
      </w:r>
    </w:p>
    <w:p w:rsidR="008F7153" w:rsidRPr="00612949" w:rsidP="00612949" w14:paraId="0089C0A3" w14:textId="77777777">
      <w:pPr>
        <w:pStyle w:val="H1"/>
      </w:pPr>
      <w:bookmarkStart w:id="11" w:name="_Hlk29449753"/>
      <w:r w:rsidRPr="00612949">
        <w:t>2.</w:t>
      </w:r>
      <w:r w:rsidRPr="00612949">
        <w:tab/>
        <w:t>Executive summary</w:t>
      </w:r>
    </w:p>
    <w:p w:rsidR="008F7153" w:rsidP="008F7153" w14:paraId="3FAFEAF5" w14:textId="77777777">
      <w:pPr>
        <w:pStyle w:val="ParagraphContinued"/>
        <w:rPr>
          <w:rStyle w:val="Italic"/>
        </w:rPr>
      </w:pPr>
      <w:r>
        <w:rPr>
          <w:rStyle w:val="Italic"/>
        </w:rPr>
        <w:t>The executive summary should be reported in the fillable box below.  It is intended for summary-level information only.  The recommended word count is 500 words or less.</w:t>
      </w:r>
    </w:p>
    <w:p w:rsidR="008F7153" w:rsidRPr="001E215E" w:rsidP="005925B4" w14:paraId="5AD58641" w14:textId="77777777">
      <w:pPr>
        <w:pStyle w:val="Paragraph"/>
        <w:rPr>
          <w:rStyle w:val="Italic"/>
          <w:color w:val="6F6F6F"/>
        </w:rPr>
      </w:pPr>
      <w:r w:rsidRPr="001E215E">
        <w:rPr>
          <w:rStyle w:val="Italic"/>
          <w:color w:val="6F6F6F"/>
        </w:rPr>
        <w:t>Enter the executive summary text here.</w:t>
      </w:r>
      <w:bookmarkEnd w:id="11"/>
    </w:p>
    <w:p w:rsidR="008F7153" w:rsidP="008F7153" w14:paraId="4C8C5B55" w14:textId="77777777">
      <w:pPr>
        <w:spacing w:after="0"/>
        <w:rPr>
          <w:rStyle w:val="Italic"/>
        </w:rPr>
        <w:sectPr>
          <w:headerReference w:type="default" r:id="rId11"/>
          <w:footerReference w:type="default" r:id="rId12"/>
          <w:pgSz w:w="12240" w:h="15840"/>
          <w:pgMar w:top="1440" w:right="1440" w:bottom="1440" w:left="1440" w:header="720" w:footer="720" w:gutter="0"/>
          <w:cols w:space="720"/>
        </w:sectPr>
      </w:pPr>
    </w:p>
    <w:p w:rsidR="008F7153" w:rsidRPr="00612949" w:rsidP="007A6870" w14:paraId="3F989F0D" w14:textId="77777777">
      <w:pPr>
        <w:pStyle w:val="H1"/>
        <w:jc w:val="both"/>
      </w:pPr>
      <w:r>
        <w:t>3</w:t>
      </w:r>
      <w:r w:rsidRPr="00612949">
        <w:t>.</w:t>
      </w:r>
      <w:r w:rsidRPr="00612949">
        <w:tab/>
        <w:t>Narrative information on implementation, by milestone and reporting topic</w:t>
      </w:r>
    </w:p>
    <w:tbl>
      <w:tblPr>
        <w:tblStyle w:val="1115Report"/>
        <w:tblCaption w:val="Narrative Information on Implementation, by Milestone and Reporting Topic"/>
        <w:tblW w:w="12960"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tblPr>
      <w:tblGrid>
        <w:gridCol w:w="4946"/>
        <w:gridCol w:w="1441"/>
        <w:gridCol w:w="1711"/>
        <w:gridCol w:w="4862"/>
      </w:tblGrid>
      <w:tr w14:paraId="06E33DAE" w14:textId="77777777" w:rsidTr="00683393">
        <w:tblPrEx>
          <w:tblW w:w="12960"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tblPrEx>
        <w:trPr>
          <w:cantSplit/>
          <w:trHeight w:val="638"/>
          <w:tblHeader/>
        </w:trPr>
        <w:tc>
          <w:tcPr>
            <w:tcW w:w="4946" w:type="dxa"/>
            <w:shd w:val="clear" w:color="auto" w:fill="595959"/>
            <w:hideMark/>
          </w:tcPr>
          <w:p w:rsidR="008F7153" w:rsidRPr="00295DBA" w:rsidP="00C86176" w14:paraId="5D1A8106" w14:textId="77777777">
            <w:pPr>
              <w:pStyle w:val="TableHeaderLeft"/>
            </w:pPr>
            <w:bookmarkStart w:id="20" w:name="_Hlk37338964"/>
            <w:bookmarkStart w:id="21" w:name="_Hlk38039559"/>
            <w:r w:rsidRPr="00295DBA">
              <w:t>Prompt</w:t>
            </w:r>
          </w:p>
        </w:tc>
        <w:tc>
          <w:tcPr>
            <w:tcW w:w="1441" w:type="dxa"/>
            <w:shd w:val="clear" w:color="auto" w:fill="595959"/>
            <w:hideMark/>
          </w:tcPr>
          <w:p w:rsidR="008F7153" w:rsidRPr="00295DBA" w:rsidP="000F2C88" w14:paraId="5CD4B212" w14:textId="77777777">
            <w:pPr>
              <w:pStyle w:val="TableHeaderCenter"/>
            </w:pPr>
            <w:r w:rsidRPr="00295DBA">
              <w:t>State has no trends/update to report (place an X)</w:t>
            </w:r>
          </w:p>
        </w:tc>
        <w:tc>
          <w:tcPr>
            <w:tcW w:w="1711" w:type="dxa"/>
            <w:shd w:val="clear" w:color="auto" w:fill="595959"/>
            <w:hideMark/>
          </w:tcPr>
          <w:p w:rsidR="008F7153" w:rsidRPr="00295DBA" w:rsidP="00704CED" w14:paraId="66C05625" w14:textId="77777777">
            <w:pPr>
              <w:pStyle w:val="TableHeaderCenter"/>
            </w:pPr>
            <w:r w:rsidRPr="00295DBA">
              <w:t xml:space="preserve">Related metric(s) </w:t>
            </w:r>
            <w:r w:rsidRPr="00295DBA">
              <w:br/>
              <w:t>(if any)</w:t>
            </w:r>
          </w:p>
        </w:tc>
        <w:tc>
          <w:tcPr>
            <w:tcW w:w="4862" w:type="dxa"/>
            <w:shd w:val="clear" w:color="auto" w:fill="595959"/>
            <w:hideMark/>
          </w:tcPr>
          <w:p w:rsidR="008F7153" w:rsidRPr="00295DBA" w14:paraId="7BB5C213" w14:textId="77777777">
            <w:pPr>
              <w:pStyle w:val="TableHeaderCenter"/>
            </w:pPr>
            <w:r w:rsidRPr="00295DBA">
              <w:t>State response</w:t>
            </w:r>
          </w:p>
        </w:tc>
        <w:bookmarkEnd w:id="20"/>
      </w:tr>
      <w:tr w14:paraId="68294F36" w14:textId="77777777" w:rsidTr="00683393">
        <w:tblPrEx>
          <w:tblW w:w="12960" w:type="dxa"/>
          <w:tblLayout w:type="fixed"/>
          <w:tblLook w:val="04A0"/>
        </w:tblPrEx>
        <w:trPr>
          <w:cantSplit/>
          <w:trHeight w:val="220"/>
        </w:trPr>
        <w:tc>
          <w:tcPr>
            <w:tcW w:w="12960" w:type="dxa"/>
            <w:gridSpan w:val="4"/>
            <w:shd w:val="clear" w:color="auto" w:fill="BFBFBF"/>
            <w:hideMark/>
          </w:tcPr>
          <w:p w:rsidR="008F7153" w:rsidRPr="00295DBA" w:rsidP="000E094E" w14:paraId="56C1E98B" w14:textId="0BF4936C">
            <w:pPr>
              <w:pStyle w:val="TableRowHead2"/>
            </w:pPr>
            <w:r w:rsidRPr="00295DBA">
              <w:t>1.</w:t>
            </w:r>
            <w:r w:rsidR="008A70F1">
              <w:tab/>
            </w:r>
            <w:r w:rsidR="0079614B">
              <w:t xml:space="preserve">Ensuring </w:t>
            </w:r>
            <w:r w:rsidR="00E93DCD">
              <w:t>Q</w:t>
            </w:r>
            <w:r w:rsidR="0079614B">
              <w:t xml:space="preserve">uality of </w:t>
            </w:r>
            <w:r w:rsidR="00E93DCD">
              <w:t>C</w:t>
            </w:r>
            <w:r w:rsidR="0079614B">
              <w:t xml:space="preserve">are in </w:t>
            </w:r>
            <w:r w:rsidR="00E93DCD">
              <w:t>P</w:t>
            </w:r>
            <w:r w:rsidR="0079614B">
              <w:t xml:space="preserve">sychiatric </w:t>
            </w:r>
            <w:r w:rsidR="00E93DCD">
              <w:t>H</w:t>
            </w:r>
            <w:r w:rsidR="0079614B">
              <w:t xml:space="preserve">ospitals and </w:t>
            </w:r>
            <w:r w:rsidR="00E93DCD">
              <w:t>R</w:t>
            </w:r>
            <w:r w:rsidR="0079614B">
              <w:t xml:space="preserve">esidential </w:t>
            </w:r>
            <w:r w:rsidR="00E93DCD">
              <w:t>S</w:t>
            </w:r>
            <w:r w:rsidR="0079614B">
              <w:t>ettings (Milestone 1)</w:t>
            </w:r>
          </w:p>
        </w:tc>
      </w:tr>
      <w:tr w14:paraId="4AD6B969" w14:textId="77777777" w:rsidTr="00683393">
        <w:tblPrEx>
          <w:tblW w:w="12960" w:type="dxa"/>
          <w:tblLayout w:type="fixed"/>
          <w:tblLook w:val="04A0"/>
        </w:tblPrEx>
        <w:trPr>
          <w:cantSplit/>
          <w:trHeight w:val="220"/>
        </w:trPr>
        <w:tc>
          <w:tcPr>
            <w:tcW w:w="12960" w:type="dxa"/>
            <w:gridSpan w:val="4"/>
            <w:shd w:val="clear" w:color="auto" w:fill="D9D9D9"/>
            <w:hideMark/>
          </w:tcPr>
          <w:p w:rsidR="008F7153" w:rsidRPr="00295DBA" w:rsidP="000E094E" w14:paraId="13D0C308" w14:textId="77777777">
            <w:pPr>
              <w:pStyle w:val="TableRowHead2"/>
            </w:pPr>
            <w:r w:rsidRPr="00295DBA">
              <w:t>1.1</w:t>
            </w:r>
            <w:r w:rsidR="00DF178E">
              <w:tab/>
            </w:r>
            <w:r w:rsidRPr="00295DBA">
              <w:t>Metric trends</w:t>
            </w:r>
          </w:p>
        </w:tc>
      </w:tr>
      <w:tr w14:paraId="76AD66B0" w14:textId="77777777" w:rsidTr="00683393">
        <w:tblPrEx>
          <w:tblW w:w="12960" w:type="dxa"/>
          <w:tblLayout w:type="fixed"/>
          <w:tblLook w:val="04A0"/>
        </w:tblPrEx>
        <w:trPr>
          <w:cantSplit/>
          <w:trHeight w:val="233"/>
        </w:trPr>
        <w:tc>
          <w:tcPr>
            <w:tcW w:w="4946" w:type="dxa"/>
            <w:hideMark/>
          </w:tcPr>
          <w:p w:rsidR="008F7153" w:rsidRPr="005A0C4D" w:rsidP="005A0C4D" w14:paraId="2A93D121" w14:textId="22C7CE21">
            <w:pPr>
              <w:pStyle w:val="TableTextLeftHang"/>
            </w:pPr>
            <w:r w:rsidRPr="005A0C4D">
              <w:t>1.1.1</w:t>
            </w:r>
            <w:r w:rsidRPr="005A0C4D" w:rsidR="00C3608D">
              <w:tab/>
            </w:r>
            <w:r w:rsidRPr="0079614B" w:rsidR="0079614B">
              <w:t>The state reports the following metric trends, including all changes (+ or -) greater than 2 percent related to Milestone 1.</w:t>
            </w:r>
          </w:p>
        </w:tc>
        <w:tc>
          <w:tcPr>
            <w:tcW w:w="1441" w:type="dxa"/>
            <w:hideMark/>
          </w:tcPr>
          <w:p w:rsidR="008F7153" w:rsidRPr="005A0C4D" w:rsidP="00295DBA" w14:paraId="03CAAC9E" w14:textId="00B76B81">
            <w:pPr>
              <w:pStyle w:val="TableTextLeft"/>
              <w:rPr>
                <w:rStyle w:val="Italic"/>
              </w:rPr>
            </w:pPr>
            <w:r>
              <w:rPr>
                <w:rStyle w:val="Italic"/>
              </w:rPr>
              <w:t> </w:t>
            </w:r>
          </w:p>
        </w:tc>
        <w:tc>
          <w:tcPr>
            <w:tcW w:w="1711" w:type="dxa"/>
            <w:hideMark/>
          </w:tcPr>
          <w:p w:rsidR="008F7153" w:rsidRPr="005A0C4D" w:rsidP="00295DBA" w14:paraId="114CE3C5" w14:textId="52AE9640">
            <w:pPr>
              <w:pStyle w:val="TableTextLeft"/>
              <w:rPr>
                <w:rStyle w:val="Italic"/>
              </w:rPr>
            </w:pPr>
            <w:r w:rsidRPr="001E215E">
              <w:rPr>
                <w:rStyle w:val="Italic"/>
                <w:color w:val="6F6F6F"/>
              </w:rPr>
              <w:t>*EXAMPLE: #20: Beneficiaries with SMI/SED treated in an IMD for mental health</w:t>
            </w:r>
          </w:p>
        </w:tc>
        <w:tc>
          <w:tcPr>
            <w:tcW w:w="4862" w:type="dxa"/>
            <w:hideMark/>
          </w:tcPr>
          <w:p w:rsidR="008F7153" w:rsidRPr="005A0C4D" w:rsidP="00295DBA" w14:paraId="4DCAC326" w14:textId="23F8E4B7">
            <w:pPr>
              <w:pStyle w:val="TableTextLeft"/>
              <w:rPr>
                <w:rStyle w:val="Italic"/>
              </w:rPr>
            </w:pPr>
            <w:r w:rsidRPr="001E215E">
              <w:rPr>
                <w:rStyle w:val="Italic"/>
                <w:color w:val="6F6F6F"/>
              </w:rPr>
              <w:t>*EXAMPLE: The number of beneficiaries with SMI/SED who were treated for mental health in an IMD decreased by 5% due to an increase in crisis stabilization services in the state.</w:t>
            </w:r>
          </w:p>
        </w:tc>
      </w:tr>
      <w:tr w14:paraId="1AC02786" w14:textId="77777777" w:rsidTr="00683393">
        <w:tblPrEx>
          <w:tblW w:w="12960" w:type="dxa"/>
          <w:tblLayout w:type="fixed"/>
          <w:tblLook w:val="04A0"/>
        </w:tblPrEx>
        <w:trPr>
          <w:cantSplit/>
          <w:trHeight w:val="220"/>
        </w:trPr>
        <w:tc>
          <w:tcPr>
            <w:tcW w:w="12960" w:type="dxa"/>
            <w:gridSpan w:val="4"/>
            <w:shd w:val="clear" w:color="auto" w:fill="D9D9D9"/>
            <w:hideMark/>
          </w:tcPr>
          <w:p w:rsidR="008F7153" w:rsidRPr="00295DBA" w:rsidP="004B0718" w14:paraId="75495EA0" w14:textId="77777777">
            <w:pPr>
              <w:pStyle w:val="TableRowHead2"/>
            </w:pPr>
            <w:r w:rsidRPr="00295DBA">
              <w:t>1.2</w:t>
            </w:r>
            <w:r w:rsidR="00DF178E">
              <w:tab/>
            </w:r>
            <w:r w:rsidRPr="00295DBA">
              <w:t xml:space="preserve">Implementation update </w:t>
            </w:r>
          </w:p>
        </w:tc>
      </w:tr>
      <w:tr w14:paraId="0EACC230" w14:textId="77777777" w:rsidTr="00683393">
        <w:tblPrEx>
          <w:tblW w:w="12960" w:type="dxa"/>
          <w:tblLayout w:type="fixed"/>
          <w:tblLook w:val="04A0"/>
        </w:tblPrEx>
        <w:trPr>
          <w:cantSplit/>
          <w:trHeight w:val="233"/>
        </w:trPr>
        <w:tc>
          <w:tcPr>
            <w:tcW w:w="4946" w:type="dxa"/>
            <w:hideMark/>
          </w:tcPr>
          <w:p w:rsidR="009640E2" w:rsidRPr="005A0C4D" w:rsidP="009640E2" w14:paraId="58B8FBD9" w14:textId="663B9A7C">
            <w:pPr>
              <w:pStyle w:val="TableTextLeftHang"/>
            </w:pPr>
            <w:r w:rsidRPr="005A0C4D">
              <w:t>1.2.1</w:t>
            </w:r>
            <w:r w:rsidRPr="005A0C4D">
              <w:tab/>
              <w:t xml:space="preserve">Compared to the demonstration design and operational details, the state expects to make the following changes to: </w:t>
            </w:r>
          </w:p>
          <w:p w:rsidR="009640E2" w:rsidRPr="005A0C4D" w:rsidP="009640E2" w14:paraId="4BA28833" w14:textId="17A26BDE">
            <w:pPr>
              <w:pStyle w:val="TableTextLeftHang2"/>
            </w:pPr>
            <w:r w:rsidRPr="005A0C4D">
              <w:t>1.2.1.</w:t>
            </w:r>
            <w:r>
              <w:t>a</w:t>
            </w:r>
            <w:r w:rsidRPr="005A0C4D">
              <w:tab/>
            </w:r>
            <w:r w:rsidRPr="0079614B">
              <w:t>The licensure or accreditation processes for participating hospitals and residential settings</w:t>
            </w:r>
          </w:p>
        </w:tc>
        <w:tc>
          <w:tcPr>
            <w:tcW w:w="1441" w:type="dxa"/>
            <w:hideMark/>
          </w:tcPr>
          <w:p w:rsidR="009640E2" w:rsidRPr="005A0C4D" w:rsidP="009640E2" w14:paraId="354FFA99" w14:textId="55436745">
            <w:pPr>
              <w:pStyle w:val="TableTextLeft"/>
              <w:rPr>
                <w:rStyle w:val="Italic"/>
              </w:rPr>
            </w:pPr>
            <w:r w:rsidRPr="008D7457">
              <w:rPr>
                <w:rStyle w:val="Italic"/>
              </w:rPr>
              <w:t> </w:t>
            </w:r>
          </w:p>
        </w:tc>
        <w:tc>
          <w:tcPr>
            <w:tcW w:w="1711" w:type="dxa"/>
            <w:shd w:val="clear" w:color="auto" w:fill="BFBFBF" w:themeFill="background1" w:themeFillShade="BF"/>
            <w:hideMark/>
          </w:tcPr>
          <w:p w:rsidR="009640E2" w:rsidRPr="005A0C4D" w:rsidP="009640E2" w14:paraId="584D92E7" w14:textId="7360A1A7">
            <w:pPr>
              <w:pStyle w:val="TableTextLeft"/>
              <w:rPr>
                <w:rStyle w:val="Italic"/>
              </w:rPr>
            </w:pPr>
            <w:r w:rsidRPr="008D7457">
              <w:rPr>
                <w:rStyle w:val="Italic"/>
              </w:rPr>
              <w:t> </w:t>
            </w:r>
          </w:p>
        </w:tc>
        <w:tc>
          <w:tcPr>
            <w:tcW w:w="4862" w:type="dxa"/>
            <w:hideMark/>
          </w:tcPr>
          <w:p w:rsidR="009640E2" w:rsidRPr="005A0C4D" w:rsidP="009640E2" w14:paraId="33098129" w14:textId="29BA9278">
            <w:pPr>
              <w:pStyle w:val="TableTextLeft"/>
              <w:rPr>
                <w:rStyle w:val="Italic"/>
              </w:rPr>
            </w:pPr>
            <w:r w:rsidRPr="008D7457">
              <w:rPr>
                <w:rStyle w:val="Italic"/>
              </w:rPr>
              <w:t> </w:t>
            </w:r>
          </w:p>
        </w:tc>
      </w:tr>
      <w:tr w14:paraId="0A5252F5" w14:textId="77777777" w:rsidTr="00683393">
        <w:tblPrEx>
          <w:tblW w:w="12960" w:type="dxa"/>
          <w:tblLayout w:type="fixed"/>
          <w:tblLook w:val="04A0"/>
        </w:tblPrEx>
        <w:trPr>
          <w:cantSplit/>
          <w:trHeight w:val="233"/>
        </w:trPr>
        <w:tc>
          <w:tcPr>
            <w:tcW w:w="4946" w:type="dxa"/>
            <w:hideMark/>
          </w:tcPr>
          <w:p w:rsidR="009640E2" w:rsidRPr="005A0C4D" w:rsidP="009640E2" w14:paraId="14A25912" w14:textId="4D10D327">
            <w:pPr>
              <w:pStyle w:val="TableTextLeftHang2"/>
            </w:pPr>
            <w:r w:rsidRPr="005A0C4D">
              <w:t>1.2.1.</w:t>
            </w:r>
            <w:r>
              <w:t>b</w:t>
            </w:r>
            <w:r w:rsidRPr="005A0C4D">
              <w:tab/>
            </w:r>
            <w:r w:rsidRPr="0079614B">
              <w:t>The oversight process (including unannounced visits) to ensure participating hospital and residential settings meet state’s licensing or certification and accreditation requirements</w:t>
            </w:r>
          </w:p>
        </w:tc>
        <w:tc>
          <w:tcPr>
            <w:tcW w:w="1441" w:type="dxa"/>
            <w:hideMark/>
          </w:tcPr>
          <w:p w:rsidR="009640E2" w:rsidRPr="005A0C4D" w:rsidP="009640E2" w14:paraId="333FD2C5" w14:textId="7375C25F">
            <w:pPr>
              <w:pStyle w:val="TableTextLeft"/>
              <w:rPr>
                <w:rStyle w:val="Italic"/>
              </w:rPr>
            </w:pPr>
            <w:r w:rsidRPr="00C87E0F">
              <w:rPr>
                <w:rStyle w:val="Italic"/>
              </w:rPr>
              <w:t> </w:t>
            </w:r>
          </w:p>
        </w:tc>
        <w:tc>
          <w:tcPr>
            <w:tcW w:w="1711" w:type="dxa"/>
            <w:shd w:val="clear" w:color="auto" w:fill="BFBFBF" w:themeFill="background1" w:themeFillShade="BF"/>
            <w:hideMark/>
          </w:tcPr>
          <w:p w:rsidR="009640E2" w:rsidRPr="005A0C4D" w:rsidP="009640E2" w14:paraId="32859121" w14:textId="53E984B5">
            <w:pPr>
              <w:pStyle w:val="TableTextLeft"/>
              <w:rPr>
                <w:rStyle w:val="Italic"/>
              </w:rPr>
            </w:pPr>
            <w:r w:rsidRPr="00C87E0F">
              <w:rPr>
                <w:rStyle w:val="Italic"/>
              </w:rPr>
              <w:t> </w:t>
            </w:r>
          </w:p>
        </w:tc>
        <w:tc>
          <w:tcPr>
            <w:tcW w:w="4862" w:type="dxa"/>
            <w:hideMark/>
          </w:tcPr>
          <w:p w:rsidR="009640E2" w:rsidRPr="00513225" w:rsidP="009640E2" w14:paraId="491D765B" w14:textId="186478D3">
            <w:pPr>
              <w:pStyle w:val="TableTextLeft"/>
              <w:rPr>
                <w:rStyle w:val="Italic"/>
                <w:color w:val="6F6F6F"/>
              </w:rPr>
            </w:pPr>
            <w:r w:rsidRPr="00513225">
              <w:rPr>
                <w:rStyle w:val="Italic"/>
                <w:color w:val="6F6F6F"/>
              </w:rPr>
              <w:t>*EXAMPLE: The state increased the frequency of unannounced visits from twice a year to three times a year in January 2020 (first reported in DY1Q4 report).</w:t>
            </w:r>
          </w:p>
        </w:tc>
      </w:tr>
      <w:tr w14:paraId="1DE4C001" w14:textId="77777777" w:rsidTr="00683393">
        <w:tblPrEx>
          <w:tblW w:w="12960" w:type="dxa"/>
          <w:tblLayout w:type="fixed"/>
          <w:tblLook w:val="04A0"/>
        </w:tblPrEx>
        <w:trPr>
          <w:cantSplit/>
          <w:trHeight w:val="233"/>
        </w:trPr>
        <w:tc>
          <w:tcPr>
            <w:tcW w:w="4946" w:type="dxa"/>
          </w:tcPr>
          <w:p w:rsidR="009640E2" w:rsidRPr="005A0C4D" w:rsidP="009640E2" w14:paraId="527DA045" w14:textId="19815F27">
            <w:pPr>
              <w:pStyle w:val="TableTextLeftHang2"/>
            </w:pPr>
            <w:r w:rsidRPr="005A0C4D">
              <w:t>1.2.1.</w:t>
            </w:r>
            <w:r>
              <w:t>c</w:t>
            </w:r>
            <w:r w:rsidRPr="005A0C4D">
              <w:tab/>
            </w:r>
            <w:r w:rsidRPr="0079614B">
              <w:t>The utilization review process to ensure beneficiaries have access to the appropriate levels and types of care and to provide oversight on lengths of stay</w:t>
            </w:r>
          </w:p>
        </w:tc>
        <w:tc>
          <w:tcPr>
            <w:tcW w:w="1441" w:type="dxa"/>
          </w:tcPr>
          <w:p w:rsidR="009640E2" w:rsidRPr="005A0C4D" w:rsidP="009640E2" w14:paraId="387A6882" w14:textId="0173B872">
            <w:pPr>
              <w:pStyle w:val="TableTextLeft"/>
              <w:rPr>
                <w:rStyle w:val="Italic"/>
              </w:rPr>
            </w:pPr>
            <w:r w:rsidRPr="009C1AF5">
              <w:rPr>
                <w:rStyle w:val="Italic"/>
              </w:rPr>
              <w:t> </w:t>
            </w:r>
          </w:p>
        </w:tc>
        <w:tc>
          <w:tcPr>
            <w:tcW w:w="1711" w:type="dxa"/>
            <w:shd w:val="clear" w:color="auto" w:fill="BFBFBF" w:themeFill="background1" w:themeFillShade="BF"/>
          </w:tcPr>
          <w:p w:rsidR="009640E2" w:rsidRPr="005A0C4D" w:rsidP="009640E2" w14:paraId="4B081D37" w14:textId="3D698539">
            <w:pPr>
              <w:pStyle w:val="TableTextLeft"/>
              <w:rPr>
                <w:rStyle w:val="Italic"/>
              </w:rPr>
            </w:pPr>
            <w:r w:rsidRPr="009C1AF5">
              <w:rPr>
                <w:rStyle w:val="Italic"/>
              </w:rPr>
              <w:t> </w:t>
            </w:r>
          </w:p>
        </w:tc>
        <w:tc>
          <w:tcPr>
            <w:tcW w:w="4862" w:type="dxa"/>
          </w:tcPr>
          <w:p w:rsidR="009640E2" w:rsidRPr="005A0C4D" w:rsidP="009640E2" w14:paraId="1155A698" w14:textId="7881B0C3">
            <w:pPr>
              <w:pStyle w:val="TableTextLeft"/>
              <w:rPr>
                <w:rStyle w:val="Italic"/>
              </w:rPr>
            </w:pPr>
            <w:r w:rsidRPr="009C1AF5">
              <w:rPr>
                <w:rStyle w:val="Italic"/>
              </w:rPr>
              <w:t> </w:t>
            </w:r>
          </w:p>
        </w:tc>
      </w:tr>
      <w:tr w14:paraId="6FA736DF" w14:textId="77777777" w:rsidTr="00C86176">
        <w:tblPrEx>
          <w:tblW w:w="12960" w:type="dxa"/>
          <w:tblLayout w:type="fixed"/>
          <w:tblLook w:val="04A0"/>
        </w:tblPrEx>
        <w:trPr>
          <w:cantSplit/>
          <w:trHeight w:val="233"/>
        </w:trPr>
        <w:tc>
          <w:tcPr>
            <w:tcW w:w="4946" w:type="dxa"/>
          </w:tcPr>
          <w:p w:rsidR="009640E2" w:rsidRPr="005A0C4D" w:rsidP="009640E2" w14:paraId="487B727C" w14:textId="132C28CC">
            <w:pPr>
              <w:pStyle w:val="TableTextLeftHang2"/>
            </w:pPr>
            <w:r w:rsidRPr="005A0C4D">
              <w:t>1.2.1.</w:t>
            </w:r>
            <w:r>
              <w:t>d</w:t>
            </w:r>
            <w:r w:rsidRPr="005A0C4D">
              <w:tab/>
            </w:r>
            <w:r w:rsidRPr="0079614B">
              <w:t>The program integrity requirements and compliance assurance process</w:t>
            </w:r>
          </w:p>
        </w:tc>
        <w:tc>
          <w:tcPr>
            <w:tcW w:w="1441" w:type="dxa"/>
          </w:tcPr>
          <w:p w:rsidR="009640E2" w:rsidRPr="005A0C4D" w:rsidP="009640E2" w14:paraId="42E3C9AD" w14:textId="781D2DD8">
            <w:pPr>
              <w:pStyle w:val="TableTextLeft"/>
              <w:rPr>
                <w:rStyle w:val="Italic"/>
              </w:rPr>
            </w:pPr>
            <w:r w:rsidRPr="00664B89">
              <w:rPr>
                <w:rStyle w:val="Italic"/>
              </w:rPr>
              <w:t> </w:t>
            </w:r>
          </w:p>
        </w:tc>
        <w:tc>
          <w:tcPr>
            <w:tcW w:w="1711" w:type="dxa"/>
            <w:shd w:val="clear" w:color="auto" w:fill="BFBFBF"/>
          </w:tcPr>
          <w:p w:rsidR="009640E2" w:rsidRPr="005A0C4D" w:rsidP="009640E2" w14:paraId="37BCC864" w14:textId="1A5AB850">
            <w:pPr>
              <w:pStyle w:val="TableTextLeft"/>
              <w:rPr>
                <w:rStyle w:val="Italic"/>
              </w:rPr>
            </w:pPr>
            <w:r w:rsidRPr="00664B89">
              <w:rPr>
                <w:rStyle w:val="Italic"/>
              </w:rPr>
              <w:t> </w:t>
            </w:r>
          </w:p>
        </w:tc>
        <w:tc>
          <w:tcPr>
            <w:tcW w:w="4862" w:type="dxa"/>
          </w:tcPr>
          <w:p w:rsidR="009640E2" w:rsidRPr="005A0C4D" w:rsidP="009640E2" w14:paraId="6060764C" w14:textId="1792C781">
            <w:pPr>
              <w:pStyle w:val="TableTextLeft"/>
              <w:rPr>
                <w:rStyle w:val="Italic"/>
              </w:rPr>
            </w:pPr>
            <w:r w:rsidRPr="00664B89">
              <w:rPr>
                <w:rStyle w:val="Italic"/>
              </w:rPr>
              <w:t> </w:t>
            </w:r>
          </w:p>
        </w:tc>
      </w:tr>
      <w:tr w14:paraId="0CD36A30" w14:textId="77777777" w:rsidTr="00683393">
        <w:tblPrEx>
          <w:tblW w:w="12960" w:type="dxa"/>
          <w:tblLayout w:type="fixed"/>
          <w:tblLook w:val="04A0"/>
        </w:tblPrEx>
        <w:trPr>
          <w:cantSplit/>
          <w:trHeight w:val="233"/>
        </w:trPr>
        <w:tc>
          <w:tcPr>
            <w:tcW w:w="4946" w:type="dxa"/>
          </w:tcPr>
          <w:p w:rsidR="009640E2" w:rsidRPr="005A0C4D" w:rsidP="009640E2" w14:paraId="3EDCE41E" w14:textId="2025D47B">
            <w:pPr>
              <w:pStyle w:val="TableTextLeftHang2"/>
            </w:pPr>
            <w:r w:rsidRPr="005A0C4D">
              <w:t>1.2.1.</w:t>
            </w:r>
            <w:r>
              <w:t>e</w:t>
            </w:r>
            <w:r w:rsidRPr="005A0C4D">
              <w:tab/>
            </w:r>
            <w:r w:rsidRPr="0079614B">
              <w:t>The state requirement that psychiatric hospitals and residential settings screen beneficiaries for co-morbid physical health conditions, SUDs, and suicidal ideation, and facilitate access to treatment for those conditions</w:t>
            </w:r>
          </w:p>
        </w:tc>
        <w:tc>
          <w:tcPr>
            <w:tcW w:w="1441" w:type="dxa"/>
          </w:tcPr>
          <w:p w:rsidR="009640E2" w:rsidRPr="005A0C4D" w:rsidP="009640E2" w14:paraId="3B282F49" w14:textId="1274A937">
            <w:pPr>
              <w:pStyle w:val="TableTextLeft"/>
              <w:rPr>
                <w:rStyle w:val="Italic"/>
              </w:rPr>
            </w:pPr>
            <w:r w:rsidRPr="00664B89">
              <w:rPr>
                <w:rStyle w:val="Italic"/>
              </w:rPr>
              <w:t> </w:t>
            </w:r>
          </w:p>
        </w:tc>
        <w:tc>
          <w:tcPr>
            <w:tcW w:w="1711" w:type="dxa"/>
            <w:shd w:val="clear" w:color="auto" w:fill="BFBFBF" w:themeFill="background1" w:themeFillShade="BF"/>
          </w:tcPr>
          <w:p w:rsidR="009640E2" w:rsidRPr="005A0C4D" w:rsidP="009640E2" w14:paraId="0FAADBF0" w14:textId="255D8D09">
            <w:pPr>
              <w:pStyle w:val="TableTextLeft"/>
              <w:rPr>
                <w:rStyle w:val="Italic"/>
              </w:rPr>
            </w:pPr>
            <w:r w:rsidRPr="00664B89">
              <w:rPr>
                <w:rStyle w:val="Italic"/>
              </w:rPr>
              <w:t> </w:t>
            </w:r>
          </w:p>
        </w:tc>
        <w:tc>
          <w:tcPr>
            <w:tcW w:w="4862" w:type="dxa"/>
          </w:tcPr>
          <w:p w:rsidR="009640E2" w:rsidRPr="005A0C4D" w:rsidP="009640E2" w14:paraId="28C4468D" w14:textId="74FC6339">
            <w:pPr>
              <w:pStyle w:val="TableTextLeft"/>
              <w:rPr>
                <w:rStyle w:val="Italic"/>
              </w:rPr>
            </w:pPr>
            <w:r w:rsidRPr="00664B89">
              <w:rPr>
                <w:rStyle w:val="Italic"/>
              </w:rPr>
              <w:t> </w:t>
            </w:r>
          </w:p>
        </w:tc>
      </w:tr>
      <w:tr w14:paraId="714B1C9E" w14:textId="77777777" w:rsidTr="00683393">
        <w:tblPrEx>
          <w:tblW w:w="12960" w:type="dxa"/>
          <w:tblLayout w:type="fixed"/>
          <w:tblLook w:val="04A0"/>
        </w:tblPrEx>
        <w:trPr>
          <w:cantSplit/>
          <w:trHeight w:val="233"/>
        </w:trPr>
        <w:tc>
          <w:tcPr>
            <w:tcW w:w="4946" w:type="dxa"/>
          </w:tcPr>
          <w:p w:rsidR="009640E2" w:rsidRPr="005A0C4D" w:rsidP="009640E2" w14:paraId="3519E46A" w14:textId="66553944">
            <w:pPr>
              <w:pStyle w:val="TableTextLeftHang2"/>
            </w:pPr>
            <w:r w:rsidRPr="005A0C4D">
              <w:t>1.2.1.</w:t>
            </w:r>
            <w:r>
              <w:t>f</w:t>
            </w:r>
            <w:r w:rsidRPr="005A0C4D">
              <w:tab/>
            </w:r>
            <w:r w:rsidRPr="0079614B">
              <w:t>Other state requirements/policies to ensure good quality of care in inpatient and residential treatment settings</w:t>
            </w:r>
          </w:p>
        </w:tc>
        <w:tc>
          <w:tcPr>
            <w:tcW w:w="1441" w:type="dxa"/>
          </w:tcPr>
          <w:p w:rsidR="009640E2" w:rsidRPr="005A0C4D" w:rsidP="009640E2" w14:paraId="3D5C8D20" w14:textId="208C4C45">
            <w:pPr>
              <w:pStyle w:val="TableTextLeft"/>
              <w:rPr>
                <w:rStyle w:val="Italic"/>
              </w:rPr>
            </w:pPr>
            <w:r w:rsidRPr="00664B89">
              <w:rPr>
                <w:rStyle w:val="Italic"/>
              </w:rPr>
              <w:t> </w:t>
            </w:r>
          </w:p>
        </w:tc>
        <w:tc>
          <w:tcPr>
            <w:tcW w:w="1711" w:type="dxa"/>
            <w:shd w:val="clear" w:color="auto" w:fill="BFBFBF" w:themeFill="background1" w:themeFillShade="BF"/>
          </w:tcPr>
          <w:p w:rsidR="009640E2" w:rsidRPr="005A0C4D" w:rsidP="009640E2" w14:paraId="229EDD91" w14:textId="10F8600C">
            <w:pPr>
              <w:pStyle w:val="TableTextLeft"/>
              <w:rPr>
                <w:rStyle w:val="Italic"/>
              </w:rPr>
            </w:pPr>
            <w:r w:rsidRPr="00664B89">
              <w:rPr>
                <w:rStyle w:val="Italic"/>
              </w:rPr>
              <w:t> </w:t>
            </w:r>
          </w:p>
        </w:tc>
        <w:tc>
          <w:tcPr>
            <w:tcW w:w="4862" w:type="dxa"/>
          </w:tcPr>
          <w:p w:rsidR="009640E2" w:rsidRPr="005A0C4D" w:rsidP="009640E2" w14:paraId="43A6CE74" w14:textId="117766DD">
            <w:pPr>
              <w:pStyle w:val="TableTextLeft"/>
              <w:rPr>
                <w:rStyle w:val="Italic"/>
              </w:rPr>
            </w:pPr>
            <w:r w:rsidRPr="00664B89">
              <w:rPr>
                <w:rStyle w:val="Italic"/>
              </w:rPr>
              <w:t> </w:t>
            </w:r>
          </w:p>
        </w:tc>
      </w:tr>
      <w:tr w14:paraId="1A574FDB" w14:textId="77777777" w:rsidTr="00683393">
        <w:tblPrEx>
          <w:tblW w:w="12960" w:type="dxa"/>
          <w:tblLayout w:type="fixed"/>
          <w:tblLook w:val="04A0"/>
        </w:tblPrEx>
        <w:trPr>
          <w:cantSplit/>
          <w:trHeight w:val="233"/>
        </w:trPr>
        <w:tc>
          <w:tcPr>
            <w:tcW w:w="4946" w:type="dxa"/>
            <w:hideMark/>
          </w:tcPr>
          <w:p w:rsidR="009640E2" w:rsidRPr="00295DBA" w:rsidP="009640E2" w14:paraId="134548F0" w14:textId="62463AF1">
            <w:pPr>
              <w:pStyle w:val="TableTextLeftHang"/>
            </w:pPr>
            <w:r w:rsidRPr="00295DBA">
              <w:t xml:space="preserve">1.2.2 </w:t>
            </w:r>
            <w:r>
              <w:tab/>
            </w:r>
            <w:r w:rsidRPr="0079614B">
              <w:t>The state expects to make other program changes that may affect metrics related to Milestone 1</w:t>
            </w:r>
          </w:p>
        </w:tc>
        <w:tc>
          <w:tcPr>
            <w:tcW w:w="1441" w:type="dxa"/>
            <w:hideMark/>
          </w:tcPr>
          <w:p w:rsidR="009640E2" w:rsidRPr="00295DBA" w:rsidP="009640E2" w14:paraId="640BE10C" w14:textId="34BB8E9C">
            <w:pPr>
              <w:pStyle w:val="TableTextLeft"/>
            </w:pPr>
            <w:r w:rsidRPr="00664B89">
              <w:rPr>
                <w:rStyle w:val="Italic"/>
              </w:rPr>
              <w:t> </w:t>
            </w:r>
          </w:p>
        </w:tc>
        <w:tc>
          <w:tcPr>
            <w:tcW w:w="1711" w:type="dxa"/>
            <w:shd w:val="clear" w:color="auto" w:fill="BFBFBF" w:themeFill="background1" w:themeFillShade="BF"/>
            <w:hideMark/>
          </w:tcPr>
          <w:p w:rsidR="009640E2" w:rsidRPr="00295DBA" w:rsidP="009640E2" w14:paraId="36C57C9A" w14:textId="6B4D8276">
            <w:pPr>
              <w:pStyle w:val="TableTextLeft"/>
            </w:pPr>
            <w:r w:rsidRPr="00664B89">
              <w:rPr>
                <w:rStyle w:val="Italic"/>
              </w:rPr>
              <w:t> </w:t>
            </w:r>
          </w:p>
        </w:tc>
        <w:tc>
          <w:tcPr>
            <w:tcW w:w="4862" w:type="dxa"/>
          </w:tcPr>
          <w:p w:rsidR="009640E2" w:rsidRPr="00295DBA" w:rsidP="009640E2" w14:paraId="5149E15B" w14:textId="2CB1E828">
            <w:pPr>
              <w:pStyle w:val="TableTextLeft"/>
            </w:pPr>
            <w:r w:rsidRPr="00664B89">
              <w:rPr>
                <w:rStyle w:val="Italic"/>
              </w:rPr>
              <w:t> </w:t>
            </w:r>
          </w:p>
        </w:tc>
      </w:tr>
      <w:tr w14:paraId="5141026C" w14:textId="77777777" w:rsidTr="00683393">
        <w:tblPrEx>
          <w:tblW w:w="12960" w:type="dxa"/>
          <w:tblLayout w:type="fixed"/>
          <w:tblLook w:val="04A0"/>
        </w:tblPrEx>
        <w:trPr>
          <w:cantSplit/>
          <w:trHeight w:val="220"/>
        </w:trPr>
        <w:tc>
          <w:tcPr>
            <w:tcW w:w="12960" w:type="dxa"/>
            <w:gridSpan w:val="4"/>
            <w:shd w:val="clear" w:color="auto" w:fill="BFBFBF" w:themeFill="background1" w:themeFillShade="BF"/>
            <w:hideMark/>
          </w:tcPr>
          <w:p w:rsidR="008F7153" w:rsidRPr="00295DBA" w:rsidP="00C3608D" w14:paraId="229F3856" w14:textId="16683C11">
            <w:pPr>
              <w:pStyle w:val="TableRowHead"/>
            </w:pPr>
            <w:r w:rsidRPr="00295DBA">
              <w:t>2.</w:t>
            </w:r>
            <w:r w:rsidR="008A70F1">
              <w:tab/>
            </w:r>
            <w:r w:rsidR="00E93DCD">
              <w:t>Improving Care Coordination and Transitions to Community-Based Care</w:t>
            </w:r>
            <w:r w:rsidRPr="00295DBA" w:rsidR="00E93DCD">
              <w:t xml:space="preserve"> </w:t>
            </w:r>
            <w:r w:rsidRPr="00295DBA">
              <w:t xml:space="preserve">(Milestone </w:t>
            </w:r>
            <w:r w:rsidR="00E93DCD">
              <w:t>2</w:t>
            </w:r>
            <w:r w:rsidRPr="00295DBA">
              <w:t>)</w:t>
            </w:r>
          </w:p>
        </w:tc>
      </w:tr>
      <w:tr w14:paraId="0FAC9C97" w14:textId="77777777" w:rsidTr="00683393">
        <w:tblPrEx>
          <w:tblW w:w="12960" w:type="dxa"/>
          <w:tblLayout w:type="fixed"/>
          <w:tblLook w:val="04A0"/>
        </w:tblPrEx>
        <w:trPr>
          <w:cantSplit/>
          <w:trHeight w:val="220"/>
        </w:trPr>
        <w:tc>
          <w:tcPr>
            <w:tcW w:w="12960" w:type="dxa"/>
            <w:gridSpan w:val="4"/>
            <w:shd w:val="clear" w:color="auto" w:fill="D9D9D9"/>
            <w:hideMark/>
          </w:tcPr>
          <w:p w:rsidR="008F7153" w:rsidRPr="00295DBA" w:rsidP="000E094E" w14:paraId="4606D881" w14:textId="77777777">
            <w:pPr>
              <w:pStyle w:val="TableRowHead2"/>
            </w:pPr>
            <w:r w:rsidRPr="00295DBA">
              <w:t>2.1</w:t>
            </w:r>
            <w:r w:rsidR="00DF178E">
              <w:tab/>
            </w:r>
            <w:r w:rsidRPr="00295DBA">
              <w:t>Metric trends</w:t>
            </w:r>
          </w:p>
        </w:tc>
      </w:tr>
      <w:tr w14:paraId="5B96050E" w14:textId="77777777" w:rsidTr="00683393">
        <w:tblPrEx>
          <w:tblW w:w="12960" w:type="dxa"/>
          <w:tblLayout w:type="fixed"/>
          <w:tblLook w:val="04A0"/>
        </w:tblPrEx>
        <w:trPr>
          <w:cantSplit/>
          <w:trHeight w:val="220"/>
        </w:trPr>
        <w:tc>
          <w:tcPr>
            <w:tcW w:w="4946" w:type="dxa"/>
            <w:hideMark/>
          </w:tcPr>
          <w:p w:rsidR="009640E2" w:rsidRPr="00295DBA" w:rsidP="009640E2" w14:paraId="6C000A85" w14:textId="07A42F74">
            <w:pPr>
              <w:pStyle w:val="TableTextLeftHang"/>
            </w:pPr>
            <w:r w:rsidRPr="00295DBA">
              <w:t xml:space="preserve">2.1.1 </w:t>
            </w:r>
            <w:r>
              <w:tab/>
            </w:r>
            <w:r w:rsidRPr="00295DBA">
              <w:t xml:space="preserve">The state reports the following metric trends, including all changes (+ or -) greater than 2 percent related to Milestone </w:t>
            </w:r>
            <w:r>
              <w:t>2</w:t>
            </w:r>
          </w:p>
        </w:tc>
        <w:tc>
          <w:tcPr>
            <w:tcW w:w="1441" w:type="dxa"/>
            <w:hideMark/>
          </w:tcPr>
          <w:p w:rsidR="009640E2" w:rsidRPr="00295DBA" w:rsidP="009640E2" w14:paraId="58A07CF6" w14:textId="25004F32">
            <w:pPr>
              <w:pStyle w:val="TableTextLeft"/>
            </w:pPr>
            <w:r w:rsidRPr="009236D1">
              <w:rPr>
                <w:rStyle w:val="Italic"/>
              </w:rPr>
              <w:t> </w:t>
            </w:r>
          </w:p>
        </w:tc>
        <w:tc>
          <w:tcPr>
            <w:tcW w:w="1711" w:type="dxa"/>
            <w:hideMark/>
          </w:tcPr>
          <w:p w:rsidR="009640E2" w:rsidRPr="00295DBA" w:rsidP="009640E2" w14:paraId="1FE6D1E5" w14:textId="2C49171C">
            <w:pPr>
              <w:pStyle w:val="TableTextLeft"/>
            </w:pPr>
            <w:r w:rsidRPr="009236D1">
              <w:rPr>
                <w:rStyle w:val="Italic"/>
              </w:rPr>
              <w:t> </w:t>
            </w:r>
          </w:p>
        </w:tc>
        <w:tc>
          <w:tcPr>
            <w:tcW w:w="4862" w:type="dxa"/>
            <w:hideMark/>
          </w:tcPr>
          <w:p w:rsidR="009640E2" w:rsidRPr="00295DBA" w:rsidP="009640E2" w14:paraId="750F0093" w14:textId="5A428855">
            <w:pPr>
              <w:pStyle w:val="TableTextLeft"/>
            </w:pPr>
            <w:r w:rsidRPr="009236D1">
              <w:rPr>
                <w:rStyle w:val="Italic"/>
              </w:rPr>
              <w:t> </w:t>
            </w:r>
          </w:p>
        </w:tc>
      </w:tr>
      <w:tr w14:paraId="108BC42A" w14:textId="77777777" w:rsidTr="00683393">
        <w:tblPrEx>
          <w:tblW w:w="12960" w:type="dxa"/>
          <w:tblLayout w:type="fixed"/>
          <w:tblLook w:val="04A0"/>
        </w:tblPrEx>
        <w:trPr>
          <w:cantSplit/>
          <w:trHeight w:val="220"/>
        </w:trPr>
        <w:tc>
          <w:tcPr>
            <w:tcW w:w="12960" w:type="dxa"/>
            <w:gridSpan w:val="4"/>
            <w:shd w:val="clear" w:color="auto" w:fill="D9D9D9"/>
            <w:hideMark/>
          </w:tcPr>
          <w:p w:rsidR="008F7153" w:rsidRPr="00295DBA" w:rsidP="000E094E" w14:paraId="254CDB74" w14:textId="77777777">
            <w:pPr>
              <w:pStyle w:val="TableRowHead2"/>
            </w:pPr>
            <w:r w:rsidRPr="00295DBA">
              <w:t>2.2</w:t>
            </w:r>
            <w:r w:rsidR="00DF178E">
              <w:tab/>
            </w:r>
            <w:r w:rsidRPr="00295DBA">
              <w:t>Implementation update</w:t>
            </w:r>
          </w:p>
        </w:tc>
      </w:tr>
      <w:tr w14:paraId="166C7CC8" w14:textId="77777777" w:rsidTr="00683393">
        <w:tblPrEx>
          <w:tblW w:w="12960" w:type="dxa"/>
          <w:tblLayout w:type="fixed"/>
          <w:tblLook w:val="04A0"/>
        </w:tblPrEx>
        <w:trPr>
          <w:cantSplit/>
          <w:trHeight w:val="220"/>
        </w:trPr>
        <w:tc>
          <w:tcPr>
            <w:tcW w:w="4946" w:type="dxa"/>
            <w:hideMark/>
          </w:tcPr>
          <w:p w:rsidR="009640E2" w:rsidRPr="00295DBA" w:rsidP="009640E2" w14:paraId="5CF13C9F" w14:textId="77777777">
            <w:pPr>
              <w:pStyle w:val="TableTextLeftHang"/>
            </w:pPr>
            <w:r w:rsidRPr="00295DBA">
              <w:t xml:space="preserve">2.2.1 </w:t>
            </w:r>
            <w:r>
              <w:tab/>
            </w:r>
            <w:r w:rsidRPr="00295DBA">
              <w:t xml:space="preserve">Compared to the demonstration design and operational details, the state expects to make the following changes to: </w:t>
            </w:r>
          </w:p>
          <w:p w:rsidR="009640E2" w:rsidRPr="00295DBA" w:rsidP="009640E2" w14:paraId="2DAF96E6" w14:textId="6E82C396">
            <w:pPr>
              <w:pStyle w:val="TableTextLeftHang2"/>
            </w:pPr>
            <w:r>
              <w:t>2.2.1.a</w:t>
            </w:r>
            <w:r>
              <w:tab/>
            </w:r>
            <w:r w:rsidRPr="00E93DCD">
              <w:t>Actions to ensure that psychiatric hospitals and residential treatment settings carry out intensive pre-discharge planning, and include community-based providers in care transitions</w:t>
            </w:r>
          </w:p>
        </w:tc>
        <w:tc>
          <w:tcPr>
            <w:tcW w:w="1441" w:type="dxa"/>
            <w:hideMark/>
          </w:tcPr>
          <w:p w:rsidR="009640E2" w:rsidRPr="00295DBA" w:rsidP="009640E2" w14:paraId="443CC80D" w14:textId="36528A47">
            <w:pPr>
              <w:pStyle w:val="TableTextLeft"/>
            </w:pPr>
            <w:r w:rsidRPr="00224AED">
              <w:rPr>
                <w:rStyle w:val="Italic"/>
              </w:rPr>
              <w:t> </w:t>
            </w:r>
          </w:p>
        </w:tc>
        <w:tc>
          <w:tcPr>
            <w:tcW w:w="1711" w:type="dxa"/>
            <w:shd w:val="clear" w:color="auto" w:fill="BFBFBF" w:themeFill="background1" w:themeFillShade="BF"/>
            <w:hideMark/>
          </w:tcPr>
          <w:p w:rsidR="009640E2" w:rsidRPr="00295DBA" w:rsidP="009640E2" w14:paraId="6AD37409" w14:textId="45A561D0">
            <w:pPr>
              <w:pStyle w:val="TableTextLeft"/>
            </w:pPr>
            <w:r w:rsidRPr="00224AED">
              <w:rPr>
                <w:rStyle w:val="Italic"/>
              </w:rPr>
              <w:t> </w:t>
            </w:r>
          </w:p>
        </w:tc>
        <w:tc>
          <w:tcPr>
            <w:tcW w:w="4862" w:type="dxa"/>
            <w:hideMark/>
          </w:tcPr>
          <w:p w:rsidR="009640E2" w:rsidRPr="00295DBA" w:rsidP="009640E2" w14:paraId="4D176AE4" w14:textId="3DB3AD26">
            <w:pPr>
              <w:pStyle w:val="TableTextLeft"/>
            </w:pPr>
            <w:r w:rsidRPr="00224AED">
              <w:rPr>
                <w:rStyle w:val="Italic"/>
              </w:rPr>
              <w:t> </w:t>
            </w:r>
          </w:p>
        </w:tc>
      </w:tr>
      <w:tr w14:paraId="7139B5A9" w14:textId="77777777" w:rsidTr="00683393">
        <w:tblPrEx>
          <w:tblW w:w="12960" w:type="dxa"/>
          <w:tblLayout w:type="fixed"/>
          <w:tblLook w:val="04A0"/>
        </w:tblPrEx>
        <w:trPr>
          <w:cantSplit/>
          <w:trHeight w:val="220"/>
        </w:trPr>
        <w:tc>
          <w:tcPr>
            <w:tcW w:w="4946" w:type="dxa"/>
            <w:hideMark/>
          </w:tcPr>
          <w:p w:rsidR="009640E2" w:rsidRPr="00295DBA" w:rsidP="009640E2" w14:paraId="5AFBB0DD" w14:textId="29964230">
            <w:pPr>
              <w:pStyle w:val="TableTextLeftHang2"/>
            </w:pPr>
            <w:r>
              <w:t>2.2.1.b</w:t>
            </w:r>
            <w:r>
              <w:tab/>
            </w:r>
            <w:r w:rsidRPr="00E93DCD">
              <w:t>Actions to ensure psychiatric hospitals and residential settings assess beneficiaries’ housing situations and coordinate with housing services providers</w:t>
            </w:r>
          </w:p>
        </w:tc>
        <w:tc>
          <w:tcPr>
            <w:tcW w:w="1441" w:type="dxa"/>
            <w:hideMark/>
          </w:tcPr>
          <w:p w:rsidR="009640E2" w:rsidRPr="00295DBA" w:rsidP="009640E2" w14:paraId="04BCEE92" w14:textId="799BB629">
            <w:pPr>
              <w:pStyle w:val="TableTextLeft"/>
            </w:pPr>
            <w:r w:rsidRPr="00224AED">
              <w:rPr>
                <w:rStyle w:val="Italic"/>
              </w:rPr>
              <w:t> </w:t>
            </w:r>
          </w:p>
        </w:tc>
        <w:tc>
          <w:tcPr>
            <w:tcW w:w="1711" w:type="dxa"/>
            <w:shd w:val="clear" w:color="auto" w:fill="BFBFBF" w:themeFill="background1" w:themeFillShade="BF"/>
            <w:hideMark/>
          </w:tcPr>
          <w:p w:rsidR="009640E2" w:rsidRPr="00295DBA" w:rsidP="009640E2" w14:paraId="5F191A2C" w14:textId="2A50EF74">
            <w:pPr>
              <w:pStyle w:val="TableTextLeft"/>
            </w:pPr>
            <w:r w:rsidRPr="00224AED">
              <w:rPr>
                <w:rStyle w:val="Italic"/>
              </w:rPr>
              <w:t> </w:t>
            </w:r>
          </w:p>
        </w:tc>
        <w:tc>
          <w:tcPr>
            <w:tcW w:w="4862" w:type="dxa"/>
            <w:hideMark/>
          </w:tcPr>
          <w:p w:rsidR="009640E2" w:rsidRPr="00295DBA" w:rsidP="009640E2" w14:paraId="610E0098" w14:textId="5B5E95FC">
            <w:pPr>
              <w:pStyle w:val="TableTextLeft"/>
            </w:pPr>
            <w:r w:rsidRPr="00224AED">
              <w:rPr>
                <w:rStyle w:val="Italic"/>
              </w:rPr>
              <w:t> </w:t>
            </w:r>
          </w:p>
        </w:tc>
      </w:tr>
      <w:tr w14:paraId="05C2F2B7" w14:textId="77777777" w:rsidTr="00683393">
        <w:tblPrEx>
          <w:tblW w:w="12960" w:type="dxa"/>
          <w:tblLayout w:type="fixed"/>
          <w:tblLook w:val="04A0"/>
        </w:tblPrEx>
        <w:trPr>
          <w:cantSplit/>
          <w:trHeight w:val="220"/>
        </w:trPr>
        <w:tc>
          <w:tcPr>
            <w:tcW w:w="4946" w:type="dxa"/>
          </w:tcPr>
          <w:p w:rsidR="009640E2" w:rsidP="009640E2" w14:paraId="55A72157" w14:textId="0475E61C">
            <w:pPr>
              <w:pStyle w:val="TableTextLeftHang2"/>
            </w:pPr>
            <w:r>
              <w:t>2.2.1.c</w:t>
            </w:r>
            <w:r>
              <w:tab/>
            </w:r>
            <w:r w:rsidRPr="00E93DCD">
              <w:t>State requirement to ensure psychiatric hospitals and residential settings contact beneficiaries and community-based providers within 72 hours post discharge</w:t>
            </w:r>
          </w:p>
        </w:tc>
        <w:tc>
          <w:tcPr>
            <w:tcW w:w="1441" w:type="dxa"/>
          </w:tcPr>
          <w:p w:rsidR="009640E2" w:rsidRPr="00295DBA" w:rsidP="009640E2" w14:paraId="07B6E82A" w14:textId="65A84797">
            <w:pPr>
              <w:pStyle w:val="TableTextLeft"/>
            </w:pPr>
            <w:r w:rsidRPr="00224AED">
              <w:rPr>
                <w:rStyle w:val="Italic"/>
              </w:rPr>
              <w:t> </w:t>
            </w:r>
          </w:p>
        </w:tc>
        <w:tc>
          <w:tcPr>
            <w:tcW w:w="1711" w:type="dxa"/>
            <w:shd w:val="clear" w:color="auto" w:fill="BFBFBF" w:themeFill="background1" w:themeFillShade="BF"/>
          </w:tcPr>
          <w:p w:rsidR="009640E2" w:rsidRPr="00295DBA" w:rsidP="009640E2" w14:paraId="0EF559C5" w14:textId="7DFEF4E7">
            <w:pPr>
              <w:pStyle w:val="TableTextLeft"/>
            </w:pPr>
            <w:r w:rsidRPr="00224AED">
              <w:rPr>
                <w:rStyle w:val="Italic"/>
              </w:rPr>
              <w:t> </w:t>
            </w:r>
          </w:p>
        </w:tc>
        <w:tc>
          <w:tcPr>
            <w:tcW w:w="4862" w:type="dxa"/>
          </w:tcPr>
          <w:p w:rsidR="009640E2" w:rsidRPr="00295DBA" w:rsidP="009640E2" w14:paraId="75818B1E" w14:textId="56ACD457">
            <w:pPr>
              <w:pStyle w:val="TableTextLeft"/>
            </w:pPr>
            <w:r w:rsidRPr="00224AED">
              <w:rPr>
                <w:rStyle w:val="Italic"/>
              </w:rPr>
              <w:t> </w:t>
            </w:r>
          </w:p>
        </w:tc>
      </w:tr>
      <w:tr w14:paraId="241397D1" w14:textId="77777777" w:rsidTr="00683393">
        <w:tblPrEx>
          <w:tblW w:w="12960" w:type="dxa"/>
          <w:tblLayout w:type="fixed"/>
          <w:tblLook w:val="04A0"/>
        </w:tblPrEx>
        <w:trPr>
          <w:cantSplit/>
          <w:trHeight w:val="220"/>
        </w:trPr>
        <w:tc>
          <w:tcPr>
            <w:tcW w:w="4946" w:type="dxa"/>
          </w:tcPr>
          <w:p w:rsidR="009640E2" w:rsidP="009640E2" w14:paraId="3F144889" w14:textId="3A097C44">
            <w:pPr>
              <w:pStyle w:val="TableTextLeftHang2"/>
            </w:pPr>
            <w:r>
              <w:t>2.2.1.d</w:t>
            </w:r>
            <w:r>
              <w:tab/>
            </w:r>
            <w:r w:rsidRPr="00E93DCD">
              <w:t>Strategies to prevent or decrease the lengths of stay in EDs among beneficiaries with SMI or SED (e.g., through the use of peers and psychiatric consultants in EDs to help with discharge and referral to treatment providers)</w:t>
            </w:r>
          </w:p>
        </w:tc>
        <w:tc>
          <w:tcPr>
            <w:tcW w:w="1441" w:type="dxa"/>
          </w:tcPr>
          <w:p w:rsidR="009640E2" w:rsidRPr="00295DBA" w:rsidP="009640E2" w14:paraId="082F8E1C" w14:textId="18A5F662">
            <w:pPr>
              <w:pStyle w:val="TableTextLeft"/>
            </w:pPr>
            <w:r w:rsidRPr="003A3FEB">
              <w:rPr>
                <w:rStyle w:val="Italic"/>
              </w:rPr>
              <w:t> </w:t>
            </w:r>
          </w:p>
        </w:tc>
        <w:tc>
          <w:tcPr>
            <w:tcW w:w="1711" w:type="dxa"/>
            <w:shd w:val="clear" w:color="auto" w:fill="BFBFBF" w:themeFill="background1" w:themeFillShade="BF"/>
          </w:tcPr>
          <w:p w:rsidR="009640E2" w:rsidRPr="00295DBA" w:rsidP="009640E2" w14:paraId="236B6F96" w14:textId="32EA1C33">
            <w:pPr>
              <w:pStyle w:val="TableTextLeft"/>
            </w:pPr>
            <w:r w:rsidRPr="003A3FEB">
              <w:rPr>
                <w:rStyle w:val="Italic"/>
              </w:rPr>
              <w:t> </w:t>
            </w:r>
          </w:p>
        </w:tc>
        <w:tc>
          <w:tcPr>
            <w:tcW w:w="4862" w:type="dxa"/>
          </w:tcPr>
          <w:p w:rsidR="009640E2" w:rsidRPr="00295DBA" w:rsidP="009640E2" w14:paraId="6BA495CC" w14:textId="4FDAD143">
            <w:pPr>
              <w:pStyle w:val="TableTextLeft"/>
            </w:pPr>
            <w:r w:rsidRPr="003A3FEB">
              <w:rPr>
                <w:rStyle w:val="Italic"/>
              </w:rPr>
              <w:t> </w:t>
            </w:r>
          </w:p>
        </w:tc>
      </w:tr>
      <w:tr w14:paraId="5EF0832B" w14:textId="77777777" w:rsidTr="00683393">
        <w:tblPrEx>
          <w:tblW w:w="12960" w:type="dxa"/>
          <w:tblLayout w:type="fixed"/>
          <w:tblLook w:val="04A0"/>
        </w:tblPrEx>
        <w:trPr>
          <w:cantSplit/>
          <w:trHeight w:val="220"/>
        </w:trPr>
        <w:tc>
          <w:tcPr>
            <w:tcW w:w="4946" w:type="dxa"/>
          </w:tcPr>
          <w:p w:rsidR="009640E2" w:rsidP="009640E2" w14:paraId="2110AB47" w14:textId="721D79A2">
            <w:pPr>
              <w:pStyle w:val="TableTextLeftHang2"/>
            </w:pPr>
            <w:r>
              <w:t>2.2.1.e</w:t>
            </w:r>
            <w:r>
              <w:tab/>
            </w:r>
            <w:r w:rsidRPr="00E93DCD">
              <w:t xml:space="preserve">Other </w:t>
            </w:r>
            <w:r>
              <w:t>s</w:t>
            </w:r>
            <w:r w:rsidRPr="00E93DCD">
              <w:t>tate requirements/policies to improve care coordination and connections to community-based care</w:t>
            </w:r>
            <w:r w:rsidRPr="00295DBA">
              <w:t>)</w:t>
            </w:r>
          </w:p>
        </w:tc>
        <w:tc>
          <w:tcPr>
            <w:tcW w:w="1441" w:type="dxa"/>
          </w:tcPr>
          <w:p w:rsidR="009640E2" w:rsidRPr="00295DBA" w:rsidP="009640E2" w14:paraId="17877C44" w14:textId="31E9BF48">
            <w:pPr>
              <w:pStyle w:val="TableTextLeft"/>
            </w:pPr>
            <w:r w:rsidRPr="003A3FEB">
              <w:rPr>
                <w:rStyle w:val="Italic"/>
              </w:rPr>
              <w:t> </w:t>
            </w:r>
          </w:p>
        </w:tc>
        <w:tc>
          <w:tcPr>
            <w:tcW w:w="1711" w:type="dxa"/>
            <w:shd w:val="clear" w:color="auto" w:fill="BFBFBF" w:themeFill="background1" w:themeFillShade="BF"/>
          </w:tcPr>
          <w:p w:rsidR="009640E2" w:rsidRPr="00295DBA" w:rsidP="009640E2" w14:paraId="43B6FC64" w14:textId="5A48AB0A">
            <w:pPr>
              <w:pStyle w:val="TableTextLeft"/>
            </w:pPr>
            <w:r w:rsidRPr="003A3FEB">
              <w:rPr>
                <w:rStyle w:val="Italic"/>
              </w:rPr>
              <w:t> </w:t>
            </w:r>
          </w:p>
        </w:tc>
        <w:tc>
          <w:tcPr>
            <w:tcW w:w="4862" w:type="dxa"/>
          </w:tcPr>
          <w:p w:rsidR="009640E2" w:rsidRPr="00295DBA" w:rsidP="009640E2" w14:paraId="5DFD714D" w14:textId="189AC9C4">
            <w:pPr>
              <w:pStyle w:val="TableTextLeft"/>
            </w:pPr>
            <w:r w:rsidRPr="003A3FEB">
              <w:rPr>
                <w:rStyle w:val="Italic"/>
              </w:rPr>
              <w:t> </w:t>
            </w:r>
          </w:p>
        </w:tc>
      </w:tr>
      <w:tr w14:paraId="1255435E" w14:textId="77777777" w:rsidTr="00683393">
        <w:tblPrEx>
          <w:tblW w:w="12960" w:type="dxa"/>
          <w:tblLayout w:type="fixed"/>
          <w:tblLook w:val="04A0"/>
        </w:tblPrEx>
        <w:trPr>
          <w:cantSplit/>
          <w:trHeight w:val="220"/>
        </w:trPr>
        <w:tc>
          <w:tcPr>
            <w:tcW w:w="4946" w:type="dxa"/>
            <w:hideMark/>
          </w:tcPr>
          <w:p w:rsidR="009640E2" w:rsidRPr="00295DBA" w:rsidP="009640E2" w14:paraId="4DFB0A8E" w14:textId="48FBBEFA">
            <w:pPr>
              <w:pStyle w:val="TableTextLeftHang"/>
            </w:pPr>
            <w:r w:rsidRPr="00295DBA">
              <w:t xml:space="preserve">2.2.2 </w:t>
            </w:r>
            <w:r>
              <w:tab/>
            </w:r>
            <w:r w:rsidRPr="00295DBA">
              <w:t xml:space="preserve">The state expects to make other program changes that may affect metrics related to Milestone </w:t>
            </w:r>
            <w:r>
              <w:t>2</w:t>
            </w:r>
          </w:p>
        </w:tc>
        <w:tc>
          <w:tcPr>
            <w:tcW w:w="1441" w:type="dxa"/>
            <w:hideMark/>
          </w:tcPr>
          <w:p w:rsidR="009640E2" w:rsidRPr="00295DBA" w:rsidP="009640E2" w14:paraId="32D0D4A9" w14:textId="353AFC34">
            <w:pPr>
              <w:pStyle w:val="TableTextLeft"/>
            </w:pPr>
            <w:r w:rsidRPr="003A3FEB">
              <w:rPr>
                <w:rStyle w:val="Italic"/>
              </w:rPr>
              <w:t> </w:t>
            </w:r>
          </w:p>
        </w:tc>
        <w:tc>
          <w:tcPr>
            <w:tcW w:w="1711" w:type="dxa"/>
            <w:shd w:val="clear" w:color="auto" w:fill="BFBFBF" w:themeFill="background1" w:themeFillShade="BF"/>
            <w:hideMark/>
          </w:tcPr>
          <w:p w:rsidR="009640E2" w:rsidRPr="00295DBA" w:rsidP="009640E2" w14:paraId="107B2087" w14:textId="31456FB2">
            <w:pPr>
              <w:pStyle w:val="TableTextLeft"/>
            </w:pPr>
            <w:r w:rsidRPr="003A3FEB">
              <w:rPr>
                <w:rStyle w:val="Italic"/>
              </w:rPr>
              <w:t> </w:t>
            </w:r>
          </w:p>
        </w:tc>
        <w:tc>
          <w:tcPr>
            <w:tcW w:w="4862" w:type="dxa"/>
            <w:hideMark/>
          </w:tcPr>
          <w:p w:rsidR="009640E2" w:rsidRPr="00295DBA" w:rsidP="009640E2" w14:paraId="5E9B994F" w14:textId="45E8CCD1">
            <w:pPr>
              <w:pStyle w:val="TableTextLeft"/>
            </w:pPr>
            <w:r w:rsidRPr="003A3FEB">
              <w:rPr>
                <w:rStyle w:val="Italic"/>
              </w:rPr>
              <w:t> </w:t>
            </w:r>
          </w:p>
        </w:tc>
      </w:tr>
      <w:tr w14:paraId="451B0965" w14:textId="77777777" w:rsidTr="00683393">
        <w:tblPrEx>
          <w:tblW w:w="12960" w:type="dxa"/>
          <w:tblLayout w:type="fixed"/>
          <w:tblLook w:val="04A0"/>
        </w:tblPrEx>
        <w:trPr>
          <w:cantSplit/>
          <w:trHeight w:val="220"/>
        </w:trPr>
        <w:tc>
          <w:tcPr>
            <w:tcW w:w="12960" w:type="dxa"/>
            <w:gridSpan w:val="4"/>
            <w:shd w:val="clear" w:color="auto" w:fill="BFBFBF" w:themeFill="background1" w:themeFillShade="BF"/>
            <w:hideMark/>
          </w:tcPr>
          <w:p w:rsidR="008F7153" w:rsidRPr="00295DBA" w:rsidP="00C3608D" w14:paraId="6C06348E" w14:textId="1758C2CC">
            <w:pPr>
              <w:pStyle w:val="TableRowHead"/>
            </w:pPr>
            <w:r w:rsidRPr="00295DBA">
              <w:t>3.</w:t>
            </w:r>
            <w:r w:rsidR="008A70F1">
              <w:tab/>
            </w:r>
            <w:r w:rsidRPr="006A76B1" w:rsidR="006A76B1">
              <w:t xml:space="preserve">Access to Continuum of Care, Including Crisis Stabilization </w:t>
            </w:r>
            <w:r w:rsidRPr="00295DBA">
              <w:t xml:space="preserve">(Milestone </w:t>
            </w:r>
            <w:r w:rsidR="006A76B1">
              <w:t>3</w:t>
            </w:r>
            <w:r w:rsidRPr="00295DBA">
              <w:t>)</w:t>
            </w:r>
          </w:p>
        </w:tc>
      </w:tr>
      <w:tr w14:paraId="0CF434AA" w14:textId="77777777" w:rsidTr="00683393">
        <w:tblPrEx>
          <w:tblW w:w="12960" w:type="dxa"/>
          <w:tblLayout w:type="fixed"/>
          <w:tblLook w:val="04A0"/>
        </w:tblPrEx>
        <w:trPr>
          <w:cantSplit/>
          <w:trHeight w:val="220"/>
        </w:trPr>
        <w:tc>
          <w:tcPr>
            <w:tcW w:w="12960" w:type="dxa"/>
            <w:gridSpan w:val="4"/>
            <w:shd w:val="clear" w:color="auto" w:fill="D9D9D9"/>
            <w:hideMark/>
          </w:tcPr>
          <w:p w:rsidR="008F7153" w:rsidRPr="00295DBA" w:rsidP="000E094E" w14:paraId="3944516A" w14:textId="77777777">
            <w:pPr>
              <w:pStyle w:val="TableRowHead2"/>
            </w:pPr>
            <w:r w:rsidRPr="00295DBA">
              <w:t>3.1</w:t>
            </w:r>
            <w:r w:rsidR="00DF178E">
              <w:tab/>
            </w:r>
            <w:r w:rsidRPr="00295DBA">
              <w:t>Metric trends</w:t>
            </w:r>
          </w:p>
        </w:tc>
      </w:tr>
      <w:tr w14:paraId="11930F46" w14:textId="77777777" w:rsidTr="00683393">
        <w:tblPrEx>
          <w:tblW w:w="12960" w:type="dxa"/>
          <w:tblLayout w:type="fixed"/>
          <w:tblLook w:val="04A0"/>
        </w:tblPrEx>
        <w:trPr>
          <w:cantSplit/>
          <w:trHeight w:val="233"/>
        </w:trPr>
        <w:tc>
          <w:tcPr>
            <w:tcW w:w="4946" w:type="dxa"/>
            <w:hideMark/>
          </w:tcPr>
          <w:p w:rsidR="009640E2" w:rsidRPr="00295DBA" w:rsidP="009640E2" w14:paraId="0F95197B" w14:textId="008DA8F6">
            <w:pPr>
              <w:pStyle w:val="TableTextLeftHang"/>
            </w:pPr>
            <w:r w:rsidRPr="00295DBA">
              <w:t xml:space="preserve">3.1.1 </w:t>
            </w:r>
            <w:r>
              <w:tab/>
            </w:r>
            <w:r w:rsidRPr="00295DBA">
              <w:t xml:space="preserve">The state reports the following metric trends, including all changes (+ or -) greater than 2 percent related to Milestone </w:t>
            </w:r>
            <w:r>
              <w:t>3</w:t>
            </w:r>
            <w:r w:rsidRPr="00295DBA">
              <w:t xml:space="preserve"> </w:t>
            </w:r>
          </w:p>
        </w:tc>
        <w:tc>
          <w:tcPr>
            <w:tcW w:w="1441" w:type="dxa"/>
            <w:hideMark/>
          </w:tcPr>
          <w:p w:rsidR="009640E2" w:rsidRPr="00295DBA" w:rsidP="009640E2" w14:paraId="65FF2E3E" w14:textId="27157C7D">
            <w:pPr>
              <w:pStyle w:val="TableTextLeft"/>
            </w:pPr>
            <w:r w:rsidRPr="000518C6">
              <w:rPr>
                <w:rStyle w:val="Italic"/>
              </w:rPr>
              <w:t> </w:t>
            </w:r>
          </w:p>
        </w:tc>
        <w:tc>
          <w:tcPr>
            <w:tcW w:w="1711" w:type="dxa"/>
            <w:hideMark/>
          </w:tcPr>
          <w:p w:rsidR="009640E2" w:rsidRPr="00295DBA" w:rsidP="009640E2" w14:paraId="099DE0F6" w14:textId="31F61584">
            <w:pPr>
              <w:pStyle w:val="TableTextLeft"/>
            </w:pPr>
            <w:r w:rsidRPr="000518C6">
              <w:rPr>
                <w:rStyle w:val="Italic"/>
              </w:rPr>
              <w:t> </w:t>
            </w:r>
          </w:p>
        </w:tc>
        <w:tc>
          <w:tcPr>
            <w:tcW w:w="4862" w:type="dxa"/>
            <w:hideMark/>
          </w:tcPr>
          <w:p w:rsidR="009640E2" w:rsidRPr="00295DBA" w:rsidP="009640E2" w14:paraId="08CBE814" w14:textId="5DE5D6F9">
            <w:pPr>
              <w:pStyle w:val="TableTextLeft"/>
            </w:pPr>
            <w:r w:rsidRPr="000518C6">
              <w:rPr>
                <w:rStyle w:val="Italic"/>
              </w:rPr>
              <w:t> </w:t>
            </w:r>
          </w:p>
        </w:tc>
      </w:tr>
      <w:tr w14:paraId="76790818" w14:textId="77777777" w:rsidTr="00683393">
        <w:tblPrEx>
          <w:tblW w:w="12960" w:type="dxa"/>
          <w:tblLayout w:type="fixed"/>
          <w:tblLook w:val="04A0"/>
        </w:tblPrEx>
        <w:trPr>
          <w:cantSplit/>
          <w:trHeight w:val="220"/>
        </w:trPr>
        <w:tc>
          <w:tcPr>
            <w:tcW w:w="12960" w:type="dxa"/>
            <w:gridSpan w:val="4"/>
            <w:shd w:val="clear" w:color="auto" w:fill="D9D9D9"/>
            <w:hideMark/>
          </w:tcPr>
          <w:p w:rsidR="008F7153" w:rsidRPr="00295DBA" w:rsidP="000E094E" w14:paraId="51BDB942" w14:textId="6FD03528">
            <w:pPr>
              <w:pStyle w:val="TableRowHead2"/>
            </w:pPr>
            <w:r w:rsidRPr="00295DBA">
              <w:t>3.2</w:t>
            </w:r>
            <w:r w:rsidR="00DF178E">
              <w:tab/>
            </w:r>
            <w:r w:rsidRPr="00295DBA">
              <w:t>Implementation update</w:t>
            </w:r>
          </w:p>
        </w:tc>
      </w:tr>
      <w:tr w14:paraId="4DC86942" w14:textId="77777777" w:rsidTr="00683393">
        <w:tblPrEx>
          <w:tblW w:w="12960" w:type="dxa"/>
          <w:tblLayout w:type="fixed"/>
          <w:tblLook w:val="04A0"/>
        </w:tblPrEx>
        <w:trPr>
          <w:cantSplit/>
          <w:trHeight w:val="233"/>
        </w:trPr>
        <w:tc>
          <w:tcPr>
            <w:tcW w:w="4946" w:type="dxa"/>
            <w:hideMark/>
          </w:tcPr>
          <w:p w:rsidR="009640E2" w:rsidRPr="00295DBA" w:rsidP="009640E2" w14:paraId="1C3868DF" w14:textId="77777777">
            <w:pPr>
              <w:pStyle w:val="TableTextLeftHang"/>
            </w:pPr>
            <w:r w:rsidRPr="00295DBA">
              <w:t xml:space="preserve">3.2.1 </w:t>
            </w:r>
            <w:r>
              <w:tab/>
            </w:r>
            <w:r w:rsidRPr="00295DBA">
              <w:t xml:space="preserve">Compared to the demonstration design and operational details, the state expects to make the following changes to: </w:t>
            </w:r>
          </w:p>
          <w:p w:rsidR="009640E2" w:rsidRPr="00295DBA" w:rsidP="009640E2" w14:paraId="3B1BF912" w14:textId="4FD0DBDF">
            <w:pPr>
              <w:pStyle w:val="TableTextLeftHang2"/>
            </w:pPr>
            <w:r>
              <w:t>3.2.1.a</w:t>
            </w:r>
            <w:r>
              <w:tab/>
            </w:r>
            <w:r w:rsidRPr="006A76B1">
              <w:t>State requirement that providers use an evidenced-based, publicly</w:t>
            </w:r>
            <w:r>
              <w:t xml:space="preserve"> </w:t>
            </w:r>
            <w:r w:rsidRPr="006A76B1">
              <w:t>available patient assessment tool to determine appropriate level of care and length of stay</w:t>
            </w:r>
          </w:p>
        </w:tc>
        <w:tc>
          <w:tcPr>
            <w:tcW w:w="1441" w:type="dxa"/>
            <w:hideMark/>
          </w:tcPr>
          <w:p w:rsidR="009640E2" w:rsidRPr="00295DBA" w:rsidP="009640E2" w14:paraId="3B2EFB03" w14:textId="730FC9E5">
            <w:pPr>
              <w:pStyle w:val="TableTextLeft"/>
            </w:pPr>
            <w:r w:rsidRPr="00E02DFC">
              <w:rPr>
                <w:rStyle w:val="Italic"/>
              </w:rPr>
              <w:t> </w:t>
            </w:r>
          </w:p>
        </w:tc>
        <w:tc>
          <w:tcPr>
            <w:tcW w:w="1711" w:type="dxa"/>
            <w:shd w:val="clear" w:color="auto" w:fill="BFBFBF" w:themeFill="background1" w:themeFillShade="BF"/>
            <w:hideMark/>
          </w:tcPr>
          <w:p w:rsidR="009640E2" w:rsidRPr="00295DBA" w:rsidP="009640E2" w14:paraId="146062E8" w14:textId="2D8562AC">
            <w:pPr>
              <w:pStyle w:val="TableTextLeft"/>
            </w:pPr>
            <w:r w:rsidRPr="00E02DFC">
              <w:rPr>
                <w:rStyle w:val="Italic"/>
              </w:rPr>
              <w:t> </w:t>
            </w:r>
          </w:p>
        </w:tc>
        <w:tc>
          <w:tcPr>
            <w:tcW w:w="4862" w:type="dxa"/>
            <w:hideMark/>
          </w:tcPr>
          <w:p w:rsidR="009640E2" w:rsidRPr="00295DBA" w:rsidP="009640E2" w14:paraId="50BF1654" w14:textId="51FC62D1">
            <w:pPr>
              <w:pStyle w:val="TableTextLeft"/>
            </w:pPr>
            <w:r w:rsidRPr="00E02DFC">
              <w:rPr>
                <w:rStyle w:val="Italic"/>
              </w:rPr>
              <w:t> </w:t>
            </w:r>
          </w:p>
        </w:tc>
      </w:tr>
      <w:tr w14:paraId="72A52D9C" w14:textId="77777777" w:rsidTr="00683393">
        <w:tblPrEx>
          <w:tblW w:w="12960" w:type="dxa"/>
          <w:tblLayout w:type="fixed"/>
          <w:tblLook w:val="04A0"/>
        </w:tblPrEx>
        <w:trPr>
          <w:cantSplit/>
          <w:trHeight w:val="233"/>
        </w:trPr>
        <w:tc>
          <w:tcPr>
            <w:tcW w:w="4946" w:type="dxa"/>
            <w:hideMark/>
          </w:tcPr>
          <w:p w:rsidR="009640E2" w:rsidRPr="00295DBA" w:rsidP="009640E2" w14:paraId="1C7AF387" w14:textId="1A8FCEFC">
            <w:pPr>
              <w:pStyle w:val="TableTextLeftHang2"/>
            </w:pPr>
            <w:r>
              <w:t>3.2.1.b</w:t>
            </w:r>
            <w:r>
              <w:tab/>
            </w:r>
            <w:r w:rsidRPr="006A76B1">
              <w:t>Other state requirements/policies to improve access to a full continuum of care including crisis stabilization</w:t>
            </w:r>
          </w:p>
        </w:tc>
        <w:tc>
          <w:tcPr>
            <w:tcW w:w="1441" w:type="dxa"/>
            <w:hideMark/>
          </w:tcPr>
          <w:p w:rsidR="009640E2" w:rsidRPr="00295DBA" w:rsidP="009640E2" w14:paraId="33DD40C2" w14:textId="760DFE98">
            <w:pPr>
              <w:pStyle w:val="TableTextLeft"/>
            </w:pPr>
            <w:r w:rsidRPr="00E02DFC">
              <w:rPr>
                <w:rStyle w:val="Italic"/>
              </w:rPr>
              <w:t> </w:t>
            </w:r>
          </w:p>
        </w:tc>
        <w:tc>
          <w:tcPr>
            <w:tcW w:w="1711" w:type="dxa"/>
            <w:shd w:val="clear" w:color="auto" w:fill="BFBFBF" w:themeFill="background1" w:themeFillShade="BF"/>
            <w:hideMark/>
          </w:tcPr>
          <w:p w:rsidR="009640E2" w:rsidRPr="00295DBA" w:rsidP="009640E2" w14:paraId="4A0A2D97" w14:textId="0948C715">
            <w:pPr>
              <w:pStyle w:val="TableTextLeft"/>
            </w:pPr>
            <w:r w:rsidRPr="00E02DFC">
              <w:rPr>
                <w:rStyle w:val="Italic"/>
              </w:rPr>
              <w:t> </w:t>
            </w:r>
          </w:p>
        </w:tc>
        <w:tc>
          <w:tcPr>
            <w:tcW w:w="4862" w:type="dxa"/>
            <w:hideMark/>
          </w:tcPr>
          <w:p w:rsidR="009640E2" w:rsidRPr="00295DBA" w:rsidP="009640E2" w14:paraId="0383CEE7" w14:textId="5D1D1F37">
            <w:pPr>
              <w:pStyle w:val="TableTextLeft"/>
            </w:pPr>
            <w:r w:rsidRPr="00E02DFC">
              <w:rPr>
                <w:rStyle w:val="Italic"/>
              </w:rPr>
              <w:t> </w:t>
            </w:r>
          </w:p>
        </w:tc>
      </w:tr>
      <w:tr w14:paraId="31499AF2" w14:textId="77777777" w:rsidTr="00683393">
        <w:tblPrEx>
          <w:tblW w:w="12960" w:type="dxa"/>
          <w:tblLayout w:type="fixed"/>
          <w:tblLook w:val="04A0"/>
        </w:tblPrEx>
        <w:trPr>
          <w:cantSplit/>
          <w:trHeight w:val="233"/>
        </w:trPr>
        <w:tc>
          <w:tcPr>
            <w:tcW w:w="4946" w:type="dxa"/>
            <w:hideMark/>
          </w:tcPr>
          <w:p w:rsidR="009640E2" w:rsidRPr="00295DBA" w:rsidP="009640E2" w14:paraId="45D3B4A1" w14:textId="4BC7A8A9">
            <w:pPr>
              <w:pStyle w:val="TableTextLeftHang"/>
            </w:pPr>
            <w:r w:rsidRPr="00295DBA">
              <w:t xml:space="preserve">3.2.2 </w:t>
            </w:r>
            <w:r>
              <w:tab/>
            </w:r>
            <w:r w:rsidRPr="00295DBA">
              <w:t xml:space="preserve">The state expects to make other program changes that may affect metrics related to Milestone </w:t>
            </w:r>
            <w:r>
              <w:t>3</w:t>
            </w:r>
          </w:p>
        </w:tc>
        <w:tc>
          <w:tcPr>
            <w:tcW w:w="1441" w:type="dxa"/>
            <w:hideMark/>
          </w:tcPr>
          <w:p w:rsidR="009640E2" w:rsidRPr="00295DBA" w:rsidP="009640E2" w14:paraId="65C5612C" w14:textId="49F2CA67">
            <w:pPr>
              <w:pStyle w:val="TableTextLeft"/>
            </w:pPr>
            <w:r w:rsidRPr="00E02DFC">
              <w:rPr>
                <w:rStyle w:val="Italic"/>
              </w:rPr>
              <w:t> </w:t>
            </w:r>
          </w:p>
        </w:tc>
        <w:tc>
          <w:tcPr>
            <w:tcW w:w="1711" w:type="dxa"/>
            <w:shd w:val="clear" w:color="auto" w:fill="BFBFBF" w:themeFill="background1" w:themeFillShade="BF"/>
            <w:hideMark/>
          </w:tcPr>
          <w:p w:rsidR="009640E2" w:rsidRPr="00295DBA" w:rsidP="009640E2" w14:paraId="602DC945" w14:textId="46070947">
            <w:pPr>
              <w:pStyle w:val="TableTextLeft"/>
            </w:pPr>
            <w:r w:rsidRPr="00E02DFC">
              <w:rPr>
                <w:rStyle w:val="Italic"/>
              </w:rPr>
              <w:t> </w:t>
            </w:r>
          </w:p>
        </w:tc>
        <w:tc>
          <w:tcPr>
            <w:tcW w:w="4862" w:type="dxa"/>
            <w:hideMark/>
          </w:tcPr>
          <w:p w:rsidR="009640E2" w:rsidRPr="00295DBA" w:rsidP="009640E2" w14:paraId="578F58AC" w14:textId="51252EC5">
            <w:pPr>
              <w:pStyle w:val="TableTextLeft"/>
            </w:pPr>
            <w:r w:rsidRPr="00E02DFC">
              <w:rPr>
                <w:rStyle w:val="Italic"/>
              </w:rPr>
              <w:t> </w:t>
            </w:r>
          </w:p>
        </w:tc>
      </w:tr>
      <w:tr w14:paraId="369FE737" w14:textId="77777777" w:rsidTr="00683393">
        <w:tblPrEx>
          <w:tblW w:w="12960" w:type="dxa"/>
          <w:tblLayout w:type="fixed"/>
          <w:tblLook w:val="04A0"/>
        </w:tblPrEx>
        <w:trPr>
          <w:cantSplit/>
          <w:trHeight w:val="220"/>
        </w:trPr>
        <w:tc>
          <w:tcPr>
            <w:tcW w:w="12960" w:type="dxa"/>
            <w:gridSpan w:val="4"/>
            <w:shd w:val="clear" w:color="auto" w:fill="BFBFBF"/>
            <w:hideMark/>
          </w:tcPr>
          <w:p w:rsidR="008F7153" w:rsidRPr="00295DBA" w:rsidP="00C3608D" w14:paraId="6FCA154C" w14:textId="1EBC5AD8">
            <w:pPr>
              <w:pStyle w:val="TableRowHead"/>
            </w:pPr>
            <w:r w:rsidRPr="00295DBA">
              <w:t>4.</w:t>
            </w:r>
            <w:r w:rsidR="008A70F1">
              <w:tab/>
            </w:r>
            <w:r w:rsidR="006A76B1">
              <w:t>Earlier Identification and Engagement in Treatment, Including Through Increased Integration</w:t>
            </w:r>
            <w:r w:rsidRPr="00295DBA">
              <w:t xml:space="preserve"> (Milestone </w:t>
            </w:r>
            <w:r w:rsidR="006A76B1">
              <w:t>4</w:t>
            </w:r>
            <w:r w:rsidRPr="00295DBA">
              <w:t>)</w:t>
            </w:r>
          </w:p>
        </w:tc>
      </w:tr>
      <w:tr w14:paraId="5D90815F" w14:textId="77777777" w:rsidTr="00683393">
        <w:tblPrEx>
          <w:tblW w:w="12960" w:type="dxa"/>
          <w:tblLayout w:type="fixed"/>
          <w:tblLook w:val="04A0"/>
        </w:tblPrEx>
        <w:trPr>
          <w:cantSplit/>
          <w:trHeight w:val="220"/>
        </w:trPr>
        <w:tc>
          <w:tcPr>
            <w:tcW w:w="12960" w:type="dxa"/>
            <w:gridSpan w:val="4"/>
            <w:shd w:val="clear" w:color="auto" w:fill="D9D9D9"/>
            <w:hideMark/>
          </w:tcPr>
          <w:p w:rsidR="008F7153" w:rsidRPr="00295DBA" w:rsidP="005A0C4D" w14:paraId="2F760452" w14:textId="77777777">
            <w:pPr>
              <w:pStyle w:val="TableRowHead2"/>
            </w:pPr>
            <w:r w:rsidRPr="00295DBA">
              <w:t>4.1</w:t>
            </w:r>
            <w:r w:rsidR="00DF178E">
              <w:tab/>
            </w:r>
            <w:r w:rsidRPr="00295DBA">
              <w:t>Metric trends</w:t>
            </w:r>
          </w:p>
        </w:tc>
      </w:tr>
      <w:tr w14:paraId="11B6B919" w14:textId="77777777" w:rsidTr="00683393">
        <w:tblPrEx>
          <w:tblW w:w="12960" w:type="dxa"/>
          <w:tblLayout w:type="fixed"/>
          <w:tblLook w:val="04A0"/>
        </w:tblPrEx>
        <w:trPr>
          <w:cantSplit/>
          <w:trHeight w:val="233"/>
        </w:trPr>
        <w:tc>
          <w:tcPr>
            <w:tcW w:w="4946" w:type="dxa"/>
            <w:hideMark/>
          </w:tcPr>
          <w:p w:rsidR="009640E2" w:rsidRPr="00295DBA" w:rsidP="009640E2" w14:paraId="62BB9DC1" w14:textId="63603314">
            <w:pPr>
              <w:pStyle w:val="TableTextLeftHang"/>
            </w:pPr>
            <w:r w:rsidRPr="00295DBA">
              <w:t xml:space="preserve">4.1.1 </w:t>
            </w:r>
            <w:r>
              <w:tab/>
            </w:r>
            <w:r w:rsidRPr="00295DBA">
              <w:t xml:space="preserve">The state reports the following metric trends, including all changes (+ or -) greater than 2 percent related to Milestone </w:t>
            </w:r>
            <w:r>
              <w:t>4</w:t>
            </w:r>
          </w:p>
        </w:tc>
        <w:tc>
          <w:tcPr>
            <w:tcW w:w="1441" w:type="dxa"/>
            <w:hideMark/>
          </w:tcPr>
          <w:p w:rsidR="009640E2" w:rsidRPr="00295DBA" w:rsidP="009640E2" w14:paraId="529FED86" w14:textId="583358C9">
            <w:pPr>
              <w:pStyle w:val="TableTextLeft"/>
            </w:pPr>
            <w:r w:rsidRPr="003124E3">
              <w:rPr>
                <w:rStyle w:val="Italic"/>
              </w:rPr>
              <w:t> </w:t>
            </w:r>
          </w:p>
        </w:tc>
        <w:tc>
          <w:tcPr>
            <w:tcW w:w="1711" w:type="dxa"/>
            <w:hideMark/>
          </w:tcPr>
          <w:p w:rsidR="009640E2" w:rsidRPr="00295DBA" w:rsidP="009640E2" w14:paraId="5C68038C" w14:textId="2C1E2B5F">
            <w:pPr>
              <w:pStyle w:val="TableTextLeft"/>
            </w:pPr>
            <w:r w:rsidRPr="003124E3">
              <w:rPr>
                <w:rStyle w:val="Italic"/>
              </w:rPr>
              <w:t> </w:t>
            </w:r>
          </w:p>
        </w:tc>
        <w:tc>
          <w:tcPr>
            <w:tcW w:w="4862" w:type="dxa"/>
            <w:hideMark/>
          </w:tcPr>
          <w:p w:rsidR="009640E2" w:rsidRPr="00295DBA" w:rsidP="009640E2" w14:paraId="1D5CF1D8" w14:textId="72E14633">
            <w:pPr>
              <w:pStyle w:val="TableTextLeft"/>
            </w:pPr>
            <w:r w:rsidRPr="003124E3">
              <w:rPr>
                <w:rStyle w:val="Italic"/>
              </w:rPr>
              <w:t> </w:t>
            </w:r>
          </w:p>
        </w:tc>
      </w:tr>
      <w:tr w14:paraId="381C5EB9" w14:textId="77777777" w:rsidTr="00683393">
        <w:tblPrEx>
          <w:tblW w:w="12960" w:type="dxa"/>
          <w:tblLayout w:type="fixed"/>
          <w:tblLook w:val="04A0"/>
        </w:tblPrEx>
        <w:trPr>
          <w:cantSplit/>
          <w:trHeight w:val="220"/>
        </w:trPr>
        <w:tc>
          <w:tcPr>
            <w:tcW w:w="12960" w:type="dxa"/>
            <w:gridSpan w:val="4"/>
            <w:shd w:val="clear" w:color="auto" w:fill="D9D9D9"/>
            <w:hideMark/>
          </w:tcPr>
          <w:p w:rsidR="008F7153" w:rsidRPr="00295DBA" w:rsidP="004B0718" w14:paraId="29E7AE74" w14:textId="77777777">
            <w:pPr>
              <w:pStyle w:val="TableRowHead2"/>
            </w:pPr>
            <w:r w:rsidRPr="00295DBA">
              <w:t>4.2</w:t>
            </w:r>
            <w:r w:rsidR="00DF178E">
              <w:tab/>
            </w:r>
            <w:r w:rsidRPr="00295DBA">
              <w:t>Implementation update</w:t>
            </w:r>
          </w:p>
        </w:tc>
      </w:tr>
      <w:tr w14:paraId="6EC83222" w14:textId="77777777" w:rsidTr="00683393">
        <w:tblPrEx>
          <w:tblW w:w="12960" w:type="dxa"/>
          <w:tblLayout w:type="fixed"/>
          <w:tblLook w:val="04A0"/>
        </w:tblPrEx>
        <w:trPr>
          <w:cantSplit/>
        </w:trPr>
        <w:tc>
          <w:tcPr>
            <w:tcW w:w="4946" w:type="dxa"/>
            <w:hideMark/>
          </w:tcPr>
          <w:p w:rsidR="009640E2" w:rsidRPr="00295DBA" w:rsidP="009640E2" w14:paraId="336ABD18" w14:textId="77777777">
            <w:pPr>
              <w:pStyle w:val="TableTextLeftHang"/>
            </w:pPr>
            <w:r w:rsidRPr="00295DBA">
              <w:t xml:space="preserve">4.2.1 </w:t>
            </w:r>
            <w:r>
              <w:tab/>
            </w:r>
            <w:r w:rsidRPr="00295DBA">
              <w:t xml:space="preserve">Compared to the demonstration design and operational details, the state expects to make the following changes to:  </w:t>
            </w:r>
          </w:p>
          <w:p w:rsidR="009640E2" w:rsidRPr="00295DBA" w:rsidP="00457740" w14:paraId="20E50C0D" w14:textId="1A044C47">
            <w:pPr>
              <w:pStyle w:val="TableTextLeftHang2"/>
            </w:pPr>
            <w:r>
              <w:t>4.2.1.a</w:t>
            </w:r>
            <w:r>
              <w:tab/>
            </w:r>
            <w:r w:rsidRPr="006F4041">
              <w:t>Strategies for identifying and engaging beneficiaries in treatment sooner (e.g., with supported education and employment)</w:t>
            </w:r>
          </w:p>
        </w:tc>
        <w:tc>
          <w:tcPr>
            <w:tcW w:w="1441" w:type="dxa"/>
            <w:hideMark/>
          </w:tcPr>
          <w:p w:rsidR="009640E2" w:rsidRPr="00295DBA" w:rsidP="009640E2" w14:paraId="0E0C0965" w14:textId="49CBBA14">
            <w:pPr>
              <w:pStyle w:val="TableTextLeft"/>
            </w:pPr>
            <w:r w:rsidRPr="00CF12CF">
              <w:rPr>
                <w:rStyle w:val="Italic"/>
              </w:rPr>
              <w:t> </w:t>
            </w:r>
          </w:p>
        </w:tc>
        <w:tc>
          <w:tcPr>
            <w:tcW w:w="1711" w:type="dxa"/>
            <w:shd w:val="clear" w:color="auto" w:fill="BFBFBF" w:themeFill="background1" w:themeFillShade="BF"/>
            <w:hideMark/>
          </w:tcPr>
          <w:p w:rsidR="009640E2" w:rsidRPr="00295DBA" w:rsidP="009640E2" w14:paraId="7ED123C8" w14:textId="6517128E">
            <w:pPr>
              <w:pStyle w:val="TableTextLeft"/>
            </w:pPr>
            <w:r w:rsidRPr="00CF12CF">
              <w:rPr>
                <w:rStyle w:val="Italic"/>
              </w:rPr>
              <w:t> </w:t>
            </w:r>
          </w:p>
        </w:tc>
        <w:tc>
          <w:tcPr>
            <w:tcW w:w="4862" w:type="dxa"/>
            <w:hideMark/>
          </w:tcPr>
          <w:p w:rsidR="009640E2" w:rsidRPr="00295DBA" w:rsidP="009640E2" w14:paraId="3856A36C" w14:textId="0B31C356">
            <w:pPr>
              <w:pStyle w:val="TableTextLeft"/>
            </w:pPr>
            <w:r w:rsidRPr="00CF12CF">
              <w:rPr>
                <w:rStyle w:val="Italic"/>
              </w:rPr>
              <w:t> </w:t>
            </w:r>
          </w:p>
        </w:tc>
      </w:tr>
      <w:tr w14:paraId="416A9DFF" w14:textId="77777777" w:rsidTr="00683393">
        <w:tblPrEx>
          <w:tblW w:w="12960" w:type="dxa"/>
          <w:tblLayout w:type="fixed"/>
          <w:tblLook w:val="04A0"/>
        </w:tblPrEx>
        <w:trPr>
          <w:cantSplit/>
          <w:trHeight w:val="233"/>
        </w:trPr>
        <w:tc>
          <w:tcPr>
            <w:tcW w:w="4946" w:type="dxa"/>
            <w:hideMark/>
          </w:tcPr>
          <w:p w:rsidR="009640E2" w:rsidRPr="00295DBA" w:rsidP="009640E2" w14:paraId="113842A2" w14:textId="31EEF225">
            <w:pPr>
              <w:pStyle w:val="TableTextLeftHang2"/>
            </w:pPr>
            <w:r>
              <w:t>4.2.1.b</w:t>
            </w:r>
            <w:r>
              <w:tab/>
            </w:r>
            <w:r w:rsidRPr="006F4041">
              <w:t>Plan for increasing integration of behavioral health care in non-specialty settings to improve early identification of SED/SMI and linkages to treatment</w:t>
            </w:r>
          </w:p>
        </w:tc>
        <w:tc>
          <w:tcPr>
            <w:tcW w:w="1441" w:type="dxa"/>
            <w:hideMark/>
          </w:tcPr>
          <w:p w:rsidR="009640E2" w:rsidRPr="00295DBA" w:rsidP="009640E2" w14:paraId="3660F321" w14:textId="68868588">
            <w:pPr>
              <w:pStyle w:val="TableTextLeft"/>
            </w:pPr>
            <w:r w:rsidRPr="00CF12CF">
              <w:rPr>
                <w:rStyle w:val="Italic"/>
              </w:rPr>
              <w:t> </w:t>
            </w:r>
          </w:p>
        </w:tc>
        <w:tc>
          <w:tcPr>
            <w:tcW w:w="1711" w:type="dxa"/>
            <w:shd w:val="clear" w:color="auto" w:fill="BFBFBF" w:themeFill="background1" w:themeFillShade="BF"/>
            <w:hideMark/>
          </w:tcPr>
          <w:p w:rsidR="009640E2" w:rsidRPr="00295DBA" w:rsidP="009640E2" w14:paraId="405C0E42" w14:textId="5FD5837B">
            <w:pPr>
              <w:pStyle w:val="TableTextLeft"/>
            </w:pPr>
            <w:r w:rsidRPr="00CF12CF">
              <w:rPr>
                <w:rStyle w:val="Italic"/>
              </w:rPr>
              <w:t> </w:t>
            </w:r>
          </w:p>
        </w:tc>
        <w:tc>
          <w:tcPr>
            <w:tcW w:w="4862" w:type="dxa"/>
            <w:hideMark/>
          </w:tcPr>
          <w:p w:rsidR="009640E2" w:rsidRPr="00295DBA" w:rsidP="009640E2" w14:paraId="269BC894" w14:textId="4433F858">
            <w:pPr>
              <w:pStyle w:val="TableTextLeft"/>
            </w:pPr>
            <w:r w:rsidRPr="00CF12CF">
              <w:rPr>
                <w:rStyle w:val="Italic"/>
              </w:rPr>
              <w:t> </w:t>
            </w:r>
          </w:p>
        </w:tc>
      </w:tr>
      <w:tr w14:paraId="0690F07E" w14:textId="77777777" w:rsidTr="00683393">
        <w:tblPrEx>
          <w:tblW w:w="12960" w:type="dxa"/>
          <w:tblLayout w:type="fixed"/>
          <w:tblLook w:val="04A0"/>
        </w:tblPrEx>
        <w:trPr>
          <w:cantSplit/>
          <w:trHeight w:val="233"/>
        </w:trPr>
        <w:tc>
          <w:tcPr>
            <w:tcW w:w="4946" w:type="dxa"/>
            <w:hideMark/>
          </w:tcPr>
          <w:p w:rsidR="009640E2" w:rsidRPr="00295DBA" w:rsidP="009640E2" w14:paraId="323C1D60" w14:textId="36CC51AE">
            <w:pPr>
              <w:pStyle w:val="TableTextLeftHang2"/>
            </w:pPr>
            <w:r>
              <w:t>4.2.1.c</w:t>
            </w:r>
            <w:r>
              <w:tab/>
            </w:r>
            <w:r w:rsidRPr="006F4041">
              <w:t>Establishment of specialized settings and services, including crisis stabilization services, focused on the needs of young people experiencing SMI or SED</w:t>
            </w:r>
          </w:p>
        </w:tc>
        <w:tc>
          <w:tcPr>
            <w:tcW w:w="1441" w:type="dxa"/>
            <w:hideMark/>
          </w:tcPr>
          <w:p w:rsidR="009640E2" w:rsidRPr="00295DBA" w:rsidP="009640E2" w14:paraId="473FA844" w14:textId="04A57CF0">
            <w:pPr>
              <w:pStyle w:val="TableTextLeft"/>
            </w:pPr>
            <w:r w:rsidRPr="00CF12CF">
              <w:rPr>
                <w:rStyle w:val="Italic"/>
              </w:rPr>
              <w:t> </w:t>
            </w:r>
          </w:p>
        </w:tc>
        <w:tc>
          <w:tcPr>
            <w:tcW w:w="1711" w:type="dxa"/>
            <w:shd w:val="clear" w:color="auto" w:fill="BFBFBF" w:themeFill="background1" w:themeFillShade="BF"/>
            <w:hideMark/>
          </w:tcPr>
          <w:p w:rsidR="009640E2" w:rsidRPr="00295DBA" w:rsidP="009640E2" w14:paraId="702721FA" w14:textId="38100346">
            <w:pPr>
              <w:pStyle w:val="TableTextLeft"/>
            </w:pPr>
            <w:r w:rsidRPr="00CF12CF">
              <w:rPr>
                <w:rStyle w:val="Italic"/>
              </w:rPr>
              <w:t> </w:t>
            </w:r>
          </w:p>
        </w:tc>
        <w:tc>
          <w:tcPr>
            <w:tcW w:w="4862" w:type="dxa"/>
            <w:hideMark/>
          </w:tcPr>
          <w:p w:rsidR="009640E2" w:rsidRPr="00295DBA" w:rsidP="009640E2" w14:paraId="284F5587" w14:textId="4216A84E">
            <w:pPr>
              <w:pStyle w:val="TableTextLeft"/>
            </w:pPr>
            <w:r w:rsidRPr="00CF12CF">
              <w:rPr>
                <w:rStyle w:val="Italic"/>
              </w:rPr>
              <w:t> </w:t>
            </w:r>
          </w:p>
        </w:tc>
      </w:tr>
      <w:tr w14:paraId="425B030D" w14:textId="77777777" w:rsidTr="00683393">
        <w:tblPrEx>
          <w:tblW w:w="12960" w:type="dxa"/>
          <w:tblLayout w:type="fixed"/>
          <w:tblLook w:val="04A0"/>
        </w:tblPrEx>
        <w:trPr>
          <w:cantSplit/>
          <w:trHeight w:val="233"/>
        </w:trPr>
        <w:tc>
          <w:tcPr>
            <w:tcW w:w="4946" w:type="dxa"/>
          </w:tcPr>
          <w:p w:rsidR="009640E2" w:rsidP="009640E2" w14:paraId="2D4D88AE" w14:textId="57664AB0">
            <w:pPr>
              <w:pStyle w:val="TableTextLeftHang2"/>
            </w:pPr>
            <w:r>
              <w:t>4.2.1.d</w:t>
            </w:r>
            <w:r>
              <w:tab/>
            </w:r>
            <w:r w:rsidRPr="006F4041">
              <w:t>Other state strategies to increase earlier identification/engagement, integration, and specialized programs for young people</w:t>
            </w:r>
          </w:p>
        </w:tc>
        <w:tc>
          <w:tcPr>
            <w:tcW w:w="1441" w:type="dxa"/>
          </w:tcPr>
          <w:p w:rsidR="009640E2" w:rsidRPr="00295DBA" w:rsidP="009640E2" w14:paraId="128139C7" w14:textId="5BB6B8E9">
            <w:pPr>
              <w:pStyle w:val="TableTextLeft"/>
            </w:pPr>
            <w:r w:rsidRPr="00CF12CF">
              <w:rPr>
                <w:rStyle w:val="Italic"/>
              </w:rPr>
              <w:t> </w:t>
            </w:r>
          </w:p>
        </w:tc>
        <w:tc>
          <w:tcPr>
            <w:tcW w:w="1711" w:type="dxa"/>
            <w:shd w:val="clear" w:color="auto" w:fill="BFBFBF" w:themeFill="background1" w:themeFillShade="BF"/>
          </w:tcPr>
          <w:p w:rsidR="009640E2" w:rsidRPr="00295DBA" w:rsidP="009640E2" w14:paraId="02925479" w14:textId="595A6BF2">
            <w:pPr>
              <w:pStyle w:val="TableTextLeft"/>
            </w:pPr>
            <w:r w:rsidRPr="00CF12CF">
              <w:rPr>
                <w:rStyle w:val="Italic"/>
              </w:rPr>
              <w:t> </w:t>
            </w:r>
          </w:p>
        </w:tc>
        <w:tc>
          <w:tcPr>
            <w:tcW w:w="4862" w:type="dxa"/>
          </w:tcPr>
          <w:p w:rsidR="009640E2" w:rsidRPr="00295DBA" w:rsidP="009640E2" w14:paraId="42BF5CE1" w14:textId="7A4390AC">
            <w:pPr>
              <w:pStyle w:val="TableTextLeft"/>
            </w:pPr>
            <w:r w:rsidRPr="00CF12CF">
              <w:rPr>
                <w:rStyle w:val="Italic"/>
              </w:rPr>
              <w:t> </w:t>
            </w:r>
          </w:p>
        </w:tc>
      </w:tr>
      <w:tr w14:paraId="0CB28A2F" w14:textId="77777777" w:rsidTr="00683393">
        <w:tblPrEx>
          <w:tblW w:w="12960" w:type="dxa"/>
          <w:tblLayout w:type="fixed"/>
          <w:tblLook w:val="04A0"/>
        </w:tblPrEx>
        <w:trPr>
          <w:cantSplit/>
          <w:trHeight w:val="233"/>
        </w:trPr>
        <w:tc>
          <w:tcPr>
            <w:tcW w:w="4946" w:type="dxa"/>
            <w:hideMark/>
          </w:tcPr>
          <w:p w:rsidR="009640E2" w:rsidRPr="00295DBA" w:rsidP="009640E2" w14:paraId="0166BA17" w14:textId="65E78CE2">
            <w:pPr>
              <w:pStyle w:val="TableTextLeftHang"/>
            </w:pPr>
            <w:r w:rsidRPr="00295DBA">
              <w:t xml:space="preserve">4.2.2 </w:t>
            </w:r>
            <w:r>
              <w:tab/>
            </w:r>
            <w:r w:rsidRPr="00295DBA">
              <w:t xml:space="preserve">The state expects to make other program changes that may affect metrics related to Milestone </w:t>
            </w:r>
            <w:r>
              <w:t>4</w:t>
            </w:r>
          </w:p>
        </w:tc>
        <w:tc>
          <w:tcPr>
            <w:tcW w:w="1441" w:type="dxa"/>
            <w:hideMark/>
          </w:tcPr>
          <w:p w:rsidR="009640E2" w:rsidRPr="00295DBA" w:rsidP="009640E2" w14:paraId="5CFDAD31" w14:textId="443BE312">
            <w:pPr>
              <w:pStyle w:val="TableTextLeft"/>
            </w:pPr>
            <w:r w:rsidRPr="00CF12CF">
              <w:rPr>
                <w:rStyle w:val="Italic"/>
              </w:rPr>
              <w:t> </w:t>
            </w:r>
          </w:p>
        </w:tc>
        <w:tc>
          <w:tcPr>
            <w:tcW w:w="1711" w:type="dxa"/>
            <w:shd w:val="clear" w:color="auto" w:fill="BFBFBF" w:themeFill="background1" w:themeFillShade="BF"/>
            <w:hideMark/>
          </w:tcPr>
          <w:p w:rsidR="009640E2" w:rsidRPr="00295DBA" w:rsidP="009640E2" w14:paraId="0AEA0A6B" w14:textId="05323F71">
            <w:pPr>
              <w:pStyle w:val="TableTextLeft"/>
            </w:pPr>
            <w:r w:rsidRPr="00CF12CF">
              <w:rPr>
                <w:rStyle w:val="Italic"/>
              </w:rPr>
              <w:t> </w:t>
            </w:r>
          </w:p>
        </w:tc>
        <w:tc>
          <w:tcPr>
            <w:tcW w:w="4862" w:type="dxa"/>
            <w:hideMark/>
          </w:tcPr>
          <w:p w:rsidR="009640E2" w:rsidRPr="00295DBA" w:rsidP="009640E2" w14:paraId="4F9E731A" w14:textId="0AE0458C">
            <w:pPr>
              <w:pStyle w:val="TableTextLeft"/>
            </w:pPr>
            <w:r w:rsidRPr="00CF12CF">
              <w:rPr>
                <w:rStyle w:val="Italic"/>
              </w:rPr>
              <w:t> </w:t>
            </w:r>
          </w:p>
        </w:tc>
      </w:tr>
      <w:tr w14:paraId="1EE86382" w14:textId="77777777" w:rsidTr="00683393">
        <w:tblPrEx>
          <w:tblW w:w="12960" w:type="dxa"/>
          <w:tblLayout w:type="fixed"/>
          <w:tblLook w:val="04A0"/>
        </w:tblPrEx>
        <w:trPr>
          <w:cantSplit/>
          <w:trHeight w:val="220"/>
        </w:trPr>
        <w:tc>
          <w:tcPr>
            <w:tcW w:w="12960" w:type="dxa"/>
            <w:gridSpan w:val="4"/>
            <w:shd w:val="clear" w:color="auto" w:fill="BFBFBF" w:themeFill="background1" w:themeFillShade="BF"/>
            <w:hideMark/>
          </w:tcPr>
          <w:p w:rsidR="006F4041" w:rsidRPr="00295DBA" w:rsidP="006F4041" w14:paraId="386BE978" w14:textId="39CD0F48">
            <w:pPr>
              <w:pStyle w:val="TableRowHead"/>
            </w:pPr>
            <w:r w:rsidRPr="00295DBA">
              <w:t>5.</w:t>
            </w:r>
            <w:r>
              <w:tab/>
              <w:t>SMI/SED health information technology</w:t>
            </w:r>
            <w:r w:rsidRPr="00295DBA">
              <w:t xml:space="preserve"> (</w:t>
            </w:r>
            <w:r>
              <w:t>health IT</w:t>
            </w:r>
            <w:r w:rsidRPr="00295DBA">
              <w:t>)</w:t>
            </w:r>
          </w:p>
        </w:tc>
      </w:tr>
      <w:tr w14:paraId="70670E7B" w14:textId="77777777" w:rsidTr="00683393">
        <w:tblPrEx>
          <w:tblW w:w="12960" w:type="dxa"/>
          <w:tblLayout w:type="fixed"/>
          <w:tblLook w:val="04A0"/>
        </w:tblPrEx>
        <w:trPr>
          <w:cantSplit/>
          <w:trHeight w:val="220"/>
        </w:trPr>
        <w:tc>
          <w:tcPr>
            <w:tcW w:w="12960" w:type="dxa"/>
            <w:gridSpan w:val="4"/>
            <w:shd w:val="clear" w:color="auto" w:fill="D9D9D9"/>
            <w:hideMark/>
          </w:tcPr>
          <w:p w:rsidR="006F4041" w:rsidRPr="00295DBA" w:rsidP="006F4041" w14:paraId="543E2D92" w14:textId="77777777">
            <w:pPr>
              <w:pStyle w:val="TableRowHead2"/>
            </w:pPr>
            <w:r w:rsidRPr="00295DBA">
              <w:t>5.1</w:t>
            </w:r>
            <w:r>
              <w:tab/>
            </w:r>
            <w:r w:rsidRPr="00295DBA">
              <w:t>Metric trends</w:t>
            </w:r>
          </w:p>
        </w:tc>
      </w:tr>
      <w:tr w14:paraId="6D266772" w14:textId="77777777" w:rsidTr="00683393">
        <w:tblPrEx>
          <w:tblW w:w="12960" w:type="dxa"/>
          <w:tblLayout w:type="fixed"/>
          <w:tblLook w:val="04A0"/>
        </w:tblPrEx>
        <w:trPr>
          <w:cantSplit/>
          <w:trHeight w:val="233"/>
        </w:trPr>
        <w:tc>
          <w:tcPr>
            <w:tcW w:w="4946" w:type="dxa"/>
            <w:hideMark/>
          </w:tcPr>
          <w:p w:rsidR="009640E2" w:rsidRPr="00295DBA" w:rsidP="009640E2" w14:paraId="3CA379B9" w14:textId="36E49438">
            <w:pPr>
              <w:pStyle w:val="TableTextLeftHang"/>
            </w:pPr>
            <w:r w:rsidRPr="00295DBA">
              <w:t>5.1.1</w:t>
            </w:r>
            <w:r>
              <w:tab/>
            </w:r>
            <w:r w:rsidRPr="00295DBA">
              <w:t xml:space="preserve">The state reports the following metric trends, including all changes (+ or -) greater than 2 percent related to </w:t>
            </w:r>
            <w:r>
              <w:t>its health IT metrics</w:t>
            </w:r>
          </w:p>
        </w:tc>
        <w:tc>
          <w:tcPr>
            <w:tcW w:w="1441" w:type="dxa"/>
            <w:hideMark/>
          </w:tcPr>
          <w:p w:rsidR="009640E2" w:rsidRPr="00295DBA" w:rsidP="009640E2" w14:paraId="66817D8E" w14:textId="45584EE5">
            <w:pPr>
              <w:pStyle w:val="TableTextLeft"/>
            </w:pPr>
            <w:r w:rsidRPr="00744034">
              <w:rPr>
                <w:rStyle w:val="Italic"/>
              </w:rPr>
              <w:t> </w:t>
            </w:r>
          </w:p>
        </w:tc>
        <w:tc>
          <w:tcPr>
            <w:tcW w:w="1711" w:type="dxa"/>
            <w:hideMark/>
          </w:tcPr>
          <w:p w:rsidR="009640E2" w:rsidRPr="00295DBA" w:rsidP="009640E2" w14:paraId="10BA9824" w14:textId="501C517C">
            <w:pPr>
              <w:pStyle w:val="TableTextLeft"/>
            </w:pPr>
            <w:r w:rsidRPr="00744034">
              <w:rPr>
                <w:rStyle w:val="Italic"/>
              </w:rPr>
              <w:t> </w:t>
            </w:r>
          </w:p>
        </w:tc>
        <w:tc>
          <w:tcPr>
            <w:tcW w:w="4862" w:type="dxa"/>
            <w:hideMark/>
          </w:tcPr>
          <w:p w:rsidR="009640E2" w:rsidRPr="00295DBA" w:rsidP="009640E2" w14:paraId="616B519A" w14:textId="5E1E77D1">
            <w:pPr>
              <w:pStyle w:val="TableTextLeft"/>
            </w:pPr>
            <w:r w:rsidRPr="00744034">
              <w:rPr>
                <w:rStyle w:val="Italic"/>
              </w:rPr>
              <w:t> </w:t>
            </w:r>
          </w:p>
        </w:tc>
      </w:tr>
      <w:tr w14:paraId="4F6B2149" w14:textId="77777777" w:rsidTr="00683393">
        <w:tblPrEx>
          <w:tblW w:w="12960" w:type="dxa"/>
          <w:tblLayout w:type="fixed"/>
          <w:tblLook w:val="04A0"/>
        </w:tblPrEx>
        <w:trPr>
          <w:cantSplit/>
          <w:trHeight w:val="220"/>
        </w:trPr>
        <w:tc>
          <w:tcPr>
            <w:tcW w:w="12960" w:type="dxa"/>
            <w:gridSpan w:val="4"/>
            <w:shd w:val="clear" w:color="auto" w:fill="D9D9D9"/>
            <w:hideMark/>
          </w:tcPr>
          <w:p w:rsidR="006F4041" w:rsidRPr="00295DBA" w:rsidP="006F4041" w14:paraId="755B6CD5" w14:textId="545C0B18">
            <w:pPr>
              <w:pStyle w:val="TableRowHead2"/>
            </w:pPr>
            <w:r w:rsidRPr="00295DBA">
              <w:t>5.2</w:t>
            </w:r>
            <w:r>
              <w:tab/>
            </w:r>
            <w:r w:rsidRPr="00295DBA">
              <w:t>Implementation update</w:t>
            </w:r>
          </w:p>
        </w:tc>
      </w:tr>
      <w:tr w14:paraId="6ACCECCF" w14:textId="77777777" w:rsidTr="00683393">
        <w:tblPrEx>
          <w:tblW w:w="12960" w:type="dxa"/>
          <w:tblLayout w:type="fixed"/>
          <w:tblLook w:val="04A0"/>
        </w:tblPrEx>
        <w:trPr>
          <w:cantSplit/>
          <w:trHeight w:val="233"/>
        </w:trPr>
        <w:tc>
          <w:tcPr>
            <w:tcW w:w="4946" w:type="dxa"/>
          </w:tcPr>
          <w:p w:rsidR="009640E2" w:rsidRPr="00295DBA" w:rsidP="009640E2" w14:paraId="42E1864C" w14:textId="66A70592">
            <w:pPr>
              <w:pStyle w:val="TableTextLeftHang"/>
            </w:pPr>
            <w:r>
              <w:t>5</w:t>
            </w:r>
            <w:r w:rsidRPr="00295DBA">
              <w:t xml:space="preserve">.2.1 </w:t>
            </w:r>
            <w:r>
              <w:tab/>
            </w:r>
            <w:r w:rsidRPr="00295DBA">
              <w:t xml:space="preserve">Compared to the demonstration design and operational details, the state expects to make the following changes to: </w:t>
            </w:r>
          </w:p>
          <w:p w:rsidR="009640E2" w:rsidRPr="00295DBA" w:rsidP="00457740" w14:paraId="67E8A6C8" w14:textId="0A4C30E9">
            <w:pPr>
              <w:pStyle w:val="TableTextLeftHang2"/>
            </w:pPr>
            <w:r>
              <w:t>5.2.1.a</w:t>
            </w:r>
            <w:r>
              <w:tab/>
            </w:r>
            <w:r w:rsidRPr="005A63A3">
              <w:t>The three statements of assurance made in the state’s health IT plan</w:t>
            </w:r>
          </w:p>
        </w:tc>
        <w:tc>
          <w:tcPr>
            <w:tcW w:w="1441" w:type="dxa"/>
          </w:tcPr>
          <w:p w:rsidR="009640E2" w:rsidRPr="00295DBA" w:rsidP="009640E2" w14:paraId="63532ECE" w14:textId="4ED7F260">
            <w:pPr>
              <w:pStyle w:val="TableTextLeft"/>
            </w:pPr>
            <w:r w:rsidRPr="00E41AE6">
              <w:rPr>
                <w:rStyle w:val="Italic"/>
              </w:rPr>
              <w:t> </w:t>
            </w:r>
          </w:p>
        </w:tc>
        <w:tc>
          <w:tcPr>
            <w:tcW w:w="1711" w:type="dxa"/>
            <w:shd w:val="clear" w:color="auto" w:fill="BFBFBF" w:themeFill="background1" w:themeFillShade="BF"/>
          </w:tcPr>
          <w:p w:rsidR="009640E2" w:rsidRPr="00295DBA" w:rsidP="009640E2" w14:paraId="0937811C" w14:textId="1A4C4321">
            <w:pPr>
              <w:pStyle w:val="TableTextLeft"/>
            </w:pPr>
            <w:r w:rsidRPr="00E41AE6">
              <w:rPr>
                <w:rStyle w:val="Italic"/>
              </w:rPr>
              <w:t> </w:t>
            </w:r>
          </w:p>
        </w:tc>
        <w:tc>
          <w:tcPr>
            <w:tcW w:w="4862" w:type="dxa"/>
          </w:tcPr>
          <w:p w:rsidR="009640E2" w:rsidRPr="00295DBA" w:rsidP="009640E2" w14:paraId="3160D4B5" w14:textId="47184957">
            <w:pPr>
              <w:pStyle w:val="TableTextLeft"/>
            </w:pPr>
            <w:r w:rsidRPr="00E41AE6">
              <w:rPr>
                <w:rStyle w:val="Italic"/>
              </w:rPr>
              <w:t> </w:t>
            </w:r>
          </w:p>
        </w:tc>
      </w:tr>
      <w:tr w14:paraId="301CD740" w14:textId="77777777" w:rsidTr="00683393">
        <w:tblPrEx>
          <w:tblW w:w="12960" w:type="dxa"/>
          <w:tblLayout w:type="fixed"/>
          <w:tblLook w:val="04A0"/>
        </w:tblPrEx>
        <w:trPr>
          <w:cantSplit/>
          <w:trHeight w:val="233"/>
        </w:trPr>
        <w:tc>
          <w:tcPr>
            <w:tcW w:w="4946" w:type="dxa"/>
          </w:tcPr>
          <w:p w:rsidR="009640E2" w:rsidRPr="00295DBA" w:rsidP="00457740" w14:paraId="69CC7015" w14:textId="27FD0E7F">
            <w:pPr>
              <w:pStyle w:val="TableTextLeftHang2"/>
            </w:pPr>
            <w:r>
              <w:t>5.2.1.b</w:t>
            </w:r>
            <w:r>
              <w:tab/>
            </w:r>
            <w:r w:rsidRPr="005A63A3">
              <w:t>Closed loop referrals and e-referrals from physician/mental health provider to physician/mental health provider and/or physician/mental health provider to community-based supports</w:t>
            </w:r>
          </w:p>
        </w:tc>
        <w:tc>
          <w:tcPr>
            <w:tcW w:w="1441" w:type="dxa"/>
          </w:tcPr>
          <w:p w:rsidR="009640E2" w:rsidRPr="00295DBA" w:rsidP="009640E2" w14:paraId="62F4D83A" w14:textId="4D7A3B9E">
            <w:pPr>
              <w:pStyle w:val="TableTextLeft"/>
            </w:pPr>
            <w:r w:rsidRPr="00E41AE6">
              <w:rPr>
                <w:rStyle w:val="Italic"/>
              </w:rPr>
              <w:t> </w:t>
            </w:r>
          </w:p>
        </w:tc>
        <w:tc>
          <w:tcPr>
            <w:tcW w:w="1711" w:type="dxa"/>
            <w:shd w:val="clear" w:color="auto" w:fill="BFBFBF" w:themeFill="background1" w:themeFillShade="BF"/>
          </w:tcPr>
          <w:p w:rsidR="009640E2" w:rsidRPr="00295DBA" w:rsidP="009640E2" w14:paraId="661819E9" w14:textId="7AB7FB30">
            <w:pPr>
              <w:pStyle w:val="TableTextLeft"/>
            </w:pPr>
            <w:r w:rsidRPr="00E41AE6">
              <w:rPr>
                <w:rStyle w:val="Italic"/>
              </w:rPr>
              <w:t> </w:t>
            </w:r>
          </w:p>
        </w:tc>
        <w:tc>
          <w:tcPr>
            <w:tcW w:w="4862" w:type="dxa"/>
          </w:tcPr>
          <w:p w:rsidR="009640E2" w:rsidRPr="00295DBA" w:rsidP="009640E2" w14:paraId="45A6EE9D" w14:textId="09C25BDC">
            <w:pPr>
              <w:pStyle w:val="TableTextLeft"/>
            </w:pPr>
            <w:r w:rsidRPr="00E41AE6">
              <w:rPr>
                <w:rStyle w:val="Italic"/>
              </w:rPr>
              <w:t> </w:t>
            </w:r>
          </w:p>
        </w:tc>
      </w:tr>
      <w:tr w14:paraId="3445F8AC" w14:textId="77777777" w:rsidTr="00683393">
        <w:tblPrEx>
          <w:tblW w:w="12960" w:type="dxa"/>
          <w:tblLayout w:type="fixed"/>
          <w:tblLook w:val="04A0"/>
        </w:tblPrEx>
        <w:trPr>
          <w:cantSplit/>
          <w:trHeight w:val="233"/>
        </w:trPr>
        <w:tc>
          <w:tcPr>
            <w:tcW w:w="4946" w:type="dxa"/>
          </w:tcPr>
          <w:p w:rsidR="009640E2" w:rsidRPr="00295DBA" w:rsidP="00457740" w14:paraId="6C1AB0E9" w14:textId="3221EC4A">
            <w:pPr>
              <w:pStyle w:val="TableTextLeftHang2"/>
            </w:pPr>
            <w:r>
              <w:t>5.2.1.c</w:t>
            </w:r>
            <w:r>
              <w:tab/>
            </w:r>
            <w:r w:rsidRPr="005A63A3">
              <w:t>Electronic care plans and medical records</w:t>
            </w:r>
          </w:p>
        </w:tc>
        <w:tc>
          <w:tcPr>
            <w:tcW w:w="1441" w:type="dxa"/>
          </w:tcPr>
          <w:p w:rsidR="009640E2" w:rsidRPr="00295DBA" w:rsidP="009640E2" w14:paraId="5701C4F7" w14:textId="654E0812">
            <w:pPr>
              <w:pStyle w:val="TableTextLeft"/>
            </w:pPr>
            <w:r w:rsidRPr="00E41AE6">
              <w:rPr>
                <w:rStyle w:val="Italic"/>
              </w:rPr>
              <w:t> </w:t>
            </w:r>
          </w:p>
        </w:tc>
        <w:tc>
          <w:tcPr>
            <w:tcW w:w="1711" w:type="dxa"/>
            <w:shd w:val="clear" w:color="auto" w:fill="BFBFBF" w:themeFill="background1" w:themeFillShade="BF"/>
          </w:tcPr>
          <w:p w:rsidR="009640E2" w:rsidRPr="00295DBA" w:rsidP="009640E2" w14:paraId="79EE2E57" w14:textId="7F2C5519">
            <w:pPr>
              <w:pStyle w:val="TableTextLeft"/>
            </w:pPr>
            <w:r w:rsidRPr="00E41AE6">
              <w:rPr>
                <w:rStyle w:val="Italic"/>
              </w:rPr>
              <w:t> </w:t>
            </w:r>
          </w:p>
        </w:tc>
        <w:tc>
          <w:tcPr>
            <w:tcW w:w="4862" w:type="dxa"/>
          </w:tcPr>
          <w:p w:rsidR="009640E2" w:rsidRPr="00295DBA" w:rsidP="009640E2" w14:paraId="4174AE0D" w14:textId="004AC4D1">
            <w:pPr>
              <w:pStyle w:val="TableTextLeft"/>
            </w:pPr>
            <w:r w:rsidRPr="00E41AE6">
              <w:rPr>
                <w:rStyle w:val="Italic"/>
              </w:rPr>
              <w:t> </w:t>
            </w:r>
          </w:p>
        </w:tc>
      </w:tr>
      <w:tr w14:paraId="2428A95F" w14:textId="77777777" w:rsidTr="00683393">
        <w:tblPrEx>
          <w:tblW w:w="12960" w:type="dxa"/>
          <w:tblLayout w:type="fixed"/>
          <w:tblLook w:val="04A0"/>
        </w:tblPrEx>
        <w:trPr>
          <w:cantSplit/>
          <w:trHeight w:val="233"/>
        </w:trPr>
        <w:tc>
          <w:tcPr>
            <w:tcW w:w="4946" w:type="dxa"/>
          </w:tcPr>
          <w:p w:rsidR="009640E2" w:rsidRPr="00295DBA" w:rsidP="00457740" w14:paraId="137CDE6E" w14:textId="5A7297AA">
            <w:pPr>
              <w:pStyle w:val="TableTextLeftHang2"/>
            </w:pPr>
            <w:r>
              <w:t>5.2.1.d</w:t>
            </w:r>
            <w:r>
              <w:tab/>
            </w:r>
            <w:r w:rsidRPr="006F4041">
              <w:t>Individual consent being electronically captured and made accessible to patients and all members of the care team</w:t>
            </w:r>
          </w:p>
        </w:tc>
        <w:tc>
          <w:tcPr>
            <w:tcW w:w="1441" w:type="dxa"/>
          </w:tcPr>
          <w:p w:rsidR="009640E2" w:rsidRPr="00295DBA" w:rsidP="009640E2" w14:paraId="386DEE04" w14:textId="7D98750D">
            <w:pPr>
              <w:pStyle w:val="TableTextLeft"/>
            </w:pPr>
            <w:r w:rsidRPr="00E41AE6">
              <w:rPr>
                <w:rStyle w:val="Italic"/>
              </w:rPr>
              <w:t> </w:t>
            </w:r>
          </w:p>
        </w:tc>
        <w:tc>
          <w:tcPr>
            <w:tcW w:w="1711" w:type="dxa"/>
            <w:shd w:val="clear" w:color="auto" w:fill="BFBFBF" w:themeFill="background1" w:themeFillShade="BF"/>
          </w:tcPr>
          <w:p w:rsidR="009640E2" w:rsidRPr="00295DBA" w:rsidP="009640E2" w14:paraId="6C50D0F0" w14:textId="62C9993D">
            <w:pPr>
              <w:pStyle w:val="TableTextLeft"/>
            </w:pPr>
            <w:r w:rsidRPr="00E41AE6">
              <w:rPr>
                <w:rStyle w:val="Italic"/>
              </w:rPr>
              <w:t> </w:t>
            </w:r>
          </w:p>
        </w:tc>
        <w:tc>
          <w:tcPr>
            <w:tcW w:w="4862" w:type="dxa"/>
          </w:tcPr>
          <w:p w:rsidR="009640E2" w:rsidRPr="00295DBA" w:rsidP="009640E2" w14:paraId="736C7DF2" w14:textId="4F6D3AC0">
            <w:pPr>
              <w:pStyle w:val="TableTextLeft"/>
            </w:pPr>
            <w:r w:rsidRPr="00E41AE6">
              <w:rPr>
                <w:rStyle w:val="Italic"/>
              </w:rPr>
              <w:t> </w:t>
            </w:r>
          </w:p>
        </w:tc>
      </w:tr>
      <w:tr w14:paraId="5163E542" w14:textId="77777777" w:rsidTr="00683393">
        <w:tblPrEx>
          <w:tblW w:w="12960" w:type="dxa"/>
          <w:tblLayout w:type="fixed"/>
          <w:tblLook w:val="04A0"/>
        </w:tblPrEx>
        <w:trPr>
          <w:cantSplit/>
          <w:trHeight w:val="233"/>
        </w:trPr>
        <w:tc>
          <w:tcPr>
            <w:tcW w:w="4946" w:type="dxa"/>
          </w:tcPr>
          <w:p w:rsidR="009640E2" w:rsidRPr="00295DBA" w:rsidP="00457740" w14:paraId="6134E7B2" w14:textId="79314B37">
            <w:pPr>
              <w:pStyle w:val="TableTextLeftHang2"/>
            </w:pPr>
            <w:r>
              <w:t>5.2.1.e</w:t>
            </w:r>
            <w:r>
              <w:tab/>
            </w:r>
            <w:r w:rsidRPr="006F4041">
              <w:t>Intake, assessment and screening tools being part of a structured data capture process so that this information is interoperable with the rest of the health IT ecosystem</w:t>
            </w:r>
          </w:p>
        </w:tc>
        <w:tc>
          <w:tcPr>
            <w:tcW w:w="1441" w:type="dxa"/>
          </w:tcPr>
          <w:p w:rsidR="009640E2" w:rsidRPr="00295DBA" w:rsidP="009640E2" w14:paraId="45A97540" w14:textId="5CCF5DBF">
            <w:pPr>
              <w:pStyle w:val="TableTextLeft"/>
            </w:pPr>
            <w:r w:rsidRPr="00E41AE6">
              <w:rPr>
                <w:rStyle w:val="Italic"/>
              </w:rPr>
              <w:t> </w:t>
            </w:r>
          </w:p>
        </w:tc>
        <w:tc>
          <w:tcPr>
            <w:tcW w:w="1711" w:type="dxa"/>
            <w:shd w:val="clear" w:color="auto" w:fill="BFBFBF" w:themeFill="background1" w:themeFillShade="BF"/>
          </w:tcPr>
          <w:p w:rsidR="009640E2" w:rsidRPr="00295DBA" w:rsidP="009640E2" w14:paraId="1103ED12" w14:textId="6B08AE6C">
            <w:pPr>
              <w:pStyle w:val="TableTextLeft"/>
            </w:pPr>
            <w:r w:rsidRPr="00E41AE6">
              <w:rPr>
                <w:rStyle w:val="Italic"/>
              </w:rPr>
              <w:t> </w:t>
            </w:r>
          </w:p>
        </w:tc>
        <w:tc>
          <w:tcPr>
            <w:tcW w:w="4862" w:type="dxa"/>
          </w:tcPr>
          <w:p w:rsidR="009640E2" w:rsidRPr="00295DBA" w:rsidP="009640E2" w14:paraId="5EAA96B1" w14:textId="2C73B3C4">
            <w:pPr>
              <w:pStyle w:val="TableTextLeft"/>
            </w:pPr>
            <w:r w:rsidRPr="00E41AE6">
              <w:rPr>
                <w:rStyle w:val="Italic"/>
              </w:rPr>
              <w:t> </w:t>
            </w:r>
          </w:p>
        </w:tc>
      </w:tr>
      <w:tr w14:paraId="0E243A66" w14:textId="77777777" w:rsidTr="00683393">
        <w:tblPrEx>
          <w:tblW w:w="12960" w:type="dxa"/>
          <w:tblLayout w:type="fixed"/>
          <w:tblLook w:val="04A0"/>
        </w:tblPrEx>
        <w:trPr>
          <w:cantSplit/>
          <w:trHeight w:val="233"/>
        </w:trPr>
        <w:tc>
          <w:tcPr>
            <w:tcW w:w="4946" w:type="dxa"/>
          </w:tcPr>
          <w:p w:rsidR="009640E2" w:rsidRPr="00295DBA" w:rsidP="00457740" w14:paraId="0E85C7C4" w14:textId="731F83D9">
            <w:pPr>
              <w:pStyle w:val="TableTextLeftHang2"/>
            </w:pPr>
            <w:r>
              <w:t>5.2.1.f</w:t>
            </w:r>
            <w:r>
              <w:tab/>
            </w:r>
            <w:r w:rsidRPr="005A63A3">
              <w:t>Telehealth technologies supporting collaborative care by facilitating broader availability of integrated mental health care and primary care</w:t>
            </w:r>
          </w:p>
        </w:tc>
        <w:tc>
          <w:tcPr>
            <w:tcW w:w="1441" w:type="dxa"/>
          </w:tcPr>
          <w:p w:rsidR="009640E2" w:rsidRPr="00295DBA" w:rsidP="009640E2" w14:paraId="3D4D7342" w14:textId="232E2DB2">
            <w:pPr>
              <w:pStyle w:val="TableTextLeft"/>
            </w:pPr>
            <w:r w:rsidRPr="00165715">
              <w:rPr>
                <w:rStyle w:val="Italic"/>
              </w:rPr>
              <w:t> </w:t>
            </w:r>
          </w:p>
        </w:tc>
        <w:tc>
          <w:tcPr>
            <w:tcW w:w="1711" w:type="dxa"/>
            <w:shd w:val="clear" w:color="auto" w:fill="BFBFBF" w:themeFill="background1" w:themeFillShade="BF"/>
          </w:tcPr>
          <w:p w:rsidR="009640E2" w:rsidRPr="00295DBA" w:rsidP="009640E2" w14:paraId="5F4B88A3" w14:textId="429A7432">
            <w:pPr>
              <w:pStyle w:val="TableTextLeft"/>
            </w:pPr>
            <w:r w:rsidRPr="00165715">
              <w:rPr>
                <w:rStyle w:val="Italic"/>
              </w:rPr>
              <w:t> </w:t>
            </w:r>
          </w:p>
        </w:tc>
        <w:tc>
          <w:tcPr>
            <w:tcW w:w="4862" w:type="dxa"/>
          </w:tcPr>
          <w:p w:rsidR="009640E2" w:rsidRPr="00295DBA" w:rsidP="009640E2" w14:paraId="6FC5B100" w14:textId="626623C4">
            <w:pPr>
              <w:pStyle w:val="TableTextLeft"/>
            </w:pPr>
            <w:r w:rsidRPr="00165715">
              <w:rPr>
                <w:rStyle w:val="Italic"/>
              </w:rPr>
              <w:t> </w:t>
            </w:r>
          </w:p>
        </w:tc>
      </w:tr>
      <w:tr w14:paraId="19C5BE79" w14:textId="77777777" w:rsidTr="00683393">
        <w:tblPrEx>
          <w:tblW w:w="12960" w:type="dxa"/>
          <w:tblLayout w:type="fixed"/>
          <w:tblLook w:val="04A0"/>
        </w:tblPrEx>
        <w:trPr>
          <w:cantSplit/>
          <w:trHeight w:val="233"/>
        </w:trPr>
        <w:tc>
          <w:tcPr>
            <w:tcW w:w="4946" w:type="dxa"/>
          </w:tcPr>
          <w:p w:rsidR="009640E2" w:rsidP="00457740" w14:paraId="29CEB0A5" w14:textId="1B121A3D">
            <w:pPr>
              <w:pStyle w:val="TableTextLeftHang2"/>
            </w:pPr>
            <w:r>
              <w:t>5.2.1.g</w:t>
            </w:r>
            <w:r>
              <w:tab/>
            </w:r>
            <w:r w:rsidRPr="00876D8D">
              <w:t>Alerting/analytics</w:t>
            </w:r>
          </w:p>
        </w:tc>
        <w:tc>
          <w:tcPr>
            <w:tcW w:w="1441" w:type="dxa"/>
          </w:tcPr>
          <w:p w:rsidR="009640E2" w:rsidRPr="00295DBA" w:rsidP="009640E2" w14:paraId="795B6056" w14:textId="3D9BCDAC">
            <w:pPr>
              <w:pStyle w:val="TableTextLeft"/>
            </w:pPr>
            <w:r w:rsidRPr="00165715">
              <w:rPr>
                <w:rStyle w:val="Italic"/>
              </w:rPr>
              <w:t> </w:t>
            </w:r>
          </w:p>
        </w:tc>
        <w:tc>
          <w:tcPr>
            <w:tcW w:w="1711" w:type="dxa"/>
            <w:shd w:val="clear" w:color="auto" w:fill="BFBFBF" w:themeFill="background1" w:themeFillShade="BF"/>
          </w:tcPr>
          <w:p w:rsidR="009640E2" w:rsidRPr="00295DBA" w:rsidP="009640E2" w14:paraId="418BBE80" w14:textId="3A6867B3">
            <w:pPr>
              <w:pStyle w:val="TableTextLeft"/>
            </w:pPr>
            <w:r w:rsidRPr="00165715">
              <w:rPr>
                <w:rStyle w:val="Italic"/>
              </w:rPr>
              <w:t> </w:t>
            </w:r>
          </w:p>
        </w:tc>
        <w:tc>
          <w:tcPr>
            <w:tcW w:w="4862" w:type="dxa"/>
          </w:tcPr>
          <w:p w:rsidR="009640E2" w:rsidRPr="00295DBA" w:rsidP="009640E2" w14:paraId="291806B3" w14:textId="0376F092">
            <w:pPr>
              <w:pStyle w:val="TableTextLeft"/>
            </w:pPr>
            <w:r w:rsidRPr="00165715">
              <w:rPr>
                <w:rStyle w:val="Italic"/>
              </w:rPr>
              <w:t> </w:t>
            </w:r>
          </w:p>
        </w:tc>
      </w:tr>
      <w:tr w14:paraId="476C4B9C" w14:textId="77777777" w:rsidTr="00683393">
        <w:tblPrEx>
          <w:tblW w:w="12960" w:type="dxa"/>
          <w:tblLayout w:type="fixed"/>
          <w:tblLook w:val="04A0"/>
        </w:tblPrEx>
        <w:trPr>
          <w:cantSplit/>
          <w:trHeight w:val="233"/>
        </w:trPr>
        <w:tc>
          <w:tcPr>
            <w:tcW w:w="4946" w:type="dxa"/>
          </w:tcPr>
          <w:p w:rsidR="009640E2" w:rsidRPr="00295DBA" w:rsidP="00457740" w14:paraId="4EBE04A1" w14:textId="20855A1F">
            <w:pPr>
              <w:pStyle w:val="TableTextLeftHang2"/>
            </w:pPr>
            <w:r>
              <w:t>5.2.1.h</w:t>
            </w:r>
            <w:r>
              <w:tab/>
              <w:t>Identity management</w:t>
            </w:r>
          </w:p>
        </w:tc>
        <w:tc>
          <w:tcPr>
            <w:tcW w:w="1441" w:type="dxa"/>
          </w:tcPr>
          <w:p w:rsidR="009640E2" w:rsidRPr="00295DBA" w:rsidP="009640E2" w14:paraId="6AC46B8D" w14:textId="1D2E0851">
            <w:pPr>
              <w:pStyle w:val="TableTextLeft"/>
            </w:pPr>
            <w:r w:rsidRPr="00165715">
              <w:rPr>
                <w:rStyle w:val="Italic"/>
              </w:rPr>
              <w:t> </w:t>
            </w:r>
          </w:p>
        </w:tc>
        <w:tc>
          <w:tcPr>
            <w:tcW w:w="1711" w:type="dxa"/>
            <w:shd w:val="clear" w:color="auto" w:fill="BFBFBF" w:themeFill="background1" w:themeFillShade="BF"/>
          </w:tcPr>
          <w:p w:rsidR="009640E2" w:rsidRPr="00295DBA" w:rsidP="009640E2" w14:paraId="0C5F02FA" w14:textId="525F1E16">
            <w:pPr>
              <w:pStyle w:val="TableTextLeft"/>
            </w:pPr>
            <w:r w:rsidRPr="00165715">
              <w:rPr>
                <w:rStyle w:val="Italic"/>
              </w:rPr>
              <w:t> </w:t>
            </w:r>
          </w:p>
        </w:tc>
        <w:tc>
          <w:tcPr>
            <w:tcW w:w="4862" w:type="dxa"/>
          </w:tcPr>
          <w:p w:rsidR="009640E2" w:rsidRPr="00295DBA" w:rsidP="009640E2" w14:paraId="3401E2F3" w14:textId="04F7C6C4">
            <w:pPr>
              <w:pStyle w:val="TableTextLeft"/>
            </w:pPr>
            <w:r w:rsidRPr="00165715">
              <w:rPr>
                <w:rStyle w:val="Italic"/>
              </w:rPr>
              <w:t> </w:t>
            </w:r>
          </w:p>
        </w:tc>
      </w:tr>
      <w:tr w14:paraId="4D87F564" w14:textId="77777777" w:rsidTr="00683393">
        <w:tblPrEx>
          <w:tblW w:w="12960" w:type="dxa"/>
          <w:tblLayout w:type="fixed"/>
          <w:tblLook w:val="04A0"/>
        </w:tblPrEx>
        <w:trPr>
          <w:cantSplit/>
          <w:trHeight w:val="233"/>
        </w:trPr>
        <w:tc>
          <w:tcPr>
            <w:tcW w:w="4946" w:type="dxa"/>
            <w:hideMark/>
          </w:tcPr>
          <w:p w:rsidR="009640E2" w:rsidRPr="00295DBA" w:rsidP="009640E2" w14:paraId="70616A3D" w14:textId="7DA9A34C">
            <w:pPr>
              <w:pStyle w:val="TableTextLeftHang"/>
            </w:pPr>
            <w:r w:rsidRPr="00295DBA">
              <w:t xml:space="preserve">5.2.2 </w:t>
            </w:r>
            <w:r>
              <w:tab/>
            </w:r>
            <w:r w:rsidRPr="00295DBA">
              <w:t xml:space="preserve">The state expects to make other program changes that may affect metrics related to </w:t>
            </w:r>
            <w:r>
              <w:t>health IT</w:t>
            </w:r>
          </w:p>
        </w:tc>
        <w:tc>
          <w:tcPr>
            <w:tcW w:w="1441" w:type="dxa"/>
            <w:hideMark/>
          </w:tcPr>
          <w:p w:rsidR="009640E2" w:rsidRPr="00295DBA" w:rsidP="009640E2" w14:paraId="6435A709" w14:textId="0335D0DE">
            <w:pPr>
              <w:pStyle w:val="TableTextLeft"/>
            </w:pPr>
            <w:r w:rsidRPr="00165715">
              <w:rPr>
                <w:rStyle w:val="Italic"/>
              </w:rPr>
              <w:t> </w:t>
            </w:r>
          </w:p>
        </w:tc>
        <w:tc>
          <w:tcPr>
            <w:tcW w:w="1711" w:type="dxa"/>
            <w:shd w:val="clear" w:color="auto" w:fill="BFBFBF" w:themeFill="background1" w:themeFillShade="BF"/>
            <w:hideMark/>
          </w:tcPr>
          <w:p w:rsidR="009640E2" w:rsidRPr="00295DBA" w:rsidP="009640E2" w14:paraId="7955EE4A" w14:textId="1C93851B">
            <w:pPr>
              <w:pStyle w:val="TableTextLeft"/>
            </w:pPr>
            <w:r w:rsidRPr="00165715">
              <w:rPr>
                <w:rStyle w:val="Italic"/>
              </w:rPr>
              <w:t> </w:t>
            </w:r>
          </w:p>
        </w:tc>
        <w:tc>
          <w:tcPr>
            <w:tcW w:w="4862" w:type="dxa"/>
            <w:hideMark/>
          </w:tcPr>
          <w:p w:rsidR="009640E2" w:rsidRPr="00295DBA" w:rsidP="009640E2" w14:paraId="70A38DE8" w14:textId="472FB53C">
            <w:pPr>
              <w:pStyle w:val="TableTextLeft"/>
            </w:pPr>
            <w:r w:rsidRPr="00165715">
              <w:rPr>
                <w:rStyle w:val="Italic"/>
              </w:rPr>
              <w:t> </w:t>
            </w:r>
          </w:p>
        </w:tc>
      </w:tr>
      <w:tr w14:paraId="219152EA" w14:textId="77777777" w:rsidTr="00683393">
        <w:tblPrEx>
          <w:tblW w:w="12960" w:type="dxa"/>
          <w:tblLayout w:type="fixed"/>
          <w:tblLook w:val="04A0"/>
        </w:tblPrEx>
        <w:trPr>
          <w:cantSplit/>
          <w:trHeight w:val="220"/>
        </w:trPr>
        <w:tc>
          <w:tcPr>
            <w:tcW w:w="12960" w:type="dxa"/>
            <w:gridSpan w:val="4"/>
            <w:shd w:val="clear" w:color="auto" w:fill="BFBFBF" w:themeFill="background1" w:themeFillShade="BF"/>
            <w:hideMark/>
          </w:tcPr>
          <w:p w:rsidR="006F4041" w:rsidRPr="00295DBA" w:rsidP="006F4041" w14:paraId="73DDDDC2" w14:textId="4F6C7BDD">
            <w:pPr>
              <w:pStyle w:val="TableRowHead"/>
            </w:pPr>
            <w:r w:rsidRPr="00295DBA">
              <w:t>6.</w:t>
            </w:r>
            <w:r>
              <w:tab/>
            </w:r>
            <w:r w:rsidR="00876D8D">
              <w:t>Other SMI/SED-related metrics</w:t>
            </w:r>
          </w:p>
        </w:tc>
      </w:tr>
      <w:tr w14:paraId="684E5906" w14:textId="77777777" w:rsidTr="00683393">
        <w:tblPrEx>
          <w:tblW w:w="12960" w:type="dxa"/>
          <w:tblLayout w:type="fixed"/>
          <w:tblLook w:val="04A0"/>
        </w:tblPrEx>
        <w:trPr>
          <w:cantSplit/>
          <w:trHeight w:val="220"/>
        </w:trPr>
        <w:tc>
          <w:tcPr>
            <w:tcW w:w="12960" w:type="dxa"/>
            <w:gridSpan w:val="4"/>
            <w:shd w:val="clear" w:color="auto" w:fill="D9D9D9"/>
            <w:hideMark/>
          </w:tcPr>
          <w:p w:rsidR="006F4041" w:rsidRPr="00295DBA" w:rsidP="006F4041" w14:paraId="5F26A32A" w14:textId="77777777">
            <w:pPr>
              <w:pStyle w:val="TableRowHead2"/>
            </w:pPr>
            <w:r w:rsidRPr="00295DBA">
              <w:t>6.1</w:t>
            </w:r>
            <w:r>
              <w:tab/>
            </w:r>
            <w:r w:rsidRPr="00295DBA">
              <w:t>Metric trends</w:t>
            </w:r>
          </w:p>
        </w:tc>
      </w:tr>
      <w:tr w14:paraId="5326DCFC" w14:textId="77777777" w:rsidTr="00683393">
        <w:tblPrEx>
          <w:tblW w:w="12960" w:type="dxa"/>
          <w:tblLayout w:type="fixed"/>
          <w:tblLook w:val="04A0"/>
        </w:tblPrEx>
        <w:trPr>
          <w:cantSplit/>
          <w:trHeight w:val="220"/>
        </w:trPr>
        <w:tc>
          <w:tcPr>
            <w:tcW w:w="4946" w:type="dxa"/>
            <w:shd w:val="clear" w:color="auto" w:fill="auto"/>
            <w:hideMark/>
          </w:tcPr>
          <w:p w:rsidR="009640E2" w:rsidRPr="00295DBA" w:rsidP="009640E2" w14:paraId="20BA220F" w14:textId="313E6FD6">
            <w:pPr>
              <w:pStyle w:val="TableTextLeftHang"/>
            </w:pPr>
            <w:r w:rsidRPr="00295DBA">
              <w:t>6.1</w:t>
            </w:r>
            <w:r>
              <w:t>.1</w:t>
            </w:r>
            <w:r>
              <w:tab/>
            </w:r>
            <w:r w:rsidRPr="00295DBA">
              <w:t xml:space="preserve">The state reports the following metric trends, including all changes (+ or -) greater than 2 percent related to </w:t>
            </w:r>
            <w:r w:rsidRPr="005A63A3">
              <w:rPr>
                <w:szCs w:val="20"/>
              </w:rPr>
              <w:t>other SMI/SED-related metrics</w:t>
            </w:r>
          </w:p>
        </w:tc>
        <w:tc>
          <w:tcPr>
            <w:tcW w:w="1441" w:type="dxa"/>
            <w:shd w:val="clear" w:color="auto" w:fill="auto"/>
            <w:hideMark/>
          </w:tcPr>
          <w:p w:rsidR="009640E2" w:rsidRPr="00295DBA" w:rsidP="009640E2" w14:paraId="1FB95BFD" w14:textId="30641BCD">
            <w:pPr>
              <w:pStyle w:val="TableTextLeft"/>
            </w:pPr>
            <w:r w:rsidRPr="00C02CB2">
              <w:rPr>
                <w:rStyle w:val="Italic"/>
              </w:rPr>
              <w:t> </w:t>
            </w:r>
          </w:p>
        </w:tc>
        <w:tc>
          <w:tcPr>
            <w:tcW w:w="1711" w:type="dxa"/>
            <w:shd w:val="clear" w:color="auto" w:fill="auto"/>
            <w:hideMark/>
          </w:tcPr>
          <w:p w:rsidR="009640E2" w:rsidRPr="00295DBA" w:rsidP="009640E2" w14:paraId="250AB7C7" w14:textId="7D186C1E">
            <w:pPr>
              <w:pStyle w:val="TableTextLeft"/>
            </w:pPr>
            <w:r w:rsidRPr="00C02CB2">
              <w:rPr>
                <w:rStyle w:val="Italic"/>
              </w:rPr>
              <w:t> </w:t>
            </w:r>
          </w:p>
        </w:tc>
        <w:tc>
          <w:tcPr>
            <w:tcW w:w="4862" w:type="dxa"/>
            <w:shd w:val="clear" w:color="auto" w:fill="auto"/>
            <w:hideMark/>
          </w:tcPr>
          <w:p w:rsidR="009640E2" w:rsidRPr="00295DBA" w:rsidP="009640E2" w14:paraId="27390FFB" w14:textId="5EF7B1B4">
            <w:pPr>
              <w:pStyle w:val="TableTextLeft"/>
            </w:pPr>
            <w:r w:rsidRPr="00C02CB2">
              <w:rPr>
                <w:rStyle w:val="Italic"/>
              </w:rPr>
              <w:t> </w:t>
            </w:r>
          </w:p>
        </w:tc>
      </w:tr>
      <w:tr w14:paraId="1EC6C09D" w14:textId="77777777" w:rsidTr="00683393">
        <w:tblPrEx>
          <w:tblW w:w="12960" w:type="dxa"/>
          <w:tblLayout w:type="fixed"/>
          <w:tblLook w:val="04A0"/>
        </w:tblPrEx>
        <w:trPr>
          <w:cantSplit/>
          <w:trHeight w:val="220"/>
        </w:trPr>
        <w:tc>
          <w:tcPr>
            <w:tcW w:w="12960" w:type="dxa"/>
            <w:gridSpan w:val="4"/>
            <w:shd w:val="clear" w:color="auto" w:fill="D9D9D9"/>
            <w:hideMark/>
          </w:tcPr>
          <w:p w:rsidR="006F4041" w:rsidRPr="00295DBA" w:rsidP="006F4041" w14:paraId="14F8905B" w14:textId="77777777">
            <w:pPr>
              <w:pStyle w:val="TableRowHead2"/>
            </w:pPr>
            <w:r w:rsidRPr="00295DBA">
              <w:t>6.2</w:t>
            </w:r>
            <w:r>
              <w:tab/>
            </w:r>
            <w:r w:rsidRPr="00295DBA">
              <w:t>Implementation update</w:t>
            </w:r>
          </w:p>
        </w:tc>
      </w:tr>
      <w:tr w14:paraId="15EAD161" w14:textId="77777777" w:rsidTr="00683393">
        <w:tblPrEx>
          <w:tblW w:w="12960" w:type="dxa"/>
          <w:tblLayout w:type="fixed"/>
          <w:tblLook w:val="04A0"/>
        </w:tblPrEx>
        <w:trPr>
          <w:cantSplit/>
          <w:trHeight w:val="220"/>
        </w:trPr>
        <w:tc>
          <w:tcPr>
            <w:tcW w:w="4946" w:type="dxa"/>
            <w:hideMark/>
          </w:tcPr>
          <w:p w:rsidR="009640E2" w:rsidRPr="00295DBA" w:rsidP="009640E2" w14:paraId="7DAF6563" w14:textId="611E8E89">
            <w:pPr>
              <w:pStyle w:val="TableTextLeftHang"/>
            </w:pPr>
            <w:r w:rsidRPr="00295DBA">
              <w:t xml:space="preserve">6.2.1 </w:t>
            </w:r>
            <w:r>
              <w:tab/>
            </w:r>
            <w:r w:rsidRPr="005A63A3">
              <w:rPr>
                <w:szCs w:val="20"/>
              </w:rPr>
              <w:t>The state expects to make the following program changes that may affect other SMI/SED-related metrics</w:t>
            </w:r>
          </w:p>
        </w:tc>
        <w:tc>
          <w:tcPr>
            <w:tcW w:w="1441" w:type="dxa"/>
            <w:hideMark/>
          </w:tcPr>
          <w:p w:rsidR="009640E2" w:rsidRPr="00295DBA" w:rsidP="009640E2" w14:paraId="4CD18AD7" w14:textId="12113748">
            <w:pPr>
              <w:pStyle w:val="TableTextLeft"/>
            </w:pPr>
            <w:r w:rsidRPr="006A7378">
              <w:rPr>
                <w:rStyle w:val="Italic"/>
              </w:rPr>
              <w:t> </w:t>
            </w:r>
          </w:p>
        </w:tc>
        <w:tc>
          <w:tcPr>
            <w:tcW w:w="1711" w:type="dxa"/>
            <w:shd w:val="clear" w:color="auto" w:fill="BFBFBF" w:themeFill="background1" w:themeFillShade="BF"/>
            <w:hideMark/>
          </w:tcPr>
          <w:p w:rsidR="009640E2" w:rsidRPr="00295DBA" w:rsidP="009640E2" w14:paraId="1DC827F5" w14:textId="5E7A2397">
            <w:pPr>
              <w:pStyle w:val="TableTextLeft"/>
            </w:pPr>
            <w:r w:rsidRPr="006A7378">
              <w:rPr>
                <w:rStyle w:val="Italic"/>
              </w:rPr>
              <w:t> </w:t>
            </w:r>
          </w:p>
        </w:tc>
        <w:tc>
          <w:tcPr>
            <w:tcW w:w="4862" w:type="dxa"/>
            <w:hideMark/>
          </w:tcPr>
          <w:p w:rsidR="009640E2" w:rsidRPr="00295DBA" w:rsidP="009640E2" w14:paraId="22B1B148" w14:textId="334D7B0B">
            <w:pPr>
              <w:pStyle w:val="TableTextLeft"/>
            </w:pPr>
            <w:r w:rsidRPr="006A7378">
              <w:rPr>
                <w:rStyle w:val="Italic"/>
              </w:rPr>
              <w:t> </w:t>
            </w:r>
          </w:p>
        </w:tc>
      </w:tr>
    </w:tbl>
    <w:p w:rsidR="00853659" w14:paraId="0E6A91E9" w14:textId="77777777">
      <w:pPr>
        <w:spacing w:before="0" w:after="160" w:line="259" w:lineRule="auto"/>
        <w:rPr>
          <w:rFonts w:asciiTheme="majorHAnsi" w:eastAsiaTheme="majorEastAsia" w:hAnsiTheme="majorHAnsi" w:cstheme="majorBidi"/>
          <w:b/>
          <w:color w:val="000000" w:themeColor="text2"/>
          <w:sz w:val="28"/>
          <w:szCs w:val="32"/>
        </w:rPr>
      </w:pPr>
      <w:bookmarkStart w:id="22" w:name="_Hlk37770197"/>
      <w:bookmarkEnd w:id="21"/>
      <w:r>
        <w:br w:type="page"/>
      </w:r>
    </w:p>
    <w:p w:rsidR="008F7153" w:rsidRPr="00612949" w:rsidP="00612949" w14:paraId="296C5FF4" w14:textId="732E7241">
      <w:pPr>
        <w:pStyle w:val="H1"/>
      </w:pPr>
      <w:r w:rsidRPr="00612949">
        <w:t>4.</w:t>
      </w:r>
      <w:r w:rsidRPr="00612949">
        <w:tab/>
        <w:t>Narrative information on other reporting topic</w:t>
      </w:r>
      <w:r w:rsidR="00F84062">
        <w:t>s</w:t>
      </w:r>
    </w:p>
    <w:tbl>
      <w:tblPr>
        <w:tblStyle w:val="1115Report"/>
        <w:tblCaption w:val="Narrative Information on Implementation, by Milestone and Reporting Topic"/>
        <w:tblW w:w="5000" w:type="pct"/>
        <w:tblBorders>
          <w:top w:val="single" w:sz="4" w:space="0" w:color="auto"/>
          <w:left w:val="single" w:sz="4" w:space="0" w:color="auto"/>
          <w:right w:val="single" w:sz="4" w:space="0" w:color="auto"/>
          <w:insideH w:val="single" w:sz="4" w:space="0" w:color="auto"/>
          <w:insideV w:val="single" w:sz="4" w:space="0" w:color="auto"/>
        </w:tblBorders>
        <w:tblLook w:val="04A0"/>
      </w:tblPr>
      <w:tblGrid>
        <w:gridCol w:w="4944"/>
        <w:gridCol w:w="1440"/>
        <w:gridCol w:w="6566"/>
      </w:tblGrid>
      <w:tr w14:paraId="1200FC97" w14:textId="77777777" w:rsidTr="00457740">
        <w:tblPrEx>
          <w:tblW w:w="5000" w:type="pct"/>
          <w:tblBorders>
            <w:top w:val="single" w:sz="4" w:space="0" w:color="auto"/>
            <w:left w:val="single" w:sz="4" w:space="0" w:color="auto"/>
            <w:right w:val="single" w:sz="4" w:space="0" w:color="auto"/>
            <w:insideH w:val="single" w:sz="4" w:space="0" w:color="auto"/>
            <w:insideV w:val="single" w:sz="4" w:space="0" w:color="auto"/>
          </w:tblBorders>
          <w:tblLook w:val="04A0"/>
        </w:tblPrEx>
        <w:trPr>
          <w:cantSplit/>
          <w:trHeight w:val="638"/>
          <w:tblHeader/>
        </w:trPr>
        <w:tc>
          <w:tcPr>
            <w:tcW w:w="1909" w:type="pct"/>
            <w:hideMark/>
          </w:tcPr>
          <w:bookmarkEnd w:id="22"/>
          <w:p w:rsidR="008A24F8" w:rsidRPr="00422D16" w:rsidP="008A24F8" w14:paraId="3DA9D1FB" w14:textId="77777777">
            <w:pPr>
              <w:pStyle w:val="TableHeaderCenter"/>
              <w:jc w:val="left"/>
            </w:pPr>
            <w:r w:rsidRPr="00422D16">
              <w:t>Prompts</w:t>
            </w:r>
          </w:p>
        </w:tc>
        <w:tc>
          <w:tcPr>
            <w:tcW w:w="556" w:type="pct"/>
            <w:hideMark/>
          </w:tcPr>
          <w:p w:rsidR="008A24F8" w:rsidRPr="00422D16" w:rsidP="00F904B3" w14:paraId="703D2A00" w14:textId="26075F64">
            <w:pPr>
              <w:pStyle w:val="TableHeaderCenter"/>
              <w:rPr>
                <w:b w:val="0"/>
              </w:rPr>
            </w:pPr>
            <w:r w:rsidRPr="00422D16">
              <w:t xml:space="preserve">State has no update to report </w:t>
            </w:r>
            <w:r w:rsidRPr="00422D16">
              <w:br/>
              <w:t>(</w:t>
            </w:r>
            <w:r>
              <w:t>p</w:t>
            </w:r>
            <w:r w:rsidRPr="00422D16">
              <w:t>lace an X)</w:t>
            </w:r>
          </w:p>
        </w:tc>
        <w:tc>
          <w:tcPr>
            <w:tcW w:w="2535" w:type="pct"/>
          </w:tcPr>
          <w:p w:rsidR="008A24F8" w:rsidRPr="00422D16" w:rsidP="00F904B3" w14:paraId="33670393" w14:textId="7C549009">
            <w:pPr>
              <w:pStyle w:val="TableHeaderCenter"/>
            </w:pPr>
            <w:r w:rsidRPr="001957DB">
              <w:t>State response</w:t>
            </w:r>
          </w:p>
        </w:tc>
      </w:tr>
      <w:tr w14:paraId="1530C892" w14:textId="77777777" w:rsidTr="00457740">
        <w:tblPrEx>
          <w:tblW w:w="5000" w:type="pct"/>
          <w:tblLook w:val="04A0"/>
        </w:tblPrEx>
        <w:trPr>
          <w:cantSplit/>
          <w:trHeight w:val="220"/>
        </w:trPr>
        <w:tc>
          <w:tcPr>
            <w:tcW w:w="5000" w:type="pct"/>
            <w:gridSpan w:val="3"/>
            <w:shd w:val="clear" w:color="auto" w:fill="BFBFBF" w:themeFill="background1" w:themeFillShade="BF"/>
            <w:hideMark/>
          </w:tcPr>
          <w:p w:rsidR="00DB0844" w:rsidRPr="00295DBA" w:rsidP="001957DB" w14:paraId="3CBF6274" w14:textId="77777777">
            <w:pPr>
              <w:pStyle w:val="TableRowHead"/>
              <w:pageBreakBefore w:val="0"/>
            </w:pPr>
            <w:bookmarkStart w:id="23" w:name="_Hlk58585482"/>
            <w:r w:rsidRPr="00295DBA">
              <w:t>7.</w:t>
            </w:r>
            <w:r>
              <w:tab/>
              <w:t>Annual Assessment of Availability of Mental Health Services (Annual Availability Assessment)</w:t>
            </w:r>
          </w:p>
        </w:tc>
      </w:tr>
      <w:tr w14:paraId="792FD384" w14:textId="77777777" w:rsidTr="00457740">
        <w:tblPrEx>
          <w:tblW w:w="5000" w:type="pct"/>
          <w:tblLook w:val="04A0"/>
        </w:tblPrEx>
        <w:trPr>
          <w:cantSplit/>
          <w:trHeight w:val="220"/>
        </w:trPr>
        <w:tc>
          <w:tcPr>
            <w:tcW w:w="5000" w:type="pct"/>
            <w:gridSpan w:val="3"/>
            <w:shd w:val="clear" w:color="auto" w:fill="D9D9D9"/>
            <w:hideMark/>
          </w:tcPr>
          <w:p w:rsidR="00DB0844" w:rsidRPr="00295DBA" w:rsidP="00916F9D" w14:paraId="0B8B4702" w14:textId="77777777">
            <w:pPr>
              <w:pStyle w:val="TableRowHead2"/>
            </w:pPr>
            <w:r w:rsidRPr="00295DBA">
              <w:t>7.1</w:t>
            </w:r>
            <w:r>
              <w:tab/>
              <w:t>Description of changes to baseline conditions and practices</w:t>
            </w:r>
          </w:p>
        </w:tc>
      </w:tr>
      <w:tr w14:paraId="60D096F6" w14:textId="77777777" w:rsidTr="00457740">
        <w:tblPrEx>
          <w:tblW w:w="5000" w:type="pct"/>
          <w:tblLook w:val="04A0"/>
        </w:tblPrEx>
        <w:trPr>
          <w:cantSplit/>
          <w:trHeight w:val="220"/>
        </w:trPr>
        <w:tc>
          <w:tcPr>
            <w:tcW w:w="1909" w:type="pct"/>
            <w:hideMark/>
          </w:tcPr>
          <w:p w:rsidR="008A24F8" w:rsidRPr="00A12166" w:rsidP="00A12166" w14:paraId="3AD26D35" w14:textId="77777777">
            <w:pPr>
              <w:pStyle w:val="TableTextLeftHang"/>
            </w:pPr>
            <w:r w:rsidRPr="00A12166">
              <w:t xml:space="preserve">7.1.1 </w:t>
            </w:r>
            <w:r w:rsidRPr="00A12166">
              <w:tab/>
              <w:t>Describe and explain any changes in the mental health service needs (for example, prevalence and distribution of SMI/SED) of Medicaid beneficiaries with SMI/SED compared to those described in the Initial Assessment of the Availability of Mental Health Services.  Recommended word count is 500 words or less</w:t>
            </w:r>
          </w:p>
        </w:tc>
        <w:tc>
          <w:tcPr>
            <w:tcW w:w="556" w:type="pct"/>
            <w:hideMark/>
          </w:tcPr>
          <w:p w:rsidR="008A24F8" w:rsidRPr="00295DBA" w:rsidP="00916F9D" w14:paraId="64D279FE" w14:textId="2F5BFDB8">
            <w:pPr>
              <w:pStyle w:val="TableTextLeft"/>
            </w:pPr>
            <w:r>
              <w:t> </w:t>
            </w:r>
          </w:p>
        </w:tc>
        <w:tc>
          <w:tcPr>
            <w:tcW w:w="2535" w:type="pct"/>
            <w:hideMark/>
          </w:tcPr>
          <w:p w:rsidR="008A24F8" w:rsidRPr="00295DBA" w:rsidP="00916F9D" w14:paraId="799EEBFF" w14:textId="5193D244">
            <w:pPr>
              <w:pStyle w:val="TableTextLeft"/>
            </w:pPr>
            <w:r>
              <w:t> </w:t>
            </w:r>
          </w:p>
        </w:tc>
      </w:tr>
      <w:tr w14:paraId="66E22B61" w14:textId="77777777" w:rsidTr="00457740">
        <w:tblPrEx>
          <w:tblW w:w="5000" w:type="pct"/>
          <w:tblLook w:val="04A0"/>
        </w:tblPrEx>
        <w:trPr>
          <w:cantSplit/>
          <w:trHeight w:val="220"/>
        </w:trPr>
        <w:tc>
          <w:tcPr>
            <w:tcW w:w="1909" w:type="pct"/>
          </w:tcPr>
          <w:p w:rsidR="00302414" w:rsidRPr="00A12166" w:rsidP="00A12166" w14:paraId="3D3C48FD" w14:textId="77777777">
            <w:pPr>
              <w:pStyle w:val="TableTextLeftHang"/>
            </w:pPr>
            <w:r w:rsidRPr="00A12166">
              <w:t xml:space="preserve">7.1.2 </w:t>
            </w:r>
            <w:r w:rsidRPr="00A12166">
              <w:tab/>
              <w:t>Describe and explain any changes to the organization of the state’s Medicaid behavioral health service delivery system compared to those described in the Initial Assessment of the Availability of Mental Health Services.  Recommended word count is 500 words or less</w:t>
            </w:r>
          </w:p>
        </w:tc>
        <w:tc>
          <w:tcPr>
            <w:tcW w:w="556" w:type="pct"/>
          </w:tcPr>
          <w:p w:rsidR="00302414" w:rsidRPr="00295DBA" w:rsidP="00302414" w14:paraId="518AA79F" w14:textId="00FA3BAD">
            <w:pPr>
              <w:pStyle w:val="TableTextLeft"/>
            </w:pPr>
            <w:r>
              <w:t> </w:t>
            </w:r>
          </w:p>
        </w:tc>
        <w:tc>
          <w:tcPr>
            <w:tcW w:w="2535" w:type="pct"/>
          </w:tcPr>
          <w:p w:rsidR="00302414" w:rsidRPr="00295DBA" w:rsidP="00302414" w14:paraId="4F4D632A" w14:textId="1AD006C9">
            <w:pPr>
              <w:pStyle w:val="TableTextLeft"/>
            </w:pPr>
            <w:r>
              <w:t> </w:t>
            </w:r>
          </w:p>
        </w:tc>
      </w:tr>
      <w:tr w14:paraId="4CCDA523" w14:textId="77777777" w:rsidTr="00457740">
        <w:tblPrEx>
          <w:tblW w:w="5000" w:type="pct"/>
          <w:tblLook w:val="04A0"/>
        </w:tblPrEx>
        <w:trPr>
          <w:cantSplit/>
          <w:trHeight w:val="220"/>
        </w:trPr>
        <w:tc>
          <w:tcPr>
            <w:tcW w:w="1909" w:type="pct"/>
          </w:tcPr>
          <w:p w:rsidR="00302414" w:rsidRPr="00A12166" w:rsidP="00A12166" w14:paraId="0DA72260" w14:textId="77777777">
            <w:pPr>
              <w:pStyle w:val="TableTextLeftHang"/>
            </w:pPr>
            <w:r w:rsidRPr="00A12166">
              <w:t xml:space="preserve">7.1.3 </w:t>
            </w:r>
            <w:r w:rsidRPr="00A12166">
              <w:tab/>
              <w:t>Describe and explain any changes in the availability of mental health services for Medicaid beneficiaries with SMI/SED in the state compared to those described in the Initial Assessment of the Availability of Mental Health Services.  At minimum, explain any changes across the state in the availability of the following services: inpatient mental health services; outpatient and community-based services; crisis behavioral health services; and care coordination and care transition planning.  Recommended word count is 500 words or less</w:t>
            </w:r>
          </w:p>
        </w:tc>
        <w:tc>
          <w:tcPr>
            <w:tcW w:w="556" w:type="pct"/>
          </w:tcPr>
          <w:p w:rsidR="00302414" w:rsidRPr="00295DBA" w:rsidP="00302414" w14:paraId="73F63973" w14:textId="39A10392">
            <w:pPr>
              <w:pStyle w:val="TableTextLeft"/>
            </w:pPr>
            <w:r>
              <w:t> </w:t>
            </w:r>
          </w:p>
        </w:tc>
        <w:tc>
          <w:tcPr>
            <w:tcW w:w="2535" w:type="pct"/>
          </w:tcPr>
          <w:p w:rsidR="00302414" w:rsidRPr="00295DBA" w:rsidP="00302414" w14:paraId="4806ED62" w14:textId="7112C001">
            <w:pPr>
              <w:pStyle w:val="TableTextLeft"/>
            </w:pPr>
            <w:r>
              <w:t> </w:t>
            </w:r>
          </w:p>
        </w:tc>
      </w:tr>
      <w:tr w14:paraId="4335BC40" w14:textId="77777777" w:rsidTr="00457740">
        <w:tblPrEx>
          <w:tblW w:w="5000" w:type="pct"/>
          <w:tblLook w:val="04A0"/>
        </w:tblPrEx>
        <w:trPr>
          <w:cantSplit/>
          <w:trHeight w:val="220"/>
        </w:trPr>
        <w:tc>
          <w:tcPr>
            <w:tcW w:w="1909" w:type="pct"/>
          </w:tcPr>
          <w:p w:rsidR="00302414" w:rsidRPr="00A12166" w:rsidP="00A12166" w14:paraId="08451612" w14:textId="77777777">
            <w:pPr>
              <w:pStyle w:val="TableTextLeftHang"/>
            </w:pPr>
            <w:r w:rsidRPr="00A12166">
              <w:t xml:space="preserve">7.1.4 </w:t>
            </w:r>
            <w:r w:rsidRPr="00A12166">
              <w:tab/>
              <w:t>Describe and explain any changes in gaps the state identified in the availability of mental health services or service capacity while completing the Annual Availability Assessment compared to those described in the Initial Assessment of the Availability of Mental Health Services.  Recommended word count is 500 words or less</w:t>
            </w:r>
          </w:p>
        </w:tc>
        <w:tc>
          <w:tcPr>
            <w:tcW w:w="556" w:type="pct"/>
          </w:tcPr>
          <w:p w:rsidR="00302414" w:rsidRPr="00295DBA" w:rsidP="00302414" w14:paraId="22F7F71C" w14:textId="2AC19F1A">
            <w:pPr>
              <w:pStyle w:val="TableTextLeft"/>
            </w:pPr>
            <w:r>
              <w:t> </w:t>
            </w:r>
          </w:p>
        </w:tc>
        <w:tc>
          <w:tcPr>
            <w:tcW w:w="2535" w:type="pct"/>
          </w:tcPr>
          <w:p w:rsidR="00302414" w:rsidRPr="00295DBA" w:rsidP="00302414" w14:paraId="1DCFAD3D" w14:textId="610172C6">
            <w:pPr>
              <w:pStyle w:val="TableTextLeft"/>
            </w:pPr>
            <w:r>
              <w:t> </w:t>
            </w:r>
          </w:p>
        </w:tc>
      </w:tr>
      <w:tr w14:paraId="4B7F9247" w14:textId="77777777" w:rsidTr="00457740">
        <w:tblPrEx>
          <w:tblW w:w="5000" w:type="pct"/>
          <w:tblLook w:val="04A0"/>
        </w:tblPrEx>
        <w:trPr>
          <w:cantSplit/>
          <w:trHeight w:val="220"/>
        </w:trPr>
        <w:tc>
          <w:tcPr>
            <w:tcW w:w="1909" w:type="pct"/>
          </w:tcPr>
          <w:p w:rsidR="00302414" w:rsidRPr="00A12166" w:rsidP="00A12166" w14:paraId="7F83BAD6" w14:textId="77777777">
            <w:pPr>
              <w:pStyle w:val="TableTextLeftHang"/>
            </w:pPr>
            <w:r w:rsidRPr="00A12166">
              <w:t xml:space="preserve">7.1.5 </w:t>
            </w:r>
            <w:r w:rsidRPr="00A12166">
              <w:tab/>
              <w:t>Describe and explain whether any changes in the availability of mental health services have impacted the state’s maintenance of effort (MOE) on funding outpatient community-based mental health services.  Recommended word count is 500 words or less</w:t>
            </w:r>
          </w:p>
        </w:tc>
        <w:tc>
          <w:tcPr>
            <w:tcW w:w="556" w:type="pct"/>
          </w:tcPr>
          <w:p w:rsidR="00302414" w:rsidRPr="00295DBA" w:rsidP="00302414" w14:paraId="51C69636" w14:textId="0F9CF6F7">
            <w:pPr>
              <w:pStyle w:val="TableTextLeft"/>
            </w:pPr>
            <w:r>
              <w:t> </w:t>
            </w:r>
          </w:p>
        </w:tc>
        <w:tc>
          <w:tcPr>
            <w:tcW w:w="2535" w:type="pct"/>
          </w:tcPr>
          <w:p w:rsidR="00302414" w:rsidRPr="00295DBA" w:rsidP="00302414" w14:paraId="4A7D7F0A" w14:textId="13BB1DD3">
            <w:pPr>
              <w:pStyle w:val="TableTextLeft"/>
            </w:pPr>
            <w:r>
              <w:t> </w:t>
            </w:r>
          </w:p>
        </w:tc>
      </w:tr>
      <w:tr w14:paraId="5123FB0F" w14:textId="77777777" w:rsidTr="00457740">
        <w:tblPrEx>
          <w:tblW w:w="5000" w:type="pct"/>
          <w:tblLook w:val="04A0"/>
        </w:tblPrEx>
        <w:trPr>
          <w:cantSplit/>
          <w:trHeight w:val="220"/>
        </w:trPr>
        <w:tc>
          <w:tcPr>
            <w:tcW w:w="5000" w:type="pct"/>
            <w:gridSpan w:val="3"/>
            <w:shd w:val="clear" w:color="auto" w:fill="D9D9D9"/>
            <w:hideMark/>
          </w:tcPr>
          <w:p w:rsidR="00DB0844" w:rsidRPr="00295DBA" w:rsidP="00916F9D" w14:paraId="781B79FE" w14:textId="77777777">
            <w:pPr>
              <w:pStyle w:val="TableRowHead2"/>
            </w:pPr>
            <w:r w:rsidRPr="00295DBA">
              <w:t>7.2</w:t>
            </w:r>
            <w:r>
              <w:tab/>
            </w:r>
            <w:r w:rsidRPr="00295DBA">
              <w:t>Implementation update</w:t>
            </w:r>
          </w:p>
        </w:tc>
      </w:tr>
      <w:tr w14:paraId="1F810799" w14:textId="77777777" w:rsidTr="00CB7617">
        <w:tblPrEx>
          <w:tblW w:w="5000" w:type="pct"/>
          <w:tblLook w:val="04A0"/>
        </w:tblPrEx>
        <w:trPr>
          <w:cantSplit/>
          <w:trHeight w:val="220"/>
        </w:trPr>
        <w:tc>
          <w:tcPr>
            <w:tcW w:w="1909" w:type="pct"/>
            <w:hideMark/>
          </w:tcPr>
          <w:p w:rsidR="00302414" w:rsidP="00A12166" w14:paraId="6C635CF7" w14:textId="77777777">
            <w:pPr>
              <w:pStyle w:val="TableTextLeftHang"/>
            </w:pPr>
            <w:r w:rsidRPr="00295DBA">
              <w:t xml:space="preserve">7.2.1 </w:t>
            </w:r>
            <w:r>
              <w:tab/>
            </w:r>
            <w:r w:rsidRPr="005A63A3">
              <w:t>Compared to the demonstration design and operational details, the state expects to make the following changes to:</w:t>
            </w:r>
          </w:p>
          <w:p w:rsidR="00302414" w:rsidRPr="00295DBA" w:rsidP="00A12166" w14:paraId="3AF26CDD" w14:textId="29F8B4CD">
            <w:pPr>
              <w:pStyle w:val="TableTextLeftHang2"/>
            </w:pPr>
            <w:r>
              <w:t>7.2.1.a</w:t>
            </w:r>
            <w:r>
              <w:tab/>
            </w:r>
            <w:r w:rsidRPr="005A63A3">
              <w:t>The state’s strategy to conduct annual assessments of the availability of mental health services across the state and updates on steps taken to increase availability</w:t>
            </w:r>
          </w:p>
        </w:tc>
        <w:tc>
          <w:tcPr>
            <w:tcW w:w="556" w:type="pct"/>
            <w:hideMark/>
          </w:tcPr>
          <w:p w:rsidR="00302414" w:rsidRPr="00295DBA" w:rsidP="00302414" w14:paraId="1FE1ACC1" w14:textId="6A17914F">
            <w:pPr>
              <w:pStyle w:val="TableTextLeft"/>
            </w:pPr>
            <w:r>
              <w:t> </w:t>
            </w:r>
          </w:p>
        </w:tc>
        <w:tc>
          <w:tcPr>
            <w:tcW w:w="2535" w:type="pct"/>
            <w:hideMark/>
          </w:tcPr>
          <w:p w:rsidR="00302414" w:rsidRPr="00295DBA" w:rsidP="00302414" w14:paraId="2FAD1EBD" w14:textId="035EF3EA">
            <w:pPr>
              <w:pStyle w:val="TableTextLeft"/>
            </w:pPr>
            <w:r>
              <w:t> </w:t>
            </w:r>
          </w:p>
        </w:tc>
      </w:tr>
      <w:tr w14:paraId="3E555E6D" w14:textId="77777777" w:rsidTr="00CB7617">
        <w:tblPrEx>
          <w:tblW w:w="5000" w:type="pct"/>
          <w:tblLook w:val="04A0"/>
        </w:tblPrEx>
        <w:trPr>
          <w:cantSplit/>
          <w:trHeight w:val="220"/>
        </w:trPr>
        <w:tc>
          <w:tcPr>
            <w:tcW w:w="1909" w:type="pct"/>
          </w:tcPr>
          <w:p w:rsidR="00302414" w:rsidRPr="00295DBA" w:rsidP="00A12166" w14:paraId="340D4CFD" w14:textId="453CF064">
            <w:pPr>
              <w:pStyle w:val="TableTextLeftHang2"/>
            </w:pPr>
            <w:r>
              <w:t>7.2.1.b</w:t>
            </w:r>
            <w:r>
              <w:tab/>
            </w:r>
            <w:r w:rsidRPr="000144A7">
              <w:t>Strategies to improve state tracking of availability of inpatient and crisis stabilization beds</w:t>
            </w:r>
          </w:p>
        </w:tc>
        <w:tc>
          <w:tcPr>
            <w:tcW w:w="556" w:type="pct"/>
          </w:tcPr>
          <w:p w:rsidR="00302414" w:rsidRPr="00295DBA" w:rsidP="00302414" w14:paraId="69C70298" w14:textId="6CC00D81">
            <w:pPr>
              <w:pStyle w:val="TableTextLeft"/>
            </w:pPr>
            <w:r>
              <w:t> </w:t>
            </w:r>
          </w:p>
        </w:tc>
        <w:tc>
          <w:tcPr>
            <w:tcW w:w="2535" w:type="pct"/>
          </w:tcPr>
          <w:p w:rsidR="00302414" w:rsidRPr="00295DBA" w:rsidP="00302414" w14:paraId="12BB8120" w14:textId="1ED3023B">
            <w:pPr>
              <w:pStyle w:val="TableTextLeft"/>
            </w:pPr>
            <w:r>
              <w:t> </w:t>
            </w:r>
          </w:p>
        </w:tc>
      </w:tr>
      <w:tr w14:paraId="5FC5E1E6" w14:textId="77777777" w:rsidTr="00457740">
        <w:tblPrEx>
          <w:tblW w:w="5000" w:type="pct"/>
          <w:tblLook w:val="04A0"/>
        </w:tblPrEx>
        <w:trPr>
          <w:cantSplit/>
          <w:trHeight w:val="220"/>
        </w:trPr>
        <w:tc>
          <w:tcPr>
            <w:tcW w:w="5000" w:type="pct"/>
            <w:gridSpan w:val="3"/>
            <w:shd w:val="clear" w:color="auto" w:fill="BFBFBF" w:themeFill="background1" w:themeFillShade="BF"/>
            <w:hideMark/>
          </w:tcPr>
          <w:p w:rsidR="00DB0844" w:rsidRPr="00295DBA" w:rsidP="00916F9D" w14:paraId="6C143F1B" w14:textId="77777777">
            <w:pPr>
              <w:pStyle w:val="TableRowHead"/>
            </w:pPr>
            <w:r w:rsidRPr="00295DBA">
              <w:t>8.</w:t>
            </w:r>
            <w:r>
              <w:tab/>
              <w:t>Maintenance of effort (MOE) on funding outpatient community-based mental health services</w:t>
            </w:r>
          </w:p>
        </w:tc>
      </w:tr>
      <w:tr w14:paraId="29CD0A5D" w14:textId="77777777" w:rsidTr="00457740">
        <w:tblPrEx>
          <w:tblW w:w="5000" w:type="pct"/>
          <w:tblLook w:val="04A0"/>
        </w:tblPrEx>
        <w:trPr>
          <w:cantSplit/>
          <w:trHeight w:val="220"/>
        </w:trPr>
        <w:tc>
          <w:tcPr>
            <w:tcW w:w="5000" w:type="pct"/>
            <w:gridSpan w:val="3"/>
            <w:shd w:val="clear" w:color="auto" w:fill="D9D9D9"/>
            <w:hideMark/>
          </w:tcPr>
          <w:p w:rsidR="00DB0844" w:rsidRPr="00295DBA" w:rsidP="00916F9D" w14:paraId="45780E65" w14:textId="77777777">
            <w:pPr>
              <w:pStyle w:val="TableRowHead2"/>
            </w:pPr>
            <w:r w:rsidRPr="00295DBA">
              <w:t>8.1</w:t>
            </w:r>
            <w:r>
              <w:tab/>
              <w:t>MOE dollar amount</w:t>
            </w:r>
          </w:p>
        </w:tc>
      </w:tr>
      <w:tr w14:paraId="76B7801B" w14:textId="77777777" w:rsidTr="00CB7617">
        <w:tblPrEx>
          <w:tblW w:w="5000" w:type="pct"/>
          <w:tblLook w:val="04A0"/>
        </w:tblPrEx>
        <w:trPr>
          <w:cantSplit/>
          <w:trHeight w:val="233"/>
        </w:trPr>
        <w:tc>
          <w:tcPr>
            <w:tcW w:w="1909" w:type="pct"/>
            <w:hideMark/>
          </w:tcPr>
          <w:p w:rsidR="00302414" w:rsidRPr="00295DBA" w:rsidP="00A12166" w14:paraId="3A136B2D" w14:textId="77777777">
            <w:pPr>
              <w:pStyle w:val="TableTextLeftHang"/>
            </w:pPr>
            <w:r w:rsidRPr="00295DBA">
              <w:t xml:space="preserve">8.1.1 </w:t>
            </w:r>
            <w:r>
              <w:tab/>
            </w:r>
            <w:r w:rsidRPr="00E57884">
              <w:t>Provide as a dollar amount the level of state appropriations and local funding for outpatient community-based mental health services for the most recently completed state fiscal year</w:t>
            </w:r>
          </w:p>
        </w:tc>
        <w:tc>
          <w:tcPr>
            <w:tcW w:w="556" w:type="pct"/>
            <w:hideMark/>
          </w:tcPr>
          <w:p w:rsidR="00302414" w:rsidRPr="00295DBA" w:rsidP="00302414" w14:paraId="1C42B228" w14:textId="1D2602E6">
            <w:pPr>
              <w:pStyle w:val="TableTextLeft"/>
            </w:pPr>
            <w:r>
              <w:t> </w:t>
            </w:r>
          </w:p>
        </w:tc>
        <w:tc>
          <w:tcPr>
            <w:tcW w:w="2535" w:type="pct"/>
            <w:hideMark/>
          </w:tcPr>
          <w:p w:rsidR="00302414" w:rsidRPr="00295DBA" w:rsidP="00302414" w14:paraId="45B97482" w14:textId="6B7F9A1A">
            <w:pPr>
              <w:pStyle w:val="TableTextLeft"/>
            </w:pPr>
            <w:r>
              <w:t> </w:t>
            </w:r>
          </w:p>
        </w:tc>
      </w:tr>
      <w:tr w14:paraId="26CE09F2" w14:textId="77777777" w:rsidTr="00457740">
        <w:tblPrEx>
          <w:tblW w:w="5000" w:type="pct"/>
          <w:tblLook w:val="04A0"/>
        </w:tblPrEx>
        <w:trPr>
          <w:cantSplit/>
          <w:trHeight w:val="233"/>
        </w:trPr>
        <w:tc>
          <w:tcPr>
            <w:tcW w:w="5000" w:type="pct"/>
            <w:gridSpan w:val="3"/>
            <w:shd w:val="clear" w:color="auto" w:fill="D9D9D9"/>
            <w:hideMark/>
          </w:tcPr>
          <w:p w:rsidR="00DB0844" w:rsidRPr="00295DBA" w:rsidP="00916F9D" w14:paraId="78BA86B0" w14:textId="77777777">
            <w:pPr>
              <w:pStyle w:val="TableRowHead2"/>
            </w:pPr>
            <w:r w:rsidRPr="00295DBA">
              <w:t>8.2</w:t>
            </w:r>
            <w:r>
              <w:tab/>
              <w:t>Narrative information</w:t>
            </w:r>
          </w:p>
        </w:tc>
      </w:tr>
      <w:tr w14:paraId="0D3BB0F2" w14:textId="77777777" w:rsidTr="00CB7617">
        <w:tblPrEx>
          <w:tblW w:w="5000" w:type="pct"/>
          <w:tblLook w:val="04A0"/>
        </w:tblPrEx>
        <w:trPr>
          <w:cantSplit/>
          <w:trHeight w:val="233"/>
        </w:trPr>
        <w:tc>
          <w:tcPr>
            <w:tcW w:w="1909" w:type="pct"/>
            <w:hideMark/>
          </w:tcPr>
          <w:p w:rsidR="00302414" w:rsidRPr="00295DBA" w:rsidP="00A12166" w14:paraId="49605411" w14:textId="77777777">
            <w:pPr>
              <w:pStyle w:val="TableTextLeftHang"/>
            </w:pPr>
            <w:r w:rsidRPr="00295DBA">
              <w:t xml:space="preserve">8.2.1 </w:t>
            </w:r>
            <w:r>
              <w:tab/>
            </w:r>
            <w:r w:rsidRPr="00E57884">
              <w:t>Describe and explain any reductions in the MOE dollar amount below the amount provided in the state’s application materials.  The state should confirm that it did not move resources to increase access to treatment in inpatient or residential settings at the expense of community-based services</w:t>
            </w:r>
          </w:p>
        </w:tc>
        <w:tc>
          <w:tcPr>
            <w:tcW w:w="556" w:type="pct"/>
            <w:hideMark/>
          </w:tcPr>
          <w:p w:rsidR="00302414" w:rsidRPr="00295DBA" w:rsidP="00302414" w14:paraId="208080D7" w14:textId="331100C5">
            <w:pPr>
              <w:pStyle w:val="TableTextLeft"/>
            </w:pPr>
            <w:r>
              <w:t> </w:t>
            </w:r>
          </w:p>
        </w:tc>
        <w:tc>
          <w:tcPr>
            <w:tcW w:w="2535" w:type="pct"/>
            <w:hideMark/>
          </w:tcPr>
          <w:p w:rsidR="00302414" w:rsidRPr="00295DBA" w:rsidP="00302414" w14:paraId="7CDB89A0" w14:textId="663C49BF">
            <w:pPr>
              <w:pStyle w:val="TableTextLeft"/>
            </w:pPr>
            <w:r>
              <w:t> </w:t>
            </w:r>
          </w:p>
        </w:tc>
      </w:tr>
      <w:tr w14:paraId="04DE3EB2" w14:textId="77777777" w:rsidTr="00457740">
        <w:tblPrEx>
          <w:tblW w:w="5000" w:type="pct"/>
          <w:tblLook w:val="04A0"/>
        </w:tblPrEx>
        <w:trPr>
          <w:cantSplit/>
          <w:trHeight w:val="233"/>
        </w:trPr>
        <w:tc>
          <w:tcPr>
            <w:tcW w:w="5000" w:type="pct"/>
            <w:gridSpan w:val="3"/>
            <w:shd w:val="clear" w:color="auto" w:fill="BFBFBF" w:themeFill="background1" w:themeFillShade="BF"/>
            <w:hideMark/>
          </w:tcPr>
          <w:p w:rsidR="00DB0844" w:rsidRPr="007071CC" w:rsidP="001C263F" w14:paraId="45FFE418" w14:textId="77777777">
            <w:pPr>
              <w:pStyle w:val="TableTextLeftHang"/>
              <w:pageBreakBefore/>
              <w:rPr>
                <w:rStyle w:val="Bold"/>
              </w:rPr>
            </w:pPr>
            <w:r w:rsidRPr="007071CC">
              <w:rPr>
                <w:rStyle w:val="Bold"/>
              </w:rPr>
              <w:t>9.</w:t>
            </w:r>
            <w:r w:rsidRPr="007071CC">
              <w:rPr>
                <w:rStyle w:val="Bold"/>
              </w:rPr>
              <w:tab/>
            </w:r>
            <w:r>
              <w:rPr>
                <w:rStyle w:val="Bold"/>
              </w:rPr>
              <w:t>SMI/SED financing plan</w:t>
            </w:r>
          </w:p>
        </w:tc>
      </w:tr>
      <w:tr w14:paraId="774117A1" w14:textId="77777777" w:rsidTr="00457740">
        <w:tblPrEx>
          <w:tblW w:w="5000" w:type="pct"/>
          <w:tblLook w:val="04A0"/>
        </w:tblPrEx>
        <w:trPr>
          <w:cantSplit/>
          <w:trHeight w:val="233"/>
        </w:trPr>
        <w:tc>
          <w:tcPr>
            <w:tcW w:w="5000" w:type="pct"/>
            <w:gridSpan w:val="3"/>
            <w:shd w:val="clear" w:color="auto" w:fill="D9D9D9"/>
            <w:hideMark/>
          </w:tcPr>
          <w:p w:rsidR="00DB0844" w:rsidRPr="007071CC" w:rsidP="00916F9D" w14:paraId="5D17DB33" w14:textId="77777777">
            <w:pPr>
              <w:pStyle w:val="TableTextLeftHang"/>
              <w:rPr>
                <w:rStyle w:val="Bold"/>
              </w:rPr>
            </w:pPr>
            <w:r w:rsidRPr="007071CC">
              <w:rPr>
                <w:rStyle w:val="Bold"/>
              </w:rPr>
              <w:t>9.1</w:t>
            </w:r>
            <w:r w:rsidRPr="007071CC">
              <w:rPr>
                <w:rStyle w:val="Bold"/>
              </w:rPr>
              <w:tab/>
            </w:r>
            <w:r>
              <w:rPr>
                <w:rStyle w:val="Bold"/>
              </w:rPr>
              <w:t>Implementation update</w:t>
            </w:r>
          </w:p>
        </w:tc>
      </w:tr>
      <w:tr w14:paraId="6A9B62F4" w14:textId="77777777" w:rsidTr="00CB7617">
        <w:tblPrEx>
          <w:tblW w:w="5000" w:type="pct"/>
          <w:tblLook w:val="04A0"/>
        </w:tblPrEx>
        <w:trPr>
          <w:cantSplit/>
          <w:trHeight w:val="233"/>
        </w:trPr>
        <w:tc>
          <w:tcPr>
            <w:tcW w:w="1909" w:type="pct"/>
            <w:hideMark/>
          </w:tcPr>
          <w:p w:rsidR="00302414" w:rsidP="00A12166" w14:paraId="17346F1B" w14:textId="77777777">
            <w:pPr>
              <w:pStyle w:val="TableTextLeftHang"/>
            </w:pPr>
            <w:r w:rsidRPr="00295DBA">
              <w:t xml:space="preserve">9.1.1 </w:t>
            </w:r>
            <w:r>
              <w:tab/>
            </w:r>
            <w:r w:rsidRPr="00E57884">
              <w:t>Compared to the demonstration design and operational details, the state expects to make the following changes to:</w:t>
            </w:r>
          </w:p>
          <w:p w:rsidR="00302414" w:rsidRPr="00295DBA" w:rsidP="00A12166" w14:paraId="51971CC6" w14:textId="4DDF16F3">
            <w:pPr>
              <w:pStyle w:val="TableTextLeftHang2"/>
            </w:pPr>
            <w:r>
              <w:t>9.1.1.</w:t>
            </w:r>
            <w:r>
              <w:t>a</w:t>
            </w:r>
            <w:r>
              <w:tab/>
            </w:r>
            <w:r w:rsidRPr="00E57884">
              <w:t>Increase availability of non-hospital, non-residential crisis stabilization services, including services made available through crisis call centers, mobile crisis units, and observation/assessment centers, with a coordinated community crisis response that involves law enforcement and other first responders</w:t>
            </w:r>
          </w:p>
        </w:tc>
        <w:tc>
          <w:tcPr>
            <w:tcW w:w="556" w:type="pct"/>
            <w:hideMark/>
          </w:tcPr>
          <w:p w:rsidR="00302414" w:rsidRPr="00295DBA" w:rsidP="00302414" w14:paraId="4DEAB5E2" w14:textId="474A3406">
            <w:pPr>
              <w:pStyle w:val="TableTextLeft"/>
            </w:pPr>
            <w:r>
              <w:t> </w:t>
            </w:r>
          </w:p>
        </w:tc>
        <w:tc>
          <w:tcPr>
            <w:tcW w:w="2535" w:type="pct"/>
            <w:hideMark/>
          </w:tcPr>
          <w:p w:rsidR="00302414" w:rsidRPr="00295DBA" w:rsidP="00302414" w14:paraId="40507B6A" w14:textId="06D449C3">
            <w:pPr>
              <w:pStyle w:val="TableTextLeft"/>
            </w:pPr>
            <w:r>
              <w:t> </w:t>
            </w:r>
          </w:p>
        </w:tc>
      </w:tr>
      <w:tr w14:paraId="14D46CE1" w14:textId="77777777" w:rsidTr="00CB7617">
        <w:tblPrEx>
          <w:tblW w:w="5000" w:type="pct"/>
          <w:tblLook w:val="04A0"/>
        </w:tblPrEx>
        <w:trPr>
          <w:cantSplit/>
          <w:trHeight w:val="233"/>
        </w:trPr>
        <w:tc>
          <w:tcPr>
            <w:tcW w:w="1909" w:type="pct"/>
          </w:tcPr>
          <w:p w:rsidR="00302414" w:rsidRPr="00295DBA" w:rsidP="00A12166" w14:paraId="6630157D" w14:textId="02805454">
            <w:pPr>
              <w:pStyle w:val="TableTextLeftHang2"/>
            </w:pPr>
            <w:r>
              <w:t>9.1.1.b</w:t>
            </w:r>
            <w:r>
              <w:tab/>
            </w:r>
            <w:r w:rsidRPr="00E57884">
              <w:t>Increase availability of on-going community-based services, e.g., outpatient, community mental health centers, partial hospitalization/day treatment, assertive community treatment, and services in integrated care settings such as the Certified Community Behavioral Health Clinic model</w:t>
            </w:r>
          </w:p>
        </w:tc>
        <w:tc>
          <w:tcPr>
            <w:tcW w:w="556" w:type="pct"/>
          </w:tcPr>
          <w:p w:rsidR="00302414" w:rsidRPr="00295DBA" w:rsidP="00302414" w14:paraId="0C0BC5A2" w14:textId="191E5F69">
            <w:pPr>
              <w:pStyle w:val="TableTextLeft"/>
            </w:pPr>
            <w:r>
              <w:t> </w:t>
            </w:r>
          </w:p>
        </w:tc>
        <w:tc>
          <w:tcPr>
            <w:tcW w:w="2535" w:type="pct"/>
          </w:tcPr>
          <w:p w:rsidR="00302414" w:rsidRPr="00295DBA" w:rsidP="00302414" w14:paraId="3AA98808" w14:textId="3D3F0102">
            <w:pPr>
              <w:pStyle w:val="TableTextLeft"/>
            </w:pPr>
            <w:r>
              <w:t> </w:t>
            </w:r>
          </w:p>
        </w:tc>
      </w:tr>
      <w:tr w14:paraId="0444A757" w14:textId="77777777" w:rsidTr="00457740">
        <w:tblPrEx>
          <w:tblW w:w="5000" w:type="pct"/>
          <w:tblLook w:val="04A0"/>
        </w:tblPrEx>
        <w:trPr>
          <w:cantSplit/>
          <w:trHeight w:val="63"/>
        </w:trPr>
        <w:tc>
          <w:tcPr>
            <w:tcW w:w="5000" w:type="pct"/>
            <w:gridSpan w:val="3"/>
            <w:shd w:val="clear" w:color="auto" w:fill="BFBFBF" w:themeFill="background1" w:themeFillShade="BF"/>
          </w:tcPr>
          <w:p w:rsidR="00DB0844" w:rsidRPr="00833201" w:rsidP="001C263F" w14:paraId="45FC89F0" w14:textId="39826489">
            <w:pPr>
              <w:pStyle w:val="TableRowHead2"/>
              <w:pageBreakBefore/>
              <w:widowControl/>
            </w:pPr>
            <w:r w:rsidRPr="00DB0844">
              <w:t>10.</w:t>
            </w:r>
            <w:r w:rsidRPr="00DB0844">
              <w:tab/>
              <w:t>Budget neutrality</w:t>
            </w:r>
          </w:p>
        </w:tc>
      </w:tr>
      <w:tr w14:paraId="2E30B6B8" w14:textId="77777777" w:rsidTr="00457740">
        <w:tblPrEx>
          <w:tblW w:w="5000" w:type="pct"/>
          <w:tblLook w:val="04A0"/>
        </w:tblPrEx>
        <w:trPr>
          <w:cantSplit/>
          <w:trHeight w:val="63"/>
        </w:trPr>
        <w:tc>
          <w:tcPr>
            <w:tcW w:w="5000" w:type="pct"/>
            <w:gridSpan w:val="3"/>
            <w:shd w:val="clear" w:color="auto" w:fill="D9D9D9"/>
            <w:hideMark/>
          </w:tcPr>
          <w:p w:rsidR="008F7153" w:rsidRPr="00833201" w:rsidP="00422D16" w14:paraId="3486B093" w14:textId="77777777">
            <w:pPr>
              <w:pStyle w:val="TableRowHead2"/>
            </w:pPr>
            <w:r w:rsidRPr="00833201">
              <w:t>10.1</w:t>
            </w:r>
            <w:r w:rsidRPr="00833201" w:rsidR="007071CC">
              <w:tab/>
            </w:r>
            <w:r w:rsidRPr="00833201">
              <w:t>Current status and analysis</w:t>
            </w:r>
          </w:p>
        </w:tc>
      </w:tr>
      <w:tr w14:paraId="66B543D7" w14:textId="0D92BFC4" w:rsidTr="00CB7617">
        <w:tblPrEx>
          <w:tblW w:w="5000" w:type="pct"/>
          <w:tblLook w:val="04A0"/>
        </w:tblPrEx>
        <w:trPr>
          <w:cantSplit/>
          <w:trHeight w:val="63"/>
        </w:trPr>
        <w:tc>
          <w:tcPr>
            <w:tcW w:w="1909" w:type="pct"/>
            <w:hideMark/>
          </w:tcPr>
          <w:p w:rsidR="00302414" w:rsidRPr="00833201" w:rsidP="00302414" w14:paraId="1DDE76FB" w14:textId="7A9BDA6E">
            <w:pPr>
              <w:pStyle w:val="TableTextLeftHang"/>
            </w:pPr>
            <w:r w:rsidRPr="00833201">
              <w:t>10.1.1</w:t>
            </w:r>
            <w:r w:rsidRPr="00833201">
              <w:tab/>
            </w:r>
            <w:r w:rsidRPr="00F25337">
              <w:t>Describe the current status of budget neutrality and an analysis of the budget neutrality to date.  If the SMI/SED component is part of a broader demonstration, the state should provide an analysis of the SMI/SED-related budget neutrality and an analysis of budget neutrality as a whole</w:t>
            </w:r>
          </w:p>
        </w:tc>
        <w:tc>
          <w:tcPr>
            <w:tcW w:w="556" w:type="pct"/>
          </w:tcPr>
          <w:p w:rsidR="00302414" w:rsidP="00302414" w14:paraId="2F2CDA08" w14:textId="5E93843D">
            <w:pPr>
              <w:spacing w:before="40" w:after="40"/>
              <w:ind w:right="-18"/>
              <w:rPr>
                <w:rStyle w:val="Italic"/>
                <w:rFonts w:cs="Times New Roman"/>
                <w:sz w:val="22"/>
              </w:rPr>
            </w:pPr>
            <w:r>
              <w:t> </w:t>
            </w:r>
          </w:p>
        </w:tc>
        <w:tc>
          <w:tcPr>
            <w:tcW w:w="2535" w:type="pct"/>
          </w:tcPr>
          <w:p w:rsidR="00302414" w:rsidP="00302414" w14:paraId="51D38437" w14:textId="5C450794">
            <w:pPr>
              <w:spacing w:before="40" w:after="40"/>
              <w:ind w:right="-18"/>
              <w:rPr>
                <w:rFonts w:cstheme="minorHAnsi"/>
                <w:iCs/>
                <w:color w:val="646464"/>
                <w:sz w:val="20"/>
              </w:rPr>
            </w:pPr>
            <w:r>
              <w:t> </w:t>
            </w:r>
          </w:p>
        </w:tc>
      </w:tr>
      <w:tr w14:paraId="1FAAF468" w14:textId="77777777" w:rsidTr="00457740">
        <w:tblPrEx>
          <w:tblW w:w="5000" w:type="pct"/>
          <w:tblLook w:val="04A0"/>
        </w:tblPrEx>
        <w:trPr>
          <w:cantSplit/>
          <w:trHeight w:val="220"/>
        </w:trPr>
        <w:tc>
          <w:tcPr>
            <w:tcW w:w="5000" w:type="pct"/>
            <w:gridSpan w:val="3"/>
            <w:shd w:val="clear" w:color="auto" w:fill="D9D9D9"/>
            <w:hideMark/>
          </w:tcPr>
          <w:p w:rsidR="008F7153" w:rsidRPr="00833201" w:rsidP="00422D16" w14:paraId="52F86E43" w14:textId="77777777">
            <w:pPr>
              <w:pStyle w:val="TableRowHead2"/>
            </w:pPr>
            <w:r w:rsidRPr="00833201">
              <w:t>10.2</w:t>
            </w:r>
            <w:r w:rsidRPr="00833201" w:rsidR="007071CC">
              <w:tab/>
            </w:r>
            <w:r w:rsidRPr="00833201">
              <w:t>Implementation update</w:t>
            </w:r>
          </w:p>
        </w:tc>
      </w:tr>
      <w:tr w14:paraId="75424345" w14:textId="66C357FB" w:rsidTr="00CB7617">
        <w:tblPrEx>
          <w:tblW w:w="5000" w:type="pct"/>
          <w:tblLook w:val="04A0"/>
        </w:tblPrEx>
        <w:trPr>
          <w:cantSplit/>
          <w:trHeight w:val="233"/>
        </w:trPr>
        <w:tc>
          <w:tcPr>
            <w:tcW w:w="1909" w:type="pct"/>
            <w:hideMark/>
          </w:tcPr>
          <w:p w:rsidR="00302414" w:rsidRPr="00833201" w:rsidP="00302414" w14:paraId="7C6EFB1E" w14:textId="77777777">
            <w:pPr>
              <w:pStyle w:val="TableTextLeftHang"/>
            </w:pPr>
            <w:r w:rsidRPr="00833201">
              <w:t>10.2.1</w:t>
            </w:r>
            <w:r w:rsidRPr="00833201">
              <w:tab/>
              <w:t>The state expects to make other program changes that may affect budget neutrality</w:t>
            </w:r>
          </w:p>
        </w:tc>
        <w:tc>
          <w:tcPr>
            <w:tcW w:w="556" w:type="pct"/>
          </w:tcPr>
          <w:p w:rsidR="00302414" w:rsidP="00302414" w14:paraId="6D37158A" w14:textId="59F3440F">
            <w:pPr>
              <w:spacing w:before="40" w:after="40"/>
              <w:rPr>
                <w:rStyle w:val="Italic"/>
              </w:rPr>
            </w:pPr>
            <w:r>
              <w:t> </w:t>
            </w:r>
          </w:p>
        </w:tc>
        <w:tc>
          <w:tcPr>
            <w:tcW w:w="2535" w:type="pct"/>
          </w:tcPr>
          <w:p w:rsidR="00302414" w:rsidP="00302414" w14:paraId="6F13323D" w14:textId="6486D6BA">
            <w:pPr>
              <w:spacing w:before="40" w:after="40"/>
            </w:pPr>
            <w:r>
              <w:t> </w:t>
            </w:r>
          </w:p>
        </w:tc>
      </w:tr>
      <w:tr w14:paraId="605E7CD1" w14:textId="77777777" w:rsidTr="00457740">
        <w:tblPrEx>
          <w:tblW w:w="5000" w:type="pct"/>
          <w:tblLook w:val="04A0"/>
        </w:tblPrEx>
        <w:trPr>
          <w:cantSplit/>
          <w:trHeight w:val="220"/>
        </w:trPr>
        <w:tc>
          <w:tcPr>
            <w:tcW w:w="5000" w:type="pct"/>
            <w:gridSpan w:val="3"/>
            <w:shd w:val="clear" w:color="auto" w:fill="BFBFBF" w:themeFill="background1" w:themeFillShade="BF"/>
            <w:hideMark/>
          </w:tcPr>
          <w:p w:rsidR="001C263F" w:rsidRPr="00833201" w:rsidP="00833201" w14:paraId="0A1B9CE4" w14:textId="367B6A7E">
            <w:pPr>
              <w:pStyle w:val="TableRowHead"/>
            </w:pPr>
            <w:r w:rsidRPr="00833201">
              <w:t>11.</w:t>
            </w:r>
            <w:r w:rsidR="00302414">
              <w:tab/>
            </w:r>
            <w:r w:rsidRPr="00833201">
              <w:t>S</w:t>
            </w:r>
            <w:r>
              <w:t>MI/SED</w:t>
            </w:r>
            <w:r w:rsidRPr="00833201">
              <w:t>-related demonstration operations and policy</w:t>
            </w:r>
          </w:p>
        </w:tc>
      </w:tr>
      <w:tr w14:paraId="78DA45CB" w14:textId="77777777" w:rsidTr="00457740">
        <w:tblPrEx>
          <w:tblW w:w="5000" w:type="pct"/>
          <w:tblLook w:val="04A0"/>
        </w:tblPrEx>
        <w:trPr>
          <w:cantSplit/>
          <w:trHeight w:val="220"/>
        </w:trPr>
        <w:tc>
          <w:tcPr>
            <w:tcW w:w="5000" w:type="pct"/>
            <w:gridSpan w:val="3"/>
            <w:shd w:val="clear" w:color="auto" w:fill="D9D9D9"/>
            <w:hideMark/>
          </w:tcPr>
          <w:p w:rsidR="001C263F" w:rsidRPr="00833201" w:rsidP="00422D16" w14:paraId="23E73B4A" w14:textId="22008AF7">
            <w:pPr>
              <w:pStyle w:val="TableRowHead2"/>
            </w:pPr>
            <w:r w:rsidRPr="00833201">
              <w:t>11.1</w:t>
            </w:r>
            <w:r w:rsidR="00302414">
              <w:tab/>
            </w:r>
            <w:r w:rsidRPr="00833201">
              <w:t>Considerations</w:t>
            </w:r>
          </w:p>
        </w:tc>
      </w:tr>
      <w:tr w14:paraId="5D5CCE35" w14:textId="151E2E13" w:rsidTr="00CB7617">
        <w:tblPrEx>
          <w:tblW w:w="5000" w:type="pct"/>
          <w:tblLook w:val="04A0"/>
        </w:tblPrEx>
        <w:trPr>
          <w:cantSplit/>
          <w:trHeight w:val="233"/>
        </w:trPr>
        <w:tc>
          <w:tcPr>
            <w:tcW w:w="1909" w:type="pct"/>
            <w:hideMark/>
          </w:tcPr>
          <w:p w:rsidR="00302414" w:rsidRPr="00833201" w:rsidP="00302414" w14:paraId="68B47AA0" w14:textId="4817AE03">
            <w:pPr>
              <w:pStyle w:val="TableTextLeftHang"/>
            </w:pPr>
            <w:r w:rsidRPr="00833201">
              <w:t>11.1.1</w:t>
            </w:r>
            <w:r>
              <w:tab/>
            </w:r>
            <w:r w:rsidRPr="00F25337">
              <w:t>The state should highlight significant SMI/SED (or if broader demonstration, then SMI/SED-related) demonstration operations or policy considerations that could positively or negatively impact beneficiary enrollment, access to services, timely provision of services, budget neutrality, or any other provision that has potential for beneficiary impacts.  Also note any activity that may accelerate or create delays or impediments in achieving the SMI/SED demonstration’s approved goals or objectives, if not already reported elsewhere in this document.  See Monitoring Report Instructions for more detail</w:t>
            </w:r>
          </w:p>
        </w:tc>
        <w:tc>
          <w:tcPr>
            <w:tcW w:w="556" w:type="pct"/>
            <w:hideMark/>
          </w:tcPr>
          <w:p w:rsidR="00302414" w:rsidP="00302414" w14:paraId="69903C0E" w14:textId="618B48B9">
            <w:pPr>
              <w:spacing w:before="40" w:after="40"/>
              <w:rPr>
                <w:rStyle w:val="Italic"/>
              </w:rPr>
            </w:pPr>
            <w:r>
              <w:t> </w:t>
            </w:r>
          </w:p>
        </w:tc>
        <w:tc>
          <w:tcPr>
            <w:tcW w:w="2535" w:type="pct"/>
          </w:tcPr>
          <w:p w:rsidR="00302414" w:rsidP="00302414" w14:paraId="41DA412E" w14:textId="3771C7EF">
            <w:pPr>
              <w:spacing w:before="40" w:after="40"/>
              <w:rPr>
                <w:rFonts w:cstheme="minorHAnsi"/>
                <w:iCs/>
                <w:color w:val="646464"/>
                <w:sz w:val="20"/>
              </w:rPr>
            </w:pPr>
            <w:r>
              <w:t> </w:t>
            </w:r>
          </w:p>
        </w:tc>
      </w:tr>
      <w:tr w14:paraId="108ACFA8" w14:textId="77777777" w:rsidTr="00457740">
        <w:tblPrEx>
          <w:tblW w:w="5000" w:type="pct"/>
          <w:tblLook w:val="04A0"/>
        </w:tblPrEx>
        <w:trPr>
          <w:cantSplit/>
          <w:trHeight w:val="220"/>
        </w:trPr>
        <w:tc>
          <w:tcPr>
            <w:tcW w:w="5000" w:type="pct"/>
            <w:gridSpan w:val="3"/>
            <w:shd w:val="clear" w:color="auto" w:fill="D9D9D9"/>
            <w:hideMark/>
          </w:tcPr>
          <w:p w:rsidR="001C263F" w:rsidRPr="00833201" w:rsidP="00CD358D" w14:paraId="4C5FC163" w14:textId="6D1526FB">
            <w:pPr>
              <w:pStyle w:val="TableRowHead2"/>
            </w:pPr>
            <w:r w:rsidRPr="00833201">
              <w:t>11.2</w:t>
            </w:r>
            <w:r w:rsidR="00302414">
              <w:tab/>
            </w:r>
            <w:r w:rsidRPr="00833201">
              <w:t>Implementation update</w:t>
            </w:r>
          </w:p>
        </w:tc>
      </w:tr>
      <w:tr w14:paraId="5D7A85E6" w14:textId="307A4C54" w:rsidTr="00CB7617">
        <w:tblPrEx>
          <w:tblW w:w="5000" w:type="pct"/>
          <w:tblLook w:val="04A0"/>
        </w:tblPrEx>
        <w:trPr>
          <w:cantSplit/>
          <w:trHeight w:val="233"/>
        </w:trPr>
        <w:tc>
          <w:tcPr>
            <w:tcW w:w="1909" w:type="pct"/>
            <w:hideMark/>
          </w:tcPr>
          <w:p w:rsidR="00302414" w:rsidRPr="00833201" w:rsidP="00302414" w14:paraId="7E292875" w14:textId="4F7B9343">
            <w:pPr>
              <w:pStyle w:val="TableTextLeftHang"/>
            </w:pPr>
            <w:r w:rsidRPr="00833201">
              <w:t xml:space="preserve">11.2.1 </w:t>
            </w:r>
            <w:r>
              <w:tab/>
            </w:r>
            <w:r w:rsidRPr="00F25337">
              <w:t>The state experienced challenges in partnering with entities contracted to help implement the demonstration (e.g., health plans, credentialing vendors, private sector providers) and/or noted any performance issues with contracted entities</w:t>
            </w:r>
          </w:p>
        </w:tc>
        <w:tc>
          <w:tcPr>
            <w:tcW w:w="556" w:type="pct"/>
            <w:hideMark/>
          </w:tcPr>
          <w:p w:rsidR="00302414" w:rsidP="00302414" w14:paraId="46AC5D0D" w14:textId="3DD9D6AE">
            <w:pPr>
              <w:spacing w:before="40" w:after="40"/>
              <w:rPr>
                <w:rStyle w:val="Italic"/>
              </w:rPr>
            </w:pPr>
            <w:r>
              <w:t> </w:t>
            </w:r>
          </w:p>
        </w:tc>
        <w:tc>
          <w:tcPr>
            <w:tcW w:w="2535" w:type="pct"/>
          </w:tcPr>
          <w:p w:rsidR="00302414" w:rsidP="00302414" w14:paraId="5ECEF0DB" w14:textId="690DAE45">
            <w:pPr>
              <w:spacing w:before="40" w:after="40"/>
              <w:rPr>
                <w:rFonts w:cstheme="minorHAnsi"/>
                <w:iCs/>
                <w:color w:val="646464"/>
                <w:sz w:val="20"/>
              </w:rPr>
            </w:pPr>
            <w:r>
              <w:t> </w:t>
            </w:r>
          </w:p>
        </w:tc>
      </w:tr>
      <w:tr w14:paraId="5BFC06D6" w14:textId="43FAE031" w:rsidTr="00CB7617">
        <w:tblPrEx>
          <w:tblW w:w="5000" w:type="pct"/>
          <w:tblLook w:val="04A0"/>
        </w:tblPrEx>
        <w:trPr>
          <w:cantSplit/>
          <w:trHeight w:val="233"/>
        </w:trPr>
        <w:tc>
          <w:tcPr>
            <w:tcW w:w="1909" w:type="pct"/>
            <w:hideMark/>
          </w:tcPr>
          <w:p w:rsidR="00302414" w:rsidRPr="00833201" w:rsidP="00302414" w14:paraId="7E84ECA0" w14:textId="40BDF4BD">
            <w:pPr>
              <w:pStyle w:val="TableTextLeftHang"/>
            </w:pPr>
            <w:r w:rsidRPr="00833201">
              <w:t>11.2.2</w:t>
            </w:r>
            <w:r>
              <w:tab/>
            </w:r>
            <w:r w:rsidRPr="00F25337">
              <w:t>The state is working on other initiatives related to SMI/SED</w:t>
            </w:r>
          </w:p>
        </w:tc>
        <w:tc>
          <w:tcPr>
            <w:tcW w:w="556" w:type="pct"/>
            <w:hideMark/>
          </w:tcPr>
          <w:p w:rsidR="00302414" w:rsidP="00302414" w14:paraId="7F2F7DDA" w14:textId="4E5F3C61">
            <w:pPr>
              <w:spacing w:before="40" w:after="40"/>
              <w:rPr>
                <w:rStyle w:val="Italic"/>
              </w:rPr>
            </w:pPr>
            <w:r>
              <w:t> </w:t>
            </w:r>
          </w:p>
        </w:tc>
        <w:tc>
          <w:tcPr>
            <w:tcW w:w="2535" w:type="pct"/>
          </w:tcPr>
          <w:p w:rsidR="00302414" w:rsidP="00302414" w14:paraId="0A77A174" w14:textId="369C3393">
            <w:pPr>
              <w:spacing w:before="40" w:after="40"/>
              <w:rPr>
                <w:rFonts w:cstheme="minorHAnsi"/>
                <w:iCs/>
                <w:color w:val="646464"/>
                <w:sz w:val="20"/>
              </w:rPr>
            </w:pPr>
            <w:r>
              <w:t> </w:t>
            </w:r>
          </w:p>
        </w:tc>
      </w:tr>
      <w:tr w14:paraId="4BFC1A54" w14:textId="2A7996F7" w:rsidTr="00CB7617">
        <w:tblPrEx>
          <w:tblW w:w="5000" w:type="pct"/>
          <w:tblLook w:val="04A0"/>
        </w:tblPrEx>
        <w:trPr>
          <w:cantSplit/>
          <w:trHeight w:val="233"/>
        </w:trPr>
        <w:tc>
          <w:tcPr>
            <w:tcW w:w="1909" w:type="pct"/>
            <w:hideMark/>
          </w:tcPr>
          <w:p w:rsidR="00302414" w:rsidRPr="00833201" w:rsidP="00302414" w14:paraId="6E9F1648" w14:textId="65688A70">
            <w:pPr>
              <w:pStyle w:val="TableTextLeftHang"/>
            </w:pPr>
            <w:r w:rsidRPr="00833201">
              <w:t xml:space="preserve">11.2.3 </w:t>
            </w:r>
            <w:r>
              <w:tab/>
            </w:r>
            <w:r w:rsidRPr="00F25337">
              <w:t>The initiatives described above are related to the SMI/SED demonstration as described (The state should note similarities and differences from the SMI/SED demonstration)</w:t>
            </w:r>
          </w:p>
        </w:tc>
        <w:tc>
          <w:tcPr>
            <w:tcW w:w="556" w:type="pct"/>
            <w:hideMark/>
          </w:tcPr>
          <w:p w:rsidR="00302414" w:rsidP="00302414" w14:paraId="31B370D3" w14:textId="61A41904">
            <w:pPr>
              <w:spacing w:before="40" w:after="40"/>
              <w:rPr>
                <w:rStyle w:val="Italic"/>
              </w:rPr>
            </w:pPr>
            <w:r>
              <w:t> </w:t>
            </w:r>
          </w:p>
        </w:tc>
        <w:tc>
          <w:tcPr>
            <w:tcW w:w="2535" w:type="pct"/>
          </w:tcPr>
          <w:p w:rsidR="00302414" w:rsidP="00302414" w14:paraId="15A14193" w14:textId="6F609327">
            <w:pPr>
              <w:spacing w:before="40" w:after="40"/>
              <w:rPr>
                <w:rFonts w:cstheme="minorHAnsi"/>
                <w:iCs/>
                <w:color w:val="646464"/>
                <w:sz w:val="20"/>
              </w:rPr>
            </w:pPr>
            <w:r>
              <w:t> </w:t>
            </w:r>
          </w:p>
        </w:tc>
      </w:tr>
      <w:tr w14:paraId="577D0ED3" w14:textId="665D4E96" w:rsidTr="00CB7617">
        <w:tblPrEx>
          <w:tblW w:w="5000" w:type="pct"/>
          <w:tblLook w:val="04A0"/>
        </w:tblPrEx>
        <w:trPr>
          <w:cantSplit/>
          <w:trHeight w:val="233"/>
        </w:trPr>
        <w:tc>
          <w:tcPr>
            <w:tcW w:w="1909" w:type="pct"/>
            <w:hideMark/>
          </w:tcPr>
          <w:p w:rsidR="00302414" w:rsidP="00302414" w14:paraId="4E4E6DAE" w14:textId="162286FC">
            <w:pPr>
              <w:pStyle w:val="TableTextLeftHang"/>
            </w:pPr>
            <w:r w:rsidRPr="00833201">
              <w:t>11.2.4</w:t>
            </w:r>
            <w:r>
              <w:tab/>
            </w:r>
            <w:r w:rsidRPr="005A63A3">
              <w:rPr>
                <w:szCs w:val="20"/>
              </w:rPr>
              <w:t>Compared to the demonstration design and operational details, the state expects to make the following changes to:</w:t>
            </w:r>
          </w:p>
          <w:p w:rsidR="00302414" w:rsidRPr="00833201" w:rsidP="00A12166" w14:paraId="218AF3E4" w14:textId="102FCB26">
            <w:pPr>
              <w:pStyle w:val="TableTextLeftHang2"/>
            </w:pPr>
            <w:r>
              <w:t>11.2.4.a</w:t>
            </w:r>
            <w:r>
              <w:tab/>
            </w:r>
            <w:r w:rsidRPr="00833201">
              <w:t>How the delivery system operates under the demonstration (e.g., through the managed care system or fee for service)</w:t>
            </w:r>
          </w:p>
        </w:tc>
        <w:tc>
          <w:tcPr>
            <w:tcW w:w="556" w:type="pct"/>
            <w:hideMark/>
          </w:tcPr>
          <w:p w:rsidR="00302414" w:rsidP="00302414" w14:paraId="2A3F3FBD" w14:textId="4B55F556">
            <w:pPr>
              <w:spacing w:before="40" w:after="40"/>
              <w:rPr>
                <w:rStyle w:val="Italic"/>
              </w:rPr>
            </w:pPr>
            <w:r>
              <w:t> </w:t>
            </w:r>
          </w:p>
        </w:tc>
        <w:tc>
          <w:tcPr>
            <w:tcW w:w="2535" w:type="pct"/>
          </w:tcPr>
          <w:p w:rsidR="00302414" w:rsidP="00302414" w14:paraId="249CB473" w14:textId="3BB1B551">
            <w:pPr>
              <w:spacing w:before="40" w:after="40"/>
              <w:rPr>
                <w:rFonts w:cstheme="minorHAnsi"/>
                <w:iCs/>
                <w:color w:val="646464"/>
                <w:sz w:val="20"/>
              </w:rPr>
            </w:pPr>
            <w:r>
              <w:t> </w:t>
            </w:r>
          </w:p>
        </w:tc>
      </w:tr>
      <w:tr w14:paraId="5ACCDFF5" w14:textId="2AC35F18" w:rsidTr="00CB7617">
        <w:tblPrEx>
          <w:tblW w:w="5000" w:type="pct"/>
          <w:tblLook w:val="04A0"/>
        </w:tblPrEx>
        <w:trPr>
          <w:cantSplit/>
          <w:trHeight w:val="233"/>
        </w:trPr>
        <w:tc>
          <w:tcPr>
            <w:tcW w:w="1909" w:type="pct"/>
          </w:tcPr>
          <w:p w:rsidR="00302414" w:rsidRPr="00A12166" w:rsidP="00A12166" w14:paraId="76114F8F" w14:textId="14911FDD">
            <w:pPr>
              <w:pStyle w:val="TableTextLeftHang2"/>
            </w:pPr>
            <w:r w:rsidRPr="00A12166">
              <w:t>11.2.4.b</w:t>
            </w:r>
            <w:r w:rsidRPr="00A12166">
              <w:tab/>
              <w:t>Delivery models affecting demonstration participants (e.g. Accountable Care Organizations, Patient Centered Medical Homes)</w:t>
            </w:r>
          </w:p>
        </w:tc>
        <w:tc>
          <w:tcPr>
            <w:tcW w:w="556" w:type="pct"/>
          </w:tcPr>
          <w:p w:rsidR="00302414" w:rsidP="00302414" w14:paraId="7E59EC58" w14:textId="2B85AC6F">
            <w:pPr>
              <w:spacing w:before="40" w:after="40"/>
              <w:rPr>
                <w:rFonts w:cstheme="minorHAnsi"/>
                <w:iCs/>
                <w:color w:val="646464"/>
                <w:sz w:val="20"/>
              </w:rPr>
            </w:pPr>
            <w:r>
              <w:t> </w:t>
            </w:r>
          </w:p>
        </w:tc>
        <w:tc>
          <w:tcPr>
            <w:tcW w:w="2535" w:type="pct"/>
          </w:tcPr>
          <w:p w:rsidR="00302414" w:rsidP="00302414" w14:paraId="2423E1DB" w14:textId="4234E728">
            <w:pPr>
              <w:spacing w:before="40" w:after="40"/>
              <w:rPr>
                <w:rFonts w:cstheme="minorHAnsi"/>
                <w:iCs/>
                <w:color w:val="646464"/>
                <w:sz w:val="20"/>
              </w:rPr>
            </w:pPr>
            <w:r>
              <w:t> </w:t>
            </w:r>
          </w:p>
        </w:tc>
      </w:tr>
      <w:tr w14:paraId="5941F592" w14:textId="0F9C42A3" w:rsidTr="00CB7617">
        <w:tblPrEx>
          <w:tblW w:w="5000" w:type="pct"/>
          <w:tblLook w:val="04A0"/>
        </w:tblPrEx>
        <w:trPr>
          <w:cantSplit/>
          <w:trHeight w:val="233"/>
        </w:trPr>
        <w:tc>
          <w:tcPr>
            <w:tcW w:w="1909" w:type="pct"/>
          </w:tcPr>
          <w:p w:rsidR="00302414" w:rsidRPr="00A12166" w:rsidP="00A12166" w14:paraId="37BDBCF0" w14:textId="1E802E77">
            <w:pPr>
              <w:pStyle w:val="TableTextLeftHang2"/>
            </w:pPr>
            <w:r w:rsidRPr="00A12166">
              <w:t>11.2.4.c</w:t>
            </w:r>
            <w:r w:rsidRPr="00A12166">
              <w:tab/>
              <w:t xml:space="preserve">Partners involved in service delivery </w:t>
            </w:r>
          </w:p>
        </w:tc>
        <w:tc>
          <w:tcPr>
            <w:tcW w:w="556" w:type="pct"/>
          </w:tcPr>
          <w:p w:rsidR="00302414" w:rsidP="00302414" w14:paraId="5674C8A3" w14:textId="0294B24A">
            <w:pPr>
              <w:spacing w:before="40" w:after="40"/>
              <w:rPr>
                <w:rFonts w:cstheme="minorHAnsi"/>
                <w:iCs/>
                <w:color w:val="646464"/>
                <w:sz w:val="20"/>
              </w:rPr>
            </w:pPr>
            <w:r>
              <w:t> </w:t>
            </w:r>
          </w:p>
        </w:tc>
        <w:tc>
          <w:tcPr>
            <w:tcW w:w="2535" w:type="pct"/>
          </w:tcPr>
          <w:p w:rsidR="00302414" w:rsidP="00302414" w14:paraId="78B523E7" w14:textId="1D8882AC">
            <w:pPr>
              <w:spacing w:before="40" w:after="40"/>
              <w:rPr>
                <w:rFonts w:cstheme="minorHAnsi"/>
                <w:iCs/>
                <w:color w:val="646464"/>
                <w:sz w:val="20"/>
              </w:rPr>
            </w:pPr>
            <w:r>
              <w:t> </w:t>
            </w:r>
          </w:p>
        </w:tc>
      </w:tr>
      <w:tr w14:paraId="4C74BFBC" w14:textId="582F5A10" w:rsidTr="00CB7617">
        <w:tblPrEx>
          <w:tblW w:w="5000" w:type="pct"/>
          <w:tblLook w:val="04A0"/>
        </w:tblPrEx>
        <w:trPr>
          <w:cantSplit/>
          <w:trHeight w:val="233"/>
        </w:trPr>
        <w:tc>
          <w:tcPr>
            <w:tcW w:w="1909" w:type="pct"/>
          </w:tcPr>
          <w:p w:rsidR="00302414" w:rsidRPr="00A12166" w:rsidP="00A12166" w14:paraId="7FC04C3A" w14:textId="36834227">
            <w:pPr>
              <w:pStyle w:val="TableTextLeftHang2"/>
            </w:pPr>
            <w:r w:rsidRPr="00A12166">
              <w:t>11.2.4.d</w:t>
            </w:r>
            <w:r w:rsidRPr="00A12166">
              <w:tab/>
              <w:t>The state Medicaid agency’s Memorandum of Understanding (MOU) or other agreement with its mental health services agency</w:t>
            </w:r>
          </w:p>
        </w:tc>
        <w:tc>
          <w:tcPr>
            <w:tcW w:w="556" w:type="pct"/>
          </w:tcPr>
          <w:p w:rsidR="00302414" w:rsidP="00302414" w14:paraId="23D20E21" w14:textId="1909C666">
            <w:pPr>
              <w:spacing w:before="40" w:after="40"/>
              <w:rPr>
                <w:rFonts w:cstheme="minorHAnsi"/>
                <w:iCs/>
                <w:color w:val="646464"/>
                <w:sz w:val="20"/>
              </w:rPr>
            </w:pPr>
            <w:r>
              <w:t> </w:t>
            </w:r>
          </w:p>
        </w:tc>
        <w:tc>
          <w:tcPr>
            <w:tcW w:w="2535" w:type="pct"/>
          </w:tcPr>
          <w:p w:rsidR="00302414" w:rsidP="00302414" w14:paraId="2B9F0F79" w14:textId="270CED3B">
            <w:pPr>
              <w:spacing w:before="40" w:after="40"/>
              <w:rPr>
                <w:rFonts w:cstheme="minorHAnsi"/>
                <w:iCs/>
                <w:color w:val="646464"/>
                <w:sz w:val="20"/>
              </w:rPr>
            </w:pPr>
            <w:r>
              <w:t> </w:t>
            </w:r>
          </w:p>
        </w:tc>
      </w:tr>
      <w:tr w14:paraId="0B7D7F5D" w14:textId="77777777" w:rsidTr="00457740">
        <w:tblPrEx>
          <w:tblW w:w="5000" w:type="pct"/>
          <w:tblLook w:val="04A0"/>
        </w:tblPrEx>
        <w:trPr>
          <w:cantSplit/>
          <w:trHeight w:val="220"/>
        </w:trPr>
        <w:tc>
          <w:tcPr>
            <w:tcW w:w="5000" w:type="pct"/>
            <w:gridSpan w:val="3"/>
            <w:shd w:val="clear" w:color="auto" w:fill="BFBFBF" w:themeFill="background1" w:themeFillShade="BF"/>
            <w:hideMark/>
          </w:tcPr>
          <w:p w:rsidR="001C263F" w:rsidRPr="00833201" w:rsidP="00CD358D" w14:paraId="73AE9455" w14:textId="102171DF">
            <w:pPr>
              <w:pStyle w:val="TableRowHead"/>
            </w:pPr>
            <w:r w:rsidRPr="00833201">
              <w:t>12.</w:t>
            </w:r>
            <w:r>
              <w:tab/>
            </w:r>
            <w:r w:rsidRPr="00833201">
              <w:t>S</w:t>
            </w:r>
            <w:r>
              <w:t>MI/SED</w:t>
            </w:r>
            <w:r w:rsidRPr="00833201">
              <w:t xml:space="preserve"> demonstration evaluation update</w:t>
            </w:r>
          </w:p>
        </w:tc>
      </w:tr>
      <w:tr w14:paraId="5302E3E0" w14:textId="77777777" w:rsidTr="00457740">
        <w:tblPrEx>
          <w:tblW w:w="5000" w:type="pct"/>
          <w:tblLook w:val="04A0"/>
        </w:tblPrEx>
        <w:trPr>
          <w:cantSplit/>
          <w:trHeight w:val="220"/>
        </w:trPr>
        <w:tc>
          <w:tcPr>
            <w:tcW w:w="5000" w:type="pct"/>
            <w:gridSpan w:val="3"/>
            <w:shd w:val="clear" w:color="auto" w:fill="D9D9D9"/>
            <w:hideMark/>
          </w:tcPr>
          <w:p w:rsidR="001C263F" w:rsidRPr="00833201" w:rsidP="00CD358D" w14:paraId="688BB746" w14:textId="7E5C1C8F">
            <w:pPr>
              <w:pStyle w:val="TableRowHead2"/>
            </w:pPr>
            <w:r w:rsidRPr="00833201">
              <w:t xml:space="preserve">12.1 </w:t>
            </w:r>
            <w:r>
              <w:tab/>
            </w:r>
            <w:r w:rsidRPr="00833201">
              <w:t>Narrative information</w:t>
            </w:r>
          </w:p>
        </w:tc>
      </w:tr>
      <w:tr w14:paraId="01016FBF" w14:textId="2E7C1531" w:rsidTr="00CB7617">
        <w:tblPrEx>
          <w:tblW w:w="5000" w:type="pct"/>
          <w:tblLook w:val="04A0"/>
        </w:tblPrEx>
        <w:trPr>
          <w:cantSplit/>
          <w:trHeight w:val="233"/>
        </w:trPr>
        <w:tc>
          <w:tcPr>
            <w:tcW w:w="1909" w:type="pct"/>
            <w:hideMark/>
          </w:tcPr>
          <w:p w:rsidR="00302414" w:rsidRPr="00A12166" w:rsidP="00A12166" w14:paraId="30ECF459" w14:textId="52CD59F0">
            <w:pPr>
              <w:pStyle w:val="TableTextLeftHang"/>
            </w:pPr>
            <w:r w:rsidRPr="00A12166">
              <w:t>12.1.1</w:t>
            </w:r>
            <w:r w:rsidRPr="00A12166">
              <w:tab/>
              <w:t>Provide updates on SMI/SED evaluation work and timeline.  The appropriate content will depend on when this monitoring report is due to CMS and the timing for the demonstration.  There are specific requirements per 42 Code of Federal Regulations (CFR) § 431.428a(10) for annual [monitoring] reports.  See Monitoring Report Instructions for more details</w:t>
            </w:r>
          </w:p>
        </w:tc>
        <w:tc>
          <w:tcPr>
            <w:tcW w:w="556" w:type="pct"/>
            <w:hideMark/>
          </w:tcPr>
          <w:p w:rsidR="00302414" w:rsidP="00302414" w14:paraId="3B6DDE99" w14:textId="1F5E5D8C">
            <w:pPr>
              <w:spacing w:before="40" w:after="40"/>
              <w:rPr>
                <w:rStyle w:val="Italic"/>
              </w:rPr>
            </w:pPr>
            <w:r>
              <w:t> </w:t>
            </w:r>
          </w:p>
        </w:tc>
        <w:tc>
          <w:tcPr>
            <w:tcW w:w="2535" w:type="pct"/>
          </w:tcPr>
          <w:p w:rsidR="00302414" w:rsidP="00302414" w14:paraId="6945C2AE" w14:textId="0237753E">
            <w:pPr>
              <w:spacing w:before="40" w:after="40"/>
              <w:rPr>
                <w:rFonts w:cstheme="minorHAnsi"/>
                <w:iCs/>
                <w:color w:val="646464"/>
                <w:sz w:val="20"/>
              </w:rPr>
            </w:pPr>
            <w:r>
              <w:t> </w:t>
            </w:r>
          </w:p>
        </w:tc>
      </w:tr>
      <w:tr w14:paraId="5838687E" w14:textId="344A6ACC" w:rsidTr="00CB7617">
        <w:tblPrEx>
          <w:tblW w:w="5000" w:type="pct"/>
          <w:tblLook w:val="04A0"/>
        </w:tblPrEx>
        <w:trPr>
          <w:cantSplit/>
          <w:trHeight w:val="233"/>
        </w:trPr>
        <w:tc>
          <w:tcPr>
            <w:tcW w:w="1909" w:type="pct"/>
            <w:hideMark/>
          </w:tcPr>
          <w:p w:rsidR="00302414" w:rsidRPr="00A12166" w:rsidP="00A12166" w14:paraId="2F28B5E6" w14:textId="2B003BE8">
            <w:pPr>
              <w:pStyle w:val="TableTextLeftHang"/>
            </w:pPr>
            <w:r w:rsidRPr="00A12166">
              <w:t>12.1.2</w:t>
            </w:r>
            <w:r w:rsidRPr="00A12166">
              <w:tab/>
              <w:t>Provide status updates on deliverables related to the demonstration evaluation and indicate whether the expected timelines are being met and/or if there are any real or anticipated barriers in achieving the goals and timeframes agreed to in the STCs</w:t>
            </w:r>
          </w:p>
        </w:tc>
        <w:tc>
          <w:tcPr>
            <w:tcW w:w="556" w:type="pct"/>
            <w:hideMark/>
          </w:tcPr>
          <w:p w:rsidR="00302414" w:rsidP="00302414" w14:paraId="1EF28080" w14:textId="2499738A">
            <w:pPr>
              <w:spacing w:before="40" w:after="40"/>
              <w:rPr>
                <w:rStyle w:val="Italic"/>
              </w:rPr>
            </w:pPr>
            <w:r>
              <w:t> </w:t>
            </w:r>
          </w:p>
        </w:tc>
        <w:tc>
          <w:tcPr>
            <w:tcW w:w="2535" w:type="pct"/>
          </w:tcPr>
          <w:p w:rsidR="00302414" w:rsidP="00302414" w14:paraId="25EFE8EE" w14:textId="2DF22876">
            <w:pPr>
              <w:spacing w:before="40" w:after="40"/>
              <w:rPr>
                <w:rFonts w:cstheme="minorHAnsi"/>
                <w:iCs/>
                <w:color w:val="646464"/>
                <w:sz w:val="20"/>
              </w:rPr>
            </w:pPr>
            <w:r>
              <w:t> </w:t>
            </w:r>
          </w:p>
        </w:tc>
      </w:tr>
      <w:tr w14:paraId="42B112E7" w14:textId="7FC7BD9C" w:rsidTr="00CB7617">
        <w:tblPrEx>
          <w:tblW w:w="5000" w:type="pct"/>
          <w:tblLook w:val="04A0"/>
        </w:tblPrEx>
        <w:trPr>
          <w:cantSplit/>
          <w:trHeight w:val="233"/>
        </w:trPr>
        <w:tc>
          <w:tcPr>
            <w:tcW w:w="1909" w:type="pct"/>
            <w:hideMark/>
          </w:tcPr>
          <w:p w:rsidR="00302414" w:rsidRPr="00A12166" w:rsidP="00A12166" w14:paraId="070D9A3F" w14:textId="58982309">
            <w:pPr>
              <w:pStyle w:val="TableTextLeftHang"/>
            </w:pPr>
            <w:r w:rsidRPr="00A12166">
              <w:t xml:space="preserve">12.1.3 </w:t>
            </w:r>
            <w:r w:rsidRPr="00A12166">
              <w:tab/>
              <w:t>List anticipated evaluation-related deliverables related to this demonstration and their due dates</w:t>
            </w:r>
          </w:p>
        </w:tc>
        <w:tc>
          <w:tcPr>
            <w:tcW w:w="556" w:type="pct"/>
            <w:hideMark/>
          </w:tcPr>
          <w:p w:rsidR="00302414" w:rsidP="00302414" w14:paraId="33CFB720" w14:textId="3E07119B">
            <w:pPr>
              <w:spacing w:before="40" w:after="40"/>
              <w:rPr>
                <w:rStyle w:val="Italic"/>
              </w:rPr>
            </w:pPr>
            <w:r>
              <w:t> </w:t>
            </w:r>
          </w:p>
        </w:tc>
        <w:tc>
          <w:tcPr>
            <w:tcW w:w="2535" w:type="pct"/>
          </w:tcPr>
          <w:p w:rsidR="00302414" w:rsidP="00302414" w14:paraId="2CC210FE" w14:textId="303B3FE0">
            <w:pPr>
              <w:spacing w:before="40" w:after="40"/>
              <w:rPr>
                <w:rFonts w:cstheme="minorHAnsi"/>
                <w:iCs/>
                <w:color w:val="646464"/>
                <w:sz w:val="20"/>
              </w:rPr>
            </w:pPr>
            <w:r>
              <w:t> </w:t>
            </w:r>
          </w:p>
        </w:tc>
      </w:tr>
      <w:tr w14:paraId="0BDF071A" w14:textId="77777777" w:rsidTr="00457740">
        <w:tblPrEx>
          <w:tblW w:w="5000" w:type="pct"/>
          <w:tblLook w:val="04A0"/>
        </w:tblPrEx>
        <w:trPr>
          <w:cantSplit/>
          <w:trHeight w:val="220"/>
        </w:trPr>
        <w:tc>
          <w:tcPr>
            <w:tcW w:w="5000" w:type="pct"/>
            <w:gridSpan w:val="3"/>
            <w:shd w:val="clear" w:color="auto" w:fill="BFBFBF" w:themeFill="background1" w:themeFillShade="BF"/>
            <w:hideMark/>
          </w:tcPr>
          <w:p w:rsidR="001C263F" w:rsidRPr="00833201" w:rsidP="00CD358D" w14:paraId="1E2EFE50" w14:textId="37EFB112">
            <w:pPr>
              <w:pStyle w:val="TableRowHead"/>
            </w:pPr>
            <w:r w:rsidRPr="00833201">
              <w:t xml:space="preserve">13. </w:t>
            </w:r>
            <w:r>
              <w:tab/>
            </w:r>
            <w:r w:rsidRPr="00833201">
              <w:t xml:space="preserve">Other </w:t>
            </w:r>
            <w:r w:rsidR="00CF4698">
              <w:t xml:space="preserve">SMI/SED </w:t>
            </w:r>
            <w:r w:rsidRPr="00833201">
              <w:t>demonstration reporting</w:t>
            </w:r>
          </w:p>
        </w:tc>
      </w:tr>
      <w:tr w14:paraId="19A76B11" w14:textId="77777777" w:rsidTr="00457740">
        <w:tblPrEx>
          <w:tblW w:w="5000" w:type="pct"/>
          <w:tblLook w:val="04A0"/>
        </w:tblPrEx>
        <w:trPr>
          <w:cantSplit/>
          <w:trHeight w:val="220"/>
        </w:trPr>
        <w:tc>
          <w:tcPr>
            <w:tcW w:w="5000" w:type="pct"/>
            <w:gridSpan w:val="3"/>
            <w:shd w:val="clear" w:color="auto" w:fill="D9D9D9"/>
            <w:hideMark/>
          </w:tcPr>
          <w:p w:rsidR="001C263F" w:rsidRPr="00833201" w:rsidP="00CD358D" w14:paraId="0620213A" w14:textId="072D0406">
            <w:pPr>
              <w:pStyle w:val="TableRowHead2"/>
            </w:pPr>
            <w:r w:rsidRPr="00833201">
              <w:t xml:space="preserve">13.1 </w:t>
            </w:r>
            <w:r>
              <w:tab/>
            </w:r>
            <w:r w:rsidRPr="00833201">
              <w:t>General reporting requirements</w:t>
            </w:r>
          </w:p>
        </w:tc>
      </w:tr>
      <w:tr w14:paraId="4B851DDB" w14:textId="4DB41C3B" w:rsidTr="00CB7617">
        <w:tblPrEx>
          <w:tblW w:w="5000" w:type="pct"/>
          <w:tblLook w:val="04A0"/>
        </w:tblPrEx>
        <w:trPr>
          <w:cantSplit/>
          <w:trHeight w:val="233"/>
        </w:trPr>
        <w:tc>
          <w:tcPr>
            <w:tcW w:w="1909" w:type="pct"/>
            <w:hideMark/>
          </w:tcPr>
          <w:p w:rsidR="00302414" w:rsidRPr="00833201" w:rsidP="00302414" w14:paraId="46C3191B" w14:textId="2630FFD2">
            <w:pPr>
              <w:pStyle w:val="TableTextLeftHang"/>
            </w:pPr>
            <w:r w:rsidRPr="00833201">
              <w:t xml:space="preserve">13.1.1 </w:t>
            </w:r>
            <w:r>
              <w:tab/>
            </w:r>
            <w:r w:rsidRPr="00F25337">
              <w:t>The state reports changes in its implementation of the demonstration that might necessitate a change to approved STCs, implementation plan, or monitoring protocol</w:t>
            </w:r>
          </w:p>
        </w:tc>
        <w:tc>
          <w:tcPr>
            <w:tcW w:w="556" w:type="pct"/>
          </w:tcPr>
          <w:p w:rsidR="00302414" w:rsidP="00302414" w14:paraId="33E74D16" w14:textId="455AA66B">
            <w:pPr>
              <w:spacing w:before="40" w:after="40"/>
              <w:rPr>
                <w:rStyle w:val="Italic"/>
              </w:rPr>
            </w:pPr>
            <w:r>
              <w:t> </w:t>
            </w:r>
          </w:p>
        </w:tc>
        <w:tc>
          <w:tcPr>
            <w:tcW w:w="2535" w:type="pct"/>
          </w:tcPr>
          <w:p w:rsidR="00302414" w:rsidP="00302414" w14:paraId="11ABD39C" w14:textId="41AF3DAC">
            <w:pPr>
              <w:spacing w:before="40" w:after="40"/>
              <w:rPr>
                <w:rFonts w:cstheme="minorHAnsi"/>
                <w:iCs/>
                <w:color w:val="646464"/>
                <w:sz w:val="20"/>
              </w:rPr>
            </w:pPr>
            <w:r>
              <w:t> </w:t>
            </w:r>
          </w:p>
        </w:tc>
      </w:tr>
      <w:tr w14:paraId="3E5F3DDF" w14:textId="07E1C8CA" w:rsidTr="00CB7617">
        <w:tblPrEx>
          <w:tblW w:w="5000" w:type="pct"/>
          <w:tblLook w:val="04A0"/>
        </w:tblPrEx>
        <w:trPr>
          <w:cantSplit/>
          <w:trHeight w:val="233"/>
        </w:trPr>
        <w:tc>
          <w:tcPr>
            <w:tcW w:w="1909" w:type="pct"/>
            <w:hideMark/>
          </w:tcPr>
          <w:p w:rsidR="00302414" w:rsidRPr="00833201" w:rsidP="00302414" w14:paraId="4CD744BB" w14:textId="77777777">
            <w:pPr>
              <w:pStyle w:val="TableTextLeftHang"/>
            </w:pPr>
            <w:r w:rsidRPr="00833201">
              <w:t xml:space="preserve">13.1.2 </w:t>
            </w:r>
            <w:r>
              <w:tab/>
            </w:r>
            <w:r w:rsidRPr="00833201">
              <w:t>The state anticipates the need to make future changes to the STCs, implementation plan, or monitoring protocol, based on expected or upcoming implementation changes</w:t>
            </w:r>
          </w:p>
        </w:tc>
        <w:tc>
          <w:tcPr>
            <w:tcW w:w="556" w:type="pct"/>
          </w:tcPr>
          <w:p w:rsidR="00302414" w:rsidP="00302414" w14:paraId="0A8C2B21" w14:textId="7ADDD16A">
            <w:pPr>
              <w:spacing w:before="40" w:after="40"/>
              <w:rPr>
                <w:rStyle w:val="Italic"/>
              </w:rPr>
            </w:pPr>
            <w:r>
              <w:t> </w:t>
            </w:r>
          </w:p>
        </w:tc>
        <w:tc>
          <w:tcPr>
            <w:tcW w:w="2535" w:type="pct"/>
          </w:tcPr>
          <w:p w:rsidR="00302414" w:rsidP="00302414" w14:paraId="7BE09AF0" w14:textId="2AB7B8DC">
            <w:pPr>
              <w:spacing w:before="40" w:after="40"/>
              <w:rPr>
                <w:rFonts w:cstheme="minorHAnsi"/>
                <w:iCs/>
                <w:color w:val="646464"/>
                <w:sz w:val="20"/>
              </w:rPr>
            </w:pPr>
            <w:r>
              <w:t> </w:t>
            </w:r>
          </w:p>
        </w:tc>
      </w:tr>
      <w:tr w14:paraId="337B00AD" w14:textId="72A4D3CF" w:rsidTr="00CB7617">
        <w:tblPrEx>
          <w:tblW w:w="5000" w:type="pct"/>
          <w:tblLook w:val="04A0"/>
        </w:tblPrEx>
        <w:trPr>
          <w:cantSplit/>
          <w:trHeight w:val="233"/>
        </w:trPr>
        <w:tc>
          <w:tcPr>
            <w:tcW w:w="1909" w:type="pct"/>
          </w:tcPr>
          <w:p w:rsidR="00302414" w:rsidRPr="00833201" w:rsidP="00302414" w14:paraId="687813A0" w14:textId="77777777">
            <w:pPr>
              <w:pStyle w:val="TableTextLeftHang"/>
            </w:pPr>
            <w:r w:rsidRPr="00833201">
              <w:t>13.1.</w:t>
            </w:r>
            <w:r>
              <w:t>3</w:t>
            </w:r>
            <w:r w:rsidRPr="00833201">
              <w:t xml:space="preserve"> </w:t>
            </w:r>
            <w:r>
              <w:tab/>
            </w:r>
            <w:r w:rsidRPr="00833201">
              <w:t xml:space="preserve">Compared to the demonstration design and operational details, the state expects to make the following changes to: </w:t>
            </w:r>
          </w:p>
          <w:p w:rsidR="00302414" w:rsidRPr="00833201" w:rsidP="00A12166" w14:paraId="75870A52" w14:textId="2ADE70F6">
            <w:pPr>
              <w:pStyle w:val="TableTextLeftHang2"/>
            </w:pPr>
            <w:r>
              <w:t>13.1.3.a</w:t>
            </w:r>
            <w:r>
              <w:tab/>
            </w:r>
            <w:r w:rsidRPr="00833201">
              <w:t>The schedule for completing and submitting monitoring reports</w:t>
            </w:r>
          </w:p>
        </w:tc>
        <w:tc>
          <w:tcPr>
            <w:tcW w:w="556" w:type="pct"/>
          </w:tcPr>
          <w:p w:rsidR="00302414" w:rsidP="00302414" w14:paraId="23454529" w14:textId="653B9262">
            <w:pPr>
              <w:spacing w:before="40" w:after="40"/>
              <w:rPr>
                <w:rFonts w:cstheme="minorHAnsi"/>
                <w:iCs/>
                <w:color w:val="646464"/>
                <w:sz w:val="20"/>
              </w:rPr>
            </w:pPr>
            <w:r>
              <w:t> </w:t>
            </w:r>
          </w:p>
        </w:tc>
        <w:tc>
          <w:tcPr>
            <w:tcW w:w="2535" w:type="pct"/>
          </w:tcPr>
          <w:p w:rsidR="00302414" w:rsidP="00302414" w14:paraId="385E9852" w14:textId="396B97DD">
            <w:pPr>
              <w:spacing w:before="40" w:after="40"/>
              <w:rPr>
                <w:rFonts w:cstheme="minorHAnsi"/>
                <w:iCs/>
                <w:color w:val="646464"/>
                <w:sz w:val="20"/>
              </w:rPr>
            </w:pPr>
            <w:r>
              <w:t> </w:t>
            </w:r>
          </w:p>
        </w:tc>
      </w:tr>
      <w:tr w14:paraId="6E90BB67" w14:textId="20065FD4" w:rsidTr="00CB7617">
        <w:tblPrEx>
          <w:tblW w:w="5000" w:type="pct"/>
          <w:tblLook w:val="04A0"/>
        </w:tblPrEx>
        <w:trPr>
          <w:cantSplit/>
          <w:trHeight w:val="233"/>
        </w:trPr>
        <w:tc>
          <w:tcPr>
            <w:tcW w:w="1909" w:type="pct"/>
            <w:hideMark/>
          </w:tcPr>
          <w:p w:rsidR="00302414" w:rsidRPr="00833201" w:rsidP="00A12166" w14:paraId="23C1C2EE" w14:textId="32A04677">
            <w:pPr>
              <w:pStyle w:val="TableTextLeftHang2"/>
            </w:pPr>
            <w:r w:rsidRPr="00833201">
              <w:t>13.1.</w:t>
            </w:r>
            <w:r>
              <w:t>3.b</w:t>
            </w:r>
            <w:r w:rsidRPr="00833201">
              <w:t xml:space="preserve"> </w:t>
            </w:r>
            <w:r>
              <w:tab/>
            </w:r>
            <w:r w:rsidRPr="00833201">
              <w:t xml:space="preserve">The content or completeness of submitted </w:t>
            </w:r>
            <w:r>
              <w:t xml:space="preserve">monitoring </w:t>
            </w:r>
            <w:r w:rsidRPr="00833201">
              <w:t>reports and/or future</w:t>
            </w:r>
            <w:r>
              <w:t xml:space="preserve"> monitoring</w:t>
            </w:r>
            <w:r w:rsidRPr="00833201">
              <w:t xml:space="preserve"> reports</w:t>
            </w:r>
            <w:r w:rsidRPr="00833201">
              <w:t xml:space="preserve"> </w:t>
            </w:r>
          </w:p>
        </w:tc>
        <w:tc>
          <w:tcPr>
            <w:tcW w:w="556" w:type="pct"/>
          </w:tcPr>
          <w:p w:rsidR="00302414" w:rsidP="00302414" w14:paraId="0BBD0C62" w14:textId="6FADC017">
            <w:pPr>
              <w:spacing w:before="40" w:after="40"/>
              <w:rPr>
                <w:rStyle w:val="Italic"/>
              </w:rPr>
            </w:pPr>
            <w:r>
              <w:t> </w:t>
            </w:r>
          </w:p>
        </w:tc>
        <w:tc>
          <w:tcPr>
            <w:tcW w:w="2535" w:type="pct"/>
          </w:tcPr>
          <w:p w:rsidR="00302414" w:rsidP="00302414" w14:paraId="2F96F9EB" w14:textId="77AF2524">
            <w:pPr>
              <w:spacing w:before="40" w:after="40"/>
              <w:rPr>
                <w:rFonts w:cstheme="minorHAnsi"/>
                <w:iCs/>
                <w:color w:val="646464"/>
                <w:sz w:val="20"/>
              </w:rPr>
            </w:pPr>
            <w:r>
              <w:t> </w:t>
            </w:r>
          </w:p>
        </w:tc>
      </w:tr>
      <w:tr w14:paraId="175E8AD7" w14:textId="4DFE8529" w:rsidTr="00CB7617">
        <w:tblPrEx>
          <w:tblW w:w="5000" w:type="pct"/>
          <w:tblLook w:val="04A0"/>
        </w:tblPrEx>
        <w:trPr>
          <w:cantSplit/>
          <w:trHeight w:val="233"/>
        </w:trPr>
        <w:tc>
          <w:tcPr>
            <w:tcW w:w="1909" w:type="pct"/>
            <w:hideMark/>
          </w:tcPr>
          <w:p w:rsidR="00302414" w:rsidRPr="00A12166" w:rsidP="00A12166" w14:paraId="41725A46" w14:textId="6399BE78">
            <w:pPr>
              <w:pStyle w:val="TableTextLeftHang"/>
            </w:pPr>
            <w:bookmarkStart w:id="24" w:name="_Hlk58584900"/>
            <w:r w:rsidRPr="00A12166">
              <w:t>13.1.4</w:t>
            </w:r>
            <w:r w:rsidRPr="00A12166">
              <w:tab/>
              <w:t>The state identified real or anticipated issues submitting timely post-approval demonstration deliverables, including a plan for remediation</w:t>
            </w:r>
            <w:r w:rsidRPr="00A12166">
              <w:t xml:space="preserve"> </w:t>
            </w:r>
          </w:p>
        </w:tc>
        <w:tc>
          <w:tcPr>
            <w:tcW w:w="556" w:type="pct"/>
          </w:tcPr>
          <w:p w:rsidR="00302414" w:rsidP="00302414" w14:paraId="602C1CED" w14:textId="1530E0C6">
            <w:pPr>
              <w:spacing w:before="40" w:after="40"/>
              <w:rPr>
                <w:rStyle w:val="Italic"/>
              </w:rPr>
            </w:pPr>
            <w:r>
              <w:t> </w:t>
            </w:r>
          </w:p>
        </w:tc>
        <w:tc>
          <w:tcPr>
            <w:tcW w:w="2535" w:type="pct"/>
          </w:tcPr>
          <w:p w:rsidR="00302414" w:rsidP="00302414" w14:paraId="3847591A" w14:textId="0F2BC7CD">
            <w:pPr>
              <w:spacing w:before="40" w:after="40"/>
              <w:rPr>
                <w:rFonts w:cstheme="minorHAnsi"/>
                <w:iCs/>
                <w:color w:val="646464"/>
                <w:sz w:val="20"/>
              </w:rPr>
            </w:pPr>
            <w:r>
              <w:t> </w:t>
            </w:r>
          </w:p>
        </w:tc>
      </w:tr>
      <w:bookmarkEnd w:id="24"/>
      <w:tr w14:paraId="503E218F" w14:textId="243200CE" w:rsidTr="00CB7617">
        <w:tblPrEx>
          <w:tblW w:w="5000" w:type="pct"/>
          <w:tblLook w:val="04A0"/>
        </w:tblPrEx>
        <w:trPr>
          <w:cantSplit/>
          <w:trHeight w:val="233"/>
        </w:trPr>
        <w:tc>
          <w:tcPr>
            <w:tcW w:w="1909" w:type="pct"/>
          </w:tcPr>
          <w:p w:rsidR="00302414" w:rsidRPr="00A12166" w:rsidP="00A12166" w14:paraId="3D84C2C2" w14:textId="0D22D72E">
            <w:pPr>
              <w:pStyle w:val="TableTextLeftHang"/>
            </w:pPr>
            <w:r w:rsidRPr="00A12166">
              <w:t>13.1.5</w:t>
            </w:r>
            <w:r w:rsidRPr="00A12166">
              <w:tab/>
              <w:t>Provide updates on the results of beneficiary satisfaction surveys, if conducted during the reporting year, including updates on grievances and appeals from beneficiaries, per 42 CFR 431.428(a)5</w:t>
            </w:r>
          </w:p>
        </w:tc>
        <w:tc>
          <w:tcPr>
            <w:tcW w:w="556" w:type="pct"/>
          </w:tcPr>
          <w:p w:rsidR="00302414" w:rsidP="00302414" w14:paraId="3E8D5D39" w14:textId="1D9CBBF9">
            <w:pPr>
              <w:spacing w:before="40" w:after="40"/>
              <w:rPr>
                <w:rFonts w:cstheme="minorHAnsi"/>
                <w:iCs/>
                <w:color w:val="646464"/>
                <w:sz w:val="20"/>
              </w:rPr>
            </w:pPr>
            <w:r>
              <w:t> </w:t>
            </w:r>
          </w:p>
        </w:tc>
        <w:tc>
          <w:tcPr>
            <w:tcW w:w="2535" w:type="pct"/>
          </w:tcPr>
          <w:p w:rsidR="00302414" w:rsidP="00302414" w14:paraId="2D55A7D1" w14:textId="20E3F149">
            <w:pPr>
              <w:spacing w:before="40" w:after="40"/>
              <w:rPr>
                <w:rFonts w:cstheme="minorHAnsi"/>
                <w:iCs/>
                <w:color w:val="646464"/>
                <w:sz w:val="20"/>
              </w:rPr>
            </w:pPr>
            <w:r>
              <w:t> </w:t>
            </w:r>
          </w:p>
        </w:tc>
      </w:tr>
      <w:tr w14:paraId="28F840AC" w14:textId="77777777" w:rsidTr="00457740">
        <w:tblPrEx>
          <w:tblW w:w="5000" w:type="pct"/>
          <w:tblLook w:val="04A0"/>
        </w:tblPrEx>
        <w:trPr>
          <w:cantSplit/>
          <w:trHeight w:val="220"/>
        </w:trPr>
        <w:tc>
          <w:tcPr>
            <w:tcW w:w="5000" w:type="pct"/>
            <w:gridSpan w:val="3"/>
            <w:shd w:val="clear" w:color="auto" w:fill="D9D9D9"/>
            <w:hideMark/>
          </w:tcPr>
          <w:p w:rsidR="001C263F" w:rsidRPr="00833201" w:rsidP="008E2259" w14:paraId="3C411CBD" w14:textId="4A13D39E">
            <w:pPr>
              <w:pStyle w:val="TableRowHead2"/>
              <w:pageBreakBefore/>
              <w:widowControl/>
            </w:pPr>
            <w:r w:rsidRPr="00833201">
              <w:t xml:space="preserve">13.2 </w:t>
            </w:r>
            <w:r>
              <w:tab/>
            </w:r>
            <w:r w:rsidRPr="00833201">
              <w:t>Post-award public forum</w:t>
            </w:r>
          </w:p>
        </w:tc>
      </w:tr>
      <w:tr w14:paraId="12E487DC" w14:textId="1DA5815C" w:rsidTr="00CB7617">
        <w:tblPrEx>
          <w:tblW w:w="5000" w:type="pct"/>
          <w:tblLook w:val="04A0"/>
        </w:tblPrEx>
        <w:trPr>
          <w:cantSplit/>
          <w:trHeight w:val="233"/>
        </w:trPr>
        <w:tc>
          <w:tcPr>
            <w:tcW w:w="1909" w:type="pct"/>
            <w:hideMark/>
          </w:tcPr>
          <w:p w:rsidR="00302414" w:rsidRPr="00833201" w:rsidP="00A12166" w14:paraId="56D5E14C" w14:textId="4D47D156">
            <w:pPr>
              <w:pStyle w:val="TableTextLeftHang"/>
            </w:pPr>
            <w:r w:rsidRPr="00833201">
              <w:t>13.2.2</w:t>
            </w:r>
            <w:r>
              <w:tab/>
            </w:r>
            <w:r w:rsidRPr="00C307C0">
              <w:t>If applicable within the timing of the demonstration, provide a summary of the annual post-award public forum held pursuant to 42 CFR § 431.420(c) indicating any resulting action items or issues.  A summary of the post-award public forum must be included here for the period during which the forum was held and in the annual monitoring report</w:t>
            </w:r>
          </w:p>
        </w:tc>
        <w:tc>
          <w:tcPr>
            <w:tcW w:w="556" w:type="pct"/>
          </w:tcPr>
          <w:p w:rsidR="00302414" w:rsidP="00302414" w14:paraId="00DF55A0" w14:textId="2DDA6E30">
            <w:pPr>
              <w:spacing w:before="40" w:after="40"/>
              <w:rPr>
                <w:rStyle w:val="Italic"/>
              </w:rPr>
            </w:pPr>
            <w:r>
              <w:t> </w:t>
            </w:r>
          </w:p>
        </w:tc>
        <w:tc>
          <w:tcPr>
            <w:tcW w:w="2535" w:type="pct"/>
          </w:tcPr>
          <w:p w:rsidR="00302414" w:rsidP="00302414" w14:paraId="716064FC" w14:textId="2FC1FFB4">
            <w:pPr>
              <w:spacing w:before="40" w:after="40"/>
              <w:rPr>
                <w:rFonts w:cstheme="minorHAnsi"/>
                <w:iCs/>
                <w:color w:val="646464"/>
                <w:sz w:val="20"/>
              </w:rPr>
            </w:pPr>
            <w:r>
              <w:t> </w:t>
            </w:r>
          </w:p>
        </w:tc>
      </w:tr>
      <w:tr w14:paraId="0AB50722" w14:textId="77777777" w:rsidTr="00457740">
        <w:tblPrEx>
          <w:tblW w:w="5000" w:type="pct"/>
          <w:tblLook w:val="04A0"/>
        </w:tblPrEx>
        <w:trPr>
          <w:cantSplit/>
          <w:trHeight w:val="220"/>
        </w:trPr>
        <w:tc>
          <w:tcPr>
            <w:tcW w:w="5000" w:type="pct"/>
            <w:gridSpan w:val="3"/>
            <w:shd w:val="clear" w:color="auto" w:fill="BFBFBF" w:themeFill="background1" w:themeFillShade="BF"/>
            <w:hideMark/>
          </w:tcPr>
          <w:p w:rsidR="008E2259" w:rsidRPr="00833201" w:rsidP="00AB128F" w14:paraId="643CC741" w14:textId="1A0F0B17">
            <w:pPr>
              <w:pStyle w:val="TableRowHead"/>
            </w:pPr>
            <w:r w:rsidRPr="00833201">
              <w:t xml:space="preserve">14. </w:t>
            </w:r>
            <w:r>
              <w:tab/>
            </w:r>
            <w:r w:rsidRPr="00833201">
              <w:t>Notable state achievements and/or innovations</w:t>
            </w:r>
          </w:p>
        </w:tc>
      </w:tr>
      <w:tr w14:paraId="5D3AE75E" w14:textId="77777777" w:rsidTr="00457740">
        <w:tblPrEx>
          <w:tblW w:w="5000" w:type="pct"/>
          <w:tblLook w:val="04A0"/>
        </w:tblPrEx>
        <w:trPr>
          <w:cantSplit/>
          <w:trHeight w:val="220"/>
        </w:trPr>
        <w:tc>
          <w:tcPr>
            <w:tcW w:w="5000" w:type="pct"/>
            <w:gridSpan w:val="3"/>
            <w:shd w:val="clear" w:color="auto" w:fill="D9D9D9"/>
            <w:hideMark/>
          </w:tcPr>
          <w:p w:rsidR="008E2259" w:rsidRPr="00833201" w:rsidP="00AB128F" w14:paraId="5DDF5E8B" w14:textId="1C00CAD8">
            <w:pPr>
              <w:pStyle w:val="TableRowHead2"/>
            </w:pPr>
            <w:r w:rsidRPr="00833201">
              <w:t xml:space="preserve">14.1 </w:t>
            </w:r>
            <w:r>
              <w:tab/>
            </w:r>
            <w:r w:rsidRPr="00833201">
              <w:t>Narrative information</w:t>
            </w:r>
          </w:p>
        </w:tc>
      </w:tr>
      <w:tr w14:paraId="421FF2C9" w14:textId="779F657D" w:rsidTr="00CB7617">
        <w:tblPrEx>
          <w:tblW w:w="5000" w:type="pct"/>
          <w:tblLook w:val="04A0"/>
        </w:tblPrEx>
        <w:trPr>
          <w:cantSplit/>
          <w:trHeight w:val="233"/>
        </w:trPr>
        <w:tc>
          <w:tcPr>
            <w:tcW w:w="1909" w:type="pct"/>
            <w:hideMark/>
          </w:tcPr>
          <w:p w:rsidR="00302414" w:rsidRPr="00833201" w:rsidP="00302414" w14:paraId="37CAD811" w14:textId="5E8370A3">
            <w:pPr>
              <w:pStyle w:val="TableTextLeftHang"/>
            </w:pPr>
            <w:r w:rsidRPr="00833201">
              <w:t xml:space="preserve">14.1.1 </w:t>
            </w:r>
            <w:r>
              <w:tab/>
            </w:r>
            <w:r w:rsidRPr="00C307C0">
              <w:t>Provide any relevant summary of achievements and/or innovations in demonstration enrollment, benefits, operations, and policies pursuant to the hypotheses of the SMI/SED (or if broader demonstration, then SMI/SED related) demonstration or that served to provide better care for individuals, better health for populations, and/or reduce per capita cost.  Achievements should focus on significant impacts to beneficiary outcomes.  Whenever possible, the summary should describe the achievement or innovation in quantifiable terms, e.g., number of impacted beneficiaries</w:t>
            </w:r>
          </w:p>
        </w:tc>
        <w:tc>
          <w:tcPr>
            <w:tcW w:w="556" w:type="pct"/>
          </w:tcPr>
          <w:p w:rsidR="00302414" w:rsidP="00302414" w14:paraId="6ED024C8" w14:textId="1C03D4AE">
            <w:pPr>
              <w:spacing w:before="40" w:after="40"/>
              <w:rPr>
                <w:rStyle w:val="Italic"/>
              </w:rPr>
            </w:pPr>
            <w:r>
              <w:t> </w:t>
            </w:r>
          </w:p>
        </w:tc>
        <w:tc>
          <w:tcPr>
            <w:tcW w:w="2535" w:type="pct"/>
          </w:tcPr>
          <w:p w:rsidR="00302414" w:rsidP="00302414" w14:paraId="3905754E" w14:textId="5A02D5A1">
            <w:pPr>
              <w:spacing w:before="40" w:after="40"/>
              <w:rPr>
                <w:rFonts w:cstheme="minorHAnsi"/>
                <w:iCs/>
                <w:color w:val="646464"/>
                <w:sz w:val="20"/>
              </w:rPr>
            </w:pPr>
            <w:r>
              <w:t> </w:t>
            </w:r>
          </w:p>
        </w:tc>
      </w:tr>
    </w:tbl>
    <w:bookmarkEnd w:id="23"/>
    <w:p w:rsidR="008F7153" w:rsidP="008F7153" w14:paraId="5EB1D2AC" w14:textId="77777777">
      <w:pPr>
        <w:pStyle w:val="TableFootnote"/>
        <w:ind w:left="630" w:hanging="630"/>
        <w:rPr>
          <w:rFonts w:eastAsia="Times New Roman" w:asciiTheme="minorHAnsi" w:hAnsiTheme="minorHAnsi" w:cstheme="minorHAnsi"/>
          <w:szCs w:val="20"/>
        </w:rPr>
      </w:pPr>
      <w:r>
        <w:rPr>
          <w:rFonts w:asciiTheme="minorHAnsi" w:hAnsiTheme="minorHAnsi" w:cstheme="minorHAnsi"/>
        </w:rPr>
        <w:t>*The state should remove all example text from the table prior to submission.</w:t>
      </w:r>
    </w:p>
    <w:p w:rsidR="008F7153" w:rsidP="008F7153" w14:paraId="66EBFF87" w14:textId="77777777">
      <w:pPr>
        <w:pStyle w:val="TableFootnote"/>
        <w:ind w:left="630" w:hanging="630"/>
        <w:rPr>
          <w:rFonts w:asciiTheme="minorHAnsi" w:hAnsiTheme="minorHAnsi" w:cstheme="minorHAnsi"/>
        </w:rPr>
      </w:pPr>
      <w:r>
        <w:rPr>
          <w:rFonts w:asciiTheme="minorHAnsi" w:hAnsiTheme="minorHAnsi" w:cstheme="minorHAnsi"/>
        </w:rPr>
        <w:t xml:space="preserve">Note: </w:t>
      </w:r>
      <w:r>
        <w:rPr>
          <w:rFonts w:asciiTheme="minorHAnsi" w:hAnsiTheme="minorHAnsi" w:cstheme="minorHAnsi"/>
        </w:rPr>
        <w:tab/>
        <w:t xml:space="preserve">Licensee and states must prominently display the following notice on any display of Measure rates: </w:t>
      </w:r>
    </w:p>
    <w:p w:rsidR="008D1F28" w:rsidP="00750ACB" w14:paraId="4DD036B4" w14:textId="77777777">
      <w:pPr>
        <w:pStyle w:val="TableFootnote"/>
        <w:spacing w:line="240" w:lineRule="auto"/>
        <w:ind w:left="634"/>
        <w:rPr>
          <w:rStyle w:val="Italic"/>
          <w:rFonts w:eastAsia="Calibri"/>
        </w:rPr>
      </w:pPr>
      <w:r w:rsidRPr="008D1F28">
        <w:rPr>
          <w:rStyle w:val="Italic"/>
          <w:rFonts w:eastAsia="Calibri"/>
        </w:rPr>
        <w:t>The MPT, FUH-CH, FUH-AD, FUA-AD, FUM-AD, AAP, and APM  measures (#13, 14, 15, 16, 17, 18, 7, 8, 9, 10, 26, 29) are Healthcare Effectiveness Data and Information Set (HEDIS®) measures that are owned and copyrighted by the National Committee for Quality Assurance (NCQA). HEDIS measures and specifications are not clinical guidelines, do not establish a standard of medical care and have not been tested for all potential applications. The measures and specifications are provided “as is” without warranty of any kind. NCQA makes no representations, warranties or endorsements about the quality of any product, test or protocol identified as numerator compliant or otherwise identified as meeting the requirements of a HEDIS measure or specification. NCQA makes no representations, warranties, or endorsement about the quality of any organization or clinician who uses or reports performance measures and NCQA has no liability to anyone who relies on HEDIS measures or specifications or data reflective of performance under such measures and specifications.</w:t>
      </w:r>
    </w:p>
    <w:p w:rsidR="00EE55CD" w:rsidRPr="000D1FF5" w:rsidP="00750ACB" w14:paraId="539F509A" w14:textId="2597173F">
      <w:pPr>
        <w:pStyle w:val="TableFootnote"/>
        <w:spacing w:line="240" w:lineRule="auto"/>
        <w:ind w:left="634"/>
      </w:pPr>
      <w:r w:rsidRPr="008D1F28">
        <w:rPr>
          <w:rStyle w:val="Italic"/>
          <w:rFonts w:eastAsia="Calibri"/>
        </w:rPr>
        <w:t>The measure specification methodology used by CMS is different from NCQA’s methodology. NCQA has not validated the adjusted measure specifications but has granted CMS permission to adjust. A calculated measure result (a “rate”) from a HEDIS measure that has not been certified via NCQA’s Measure Certification Program, and is based on adjusted HEDIS specifications, may not be called a “HEDIS rate” until it is audited and designated reportable by an NCQA-Certified HEDIS Compliance Auditor. Until such time, such measure rates shall be designated or referred to as “Adjusted, Uncertified, Unaudited HEDIS rates.”</w:t>
      </w:r>
    </w:p>
    <w:sectPr w:rsidSect="00613D10">
      <w:headerReference w:type="default" r:id="rId13"/>
      <w:footerReference w:type="default" r:id="rId14"/>
      <w:headerReference w:type="first" r:id="rId15"/>
      <w:footerReference w:type="first" r:id="rId16"/>
      <w:pgSz w:w="15840" w:h="12240" w:orient="landscape"/>
      <w:pgMar w:top="1440" w:right="1440" w:bottom="1440" w:left="1440"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6F9D" w:rsidRPr="00646795" w:rsidP="00C726A6" w14:paraId="516664A5" w14:textId="70789BC1">
    <w:pPr>
      <w:pStyle w:val="Footer"/>
    </w:pPr>
    <w:r w:rsidRPr="00646795">
      <w:tab/>
    </w:r>
    <w:r w:rsidRPr="00646795">
      <w:fldChar w:fldCharType="begin"/>
    </w:r>
    <w:r w:rsidRPr="00646795">
      <w:instrText xml:space="preserve"> PAGE </w:instrText>
    </w:r>
    <w:r w:rsidRPr="00646795">
      <w:fldChar w:fldCharType="separate"/>
    </w:r>
    <w:r w:rsidRPr="00646795">
      <w:t>6</w:t>
    </w:r>
    <w:r w:rsidRPr="0064679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6F9D" w:rsidRPr="00A37298" w:rsidP="005F4D39" w14:paraId="6E8F6AEA" w14:textId="0154E36F">
    <w:pPr>
      <w:pStyle w:val="Footer"/>
      <w:tabs>
        <w:tab w:val="clear" w:pos="10080"/>
        <w:tab w:val="right" w:pos="13680"/>
      </w:tabs>
    </w:pPr>
    <w:r>
      <w:tab/>
    </w:r>
    <w:r w:rsidRPr="00967B6B">
      <w:fldChar w:fldCharType="begin"/>
    </w:r>
    <w:r w:rsidRPr="00967B6B">
      <w:instrText xml:space="preserve"> PAGE </w:instrText>
    </w:r>
    <w:r w:rsidRPr="00967B6B">
      <w:fldChar w:fldCharType="separate"/>
    </w:r>
    <w:r>
      <w:t>2</w:t>
    </w:r>
    <w:r w:rsidRPr="00967B6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6F9D" w14:paraId="2135FDE5" w14:textId="244DB580">
    <w:pPr>
      <w:pStyle w:val="Footer"/>
    </w:pPr>
    <w:r>
      <w:tab/>
    </w:r>
    <w:r>
      <w:tab/>
    </w:r>
    <w:r w:rsidRPr="00967B6B">
      <w:fldChar w:fldCharType="begin"/>
    </w:r>
    <w:r w:rsidRPr="00967B6B">
      <w:instrText xml:space="preserve"> PAGE </w:instrText>
    </w:r>
    <w:r w:rsidRPr="00967B6B">
      <w:fldChar w:fldCharType="separate"/>
    </w:r>
    <w:r>
      <w:t>2</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6F9D" w:rsidRPr="00612949" w:rsidP="00612949" w14:paraId="1B61432C" w14:textId="780E15C6">
    <w:pPr>
      <w:pStyle w:val="Header"/>
    </w:pPr>
    <w:bookmarkStart w:id="12" w:name="_Hlk36641549"/>
    <w:bookmarkStart w:id="13" w:name="_Hlk36641550"/>
    <w:bookmarkStart w:id="14" w:name="_Hlk36641553"/>
    <w:bookmarkStart w:id="15" w:name="_Hlk36641554"/>
    <w:bookmarkStart w:id="16" w:name="_Hlk36641555"/>
    <w:bookmarkStart w:id="17" w:name="_Hlk36641556"/>
    <w:bookmarkStart w:id="18" w:name="_Hlk38037729"/>
    <w:bookmarkStart w:id="19" w:name="_Hlk38037730"/>
    <w:r w:rsidRPr="00612949">
      <w:t>Medicaid Section 1115 S</w:t>
    </w:r>
    <w:r>
      <w:t>MI/SED</w:t>
    </w:r>
    <w:r w:rsidRPr="00612949">
      <w:t xml:space="preserve"> Demonstrations Monitoring Report – Part B Version </w:t>
    </w:r>
    <w:r>
      <w:t>3</w:t>
    </w:r>
    <w:r w:rsidRPr="00612949">
      <w:t>.0</w:t>
    </w:r>
    <w:bookmarkEnd w:id="12"/>
    <w:bookmarkEnd w:id="13"/>
    <w:bookmarkEnd w:id="14"/>
    <w:bookmarkEnd w:id="15"/>
    <w:bookmarkEnd w:id="16"/>
    <w:bookmarkEnd w:id="17"/>
    <w:bookmarkEnd w:id="18"/>
    <w:bookmarkEnd w:id="19"/>
  </w:p>
  <w:p w:rsidR="00916F9D" w:rsidRPr="001E215E" w:rsidP="00612949" w14:paraId="7D5AA47B" w14:textId="77777777">
    <w:pPr>
      <w:pStyle w:val="Header"/>
      <w:rPr>
        <w:color w:val="6F6F6F"/>
      </w:rPr>
    </w:pPr>
    <w:r w:rsidRPr="001E215E">
      <w:rPr>
        <w:color w:val="6F6F6F"/>
      </w:rPr>
      <w:t>[State name</w:t>
    </w:r>
    <w:r w:rsidRPr="001E215E">
      <w:rPr>
        <w:i/>
        <w:iCs/>
        <w:color w:val="6F6F6F"/>
      </w:rPr>
      <w:t xml:space="preserve"> – automatically populated</w:t>
    </w:r>
    <w:r w:rsidRPr="001E215E">
      <w:rPr>
        <w:color w:val="6F6F6F"/>
      </w:rPr>
      <w:t>] [Demonstration name</w:t>
    </w:r>
    <w:r w:rsidRPr="001E215E">
      <w:rPr>
        <w:i/>
        <w:iCs/>
        <w:color w:val="6F6F6F"/>
      </w:rPr>
      <w:t xml:space="preserve"> – automatically populated</w:t>
    </w:r>
    <w:r w:rsidRPr="001E215E">
      <w:rPr>
        <w:color w:val="6F6F6F"/>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6F9D" w:rsidRPr="00C53BA8" w:rsidP="00C53BA8" w14:paraId="29AD8BE4" w14:textId="1599F140">
    <w:pPr>
      <w:pStyle w:val="Header"/>
      <w:tabs>
        <w:tab w:val="clear" w:pos="10080"/>
        <w:tab w:val="right" w:pos="12960"/>
      </w:tabs>
    </w:pPr>
    <w:r w:rsidRPr="00C53BA8">
      <w:t xml:space="preserve">Medicaid Section 1115 </w:t>
    </w:r>
    <w:r>
      <w:t>SMI/SED</w:t>
    </w:r>
    <w:r w:rsidRPr="00C53BA8">
      <w:t xml:space="preserve"> Demonstrations Monitoring Report – Part B Version </w:t>
    </w:r>
    <w:r>
      <w:t>3</w:t>
    </w:r>
    <w:r w:rsidRPr="00C53BA8">
      <w:t>.0</w:t>
    </w:r>
  </w:p>
  <w:p w:rsidR="00916F9D" w:rsidRPr="001E215E" w:rsidP="00613D10" w14:paraId="01DC62ED" w14:textId="77777777">
    <w:pPr>
      <w:pStyle w:val="Header"/>
      <w:tabs>
        <w:tab w:val="clear" w:pos="10080"/>
        <w:tab w:val="right" w:pos="12960"/>
      </w:tabs>
      <w:rPr>
        <w:color w:val="6F6F6F"/>
      </w:rPr>
    </w:pPr>
    <w:r w:rsidRPr="001E215E">
      <w:rPr>
        <w:color w:val="6F6F6F"/>
      </w:rPr>
      <w:t xml:space="preserve">[State name – </w:t>
    </w:r>
    <w:r w:rsidRPr="001E215E">
      <w:rPr>
        <w:i/>
        <w:iCs/>
        <w:color w:val="6F6F6F"/>
      </w:rPr>
      <w:t>automatically populated</w:t>
    </w:r>
    <w:r w:rsidRPr="001E215E">
      <w:rPr>
        <w:color w:val="6F6F6F"/>
      </w:rPr>
      <w:t xml:space="preserve">] [Demonstration name – </w:t>
    </w:r>
    <w:r w:rsidRPr="001E215E">
      <w:rPr>
        <w:i/>
        <w:iCs/>
        <w:color w:val="6F6F6F"/>
      </w:rPr>
      <w:t>automatically populated</w:t>
    </w:r>
    <w:r w:rsidRPr="001E215E">
      <w:rPr>
        <w:color w:val="6F6F6F"/>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6F9D" w:rsidRPr="00077AA2" w:rsidP="00A35789" w14:paraId="641B4E4B" w14:textId="2C14773D">
    <w:pPr>
      <w:pStyle w:val="Header"/>
    </w:pPr>
    <w:r>
      <w:t>Medicaid Section 1115 SMI/SED Demonstrations Monitoring Report – Part B Version 3.0</w:t>
    </w:r>
  </w:p>
  <w:p w:rsidR="00916F9D" w:rsidRPr="001E215E" w:rsidP="00A35789" w14:paraId="06977E66" w14:textId="77777777">
    <w:pPr>
      <w:pStyle w:val="Header"/>
      <w:rPr>
        <w:color w:val="6F6F6F"/>
      </w:rPr>
    </w:pPr>
    <w:r w:rsidRPr="001E215E">
      <w:rPr>
        <w:rFonts w:ascii="Times New Roman" w:hAnsi="Times New Roman"/>
        <w:color w:val="6F6F6F"/>
        <w:szCs w:val="24"/>
      </w:rPr>
      <w:t xml:space="preserve">[State name – </w:t>
    </w:r>
    <w:r w:rsidRPr="001E215E">
      <w:rPr>
        <w:rFonts w:ascii="Times New Roman" w:hAnsi="Times New Roman"/>
        <w:i/>
        <w:iCs/>
        <w:color w:val="6F6F6F"/>
        <w:szCs w:val="24"/>
      </w:rPr>
      <w:t>automatically populated</w:t>
    </w:r>
    <w:r w:rsidRPr="001E215E">
      <w:rPr>
        <w:rFonts w:ascii="Times New Roman" w:hAnsi="Times New Roman"/>
        <w:color w:val="6F6F6F"/>
        <w:szCs w:val="24"/>
      </w:rPr>
      <w:t xml:space="preserve">] [Demonstration name – </w:t>
    </w:r>
    <w:r w:rsidRPr="001E215E">
      <w:rPr>
        <w:rFonts w:ascii="Times New Roman" w:hAnsi="Times New Roman"/>
        <w:i/>
        <w:iCs/>
        <w:color w:val="6F6F6F"/>
        <w:szCs w:val="24"/>
      </w:rPr>
      <w:t>automatically populated</w:t>
    </w:r>
    <w:r w:rsidRPr="001E215E">
      <w:rPr>
        <w:rFonts w:ascii="Times New Roman" w:hAnsi="Times New Roman"/>
        <w:color w:val="6F6F6F"/>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7F8CAA20"/>
    <w:lvl w:ilvl="0">
      <w:start w:val="1"/>
      <w:numFmt w:val="decimal"/>
      <w:pStyle w:val="ListNumber5"/>
      <w:lvlText w:val="%1."/>
      <w:lvlJc w:val="left"/>
      <w:pPr>
        <w:tabs>
          <w:tab w:val="num" w:pos="2160"/>
        </w:tabs>
        <w:ind w:left="2160" w:hanging="360"/>
      </w:pPr>
      <w:rPr>
        <w:rFonts w:hint="default"/>
        <w:b/>
        <w:i w:val="0"/>
      </w:rPr>
    </w:lvl>
  </w:abstractNum>
  <w:abstractNum w:abstractNumId="1">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33E4FBAC"/>
    <w:lvl w:ilvl="0">
      <w:start w:val="1"/>
      <w:numFmt w:val="bullet"/>
      <w:pStyle w:val="ListBullet5"/>
      <w:lvlText w:val="o"/>
      <w:lvlJc w:val="left"/>
      <w:pPr>
        <w:ind w:left="1800" w:hanging="360"/>
      </w:pPr>
      <w:rPr>
        <w:rFonts w:ascii="Courier New" w:hAnsi="Courier New" w:cs="Courier New" w:hint="default"/>
      </w:rPr>
    </w:lvl>
  </w:abstractNum>
  <w:abstractNum w:abstractNumId="5">
    <w:nsid w:val="FFFFFF81"/>
    <w:multiLevelType w:val="singleLevel"/>
    <w:tmpl w:val="454AA63A"/>
    <w:lvl w:ilvl="0">
      <w:start w:val="1"/>
      <w:numFmt w:val="bullet"/>
      <w:pStyle w:val="ListBullet4"/>
      <w:lvlText w:val=""/>
      <w:lvlJc w:val="left"/>
      <w:pPr>
        <w:ind w:left="1440" w:hanging="360"/>
      </w:pPr>
      <w:rPr>
        <w:rFonts w:ascii="Wingdings" w:hAnsi="Wingdings" w:hint="default"/>
      </w:rPr>
    </w:lvl>
  </w:abstractNum>
  <w:abstractNum w:abstractNumId="6">
    <w:nsid w:val="FFFFFF82"/>
    <w:multiLevelType w:val="singleLevel"/>
    <w:tmpl w:val="92ECF310"/>
    <w:lvl w:ilvl="0">
      <w:start w:val="1"/>
      <w:numFmt w:val="bullet"/>
      <w:pStyle w:val="ListBullet3"/>
      <w:lvlText w:val="–"/>
      <w:lvlJc w:val="left"/>
      <w:pPr>
        <w:ind w:left="1080" w:hanging="360"/>
      </w:pPr>
      <w:rPr>
        <w:rFonts w:ascii="Times New Roman" w:hAnsi="Times New Roman" w:cs="Times New Roman" w:hint="default"/>
      </w:rPr>
    </w:lvl>
  </w:abstractNum>
  <w:abstractNum w:abstractNumId="7">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8">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03B14DE9"/>
    <w:multiLevelType w:val="hybridMultilevel"/>
    <w:tmpl w:val="AA7AAEA4"/>
    <w:lvl w:ilvl="0">
      <w:start w:val="1"/>
      <w:numFmt w:val="lowerRoman"/>
      <w:lvlText w:val="6.2.1.%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03E50D66"/>
    <w:multiLevelType w:val="multilevel"/>
    <w:tmpl w:val="9D4AC124"/>
    <w:styleLink w:val="Feature20"/>
    <w:lvl w:ilvl="0">
      <w:start w:val="1"/>
      <w:numFmt w:val="decimal"/>
      <w:lvlText w:val="%1)"/>
      <w:lvlJc w:val="left"/>
      <w:pPr>
        <w:ind w:left="360" w:hanging="360"/>
      </w:pPr>
      <w:rPr>
        <w:b/>
        <w:color w:val="DDDDDD"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8BA6FD7"/>
    <w:multiLevelType w:val="hybridMultilevel"/>
    <w:tmpl w:val="DFB852A2"/>
    <w:lvl w:ilvl="0">
      <w:start w:val="1"/>
      <w:numFmt w:val="lowerRoman"/>
      <w:lvlText w:val="8.2.1.%1."/>
      <w:lvlJc w:val="right"/>
      <w:pPr>
        <w:ind w:left="720" w:hanging="360"/>
      </w:pPr>
      <w:rPr>
        <w:i w:val="0"/>
        <w:iCs/>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8E56F9F"/>
    <w:multiLevelType w:val="hybridMultilevel"/>
    <w:tmpl w:val="0ABE7BFE"/>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090C4FFD"/>
    <w:multiLevelType w:val="hybridMultilevel"/>
    <w:tmpl w:val="C1322D3C"/>
    <w:lvl w:ilvl="0">
      <w:start w:val="1"/>
      <w:numFmt w:val="bullet"/>
      <w:pStyle w:val="SidebarListBullet"/>
      <w:lvlText w:val=""/>
      <w:lvlJc w:val="left"/>
      <w:pPr>
        <w:tabs>
          <w:tab w:val="num" w:pos="576"/>
        </w:tabs>
        <w:ind w:left="576" w:hanging="288"/>
      </w:pPr>
      <w:rPr>
        <w:rFonts w:ascii="Symbol" w:hAnsi="Symbol" w:hint="default"/>
        <w:color w:val="969696"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A7C6D34"/>
    <w:multiLevelType w:val="hybridMultilevel"/>
    <w:tmpl w:val="FA1E16A0"/>
    <w:lvl w:ilvl="0">
      <w:start w:val="1"/>
      <w:numFmt w:val="lowerRoman"/>
      <w:lvlText w:val="4.2.1.%1."/>
      <w:lvlJc w:val="right"/>
      <w:pPr>
        <w:ind w:left="720" w:hanging="360"/>
      </w:pPr>
      <w:rPr>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0D385672"/>
    <w:multiLevelType w:val="hybridMultilevel"/>
    <w:tmpl w:val="6D4EE248"/>
    <w:lvl w:ilvl="0">
      <w:start w:val="1"/>
      <w:numFmt w:val="lowerRoman"/>
      <w:lvlText w:val="1.2.1.%1."/>
      <w:lvlJc w:val="right"/>
      <w:pPr>
        <w:ind w:left="720" w:hanging="360"/>
      </w:pPr>
      <w:rPr>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0FB84953"/>
    <w:multiLevelType w:val="hybridMultilevel"/>
    <w:tmpl w:val="79E25C2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0FFF533D"/>
    <w:multiLevelType w:val="hybridMultilevel"/>
    <w:tmpl w:val="C8BA39F6"/>
    <w:lvl w:ilvl="0">
      <w:start w:val="1"/>
      <w:numFmt w:val="decimal"/>
      <w:pStyle w:val="TableListNumber2"/>
      <w:lvlText w:val="%1."/>
      <w:lvlJc w:val="left"/>
      <w:pPr>
        <w:tabs>
          <w:tab w:val="num" w:pos="648"/>
        </w:tabs>
        <w:ind w:left="648" w:hanging="288"/>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0CD4052"/>
    <w:multiLevelType w:val="hybridMultilevel"/>
    <w:tmpl w:val="BE7873D0"/>
    <w:lvl w:ilvl="0">
      <w:start w:val="1"/>
      <w:numFmt w:val="bullet"/>
      <w:pStyle w:val="ListBullet2"/>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6C53CFC"/>
    <w:multiLevelType w:val="hybridMultilevel"/>
    <w:tmpl w:val="B18A6A2C"/>
    <w:lvl w:ilvl="0">
      <w:start w:val="1"/>
      <w:numFmt w:val="decimal"/>
      <w:pStyle w:val="TableListNumber"/>
      <w:lvlText w:val="%1."/>
      <w:lvlJc w:val="left"/>
      <w:pPr>
        <w:ind w:left="360" w:hanging="360"/>
      </w:pPr>
      <w:rPr>
        <w:rFonts w:hint="default"/>
        <w:b w:val="0"/>
        <w:i w:val="0"/>
        <w:color w:val="000000" w:themeColor="text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1C700F5"/>
    <w:multiLevelType w:val="hybridMultilevel"/>
    <w:tmpl w:val="9C4EF412"/>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3330355"/>
    <w:multiLevelType w:val="hybridMultilevel"/>
    <w:tmpl w:val="AFFA77CE"/>
    <w:lvl w:ilvl="0">
      <w:start w:val="1"/>
      <w:numFmt w:val="bullet"/>
      <w:pStyle w:val="TableListBullet"/>
      <w:lvlText w:val=""/>
      <w:lvlJc w:val="left"/>
      <w:pPr>
        <w:ind w:left="36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50912F5"/>
    <w:multiLevelType w:val="hybridMultilevel"/>
    <w:tmpl w:val="E80841FC"/>
    <w:lvl w:ilvl="0">
      <w:start w:val="1"/>
      <w:numFmt w:val="lowerRoman"/>
      <w:lvlText w:val="11.2.1.%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2D416409"/>
    <w:multiLevelType w:val="multilevel"/>
    <w:tmpl w:val="4E9888C6"/>
    <w:lvl w:ilvl="0">
      <w:start w:val="1"/>
      <w:numFmt w:val="upperRoman"/>
      <w:pStyle w:val="List"/>
      <w:lvlText w:val="%1."/>
      <w:lvlJc w:val="left"/>
      <w:pPr>
        <w:ind w:left="360" w:hanging="360"/>
      </w:pPr>
      <w:rPr>
        <w:rFonts w:hint="default"/>
        <w:b/>
        <w:i w:val="0"/>
      </w:rPr>
    </w:lvl>
    <w:lvl w:ilvl="1">
      <w:start w:val="1"/>
      <w:numFmt w:val="upperLetter"/>
      <w:pStyle w:val="List2"/>
      <w:lvlText w:val="%2."/>
      <w:lvlJc w:val="left"/>
      <w:pPr>
        <w:tabs>
          <w:tab w:val="num" w:pos="720"/>
        </w:tabs>
        <w:ind w:left="720" w:hanging="360"/>
      </w:pPr>
      <w:rPr>
        <w:rFonts w:hint="default"/>
      </w:rPr>
    </w:lvl>
    <w:lvl w:ilvl="2">
      <w:start w:val="1"/>
      <w:numFmt w:val="decimal"/>
      <w:pStyle w:val="List3"/>
      <w:lvlText w:val="%3."/>
      <w:lvlJc w:val="left"/>
      <w:pPr>
        <w:tabs>
          <w:tab w:val="num" w:pos="1080"/>
        </w:tabs>
        <w:ind w:left="1080" w:hanging="360"/>
      </w:pPr>
      <w:rPr>
        <w:rFonts w:hint="default"/>
      </w:rPr>
    </w:lvl>
    <w:lvl w:ilvl="3">
      <w:start w:val="1"/>
      <w:numFmt w:val="lowerLetter"/>
      <w:pStyle w:val="List4"/>
      <w:lvlText w:val="%4."/>
      <w:lvlJc w:val="left"/>
      <w:pPr>
        <w:tabs>
          <w:tab w:val="num" w:pos="1440"/>
        </w:tabs>
        <w:ind w:left="1440" w:hanging="360"/>
      </w:pPr>
      <w:rPr>
        <w:rFonts w:hint="default"/>
      </w:rPr>
    </w:lvl>
    <w:lvl w:ilvl="4">
      <w:start w:val="1"/>
      <w:numFmt w:val="lowerRoman"/>
      <w:pStyle w:val="List5"/>
      <w:lvlText w:val="%5."/>
      <w:lvlJc w:val="left"/>
      <w:pPr>
        <w:tabs>
          <w:tab w:val="num" w:pos="1800"/>
        </w:tabs>
        <w:ind w:left="1800" w:hanging="360"/>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4">
    <w:nsid w:val="38E73AB1"/>
    <w:multiLevelType w:val="multilevel"/>
    <w:tmpl w:val="650AA3DE"/>
    <w:lvl w:ilvl="0">
      <w:start w:val="1"/>
      <w:numFmt w:val="bullet"/>
      <w:lvlText w:val=""/>
      <w:lvlJc w:val="left"/>
      <w:pPr>
        <w:ind w:left="720" w:hanging="360"/>
      </w:pPr>
      <w:rPr>
        <w:rFonts w:ascii="Symbol" w:hAnsi="Symbol" w:hint="default"/>
        <w:color w:val="000000" w:themeColor="text2"/>
        <w:sz w:val="28"/>
      </w:rPr>
    </w:lvl>
    <w:lvl w:ilvl="1">
      <w:start w:val="1"/>
      <w:numFmt w:val="bullet"/>
      <w:lvlText w:val="−"/>
      <w:lvlJc w:val="left"/>
      <w:pPr>
        <w:ind w:left="1440" w:hanging="360"/>
      </w:pPr>
      <w:rPr>
        <w:rFonts w:ascii="Times New Roman" w:hAnsi="Times New Roman" w:cs="Times New Roman" w:hint="default"/>
        <w:w w:val="100"/>
        <w:sz w:val="22"/>
        <w:szCs w:val="22"/>
        <w:lang w:val="en-US" w:eastAsia="en-US" w:bidi="en-US"/>
      </w:rPr>
    </w:lvl>
    <w:lvl w:ilvl="2">
      <w:start w:val="1"/>
      <w:numFmt w:val="bullet"/>
      <w:lvlText w:val=""/>
      <w:lvlJc w:val="left"/>
      <w:pPr>
        <w:ind w:left="2160" w:hanging="360"/>
      </w:pPr>
      <w:rPr>
        <w:rFonts w:ascii="Wingdings" w:hAnsi="Wingdings" w:hint="default"/>
      </w:rPr>
    </w:lvl>
    <w:lvl w:ilvl="3">
      <w:start w:val="1"/>
      <w:numFmt w:val="bullet"/>
      <w:lvlText w:val="o"/>
      <w:lvlJc w:val="left"/>
      <w:pPr>
        <w:ind w:left="2880" w:hanging="360"/>
      </w:pPr>
      <w:rPr>
        <w:rFonts w:ascii="Courier New" w:hAnsi="Courier New"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360" w:hanging="360"/>
      </w:pPr>
      <w:rPr>
        <w:rFonts w:ascii="Symbol" w:hAnsi="Symbol" w:hint="default"/>
      </w:rPr>
    </w:lvl>
    <w:lvl w:ilvl="6">
      <w:start w:val="1"/>
      <w:numFmt w:val="bullet"/>
      <w:lvlText w:val=""/>
      <w:lvlJc w:val="left"/>
      <w:pPr>
        <w:ind w:left="5040" w:hanging="360"/>
      </w:pPr>
      <w:rPr>
        <w:rFonts w:ascii="Wingdings" w:hAnsi="Wingding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3ED8369E"/>
    <w:multiLevelType w:val="hybridMultilevel"/>
    <w:tmpl w:val="A10CE5B2"/>
    <w:lvl w:ilvl="0">
      <w:start w:val="1"/>
      <w:numFmt w:val="bullet"/>
      <w:pStyle w:val="TableListBullet2"/>
      <w:lvlText w:val="o"/>
      <w:lvlJc w:val="left"/>
      <w:pPr>
        <w:tabs>
          <w:tab w:val="num" w:pos="648"/>
        </w:tabs>
        <w:ind w:left="648" w:hanging="288"/>
      </w:pPr>
      <w:rPr>
        <w:rFonts w:ascii="Courier New" w:hAnsi="Courier New" w:hint="default"/>
        <w:color w:val="auto"/>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39D1990"/>
    <w:multiLevelType w:val="hybridMultilevel"/>
    <w:tmpl w:val="2C9E33FA"/>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44DD0C33"/>
    <w:multiLevelType w:val="hybridMultilevel"/>
    <w:tmpl w:val="5C5247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9">
    <w:nsid w:val="4FEA7E0F"/>
    <w:multiLevelType w:val="hybridMultilevel"/>
    <w:tmpl w:val="8EEC9240"/>
    <w:lvl w:ilvl="0">
      <w:start w:val="1"/>
      <w:numFmt w:val="bullet"/>
      <w:pStyle w:val="ListBullet2Appendix"/>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5EE36962"/>
    <w:multiLevelType w:val="hybridMultilevel"/>
    <w:tmpl w:val="E1C25C48"/>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FA22741"/>
    <w:multiLevelType w:val="hybridMultilevel"/>
    <w:tmpl w:val="0ED664FA"/>
    <w:lvl w:ilvl="0">
      <w:start w:val="1"/>
      <w:numFmt w:val="lowerRoman"/>
      <w:lvlText w:val="13.1.3.%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969696" w:themeColor="accent3"/>
      </w:rPr>
    </w:lvl>
  </w:abstractNum>
  <w:abstractNum w:abstractNumId="34">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0BD42ED"/>
    <w:multiLevelType w:val="hybridMultilevel"/>
    <w:tmpl w:val="AEA203F2"/>
    <w:lvl w:ilvl="0">
      <w:start w:val="1"/>
      <w:numFmt w:val="lowerRoman"/>
      <w:lvlText w:val="3.2.1.%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79A162C8"/>
    <w:multiLevelType w:val="hybridMultilevel"/>
    <w:tmpl w:val="E332926E"/>
    <w:lvl w:ilvl="0">
      <w:start w:val="1"/>
      <w:numFmt w:val="lowerRoman"/>
      <w:lvlText w:val="2.2.1.%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24"/>
  </w:num>
  <w:num w:numId="3">
    <w:abstractNumId w:val="6"/>
  </w:num>
  <w:num w:numId="4">
    <w:abstractNumId w:val="5"/>
  </w:num>
  <w:num w:numId="5">
    <w:abstractNumId w:val="4"/>
  </w:num>
  <w:num w:numId="6">
    <w:abstractNumId w:val="7"/>
  </w:num>
  <w:num w:numId="7">
    <w:abstractNumId w:val="3"/>
  </w:num>
  <w:num w:numId="8">
    <w:abstractNumId w:val="2"/>
  </w:num>
  <w:num w:numId="9">
    <w:abstractNumId w:val="1"/>
  </w:num>
  <w:num w:numId="10">
    <w:abstractNumId w:val="0"/>
  </w:num>
  <w:num w:numId="11">
    <w:abstractNumId w:val="28"/>
  </w:num>
  <w:num w:numId="12">
    <w:abstractNumId w:val="26"/>
  </w:num>
  <w:num w:numId="13">
    <w:abstractNumId w:val="12"/>
  </w:num>
  <w:num w:numId="14">
    <w:abstractNumId w:val="21"/>
  </w:num>
  <w:num w:numId="15">
    <w:abstractNumId w:val="25"/>
  </w:num>
  <w:num w:numId="16">
    <w:abstractNumId w:val="19"/>
  </w:num>
  <w:num w:numId="17">
    <w:abstractNumId w:val="17"/>
  </w:num>
  <w:num w:numId="18">
    <w:abstractNumId w:val="30"/>
  </w:num>
  <w:num w:numId="19">
    <w:abstractNumId w:val="23"/>
  </w:num>
  <w:num w:numId="20">
    <w:abstractNumId w:val="10"/>
  </w:num>
  <w:num w:numId="21">
    <w:abstractNumId w:val="20"/>
  </w:num>
  <w:num w:numId="22">
    <w:abstractNumId w:val="31"/>
  </w:num>
  <w:num w:numId="23">
    <w:abstractNumId w:val="34"/>
  </w:num>
  <w:num w:numId="24">
    <w:abstractNumId w:val="33"/>
  </w:num>
  <w:num w:numId="25">
    <w:abstractNumId w:val="13"/>
  </w:num>
  <w:num w:numId="26">
    <w:abstractNumId w:val="21"/>
  </w:num>
  <w:num w:numId="27">
    <w:abstractNumId w:val="0"/>
    <w:lvlOverride w:ilvl="0">
      <w:startOverride w:val="1"/>
    </w:lvlOverride>
  </w:num>
  <w:num w:numId="28">
    <w:abstractNumId w:val="25"/>
    <w:lvlOverride w:ilvl="0">
      <w:startOverride w:val="1"/>
    </w:lvlOverride>
  </w:num>
  <w:num w:numId="29">
    <w:abstractNumId w:val="18"/>
  </w:num>
  <w:num w:numId="30">
    <w:abstractNumId w:val="0"/>
    <w:lvlOverride w:ilvl="0">
      <w:startOverride w:val="1"/>
    </w:lvlOverride>
  </w:num>
  <w:num w:numId="31">
    <w:abstractNumId w:val="16"/>
  </w:num>
  <w:num w:numId="32">
    <w:abstractNumId w:val="16"/>
  </w:num>
  <w:num w:numId="33">
    <w:abstractNumId w:val="16"/>
  </w:num>
  <w:num w:numId="34">
    <w:abstractNumId w:val="16"/>
  </w:num>
  <w:num w:numId="35">
    <w:abstractNumId w:val="16"/>
  </w:num>
  <w:num w:numId="36">
    <w:abstractNumId w:val="29"/>
  </w:num>
  <w:num w:numId="37">
    <w:abstractNumId w:val="27"/>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
  </w:num>
  <w:num w:numId="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linkStyles/>
  <w:stylePaneFormatFilter w:val="9021" w:allStyles="1" w:alternateStyleNames="1"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name"/>
  <w:documentProtection w:formatting="1" w:enforcement="0"/>
  <w:styleLockTheme/>
  <w:styleLockQFSet/>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153"/>
    <w:rsid w:val="0000049F"/>
    <w:rsid w:val="00004440"/>
    <w:rsid w:val="00004AAA"/>
    <w:rsid w:val="00005CF0"/>
    <w:rsid w:val="00007690"/>
    <w:rsid w:val="000077E6"/>
    <w:rsid w:val="00007FE1"/>
    <w:rsid w:val="0001315B"/>
    <w:rsid w:val="000144A7"/>
    <w:rsid w:val="000150BC"/>
    <w:rsid w:val="00015394"/>
    <w:rsid w:val="00015C89"/>
    <w:rsid w:val="00016C44"/>
    <w:rsid w:val="0003072A"/>
    <w:rsid w:val="000336D2"/>
    <w:rsid w:val="00033BA6"/>
    <w:rsid w:val="00034595"/>
    <w:rsid w:val="00036CF4"/>
    <w:rsid w:val="0004019D"/>
    <w:rsid w:val="00041CBC"/>
    <w:rsid w:val="0004484A"/>
    <w:rsid w:val="000472D2"/>
    <w:rsid w:val="000477EB"/>
    <w:rsid w:val="000518C6"/>
    <w:rsid w:val="00053204"/>
    <w:rsid w:val="00053F99"/>
    <w:rsid w:val="00055E6A"/>
    <w:rsid w:val="00056BBD"/>
    <w:rsid w:val="000579C7"/>
    <w:rsid w:val="00062AEC"/>
    <w:rsid w:val="00064CFB"/>
    <w:rsid w:val="00065DE1"/>
    <w:rsid w:val="000674D8"/>
    <w:rsid w:val="000675DB"/>
    <w:rsid w:val="00070D5A"/>
    <w:rsid w:val="000719B9"/>
    <w:rsid w:val="000722B7"/>
    <w:rsid w:val="0007350D"/>
    <w:rsid w:val="00073BFE"/>
    <w:rsid w:val="00075877"/>
    <w:rsid w:val="00076138"/>
    <w:rsid w:val="00077AA2"/>
    <w:rsid w:val="00082872"/>
    <w:rsid w:val="00084082"/>
    <w:rsid w:val="0008613A"/>
    <w:rsid w:val="00090334"/>
    <w:rsid w:val="000910A5"/>
    <w:rsid w:val="000915A1"/>
    <w:rsid w:val="000933D6"/>
    <w:rsid w:val="00093614"/>
    <w:rsid w:val="00094C49"/>
    <w:rsid w:val="00095140"/>
    <w:rsid w:val="00095A1E"/>
    <w:rsid w:val="00097CD7"/>
    <w:rsid w:val="000A0881"/>
    <w:rsid w:val="000A3A29"/>
    <w:rsid w:val="000B0748"/>
    <w:rsid w:val="000B1298"/>
    <w:rsid w:val="000B29A2"/>
    <w:rsid w:val="000B4E8A"/>
    <w:rsid w:val="000C151D"/>
    <w:rsid w:val="000C1988"/>
    <w:rsid w:val="000C27C6"/>
    <w:rsid w:val="000C2957"/>
    <w:rsid w:val="000C48B5"/>
    <w:rsid w:val="000C614D"/>
    <w:rsid w:val="000C699A"/>
    <w:rsid w:val="000C6E87"/>
    <w:rsid w:val="000C73FA"/>
    <w:rsid w:val="000D133A"/>
    <w:rsid w:val="000D1FF5"/>
    <w:rsid w:val="000D29F0"/>
    <w:rsid w:val="000D39A0"/>
    <w:rsid w:val="000D591D"/>
    <w:rsid w:val="000D61B2"/>
    <w:rsid w:val="000D7265"/>
    <w:rsid w:val="000E0819"/>
    <w:rsid w:val="000E094E"/>
    <w:rsid w:val="000E1243"/>
    <w:rsid w:val="000E24C8"/>
    <w:rsid w:val="000E2FBA"/>
    <w:rsid w:val="000E5373"/>
    <w:rsid w:val="000E62A6"/>
    <w:rsid w:val="000F0883"/>
    <w:rsid w:val="000F249C"/>
    <w:rsid w:val="000F2C88"/>
    <w:rsid w:val="000F4147"/>
    <w:rsid w:val="000F45FC"/>
    <w:rsid w:val="000F5520"/>
    <w:rsid w:val="000F5AB1"/>
    <w:rsid w:val="000F5D13"/>
    <w:rsid w:val="000F79B8"/>
    <w:rsid w:val="00100A7A"/>
    <w:rsid w:val="001035CC"/>
    <w:rsid w:val="00106E64"/>
    <w:rsid w:val="00110D5F"/>
    <w:rsid w:val="00110EE5"/>
    <w:rsid w:val="0011303D"/>
    <w:rsid w:val="00114550"/>
    <w:rsid w:val="001150FE"/>
    <w:rsid w:val="001153CD"/>
    <w:rsid w:val="00115541"/>
    <w:rsid w:val="00117869"/>
    <w:rsid w:val="00117FC1"/>
    <w:rsid w:val="0012038B"/>
    <w:rsid w:val="001204F5"/>
    <w:rsid w:val="001217DE"/>
    <w:rsid w:val="00125DDF"/>
    <w:rsid w:val="00125FA2"/>
    <w:rsid w:val="001276A4"/>
    <w:rsid w:val="00127793"/>
    <w:rsid w:val="00131893"/>
    <w:rsid w:val="001343B6"/>
    <w:rsid w:val="001360F2"/>
    <w:rsid w:val="00136129"/>
    <w:rsid w:val="001408AD"/>
    <w:rsid w:val="0014130E"/>
    <w:rsid w:val="001450E4"/>
    <w:rsid w:val="00145F3A"/>
    <w:rsid w:val="00146BA5"/>
    <w:rsid w:val="00147FD7"/>
    <w:rsid w:val="0015348D"/>
    <w:rsid w:val="00154E93"/>
    <w:rsid w:val="001555F7"/>
    <w:rsid w:val="001604A4"/>
    <w:rsid w:val="0016068B"/>
    <w:rsid w:val="001606FF"/>
    <w:rsid w:val="00161870"/>
    <w:rsid w:val="0016400A"/>
    <w:rsid w:val="001645B2"/>
    <w:rsid w:val="00165715"/>
    <w:rsid w:val="0016728D"/>
    <w:rsid w:val="001673B1"/>
    <w:rsid w:val="0016749B"/>
    <w:rsid w:val="00173FB5"/>
    <w:rsid w:val="00176C05"/>
    <w:rsid w:val="001776C2"/>
    <w:rsid w:val="0018145F"/>
    <w:rsid w:val="001827DF"/>
    <w:rsid w:val="00182B49"/>
    <w:rsid w:val="00185DBF"/>
    <w:rsid w:val="00186C4B"/>
    <w:rsid w:val="001874BE"/>
    <w:rsid w:val="00190860"/>
    <w:rsid w:val="001922D2"/>
    <w:rsid w:val="001957DB"/>
    <w:rsid w:val="001958C3"/>
    <w:rsid w:val="0019753A"/>
    <w:rsid w:val="001A074F"/>
    <w:rsid w:val="001A095C"/>
    <w:rsid w:val="001A1F0A"/>
    <w:rsid w:val="001A1FA1"/>
    <w:rsid w:val="001A4946"/>
    <w:rsid w:val="001A770B"/>
    <w:rsid w:val="001A7BA2"/>
    <w:rsid w:val="001A7D76"/>
    <w:rsid w:val="001B13B1"/>
    <w:rsid w:val="001B30D0"/>
    <w:rsid w:val="001B3F3D"/>
    <w:rsid w:val="001B484A"/>
    <w:rsid w:val="001B5402"/>
    <w:rsid w:val="001B5915"/>
    <w:rsid w:val="001B5AE2"/>
    <w:rsid w:val="001C263F"/>
    <w:rsid w:val="001C2B92"/>
    <w:rsid w:val="001C2F5A"/>
    <w:rsid w:val="001C3BCA"/>
    <w:rsid w:val="001C4DCF"/>
    <w:rsid w:val="001D062B"/>
    <w:rsid w:val="001D25DA"/>
    <w:rsid w:val="001D30CB"/>
    <w:rsid w:val="001D3F66"/>
    <w:rsid w:val="001D5E8F"/>
    <w:rsid w:val="001D6E23"/>
    <w:rsid w:val="001E1A71"/>
    <w:rsid w:val="001E215E"/>
    <w:rsid w:val="001E2700"/>
    <w:rsid w:val="001E2900"/>
    <w:rsid w:val="001E35E0"/>
    <w:rsid w:val="001E402A"/>
    <w:rsid w:val="001E5927"/>
    <w:rsid w:val="001F1194"/>
    <w:rsid w:val="001F18E0"/>
    <w:rsid w:val="001F1D96"/>
    <w:rsid w:val="001F3D73"/>
    <w:rsid w:val="001F6E51"/>
    <w:rsid w:val="0020050F"/>
    <w:rsid w:val="002020D4"/>
    <w:rsid w:val="00205654"/>
    <w:rsid w:val="002058B8"/>
    <w:rsid w:val="0020636B"/>
    <w:rsid w:val="00206554"/>
    <w:rsid w:val="00206C02"/>
    <w:rsid w:val="00207B4D"/>
    <w:rsid w:val="0021146A"/>
    <w:rsid w:val="00212B22"/>
    <w:rsid w:val="002132B1"/>
    <w:rsid w:val="00213758"/>
    <w:rsid w:val="00214FEA"/>
    <w:rsid w:val="00215FAF"/>
    <w:rsid w:val="00216757"/>
    <w:rsid w:val="00217AA4"/>
    <w:rsid w:val="002214A1"/>
    <w:rsid w:val="002225E7"/>
    <w:rsid w:val="00222AA8"/>
    <w:rsid w:val="00222C00"/>
    <w:rsid w:val="00223CF5"/>
    <w:rsid w:val="00224AED"/>
    <w:rsid w:val="0023207B"/>
    <w:rsid w:val="0023403C"/>
    <w:rsid w:val="00236488"/>
    <w:rsid w:val="0024044A"/>
    <w:rsid w:val="00241063"/>
    <w:rsid w:val="00241FA1"/>
    <w:rsid w:val="00243C1C"/>
    <w:rsid w:val="00245C35"/>
    <w:rsid w:val="00245E02"/>
    <w:rsid w:val="00246C73"/>
    <w:rsid w:val="00246DD9"/>
    <w:rsid w:val="002517FC"/>
    <w:rsid w:val="002533ED"/>
    <w:rsid w:val="00253D22"/>
    <w:rsid w:val="00253D96"/>
    <w:rsid w:val="00254312"/>
    <w:rsid w:val="00254429"/>
    <w:rsid w:val="00255594"/>
    <w:rsid w:val="00256CB0"/>
    <w:rsid w:val="002570ED"/>
    <w:rsid w:val="0026097C"/>
    <w:rsid w:val="00261FCF"/>
    <w:rsid w:val="0026277A"/>
    <w:rsid w:val="00264AD2"/>
    <w:rsid w:val="0026612C"/>
    <w:rsid w:val="002665DA"/>
    <w:rsid w:val="00267ABA"/>
    <w:rsid w:val="00271DDE"/>
    <w:rsid w:val="002721E8"/>
    <w:rsid w:val="00272570"/>
    <w:rsid w:val="00272B62"/>
    <w:rsid w:val="00273689"/>
    <w:rsid w:val="002748E3"/>
    <w:rsid w:val="00274B6C"/>
    <w:rsid w:val="00275207"/>
    <w:rsid w:val="00275ED2"/>
    <w:rsid w:val="00280C09"/>
    <w:rsid w:val="00281D1A"/>
    <w:rsid w:val="00283514"/>
    <w:rsid w:val="002838B7"/>
    <w:rsid w:val="00283A02"/>
    <w:rsid w:val="00285E1D"/>
    <w:rsid w:val="002860ED"/>
    <w:rsid w:val="002861E9"/>
    <w:rsid w:val="0028762D"/>
    <w:rsid w:val="002909EE"/>
    <w:rsid w:val="00290ADF"/>
    <w:rsid w:val="002917F7"/>
    <w:rsid w:val="0029489C"/>
    <w:rsid w:val="00295DBA"/>
    <w:rsid w:val="00296669"/>
    <w:rsid w:val="00296C51"/>
    <w:rsid w:val="00297F46"/>
    <w:rsid w:val="002A0577"/>
    <w:rsid w:val="002A10DE"/>
    <w:rsid w:val="002A131C"/>
    <w:rsid w:val="002A32E2"/>
    <w:rsid w:val="002A51F3"/>
    <w:rsid w:val="002A6431"/>
    <w:rsid w:val="002B0EE7"/>
    <w:rsid w:val="002B11A2"/>
    <w:rsid w:val="002B1EC4"/>
    <w:rsid w:val="002B551B"/>
    <w:rsid w:val="002B6D3C"/>
    <w:rsid w:val="002B6E26"/>
    <w:rsid w:val="002C090F"/>
    <w:rsid w:val="002C1CC2"/>
    <w:rsid w:val="002D0406"/>
    <w:rsid w:val="002D04C8"/>
    <w:rsid w:val="002D061A"/>
    <w:rsid w:val="002D28AE"/>
    <w:rsid w:val="002D2A10"/>
    <w:rsid w:val="002D4533"/>
    <w:rsid w:val="002D4865"/>
    <w:rsid w:val="002D7125"/>
    <w:rsid w:val="002D7812"/>
    <w:rsid w:val="002E385A"/>
    <w:rsid w:val="002E4949"/>
    <w:rsid w:val="002E67D8"/>
    <w:rsid w:val="002E6E25"/>
    <w:rsid w:val="002E72B7"/>
    <w:rsid w:val="002F1308"/>
    <w:rsid w:val="002F3BC4"/>
    <w:rsid w:val="002F7249"/>
    <w:rsid w:val="003012F0"/>
    <w:rsid w:val="00302414"/>
    <w:rsid w:val="003029EF"/>
    <w:rsid w:val="003101A9"/>
    <w:rsid w:val="00310DA1"/>
    <w:rsid w:val="00310E79"/>
    <w:rsid w:val="00310FB2"/>
    <w:rsid w:val="00311676"/>
    <w:rsid w:val="00311E7C"/>
    <w:rsid w:val="003124E3"/>
    <w:rsid w:val="00314840"/>
    <w:rsid w:val="00315AB0"/>
    <w:rsid w:val="00315C09"/>
    <w:rsid w:val="00317296"/>
    <w:rsid w:val="00322357"/>
    <w:rsid w:val="00323080"/>
    <w:rsid w:val="003239AA"/>
    <w:rsid w:val="00324F33"/>
    <w:rsid w:val="003253D6"/>
    <w:rsid w:val="00325C25"/>
    <w:rsid w:val="00326BEA"/>
    <w:rsid w:val="003304D3"/>
    <w:rsid w:val="003306A6"/>
    <w:rsid w:val="00330B1C"/>
    <w:rsid w:val="00336603"/>
    <w:rsid w:val="00337B88"/>
    <w:rsid w:val="00341250"/>
    <w:rsid w:val="00341651"/>
    <w:rsid w:val="0034283B"/>
    <w:rsid w:val="00343EA2"/>
    <w:rsid w:val="00344028"/>
    <w:rsid w:val="00346544"/>
    <w:rsid w:val="00351630"/>
    <w:rsid w:val="003542F4"/>
    <w:rsid w:val="00354C20"/>
    <w:rsid w:val="003550E5"/>
    <w:rsid w:val="00356DE9"/>
    <w:rsid w:val="00362CFA"/>
    <w:rsid w:val="00363647"/>
    <w:rsid w:val="00364B94"/>
    <w:rsid w:val="00370758"/>
    <w:rsid w:val="003708F8"/>
    <w:rsid w:val="00370AAF"/>
    <w:rsid w:val="0037181A"/>
    <w:rsid w:val="003723B6"/>
    <w:rsid w:val="00374143"/>
    <w:rsid w:val="00376D12"/>
    <w:rsid w:val="003771BE"/>
    <w:rsid w:val="003868C5"/>
    <w:rsid w:val="00391D57"/>
    <w:rsid w:val="0039214F"/>
    <w:rsid w:val="00393366"/>
    <w:rsid w:val="003935E8"/>
    <w:rsid w:val="003937C3"/>
    <w:rsid w:val="00397123"/>
    <w:rsid w:val="00397224"/>
    <w:rsid w:val="003975B3"/>
    <w:rsid w:val="00397DA3"/>
    <w:rsid w:val="003A0E3E"/>
    <w:rsid w:val="003A1025"/>
    <w:rsid w:val="003A10FF"/>
    <w:rsid w:val="003A32F7"/>
    <w:rsid w:val="003A3FEB"/>
    <w:rsid w:val="003A4E13"/>
    <w:rsid w:val="003A570A"/>
    <w:rsid w:val="003B12CB"/>
    <w:rsid w:val="003B2582"/>
    <w:rsid w:val="003B25C1"/>
    <w:rsid w:val="003B3B48"/>
    <w:rsid w:val="003B7A5A"/>
    <w:rsid w:val="003B7B39"/>
    <w:rsid w:val="003C25A8"/>
    <w:rsid w:val="003C408D"/>
    <w:rsid w:val="003C63EF"/>
    <w:rsid w:val="003C7286"/>
    <w:rsid w:val="003D0FFC"/>
    <w:rsid w:val="003D32FE"/>
    <w:rsid w:val="003D396C"/>
    <w:rsid w:val="003D3D56"/>
    <w:rsid w:val="003D40D7"/>
    <w:rsid w:val="003D5828"/>
    <w:rsid w:val="003D738D"/>
    <w:rsid w:val="003D7CA2"/>
    <w:rsid w:val="003D7EC0"/>
    <w:rsid w:val="003E08CD"/>
    <w:rsid w:val="003E16AE"/>
    <w:rsid w:val="003E3736"/>
    <w:rsid w:val="003E40FF"/>
    <w:rsid w:val="003E632B"/>
    <w:rsid w:val="003E788B"/>
    <w:rsid w:val="003F020C"/>
    <w:rsid w:val="003F046C"/>
    <w:rsid w:val="003F3298"/>
    <w:rsid w:val="003F448F"/>
    <w:rsid w:val="003F59C8"/>
    <w:rsid w:val="003F71D1"/>
    <w:rsid w:val="003F743E"/>
    <w:rsid w:val="003F79FE"/>
    <w:rsid w:val="00401936"/>
    <w:rsid w:val="00401C1D"/>
    <w:rsid w:val="00410744"/>
    <w:rsid w:val="0041080B"/>
    <w:rsid w:val="00411FF6"/>
    <w:rsid w:val="00412D75"/>
    <w:rsid w:val="0041335E"/>
    <w:rsid w:val="004146B1"/>
    <w:rsid w:val="00415FD7"/>
    <w:rsid w:val="00420ECE"/>
    <w:rsid w:val="0042260F"/>
    <w:rsid w:val="004229F6"/>
    <w:rsid w:val="00422D16"/>
    <w:rsid w:val="00423787"/>
    <w:rsid w:val="004237F7"/>
    <w:rsid w:val="0042483F"/>
    <w:rsid w:val="00424E3A"/>
    <w:rsid w:val="00430092"/>
    <w:rsid w:val="004347B2"/>
    <w:rsid w:val="00436973"/>
    <w:rsid w:val="00440445"/>
    <w:rsid w:val="00442C45"/>
    <w:rsid w:val="00442E32"/>
    <w:rsid w:val="004439F8"/>
    <w:rsid w:val="00443F45"/>
    <w:rsid w:val="004448DD"/>
    <w:rsid w:val="00444F5D"/>
    <w:rsid w:val="004456F4"/>
    <w:rsid w:val="00451083"/>
    <w:rsid w:val="004515D5"/>
    <w:rsid w:val="00455CD5"/>
    <w:rsid w:val="004560AF"/>
    <w:rsid w:val="00456D48"/>
    <w:rsid w:val="00457740"/>
    <w:rsid w:val="00461DE8"/>
    <w:rsid w:val="00461FA7"/>
    <w:rsid w:val="00465BF8"/>
    <w:rsid w:val="004712BA"/>
    <w:rsid w:val="004716D6"/>
    <w:rsid w:val="00471F33"/>
    <w:rsid w:val="00475995"/>
    <w:rsid w:val="004765E8"/>
    <w:rsid w:val="004769A6"/>
    <w:rsid w:val="0048034F"/>
    <w:rsid w:val="00480C5E"/>
    <w:rsid w:val="00482DF6"/>
    <w:rsid w:val="004836DB"/>
    <w:rsid w:val="00485065"/>
    <w:rsid w:val="00485759"/>
    <w:rsid w:val="00485BD5"/>
    <w:rsid w:val="00490340"/>
    <w:rsid w:val="00490683"/>
    <w:rsid w:val="00495B9A"/>
    <w:rsid w:val="00496591"/>
    <w:rsid w:val="00496D69"/>
    <w:rsid w:val="00496F66"/>
    <w:rsid w:val="004970ED"/>
    <w:rsid w:val="00497D58"/>
    <w:rsid w:val="00497E37"/>
    <w:rsid w:val="004A0704"/>
    <w:rsid w:val="004A1EB3"/>
    <w:rsid w:val="004A2DBA"/>
    <w:rsid w:val="004A69DD"/>
    <w:rsid w:val="004A7130"/>
    <w:rsid w:val="004A771F"/>
    <w:rsid w:val="004B0718"/>
    <w:rsid w:val="004B0AB8"/>
    <w:rsid w:val="004B10CE"/>
    <w:rsid w:val="004B2179"/>
    <w:rsid w:val="004B2640"/>
    <w:rsid w:val="004B2E0C"/>
    <w:rsid w:val="004B3DD4"/>
    <w:rsid w:val="004B40F0"/>
    <w:rsid w:val="004B64BA"/>
    <w:rsid w:val="004B6825"/>
    <w:rsid w:val="004B79D8"/>
    <w:rsid w:val="004C193D"/>
    <w:rsid w:val="004C1AA9"/>
    <w:rsid w:val="004C2C01"/>
    <w:rsid w:val="004C2FB4"/>
    <w:rsid w:val="004C3090"/>
    <w:rsid w:val="004C3238"/>
    <w:rsid w:val="004C39ED"/>
    <w:rsid w:val="004C3E0E"/>
    <w:rsid w:val="004C40AA"/>
    <w:rsid w:val="004C4B10"/>
    <w:rsid w:val="004C50BB"/>
    <w:rsid w:val="004C714A"/>
    <w:rsid w:val="004D0FD2"/>
    <w:rsid w:val="004D1C99"/>
    <w:rsid w:val="004D20FF"/>
    <w:rsid w:val="004D25C7"/>
    <w:rsid w:val="004D4FC2"/>
    <w:rsid w:val="004D6981"/>
    <w:rsid w:val="004D6A6D"/>
    <w:rsid w:val="004D72E2"/>
    <w:rsid w:val="004D7586"/>
    <w:rsid w:val="004E3E55"/>
    <w:rsid w:val="004E4C60"/>
    <w:rsid w:val="004E6A05"/>
    <w:rsid w:val="004E6EB8"/>
    <w:rsid w:val="004E6EF8"/>
    <w:rsid w:val="004E6FB2"/>
    <w:rsid w:val="004E729B"/>
    <w:rsid w:val="004E7E03"/>
    <w:rsid w:val="004F2EA4"/>
    <w:rsid w:val="004F30AB"/>
    <w:rsid w:val="004F3361"/>
    <w:rsid w:val="004F6B30"/>
    <w:rsid w:val="00502528"/>
    <w:rsid w:val="005028C0"/>
    <w:rsid w:val="00503D3E"/>
    <w:rsid w:val="00504055"/>
    <w:rsid w:val="0050504D"/>
    <w:rsid w:val="00507356"/>
    <w:rsid w:val="0050765A"/>
    <w:rsid w:val="00511612"/>
    <w:rsid w:val="00511954"/>
    <w:rsid w:val="00513099"/>
    <w:rsid w:val="00513225"/>
    <w:rsid w:val="00515D16"/>
    <w:rsid w:val="00516E57"/>
    <w:rsid w:val="005268FF"/>
    <w:rsid w:val="00526C21"/>
    <w:rsid w:val="005275F2"/>
    <w:rsid w:val="00527AC6"/>
    <w:rsid w:val="00530138"/>
    <w:rsid w:val="005325CA"/>
    <w:rsid w:val="00533D02"/>
    <w:rsid w:val="00536353"/>
    <w:rsid w:val="005376CD"/>
    <w:rsid w:val="0054196A"/>
    <w:rsid w:val="005424AB"/>
    <w:rsid w:val="00545522"/>
    <w:rsid w:val="00545C36"/>
    <w:rsid w:val="00547A9F"/>
    <w:rsid w:val="00550184"/>
    <w:rsid w:val="005501DE"/>
    <w:rsid w:val="00555842"/>
    <w:rsid w:val="00556EC2"/>
    <w:rsid w:val="00557C8A"/>
    <w:rsid w:val="00561032"/>
    <w:rsid w:val="005615EB"/>
    <w:rsid w:val="00562263"/>
    <w:rsid w:val="00565A02"/>
    <w:rsid w:val="00565E7B"/>
    <w:rsid w:val="00566777"/>
    <w:rsid w:val="005679C5"/>
    <w:rsid w:val="00567ACA"/>
    <w:rsid w:val="0057270E"/>
    <w:rsid w:val="00573BD6"/>
    <w:rsid w:val="00573EA1"/>
    <w:rsid w:val="00576204"/>
    <w:rsid w:val="005833A4"/>
    <w:rsid w:val="00583E15"/>
    <w:rsid w:val="00584208"/>
    <w:rsid w:val="00585396"/>
    <w:rsid w:val="0059037D"/>
    <w:rsid w:val="005907B1"/>
    <w:rsid w:val="005925B4"/>
    <w:rsid w:val="00592EFE"/>
    <w:rsid w:val="00594202"/>
    <w:rsid w:val="00594204"/>
    <w:rsid w:val="005945DD"/>
    <w:rsid w:val="0059556A"/>
    <w:rsid w:val="00596DCD"/>
    <w:rsid w:val="00596E55"/>
    <w:rsid w:val="00597D6E"/>
    <w:rsid w:val="005A0251"/>
    <w:rsid w:val="005A0C4D"/>
    <w:rsid w:val="005A23AE"/>
    <w:rsid w:val="005A2439"/>
    <w:rsid w:val="005A5897"/>
    <w:rsid w:val="005A63A3"/>
    <w:rsid w:val="005A6ECA"/>
    <w:rsid w:val="005A7794"/>
    <w:rsid w:val="005A7B66"/>
    <w:rsid w:val="005B1EB6"/>
    <w:rsid w:val="005B2493"/>
    <w:rsid w:val="005B3B70"/>
    <w:rsid w:val="005C4C0A"/>
    <w:rsid w:val="005C5E05"/>
    <w:rsid w:val="005D0095"/>
    <w:rsid w:val="005D58F9"/>
    <w:rsid w:val="005D7D50"/>
    <w:rsid w:val="005E0607"/>
    <w:rsid w:val="005E1365"/>
    <w:rsid w:val="005E2377"/>
    <w:rsid w:val="005E437F"/>
    <w:rsid w:val="005E7828"/>
    <w:rsid w:val="005F1A59"/>
    <w:rsid w:val="005F2B42"/>
    <w:rsid w:val="005F36BF"/>
    <w:rsid w:val="005F3F66"/>
    <w:rsid w:val="005F4D39"/>
    <w:rsid w:val="005F7603"/>
    <w:rsid w:val="006011A4"/>
    <w:rsid w:val="00602577"/>
    <w:rsid w:val="00605C87"/>
    <w:rsid w:val="00606E5B"/>
    <w:rsid w:val="006072E5"/>
    <w:rsid w:val="006077DA"/>
    <w:rsid w:val="00607986"/>
    <w:rsid w:val="00607E0C"/>
    <w:rsid w:val="00610C3A"/>
    <w:rsid w:val="0061103A"/>
    <w:rsid w:val="00611FEB"/>
    <w:rsid w:val="0061252E"/>
    <w:rsid w:val="00612949"/>
    <w:rsid w:val="0061302C"/>
    <w:rsid w:val="00613D10"/>
    <w:rsid w:val="00613F43"/>
    <w:rsid w:val="00614327"/>
    <w:rsid w:val="00615361"/>
    <w:rsid w:val="00615EAF"/>
    <w:rsid w:val="00616A3E"/>
    <w:rsid w:val="006176D9"/>
    <w:rsid w:val="00617894"/>
    <w:rsid w:val="00617FCC"/>
    <w:rsid w:val="0062066E"/>
    <w:rsid w:val="0062125B"/>
    <w:rsid w:val="00622088"/>
    <w:rsid w:val="006252B7"/>
    <w:rsid w:val="00626B0F"/>
    <w:rsid w:val="0063001E"/>
    <w:rsid w:val="00630444"/>
    <w:rsid w:val="00630D8D"/>
    <w:rsid w:val="006325C0"/>
    <w:rsid w:val="0063492C"/>
    <w:rsid w:val="00634B03"/>
    <w:rsid w:val="00634C89"/>
    <w:rsid w:val="00635E6D"/>
    <w:rsid w:val="0063641B"/>
    <w:rsid w:val="00637BD8"/>
    <w:rsid w:val="00640AB4"/>
    <w:rsid w:val="00642F99"/>
    <w:rsid w:val="00644384"/>
    <w:rsid w:val="00645138"/>
    <w:rsid w:val="00646795"/>
    <w:rsid w:val="006472B4"/>
    <w:rsid w:val="006473FA"/>
    <w:rsid w:val="00652425"/>
    <w:rsid w:val="0065313F"/>
    <w:rsid w:val="00653C82"/>
    <w:rsid w:val="006541D2"/>
    <w:rsid w:val="00654CC2"/>
    <w:rsid w:val="00660E1E"/>
    <w:rsid w:val="00661BB0"/>
    <w:rsid w:val="006622FC"/>
    <w:rsid w:val="00664557"/>
    <w:rsid w:val="00664B89"/>
    <w:rsid w:val="00664E19"/>
    <w:rsid w:val="00665ADF"/>
    <w:rsid w:val="00667052"/>
    <w:rsid w:val="00674F5C"/>
    <w:rsid w:val="00675050"/>
    <w:rsid w:val="00675BA5"/>
    <w:rsid w:val="00676FFD"/>
    <w:rsid w:val="00680490"/>
    <w:rsid w:val="00683393"/>
    <w:rsid w:val="00683D27"/>
    <w:rsid w:val="006847DE"/>
    <w:rsid w:val="006848DF"/>
    <w:rsid w:val="00690120"/>
    <w:rsid w:val="0069296C"/>
    <w:rsid w:val="00692A8A"/>
    <w:rsid w:val="0069354C"/>
    <w:rsid w:val="00696206"/>
    <w:rsid w:val="00696BF8"/>
    <w:rsid w:val="006970A0"/>
    <w:rsid w:val="006A0CC9"/>
    <w:rsid w:val="006A4D11"/>
    <w:rsid w:val="006A7378"/>
    <w:rsid w:val="006A76B1"/>
    <w:rsid w:val="006A78E9"/>
    <w:rsid w:val="006A7B00"/>
    <w:rsid w:val="006B022A"/>
    <w:rsid w:val="006B273F"/>
    <w:rsid w:val="006B2ADF"/>
    <w:rsid w:val="006B4512"/>
    <w:rsid w:val="006B5555"/>
    <w:rsid w:val="006C1719"/>
    <w:rsid w:val="006C1C63"/>
    <w:rsid w:val="006C20BB"/>
    <w:rsid w:val="006C2DC4"/>
    <w:rsid w:val="006C4724"/>
    <w:rsid w:val="006C7A9C"/>
    <w:rsid w:val="006D4BFF"/>
    <w:rsid w:val="006D5AA1"/>
    <w:rsid w:val="006D6DEA"/>
    <w:rsid w:val="006D7BCF"/>
    <w:rsid w:val="006E00C3"/>
    <w:rsid w:val="006E275F"/>
    <w:rsid w:val="006E2D7F"/>
    <w:rsid w:val="006E514A"/>
    <w:rsid w:val="006E6853"/>
    <w:rsid w:val="006F25F9"/>
    <w:rsid w:val="006F27B1"/>
    <w:rsid w:val="006F2915"/>
    <w:rsid w:val="006F3958"/>
    <w:rsid w:val="006F3F0A"/>
    <w:rsid w:val="006F4041"/>
    <w:rsid w:val="006F45C2"/>
    <w:rsid w:val="006F52AB"/>
    <w:rsid w:val="006F6ADF"/>
    <w:rsid w:val="006F7CD0"/>
    <w:rsid w:val="00700278"/>
    <w:rsid w:val="0070033A"/>
    <w:rsid w:val="00700D2C"/>
    <w:rsid w:val="00700F47"/>
    <w:rsid w:val="007010E7"/>
    <w:rsid w:val="00703CA9"/>
    <w:rsid w:val="00703EF0"/>
    <w:rsid w:val="00704CED"/>
    <w:rsid w:val="00706AA5"/>
    <w:rsid w:val="007071CC"/>
    <w:rsid w:val="00707EA8"/>
    <w:rsid w:val="00712BE5"/>
    <w:rsid w:val="00714877"/>
    <w:rsid w:val="00715E0A"/>
    <w:rsid w:val="007161BA"/>
    <w:rsid w:val="00716536"/>
    <w:rsid w:val="007167F5"/>
    <w:rsid w:val="007173D2"/>
    <w:rsid w:val="00717492"/>
    <w:rsid w:val="007208A3"/>
    <w:rsid w:val="00722EDB"/>
    <w:rsid w:val="00725416"/>
    <w:rsid w:val="007269A5"/>
    <w:rsid w:val="007269D9"/>
    <w:rsid w:val="00733F53"/>
    <w:rsid w:val="00734998"/>
    <w:rsid w:val="0073661E"/>
    <w:rsid w:val="00737ECE"/>
    <w:rsid w:val="00740CC0"/>
    <w:rsid w:val="0074282D"/>
    <w:rsid w:val="00742C2F"/>
    <w:rsid w:val="00743AB1"/>
    <w:rsid w:val="00744034"/>
    <w:rsid w:val="00745294"/>
    <w:rsid w:val="0074777E"/>
    <w:rsid w:val="00750ACB"/>
    <w:rsid w:val="00750FDD"/>
    <w:rsid w:val="00751ADA"/>
    <w:rsid w:val="00754188"/>
    <w:rsid w:val="00756346"/>
    <w:rsid w:val="007601ED"/>
    <w:rsid w:val="00761CB5"/>
    <w:rsid w:val="00762164"/>
    <w:rsid w:val="007631A4"/>
    <w:rsid w:val="00763501"/>
    <w:rsid w:val="007641F2"/>
    <w:rsid w:val="00765734"/>
    <w:rsid w:val="007719E8"/>
    <w:rsid w:val="00772EEC"/>
    <w:rsid w:val="00773103"/>
    <w:rsid w:val="0077363F"/>
    <w:rsid w:val="0077425E"/>
    <w:rsid w:val="00774312"/>
    <w:rsid w:val="00775123"/>
    <w:rsid w:val="00775760"/>
    <w:rsid w:val="00776A4B"/>
    <w:rsid w:val="00777A7B"/>
    <w:rsid w:val="00781748"/>
    <w:rsid w:val="007828CB"/>
    <w:rsid w:val="007838F3"/>
    <w:rsid w:val="00783F59"/>
    <w:rsid w:val="0078719B"/>
    <w:rsid w:val="00787D12"/>
    <w:rsid w:val="007904E8"/>
    <w:rsid w:val="00790B6D"/>
    <w:rsid w:val="0079614B"/>
    <w:rsid w:val="007A1C89"/>
    <w:rsid w:val="007A1DCD"/>
    <w:rsid w:val="007A1F25"/>
    <w:rsid w:val="007A271C"/>
    <w:rsid w:val="007A2A1A"/>
    <w:rsid w:val="007A2BBD"/>
    <w:rsid w:val="007A5ABD"/>
    <w:rsid w:val="007A60CD"/>
    <w:rsid w:val="007A6870"/>
    <w:rsid w:val="007A6D0A"/>
    <w:rsid w:val="007A6E47"/>
    <w:rsid w:val="007B17CC"/>
    <w:rsid w:val="007B3053"/>
    <w:rsid w:val="007B585A"/>
    <w:rsid w:val="007B595B"/>
    <w:rsid w:val="007C33D5"/>
    <w:rsid w:val="007C4015"/>
    <w:rsid w:val="007C7D0B"/>
    <w:rsid w:val="007D3167"/>
    <w:rsid w:val="007D3CC1"/>
    <w:rsid w:val="007D42D3"/>
    <w:rsid w:val="007D456D"/>
    <w:rsid w:val="007D5884"/>
    <w:rsid w:val="007D5A5C"/>
    <w:rsid w:val="007D77EE"/>
    <w:rsid w:val="007E00C2"/>
    <w:rsid w:val="007E0649"/>
    <w:rsid w:val="007E1BAF"/>
    <w:rsid w:val="007E1F7D"/>
    <w:rsid w:val="007E20AD"/>
    <w:rsid w:val="007E287E"/>
    <w:rsid w:val="007E2929"/>
    <w:rsid w:val="007E2CCE"/>
    <w:rsid w:val="007E45B2"/>
    <w:rsid w:val="007E46D1"/>
    <w:rsid w:val="007E5F7E"/>
    <w:rsid w:val="007E6D92"/>
    <w:rsid w:val="007F01E1"/>
    <w:rsid w:val="007F12FB"/>
    <w:rsid w:val="007F1D7B"/>
    <w:rsid w:val="007F39CD"/>
    <w:rsid w:val="007F3DAF"/>
    <w:rsid w:val="007F42AE"/>
    <w:rsid w:val="007F6203"/>
    <w:rsid w:val="007F63D0"/>
    <w:rsid w:val="007F71A9"/>
    <w:rsid w:val="008005AD"/>
    <w:rsid w:val="00802571"/>
    <w:rsid w:val="00803D29"/>
    <w:rsid w:val="00811BF9"/>
    <w:rsid w:val="008132B3"/>
    <w:rsid w:val="00813368"/>
    <w:rsid w:val="00816FAF"/>
    <w:rsid w:val="0082062C"/>
    <w:rsid w:val="0082290E"/>
    <w:rsid w:val="008241A3"/>
    <w:rsid w:val="00824E29"/>
    <w:rsid w:val="00825450"/>
    <w:rsid w:val="00825A1E"/>
    <w:rsid w:val="00827986"/>
    <w:rsid w:val="00830954"/>
    <w:rsid w:val="00830F76"/>
    <w:rsid w:val="0083285A"/>
    <w:rsid w:val="00833201"/>
    <w:rsid w:val="00833523"/>
    <w:rsid w:val="00833B9E"/>
    <w:rsid w:val="0083610A"/>
    <w:rsid w:val="008372CB"/>
    <w:rsid w:val="00842033"/>
    <w:rsid w:val="008430F5"/>
    <w:rsid w:val="00846E70"/>
    <w:rsid w:val="00850DBA"/>
    <w:rsid w:val="00850FB0"/>
    <w:rsid w:val="0085267A"/>
    <w:rsid w:val="00852CC6"/>
    <w:rsid w:val="00853659"/>
    <w:rsid w:val="00854E43"/>
    <w:rsid w:val="00855D22"/>
    <w:rsid w:val="00860FE5"/>
    <w:rsid w:val="008614CA"/>
    <w:rsid w:val="008637FD"/>
    <w:rsid w:val="008651A5"/>
    <w:rsid w:val="00870A00"/>
    <w:rsid w:val="008745B7"/>
    <w:rsid w:val="00874B16"/>
    <w:rsid w:val="008763FC"/>
    <w:rsid w:val="00876B50"/>
    <w:rsid w:val="00876D8D"/>
    <w:rsid w:val="008811F9"/>
    <w:rsid w:val="00881205"/>
    <w:rsid w:val="0088191A"/>
    <w:rsid w:val="00884F97"/>
    <w:rsid w:val="0088597F"/>
    <w:rsid w:val="00886625"/>
    <w:rsid w:val="008872B6"/>
    <w:rsid w:val="00890981"/>
    <w:rsid w:val="00891AE7"/>
    <w:rsid w:val="008934C7"/>
    <w:rsid w:val="008939A4"/>
    <w:rsid w:val="0089442B"/>
    <w:rsid w:val="0089515A"/>
    <w:rsid w:val="008954A9"/>
    <w:rsid w:val="00896757"/>
    <w:rsid w:val="00897485"/>
    <w:rsid w:val="008A11A5"/>
    <w:rsid w:val="008A1BBB"/>
    <w:rsid w:val="008A24F8"/>
    <w:rsid w:val="008A2F05"/>
    <w:rsid w:val="008A349C"/>
    <w:rsid w:val="008A70F1"/>
    <w:rsid w:val="008B183D"/>
    <w:rsid w:val="008B261B"/>
    <w:rsid w:val="008B6172"/>
    <w:rsid w:val="008B7D5B"/>
    <w:rsid w:val="008C2359"/>
    <w:rsid w:val="008C2409"/>
    <w:rsid w:val="008C2EC8"/>
    <w:rsid w:val="008C4027"/>
    <w:rsid w:val="008C65F7"/>
    <w:rsid w:val="008C70D3"/>
    <w:rsid w:val="008D0C16"/>
    <w:rsid w:val="008D119B"/>
    <w:rsid w:val="008D1D14"/>
    <w:rsid w:val="008D1F28"/>
    <w:rsid w:val="008D204F"/>
    <w:rsid w:val="008D3F56"/>
    <w:rsid w:val="008D4BE1"/>
    <w:rsid w:val="008D7457"/>
    <w:rsid w:val="008E019B"/>
    <w:rsid w:val="008E10AC"/>
    <w:rsid w:val="008E2259"/>
    <w:rsid w:val="008E3C2C"/>
    <w:rsid w:val="008E531F"/>
    <w:rsid w:val="008E666A"/>
    <w:rsid w:val="008E6C32"/>
    <w:rsid w:val="008F0056"/>
    <w:rsid w:val="008F10CE"/>
    <w:rsid w:val="008F3B0E"/>
    <w:rsid w:val="008F3C40"/>
    <w:rsid w:val="008F4D8A"/>
    <w:rsid w:val="008F6786"/>
    <w:rsid w:val="008F6915"/>
    <w:rsid w:val="008F7153"/>
    <w:rsid w:val="009007E8"/>
    <w:rsid w:val="00900C3E"/>
    <w:rsid w:val="009012F8"/>
    <w:rsid w:val="009028A0"/>
    <w:rsid w:val="00903927"/>
    <w:rsid w:val="00904744"/>
    <w:rsid w:val="00904D12"/>
    <w:rsid w:val="009064D5"/>
    <w:rsid w:val="00906C4B"/>
    <w:rsid w:val="0090731C"/>
    <w:rsid w:val="00907B8D"/>
    <w:rsid w:val="009137D6"/>
    <w:rsid w:val="009139C5"/>
    <w:rsid w:val="009142E6"/>
    <w:rsid w:val="00914543"/>
    <w:rsid w:val="00914E50"/>
    <w:rsid w:val="009167DA"/>
    <w:rsid w:val="00916E5D"/>
    <w:rsid w:val="00916F9D"/>
    <w:rsid w:val="00917199"/>
    <w:rsid w:val="00917B3A"/>
    <w:rsid w:val="00920C83"/>
    <w:rsid w:val="00920D58"/>
    <w:rsid w:val="0092237A"/>
    <w:rsid w:val="0092300B"/>
    <w:rsid w:val="009236D1"/>
    <w:rsid w:val="00924FCF"/>
    <w:rsid w:val="00926125"/>
    <w:rsid w:val="009265B5"/>
    <w:rsid w:val="00926C90"/>
    <w:rsid w:val="0092775C"/>
    <w:rsid w:val="00927D21"/>
    <w:rsid w:val="009307EF"/>
    <w:rsid w:val="009333B8"/>
    <w:rsid w:val="009357D7"/>
    <w:rsid w:val="009365B0"/>
    <w:rsid w:val="00940B48"/>
    <w:rsid w:val="00941C9E"/>
    <w:rsid w:val="009430D9"/>
    <w:rsid w:val="0094543B"/>
    <w:rsid w:val="009460E9"/>
    <w:rsid w:val="0095021D"/>
    <w:rsid w:val="00950674"/>
    <w:rsid w:val="00950C3D"/>
    <w:rsid w:val="00953675"/>
    <w:rsid w:val="00955C65"/>
    <w:rsid w:val="009618FB"/>
    <w:rsid w:val="00962E94"/>
    <w:rsid w:val="009640E2"/>
    <w:rsid w:val="00965F6E"/>
    <w:rsid w:val="00967B6B"/>
    <w:rsid w:val="0097150A"/>
    <w:rsid w:val="00971CA7"/>
    <w:rsid w:val="00972636"/>
    <w:rsid w:val="009755EA"/>
    <w:rsid w:val="00975F4A"/>
    <w:rsid w:val="00976880"/>
    <w:rsid w:val="00977B02"/>
    <w:rsid w:val="00977CB0"/>
    <w:rsid w:val="00980F19"/>
    <w:rsid w:val="00982CC7"/>
    <w:rsid w:val="0098455F"/>
    <w:rsid w:val="009862E1"/>
    <w:rsid w:val="00986381"/>
    <w:rsid w:val="0099256E"/>
    <w:rsid w:val="00994416"/>
    <w:rsid w:val="0099569C"/>
    <w:rsid w:val="00996EC6"/>
    <w:rsid w:val="009A0542"/>
    <w:rsid w:val="009A19A8"/>
    <w:rsid w:val="009A1C06"/>
    <w:rsid w:val="009A1EFA"/>
    <w:rsid w:val="009A354B"/>
    <w:rsid w:val="009A569D"/>
    <w:rsid w:val="009A6BA1"/>
    <w:rsid w:val="009A7E53"/>
    <w:rsid w:val="009B0777"/>
    <w:rsid w:val="009B0799"/>
    <w:rsid w:val="009B0EC8"/>
    <w:rsid w:val="009B0FBB"/>
    <w:rsid w:val="009B1D1D"/>
    <w:rsid w:val="009B37F7"/>
    <w:rsid w:val="009B5697"/>
    <w:rsid w:val="009B7D8A"/>
    <w:rsid w:val="009B7FF0"/>
    <w:rsid w:val="009C1155"/>
    <w:rsid w:val="009C151D"/>
    <w:rsid w:val="009C1AF5"/>
    <w:rsid w:val="009C1E17"/>
    <w:rsid w:val="009C2B34"/>
    <w:rsid w:val="009C42D4"/>
    <w:rsid w:val="009D34EC"/>
    <w:rsid w:val="009D744D"/>
    <w:rsid w:val="009E2267"/>
    <w:rsid w:val="009E5347"/>
    <w:rsid w:val="009E59FD"/>
    <w:rsid w:val="009E5A7C"/>
    <w:rsid w:val="009F24E1"/>
    <w:rsid w:val="009F50BC"/>
    <w:rsid w:val="009F5892"/>
    <w:rsid w:val="009F7C2B"/>
    <w:rsid w:val="00A0206A"/>
    <w:rsid w:val="00A02145"/>
    <w:rsid w:val="00A0353E"/>
    <w:rsid w:val="00A043FC"/>
    <w:rsid w:val="00A05385"/>
    <w:rsid w:val="00A05A8E"/>
    <w:rsid w:val="00A05D95"/>
    <w:rsid w:val="00A062EF"/>
    <w:rsid w:val="00A11349"/>
    <w:rsid w:val="00A12166"/>
    <w:rsid w:val="00A1535E"/>
    <w:rsid w:val="00A170CB"/>
    <w:rsid w:val="00A1717D"/>
    <w:rsid w:val="00A177D3"/>
    <w:rsid w:val="00A17CBC"/>
    <w:rsid w:val="00A2081C"/>
    <w:rsid w:val="00A20938"/>
    <w:rsid w:val="00A21615"/>
    <w:rsid w:val="00A217A0"/>
    <w:rsid w:val="00A238F6"/>
    <w:rsid w:val="00A26205"/>
    <w:rsid w:val="00A319BC"/>
    <w:rsid w:val="00A325E8"/>
    <w:rsid w:val="00A32F18"/>
    <w:rsid w:val="00A34014"/>
    <w:rsid w:val="00A34C8B"/>
    <w:rsid w:val="00A35789"/>
    <w:rsid w:val="00A36554"/>
    <w:rsid w:val="00A37298"/>
    <w:rsid w:val="00A3747E"/>
    <w:rsid w:val="00A37D3E"/>
    <w:rsid w:val="00A40E39"/>
    <w:rsid w:val="00A4164E"/>
    <w:rsid w:val="00A47022"/>
    <w:rsid w:val="00A52A6E"/>
    <w:rsid w:val="00A5306C"/>
    <w:rsid w:val="00A541E7"/>
    <w:rsid w:val="00A54612"/>
    <w:rsid w:val="00A54E07"/>
    <w:rsid w:val="00A557D6"/>
    <w:rsid w:val="00A6167E"/>
    <w:rsid w:val="00A66476"/>
    <w:rsid w:val="00A67F0A"/>
    <w:rsid w:val="00A70235"/>
    <w:rsid w:val="00A714AC"/>
    <w:rsid w:val="00A75C6C"/>
    <w:rsid w:val="00A823A2"/>
    <w:rsid w:val="00A82D7A"/>
    <w:rsid w:val="00A83588"/>
    <w:rsid w:val="00A84430"/>
    <w:rsid w:val="00A85EB8"/>
    <w:rsid w:val="00A8606A"/>
    <w:rsid w:val="00A8699B"/>
    <w:rsid w:val="00A879A3"/>
    <w:rsid w:val="00A87E42"/>
    <w:rsid w:val="00A9084C"/>
    <w:rsid w:val="00A90859"/>
    <w:rsid w:val="00A913A9"/>
    <w:rsid w:val="00A91E31"/>
    <w:rsid w:val="00A92F8D"/>
    <w:rsid w:val="00A94247"/>
    <w:rsid w:val="00A957B9"/>
    <w:rsid w:val="00A9672F"/>
    <w:rsid w:val="00A967A7"/>
    <w:rsid w:val="00A97708"/>
    <w:rsid w:val="00AA066A"/>
    <w:rsid w:val="00AA0FF2"/>
    <w:rsid w:val="00AA69BA"/>
    <w:rsid w:val="00AA6CA3"/>
    <w:rsid w:val="00AA73DA"/>
    <w:rsid w:val="00AA756C"/>
    <w:rsid w:val="00AB128F"/>
    <w:rsid w:val="00AB1845"/>
    <w:rsid w:val="00AB3E20"/>
    <w:rsid w:val="00AB5C1A"/>
    <w:rsid w:val="00AB7A09"/>
    <w:rsid w:val="00AC16FB"/>
    <w:rsid w:val="00AC1B8D"/>
    <w:rsid w:val="00AC51F9"/>
    <w:rsid w:val="00AC6EB9"/>
    <w:rsid w:val="00AC730E"/>
    <w:rsid w:val="00AC75D2"/>
    <w:rsid w:val="00AD6654"/>
    <w:rsid w:val="00AE0B85"/>
    <w:rsid w:val="00AE5B67"/>
    <w:rsid w:val="00AE7F58"/>
    <w:rsid w:val="00AE7F76"/>
    <w:rsid w:val="00AF062F"/>
    <w:rsid w:val="00AF159C"/>
    <w:rsid w:val="00AF2A99"/>
    <w:rsid w:val="00AF4BAB"/>
    <w:rsid w:val="00AF694E"/>
    <w:rsid w:val="00AF717A"/>
    <w:rsid w:val="00B032E6"/>
    <w:rsid w:val="00B07467"/>
    <w:rsid w:val="00B10F4F"/>
    <w:rsid w:val="00B12207"/>
    <w:rsid w:val="00B1227E"/>
    <w:rsid w:val="00B14908"/>
    <w:rsid w:val="00B15871"/>
    <w:rsid w:val="00B1601E"/>
    <w:rsid w:val="00B17105"/>
    <w:rsid w:val="00B208AD"/>
    <w:rsid w:val="00B2101A"/>
    <w:rsid w:val="00B226E4"/>
    <w:rsid w:val="00B233F9"/>
    <w:rsid w:val="00B24B39"/>
    <w:rsid w:val="00B30319"/>
    <w:rsid w:val="00B309B0"/>
    <w:rsid w:val="00B31B3A"/>
    <w:rsid w:val="00B35BA4"/>
    <w:rsid w:val="00B37ACC"/>
    <w:rsid w:val="00B40D88"/>
    <w:rsid w:val="00B41DBB"/>
    <w:rsid w:val="00B4359C"/>
    <w:rsid w:val="00B4429A"/>
    <w:rsid w:val="00B45112"/>
    <w:rsid w:val="00B460F8"/>
    <w:rsid w:val="00B471EC"/>
    <w:rsid w:val="00B47C26"/>
    <w:rsid w:val="00B506B0"/>
    <w:rsid w:val="00B51353"/>
    <w:rsid w:val="00B551E4"/>
    <w:rsid w:val="00B56B0D"/>
    <w:rsid w:val="00B56C79"/>
    <w:rsid w:val="00B60F87"/>
    <w:rsid w:val="00B60F8D"/>
    <w:rsid w:val="00B61FEC"/>
    <w:rsid w:val="00B621F0"/>
    <w:rsid w:val="00B62B31"/>
    <w:rsid w:val="00B64C6D"/>
    <w:rsid w:val="00B70492"/>
    <w:rsid w:val="00B70B25"/>
    <w:rsid w:val="00B7153B"/>
    <w:rsid w:val="00B7286A"/>
    <w:rsid w:val="00B74C62"/>
    <w:rsid w:val="00B7510A"/>
    <w:rsid w:val="00B75F2D"/>
    <w:rsid w:val="00B764C5"/>
    <w:rsid w:val="00B76B28"/>
    <w:rsid w:val="00B77865"/>
    <w:rsid w:val="00B801CF"/>
    <w:rsid w:val="00B87C72"/>
    <w:rsid w:val="00B92EA3"/>
    <w:rsid w:val="00B96031"/>
    <w:rsid w:val="00BA09BF"/>
    <w:rsid w:val="00BA4D94"/>
    <w:rsid w:val="00BA66C5"/>
    <w:rsid w:val="00BB0474"/>
    <w:rsid w:val="00BB19C4"/>
    <w:rsid w:val="00BB4B07"/>
    <w:rsid w:val="00BB721F"/>
    <w:rsid w:val="00BB7A1D"/>
    <w:rsid w:val="00BC1506"/>
    <w:rsid w:val="00BC1F17"/>
    <w:rsid w:val="00BC49E9"/>
    <w:rsid w:val="00BC4A56"/>
    <w:rsid w:val="00BC51CB"/>
    <w:rsid w:val="00BC5461"/>
    <w:rsid w:val="00BC64C1"/>
    <w:rsid w:val="00BC67A4"/>
    <w:rsid w:val="00BD0A27"/>
    <w:rsid w:val="00BD2513"/>
    <w:rsid w:val="00BD2BD5"/>
    <w:rsid w:val="00BD2D3A"/>
    <w:rsid w:val="00BD7BB6"/>
    <w:rsid w:val="00BE24E5"/>
    <w:rsid w:val="00BE2F01"/>
    <w:rsid w:val="00BE3E5E"/>
    <w:rsid w:val="00BE57EC"/>
    <w:rsid w:val="00BE799D"/>
    <w:rsid w:val="00BE7BA8"/>
    <w:rsid w:val="00BF0B08"/>
    <w:rsid w:val="00BF481C"/>
    <w:rsid w:val="00BF5564"/>
    <w:rsid w:val="00BF5CEF"/>
    <w:rsid w:val="00BF6991"/>
    <w:rsid w:val="00C01986"/>
    <w:rsid w:val="00C02CB2"/>
    <w:rsid w:val="00C03B79"/>
    <w:rsid w:val="00C042A3"/>
    <w:rsid w:val="00C101CE"/>
    <w:rsid w:val="00C11190"/>
    <w:rsid w:val="00C117A3"/>
    <w:rsid w:val="00C126CC"/>
    <w:rsid w:val="00C13597"/>
    <w:rsid w:val="00C158E7"/>
    <w:rsid w:val="00C17A19"/>
    <w:rsid w:val="00C20EEA"/>
    <w:rsid w:val="00C22255"/>
    <w:rsid w:val="00C22E6D"/>
    <w:rsid w:val="00C22FB2"/>
    <w:rsid w:val="00C23BE5"/>
    <w:rsid w:val="00C261B6"/>
    <w:rsid w:val="00C307C0"/>
    <w:rsid w:val="00C32851"/>
    <w:rsid w:val="00C33A4B"/>
    <w:rsid w:val="00C35D29"/>
    <w:rsid w:val="00C3608D"/>
    <w:rsid w:val="00C37330"/>
    <w:rsid w:val="00C405F2"/>
    <w:rsid w:val="00C41F38"/>
    <w:rsid w:val="00C432BA"/>
    <w:rsid w:val="00C43D2F"/>
    <w:rsid w:val="00C44C60"/>
    <w:rsid w:val="00C47C99"/>
    <w:rsid w:val="00C5200C"/>
    <w:rsid w:val="00C535C9"/>
    <w:rsid w:val="00C53BA8"/>
    <w:rsid w:val="00C540FC"/>
    <w:rsid w:val="00C55BC4"/>
    <w:rsid w:val="00C56592"/>
    <w:rsid w:val="00C61829"/>
    <w:rsid w:val="00C6201A"/>
    <w:rsid w:val="00C63254"/>
    <w:rsid w:val="00C67B72"/>
    <w:rsid w:val="00C70469"/>
    <w:rsid w:val="00C70805"/>
    <w:rsid w:val="00C726A6"/>
    <w:rsid w:val="00C73383"/>
    <w:rsid w:val="00C7494C"/>
    <w:rsid w:val="00C752F4"/>
    <w:rsid w:val="00C75379"/>
    <w:rsid w:val="00C809A2"/>
    <w:rsid w:val="00C81000"/>
    <w:rsid w:val="00C81F6B"/>
    <w:rsid w:val="00C8469F"/>
    <w:rsid w:val="00C8508E"/>
    <w:rsid w:val="00C86176"/>
    <w:rsid w:val="00C8725B"/>
    <w:rsid w:val="00C87E0F"/>
    <w:rsid w:val="00C926D2"/>
    <w:rsid w:val="00C940D8"/>
    <w:rsid w:val="00C96EB4"/>
    <w:rsid w:val="00CA0716"/>
    <w:rsid w:val="00CA3879"/>
    <w:rsid w:val="00CA3C34"/>
    <w:rsid w:val="00CA5154"/>
    <w:rsid w:val="00CA7249"/>
    <w:rsid w:val="00CB099D"/>
    <w:rsid w:val="00CB1BB3"/>
    <w:rsid w:val="00CB2F33"/>
    <w:rsid w:val="00CB34DD"/>
    <w:rsid w:val="00CB38BF"/>
    <w:rsid w:val="00CB38E1"/>
    <w:rsid w:val="00CB3A06"/>
    <w:rsid w:val="00CB4134"/>
    <w:rsid w:val="00CB47B6"/>
    <w:rsid w:val="00CB5718"/>
    <w:rsid w:val="00CB735B"/>
    <w:rsid w:val="00CB7617"/>
    <w:rsid w:val="00CB797C"/>
    <w:rsid w:val="00CB7E1D"/>
    <w:rsid w:val="00CC2963"/>
    <w:rsid w:val="00CC428E"/>
    <w:rsid w:val="00CC5D26"/>
    <w:rsid w:val="00CC6334"/>
    <w:rsid w:val="00CC6F21"/>
    <w:rsid w:val="00CD16E6"/>
    <w:rsid w:val="00CD358D"/>
    <w:rsid w:val="00CD4E72"/>
    <w:rsid w:val="00CD6044"/>
    <w:rsid w:val="00CD6F5D"/>
    <w:rsid w:val="00CD7052"/>
    <w:rsid w:val="00CD7142"/>
    <w:rsid w:val="00CE0C5F"/>
    <w:rsid w:val="00CE169E"/>
    <w:rsid w:val="00CE3343"/>
    <w:rsid w:val="00CE36A6"/>
    <w:rsid w:val="00CE3E49"/>
    <w:rsid w:val="00CE4942"/>
    <w:rsid w:val="00CE4C55"/>
    <w:rsid w:val="00CE567D"/>
    <w:rsid w:val="00CE5847"/>
    <w:rsid w:val="00CE6C0A"/>
    <w:rsid w:val="00CE6D10"/>
    <w:rsid w:val="00CF06D0"/>
    <w:rsid w:val="00CF0C8D"/>
    <w:rsid w:val="00CF12CF"/>
    <w:rsid w:val="00CF2E34"/>
    <w:rsid w:val="00CF4698"/>
    <w:rsid w:val="00CF66F3"/>
    <w:rsid w:val="00D00653"/>
    <w:rsid w:val="00D0467A"/>
    <w:rsid w:val="00D04944"/>
    <w:rsid w:val="00D0656C"/>
    <w:rsid w:val="00D06797"/>
    <w:rsid w:val="00D12EE7"/>
    <w:rsid w:val="00D1641C"/>
    <w:rsid w:val="00D266C9"/>
    <w:rsid w:val="00D2687F"/>
    <w:rsid w:val="00D27C75"/>
    <w:rsid w:val="00D303B9"/>
    <w:rsid w:val="00D3101C"/>
    <w:rsid w:val="00D310F0"/>
    <w:rsid w:val="00D31939"/>
    <w:rsid w:val="00D32374"/>
    <w:rsid w:val="00D32775"/>
    <w:rsid w:val="00D32F6D"/>
    <w:rsid w:val="00D379B5"/>
    <w:rsid w:val="00D37F5E"/>
    <w:rsid w:val="00D41107"/>
    <w:rsid w:val="00D430C8"/>
    <w:rsid w:val="00D462EA"/>
    <w:rsid w:val="00D46690"/>
    <w:rsid w:val="00D46979"/>
    <w:rsid w:val="00D47BFD"/>
    <w:rsid w:val="00D50844"/>
    <w:rsid w:val="00D5638C"/>
    <w:rsid w:val="00D57D04"/>
    <w:rsid w:val="00D601AC"/>
    <w:rsid w:val="00D618BD"/>
    <w:rsid w:val="00D62E77"/>
    <w:rsid w:val="00D62F84"/>
    <w:rsid w:val="00D64FF2"/>
    <w:rsid w:val="00D66207"/>
    <w:rsid w:val="00D7241A"/>
    <w:rsid w:val="00D763BF"/>
    <w:rsid w:val="00D8059F"/>
    <w:rsid w:val="00D80D61"/>
    <w:rsid w:val="00D824C4"/>
    <w:rsid w:val="00D8283E"/>
    <w:rsid w:val="00D8301A"/>
    <w:rsid w:val="00D85852"/>
    <w:rsid w:val="00D87500"/>
    <w:rsid w:val="00D90032"/>
    <w:rsid w:val="00D90A52"/>
    <w:rsid w:val="00D90C36"/>
    <w:rsid w:val="00D91B25"/>
    <w:rsid w:val="00D9651B"/>
    <w:rsid w:val="00DA5FF8"/>
    <w:rsid w:val="00DA64F8"/>
    <w:rsid w:val="00DA6B2B"/>
    <w:rsid w:val="00DB07B3"/>
    <w:rsid w:val="00DB0844"/>
    <w:rsid w:val="00DB2243"/>
    <w:rsid w:val="00DB2623"/>
    <w:rsid w:val="00DB2D86"/>
    <w:rsid w:val="00DB6A78"/>
    <w:rsid w:val="00DB75D5"/>
    <w:rsid w:val="00DB79E0"/>
    <w:rsid w:val="00DC6036"/>
    <w:rsid w:val="00DD1AC8"/>
    <w:rsid w:val="00DD279C"/>
    <w:rsid w:val="00DD3B1D"/>
    <w:rsid w:val="00DD67B6"/>
    <w:rsid w:val="00DE0AA6"/>
    <w:rsid w:val="00DE0F87"/>
    <w:rsid w:val="00DE36C8"/>
    <w:rsid w:val="00DE4FF3"/>
    <w:rsid w:val="00DE6F91"/>
    <w:rsid w:val="00DE6F92"/>
    <w:rsid w:val="00DF170F"/>
    <w:rsid w:val="00DF178E"/>
    <w:rsid w:val="00DF22E6"/>
    <w:rsid w:val="00DF514D"/>
    <w:rsid w:val="00DF636A"/>
    <w:rsid w:val="00DF67C1"/>
    <w:rsid w:val="00E021D6"/>
    <w:rsid w:val="00E02A89"/>
    <w:rsid w:val="00E02DFC"/>
    <w:rsid w:val="00E04D42"/>
    <w:rsid w:val="00E07419"/>
    <w:rsid w:val="00E103A7"/>
    <w:rsid w:val="00E12A64"/>
    <w:rsid w:val="00E162CE"/>
    <w:rsid w:val="00E165AF"/>
    <w:rsid w:val="00E16600"/>
    <w:rsid w:val="00E16971"/>
    <w:rsid w:val="00E16AC4"/>
    <w:rsid w:val="00E16F74"/>
    <w:rsid w:val="00E22050"/>
    <w:rsid w:val="00E22178"/>
    <w:rsid w:val="00E237EF"/>
    <w:rsid w:val="00E24C34"/>
    <w:rsid w:val="00E25401"/>
    <w:rsid w:val="00E25487"/>
    <w:rsid w:val="00E259BC"/>
    <w:rsid w:val="00E2675A"/>
    <w:rsid w:val="00E2740D"/>
    <w:rsid w:val="00E27A95"/>
    <w:rsid w:val="00E30CC1"/>
    <w:rsid w:val="00E30E00"/>
    <w:rsid w:val="00E31427"/>
    <w:rsid w:val="00E314A8"/>
    <w:rsid w:val="00E33193"/>
    <w:rsid w:val="00E33FF8"/>
    <w:rsid w:val="00E344AC"/>
    <w:rsid w:val="00E344BE"/>
    <w:rsid w:val="00E36477"/>
    <w:rsid w:val="00E408A8"/>
    <w:rsid w:val="00E41899"/>
    <w:rsid w:val="00E41AE6"/>
    <w:rsid w:val="00E41D91"/>
    <w:rsid w:val="00E4259A"/>
    <w:rsid w:val="00E44BC2"/>
    <w:rsid w:val="00E47785"/>
    <w:rsid w:val="00E512BC"/>
    <w:rsid w:val="00E518CC"/>
    <w:rsid w:val="00E52A0B"/>
    <w:rsid w:val="00E52A3C"/>
    <w:rsid w:val="00E56939"/>
    <w:rsid w:val="00E57884"/>
    <w:rsid w:val="00E605F4"/>
    <w:rsid w:val="00E60967"/>
    <w:rsid w:val="00E60C30"/>
    <w:rsid w:val="00E61AB6"/>
    <w:rsid w:val="00E62AF4"/>
    <w:rsid w:val="00E653EE"/>
    <w:rsid w:val="00E66326"/>
    <w:rsid w:val="00E6747B"/>
    <w:rsid w:val="00E720E2"/>
    <w:rsid w:val="00E73099"/>
    <w:rsid w:val="00E76CF8"/>
    <w:rsid w:val="00E82DB1"/>
    <w:rsid w:val="00E82DC3"/>
    <w:rsid w:val="00E84667"/>
    <w:rsid w:val="00E848F5"/>
    <w:rsid w:val="00E8520C"/>
    <w:rsid w:val="00E853A3"/>
    <w:rsid w:val="00E8560D"/>
    <w:rsid w:val="00E9062D"/>
    <w:rsid w:val="00E91628"/>
    <w:rsid w:val="00E928A6"/>
    <w:rsid w:val="00E934C9"/>
    <w:rsid w:val="00E93DCD"/>
    <w:rsid w:val="00E94A1A"/>
    <w:rsid w:val="00E94A6B"/>
    <w:rsid w:val="00E9506A"/>
    <w:rsid w:val="00E95188"/>
    <w:rsid w:val="00E96B1A"/>
    <w:rsid w:val="00E9796B"/>
    <w:rsid w:val="00E97A99"/>
    <w:rsid w:val="00EA056B"/>
    <w:rsid w:val="00EA0DDD"/>
    <w:rsid w:val="00EA1F88"/>
    <w:rsid w:val="00EA3790"/>
    <w:rsid w:val="00EA43AD"/>
    <w:rsid w:val="00EA51CB"/>
    <w:rsid w:val="00EA5ACB"/>
    <w:rsid w:val="00EB1653"/>
    <w:rsid w:val="00EB1927"/>
    <w:rsid w:val="00EB2159"/>
    <w:rsid w:val="00EB3556"/>
    <w:rsid w:val="00EB385C"/>
    <w:rsid w:val="00EB5972"/>
    <w:rsid w:val="00EC0B1B"/>
    <w:rsid w:val="00EC3EE6"/>
    <w:rsid w:val="00EC5632"/>
    <w:rsid w:val="00EC6A5B"/>
    <w:rsid w:val="00ED0901"/>
    <w:rsid w:val="00ED12B4"/>
    <w:rsid w:val="00ED133D"/>
    <w:rsid w:val="00ED17D9"/>
    <w:rsid w:val="00ED5C67"/>
    <w:rsid w:val="00ED60AB"/>
    <w:rsid w:val="00ED7E40"/>
    <w:rsid w:val="00EE1C3B"/>
    <w:rsid w:val="00EE42A7"/>
    <w:rsid w:val="00EE4ABA"/>
    <w:rsid w:val="00EE55CD"/>
    <w:rsid w:val="00EE6A34"/>
    <w:rsid w:val="00EE6AB2"/>
    <w:rsid w:val="00EE7862"/>
    <w:rsid w:val="00EE7881"/>
    <w:rsid w:val="00EF05B2"/>
    <w:rsid w:val="00EF0FEA"/>
    <w:rsid w:val="00EF3F4F"/>
    <w:rsid w:val="00EF6A0D"/>
    <w:rsid w:val="00F01337"/>
    <w:rsid w:val="00F02232"/>
    <w:rsid w:val="00F023C1"/>
    <w:rsid w:val="00F056E5"/>
    <w:rsid w:val="00F079F6"/>
    <w:rsid w:val="00F1120E"/>
    <w:rsid w:val="00F1130C"/>
    <w:rsid w:val="00F131BB"/>
    <w:rsid w:val="00F133DC"/>
    <w:rsid w:val="00F148B7"/>
    <w:rsid w:val="00F156C2"/>
    <w:rsid w:val="00F158B8"/>
    <w:rsid w:val="00F15D04"/>
    <w:rsid w:val="00F17864"/>
    <w:rsid w:val="00F178DE"/>
    <w:rsid w:val="00F17B6F"/>
    <w:rsid w:val="00F2096A"/>
    <w:rsid w:val="00F20FA3"/>
    <w:rsid w:val="00F21396"/>
    <w:rsid w:val="00F215E3"/>
    <w:rsid w:val="00F223BA"/>
    <w:rsid w:val="00F22696"/>
    <w:rsid w:val="00F22CE6"/>
    <w:rsid w:val="00F23248"/>
    <w:rsid w:val="00F23515"/>
    <w:rsid w:val="00F25337"/>
    <w:rsid w:val="00F26932"/>
    <w:rsid w:val="00F272FE"/>
    <w:rsid w:val="00F30E0A"/>
    <w:rsid w:val="00F31504"/>
    <w:rsid w:val="00F31712"/>
    <w:rsid w:val="00F34147"/>
    <w:rsid w:val="00F415BE"/>
    <w:rsid w:val="00F468EB"/>
    <w:rsid w:val="00F50C89"/>
    <w:rsid w:val="00F53A2E"/>
    <w:rsid w:val="00F53E06"/>
    <w:rsid w:val="00F575C4"/>
    <w:rsid w:val="00F603BD"/>
    <w:rsid w:val="00F62E07"/>
    <w:rsid w:val="00F63010"/>
    <w:rsid w:val="00F6509D"/>
    <w:rsid w:val="00F65181"/>
    <w:rsid w:val="00F66943"/>
    <w:rsid w:val="00F67609"/>
    <w:rsid w:val="00F70802"/>
    <w:rsid w:val="00F7153D"/>
    <w:rsid w:val="00F72179"/>
    <w:rsid w:val="00F73F6D"/>
    <w:rsid w:val="00F75F15"/>
    <w:rsid w:val="00F808BD"/>
    <w:rsid w:val="00F83720"/>
    <w:rsid w:val="00F84062"/>
    <w:rsid w:val="00F8525B"/>
    <w:rsid w:val="00F904B3"/>
    <w:rsid w:val="00F90597"/>
    <w:rsid w:val="00F906CE"/>
    <w:rsid w:val="00F9137B"/>
    <w:rsid w:val="00F91D7E"/>
    <w:rsid w:val="00F92886"/>
    <w:rsid w:val="00F92CCC"/>
    <w:rsid w:val="00F94EB3"/>
    <w:rsid w:val="00FA1A45"/>
    <w:rsid w:val="00FA29F2"/>
    <w:rsid w:val="00FA2DFF"/>
    <w:rsid w:val="00FA4008"/>
    <w:rsid w:val="00FA6A70"/>
    <w:rsid w:val="00FB2015"/>
    <w:rsid w:val="00FB3247"/>
    <w:rsid w:val="00FB3F96"/>
    <w:rsid w:val="00FB50AE"/>
    <w:rsid w:val="00FB6AC0"/>
    <w:rsid w:val="00FB6B03"/>
    <w:rsid w:val="00FB7A4A"/>
    <w:rsid w:val="00FC29CB"/>
    <w:rsid w:val="00FC2F5B"/>
    <w:rsid w:val="00FC2FA6"/>
    <w:rsid w:val="00FC4EC3"/>
    <w:rsid w:val="00FC549F"/>
    <w:rsid w:val="00FC580F"/>
    <w:rsid w:val="00FC641C"/>
    <w:rsid w:val="00FD1929"/>
    <w:rsid w:val="00FD1BB4"/>
    <w:rsid w:val="00FD2D86"/>
    <w:rsid w:val="00FD31DB"/>
    <w:rsid w:val="00FD5AAA"/>
    <w:rsid w:val="00FD6439"/>
    <w:rsid w:val="00FD64CF"/>
    <w:rsid w:val="00FD729C"/>
    <w:rsid w:val="00FE0AE3"/>
    <w:rsid w:val="00FE0B91"/>
    <w:rsid w:val="00FE2419"/>
    <w:rsid w:val="00FE2662"/>
    <w:rsid w:val="00FE2DC3"/>
    <w:rsid w:val="00FF172E"/>
    <w:rsid w:val="00FF2EC3"/>
    <w:rsid w:val="00FF3907"/>
    <w:rsid w:val="00FF652D"/>
    <w:rsid w:val="00FF6D51"/>
    <w:rsid w:val="00FF721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47CF4BC"/>
  <w15:chartTrackingRefBased/>
  <w15:docId w15:val="{4E1266C5-DE85-48D1-998F-1B87371F1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qFormat="1"/>
    <w:lsdException w:name="toc 9" w:semiHidden="1"/>
    <w:lsdException w:name="Normal Indent" w:semiHidden="1"/>
    <w:lsdException w:name="footnote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footnote reference" w:qFormat="1"/>
    <w:lsdException w:name="line number" w:semiHidden="1"/>
    <w:lsdException w:name="page number" w:semiHidden="1" w:qFormat="1"/>
    <w:lsdException w:name="table of authorities" w:semiHidden="1"/>
    <w:lsdException w:name="toa heading" w:semiHidden="1"/>
    <w:lsdException w:name="List" w:semiHidden="1" w:unhideWhenUsed="1"/>
    <w:lsdException w:name="List Bullet" w:semiHidden="1" w:unhideWhenUsed="1"/>
    <w:lsdException w:name="List Number" w:semiHidden="1" w:unhideWhenUsed="1"/>
    <w:lsdException w:name="List Bullet 2" w:semiHidden="1" w:unhideWhenUsed="1"/>
    <w:lsdException w:name="List Bullet 3" w:semiHidden="1" w:unhideWhenUsed="1"/>
    <w:lsdException w:name="List Number 2" w:semiHidden="1" w:unhideWhenUsed="1"/>
    <w:lsdException w:name="Title"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qFormat="1"/>
    <w:lsdException w:name="List Continue 3" w:qFormat="1"/>
    <w:lsdException w:name="Message Header" w:semiHidden="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atentStyles>
  <w:style w:type="paragraph" w:default="1" w:styleId="Normal">
    <w:name w:val="Normal"/>
    <w:qFormat/>
    <w:rsid w:val="00CB7617"/>
    <w:pPr>
      <w:spacing w:before="240" w:after="240" w:line="264" w:lineRule="auto"/>
    </w:pPr>
    <w:rPr>
      <w:sz w:val="24"/>
    </w:rPr>
  </w:style>
  <w:style w:type="paragraph" w:styleId="Heading1">
    <w:name w:val="heading 1"/>
    <w:basedOn w:val="Normal"/>
    <w:next w:val="Normal"/>
    <w:link w:val="Heading1Char"/>
    <w:semiHidden/>
    <w:qFormat/>
    <w:rsid w:val="00CB7617"/>
    <w:pPr>
      <w:keepNext/>
      <w:keepLines/>
      <w:spacing w:after="0"/>
      <w:outlineLvl w:val="0"/>
    </w:pPr>
    <w:rPr>
      <w:rFonts w:asciiTheme="majorHAnsi" w:eastAsiaTheme="majorEastAsia" w:hAnsiTheme="majorHAnsi" w:cstheme="majorBidi"/>
      <w:color w:val="A5A5A5" w:themeColor="accent1" w:themeShade="BF"/>
      <w:sz w:val="32"/>
      <w:szCs w:val="32"/>
    </w:rPr>
  </w:style>
  <w:style w:type="paragraph" w:styleId="Heading2">
    <w:name w:val="heading 2"/>
    <w:basedOn w:val="Normal"/>
    <w:next w:val="Normal"/>
    <w:link w:val="Heading2Char"/>
    <w:semiHidden/>
    <w:qFormat/>
    <w:rsid w:val="00CB7617"/>
    <w:pPr>
      <w:keepNext/>
      <w:keepLines/>
      <w:numPr>
        <w:ilvl w:val="1"/>
        <w:numId w:val="11"/>
      </w:numPr>
      <w:spacing w:before="40" w:after="0"/>
      <w:outlineLvl w:val="1"/>
    </w:pPr>
    <w:rPr>
      <w:rFonts w:asciiTheme="majorHAnsi" w:eastAsiaTheme="majorEastAsia" w:hAnsiTheme="majorHAnsi" w:cstheme="majorBidi"/>
      <w:color w:val="A5A5A5" w:themeColor="accent1" w:themeShade="BF"/>
      <w:sz w:val="26"/>
      <w:szCs w:val="26"/>
    </w:rPr>
  </w:style>
  <w:style w:type="paragraph" w:styleId="Heading3">
    <w:name w:val="heading 3"/>
    <w:basedOn w:val="Normal"/>
    <w:next w:val="Normal"/>
    <w:link w:val="Heading3Char"/>
    <w:semiHidden/>
    <w:qFormat/>
    <w:rsid w:val="00CB7617"/>
    <w:pPr>
      <w:keepNext/>
      <w:keepLines/>
      <w:numPr>
        <w:ilvl w:val="2"/>
        <w:numId w:val="11"/>
      </w:numPr>
      <w:spacing w:before="40" w:after="0"/>
      <w:outlineLvl w:val="2"/>
    </w:pPr>
    <w:rPr>
      <w:rFonts w:asciiTheme="majorHAnsi" w:eastAsiaTheme="majorEastAsia" w:hAnsiTheme="majorHAnsi" w:cstheme="majorBidi"/>
      <w:color w:val="6E6E6E" w:themeColor="accent1" w:themeShade="7F"/>
      <w:szCs w:val="24"/>
    </w:rPr>
  </w:style>
  <w:style w:type="paragraph" w:styleId="Heading4">
    <w:name w:val="heading 4"/>
    <w:basedOn w:val="Normal"/>
    <w:next w:val="Normal"/>
    <w:link w:val="Heading4Char"/>
    <w:semiHidden/>
    <w:qFormat/>
    <w:rsid w:val="00CB7617"/>
    <w:pPr>
      <w:keepNext/>
      <w:keepLines/>
      <w:numPr>
        <w:ilvl w:val="3"/>
        <w:numId w:val="11"/>
      </w:numPr>
      <w:spacing w:before="40" w:after="0"/>
      <w:outlineLvl w:val="3"/>
    </w:pPr>
    <w:rPr>
      <w:rFonts w:asciiTheme="majorHAnsi" w:eastAsiaTheme="majorEastAsia" w:hAnsiTheme="majorHAnsi" w:cstheme="majorBidi"/>
      <w:i/>
      <w:iCs/>
      <w:color w:val="A5A5A5" w:themeColor="accent1" w:themeShade="BF"/>
    </w:rPr>
  </w:style>
  <w:style w:type="paragraph" w:styleId="Heading5">
    <w:name w:val="heading 5"/>
    <w:basedOn w:val="Normal"/>
    <w:next w:val="Normal"/>
    <w:link w:val="Heading5Char"/>
    <w:semiHidden/>
    <w:qFormat/>
    <w:rsid w:val="00CB7617"/>
    <w:pPr>
      <w:keepNext/>
      <w:keepLines/>
      <w:numPr>
        <w:ilvl w:val="4"/>
        <w:numId w:val="11"/>
      </w:numPr>
      <w:spacing w:before="40" w:after="0"/>
      <w:outlineLvl w:val="4"/>
    </w:pPr>
    <w:rPr>
      <w:rFonts w:asciiTheme="majorHAnsi" w:eastAsiaTheme="majorEastAsia" w:hAnsiTheme="majorHAnsi" w:cstheme="majorBidi"/>
      <w:color w:val="A5A5A5" w:themeColor="accent1" w:themeShade="BF"/>
    </w:rPr>
  </w:style>
  <w:style w:type="paragraph" w:styleId="Heading6">
    <w:name w:val="heading 6"/>
    <w:basedOn w:val="Normal"/>
    <w:next w:val="Normal"/>
    <w:link w:val="Heading6Char"/>
    <w:semiHidden/>
    <w:qFormat/>
    <w:rsid w:val="00CB7617"/>
    <w:pPr>
      <w:keepNext/>
      <w:keepLines/>
      <w:numPr>
        <w:ilvl w:val="5"/>
        <w:numId w:val="11"/>
      </w:numPr>
      <w:spacing w:before="40" w:after="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semiHidden/>
    <w:qFormat/>
    <w:rsid w:val="00CB7617"/>
    <w:pPr>
      <w:keepNext/>
      <w:keepLines/>
      <w:numPr>
        <w:ilvl w:val="6"/>
        <w:numId w:val="11"/>
      </w:numPr>
      <w:spacing w:before="40" w:after="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semiHidden/>
    <w:qFormat/>
    <w:rsid w:val="00CB7617"/>
    <w:pPr>
      <w:keepNext/>
      <w:keepLines/>
      <w:numPr>
        <w:ilvl w:val="7"/>
        <w:numId w:val="1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Heading 9 (business proposal only)"/>
    <w:basedOn w:val="Normal"/>
    <w:next w:val="Normal"/>
    <w:link w:val="Heading9Char"/>
    <w:semiHidden/>
    <w:qFormat/>
    <w:rsid w:val="00CB7617"/>
    <w:pPr>
      <w:keepNext/>
      <w:keepLines/>
      <w:numPr>
        <w:ilvl w:val="8"/>
        <w:numId w:val="1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CB7617"/>
    <w:pPr>
      <w:spacing w:before="40" w:after="20" w:line="264" w:lineRule="auto"/>
    </w:pPr>
    <w:rPr>
      <w:rFonts w:asciiTheme="majorHAnsi" w:hAnsiTheme="majorHAnsi"/>
      <w:color w:val="000000" w:themeColor="text1"/>
      <w:sz w:val="20"/>
    </w:rPr>
  </w:style>
  <w:style w:type="paragraph" w:customStyle="1" w:styleId="Paragraph">
    <w:name w:val="Paragraph"/>
    <w:basedOn w:val="Normal"/>
    <w:qFormat/>
    <w:rsid w:val="00CB7617"/>
  </w:style>
  <w:style w:type="paragraph" w:customStyle="1" w:styleId="ParagraphContinued">
    <w:name w:val="Paragraph Continued"/>
    <w:basedOn w:val="Paragraph"/>
    <w:next w:val="Paragraph"/>
    <w:qFormat/>
    <w:rsid w:val="00CB7617"/>
    <w:pPr>
      <w:spacing w:before="160"/>
    </w:pPr>
  </w:style>
  <w:style w:type="character" w:customStyle="1" w:styleId="Heading1Char">
    <w:name w:val="Heading 1 Char"/>
    <w:basedOn w:val="DefaultParagraphFont"/>
    <w:link w:val="Heading1"/>
    <w:semiHidden/>
    <w:rsid w:val="00CB7617"/>
    <w:rPr>
      <w:rFonts w:asciiTheme="majorHAnsi" w:eastAsiaTheme="majorEastAsia" w:hAnsiTheme="majorHAnsi" w:cstheme="majorBidi"/>
      <w:color w:val="A5A5A5" w:themeColor="accent1" w:themeShade="BF"/>
      <w:sz w:val="32"/>
      <w:szCs w:val="32"/>
    </w:rPr>
  </w:style>
  <w:style w:type="paragraph" w:customStyle="1" w:styleId="H1">
    <w:name w:val="H1"/>
    <w:basedOn w:val="Heading1"/>
    <w:next w:val="ParagraphContinued"/>
    <w:link w:val="H1Char"/>
    <w:qFormat/>
    <w:rsid w:val="00CB7617"/>
    <w:pPr>
      <w:spacing w:after="240"/>
      <w:ind w:left="360" w:hanging="360"/>
      <w:outlineLvl w:val="1"/>
    </w:pPr>
    <w:rPr>
      <w:b/>
      <w:color w:val="000000" w:themeColor="text2"/>
      <w:sz w:val="24"/>
    </w:rPr>
  </w:style>
  <w:style w:type="paragraph" w:styleId="ListBullet">
    <w:name w:val="List Bullet"/>
    <w:basedOn w:val="Normal"/>
    <w:rsid w:val="00CB7617"/>
    <w:pPr>
      <w:numPr>
        <w:numId w:val="1"/>
      </w:numPr>
      <w:spacing w:before="120" w:after="120"/>
    </w:pPr>
  </w:style>
  <w:style w:type="paragraph" w:styleId="ListNumber">
    <w:name w:val="List Number"/>
    <w:basedOn w:val="Normal"/>
    <w:rsid w:val="00CB7617"/>
    <w:pPr>
      <w:numPr>
        <w:numId w:val="6"/>
      </w:numPr>
      <w:adjustRightInd w:val="0"/>
      <w:spacing w:before="160" w:after="160"/>
    </w:pPr>
  </w:style>
  <w:style w:type="table" w:styleId="TableGrid">
    <w:name w:val="Table Grid"/>
    <w:basedOn w:val="TableNormal"/>
    <w:uiPriority w:val="39"/>
    <w:rsid w:val="00CB76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CB76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B7617"/>
    <w:rPr>
      <w:rFonts w:ascii="Segoe UI" w:hAnsi="Segoe UI" w:cs="Segoe UI"/>
      <w:sz w:val="18"/>
      <w:szCs w:val="18"/>
    </w:rPr>
  </w:style>
  <w:style w:type="table" w:styleId="GridTable2Accent1">
    <w:name w:val="Grid Table 2 Accent 1"/>
    <w:basedOn w:val="TableNormal"/>
    <w:uiPriority w:val="47"/>
    <w:rsid w:val="00CB7617"/>
    <w:pPr>
      <w:spacing w:after="0" w:line="240" w:lineRule="auto"/>
    </w:pPr>
    <w:tblPr>
      <w:tblStyleRowBandSize w:val="1"/>
      <w:tblStyleColBandSize w:val="1"/>
      <w:tblBorders>
        <w:top w:val="single" w:sz="2" w:space="0" w:color="EAEAEA" w:themeColor="accent1" w:themeTint="99"/>
        <w:bottom w:val="single" w:sz="2" w:space="0" w:color="EAEAEA" w:themeColor="accent1" w:themeTint="99"/>
        <w:insideH w:val="single" w:sz="2" w:space="0" w:color="EAEAEA" w:themeColor="accent1" w:themeTint="99"/>
        <w:insideV w:val="single" w:sz="2" w:space="0" w:color="EAEAEA" w:themeColor="accent1" w:themeTint="99"/>
      </w:tblBorders>
    </w:tblPr>
    <w:tblStylePr w:type="firstRow">
      <w:rPr>
        <w:b/>
        <w:bCs/>
      </w:rPr>
      <w:tblPr/>
      <w:tcPr>
        <w:tcBorders>
          <w:top w:val="nil"/>
          <w:bottom w:val="single" w:sz="12" w:space="0" w:color="EAEAEA" w:themeColor="accent1" w:themeTint="99"/>
          <w:insideH w:val="nil"/>
          <w:insideV w:val="nil"/>
        </w:tcBorders>
        <w:shd w:val="clear" w:color="auto" w:fill="FFFFFF" w:themeFill="background1"/>
      </w:tcPr>
    </w:tblStylePr>
    <w:tblStylePr w:type="lastRow">
      <w:rPr>
        <w:b/>
        <w:bCs/>
      </w:rPr>
      <w:tblPr/>
      <w:tcPr>
        <w:tcBorders>
          <w:top w:val="double" w:sz="2" w:space="0" w:color="EAEAE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4Accent1">
    <w:name w:val="Grid Table 4 Accent 1"/>
    <w:basedOn w:val="TableNormal"/>
    <w:uiPriority w:val="49"/>
    <w:rsid w:val="00CB7617"/>
    <w:pPr>
      <w:spacing w:after="0" w:line="240" w:lineRule="auto"/>
    </w:p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insideV w:val="nil"/>
        </w:tcBorders>
        <w:shd w:val="clear" w:color="auto" w:fill="DDDDDD" w:themeFill="accent1"/>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paragraph" w:styleId="Header">
    <w:name w:val="header"/>
    <w:basedOn w:val="Normal"/>
    <w:link w:val="HeaderChar"/>
    <w:qFormat/>
    <w:rsid w:val="00CB7617"/>
    <w:pPr>
      <w:pBdr>
        <w:bottom w:val="single" w:sz="6" w:space="6" w:color="auto"/>
      </w:pBdr>
      <w:tabs>
        <w:tab w:val="right" w:pos="10080"/>
      </w:tabs>
      <w:spacing w:line="240" w:lineRule="auto"/>
      <w:ind w:left="-720" w:right="-720"/>
      <w:contextualSpacing/>
    </w:pPr>
    <w:rPr>
      <w:rFonts w:asciiTheme="majorHAnsi" w:hAnsiTheme="majorHAnsi"/>
      <w:sz w:val="20"/>
    </w:rPr>
  </w:style>
  <w:style w:type="character" w:customStyle="1" w:styleId="HeaderChar">
    <w:name w:val="Header Char"/>
    <w:basedOn w:val="DefaultParagraphFont"/>
    <w:link w:val="Header"/>
    <w:rsid w:val="00CB7617"/>
    <w:rPr>
      <w:rFonts w:asciiTheme="majorHAnsi" w:hAnsiTheme="majorHAnsi"/>
      <w:sz w:val="20"/>
    </w:rPr>
  </w:style>
  <w:style w:type="paragraph" w:styleId="Footer">
    <w:name w:val="footer"/>
    <w:basedOn w:val="Normal"/>
    <w:link w:val="FooterChar"/>
    <w:qFormat/>
    <w:rsid w:val="00CB7617"/>
    <w:pPr>
      <w:tabs>
        <w:tab w:val="right" w:pos="10080"/>
      </w:tabs>
      <w:spacing w:after="0" w:line="240" w:lineRule="auto"/>
      <w:ind w:left="-720" w:right="-720"/>
      <w:jc w:val="right"/>
    </w:pPr>
    <w:rPr>
      <w:rFonts w:asciiTheme="majorHAnsi" w:hAnsiTheme="majorHAnsi"/>
    </w:rPr>
  </w:style>
  <w:style w:type="character" w:customStyle="1" w:styleId="FooterChar">
    <w:name w:val="Footer Char"/>
    <w:basedOn w:val="DefaultParagraphFont"/>
    <w:link w:val="Footer"/>
    <w:rsid w:val="00CB7617"/>
    <w:rPr>
      <w:rFonts w:asciiTheme="majorHAnsi" w:hAnsiTheme="majorHAnsi"/>
      <w:sz w:val="24"/>
    </w:rPr>
  </w:style>
  <w:style w:type="paragraph" w:styleId="Title">
    <w:name w:val="Title"/>
    <w:basedOn w:val="H1"/>
    <w:next w:val="Paragraph"/>
    <w:link w:val="TitleChar"/>
    <w:qFormat/>
    <w:rsid w:val="00CB7617"/>
    <w:pPr>
      <w:ind w:left="0" w:firstLine="0"/>
      <w:jc w:val="center"/>
      <w:outlineLvl w:val="0"/>
    </w:pPr>
  </w:style>
  <w:style w:type="character" w:customStyle="1" w:styleId="TitleChar">
    <w:name w:val="Title Char"/>
    <w:basedOn w:val="DefaultParagraphFont"/>
    <w:link w:val="Title"/>
    <w:rsid w:val="00CB7617"/>
    <w:rPr>
      <w:rFonts w:asciiTheme="majorHAnsi" w:eastAsiaTheme="majorEastAsia" w:hAnsiTheme="majorHAnsi" w:cstheme="majorBidi"/>
      <w:b/>
      <w:color w:val="000000" w:themeColor="text2"/>
      <w:sz w:val="24"/>
      <w:szCs w:val="32"/>
    </w:rPr>
  </w:style>
  <w:style w:type="paragraph" w:styleId="ListNumber2">
    <w:name w:val="List Number 2"/>
    <w:basedOn w:val="ListNumber"/>
    <w:rsid w:val="00CB7617"/>
    <w:pPr>
      <w:numPr>
        <w:numId w:val="7"/>
      </w:numPr>
      <w:spacing w:after="80"/>
    </w:pPr>
  </w:style>
  <w:style w:type="paragraph" w:styleId="ListBullet2">
    <w:name w:val="List Bullet 2"/>
    <w:basedOn w:val="Normal"/>
    <w:rsid w:val="00CB7617"/>
    <w:pPr>
      <w:numPr>
        <w:numId w:val="29"/>
      </w:numPr>
      <w:spacing w:before="120" w:after="120"/>
    </w:pPr>
  </w:style>
  <w:style w:type="paragraph" w:styleId="List">
    <w:name w:val="List"/>
    <w:basedOn w:val="Normal"/>
    <w:rsid w:val="00CB7617"/>
    <w:pPr>
      <w:numPr>
        <w:numId w:val="19"/>
      </w:numPr>
      <w:spacing w:after="80"/>
    </w:pPr>
  </w:style>
  <w:style w:type="paragraph" w:styleId="ListContinue">
    <w:name w:val="List Continue"/>
    <w:basedOn w:val="Normal"/>
    <w:rsid w:val="00CB7617"/>
    <w:pPr>
      <w:spacing w:before="120" w:after="120"/>
      <w:ind w:left="360"/>
    </w:pPr>
  </w:style>
  <w:style w:type="character" w:styleId="Emphasis">
    <w:name w:val="Emphasis"/>
    <w:basedOn w:val="DefaultParagraphFont"/>
    <w:semiHidden/>
    <w:qFormat/>
    <w:rsid w:val="00CB7617"/>
    <w:rPr>
      <w:i/>
      <w:iCs/>
    </w:rPr>
  </w:style>
  <w:style w:type="paragraph" w:styleId="Caption">
    <w:name w:val="caption"/>
    <w:basedOn w:val="TableTextLeft"/>
    <w:next w:val="Normal"/>
    <w:semiHidden/>
    <w:qFormat/>
    <w:rsid w:val="00CB7617"/>
    <w:pPr>
      <w:spacing w:before="240" w:after="60"/>
    </w:pPr>
    <w:rPr>
      <w:b/>
      <w:bCs/>
      <w:szCs w:val="20"/>
    </w:rPr>
  </w:style>
  <w:style w:type="paragraph" w:styleId="ListContinue2">
    <w:name w:val="List Continue 2"/>
    <w:basedOn w:val="Normal"/>
    <w:qFormat/>
    <w:rsid w:val="00CB7617"/>
    <w:pPr>
      <w:spacing w:before="120" w:after="120"/>
      <w:ind w:left="720"/>
    </w:pPr>
  </w:style>
  <w:style w:type="paragraph" w:customStyle="1" w:styleId="Acknowledgement">
    <w:name w:val="Acknowledgement"/>
    <w:basedOn w:val="H1"/>
    <w:next w:val="ParagraphContinued"/>
    <w:qFormat/>
    <w:rsid w:val="00CB7617"/>
    <w:rPr>
      <w:b w:val="0"/>
      <w:bCs/>
    </w:rPr>
  </w:style>
  <w:style w:type="paragraph" w:styleId="ListBullet3">
    <w:name w:val="List Bullet 3"/>
    <w:basedOn w:val="Normal"/>
    <w:rsid w:val="00CB7617"/>
    <w:pPr>
      <w:numPr>
        <w:numId w:val="3"/>
      </w:numPr>
      <w:spacing w:after="80"/>
    </w:pPr>
  </w:style>
  <w:style w:type="paragraph" w:styleId="NoteHeading">
    <w:name w:val="Note Heading"/>
    <w:basedOn w:val="H1"/>
    <w:next w:val="Notes"/>
    <w:link w:val="NoteHeadingChar"/>
    <w:rsid w:val="00CB7617"/>
    <w:pPr>
      <w:ind w:left="0" w:firstLine="0"/>
      <w:outlineLvl w:val="9"/>
    </w:pPr>
    <w:rPr>
      <w:color w:val="DDDDDD" w:themeColor="accent1"/>
      <w:sz w:val="20"/>
    </w:rPr>
  </w:style>
  <w:style w:type="character" w:customStyle="1" w:styleId="NoteHeadingChar">
    <w:name w:val="Note Heading Char"/>
    <w:basedOn w:val="DefaultParagraphFont"/>
    <w:link w:val="NoteHeading"/>
    <w:rsid w:val="00CB7617"/>
    <w:rPr>
      <w:rFonts w:asciiTheme="majorHAnsi" w:eastAsiaTheme="majorEastAsia" w:hAnsiTheme="majorHAnsi" w:cstheme="majorBidi"/>
      <w:b/>
      <w:color w:val="DDDDDD" w:themeColor="accent1"/>
      <w:sz w:val="20"/>
      <w:szCs w:val="32"/>
    </w:rPr>
  </w:style>
  <w:style w:type="paragraph" w:customStyle="1" w:styleId="Anchor">
    <w:name w:val="Anchor"/>
    <w:qFormat/>
    <w:rsid w:val="00CB7617"/>
    <w:pPr>
      <w:spacing w:after="0" w:line="20" w:lineRule="exact"/>
    </w:pPr>
    <w:rPr>
      <w:b/>
      <w:bCs/>
      <w:color w:val="FFFFFF" w:themeColor="background1"/>
      <w:sz w:val="2"/>
    </w:rPr>
  </w:style>
  <w:style w:type="paragraph" w:customStyle="1" w:styleId="AppendixTitle">
    <w:name w:val="Appendix Title"/>
    <w:basedOn w:val="H1"/>
    <w:next w:val="H2"/>
    <w:qFormat/>
    <w:rsid w:val="00CB7617"/>
    <w:pPr>
      <w:ind w:left="0" w:firstLine="0"/>
      <w:jc w:val="center"/>
    </w:pPr>
    <w:rPr>
      <w:bCs/>
    </w:rPr>
  </w:style>
  <w:style w:type="paragraph" w:customStyle="1" w:styleId="AttachmentTitle">
    <w:name w:val="Attachment Title"/>
    <w:basedOn w:val="H1"/>
    <w:next w:val="H2"/>
    <w:qFormat/>
    <w:rsid w:val="00CB7617"/>
    <w:pPr>
      <w:jc w:val="center"/>
    </w:pPr>
    <w:rPr>
      <w:bCs/>
    </w:rPr>
  </w:style>
  <w:style w:type="paragraph" w:customStyle="1" w:styleId="Banner">
    <w:name w:val="Banner"/>
    <w:basedOn w:val="H1"/>
    <w:qFormat/>
    <w:rsid w:val="00CB7617"/>
    <w:pPr>
      <w:shd w:val="clear" w:color="auto" w:fill="FFFFFF" w:themeFill="background1"/>
    </w:pPr>
    <w:rPr>
      <w:b w:val="0"/>
      <w:bCs/>
      <w:color w:val="DDDDDD" w:themeColor="accent1"/>
    </w:rPr>
  </w:style>
  <w:style w:type="paragraph" w:styleId="Bibliography">
    <w:name w:val="Bibliography"/>
    <w:basedOn w:val="Normal"/>
    <w:rsid w:val="00CB7617"/>
  </w:style>
  <w:style w:type="paragraph" w:styleId="BlockText">
    <w:name w:val="Block Text"/>
    <w:basedOn w:val="Normal"/>
    <w:semiHidden/>
    <w:rsid w:val="00CB7617"/>
    <w:pPr>
      <w:pBdr>
        <w:top w:val="single" w:sz="2" w:space="10" w:color="DDDDDD" w:themeColor="accent1"/>
        <w:left w:val="single" w:sz="2" w:space="10" w:color="DDDDDD" w:themeColor="accent1"/>
        <w:bottom w:val="single" w:sz="2" w:space="10" w:color="DDDDDD" w:themeColor="accent1"/>
        <w:right w:val="single" w:sz="2" w:space="10" w:color="DDDDDD" w:themeColor="accent1"/>
      </w:pBdr>
      <w:ind w:left="1152" w:right="1152"/>
    </w:pPr>
    <w:rPr>
      <w:rFonts w:eastAsiaTheme="minorEastAsia"/>
      <w:i/>
      <w:iCs/>
      <w:color w:val="DDDDDD" w:themeColor="accent1"/>
    </w:rPr>
  </w:style>
  <w:style w:type="paragraph" w:styleId="BodyText">
    <w:name w:val="Body Text"/>
    <w:basedOn w:val="Normal"/>
    <w:link w:val="BodyTextChar"/>
    <w:semiHidden/>
    <w:qFormat/>
    <w:rsid w:val="00CB7617"/>
    <w:pPr>
      <w:spacing w:after="120"/>
    </w:pPr>
  </w:style>
  <w:style w:type="character" w:customStyle="1" w:styleId="BodyTextChar">
    <w:name w:val="Body Text Char"/>
    <w:basedOn w:val="DefaultParagraphFont"/>
    <w:link w:val="BodyText"/>
    <w:semiHidden/>
    <w:rsid w:val="00CB7617"/>
    <w:rPr>
      <w:sz w:val="24"/>
    </w:rPr>
  </w:style>
  <w:style w:type="paragraph" w:styleId="BodyText2">
    <w:name w:val="Body Text 2"/>
    <w:basedOn w:val="Normal"/>
    <w:link w:val="BodyText2Char"/>
    <w:semiHidden/>
    <w:rsid w:val="00CB7617"/>
    <w:pPr>
      <w:spacing w:after="120" w:line="480" w:lineRule="auto"/>
    </w:pPr>
  </w:style>
  <w:style w:type="character" w:customStyle="1" w:styleId="BodyText2Char">
    <w:name w:val="Body Text 2 Char"/>
    <w:basedOn w:val="DefaultParagraphFont"/>
    <w:link w:val="BodyText2"/>
    <w:semiHidden/>
    <w:rsid w:val="00CB7617"/>
    <w:rPr>
      <w:sz w:val="24"/>
    </w:rPr>
  </w:style>
  <w:style w:type="paragraph" w:styleId="BodyText3">
    <w:name w:val="Body Text 3"/>
    <w:basedOn w:val="Normal"/>
    <w:link w:val="BodyText3Char"/>
    <w:semiHidden/>
    <w:rsid w:val="00CB7617"/>
    <w:pPr>
      <w:spacing w:after="120"/>
    </w:pPr>
    <w:rPr>
      <w:sz w:val="16"/>
      <w:szCs w:val="16"/>
    </w:rPr>
  </w:style>
  <w:style w:type="character" w:customStyle="1" w:styleId="BodyText3Char">
    <w:name w:val="Body Text 3 Char"/>
    <w:basedOn w:val="DefaultParagraphFont"/>
    <w:link w:val="BodyText3"/>
    <w:semiHidden/>
    <w:rsid w:val="00CB7617"/>
    <w:rPr>
      <w:sz w:val="16"/>
      <w:szCs w:val="16"/>
    </w:rPr>
  </w:style>
  <w:style w:type="paragraph" w:styleId="BodyTextFirstIndent">
    <w:name w:val="Body Text First Indent"/>
    <w:basedOn w:val="BodyText"/>
    <w:link w:val="BodyTextFirstIndentChar"/>
    <w:rsid w:val="00CB7617"/>
    <w:pPr>
      <w:spacing w:after="160"/>
      <w:ind w:firstLine="360"/>
    </w:pPr>
  </w:style>
  <w:style w:type="character" w:customStyle="1" w:styleId="BodyTextFirstIndentChar">
    <w:name w:val="Body Text First Indent Char"/>
    <w:basedOn w:val="BodyTextChar"/>
    <w:link w:val="BodyTextFirstIndent"/>
    <w:rsid w:val="00CB7617"/>
    <w:rPr>
      <w:sz w:val="24"/>
    </w:rPr>
  </w:style>
  <w:style w:type="paragraph" w:styleId="BodyTextIndent">
    <w:name w:val="Body Text Indent"/>
    <w:basedOn w:val="Normal"/>
    <w:link w:val="BodyTextIndentChar"/>
    <w:semiHidden/>
    <w:rsid w:val="00CB7617"/>
    <w:pPr>
      <w:spacing w:after="120"/>
      <w:ind w:left="360"/>
    </w:pPr>
  </w:style>
  <w:style w:type="character" w:customStyle="1" w:styleId="BodyTextIndentChar">
    <w:name w:val="Body Text Indent Char"/>
    <w:basedOn w:val="DefaultParagraphFont"/>
    <w:link w:val="BodyTextIndent"/>
    <w:semiHidden/>
    <w:rsid w:val="00CB7617"/>
    <w:rPr>
      <w:sz w:val="24"/>
    </w:rPr>
  </w:style>
  <w:style w:type="paragraph" w:styleId="BodyTextFirstIndent2">
    <w:name w:val="Body Text First Indent 2"/>
    <w:basedOn w:val="BodyTextIndent"/>
    <w:link w:val="BodyTextFirstIndent2Char"/>
    <w:semiHidden/>
    <w:rsid w:val="00CB7617"/>
    <w:pPr>
      <w:spacing w:after="160"/>
      <w:ind w:firstLine="360"/>
    </w:pPr>
  </w:style>
  <w:style w:type="character" w:customStyle="1" w:styleId="BodyTextFirstIndent2Char">
    <w:name w:val="Body Text First Indent 2 Char"/>
    <w:basedOn w:val="BodyTextIndentChar"/>
    <w:link w:val="BodyTextFirstIndent2"/>
    <w:semiHidden/>
    <w:rsid w:val="00CB7617"/>
    <w:rPr>
      <w:sz w:val="24"/>
    </w:rPr>
  </w:style>
  <w:style w:type="paragraph" w:styleId="BodyTextIndent2">
    <w:name w:val="Body Text Indent 2"/>
    <w:basedOn w:val="Normal"/>
    <w:link w:val="BodyTextIndent2Char"/>
    <w:semiHidden/>
    <w:rsid w:val="00CB7617"/>
    <w:pPr>
      <w:spacing w:after="120" w:line="480" w:lineRule="auto"/>
      <w:ind w:left="360"/>
    </w:pPr>
  </w:style>
  <w:style w:type="character" w:customStyle="1" w:styleId="BodyTextIndent2Char">
    <w:name w:val="Body Text Indent 2 Char"/>
    <w:basedOn w:val="DefaultParagraphFont"/>
    <w:link w:val="BodyTextIndent2"/>
    <w:semiHidden/>
    <w:rsid w:val="00CB7617"/>
    <w:rPr>
      <w:sz w:val="24"/>
    </w:rPr>
  </w:style>
  <w:style w:type="paragraph" w:styleId="BodyTextIndent3">
    <w:name w:val="Body Text Indent 3"/>
    <w:basedOn w:val="Normal"/>
    <w:link w:val="BodyTextIndent3Char"/>
    <w:semiHidden/>
    <w:rsid w:val="00CB7617"/>
    <w:pPr>
      <w:spacing w:after="120"/>
      <w:ind w:left="360"/>
    </w:pPr>
    <w:rPr>
      <w:sz w:val="16"/>
      <w:szCs w:val="16"/>
    </w:rPr>
  </w:style>
  <w:style w:type="character" w:customStyle="1" w:styleId="BodyTextIndent3Char">
    <w:name w:val="Body Text Indent 3 Char"/>
    <w:basedOn w:val="DefaultParagraphFont"/>
    <w:link w:val="BodyTextIndent3"/>
    <w:semiHidden/>
    <w:rsid w:val="00CB7617"/>
    <w:rPr>
      <w:sz w:val="16"/>
      <w:szCs w:val="16"/>
    </w:rPr>
  </w:style>
  <w:style w:type="character" w:styleId="BookTitle">
    <w:name w:val="Book Title"/>
    <w:basedOn w:val="DefaultParagraphFont"/>
    <w:semiHidden/>
    <w:qFormat/>
    <w:rsid w:val="00CB7617"/>
    <w:rPr>
      <w:b/>
      <w:bCs/>
      <w:i/>
      <w:iCs/>
      <w:spacing w:val="5"/>
    </w:rPr>
  </w:style>
  <w:style w:type="paragraph" w:customStyle="1" w:styleId="Blank">
    <w:name w:val="Blank"/>
    <w:basedOn w:val="Normal"/>
    <w:qFormat/>
    <w:rsid w:val="00CB7617"/>
    <w:pPr>
      <w:spacing w:before="5120" w:after="0"/>
      <w:jc w:val="center"/>
    </w:pPr>
    <w:rPr>
      <w:b/>
      <w:bCs/>
    </w:rPr>
  </w:style>
  <w:style w:type="paragraph" w:customStyle="1" w:styleId="Byline">
    <w:name w:val="Byline"/>
    <w:basedOn w:val="Normal"/>
    <w:qFormat/>
    <w:rsid w:val="00CB7617"/>
    <w:pPr>
      <w:spacing w:after="0"/>
      <w:jc w:val="right"/>
    </w:pPr>
    <w:rPr>
      <w:rFonts w:asciiTheme="majorHAnsi" w:hAnsiTheme="majorHAnsi"/>
      <w:bCs/>
    </w:rPr>
  </w:style>
  <w:style w:type="paragraph" w:customStyle="1" w:styleId="Callout">
    <w:name w:val="Callout"/>
    <w:basedOn w:val="Normal"/>
    <w:qFormat/>
    <w:rsid w:val="00CB7617"/>
    <w:pPr>
      <w:spacing w:after="0"/>
    </w:pPr>
    <w:rPr>
      <w:rFonts w:asciiTheme="majorHAnsi" w:hAnsiTheme="majorHAnsi"/>
      <w:b/>
      <w:bCs/>
      <w:color w:val="DDDDDD" w:themeColor="accent1"/>
    </w:rPr>
  </w:style>
  <w:style w:type="paragraph" w:styleId="Date">
    <w:name w:val="Date"/>
    <w:basedOn w:val="Normal"/>
    <w:next w:val="Normal"/>
    <w:link w:val="DateChar"/>
    <w:rsid w:val="00CB7617"/>
    <w:rPr>
      <w:rFonts w:asciiTheme="majorHAnsi" w:hAnsiTheme="majorHAnsi"/>
      <w:b/>
    </w:rPr>
  </w:style>
  <w:style w:type="character" w:customStyle="1" w:styleId="DateChar">
    <w:name w:val="Date Char"/>
    <w:basedOn w:val="DefaultParagraphFont"/>
    <w:link w:val="Date"/>
    <w:rsid w:val="00CB7617"/>
    <w:rPr>
      <w:rFonts w:asciiTheme="majorHAnsi" w:hAnsiTheme="majorHAnsi"/>
      <w:b/>
      <w:sz w:val="24"/>
    </w:rPr>
  </w:style>
  <w:style w:type="paragraph" w:customStyle="1" w:styleId="CoverTitle">
    <w:name w:val="Cover Title"/>
    <w:qFormat/>
    <w:rsid w:val="00CB7617"/>
    <w:pPr>
      <w:spacing w:before="360" w:after="64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CB7617"/>
    <w:pPr>
      <w:spacing w:line="264" w:lineRule="auto"/>
    </w:pPr>
    <w:rPr>
      <w:rFonts w:asciiTheme="majorHAnsi" w:hAnsiTheme="majorHAnsi"/>
      <w:b/>
      <w:bCs/>
      <w:color w:val="DDDDDD" w:themeColor="accent1"/>
      <w:sz w:val="24"/>
    </w:rPr>
  </w:style>
  <w:style w:type="paragraph" w:styleId="ListNumber3">
    <w:name w:val="List Number 3"/>
    <w:basedOn w:val="Normal"/>
    <w:rsid w:val="00CB7617"/>
    <w:pPr>
      <w:numPr>
        <w:numId w:val="8"/>
      </w:numPr>
      <w:adjustRightInd w:val="0"/>
      <w:spacing w:after="80"/>
    </w:pPr>
  </w:style>
  <w:style w:type="paragraph" w:styleId="ListNumber4">
    <w:name w:val="List Number 4"/>
    <w:basedOn w:val="Normal"/>
    <w:rsid w:val="00CB7617"/>
    <w:pPr>
      <w:numPr>
        <w:numId w:val="9"/>
      </w:numPr>
      <w:ind w:left="1440"/>
      <w:contextualSpacing/>
    </w:pPr>
  </w:style>
  <w:style w:type="paragraph" w:customStyle="1" w:styleId="CoverSubtitle">
    <w:name w:val="Cover Subtitle"/>
    <w:qFormat/>
    <w:rsid w:val="00CB7617"/>
    <w:pPr>
      <w:spacing w:before="720" w:after="240"/>
    </w:pPr>
    <w:rPr>
      <w:rFonts w:asciiTheme="majorHAnsi" w:hAnsiTheme="majorHAnsi"/>
      <w:b/>
      <w:color w:val="FFFFFF" w:themeColor="background1"/>
      <w:spacing w:val="5"/>
      <w:sz w:val="34"/>
    </w:rPr>
  </w:style>
  <w:style w:type="paragraph" w:customStyle="1" w:styleId="CoverText">
    <w:name w:val="Cover Text"/>
    <w:qFormat/>
    <w:rsid w:val="00CB7617"/>
    <w:pPr>
      <w:spacing w:after="300" w:line="276" w:lineRule="auto"/>
      <w:contextualSpacing/>
    </w:pPr>
    <w:rPr>
      <w:rFonts w:ascii="Georgia" w:hAnsi="Georgia"/>
      <w:color w:val="DDDDDD" w:themeColor="accent1"/>
    </w:rPr>
  </w:style>
  <w:style w:type="paragraph" w:customStyle="1" w:styleId="CoverHead">
    <w:name w:val="Cover Head"/>
    <w:basedOn w:val="CoverDate"/>
    <w:qFormat/>
    <w:rsid w:val="00CB7617"/>
    <w:pPr>
      <w:spacing w:after="90" w:line="276" w:lineRule="auto"/>
    </w:pPr>
    <w:rPr>
      <w:rFonts w:ascii="Georgia" w:hAnsi="Georgia"/>
      <w:sz w:val="22"/>
    </w:rPr>
  </w:style>
  <w:style w:type="paragraph" w:customStyle="1" w:styleId="CoverAuthor">
    <w:name w:val="Cover Author"/>
    <w:basedOn w:val="CoverDate"/>
    <w:qFormat/>
    <w:rsid w:val="00CB7617"/>
    <w:pPr>
      <w:spacing w:after="0"/>
    </w:pPr>
    <w:rPr>
      <w:b w:val="0"/>
    </w:rPr>
  </w:style>
  <w:style w:type="paragraph" w:styleId="DocumentMap">
    <w:name w:val="Document Map"/>
    <w:basedOn w:val="Normal"/>
    <w:link w:val="DocumentMapChar"/>
    <w:semiHidden/>
    <w:rsid w:val="00CB761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CB7617"/>
    <w:rPr>
      <w:rFonts w:ascii="Segoe UI" w:hAnsi="Segoe UI" w:cs="Segoe UI"/>
      <w:sz w:val="16"/>
      <w:szCs w:val="16"/>
    </w:rPr>
  </w:style>
  <w:style w:type="character" w:styleId="EndnoteReference">
    <w:name w:val="endnote reference"/>
    <w:basedOn w:val="DefaultParagraphFont"/>
    <w:rsid w:val="00CB7617"/>
    <w:rPr>
      <w:vertAlign w:val="superscript"/>
    </w:rPr>
  </w:style>
  <w:style w:type="paragraph" w:customStyle="1" w:styleId="Addressee">
    <w:name w:val="Addressee"/>
    <w:basedOn w:val="Normal"/>
    <w:qFormat/>
    <w:rsid w:val="00CB7617"/>
    <w:pPr>
      <w:spacing w:after="0"/>
    </w:pPr>
  </w:style>
  <w:style w:type="character" w:styleId="CommentReference">
    <w:name w:val="annotation reference"/>
    <w:basedOn w:val="DefaultParagraphFont"/>
    <w:rsid w:val="00CB7617"/>
    <w:rPr>
      <w:sz w:val="16"/>
      <w:szCs w:val="16"/>
    </w:rPr>
  </w:style>
  <w:style w:type="paragraph" w:styleId="CommentText">
    <w:name w:val="annotation text"/>
    <w:basedOn w:val="Normal"/>
    <w:link w:val="CommentTextChar"/>
    <w:rsid w:val="00CB7617"/>
    <w:pPr>
      <w:spacing w:line="240" w:lineRule="auto"/>
    </w:pPr>
    <w:rPr>
      <w:szCs w:val="20"/>
    </w:rPr>
  </w:style>
  <w:style w:type="character" w:customStyle="1" w:styleId="CommentTextChar">
    <w:name w:val="Comment Text Char"/>
    <w:basedOn w:val="DefaultParagraphFont"/>
    <w:link w:val="CommentText"/>
    <w:rsid w:val="00CB7617"/>
    <w:rPr>
      <w:sz w:val="24"/>
      <w:szCs w:val="20"/>
    </w:rPr>
  </w:style>
  <w:style w:type="paragraph" w:styleId="CommentSubject">
    <w:name w:val="annotation subject"/>
    <w:basedOn w:val="CommentText"/>
    <w:next w:val="CommentText"/>
    <w:link w:val="CommentSubjectChar"/>
    <w:rsid w:val="00CB7617"/>
    <w:rPr>
      <w:b/>
      <w:bCs/>
    </w:rPr>
  </w:style>
  <w:style w:type="character" w:customStyle="1" w:styleId="CommentSubjectChar">
    <w:name w:val="Comment Subject Char"/>
    <w:basedOn w:val="CommentTextChar"/>
    <w:link w:val="CommentSubject"/>
    <w:rsid w:val="00CB7617"/>
    <w:rPr>
      <w:b/>
      <w:bCs/>
      <w:sz w:val="24"/>
      <w:szCs w:val="20"/>
    </w:rPr>
  </w:style>
  <w:style w:type="paragraph" w:styleId="Revision">
    <w:name w:val="Revision"/>
    <w:hidden/>
    <w:uiPriority w:val="99"/>
    <w:semiHidden/>
    <w:rsid w:val="00CB7617"/>
    <w:pPr>
      <w:spacing w:after="0" w:line="240" w:lineRule="auto"/>
    </w:pPr>
    <w:rPr>
      <w:sz w:val="20"/>
    </w:rPr>
  </w:style>
  <w:style w:type="paragraph" w:customStyle="1" w:styleId="PubinfoAuthor">
    <w:name w:val="Pubinfo Author"/>
    <w:basedOn w:val="Pubinfo"/>
    <w:qFormat/>
    <w:rsid w:val="00CB7617"/>
    <w:pPr>
      <w:spacing w:after="0"/>
    </w:pPr>
  </w:style>
  <w:style w:type="paragraph" w:customStyle="1" w:styleId="ExhibitFootnote">
    <w:name w:val="Exhibit Footnote"/>
    <w:basedOn w:val="TableTextLeft"/>
    <w:qFormat/>
    <w:rsid w:val="00CB7617"/>
    <w:pPr>
      <w:spacing w:after="60"/>
    </w:pPr>
  </w:style>
  <w:style w:type="paragraph" w:styleId="Closing">
    <w:name w:val="Closing"/>
    <w:basedOn w:val="Normal"/>
    <w:link w:val="ClosingChar"/>
    <w:rsid w:val="00CB7617"/>
    <w:pPr>
      <w:spacing w:line="240" w:lineRule="auto"/>
      <w:ind w:left="4320"/>
      <w:contextualSpacing/>
    </w:pPr>
  </w:style>
  <w:style w:type="character" w:customStyle="1" w:styleId="ClosingChar">
    <w:name w:val="Closing Char"/>
    <w:basedOn w:val="DefaultParagraphFont"/>
    <w:link w:val="Closing"/>
    <w:rsid w:val="00CB7617"/>
    <w:rPr>
      <w:sz w:val="24"/>
    </w:rPr>
  </w:style>
  <w:style w:type="paragraph" w:customStyle="1" w:styleId="ESH1">
    <w:name w:val="ES H1"/>
    <w:basedOn w:val="H1"/>
    <w:next w:val="ESParagraphContinued"/>
    <w:qFormat/>
    <w:rsid w:val="00CB7617"/>
    <w:pPr>
      <w:spacing w:before="0"/>
      <w:outlineLvl w:val="9"/>
    </w:pPr>
  </w:style>
  <w:style w:type="paragraph" w:customStyle="1" w:styleId="ESH2">
    <w:name w:val="ES H2"/>
    <w:basedOn w:val="ESH1"/>
    <w:next w:val="ESParagraphContinued"/>
    <w:qFormat/>
    <w:rsid w:val="00CB7617"/>
    <w:rPr>
      <w:b w:val="0"/>
    </w:rPr>
  </w:style>
  <w:style w:type="paragraph" w:customStyle="1" w:styleId="ESListBullet">
    <w:name w:val="ES List Bullet"/>
    <w:basedOn w:val="ESParagraph"/>
    <w:qFormat/>
    <w:rsid w:val="00CB7617"/>
    <w:pPr>
      <w:numPr>
        <w:numId w:val="21"/>
      </w:numPr>
    </w:pPr>
  </w:style>
  <w:style w:type="paragraph" w:customStyle="1" w:styleId="ESListNumber">
    <w:name w:val="ES List Number"/>
    <w:basedOn w:val="ESParagraph"/>
    <w:qFormat/>
    <w:rsid w:val="00CB7617"/>
    <w:pPr>
      <w:numPr>
        <w:numId w:val="22"/>
      </w:numPr>
    </w:pPr>
  </w:style>
  <w:style w:type="paragraph" w:customStyle="1" w:styleId="ESParagraph">
    <w:name w:val="ES Paragraph"/>
    <w:basedOn w:val="Normal"/>
    <w:qFormat/>
    <w:rsid w:val="00CB7617"/>
    <w:rPr>
      <w:rFonts w:asciiTheme="majorHAnsi" w:hAnsiTheme="majorHAnsi"/>
      <w:color w:val="000000" w:themeColor="text1"/>
    </w:rPr>
  </w:style>
  <w:style w:type="paragraph" w:customStyle="1" w:styleId="ESParagraphContinued">
    <w:name w:val="ES Paragraph Continued"/>
    <w:basedOn w:val="ESParagraph"/>
    <w:next w:val="ESParagraph"/>
    <w:qFormat/>
    <w:rsid w:val="00CB7617"/>
    <w:pPr>
      <w:spacing w:before="160"/>
    </w:pPr>
  </w:style>
  <w:style w:type="paragraph" w:customStyle="1" w:styleId="ExhibitSource">
    <w:name w:val="Exhibit Source"/>
    <w:basedOn w:val="TableTextLeft"/>
    <w:qFormat/>
    <w:rsid w:val="00CB7617"/>
    <w:pPr>
      <w:spacing w:after="60"/>
      <w:ind w:left="792" w:hanging="792"/>
    </w:pPr>
  </w:style>
  <w:style w:type="paragraph" w:customStyle="1" w:styleId="ExhibitSignificance">
    <w:name w:val="Exhibit Significance"/>
    <w:basedOn w:val="TableTextLeft"/>
    <w:qFormat/>
    <w:rsid w:val="00CB7617"/>
    <w:pPr>
      <w:tabs>
        <w:tab w:val="right" w:pos="180"/>
        <w:tab w:val="left" w:pos="270"/>
      </w:tabs>
      <w:spacing w:after="60"/>
      <w:ind w:left="270" w:hanging="270"/>
    </w:pPr>
  </w:style>
  <w:style w:type="paragraph" w:customStyle="1" w:styleId="ExhibitTitle">
    <w:name w:val="Exhibit Title"/>
    <w:basedOn w:val="TableTextLeft"/>
    <w:qFormat/>
    <w:rsid w:val="00CB7617"/>
    <w:pPr>
      <w:keepNext/>
      <w:keepLines/>
      <w:spacing w:after="40"/>
    </w:pPr>
    <w:rPr>
      <w:b/>
      <w:sz w:val="24"/>
    </w:rPr>
  </w:style>
  <w:style w:type="paragraph" w:customStyle="1" w:styleId="FAQQuestion">
    <w:name w:val="FAQ Question"/>
    <w:basedOn w:val="H1"/>
    <w:next w:val="ParagraphContinued"/>
    <w:qFormat/>
    <w:rsid w:val="00CB7617"/>
    <w:rPr>
      <w:color w:val="DDDDDD" w:themeColor="accent1"/>
    </w:rPr>
  </w:style>
  <w:style w:type="paragraph" w:customStyle="1" w:styleId="Feature1">
    <w:name w:val="Feature1"/>
    <w:basedOn w:val="Normal"/>
    <w:semiHidden/>
    <w:qFormat/>
    <w:rsid w:val="00CB7617"/>
    <w:pPr>
      <w:spacing w:after="0"/>
    </w:pPr>
  </w:style>
  <w:style w:type="paragraph" w:customStyle="1" w:styleId="Feature1Title">
    <w:name w:val="Feature1 Title"/>
    <w:basedOn w:val="H1"/>
    <w:next w:val="Feature1"/>
    <w:semiHidden/>
    <w:qFormat/>
    <w:rsid w:val="00CB7617"/>
  </w:style>
  <w:style w:type="paragraph" w:customStyle="1" w:styleId="Feature1ListBullet">
    <w:name w:val="Feature1 List Bullet"/>
    <w:basedOn w:val="Feature1"/>
    <w:semiHidden/>
    <w:qFormat/>
    <w:rsid w:val="00CB7617"/>
  </w:style>
  <w:style w:type="paragraph" w:customStyle="1" w:styleId="Feature1ListNumber">
    <w:name w:val="Feature1 List Number"/>
    <w:basedOn w:val="Feature1"/>
    <w:semiHidden/>
    <w:qFormat/>
    <w:rsid w:val="00CB7617"/>
  </w:style>
  <w:style w:type="paragraph" w:customStyle="1" w:styleId="Feature1Head">
    <w:name w:val="Feature1 Head"/>
    <w:basedOn w:val="Feature1Title"/>
    <w:next w:val="Feature1"/>
    <w:qFormat/>
    <w:rsid w:val="00CB7617"/>
    <w:pPr>
      <w:outlineLvl w:val="9"/>
    </w:pPr>
  </w:style>
  <w:style w:type="paragraph" w:customStyle="1" w:styleId="Feature2">
    <w:name w:val="Feature2"/>
    <w:basedOn w:val="Normal"/>
    <w:qFormat/>
    <w:rsid w:val="00CB7617"/>
    <w:pPr>
      <w:spacing w:after="0"/>
    </w:pPr>
  </w:style>
  <w:style w:type="paragraph" w:customStyle="1" w:styleId="Feature2Title">
    <w:name w:val="Feature2 Title"/>
    <w:basedOn w:val="H1"/>
    <w:semiHidden/>
    <w:qFormat/>
    <w:rsid w:val="00CB7617"/>
  </w:style>
  <w:style w:type="paragraph" w:customStyle="1" w:styleId="Feature2Head">
    <w:name w:val="Feature2 Head"/>
    <w:basedOn w:val="Feature2Title"/>
    <w:next w:val="Feature2"/>
    <w:semiHidden/>
    <w:qFormat/>
    <w:rsid w:val="00CB7617"/>
  </w:style>
  <w:style w:type="paragraph" w:customStyle="1" w:styleId="Feature2ListBullet">
    <w:name w:val="Feature2 List Bullet"/>
    <w:basedOn w:val="Feature2"/>
    <w:semiHidden/>
    <w:qFormat/>
    <w:rsid w:val="00CB7617"/>
  </w:style>
  <w:style w:type="paragraph" w:customStyle="1" w:styleId="Feature2ListNumber">
    <w:name w:val="Feature2 List Number"/>
    <w:basedOn w:val="Feature2"/>
    <w:semiHidden/>
    <w:qFormat/>
    <w:rsid w:val="00CB7617"/>
  </w:style>
  <w:style w:type="paragraph" w:customStyle="1" w:styleId="Feature1ListHead">
    <w:name w:val="Feature1 List Head"/>
    <w:basedOn w:val="Feature1"/>
    <w:next w:val="Feature1ListBullet"/>
    <w:semiHidden/>
    <w:qFormat/>
    <w:rsid w:val="00CB7617"/>
    <w:rPr>
      <w:b/>
    </w:rPr>
  </w:style>
  <w:style w:type="paragraph" w:customStyle="1" w:styleId="Feature2ListHead">
    <w:name w:val="Feature2 List Head"/>
    <w:basedOn w:val="Feature2"/>
    <w:next w:val="Feature2ListBullet"/>
    <w:semiHidden/>
    <w:qFormat/>
    <w:rsid w:val="00CB7617"/>
    <w:rPr>
      <w:b/>
    </w:rPr>
  </w:style>
  <w:style w:type="paragraph" w:customStyle="1" w:styleId="FigureFootnote">
    <w:name w:val="Figure Footnote"/>
    <w:basedOn w:val="ExhibitFootnote"/>
    <w:qFormat/>
    <w:rsid w:val="00CB7617"/>
  </w:style>
  <w:style w:type="paragraph" w:customStyle="1" w:styleId="FigureSignificance">
    <w:name w:val="Figure Significance"/>
    <w:basedOn w:val="ExhibitSignificance"/>
    <w:qFormat/>
    <w:rsid w:val="00CB7617"/>
  </w:style>
  <w:style w:type="paragraph" w:customStyle="1" w:styleId="FigureSource">
    <w:name w:val="Figure Source"/>
    <w:basedOn w:val="ExhibitSource"/>
    <w:qFormat/>
    <w:rsid w:val="00CB7617"/>
  </w:style>
  <w:style w:type="paragraph" w:customStyle="1" w:styleId="FigureTitle">
    <w:name w:val="Figure Title"/>
    <w:basedOn w:val="ExhibitTitle"/>
    <w:qFormat/>
    <w:rsid w:val="00CB7617"/>
  </w:style>
  <w:style w:type="paragraph" w:customStyle="1" w:styleId="H2">
    <w:name w:val="H2"/>
    <w:basedOn w:val="H1"/>
    <w:next w:val="ParagraphContinued"/>
    <w:qFormat/>
    <w:rsid w:val="00CB7617"/>
    <w:pPr>
      <w:outlineLvl w:val="2"/>
    </w:pPr>
  </w:style>
  <w:style w:type="paragraph" w:customStyle="1" w:styleId="H3">
    <w:name w:val="H3"/>
    <w:basedOn w:val="H1"/>
    <w:next w:val="ParagraphContinued"/>
    <w:qFormat/>
    <w:rsid w:val="00CB7617"/>
    <w:pPr>
      <w:outlineLvl w:val="3"/>
    </w:pPr>
    <w:rPr>
      <w:rFonts w:asciiTheme="minorHAnsi" w:hAnsiTheme="minorHAnsi"/>
      <w:b w:val="0"/>
      <w:i/>
      <w:color w:val="000000" w:themeColor="text1"/>
    </w:rPr>
  </w:style>
  <w:style w:type="paragraph" w:customStyle="1" w:styleId="H4">
    <w:name w:val="H4"/>
    <w:basedOn w:val="H1"/>
    <w:next w:val="ParagraphContinued"/>
    <w:qFormat/>
    <w:rsid w:val="00CB7617"/>
    <w:pPr>
      <w:outlineLvl w:val="4"/>
    </w:pPr>
    <w:rPr>
      <w:rFonts w:asciiTheme="minorHAnsi" w:hAnsiTheme="minorHAnsi"/>
      <w:b w:val="0"/>
      <w:i/>
      <w:color w:val="000000" w:themeColor="text1"/>
      <w:sz w:val="22"/>
    </w:rPr>
  </w:style>
  <w:style w:type="character" w:customStyle="1" w:styleId="Heading9Char">
    <w:name w:val="Heading 9 Char"/>
    <w:aliases w:val="Heading 9 (business proposal only) Char"/>
    <w:basedOn w:val="DefaultParagraphFont"/>
    <w:link w:val="Heading9"/>
    <w:semiHidden/>
    <w:rsid w:val="00CB7617"/>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CB7617"/>
    <w:pPr>
      <w:spacing w:after="0" w:line="240" w:lineRule="auto"/>
      <w:ind w:left="200" w:hanging="200"/>
    </w:pPr>
  </w:style>
  <w:style w:type="paragraph" w:styleId="IndexHeading">
    <w:name w:val="index heading"/>
    <w:basedOn w:val="Normal"/>
    <w:next w:val="Index1"/>
    <w:semiHidden/>
    <w:rsid w:val="00CB7617"/>
    <w:rPr>
      <w:rFonts w:asciiTheme="majorHAnsi" w:eastAsiaTheme="majorEastAsia" w:hAnsiTheme="majorHAnsi" w:cstheme="majorBidi"/>
      <w:b/>
      <w:bCs/>
    </w:rPr>
  </w:style>
  <w:style w:type="paragraph" w:customStyle="1" w:styleId="Introduction">
    <w:name w:val="Introduction"/>
    <w:basedOn w:val="Normal"/>
    <w:qFormat/>
    <w:rsid w:val="00CB7617"/>
    <w:pPr>
      <w:spacing w:after="0"/>
    </w:pPr>
    <w:rPr>
      <w:rFonts w:asciiTheme="majorHAnsi" w:hAnsiTheme="majorHAnsi"/>
      <w:color w:val="000000" w:themeColor="text1"/>
    </w:rPr>
  </w:style>
  <w:style w:type="paragraph" w:styleId="ListParagraph">
    <w:name w:val="List Paragraph"/>
    <w:basedOn w:val="Normal"/>
    <w:link w:val="ListParagraphChar"/>
    <w:qFormat/>
    <w:rsid w:val="00CB7617"/>
    <w:pPr>
      <w:ind w:left="432" w:hanging="432"/>
      <w:contextualSpacing/>
    </w:pPr>
  </w:style>
  <w:style w:type="paragraph" w:styleId="Macro">
    <w:name w:val="macro"/>
    <w:link w:val="MacroTextChar"/>
    <w:semiHidden/>
    <w:rsid w:val="00CB7617"/>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semiHidden/>
    <w:rsid w:val="00CB7617"/>
    <w:rPr>
      <w:rFonts w:ascii="Consolas" w:hAnsi="Consolas"/>
      <w:sz w:val="20"/>
      <w:szCs w:val="20"/>
    </w:rPr>
  </w:style>
  <w:style w:type="paragraph" w:customStyle="1" w:styleId="Notes">
    <w:name w:val="Notes"/>
    <w:basedOn w:val="Normal"/>
    <w:qFormat/>
    <w:rsid w:val="00CB7617"/>
    <w:rPr>
      <w:color w:val="000000" w:themeColor="text2"/>
    </w:rPr>
  </w:style>
  <w:style w:type="paragraph" w:customStyle="1" w:styleId="Pubinfo">
    <w:name w:val="Pubinfo"/>
    <w:basedOn w:val="Normal"/>
    <w:qFormat/>
    <w:rsid w:val="00CB7617"/>
    <w:rPr>
      <w:b/>
    </w:rPr>
  </w:style>
  <w:style w:type="paragraph" w:customStyle="1" w:styleId="PubinfoCategory">
    <w:name w:val="Pubinfo Category"/>
    <w:basedOn w:val="Pubinfo"/>
    <w:qFormat/>
    <w:rsid w:val="00CB7617"/>
  </w:style>
  <w:style w:type="paragraph" w:customStyle="1" w:styleId="PubinfoDate">
    <w:name w:val="Pubinfo Date"/>
    <w:basedOn w:val="PubinfoCategory"/>
    <w:qFormat/>
    <w:rsid w:val="00CB7617"/>
  </w:style>
  <w:style w:type="paragraph" w:customStyle="1" w:styleId="PubinfoHead">
    <w:name w:val="Pubinfo Head"/>
    <w:basedOn w:val="Pubinfo"/>
    <w:qFormat/>
    <w:rsid w:val="00CB7617"/>
  </w:style>
  <w:style w:type="paragraph" w:customStyle="1" w:styleId="PubinfoList">
    <w:name w:val="Pubinfo List"/>
    <w:basedOn w:val="Pubinfo"/>
    <w:qFormat/>
    <w:rsid w:val="00CB7617"/>
  </w:style>
  <w:style w:type="paragraph" w:customStyle="1" w:styleId="PubinfoNumber">
    <w:name w:val="Pubinfo Number"/>
    <w:basedOn w:val="Pubinfo"/>
    <w:qFormat/>
    <w:rsid w:val="00CB7617"/>
  </w:style>
  <w:style w:type="paragraph" w:styleId="Quote">
    <w:name w:val="Quote"/>
    <w:basedOn w:val="Normal"/>
    <w:link w:val="QuoteChar"/>
    <w:qFormat/>
    <w:rsid w:val="00CB7617"/>
    <w:pPr>
      <w:spacing w:after="0"/>
    </w:pPr>
    <w:rPr>
      <w:rFonts w:asciiTheme="majorHAnsi" w:hAnsiTheme="majorHAnsi"/>
      <w:b/>
      <w:iCs/>
      <w:color w:val="DDDDDD" w:themeColor="accent1"/>
      <w:sz w:val="21"/>
      <w:szCs w:val="21"/>
    </w:rPr>
  </w:style>
  <w:style w:type="character" w:customStyle="1" w:styleId="QuoteChar">
    <w:name w:val="Quote Char"/>
    <w:basedOn w:val="DefaultParagraphFont"/>
    <w:link w:val="Quote"/>
    <w:rsid w:val="00CB7617"/>
    <w:rPr>
      <w:rFonts w:asciiTheme="majorHAnsi" w:hAnsiTheme="majorHAnsi"/>
      <w:b/>
      <w:iCs/>
      <w:color w:val="DDDDDD" w:themeColor="accent1"/>
      <w:sz w:val="21"/>
      <w:szCs w:val="21"/>
    </w:rPr>
  </w:style>
  <w:style w:type="paragraph" w:customStyle="1" w:styleId="QuoteAttribution">
    <w:name w:val="Quote Attribution"/>
    <w:basedOn w:val="Quote"/>
    <w:qFormat/>
    <w:rsid w:val="00CB7617"/>
    <w:pPr>
      <w:jc w:val="right"/>
    </w:pPr>
    <w:rPr>
      <w:i/>
    </w:rPr>
  </w:style>
  <w:style w:type="paragraph" w:styleId="Subtitle">
    <w:name w:val="Subtitle"/>
    <w:basedOn w:val="Normal"/>
    <w:next w:val="Normal"/>
    <w:link w:val="SubtitleChar"/>
    <w:qFormat/>
    <w:rsid w:val="00CB761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rsid w:val="00CB7617"/>
    <w:rPr>
      <w:rFonts w:eastAsiaTheme="minorEastAsia"/>
      <w:color w:val="5A5A5A" w:themeColor="text1" w:themeTint="A5"/>
      <w:spacing w:val="15"/>
      <w:sz w:val="24"/>
    </w:rPr>
  </w:style>
  <w:style w:type="paragraph" w:customStyle="1" w:styleId="SidebarTitle">
    <w:name w:val="Sidebar Title"/>
    <w:basedOn w:val="H1"/>
    <w:next w:val="Sidebar"/>
    <w:qFormat/>
    <w:rsid w:val="00CB7617"/>
    <w:pPr>
      <w:ind w:left="0" w:firstLine="0"/>
    </w:pPr>
    <w:rPr>
      <w:color w:val="DDDDDD" w:themeColor="accent1"/>
      <w:sz w:val="22"/>
    </w:rPr>
  </w:style>
  <w:style w:type="paragraph" w:customStyle="1" w:styleId="SidebarHead">
    <w:name w:val="Sidebar Head"/>
    <w:basedOn w:val="SidebarTitle"/>
    <w:next w:val="Sidebar"/>
    <w:qFormat/>
    <w:rsid w:val="00CB7617"/>
    <w:pPr>
      <w:spacing w:before="0" w:after="80"/>
    </w:pPr>
  </w:style>
  <w:style w:type="paragraph" w:customStyle="1" w:styleId="TableFootnote">
    <w:name w:val="Table Footnote"/>
    <w:basedOn w:val="ExhibitFootnote"/>
    <w:qFormat/>
    <w:rsid w:val="00CB7617"/>
  </w:style>
  <w:style w:type="paragraph" w:customStyle="1" w:styleId="TableSignificance">
    <w:name w:val="Table Significance"/>
    <w:basedOn w:val="FigureSignificance"/>
    <w:qFormat/>
    <w:rsid w:val="00CB7617"/>
  </w:style>
  <w:style w:type="paragraph" w:customStyle="1" w:styleId="TableSource">
    <w:name w:val="Table Source"/>
    <w:basedOn w:val="FigureSource"/>
    <w:qFormat/>
    <w:rsid w:val="00CB7617"/>
  </w:style>
  <w:style w:type="paragraph" w:customStyle="1" w:styleId="TableTextRight">
    <w:name w:val="Table Text Right"/>
    <w:basedOn w:val="TableTextLeft"/>
    <w:qFormat/>
    <w:rsid w:val="00CB7617"/>
    <w:pPr>
      <w:jc w:val="right"/>
    </w:pPr>
  </w:style>
  <w:style w:type="paragraph" w:customStyle="1" w:styleId="TableTextDecimal">
    <w:name w:val="Table Text Decimal"/>
    <w:basedOn w:val="TableTextLeft"/>
    <w:qFormat/>
    <w:rsid w:val="00CB7617"/>
    <w:pPr>
      <w:tabs>
        <w:tab w:val="decimal" w:pos="576"/>
      </w:tabs>
    </w:pPr>
  </w:style>
  <w:style w:type="paragraph" w:customStyle="1" w:styleId="TableRowHead">
    <w:name w:val="Table Row Head"/>
    <w:basedOn w:val="TableTextLeft"/>
    <w:qFormat/>
    <w:rsid w:val="00CB7617"/>
    <w:pPr>
      <w:pageBreakBefore/>
      <w:tabs>
        <w:tab w:val="left" w:pos="720"/>
      </w:tabs>
      <w:ind w:left="720" w:hanging="720"/>
    </w:pPr>
    <w:rPr>
      <w:rFonts w:eastAsiaTheme="minorEastAsia"/>
      <w:b/>
      <w:color w:val="auto"/>
      <w:szCs w:val="24"/>
    </w:rPr>
  </w:style>
  <w:style w:type="paragraph" w:customStyle="1" w:styleId="TableListNumber">
    <w:name w:val="Table List Number"/>
    <w:basedOn w:val="TableTextLeft"/>
    <w:qFormat/>
    <w:rsid w:val="00CB7617"/>
    <w:pPr>
      <w:numPr>
        <w:numId w:val="16"/>
      </w:numPr>
    </w:pPr>
  </w:style>
  <w:style w:type="paragraph" w:customStyle="1" w:styleId="TableListBullet">
    <w:name w:val="Table List Bullet"/>
    <w:basedOn w:val="TableTextLeft"/>
    <w:qFormat/>
    <w:rsid w:val="00CB7617"/>
    <w:pPr>
      <w:numPr>
        <w:numId w:val="14"/>
      </w:numPr>
    </w:pPr>
  </w:style>
  <w:style w:type="paragraph" w:customStyle="1" w:styleId="TableHeaderCenter">
    <w:name w:val="Table Header Center"/>
    <w:basedOn w:val="TableTextLeft"/>
    <w:qFormat/>
    <w:rsid w:val="00CB7617"/>
    <w:pPr>
      <w:keepNext/>
      <w:jc w:val="center"/>
    </w:pPr>
    <w:rPr>
      <w:color w:val="FFFFFF" w:themeColor="background1"/>
    </w:rPr>
  </w:style>
  <w:style w:type="paragraph" w:customStyle="1" w:styleId="TableHeaderLeft">
    <w:name w:val="Table Header Left"/>
    <w:basedOn w:val="TableTextLeft"/>
    <w:qFormat/>
    <w:rsid w:val="00CB7617"/>
    <w:pPr>
      <w:keepNext/>
    </w:pPr>
    <w:rPr>
      <w:color w:val="FFFFFF" w:themeColor="background1"/>
    </w:rPr>
  </w:style>
  <w:style w:type="paragraph" w:customStyle="1" w:styleId="TableTitle">
    <w:name w:val="Table Title"/>
    <w:basedOn w:val="ExhibitTitle"/>
    <w:qFormat/>
    <w:rsid w:val="00CB7617"/>
  </w:style>
  <w:style w:type="paragraph" w:customStyle="1" w:styleId="TableTextCentered">
    <w:name w:val="Table Text Centered"/>
    <w:basedOn w:val="TableTextLeft"/>
    <w:qFormat/>
    <w:rsid w:val="00CB7617"/>
    <w:pPr>
      <w:jc w:val="center"/>
    </w:pPr>
  </w:style>
  <w:style w:type="paragraph" w:styleId="TOC1">
    <w:name w:val="toc 1"/>
    <w:basedOn w:val="H1"/>
    <w:next w:val="Normal"/>
    <w:autoRedefine/>
    <w:qFormat/>
    <w:rsid w:val="00CB7617"/>
    <w:pPr>
      <w:spacing w:before="120" w:after="120"/>
      <w:outlineLvl w:val="9"/>
    </w:pPr>
    <w:rPr>
      <w:b w:val="0"/>
      <w:bCs/>
    </w:rPr>
  </w:style>
  <w:style w:type="paragraph" w:styleId="TOC2">
    <w:name w:val="toc 2"/>
    <w:basedOn w:val="ListContinue"/>
    <w:next w:val="Normal"/>
    <w:autoRedefine/>
    <w:qFormat/>
    <w:rsid w:val="00CB7617"/>
    <w:pPr>
      <w:ind w:left="864" w:hanging="432"/>
    </w:pPr>
  </w:style>
  <w:style w:type="paragraph" w:styleId="TOC3">
    <w:name w:val="toc 3"/>
    <w:basedOn w:val="Normal"/>
    <w:next w:val="Normal"/>
    <w:autoRedefine/>
    <w:qFormat/>
    <w:rsid w:val="00CB7617"/>
    <w:pPr>
      <w:tabs>
        <w:tab w:val="right" w:leader="dot" w:pos="9360"/>
      </w:tabs>
      <w:spacing w:after="100"/>
      <w:ind w:left="1296" w:hanging="432"/>
    </w:pPr>
    <w:rPr>
      <w:rFonts w:asciiTheme="majorHAnsi" w:hAnsiTheme="majorHAnsi"/>
    </w:rPr>
  </w:style>
  <w:style w:type="paragraph" w:styleId="TOCHeading">
    <w:name w:val="TOC Heading"/>
    <w:basedOn w:val="H1"/>
    <w:next w:val="TOC1"/>
    <w:qFormat/>
    <w:rsid w:val="00CB7617"/>
  </w:style>
  <w:style w:type="paragraph" w:styleId="List2">
    <w:name w:val="List 2"/>
    <w:basedOn w:val="Normal"/>
    <w:rsid w:val="00CB7617"/>
    <w:pPr>
      <w:numPr>
        <w:ilvl w:val="1"/>
        <w:numId w:val="19"/>
      </w:numPr>
      <w:contextualSpacing/>
    </w:pPr>
  </w:style>
  <w:style w:type="paragraph" w:styleId="List3">
    <w:name w:val="List 3"/>
    <w:basedOn w:val="Normal"/>
    <w:rsid w:val="00CB7617"/>
    <w:pPr>
      <w:numPr>
        <w:ilvl w:val="2"/>
        <w:numId w:val="19"/>
      </w:numPr>
      <w:contextualSpacing/>
    </w:pPr>
  </w:style>
  <w:style w:type="paragraph" w:customStyle="1" w:styleId="ListAlpha">
    <w:name w:val="List Alpha"/>
    <w:basedOn w:val="List"/>
    <w:qFormat/>
    <w:rsid w:val="00CB7617"/>
    <w:pPr>
      <w:numPr>
        <w:numId w:val="11"/>
      </w:numPr>
    </w:pPr>
  </w:style>
  <w:style w:type="paragraph" w:customStyle="1" w:styleId="ListAlpha2">
    <w:name w:val="List Alpha 2"/>
    <w:basedOn w:val="List2"/>
    <w:qFormat/>
    <w:rsid w:val="00CB7617"/>
    <w:pPr>
      <w:numPr>
        <w:ilvl w:val="0"/>
        <w:numId w:val="12"/>
      </w:numPr>
      <w:spacing w:after="80"/>
      <w:contextualSpacing w:val="0"/>
    </w:pPr>
  </w:style>
  <w:style w:type="paragraph" w:customStyle="1" w:styleId="ListAlpha3">
    <w:name w:val="List Alpha 3"/>
    <w:basedOn w:val="List3"/>
    <w:qFormat/>
    <w:rsid w:val="00CB7617"/>
    <w:pPr>
      <w:numPr>
        <w:ilvl w:val="0"/>
        <w:numId w:val="13"/>
      </w:numPr>
      <w:spacing w:after="80"/>
      <w:contextualSpacing w:val="0"/>
    </w:pPr>
  </w:style>
  <w:style w:type="paragraph" w:styleId="List4">
    <w:name w:val="List 4"/>
    <w:basedOn w:val="Normal"/>
    <w:rsid w:val="00CB7617"/>
    <w:pPr>
      <w:numPr>
        <w:ilvl w:val="3"/>
        <w:numId w:val="19"/>
      </w:numPr>
      <w:contextualSpacing/>
    </w:pPr>
  </w:style>
  <w:style w:type="paragraph" w:customStyle="1" w:styleId="Outline1">
    <w:name w:val="Outline 1"/>
    <w:basedOn w:val="List"/>
    <w:semiHidden/>
    <w:qFormat/>
    <w:rsid w:val="00CB7617"/>
    <w:pPr>
      <w:numPr>
        <w:numId w:val="0"/>
      </w:numPr>
      <w:spacing w:after="0"/>
    </w:pPr>
  </w:style>
  <w:style w:type="paragraph" w:customStyle="1" w:styleId="Outline2">
    <w:name w:val="Outline 2"/>
    <w:basedOn w:val="List2"/>
    <w:semiHidden/>
    <w:qFormat/>
    <w:rsid w:val="00CB7617"/>
    <w:pPr>
      <w:numPr>
        <w:numId w:val="18"/>
      </w:numPr>
      <w:spacing w:after="0"/>
    </w:pPr>
  </w:style>
  <w:style w:type="paragraph" w:customStyle="1" w:styleId="Outline3">
    <w:name w:val="Outline 3"/>
    <w:basedOn w:val="List3"/>
    <w:semiHidden/>
    <w:qFormat/>
    <w:rsid w:val="00CB7617"/>
    <w:pPr>
      <w:numPr>
        <w:numId w:val="18"/>
      </w:numPr>
      <w:spacing w:after="0"/>
    </w:pPr>
  </w:style>
  <w:style w:type="paragraph" w:customStyle="1" w:styleId="Outline4">
    <w:name w:val="Outline 4"/>
    <w:basedOn w:val="List4"/>
    <w:semiHidden/>
    <w:qFormat/>
    <w:rsid w:val="00CB7617"/>
    <w:pPr>
      <w:numPr>
        <w:ilvl w:val="0"/>
        <w:numId w:val="0"/>
      </w:numPr>
      <w:spacing w:after="0"/>
      <w:ind w:left="1440" w:hanging="360"/>
    </w:pPr>
  </w:style>
  <w:style w:type="character" w:customStyle="1" w:styleId="BoldItalic">
    <w:name w:val="Bold Italic"/>
    <w:basedOn w:val="DefaultParagraphFont"/>
    <w:qFormat/>
    <w:rsid w:val="00CB7617"/>
    <w:rPr>
      <w:b/>
      <w:i/>
    </w:rPr>
  </w:style>
  <w:style w:type="character" w:customStyle="1" w:styleId="BoldUnderline">
    <w:name w:val="Bold Underline"/>
    <w:basedOn w:val="DefaultParagraphFont"/>
    <w:qFormat/>
    <w:rsid w:val="00CB7617"/>
    <w:rPr>
      <w:b/>
      <w:u w:val="single"/>
    </w:rPr>
  </w:style>
  <w:style w:type="character" w:customStyle="1" w:styleId="Default">
    <w:name w:val="Default"/>
    <w:basedOn w:val="DefaultParagraphFont"/>
    <w:qFormat/>
    <w:rsid w:val="00CB7617"/>
  </w:style>
  <w:style w:type="character" w:customStyle="1" w:styleId="HighlightBlue">
    <w:name w:val="Highlight Blue"/>
    <w:basedOn w:val="DefaultParagraphFont"/>
    <w:semiHidden/>
    <w:qFormat/>
    <w:rsid w:val="00CB7617"/>
    <w:rPr>
      <w:bdr w:val="none" w:sz="0" w:space="0" w:color="auto"/>
      <w:shd w:val="clear" w:color="auto" w:fill="FBFBFB" w:themeFill="accent1" w:themeFillTint="1A"/>
    </w:rPr>
  </w:style>
  <w:style w:type="character" w:customStyle="1" w:styleId="HighlightYellow">
    <w:name w:val="Highlight Yellow"/>
    <w:basedOn w:val="DefaultParagraphFont"/>
    <w:semiHidden/>
    <w:qFormat/>
    <w:rsid w:val="00CB7617"/>
    <w:rPr>
      <w:bdr w:val="none" w:sz="0" w:space="0" w:color="auto"/>
      <w:shd w:val="clear" w:color="auto" w:fill="E5E5E5" w:themeFill="accent4" w:themeFillTint="33"/>
    </w:rPr>
  </w:style>
  <w:style w:type="character" w:customStyle="1" w:styleId="RunIn">
    <w:name w:val="Run In"/>
    <w:basedOn w:val="DefaultParagraphFont"/>
    <w:uiPriority w:val="1"/>
    <w:qFormat/>
    <w:rsid w:val="00CB7617"/>
    <w:rPr>
      <w:b/>
      <w:color w:val="DDDDDD" w:themeColor="accent1"/>
    </w:rPr>
  </w:style>
  <w:style w:type="character" w:customStyle="1" w:styleId="TableTextTight">
    <w:name w:val="Table Text Tight"/>
    <w:basedOn w:val="DefaultParagraphFont"/>
    <w:qFormat/>
    <w:rsid w:val="00CB7617"/>
    <w:rPr>
      <w:sz w:val="16"/>
    </w:rPr>
  </w:style>
  <w:style w:type="character" w:customStyle="1" w:styleId="TitleSubtitle">
    <w:name w:val="Title_Subtitle"/>
    <w:basedOn w:val="DefaultParagraphFont"/>
    <w:qFormat/>
    <w:rsid w:val="00CB7617"/>
    <w:rPr>
      <w:b/>
    </w:rPr>
  </w:style>
  <w:style w:type="table" w:customStyle="1" w:styleId="MathUBaseTable">
    <w:name w:val="MathU Base Table"/>
    <w:basedOn w:val="TableNormal"/>
    <w:uiPriority w:val="99"/>
    <w:rsid w:val="00CB7617"/>
    <w:pPr>
      <w:spacing w:before="40" w:after="20" w:line="240" w:lineRule="auto"/>
    </w:pPr>
    <w:rPr>
      <w:rFonts w:asciiTheme="majorHAnsi" w:hAnsiTheme="majorHAns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shd w:val="clear" w:color="auto" w:fill="5F5F5F" w:themeFill="accent5"/>
      </w:tcPr>
    </w:tblStylePr>
    <w:tblStylePr w:type="lastRow">
      <w:rPr>
        <w:color w:val="FFFFFF" w:themeColor="background1"/>
      </w:rPr>
      <w:tblPr/>
      <w:tcPr>
        <w:tcBorders>
          <w:bottom w:val="single" w:sz="4" w:space="0" w:color="000000" w:themeColor="text2"/>
        </w:tcBorders>
        <w:shd w:val="clear" w:color="auto" w:fill="FFFFFF" w:themeFill="background1"/>
      </w:tcPr>
    </w:tblStylePr>
    <w:tblStylePr w:type="firstCol">
      <w:tblPr/>
      <w:tcPr>
        <w:tcBorders>
          <w:right w:val="single" w:sz="4" w:space="0" w:color="000000" w:themeColor="text2"/>
        </w:tcBorders>
        <w:shd w:val="clear" w:color="auto" w:fill="FFFFFF" w:themeFill="background1"/>
      </w:tcPr>
    </w:tblStylePr>
    <w:tblStylePr w:type="lastCol">
      <w:tblPr/>
      <w:tcPr>
        <w:tcBorders>
          <w:top w:val="nil"/>
          <w:left w:val="nil"/>
          <w:bottom w:val="nil"/>
          <w:right w:val="single" w:sz="4" w:space="0" w:color="auto"/>
          <w:insideH w:val="single" w:sz="4" w:space="0" w:color="5F5F5F" w:themeColor="accent5"/>
          <w:insideV w:val="nil"/>
          <w:tl2br w:val="nil"/>
          <w:tr2bl w:val="nil"/>
        </w:tcBorders>
        <w:shd w:val="clear" w:color="auto" w:fill="FFFFFF" w:themeFill="background1"/>
      </w:tcPr>
    </w:tblStylePr>
    <w:tblStylePr w:type="neCell">
      <w:pPr>
        <w:jc w:val="left"/>
      </w:pPr>
      <w:tblPr/>
      <w:tcPr>
        <w:shd w:val="clear" w:color="auto" w:fill="5F5F5F" w:themeFill="accent5"/>
      </w:tcPr>
    </w:tblStylePr>
  </w:style>
  <w:style w:type="character" w:styleId="PlaceholderText">
    <w:name w:val="Placeholder Text"/>
    <w:basedOn w:val="DefaultParagraphFont"/>
    <w:rsid w:val="00CB7617"/>
    <w:rPr>
      <w:color w:val="808080"/>
    </w:rPr>
  </w:style>
  <w:style w:type="table" w:customStyle="1" w:styleId="CORESETMEMO">
    <w:name w:val="CORESET MEMO"/>
    <w:basedOn w:val="TableNormal"/>
    <w:uiPriority w:val="99"/>
    <w:rsid w:val="00CB7617"/>
    <w:pPr>
      <w:spacing w:after="0" w:line="240" w:lineRule="auto"/>
    </w:pPr>
    <w:rPr>
      <w:rFonts w:ascii="Times New Roman" w:hAnsi="Times New Roman" w:eastAsiaTheme="minorEastAsia"/>
      <w:sz w:val="24"/>
      <w:szCs w:val="24"/>
    </w:rPr>
    <w:tblPr>
      <w:tblBorders>
        <w:bottom w:val="single" w:sz="4" w:space="0" w:color="000000" w:themeColor="text2"/>
      </w:tblBorders>
    </w:tblPr>
    <w:tcPr>
      <w:tcMar>
        <w:left w:w="173" w:type="dxa"/>
        <w:right w:w="173" w:type="dxa"/>
      </w:tcMar>
    </w:tcPr>
    <w:tblStylePr w:type="firstCol">
      <w:rPr>
        <w:rFonts w:ascii="Arial Black" w:hAnsi="Arial Black"/>
        <w:color w:val="000000" w:themeColor="text2"/>
      </w:rPr>
    </w:tblStylePr>
  </w:style>
  <w:style w:type="paragraph" w:customStyle="1" w:styleId="TableTextDecimalWide">
    <w:name w:val="Table Text Decimal Wide"/>
    <w:basedOn w:val="TableTextDecimal"/>
    <w:qFormat/>
    <w:rsid w:val="00CB7617"/>
    <w:pPr>
      <w:tabs>
        <w:tab w:val="clear" w:pos="576"/>
        <w:tab w:val="decimal" w:pos="864"/>
      </w:tabs>
    </w:pPr>
  </w:style>
  <w:style w:type="paragraph" w:customStyle="1" w:styleId="TableTextDecimalNarrow">
    <w:name w:val="Table Text Decimal Narrow"/>
    <w:basedOn w:val="TableTextDecimalWide"/>
    <w:qFormat/>
    <w:rsid w:val="00CB7617"/>
    <w:pPr>
      <w:tabs>
        <w:tab w:val="decimal" w:pos="360"/>
        <w:tab w:val="clear" w:pos="864"/>
      </w:tabs>
    </w:pPr>
  </w:style>
  <w:style w:type="paragraph" w:styleId="ListBullet4">
    <w:name w:val="List Bullet 4"/>
    <w:basedOn w:val="Normal"/>
    <w:rsid w:val="00CB7617"/>
    <w:pPr>
      <w:numPr>
        <w:numId w:val="4"/>
      </w:numPr>
      <w:spacing w:before="120" w:after="120"/>
    </w:pPr>
  </w:style>
  <w:style w:type="paragraph" w:customStyle="1" w:styleId="TitleRule">
    <w:name w:val="Title Rule"/>
    <w:basedOn w:val="Normal"/>
    <w:qFormat/>
    <w:rsid w:val="00CB7617"/>
    <w:pPr>
      <w:keepNext/>
      <w:spacing w:after="80"/>
    </w:pPr>
  </w:style>
  <w:style w:type="paragraph" w:styleId="ListBullet5">
    <w:name w:val="List Bullet 5"/>
    <w:basedOn w:val="Normal"/>
    <w:rsid w:val="00CB7617"/>
    <w:pPr>
      <w:numPr>
        <w:numId w:val="5"/>
      </w:numPr>
      <w:spacing w:before="120" w:after="120"/>
    </w:pPr>
  </w:style>
  <w:style w:type="paragraph" w:styleId="ListNumber5">
    <w:name w:val="List Number 5"/>
    <w:basedOn w:val="Normal"/>
    <w:rsid w:val="00CB7617"/>
    <w:pPr>
      <w:numPr>
        <w:numId w:val="27"/>
      </w:numPr>
      <w:tabs>
        <w:tab w:val="clear" w:pos="2160"/>
      </w:tabs>
      <w:spacing w:before="120" w:after="120"/>
      <w:ind w:left="1800"/>
    </w:pPr>
  </w:style>
  <w:style w:type="paragraph" w:customStyle="1" w:styleId="Sidebar">
    <w:name w:val="Sidebar"/>
    <w:basedOn w:val="Normal"/>
    <w:qFormat/>
    <w:rsid w:val="00CB7617"/>
    <w:pPr>
      <w:tabs>
        <w:tab w:val="right" w:pos="4680"/>
      </w:tabs>
      <w:spacing w:after="80" w:line="288" w:lineRule="auto"/>
    </w:pPr>
    <w:rPr>
      <w:rFonts w:asciiTheme="majorHAnsi" w:hAnsiTheme="majorHAnsi"/>
      <w:color w:val="969696" w:themeColor="accent3"/>
      <w:sz w:val="20"/>
    </w:rPr>
  </w:style>
  <w:style w:type="paragraph" w:customStyle="1" w:styleId="SidebarListBullet">
    <w:name w:val="Sidebar List Bullet"/>
    <w:basedOn w:val="Sidebar"/>
    <w:qFormat/>
    <w:rsid w:val="00CB7617"/>
    <w:pPr>
      <w:numPr>
        <w:numId w:val="25"/>
      </w:numPr>
    </w:pPr>
  </w:style>
  <w:style w:type="paragraph" w:customStyle="1" w:styleId="SidebarListNumber">
    <w:name w:val="Sidebar List Number"/>
    <w:basedOn w:val="Sidebar"/>
    <w:qFormat/>
    <w:rsid w:val="00CB7617"/>
    <w:pPr>
      <w:numPr>
        <w:numId w:val="24"/>
      </w:numPr>
      <w:adjustRightInd w:val="0"/>
      <w:spacing w:line="264" w:lineRule="auto"/>
    </w:pPr>
  </w:style>
  <w:style w:type="paragraph" w:customStyle="1" w:styleId="TableListBullet2">
    <w:name w:val="Table List Bullet 2"/>
    <w:basedOn w:val="TableListBullet"/>
    <w:qFormat/>
    <w:rsid w:val="00CB7617"/>
    <w:pPr>
      <w:numPr>
        <w:numId w:val="28"/>
      </w:numPr>
    </w:pPr>
  </w:style>
  <w:style w:type="character" w:customStyle="1" w:styleId="Heading2Char">
    <w:name w:val="Heading 2 Char"/>
    <w:basedOn w:val="DefaultParagraphFont"/>
    <w:link w:val="Heading2"/>
    <w:semiHidden/>
    <w:rsid w:val="00CB7617"/>
    <w:rPr>
      <w:rFonts w:asciiTheme="majorHAnsi" w:eastAsiaTheme="majorEastAsia" w:hAnsiTheme="majorHAnsi" w:cstheme="majorBidi"/>
      <w:color w:val="A5A5A5" w:themeColor="accent1" w:themeShade="BF"/>
      <w:sz w:val="26"/>
      <w:szCs w:val="26"/>
    </w:rPr>
  </w:style>
  <w:style w:type="character" w:customStyle="1" w:styleId="Heading3Char">
    <w:name w:val="Heading 3 Char"/>
    <w:basedOn w:val="DefaultParagraphFont"/>
    <w:link w:val="Heading3"/>
    <w:semiHidden/>
    <w:rsid w:val="00CB7617"/>
    <w:rPr>
      <w:rFonts w:asciiTheme="majorHAnsi" w:eastAsiaTheme="majorEastAsia" w:hAnsiTheme="majorHAnsi" w:cstheme="majorBidi"/>
      <w:color w:val="6E6E6E" w:themeColor="accent1" w:themeShade="7F"/>
      <w:sz w:val="24"/>
      <w:szCs w:val="24"/>
    </w:rPr>
  </w:style>
  <w:style w:type="character" w:customStyle="1" w:styleId="Heading4Char">
    <w:name w:val="Heading 4 Char"/>
    <w:basedOn w:val="DefaultParagraphFont"/>
    <w:link w:val="Heading4"/>
    <w:semiHidden/>
    <w:rsid w:val="00CB7617"/>
    <w:rPr>
      <w:rFonts w:asciiTheme="majorHAnsi" w:eastAsiaTheme="majorEastAsia" w:hAnsiTheme="majorHAnsi" w:cstheme="majorBidi"/>
      <w:i/>
      <w:iCs/>
      <w:color w:val="A5A5A5" w:themeColor="accent1" w:themeShade="BF"/>
      <w:sz w:val="24"/>
    </w:rPr>
  </w:style>
  <w:style w:type="character" w:customStyle="1" w:styleId="Heading5Char">
    <w:name w:val="Heading 5 Char"/>
    <w:basedOn w:val="DefaultParagraphFont"/>
    <w:link w:val="Heading5"/>
    <w:semiHidden/>
    <w:rsid w:val="00CB7617"/>
    <w:rPr>
      <w:rFonts w:asciiTheme="majorHAnsi" w:eastAsiaTheme="majorEastAsia" w:hAnsiTheme="majorHAnsi" w:cstheme="majorBidi"/>
      <w:color w:val="A5A5A5" w:themeColor="accent1" w:themeShade="BF"/>
      <w:sz w:val="24"/>
    </w:rPr>
  </w:style>
  <w:style w:type="character" w:customStyle="1" w:styleId="Heading6Char">
    <w:name w:val="Heading 6 Char"/>
    <w:basedOn w:val="DefaultParagraphFont"/>
    <w:link w:val="Heading6"/>
    <w:semiHidden/>
    <w:rsid w:val="00CB7617"/>
    <w:rPr>
      <w:rFonts w:asciiTheme="majorHAnsi" w:eastAsiaTheme="majorEastAsia" w:hAnsiTheme="majorHAnsi" w:cstheme="majorBidi"/>
      <w:color w:val="6E6E6E" w:themeColor="accent1" w:themeShade="7F"/>
      <w:sz w:val="24"/>
    </w:rPr>
  </w:style>
  <w:style w:type="character" w:customStyle="1" w:styleId="Heading7Char">
    <w:name w:val="Heading 7 Char"/>
    <w:basedOn w:val="DefaultParagraphFont"/>
    <w:link w:val="Heading7"/>
    <w:semiHidden/>
    <w:rsid w:val="00CB7617"/>
    <w:rPr>
      <w:rFonts w:asciiTheme="majorHAnsi" w:eastAsiaTheme="majorEastAsia" w:hAnsiTheme="majorHAnsi" w:cstheme="majorBidi"/>
      <w:i/>
      <w:iCs/>
      <w:color w:val="6E6E6E" w:themeColor="accent1" w:themeShade="7F"/>
      <w:sz w:val="24"/>
    </w:rPr>
  </w:style>
  <w:style w:type="character" w:customStyle="1" w:styleId="Heading8Char">
    <w:name w:val="Heading 8 Char"/>
    <w:basedOn w:val="DefaultParagraphFont"/>
    <w:link w:val="Heading8"/>
    <w:semiHidden/>
    <w:rsid w:val="00CB7617"/>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CB7617"/>
    <w:pPr>
      <w:numPr>
        <w:numId w:val="17"/>
      </w:numPr>
    </w:pPr>
  </w:style>
  <w:style w:type="paragraph" w:styleId="ListContinue3">
    <w:name w:val="List Continue 3"/>
    <w:basedOn w:val="Normal"/>
    <w:qFormat/>
    <w:rsid w:val="00CB7617"/>
    <w:pPr>
      <w:spacing w:before="120" w:after="120"/>
      <w:ind w:left="1080"/>
    </w:pPr>
  </w:style>
  <w:style w:type="paragraph" w:styleId="List5">
    <w:name w:val="List 5"/>
    <w:basedOn w:val="Normal"/>
    <w:rsid w:val="00CB7617"/>
    <w:pPr>
      <w:numPr>
        <w:ilvl w:val="4"/>
        <w:numId w:val="19"/>
      </w:numPr>
      <w:contextualSpacing/>
    </w:pPr>
  </w:style>
  <w:style w:type="character" w:styleId="UnresolvedMention">
    <w:name w:val="Unresolved Mention"/>
    <w:basedOn w:val="DefaultParagraphFont"/>
    <w:semiHidden/>
    <w:rsid w:val="00CB7617"/>
    <w:rPr>
      <w:color w:val="605E5C"/>
      <w:shd w:val="clear" w:color="auto" w:fill="E1DFDD"/>
    </w:rPr>
  </w:style>
  <w:style w:type="character" w:customStyle="1" w:styleId="H1Char">
    <w:name w:val="H1 Char"/>
    <w:basedOn w:val="DefaultParagraphFont"/>
    <w:link w:val="H1"/>
    <w:rsid w:val="00CB7617"/>
    <w:rPr>
      <w:rFonts w:asciiTheme="majorHAnsi" w:eastAsiaTheme="majorEastAsia" w:hAnsiTheme="majorHAnsi" w:cstheme="majorBidi"/>
      <w:b/>
      <w:color w:val="000000" w:themeColor="text2"/>
      <w:sz w:val="24"/>
      <w:szCs w:val="32"/>
    </w:rPr>
  </w:style>
  <w:style w:type="paragraph" w:customStyle="1" w:styleId="ListHead">
    <w:name w:val="List Head"/>
    <w:basedOn w:val="Paragraph"/>
    <w:qFormat/>
    <w:rsid w:val="00CB7617"/>
    <w:pPr>
      <w:spacing w:after="0"/>
    </w:pPr>
    <w:rPr>
      <w:b/>
    </w:rPr>
  </w:style>
  <w:style w:type="character" w:customStyle="1" w:styleId="Bold">
    <w:name w:val="Bold"/>
    <w:basedOn w:val="DefaultParagraphFont"/>
    <w:qFormat/>
    <w:rsid w:val="00CB7617"/>
    <w:rPr>
      <w:b/>
    </w:rPr>
  </w:style>
  <w:style w:type="character" w:customStyle="1" w:styleId="Italic">
    <w:name w:val="Italic"/>
    <w:basedOn w:val="DefaultParagraphFont"/>
    <w:qFormat/>
    <w:rsid w:val="00CB7617"/>
    <w:rPr>
      <w:i/>
    </w:rPr>
  </w:style>
  <w:style w:type="paragraph" w:customStyle="1" w:styleId="mathematicaorg">
    <w:name w:val="mathematica.org"/>
    <w:uiPriority w:val="1"/>
    <w:qFormat/>
    <w:rsid w:val="00CB7617"/>
    <w:pPr>
      <w:spacing w:after="100" w:line="240" w:lineRule="auto"/>
      <w:jc w:val="right"/>
    </w:pPr>
    <w:rPr>
      <w:rFonts w:eastAsia="Times New Roman" w:asciiTheme="majorHAnsi" w:hAnsiTheme="majorHAnsi" w:cs="Times New Roman"/>
      <w:noProof/>
      <w:sz w:val="20"/>
      <w:szCs w:val="19"/>
    </w:rPr>
  </w:style>
  <w:style w:type="table" w:customStyle="1" w:styleId="CoverTable">
    <w:name w:val="Cover Table"/>
    <w:basedOn w:val="TableNormal"/>
    <w:uiPriority w:val="99"/>
    <w:rsid w:val="00CB7617"/>
    <w:pPr>
      <w:spacing w:after="0" w:line="240" w:lineRule="auto"/>
    </w:pPr>
    <w:rPr>
      <w:rFonts w:ascii="Georgia" w:hAnsi="Georgia" w:eastAsiaTheme="minorEastAsia"/>
      <w:szCs w:val="24"/>
    </w:rPr>
    <w:tblPr/>
    <w:tcPr>
      <w:noWrap/>
      <w:tcMar>
        <w:left w:w="0" w:type="dxa"/>
        <w:right w:w="0" w:type="dxa"/>
      </w:tcMar>
    </w:tcPr>
  </w:style>
  <w:style w:type="paragraph" w:customStyle="1" w:styleId="CoverRFP">
    <w:name w:val="Cover RFP"/>
    <w:basedOn w:val="CoverDate"/>
    <w:uiPriority w:val="98"/>
    <w:qFormat/>
    <w:rsid w:val="00CB7617"/>
    <w:pPr>
      <w:spacing w:after="0" w:line="290" w:lineRule="exact"/>
    </w:pPr>
    <w:rPr>
      <w:rFonts w:eastAsia="Times New Roman" w:cs="Times New Roman"/>
      <w:bCs w:val="0"/>
      <w:szCs w:val="20"/>
    </w:rPr>
  </w:style>
  <w:style w:type="numbering" w:customStyle="1" w:styleId="Feature20">
    <w:name w:val="Feature 2"/>
    <w:uiPriority w:val="99"/>
    <w:rsid w:val="00CB7617"/>
    <w:pPr>
      <w:numPr>
        <w:numId w:val="20"/>
      </w:numPr>
    </w:pPr>
  </w:style>
  <w:style w:type="paragraph" w:customStyle="1" w:styleId="Covertextborder">
    <w:name w:val="Cover text border"/>
    <w:uiPriority w:val="1"/>
    <w:qFormat/>
    <w:rsid w:val="00CB7617"/>
    <w:pPr>
      <w:pBdr>
        <w:bottom w:val="single" w:sz="36" w:space="1" w:color="808080" w:themeColor="accent4"/>
      </w:pBdr>
      <w:spacing w:before="120" w:after="480" w:line="240" w:lineRule="auto"/>
      <w:ind w:right="6480"/>
    </w:pPr>
    <w:rPr>
      <w:rFonts w:ascii="Arial" w:hAnsi="Arial" w:cs="Arial"/>
      <w:color w:val="DDDDDD" w:themeColor="accent1"/>
      <w:spacing w:val="2"/>
      <w:sz w:val="8"/>
      <w:szCs w:val="4"/>
    </w:rPr>
  </w:style>
  <w:style w:type="paragraph" w:customStyle="1" w:styleId="CoverRFPNumber">
    <w:name w:val="Cover RFP Number"/>
    <w:uiPriority w:val="1"/>
    <w:qFormat/>
    <w:rsid w:val="00CB7617"/>
    <w:pPr>
      <w:spacing w:before="240" w:after="360" w:line="240" w:lineRule="auto"/>
    </w:pPr>
    <w:rPr>
      <w:rFonts w:ascii="Arial" w:hAnsi="Arial" w:cs="Arial"/>
      <w:color w:val="0B2949"/>
      <w:spacing w:val="2"/>
      <w:sz w:val="24"/>
      <w:szCs w:val="24"/>
    </w:rPr>
  </w:style>
  <w:style w:type="paragraph" w:customStyle="1" w:styleId="CoverProposalVolume">
    <w:name w:val="Cover Proposal Volume"/>
    <w:uiPriority w:val="1"/>
    <w:qFormat/>
    <w:rsid w:val="00CB7617"/>
    <w:pPr>
      <w:spacing w:after="360" w:line="240" w:lineRule="auto"/>
    </w:pPr>
    <w:rPr>
      <w:rFonts w:ascii="Arial" w:hAnsi="Arial" w:cs="Arial"/>
      <w:color w:val="0B2949"/>
      <w:spacing w:val="2"/>
      <w:sz w:val="24"/>
      <w:szCs w:val="24"/>
    </w:rPr>
  </w:style>
  <w:style w:type="paragraph" w:customStyle="1" w:styleId="Reference">
    <w:name w:val="Reference"/>
    <w:basedOn w:val="ListContinue"/>
    <w:qFormat/>
    <w:rsid w:val="00CB7617"/>
    <w:pPr>
      <w:keepLines/>
      <w:ind w:hanging="360"/>
    </w:pPr>
  </w:style>
  <w:style w:type="paragraph" w:styleId="TOC4">
    <w:name w:val="toc 4"/>
    <w:basedOn w:val="Normal"/>
    <w:next w:val="Normal"/>
    <w:autoRedefine/>
    <w:qFormat/>
    <w:rsid w:val="00CB7617"/>
    <w:pPr>
      <w:spacing w:after="100"/>
      <w:ind w:left="1728" w:hanging="432"/>
    </w:pPr>
    <w:rPr>
      <w:rFonts w:asciiTheme="majorHAnsi" w:hAnsiTheme="majorHAnsi"/>
    </w:rPr>
  </w:style>
  <w:style w:type="paragraph" w:customStyle="1" w:styleId="Disclaimer">
    <w:name w:val="Disclaimer"/>
    <w:basedOn w:val="Footer"/>
    <w:uiPriority w:val="1"/>
    <w:qFormat/>
    <w:rsid w:val="00CB7617"/>
    <w:pPr>
      <w:pBdr>
        <w:top w:val="single" w:sz="6" w:space="4" w:color="DDDDDD"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CB7617"/>
    <w:rPr>
      <w:vertAlign w:val="subscript"/>
    </w:rPr>
  </w:style>
  <w:style w:type="paragraph" w:styleId="Salutation">
    <w:name w:val="Salutation"/>
    <w:basedOn w:val="Normal"/>
    <w:next w:val="Paragraph"/>
    <w:link w:val="SalutationChar"/>
    <w:rsid w:val="00CB7617"/>
    <w:pPr>
      <w:tabs>
        <w:tab w:val="left" w:pos="1627"/>
      </w:tabs>
    </w:pPr>
  </w:style>
  <w:style w:type="character" w:customStyle="1" w:styleId="SalutationChar">
    <w:name w:val="Salutation Char"/>
    <w:basedOn w:val="DefaultParagraphFont"/>
    <w:link w:val="Salutation"/>
    <w:rsid w:val="00CB7617"/>
    <w:rPr>
      <w:sz w:val="24"/>
    </w:rPr>
  </w:style>
  <w:style w:type="numbering" w:styleId="111111">
    <w:name w:val="Outline List 2"/>
    <w:basedOn w:val="NoList"/>
    <w:uiPriority w:val="99"/>
    <w:semiHidden/>
    <w:unhideWhenUsed/>
    <w:rsid w:val="00CB7617"/>
    <w:pPr>
      <w:numPr>
        <w:numId w:val="23"/>
      </w:numPr>
    </w:pPr>
  </w:style>
  <w:style w:type="character" w:styleId="Hyperlink">
    <w:name w:val="Hyperlink"/>
    <w:basedOn w:val="DefaultParagraphFont"/>
    <w:unhideWhenUsed/>
    <w:rsid w:val="00CB7617"/>
    <w:rPr>
      <w:color w:val="0070C0" w:themeColor="hyperlink"/>
      <w:u w:val="single"/>
    </w:rPr>
  </w:style>
  <w:style w:type="character" w:customStyle="1" w:styleId="Superscript">
    <w:name w:val="Superscript"/>
    <w:basedOn w:val="DefaultParagraphFont"/>
    <w:qFormat/>
    <w:rsid w:val="00CB7617"/>
    <w:rPr>
      <w:vertAlign w:val="superscript"/>
    </w:rPr>
  </w:style>
  <w:style w:type="paragraph" w:customStyle="1" w:styleId="ALogotagk">
    <w:name w:val="A_Logo tag k"/>
    <w:rsid w:val="00CB7617"/>
    <w:pPr>
      <w:spacing w:line="264" w:lineRule="auto"/>
    </w:pPr>
    <w:rPr>
      <w:sz w:val="20"/>
    </w:rPr>
  </w:style>
  <w:style w:type="character" w:customStyle="1" w:styleId="Underline">
    <w:name w:val="Underline"/>
    <w:basedOn w:val="DefaultParagraphFont"/>
    <w:qFormat/>
    <w:rsid w:val="00CB7617"/>
    <w:rPr>
      <w:u w:val="single"/>
    </w:rPr>
  </w:style>
  <w:style w:type="paragraph" w:styleId="FootnoteText">
    <w:name w:val="footnote text"/>
    <w:basedOn w:val="Normal"/>
    <w:link w:val="FootnoteTextChar"/>
    <w:qFormat/>
    <w:rsid w:val="00CB7617"/>
    <w:pPr>
      <w:spacing w:before="0" w:after="120" w:line="240" w:lineRule="auto"/>
    </w:pPr>
    <w:rPr>
      <w:sz w:val="20"/>
      <w:szCs w:val="20"/>
    </w:rPr>
  </w:style>
  <w:style w:type="character" w:customStyle="1" w:styleId="FootnoteTextChar">
    <w:name w:val="Footnote Text Char"/>
    <w:basedOn w:val="DefaultParagraphFont"/>
    <w:link w:val="FootnoteText"/>
    <w:rsid w:val="00CB7617"/>
    <w:rPr>
      <w:sz w:val="20"/>
      <w:szCs w:val="20"/>
    </w:rPr>
  </w:style>
  <w:style w:type="character" w:styleId="FootnoteReference">
    <w:name w:val="footnote reference"/>
    <w:basedOn w:val="DefaultParagraphFont"/>
    <w:qFormat/>
    <w:rsid w:val="00CB7617"/>
    <w:rPr>
      <w:vertAlign w:val="superscript"/>
    </w:rPr>
  </w:style>
  <w:style w:type="paragraph" w:styleId="EndnoteText">
    <w:name w:val="endnote text"/>
    <w:basedOn w:val="Normal"/>
    <w:link w:val="EndnoteTextChar"/>
    <w:rsid w:val="00CB7617"/>
    <w:pPr>
      <w:spacing w:after="0"/>
    </w:pPr>
    <w:rPr>
      <w:sz w:val="20"/>
      <w:szCs w:val="20"/>
    </w:rPr>
  </w:style>
  <w:style w:type="character" w:customStyle="1" w:styleId="EndnoteTextChar">
    <w:name w:val="Endnote Text Char"/>
    <w:basedOn w:val="DefaultParagraphFont"/>
    <w:link w:val="EndnoteText"/>
    <w:rsid w:val="00CB7617"/>
    <w:rPr>
      <w:sz w:val="20"/>
      <w:szCs w:val="20"/>
    </w:rPr>
  </w:style>
  <w:style w:type="paragraph" w:customStyle="1" w:styleId="wwwmathematica-mprcom">
    <w:name w:val="www.mathematica-mpr.com"/>
    <w:qFormat/>
    <w:rsid w:val="00CB7617"/>
    <w:pPr>
      <w:spacing w:after="100" w:line="240" w:lineRule="auto"/>
      <w:jc w:val="right"/>
    </w:pPr>
    <w:rPr>
      <w:rFonts w:eastAsia="Times New Roman" w:asciiTheme="majorHAnsi" w:hAnsiTheme="majorHAnsi" w:cs="Times New Roman"/>
      <w:noProof/>
      <w:sz w:val="20"/>
      <w:szCs w:val="19"/>
    </w:rPr>
  </w:style>
  <w:style w:type="paragraph" w:styleId="Index2">
    <w:name w:val="index 2"/>
    <w:basedOn w:val="Normal"/>
    <w:next w:val="Normal"/>
    <w:autoRedefine/>
    <w:semiHidden/>
    <w:unhideWhenUsed/>
    <w:rsid w:val="00CB7617"/>
    <w:pPr>
      <w:ind w:left="480" w:hanging="240"/>
    </w:pPr>
    <w:rPr>
      <w:rFonts w:eastAsia="Times New Roman" w:cs="Times New Roman"/>
      <w:szCs w:val="20"/>
    </w:rPr>
  </w:style>
  <w:style w:type="character" w:styleId="PageNumber">
    <w:name w:val="page number"/>
    <w:basedOn w:val="DefaultParagraphFont"/>
    <w:semiHidden/>
    <w:qFormat/>
    <w:rsid w:val="00CB7617"/>
    <w:rPr>
      <w:rFonts w:ascii="Arial" w:hAnsi="Arial"/>
      <w:color w:val="auto"/>
      <w:sz w:val="20"/>
      <w:bdr w:val="none" w:sz="0" w:space="0" w:color="auto"/>
    </w:rPr>
  </w:style>
  <w:style w:type="paragraph" w:styleId="TableofFigures">
    <w:name w:val="table of figures"/>
    <w:basedOn w:val="Normal"/>
    <w:next w:val="Normal"/>
    <w:semiHidden/>
    <w:unhideWhenUsed/>
    <w:rsid w:val="00CB7617"/>
    <w:pPr>
      <w:tabs>
        <w:tab w:val="right" w:leader="dot" w:pos="9360"/>
      </w:tabs>
      <w:spacing w:after="180" w:line="240" w:lineRule="exact"/>
      <w:ind w:left="720" w:right="720" w:hanging="720"/>
    </w:pPr>
    <w:rPr>
      <w:rFonts w:ascii="Arial" w:eastAsia="Times New Roman" w:hAnsi="Arial" w:cs="Times New Roman"/>
      <w:sz w:val="20"/>
      <w:szCs w:val="20"/>
    </w:rPr>
  </w:style>
  <w:style w:type="paragraph" w:styleId="TOC8">
    <w:name w:val="toc 8"/>
    <w:next w:val="Normal"/>
    <w:autoRedefine/>
    <w:semiHidden/>
    <w:unhideWhenUsed/>
    <w:qFormat/>
    <w:rsid w:val="00CB7617"/>
    <w:pPr>
      <w:tabs>
        <w:tab w:val="right" w:leader="dot" w:pos="9360"/>
      </w:tabs>
      <w:spacing w:after="180" w:line="240" w:lineRule="exact"/>
      <w:ind w:right="720"/>
    </w:pPr>
    <w:rPr>
      <w:rFonts w:ascii="Arial" w:eastAsia="Times New Roman" w:hAnsi="Arial" w:cs="Times New Roman"/>
      <w:caps/>
      <w:sz w:val="20"/>
      <w:szCs w:val="20"/>
    </w:rPr>
  </w:style>
  <w:style w:type="table" w:styleId="LightList">
    <w:name w:val="Light List"/>
    <w:basedOn w:val="TableNormal"/>
    <w:uiPriority w:val="61"/>
    <w:rsid w:val="00CB7617"/>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Index3">
    <w:name w:val="index 3"/>
    <w:basedOn w:val="Normal"/>
    <w:next w:val="Normal"/>
    <w:autoRedefine/>
    <w:semiHidden/>
    <w:unhideWhenUsed/>
    <w:rsid w:val="00CB7617"/>
    <w:pPr>
      <w:ind w:left="720" w:hanging="240"/>
    </w:pPr>
    <w:rPr>
      <w:rFonts w:eastAsia="Times New Roman" w:cs="Times New Roman"/>
      <w:szCs w:val="20"/>
    </w:rPr>
  </w:style>
  <w:style w:type="paragraph" w:styleId="Signature">
    <w:name w:val="Signature"/>
    <w:basedOn w:val="Normal"/>
    <w:link w:val="SignatureChar"/>
    <w:unhideWhenUsed/>
    <w:rsid w:val="00CB7617"/>
    <w:pPr>
      <w:ind w:left="4320"/>
    </w:pPr>
    <w:rPr>
      <w:rFonts w:eastAsia="Times New Roman" w:cs="Times New Roman"/>
      <w:szCs w:val="20"/>
    </w:rPr>
  </w:style>
  <w:style w:type="character" w:customStyle="1" w:styleId="SignatureChar">
    <w:name w:val="Signature Char"/>
    <w:basedOn w:val="DefaultParagraphFont"/>
    <w:link w:val="Signature"/>
    <w:rsid w:val="00CB7617"/>
    <w:rPr>
      <w:rFonts w:eastAsia="Times New Roman" w:cs="Times New Roman"/>
      <w:sz w:val="24"/>
      <w:szCs w:val="20"/>
    </w:rPr>
  </w:style>
  <w:style w:type="paragraph" w:styleId="NoSpacing">
    <w:name w:val="No Spacing"/>
    <w:qFormat/>
    <w:rsid w:val="00CB7617"/>
    <w:pPr>
      <w:spacing w:after="0" w:line="240" w:lineRule="auto"/>
    </w:pPr>
    <w:rPr>
      <w:rFonts w:eastAsiaTheme="minorEastAsia"/>
    </w:rPr>
  </w:style>
  <w:style w:type="character" w:styleId="IntenseReference">
    <w:name w:val="Intense Reference"/>
    <w:basedOn w:val="DefaultParagraphFont"/>
    <w:semiHidden/>
    <w:unhideWhenUsed/>
    <w:qFormat/>
    <w:rsid w:val="00CB7617"/>
    <w:rPr>
      <w:b/>
      <w:bCs/>
      <w:smallCaps/>
      <w:color w:val="DDDDDD" w:themeColor="accent1"/>
      <w:spacing w:val="5"/>
    </w:rPr>
  </w:style>
  <w:style w:type="character" w:styleId="IntenseEmphasis">
    <w:name w:val="Intense Emphasis"/>
    <w:basedOn w:val="DefaultParagraphFont"/>
    <w:semiHidden/>
    <w:unhideWhenUsed/>
    <w:qFormat/>
    <w:rsid w:val="00CB7617"/>
    <w:rPr>
      <w:i/>
      <w:iCs/>
      <w:color w:val="DDDDDD" w:themeColor="accent1"/>
    </w:rPr>
  </w:style>
  <w:style w:type="character" w:styleId="FollowedHyperlink">
    <w:name w:val="FollowedHyperlink"/>
    <w:basedOn w:val="DefaultParagraphFont"/>
    <w:unhideWhenUsed/>
    <w:rsid w:val="00CB7617"/>
    <w:rPr>
      <w:color w:val="7030A0" w:themeColor="followedHyperlink"/>
      <w:u w:val="single"/>
    </w:rPr>
  </w:style>
  <w:style w:type="paragraph" w:styleId="HTMLPreformatted">
    <w:name w:val="HTML Preformatted"/>
    <w:basedOn w:val="Normal"/>
    <w:link w:val="HTMLPreformattedChar"/>
    <w:semiHidden/>
    <w:unhideWhenUsed/>
    <w:rsid w:val="00CB7617"/>
    <w:pPr>
      <w:spacing w:after="0" w:line="240" w:lineRule="auto"/>
    </w:pPr>
    <w:rPr>
      <w:rFonts w:ascii="Consolas" w:eastAsia="Times New Roman" w:hAnsi="Consolas" w:cs="Times New Roman"/>
      <w:sz w:val="20"/>
      <w:szCs w:val="20"/>
    </w:rPr>
  </w:style>
  <w:style w:type="character" w:customStyle="1" w:styleId="HTMLPreformattedChar">
    <w:name w:val="HTML Preformatted Char"/>
    <w:basedOn w:val="DefaultParagraphFont"/>
    <w:link w:val="HTMLPreformatted"/>
    <w:semiHidden/>
    <w:rsid w:val="00CB7617"/>
    <w:rPr>
      <w:rFonts w:ascii="Consolas" w:eastAsia="Times New Roman" w:hAnsi="Consolas" w:cs="Times New Roman"/>
      <w:sz w:val="20"/>
      <w:szCs w:val="20"/>
    </w:rPr>
  </w:style>
  <w:style w:type="table" w:styleId="GridTableLight">
    <w:name w:val="Grid Table Light"/>
    <w:basedOn w:val="TableNormal"/>
    <w:uiPriority w:val="40"/>
    <w:rsid w:val="00CB7617"/>
    <w:pPr>
      <w:spacing w:after="0" w:line="240" w:lineRule="auto"/>
    </w:pPr>
    <w:rPr>
      <w:rFonts w:ascii="Times New Roman" w:hAnsi="Times New Roman" w:eastAsiaTheme="minorEastAsia"/>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5">
    <w:name w:val="toc 5"/>
    <w:basedOn w:val="Normal"/>
    <w:next w:val="Normal"/>
    <w:autoRedefine/>
    <w:semiHidden/>
    <w:unhideWhenUsed/>
    <w:rsid w:val="00CB7617"/>
    <w:pPr>
      <w:spacing w:after="100"/>
      <w:ind w:left="960"/>
    </w:pPr>
    <w:rPr>
      <w:rFonts w:eastAsia="Times New Roman" w:cs="Times New Roman"/>
      <w:szCs w:val="20"/>
    </w:rPr>
  </w:style>
  <w:style w:type="paragraph" w:styleId="E-mailSignature">
    <w:name w:val="E-mail Signature"/>
    <w:basedOn w:val="Normal"/>
    <w:link w:val="E-mailSignatureChar"/>
    <w:semiHidden/>
    <w:unhideWhenUsed/>
    <w:rsid w:val="00CB7617"/>
    <w:pPr>
      <w:spacing w:after="0" w:line="240" w:lineRule="auto"/>
    </w:pPr>
    <w:rPr>
      <w:rFonts w:eastAsia="Times New Roman" w:cs="Times New Roman"/>
      <w:szCs w:val="20"/>
    </w:rPr>
  </w:style>
  <w:style w:type="character" w:customStyle="1" w:styleId="E-mailSignatureChar">
    <w:name w:val="E-mail Signature Char"/>
    <w:basedOn w:val="DefaultParagraphFont"/>
    <w:link w:val="E-mailSignature"/>
    <w:semiHidden/>
    <w:rsid w:val="00CB7617"/>
    <w:rPr>
      <w:rFonts w:eastAsia="Times New Roman" w:cs="Times New Roman"/>
      <w:sz w:val="24"/>
      <w:szCs w:val="20"/>
    </w:rPr>
  </w:style>
  <w:style w:type="paragraph" w:styleId="EnvelopeAddress">
    <w:name w:val="envelope address"/>
    <w:basedOn w:val="Normal"/>
    <w:unhideWhenUsed/>
    <w:rsid w:val="00CB7617"/>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nhideWhenUsed/>
    <w:rsid w:val="00CB7617"/>
    <w:pPr>
      <w:spacing w:after="0" w:line="240" w:lineRule="auto"/>
    </w:pPr>
    <w:rPr>
      <w:rFonts w:asciiTheme="majorHAnsi" w:eastAsiaTheme="majorEastAsia" w:hAnsiTheme="majorHAnsi" w:cstheme="majorBidi"/>
      <w:sz w:val="20"/>
      <w:szCs w:val="20"/>
    </w:rPr>
  </w:style>
  <w:style w:type="character" w:styleId="Hashtag">
    <w:name w:val="Hashtag"/>
    <w:basedOn w:val="DefaultParagraphFont"/>
    <w:semiHidden/>
    <w:unhideWhenUsed/>
    <w:rsid w:val="00CB7617"/>
    <w:rPr>
      <w:color w:val="2B579A"/>
      <w:shd w:val="clear" w:color="auto" w:fill="E1DFDD"/>
    </w:rPr>
  </w:style>
  <w:style w:type="character" w:styleId="HTMLAcronym">
    <w:name w:val="HTML Acronym"/>
    <w:basedOn w:val="DefaultParagraphFont"/>
    <w:semiHidden/>
    <w:unhideWhenUsed/>
    <w:rsid w:val="00CB7617"/>
  </w:style>
  <w:style w:type="paragraph" w:styleId="HTMLAddress">
    <w:name w:val="HTML Address"/>
    <w:basedOn w:val="Normal"/>
    <w:link w:val="HTMLAddressChar"/>
    <w:semiHidden/>
    <w:unhideWhenUsed/>
    <w:rsid w:val="00CB7617"/>
    <w:pPr>
      <w:spacing w:after="0" w:line="240" w:lineRule="auto"/>
    </w:pPr>
    <w:rPr>
      <w:rFonts w:eastAsia="Times New Roman" w:cs="Times New Roman"/>
      <w:i/>
      <w:iCs/>
      <w:szCs w:val="20"/>
    </w:rPr>
  </w:style>
  <w:style w:type="character" w:customStyle="1" w:styleId="HTMLAddressChar">
    <w:name w:val="HTML Address Char"/>
    <w:basedOn w:val="DefaultParagraphFont"/>
    <w:link w:val="HTMLAddress"/>
    <w:semiHidden/>
    <w:rsid w:val="00CB7617"/>
    <w:rPr>
      <w:rFonts w:eastAsia="Times New Roman" w:cs="Times New Roman"/>
      <w:i/>
      <w:iCs/>
      <w:sz w:val="24"/>
      <w:szCs w:val="20"/>
    </w:rPr>
  </w:style>
  <w:style w:type="character" w:styleId="HTMLCite">
    <w:name w:val="HTML Cite"/>
    <w:basedOn w:val="DefaultParagraphFont"/>
    <w:semiHidden/>
    <w:unhideWhenUsed/>
    <w:rsid w:val="00CB7617"/>
    <w:rPr>
      <w:i/>
      <w:iCs/>
    </w:rPr>
  </w:style>
  <w:style w:type="character" w:styleId="HTMLCode">
    <w:name w:val="HTML Code"/>
    <w:basedOn w:val="DefaultParagraphFont"/>
    <w:semiHidden/>
    <w:unhideWhenUsed/>
    <w:rsid w:val="00CB7617"/>
    <w:rPr>
      <w:rFonts w:ascii="Consolas" w:hAnsi="Consolas"/>
      <w:sz w:val="20"/>
      <w:szCs w:val="20"/>
    </w:rPr>
  </w:style>
  <w:style w:type="character" w:styleId="HTMLDefinition">
    <w:name w:val="HTML Definition"/>
    <w:basedOn w:val="DefaultParagraphFont"/>
    <w:semiHidden/>
    <w:unhideWhenUsed/>
    <w:rsid w:val="00CB7617"/>
    <w:rPr>
      <w:i/>
      <w:iCs/>
    </w:rPr>
  </w:style>
  <w:style w:type="character" w:styleId="HTMLKeyboard">
    <w:name w:val="HTML Keyboard"/>
    <w:basedOn w:val="DefaultParagraphFont"/>
    <w:semiHidden/>
    <w:unhideWhenUsed/>
    <w:rsid w:val="00CB7617"/>
    <w:rPr>
      <w:rFonts w:ascii="Consolas" w:hAnsi="Consolas"/>
      <w:sz w:val="20"/>
      <w:szCs w:val="20"/>
    </w:rPr>
  </w:style>
  <w:style w:type="character" w:styleId="HTMLSample">
    <w:name w:val="HTML Sample"/>
    <w:basedOn w:val="DefaultParagraphFont"/>
    <w:semiHidden/>
    <w:unhideWhenUsed/>
    <w:rsid w:val="00CB7617"/>
    <w:rPr>
      <w:rFonts w:ascii="Consolas" w:hAnsi="Consolas"/>
      <w:sz w:val="24"/>
      <w:szCs w:val="24"/>
    </w:rPr>
  </w:style>
  <w:style w:type="character" w:styleId="HTMLTypewriter">
    <w:name w:val="HTML Typewriter"/>
    <w:basedOn w:val="DefaultParagraphFont"/>
    <w:semiHidden/>
    <w:unhideWhenUsed/>
    <w:rsid w:val="00CB7617"/>
    <w:rPr>
      <w:rFonts w:ascii="Consolas" w:hAnsi="Consolas"/>
      <w:sz w:val="20"/>
      <w:szCs w:val="20"/>
    </w:rPr>
  </w:style>
  <w:style w:type="character" w:styleId="HTMLVariable">
    <w:name w:val="HTML Variable"/>
    <w:basedOn w:val="DefaultParagraphFont"/>
    <w:semiHidden/>
    <w:unhideWhenUsed/>
    <w:rsid w:val="00CB7617"/>
    <w:rPr>
      <w:i/>
      <w:iCs/>
    </w:rPr>
  </w:style>
  <w:style w:type="paragraph" w:styleId="Index4">
    <w:name w:val="index 4"/>
    <w:basedOn w:val="Normal"/>
    <w:next w:val="Normal"/>
    <w:autoRedefine/>
    <w:semiHidden/>
    <w:unhideWhenUsed/>
    <w:rsid w:val="00CB7617"/>
    <w:pPr>
      <w:spacing w:after="0" w:line="240" w:lineRule="auto"/>
      <w:ind w:left="960" w:hanging="240"/>
    </w:pPr>
    <w:rPr>
      <w:rFonts w:eastAsia="Times New Roman" w:cs="Times New Roman"/>
      <w:szCs w:val="20"/>
    </w:rPr>
  </w:style>
  <w:style w:type="paragraph" w:styleId="Index5">
    <w:name w:val="index 5"/>
    <w:basedOn w:val="Normal"/>
    <w:next w:val="Normal"/>
    <w:autoRedefine/>
    <w:semiHidden/>
    <w:unhideWhenUsed/>
    <w:rsid w:val="00CB7617"/>
    <w:pPr>
      <w:spacing w:after="0" w:line="240" w:lineRule="auto"/>
      <w:ind w:left="1200" w:hanging="240"/>
    </w:pPr>
    <w:rPr>
      <w:rFonts w:eastAsia="Times New Roman" w:cs="Times New Roman"/>
      <w:szCs w:val="20"/>
    </w:rPr>
  </w:style>
  <w:style w:type="paragraph" w:styleId="Index6">
    <w:name w:val="index 6"/>
    <w:basedOn w:val="Normal"/>
    <w:next w:val="Normal"/>
    <w:autoRedefine/>
    <w:semiHidden/>
    <w:unhideWhenUsed/>
    <w:rsid w:val="00CB7617"/>
    <w:pPr>
      <w:spacing w:after="0" w:line="240" w:lineRule="auto"/>
      <w:ind w:left="1440" w:hanging="240"/>
    </w:pPr>
    <w:rPr>
      <w:rFonts w:eastAsia="Times New Roman" w:cs="Times New Roman"/>
      <w:szCs w:val="20"/>
    </w:rPr>
  </w:style>
  <w:style w:type="paragraph" w:styleId="Index7">
    <w:name w:val="index 7"/>
    <w:basedOn w:val="Normal"/>
    <w:next w:val="Normal"/>
    <w:autoRedefine/>
    <w:semiHidden/>
    <w:unhideWhenUsed/>
    <w:rsid w:val="00CB7617"/>
    <w:pPr>
      <w:spacing w:after="0" w:line="240" w:lineRule="auto"/>
      <w:ind w:left="1680" w:hanging="240"/>
    </w:pPr>
    <w:rPr>
      <w:rFonts w:eastAsia="Times New Roman" w:cs="Times New Roman"/>
      <w:szCs w:val="20"/>
    </w:rPr>
  </w:style>
  <w:style w:type="paragraph" w:styleId="Index8">
    <w:name w:val="index 8"/>
    <w:basedOn w:val="Normal"/>
    <w:next w:val="Normal"/>
    <w:autoRedefine/>
    <w:semiHidden/>
    <w:unhideWhenUsed/>
    <w:rsid w:val="00CB7617"/>
    <w:pPr>
      <w:spacing w:after="0" w:line="240" w:lineRule="auto"/>
      <w:ind w:left="1920" w:hanging="240"/>
    </w:pPr>
    <w:rPr>
      <w:rFonts w:eastAsia="Times New Roman" w:cs="Times New Roman"/>
      <w:szCs w:val="20"/>
    </w:rPr>
  </w:style>
  <w:style w:type="paragraph" w:styleId="Index9">
    <w:name w:val="index 9"/>
    <w:basedOn w:val="Normal"/>
    <w:next w:val="Normal"/>
    <w:autoRedefine/>
    <w:semiHidden/>
    <w:unhideWhenUsed/>
    <w:rsid w:val="00CB7617"/>
    <w:pPr>
      <w:spacing w:after="0" w:line="240" w:lineRule="auto"/>
      <w:ind w:left="2160" w:hanging="240"/>
    </w:pPr>
    <w:rPr>
      <w:rFonts w:eastAsia="Times New Roman" w:cs="Times New Roman"/>
      <w:szCs w:val="20"/>
    </w:rPr>
  </w:style>
  <w:style w:type="paragraph" w:styleId="IntenseQuote">
    <w:name w:val="Intense Quote"/>
    <w:basedOn w:val="Normal"/>
    <w:next w:val="Normal"/>
    <w:link w:val="IntenseQuoteChar"/>
    <w:semiHidden/>
    <w:unhideWhenUsed/>
    <w:qFormat/>
    <w:rsid w:val="00CB7617"/>
    <w:pPr>
      <w:pBdr>
        <w:top w:val="single" w:sz="4" w:space="10" w:color="DDDDDD" w:themeColor="accent1"/>
        <w:bottom w:val="single" w:sz="4" w:space="10" w:color="DDDDDD" w:themeColor="accent1"/>
      </w:pBdr>
      <w:spacing w:before="360" w:after="360"/>
      <w:ind w:left="864" w:right="864"/>
      <w:jc w:val="center"/>
    </w:pPr>
    <w:rPr>
      <w:rFonts w:eastAsia="Times New Roman" w:cs="Times New Roman"/>
      <w:i/>
      <w:iCs/>
      <w:color w:val="DDDDDD" w:themeColor="accent1"/>
      <w:szCs w:val="20"/>
    </w:rPr>
  </w:style>
  <w:style w:type="character" w:customStyle="1" w:styleId="IntenseQuoteChar">
    <w:name w:val="Intense Quote Char"/>
    <w:basedOn w:val="DefaultParagraphFont"/>
    <w:link w:val="IntenseQuote"/>
    <w:semiHidden/>
    <w:rsid w:val="00CB7617"/>
    <w:rPr>
      <w:rFonts w:eastAsia="Times New Roman" w:cs="Times New Roman"/>
      <w:i/>
      <w:iCs/>
      <w:color w:val="DDDDDD" w:themeColor="accent1"/>
      <w:sz w:val="24"/>
      <w:szCs w:val="20"/>
    </w:rPr>
  </w:style>
  <w:style w:type="character" w:styleId="LineNumber">
    <w:name w:val="line number"/>
    <w:basedOn w:val="DefaultParagraphFont"/>
    <w:semiHidden/>
    <w:unhideWhenUsed/>
    <w:rsid w:val="00CB7617"/>
  </w:style>
  <w:style w:type="paragraph" w:styleId="ListContinue4">
    <w:name w:val="List Continue 4"/>
    <w:basedOn w:val="Normal"/>
    <w:rsid w:val="00CB7617"/>
    <w:pPr>
      <w:spacing w:before="120" w:after="120"/>
      <w:ind w:left="1440"/>
    </w:pPr>
    <w:rPr>
      <w:rFonts w:eastAsia="Times New Roman" w:cs="Times New Roman"/>
      <w:szCs w:val="20"/>
    </w:rPr>
  </w:style>
  <w:style w:type="paragraph" w:styleId="ListContinue5">
    <w:name w:val="List Continue 5"/>
    <w:basedOn w:val="Normal"/>
    <w:unhideWhenUsed/>
    <w:rsid w:val="00CB7617"/>
    <w:pPr>
      <w:spacing w:before="120" w:after="120"/>
      <w:ind w:left="1800"/>
      <w:contextualSpacing/>
    </w:pPr>
    <w:rPr>
      <w:rFonts w:eastAsia="Times New Roman" w:cs="Times New Roman"/>
      <w:szCs w:val="20"/>
    </w:rPr>
  </w:style>
  <w:style w:type="character" w:styleId="Mention">
    <w:name w:val="Mention"/>
    <w:basedOn w:val="DefaultParagraphFont"/>
    <w:semiHidden/>
    <w:unhideWhenUsed/>
    <w:rsid w:val="00CB7617"/>
    <w:rPr>
      <w:color w:val="2B579A"/>
      <w:shd w:val="clear" w:color="auto" w:fill="E1DFDD"/>
    </w:rPr>
  </w:style>
  <w:style w:type="paragraph" w:styleId="MessageHeader">
    <w:name w:val="Message Header"/>
    <w:basedOn w:val="Normal"/>
    <w:link w:val="MessageHeaderChar"/>
    <w:semiHidden/>
    <w:unhideWhenUsed/>
    <w:rsid w:val="00CB761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semiHidden/>
    <w:rsid w:val="00CB7617"/>
    <w:rPr>
      <w:rFonts w:asciiTheme="majorHAnsi" w:eastAsiaTheme="majorEastAsia" w:hAnsiTheme="majorHAnsi" w:cstheme="majorBidi"/>
      <w:sz w:val="24"/>
      <w:szCs w:val="24"/>
      <w:shd w:val="pct20" w:color="auto" w:fill="auto"/>
    </w:rPr>
  </w:style>
  <w:style w:type="paragraph" w:styleId="NormalWeb">
    <w:name w:val="Normal (Web)"/>
    <w:basedOn w:val="Normal"/>
    <w:semiHidden/>
    <w:unhideWhenUsed/>
    <w:rsid w:val="00CB7617"/>
    <w:rPr>
      <w:rFonts w:ascii="Times New Roman" w:eastAsia="Times New Roman" w:hAnsi="Times New Roman" w:cs="Times New Roman"/>
      <w:szCs w:val="24"/>
    </w:rPr>
  </w:style>
  <w:style w:type="paragraph" w:styleId="NormalIndent">
    <w:name w:val="Normal Indent"/>
    <w:basedOn w:val="Normal"/>
    <w:semiHidden/>
    <w:unhideWhenUsed/>
    <w:rsid w:val="00CB7617"/>
    <w:pPr>
      <w:ind w:left="720"/>
    </w:pPr>
    <w:rPr>
      <w:rFonts w:eastAsia="Times New Roman" w:cs="Times New Roman"/>
      <w:szCs w:val="20"/>
    </w:rPr>
  </w:style>
  <w:style w:type="paragraph" w:styleId="PlainText">
    <w:name w:val="Plain Text"/>
    <w:basedOn w:val="Normal"/>
    <w:link w:val="PlainTextChar"/>
    <w:semiHidden/>
    <w:unhideWhenUsed/>
    <w:rsid w:val="00CB7617"/>
    <w:pPr>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
    <w:semiHidden/>
    <w:rsid w:val="00CB7617"/>
    <w:rPr>
      <w:rFonts w:ascii="Consolas" w:eastAsia="Times New Roman" w:hAnsi="Consolas" w:cs="Times New Roman"/>
      <w:sz w:val="21"/>
      <w:szCs w:val="21"/>
    </w:rPr>
  </w:style>
  <w:style w:type="character" w:styleId="SmartHyperlink">
    <w:name w:val="Smart Hyperlink"/>
    <w:basedOn w:val="DefaultParagraphFont"/>
    <w:semiHidden/>
    <w:unhideWhenUsed/>
    <w:rsid w:val="00CB7617"/>
    <w:rPr>
      <w:u w:val="dotted"/>
    </w:rPr>
  </w:style>
  <w:style w:type="character" w:styleId="SmartLink">
    <w:name w:val="Smart Link"/>
    <w:basedOn w:val="DefaultParagraphFont"/>
    <w:semiHidden/>
    <w:unhideWhenUsed/>
    <w:rsid w:val="00CB7617"/>
    <w:rPr>
      <w:color w:val="0000FF"/>
      <w:u w:val="single"/>
      <w:shd w:val="clear" w:color="auto" w:fill="F3F2F1"/>
    </w:rPr>
  </w:style>
  <w:style w:type="character" w:styleId="Strong">
    <w:name w:val="Strong"/>
    <w:basedOn w:val="DefaultParagraphFont"/>
    <w:semiHidden/>
    <w:qFormat/>
    <w:rsid w:val="00CB7617"/>
    <w:rPr>
      <w:b/>
      <w:bCs/>
    </w:rPr>
  </w:style>
  <w:style w:type="character" w:styleId="SubtleEmphasis">
    <w:name w:val="Subtle Emphasis"/>
    <w:basedOn w:val="DefaultParagraphFont"/>
    <w:semiHidden/>
    <w:qFormat/>
    <w:rsid w:val="00CB7617"/>
    <w:rPr>
      <w:i/>
      <w:iCs/>
      <w:color w:val="404040" w:themeColor="text1" w:themeTint="BF"/>
    </w:rPr>
  </w:style>
  <w:style w:type="character" w:styleId="SubtleReference">
    <w:name w:val="Subtle Reference"/>
    <w:basedOn w:val="DefaultParagraphFont"/>
    <w:semiHidden/>
    <w:qFormat/>
    <w:rsid w:val="00CB7617"/>
    <w:rPr>
      <w:smallCaps/>
      <w:color w:val="5A5A5A" w:themeColor="text1" w:themeTint="A5"/>
    </w:rPr>
  </w:style>
  <w:style w:type="paragraph" w:styleId="TableofAuthorities">
    <w:name w:val="table of authorities"/>
    <w:basedOn w:val="Normal"/>
    <w:next w:val="Normal"/>
    <w:semiHidden/>
    <w:unhideWhenUsed/>
    <w:rsid w:val="00CB7617"/>
    <w:pPr>
      <w:spacing w:after="0"/>
      <w:ind w:left="240" w:hanging="240"/>
    </w:pPr>
    <w:rPr>
      <w:rFonts w:eastAsia="Times New Roman" w:cs="Times New Roman"/>
      <w:szCs w:val="20"/>
    </w:rPr>
  </w:style>
  <w:style w:type="paragraph" w:styleId="TOAHeading">
    <w:name w:val="toa heading"/>
    <w:basedOn w:val="Normal"/>
    <w:next w:val="Normal"/>
    <w:semiHidden/>
    <w:unhideWhenUsed/>
    <w:rsid w:val="00CB7617"/>
    <w:pPr>
      <w:spacing w:before="120"/>
    </w:pPr>
    <w:rPr>
      <w:rFonts w:asciiTheme="majorHAnsi" w:eastAsiaTheme="majorEastAsia" w:hAnsiTheme="majorHAnsi" w:cstheme="majorBidi"/>
      <w:b/>
      <w:bCs/>
      <w:szCs w:val="24"/>
    </w:rPr>
  </w:style>
  <w:style w:type="paragraph" w:styleId="TOC6">
    <w:name w:val="toc 6"/>
    <w:basedOn w:val="Normal"/>
    <w:next w:val="Normal"/>
    <w:autoRedefine/>
    <w:semiHidden/>
    <w:unhideWhenUsed/>
    <w:rsid w:val="00CB7617"/>
    <w:pPr>
      <w:spacing w:after="100"/>
      <w:ind w:left="1200"/>
    </w:pPr>
    <w:rPr>
      <w:rFonts w:eastAsia="Times New Roman" w:cs="Times New Roman"/>
      <w:szCs w:val="20"/>
    </w:rPr>
  </w:style>
  <w:style w:type="paragraph" w:styleId="TOC7">
    <w:name w:val="toc 7"/>
    <w:basedOn w:val="Normal"/>
    <w:next w:val="Normal"/>
    <w:autoRedefine/>
    <w:semiHidden/>
    <w:unhideWhenUsed/>
    <w:rsid w:val="00CB7617"/>
    <w:pPr>
      <w:spacing w:after="100"/>
      <w:ind w:left="1440"/>
    </w:pPr>
    <w:rPr>
      <w:rFonts w:eastAsia="Times New Roman" w:cs="Times New Roman"/>
      <w:szCs w:val="20"/>
    </w:rPr>
  </w:style>
  <w:style w:type="paragraph" w:styleId="TOC9">
    <w:name w:val="toc 9"/>
    <w:basedOn w:val="Normal"/>
    <w:next w:val="Normal"/>
    <w:autoRedefine/>
    <w:semiHidden/>
    <w:unhideWhenUsed/>
    <w:rsid w:val="00CB7617"/>
    <w:pPr>
      <w:spacing w:after="100"/>
      <w:ind w:left="1920"/>
    </w:pPr>
    <w:rPr>
      <w:rFonts w:eastAsia="Times New Roman" w:cs="Times New Roman"/>
      <w:szCs w:val="20"/>
    </w:rPr>
  </w:style>
  <w:style w:type="paragraph" w:customStyle="1" w:styleId="FootnoteSep">
    <w:name w:val="Footnote Sep"/>
    <w:basedOn w:val="Normal"/>
    <w:qFormat/>
    <w:rsid w:val="00CB7617"/>
    <w:pPr>
      <w:pBdr>
        <w:top w:val="single" w:sz="4" w:space="1" w:color="auto"/>
      </w:pBdr>
      <w:spacing w:before="0" w:after="0" w:line="240" w:lineRule="auto"/>
    </w:pPr>
    <w:rPr>
      <w:sz w:val="4"/>
    </w:rPr>
  </w:style>
  <w:style w:type="paragraph" w:customStyle="1" w:styleId="ListBullet2Appendix">
    <w:name w:val="List Bullet 2 Appendix"/>
    <w:basedOn w:val="Normal"/>
    <w:qFormat/>
    <w:rsid w:val="00CB7617"/>
    <w:pPr>
      <w:numPr>
        <w:numId w:val="36"/>
      </w:numPr>
      <w:spacing w:before="120" w:after="120"/>
    </w:pPr>
  </w:style>
  <w:style w:type="character" w:customStyle="1" w:styleId="ListParagraphChar">
    <w:name w:val="List Paragraph Char"/>
    <w:link w:val="ListParagraph"/>
    <w:locked/>
    <w:rsid w:val="008F7153"/>
    <w:rPr>
      <w:sz w:val="24"/>
    </w:rPr>
  </w:style>
  <w:style w:type="table" w:customStyle="1" w:styleId="TableGrid21">
    <w:name w:val="Table Grid21"/>
    <w:basedOn w:val="TableNormal"/>
    <w:uiPriority w:val="99"/>
    <w:rsid w:val="008F71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Report">
    <w:name w:val="1115 Report"/>
    <w:basedOn w:val="GridTableLight"/>
    <w:uiPriority w:val="99"/>
    <w:rsid w:val="00CB7617"/>
    <w:tblPr>
      <w:tblBorders>
        <w:top w:val="none" w:sz="0" w:space="0" w:color="auto"/>
        <w:left w:val="none" w:sz="0" w:space="0" w:color="auto"/>
        <w:bottom w:val="single" w:sz="4" w:space="0" w:color="auto"/>
        <w:right w:val="none" w:sz="0" w:space="0" w:color="auto"/>
        <w:insideH w:val="single" w:sz="6" w:space="0" w:color="A6A6A6" w:themeColor="background1" w:themeShade="A6"/>
        <w:insideV w:val="single" w:sz="6" w:space="0" w:color="A6A6A6" w:themeColor="background1" w:themeShade="A6"/>
      </w:tblBorders>
    </w:tblPr>
    <w:tblStylePr w:type="firstRow">
      <w:pPr>
        <w:jc w:val="left"/>
      </w:pPr>
      <w:rPr>
        <w:b/>
      </w:rPr>
      <w:tblPr/>
      <w:tcPr>
        <w:shd w:val="clear" w:color="auto" w:fill="595959" w:themeFill="text1" w:themeFillTint="A6"/>
        <w:vAlign w:val="bottom"/>
      </w:tcPr>
    </w:tblStylePr>
    <w:tblStylePr w:type="firstCol">
      <w:rPr>
        <w:b w:val="0"/>
      </w:rPr>
    </w:tblStylePr>
  </w:style>
  <w:style w:type="paragraph" w:customStyle="1" w:styleId="TableTextLeftHang">
    <w:name w:val="Table Text Left Hang"/>
    <w:basedOn w:val="TableHeaderLeft"/>
    <w:qFormat/>
    <w:rsid w:val="00CB7617"/>
    <w:pPr>
      <w:keepNext w:val="0"/>
      <w:tabs>
        <w:tab w:val="left" w:pos="720"/>
      </w:tabs>
      <w:ind w:left="720" w:hanging="720"/>
    </w:pPr>
    <w:rPr>
      <w:rFonts w:eastAsiaTheme="minorEastAsia"/>
      <w:color w:val="auto"/>
      <w:szCs w:val="24"/>
    </w:rPr>
  </w:style>
  <w:style w:type="paragraph" w:customStyle="1" w:styleId="TableTextLeftHang2">
    <w:name w:val="Table Text Left Hang 2"/>
    <w:basedOn w:val="TableTextLeftHang"/>
    <w:qFormat/>
    <w:rsid w:val="00CB7617"/>
    <w:pPr>
      <w:tabs>
        <w:tab w:val="clear" w:pos="720"/>
      </w:tabs>
      <w:ind w:left="1590" w:hanging="907"/>
    </w:pPr>
  </w:style>
  <w:style w:type="paragraph" w:customStyle="1" w:styleId="TableRowHead2">
    <w:name w:val="Table Row Head 2"/>
    <w:basedOn w:val="TableRowHead"/>
    <w:qFormat/>
    <w:rsid w:val="00CB7617"/>
    <w:pPr>
      <w:pageBreakBefore w:val="0"/>
      <w:widowContro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ustomXml" Target="../customXml/item7.xm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glossaryDocument" Target="glossary/document.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SUD_ProtocolAndInstr.v4_Template.dotm"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CFAC23E8BE3442D5A5636A3E5B999E5F"/>
        <w:category>
          <w:name w:val="General"/>
          <w:gallery w:val="placeholder"/>
        </w:category>
        <w:types>
          <w:type w:val="bbPlcHdr"/>
        </w:types>
        <w:behaviors>
          <w:behavior w:val="content"/>
        </w:behaviors>
        <w:guid w:val="{E63A814C-83F0-4E94-930E-2F613822080F}"/>
      </w:docPartPr>
      <w:docPartBody>
        <w:p w:rsidR="006E514A" w:rsidP="00E04D42">
          <w:pPr>
            <w:pStyle w:val="CFAC23E8BE3442D5A5636A3E5B999E5F"/>
          </w:pPr>
          <w:r>
            <w:t>[</w:t>
          </w:r>
          <w:r>
            <w:rPr>
              <w:rStyle w:val="PlaceholderText"/>
            </w:rPr>
            <w:t>Local Operating Agency]</w:t>
          </w:r>
        </w:p>
      </w:docPartBody>
    </w:docPart>
    <w:docPart>
      <w:docPartPr>
        <w:name w:val="D3F0B02BBB3F477E9962221E5E773B09"/>
        <w:category>
          <w:name w:val="General"/>
          <w:gallery w:val="placeholder"/>
        </w:category>
        <w:types>
          <w:type w:val="bbPlcHdr"/>
        </w:types>
        <w:behaviors>
          <w:behavior w:val="content"/>
        </w:behaviors>
        <w:guid w:val="{B8FA1853-0C19-4F66-86D3-D8B8E3374D5B}"/>
      </w:docPartPr>
      <w:docPartBody>
        <w:p w:rsidR="006E514A" w:rsidP="00E04D42">
          <w:pPr>
            <w:pStyle w:val="D3F0B02BBB3F477E9962221E5E773B09"/>
          </w:pPr>
          <w:r>
            <w:t>[</w:t>
          </w:r>
          <w:r>
            <w:rPr>
              <w:rStyle w:val="PlaceholderText"/>
            </w:rPr>
            <w:t>Local Operating Agency]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1" w:formatting="0" w:inkAnnotations="1"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42"/>
    <w:rsid w:val="0063048D"/>
    <w:rsid w:val="006E514A"/>
    <w:rsid w:val="009637A5"/>
    <w:rsid w:val="00A40950"/>
    <w:rsid w:val="00E04D4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4D42"/>
  </w:style>
  <w:style w:type="paragraph" w:customStyle="1" w:styleId="CFAC23E8BE3442D5A5636A3E5B999E5F">
    <w:name w:val="CFAC23E8BE3442D5A5636A3E5B999E5F"/>
    <w:rsid w:val="00E04D42"/>
  </w:style>
  <w:style w:type="paragraph" w:customStyle="1" w:styleId="D3F0B02BBB3F477E9962221E5E773B09">
    <w:name w:val="D3F0B02BBB3F477E9962221E5E773B09"/>
    <w:rsid w:val="00E04D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MathematicaUniversal">
  <a:themeElements>
    <a:clrScheme name="Custom 50">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0070C0"/>
      </a:hlink>
      <a:folHlink>
        <a:srgbClr val="7030A0"/>
      </a:folHlink>
    </a:clrScheme>
    <a:fontScheme name="Custom 10">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144ea41b-304c-4c03-99c4-debb02094f92">CMCS-1991798186-3138</_dlc_DocId>
    <_dlc_DocIdUrl xmlns="144ea41b-304c-4c03-99c4-debb02094f92">
      <Url>https://share.cms.gov/center/CMCS/SDG/DDME/_layouts/15/DocIdRedir.aspx?ID=CMCS-1991798186-3138</Url>
      <Description>CMCS-1991798186-3138</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004E3AC027CD874897EE2A576BC3515A" ma:contentTypeVersion="21" ma:contentTypeDescription="Create a new document." ma:contentTypeScope="" ma:versionID="fdd06b02f4690fa36d8b79f97e35c0c4">
  <xsd:schema xmlns:xsd="http://www.w3.org/2001/XMLSchema" xmlns:xs="http://www.w3.org/2001/XMLSchema" xmlns:p="http://schemas.microsoft.com/office/2006/metadata/properties" xmlns:ns1="http://schemas.microsoft.com/sharepoint/v3" xmlns:ns2="a5dcf2a9-f497-4e01-bf3e-c5ad0e7f1b88" xmlns:ns3="144ea41b-304c-4c03-99c4-debb02094f92" targetNamespace="http://schemas.microsoft.com/office/2006/metadata/properties" ma:root="true" ma:fieldsID="69332dc6c668266ad7e1ddf7aa8b729f" ns1:_="" ns2:_="" ns3:_="">
    <xsd:import namespace="http://schemas.microsoft.com/sharepoint/v3"/>
    <xsd:import namespace="a5dcf2a9-f497-4e01-bf3e-c5ad0e7f1b88"/>
    <xsd:import namespace="144ea41b-304c-4c03-99c4-debb02094f92"/>
    <xsd:element name="properties">
      <xsd:complexType>
        <xsd:sequence>
          <xsd:element name="documentManagement">
            <xsd:complexType>
              <xsd:all>
                <xsd:element ref="ns1:PublishingExpirationDate" minOccurs="0"/>
                <xsd:element ref="ns1:PublishingStartDate" minOccurs="0"/>
                <xsd:element ref="ns2:SharedWithUser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8"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PublishingStartDate" ma:index="9"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5dcf2a9-f497-4e01-bf3e-c5ad0e7f1b8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4ea41b-304c-4c03-99c4-debb02094f92"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86a8e296-5f29-4af2-954b-0de0d1e1f8bc" ContentTypeId="0x0101"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2C07561-36AE-4B43-AF12-043136E5308F}">
  <ds:schemaRefs>
    <ds:schemaRef ds:uri="http://schemas.microsoft.com/sharepoint/v3/contenttype/forms"/>
  </ds:schemaRefs>
</ds:datastoreItem>
</file>

<file path=customXml/itemProps3.xml><?xml version="1.0" encoding="utf-8"?>
<ds:datastoreItem xmlns:ds="http://schemas.openxmlformats.org/officeDocument/2006/customXml" ds:itemID="{D605ED44-7CD2-44B2-BBBE-381E33FB90B6}">
  <ds:schemaRefs>
    <ds:schemaRef ds:uri="http://schemas.microsoft.com/sharepoint/events"/>
  </ds:schemaRefs>
</ds:datastoreItem>
</file>

<file path=customXml/itemProps4.xml><?xml version="1.0" encoding="utf-8"?>
<ds:datastoreItem xmlns:ds="http://schemas.openxmlformats.org/officeDocument/2006/customXml" ds:itemID="{0B08E2AD-EA2F-4135-A93D-BCCCA782B858}">
  <ds:schemaRefs>
    <ds:schemaRef ds:uri="http://purl.org/dc/terms/"/>
    <ds:schemaRef ds:uri="http://schemas.microsoft.com/office/2006/documentManagement/types"/>
    <ds:schemaRef ds:uri="a5dcf2a9-f497-4e01-bf3e-c5ad0e7f1b88"/>
    <ds:schemaRef ds:uri="http://purl.org/dc/dcmitype/"/>
    <ds:schemaRef ds:uri="http://www.w3.org/XML/1998/namespace"/>
    <ds:schemaRef ds:uri="http://schemas.microsoft.com/office/infopath/2007/PartnerControls"/>
    <ds:schemaRef ds:uri="http://schemas.openxmlformats.org/package/2006/metadata/core-properties"/>
    <ds:schemaRef ds:uri="http://purl.org/dc/elements/1.1/"/>
    <ds:schemaRef ds:uri="144ea41b-304c-4c03-99c4-debb02094f92"/>
    <ds:schemaRef ds:uri="http://schemas.microsoft.com/sharepoint/v3"/>
    <ds:schemaRef ds:uri="http://schemas.microsoft.com/office/2006/metadata/properties"/>
  </ds:schemaRefs>
</ds:datastoreItem>
</file>

<file path=customXml/itemProps5.xml><?xml version="1.0" encoding="utf-8"?>
<ds:datastoreItem xmlns:ds="http://schemas.openxmlformats.org/officeDocument/2006/customXml" ds:itemID="{E709E40F-92B0-46CD-B27F-4E3634A7A1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dcf2a9-f497-4e01-bf3e-c5ad0e7f1b88"/>
    <ds:schemaRef ds:uri="144ea41b-304c-4c03-99c4-debb02094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960A6D3-6519-4F7C-977F-0CE61A174C60}">
  <ds:schemaRefs>
    <ds:schemaRef ds:uri="Microsoft.SharePoint.Taxonomy.ContentTypeSync"/>
  </ds:schemaRefs>
</ds:datastoreItem>
</file>

<file path=customXml/itemProps7.xml><?xml version="1.0" encoding="utf-8"?>
<ds:datastoreItem xmlns:ds="http://schemas.openxmlformats.org/officeDocument/2006/customXml" ds:itemID="{1E38413F-0A03-4554-87A8-23B00226B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SUD_ProtocolAndInstr.v4_Template.dotm</Template>
  <TotalTime>0</TotalTime>
  <Pages>23</Pages>
  <Words>3231</Words>
  <Characters>18423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Medicaid Section 1115 Serious Mental Illness and Serious Emotional Disturbance (SMI/SED) Demonstrations Monitoring Report Template (Version 3.0)</vt:lpstr>
    </vt:vector>
  </TitlesOfParts>
  <Company/>
  <LinksUpToDate>false</LinksUpToDate>
  <CharactersWithSpaces>21611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Medicaid Section 1115 Serious Mental Illness and Serious Emotional Disturbance (SMI/SED) Demonstrations Monitoring Report Template (Version 3.0)</dc:title>
  <dc:subject>Serious Mental Illness/Serious Emotional Disturbance Demonstrations Monitoring Report Template</dc:subject>
  <dc:creator>Centers for Medicare &amp; Medicaid Services</dc:creator>
  <cp:keywords>Medicaid, serious mental illness, serious emotional disturbance, SMI, SED, monitoring, report, Section 1115</cp:keywords>
  <cp:lastModifiedBy>Margaret Hallisey</cp:lastModifiedBy>
  <cp:revision>3</cp:revision>
  <cp:lastPrinted>2020-03-12T20:11:00Z</cp:lastPrinted>
  <dcterms:created xsi:type="dcterms:W3CDTF">2021-06-09T18:10:00Z</dcterms:created>
  <dcterms:modified xsi:type="dcterms:W3CDTF">2021-06-14T16:48:00Z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0x010100004E3AC027CD874897EE2A576BC3515A</vt:lpwstr>
  </property>
  <property fmtid="{D5CDD505-2E9C-101B-9397-08002B2CF9AE}" pid="3" name="Document Version">
    <vt:lpwstr>Working</vt:lpwstr>
  </property>
  <property fmtid="{D5CDD505-2E9C-101B-9397-08002B2CF9AE}" pid="4" name="Project Deliverable">
    <vt:lpwstr>All</vt:lpwstr>
  </property>
  <property fmtid="{D5CDD505-2E9C-101B-9397-08002B2CF9AE}" pid="5" name="Template Category">
    <vt:lpwstr>MSW Interior text</vt:lpwstr>
  </property>
  <property fmtid="{D5CDD505-2E9C-101B-9397-08002B2CF9AE}" pid="6" name="Template Notes">
    <vt:lpwstr>Will be renamed before rollout. this will be the key Template upon which proposal and custom templates will be based.</vt:lpwstr>
  </property>
  <property fmtid="{D5CDD505-2E9C-101B-9397-08002B2CF9AE}" pid="7" name="_dlc_DocIdItemGuid">
    <vt:lpwstr>dc1a9fcf-7e6e-4d1f-9ded-c6cb3c82b401</vt:lpwstr>
  </property>
</Properties>
</file>