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7DBD" w:rsidR="00DF098E" w:rsidP="008111D2" w:rsidRDefault="00521033" w14:paraId="2FCE73FC" w14:textId="7009BF7A">
      <w:pPr>
        <w:spacing w:after="0" w:line="240" w:lineRule="auto"/>
        <w:jc w:val="center"/>
        <w:rPr>
          <w:szCs w:val="24"/>
        </w:rPr>
      </w:pPr>
      <w:r w:rsidRPr="00367DBD">
        <w:rPr>
          <w:szCs w:val="24"/>
        </w:rPr>
        <w:t>Generic</w:t>
      </w:r>
      <w:r w:rsidRPr="00367DBD" w:rsidR="002061CC">
        <w:rPr>
          <w:szCs w:val="24"/>
        </w:rPr>
        <w:t xml:space="preserve"> Supporting Statement </w:t>
      </w:r>
    </w:p>
    <w:p w:rsidRPr="00364E8C" w:rsidR="00521033" w:rsidP="00364E8C" w:rsidRDefault="00521033" w14:paraId="7BA39BDE" w14:textId="77777777">
      <w:pPr>
        <w:spacing w:after="0"/>
        <w:jc w:val="center"/>
        <w:rPr>
          <w:rFonts w:cs="Times New Roman"/>
          <w:szCs w:val="24"/>
        </w:rPr>
      </w:pPr>
      <w:r w:rsidRPr="00364E8C">
        <w:rPr>
          <w:rFonts w:cs="Times New Roman"/>
          <w:szCs w:val="24"/>
        </w:rPr>
        <w:t>Clearance for Medicaid and CHIP State Plan, Waiver, and Program Submissions</w:t>
      </w:r>
    </w:p>
    <w:p w:rsidRPr="008111D2" w:rsidR="009E3FAC" w:rsidP="00364E8C" w:rsidRDefault="00521033" w14:paraId="37D127B4" w14:textId="3F889823">
      <w:pPr>
        <w:spacing w:after="0"/>
        <w:jc w:val="center"/>
        <w:rPr>
          <w:rFonts w:cs="Times New Roman"/>
          <w:szCs w:val="24"/>
        </w:rPr>
      </w:pPr>
      <w:r w:rsidRPr="00364E8C">
        <w:rPr>
          <w:rFonts w:cs="Times New Roman"/>
          <w:szCs w:val="24"/>
        </w:rPr>
        <w:t>(CMS-10398, OMB 0938-1148)</w:t>
      </w:r>
    </w:p>
    <w:p w:rsidR="007D6E75" w:rsidP="008111D2" w:rsidRDefault="007D6E75" w14:paraId="6DED056C" w14:textId="77777777">
      <w:pPr>
        <w:spacing w:after="0" w:line="240" w:lineRule="auto"/>
        <w:jc w:val="center"/>
        <w:rPr>
          <w:b/>
          <w:szCs w:val="24"/>
        </w:rPr>
      </w:pPr>
    </w:p>
    <w:p w:rsidRPr="008111D2" w:rsidR="00521033" w:rsidP="008111D2" w:rsidRDefault="00521033" w14:paraId="16083A33" w14:textId="77777777">
      <w:pPr>
        <w:spacing w:after="0" w:line="240" w:lineRule="auto"/>
        <w:jc w:val="center"/>
        <w:rPr>
          <w:b/>
          <w:szCs w:val="24"/>
        </w:rPr>
      </w:pPr>
    </w:p>
    <w:p w:rsidR="007D6E75" w:rsidP="008111D2" w:rsidRDefault="00367DBD" w14:paraId="38F5E2B1" w14:textId="122C6744">
      <w:pPr>
        <w:spacing w:after="0" w:line="240" w:lineRule="auto"/>
        <w:jc w:val="center"/>
        <w:rPr>
          <w:b/>
          <w:szCs w:val="24"/>
        </w:rPr>
      </w:pPr>
      <w:r>
        <w:rPr>
          <w:b/>
          <w:szCs w:val="24"/>
        </w:rPr>
        <w:t xml:space="preserve">Generic </w:t>
      </w:r>
      <w:r w:rsidR="00521033">
        <w:rPr>
          <w:b/>
          <w:szCs w:val="24"/>
        </w:rPr>
        <w:t xml:space="preserve">Information </w:t>
      </w:r>
      <w:r w:rsidRPr="00DE7E58" w:rsidR="00521033">
        <w:rPr>
          <w:b/>
          <w:szCs w:val="24"/>
        </w:rPr>
        <w:t xml:space="preserve">Collection # </w:t>
      </w:r>
      <w:r w:rsidRPr="00DE7E58" w:rsidR="007F18CA">
        <w:rPr>
          <w:b/>
          <w:szCs w:val="24"/>
        </w:rPr>
        <w:t>66</w:t>
      </w:r>
      <w:r>
        <w:rPr>
          <w:b/>
          <w:szCs w:val="24"/>
        </w:rPr>
        <w:t xml:space="preserve"> (New)</w:t>
      </w:r>
    </w:p>
    <w:p w:rsidR="00F14C35" w:rsidP="008111D2" w:rsidRDefault="00F14C35" w14:paraId="1493A6D0" w14:textId="77777777">
      <w:pPr>
        <w:spacing w:after="0" w:line="240" w:lineRule="auto"/>
        <w:jc w:val="center"/>
        <w:rPr>
          <w:b/>
          <w:szCs w:val="24"/>
        </w:rPr>
      </w:pPr>
      <w:r>
        <w:rPr>
          <w:b/>
          <w:szCs w:val="24"/>
        </w:rPr>
        <w:t xml:space="preserve">Medicaid and Children’s Health Insurance Program Coronavirus </w:t>
      </w:r>
    </w:p>
    <w:p w:rsidR="00F14C35" w:rsidP="008111D2" w:rsidRDefault="00F14C35" w14:paraId="4F5E2AAE" w14:textId="4545C3F9">
      <w:pPr>
        <w:spacing w:after="0" w:line="240" w:lineRule="auto"/>
        <w:jc w:val="center"/>
        <w:rPr>
          <w:b/>
          <w:szCs w:val="24"/>
        </w:rPr>
      </w:pPr>
      <w:r>
        <w:rPr>
          <w:b/>
          <w:szCs w:val="24"/>
        </w:rPr>
        <w:t>Disease 2019 Public Health Emergency</w:t>
      </w:r>
      <w:r w:rsidR="005A0993">
        <w:rPr>
          <w:b/>
          <w:szCs w:val="24"/>
        </w:rPr>
        <w:t xml:space="preserve"> Unwinding Reports</w:t>
      </w:r>
    </w:p>
    <w:p w:rsidR="00B042AD" w:rsidP="008111D2" w:rsidRDefault="00B042AD" w14:paraId="720688A3" w14:textId="77777777">
      <w:pPr>
        <w:spacing w:after="0" w:line="240" w:lineRule="auto"/>
        <w:jc w:val="center"/>
        <w:rPr>
          <w:b/>
          <w:szCs w:val="24"/>
        </w:rPr>
      </w:pPr>
    </w:p>
    <w:p w:rsidRPr="005C06FF" w:rsidR="00F14C35" w:rsidP="0045537E" w:rsidRDefault="00F14C35" w14:paraId="3A9D942B" w14:textId="19A67D8B">
      <w:pPr>
        <w:spacing w:after="0" w:line="240" w:lineRule="auto"/>
        <w:jc w:val="center"/>
        <w:rPr>
          <w:b/>
          <w:szCs w:val="24"/>
        </w:rPr>
      </w:pPr>
      <w:r>
        <w:rPr>
          <w:b/>
          <w:szCs w:val="24"/>
        </w:rPr>
        <w:t xml:space="preserve"> </w:t>
      </w:r>
    </w:p>
    <w:p w:rsidR="00EC73C8" w:rsidP="008111D2" w:rsidRDefault="00EC73C8" w14:paraId="2E227917" w14:textId="77777777">
      <w:pPr>
        <w:spacing w:after="0" w:line="240" w:lineRule="auto"/>
        <w:jc w:val="center"/>
        <w:rPr>
          <w:szCs w:val="24"/>
        </w:rPr>
      </w:pPr>
    </w:p>
    <w:p w:rsidR="00EC73C8" w:rsidP="008111D2" w:rsidRDefault="00EC73C8" w14:paraId="4D29DE4B" w14:textId="77777777">
      <w:pPr>
        <w:spacing w:after="0" w:line="240" w:lineRule="auto"/>
        <w:jc w:val="center"/>
        <w:rPr>
          <w:szCs w:val="24"/>
        </w:rPr>
      </w:pPr>
    </w:p>
    <w:p w:rsidRPr="008111D2" w:rsidR="007D6E75" w:rsidP="008111D2" w:rsidRDefault="00EC73C8" w14:paraId="2DB11DF6" w14:textId="7ABE24E4">
      <w:pPr>
        <w:spacing w:after="0" w:line="240" w:lineRule="auto"/>
        <w:jc w:val="center"/>
        <w:rPr>
          <w:szCs w:val="24"/>
        </w:rPr>
      </w:pPr>
      <w:r w:rsidRPr="003D7F33">
        <w:rPr>
          <w:szCs w:val="24"/>
        </w:rPr>
        <w:t xml:space="preserve">Date: </w:t>
      </w:r>
      <w:r w:rsidRPr="003D7F33" w:rsidR="00644C32">
        <w:rPr>
          <w:szCs w:val="24"/>
        </w:rPr>
        <w:t xml:space="preserve">February </w:t>
      </w:r>
      <w:r w:rsidRPr="003D7F33" w:rsidR="003D7F33">
        <w:rPr>
          <w:szCs w:val="24"/>
        </w:rPr>
        <w:t>24</w:t>
      </w:r>
      <w:r w:rsidRPr="003D7F33" w:rsidR="00644C32">
        <w:rPr>
          <w:szCs w:val="24"/>
        </w:rPr>
        <w:t>, 2022</w:t>
      </w:r>
    </w:p>
    <w:p w:rsidR="007D6E75" w:rsidP="008111D2" w:rsidRDefault="007D6E75" w14:paraId="7ED73111" w14:textId="4C825B8B">
      <w:pPr>
        <w:spacing w:after="0" w:line="240" w:lineRule="auto"/>
        <w:jc w:val="center"/>
        <w:rPr>
          <w:szCs w:val="24"/>
        </w:rPr>
      </w:pPr>
    </w:p>
    <w:p w:rsidR="00367DBD" w:rsidP="008111D2" w:rsidRDefault="00367DBD" w14:paraId="3FFEB40B" w14:textId="294DEDF4">
      <w:pPr>
        <w:spacing w:after="0" w:line="240" w:lineRule="auto"/>
        <w:jc w:val="center"/>
        <w:rPr>
          <w:szCs w:val="24"/>
        </w:rPr>
      </w:pPr>
    </w:p>
    <w:p w:rsidR="00367DBD" w:rsidP="008111D2" w:rsidRDefault="00367DBD" w14:paraId="2DAE68F5" w14:textId="16FD4524">
      <w:pPr>
        <w:spacing w:after="0" w:line="240" w:lineRule="auto"/>
        <w:jc w:val="center"/>
        <w:rPr>
          <w:szCs w:val="24"/>
        </w:rPr>
      </w:pPr>
    </w:p>
    <w:p w:rsidR="00367DBD" w:rsidP="008111D2" w:rsidRDefault="00367DBD" w14:paraId="0D522A28" w14:textId="2427FD3A">
      <w:pPr>
        <w:spacing w:after="0" w:line="240" w:lineRule="auto"/>
        <w:jc w:val="center"/>
        <w:rPr>
          <w:szCs w:val="24"/>
        </w:rPr>
      </w:pPr>
    </w:p>
    <w:p w:rsidR="00367DBD" w:rsidP="008111D2" w:rsidRDefault="00367DBD" w14:paraId="2D2A527E" w14:textId="4BAB7CFF">
      <w:pPr>
        <w:spacing w:after="0" w:line="240" w:lineRule="auto"/>
        <w:jc w:val="center"/>
        <w:rPr>
          <w:szCs w:val="24"/>
        </w:rPr>
      </w:pPr>
    </w:p>
    <w:p w:rsidR="00367DBD" w:rsidP="008111D2" w:rsidRDefault="00367DBD" w14:paraId="0CE71895" w14:textId="18A6CCB8">
      <w:pPr>
        <w:spacing w:after="0" w:line="240" w:lineRule="auto"/>
        <w:jc w:val="center"/>
        <w:rPr>
          <w:szCs w:val="24"/>
        </w:rPr>
      </w:pPr>
    </w:p>
    <w:p w:rsidR="00367DBD" w:rsidP="008111D2" w:rsidRDefault="00367DBD" w14:paraId="52087859" w14:textId="29FDCF71">
      <w:pPr>
        <w:spacing w:after="0" w:line="240" w:lineRule="auto"/>
        <w:jc w:val="center"/>
        <w:rPr>
          <w:szCs w:val="24"/>
        </w:rPr>
      </w:pPr>
    </w:p>
    <w:p w:rsidR="00367DBD" w:rsidP="008111D2" w:rsidRDefault="00367DBD" w14:paraId="090BE51E" w14:textId="286152D1">
      <w:pPr>
        <w:spacing w:after="0" w:line="240" w:lineRule="auto"/>
        <w:jc w:val="center"/>
        <w:rPr>
          <w:szCs w:val="24"/>
        </w:rPr>
      </w:pPr>
    </w:p>
    <w:p w:rsidR="00367DBD" w:rsidP="008111D2" w:rsidRDefault="00367DBD" w14:paraId="38B2E821" w14:textId="4280096A">
      <w:pPr>
        <w:spacing w:after="0" w:line="240" w:lineRule="auto"/>
        <w:jc w:val="center"/>
        <w:rPr>
          <w:szCs w:val="24"/>
        </w:rPr>
      </w:pPr>
    </w:p>
    <w:p w:rsidR="00367DBD" w:rsidP="008111D2" w:rsidRDefault="00367DBD" w14:paraId="44F5EFAA" w14:textId="29F82387">
      <w:pPr>
        <w:spacing w:after="0" w:line="240" w:lineRule="auto"/>
        <w:jc w:val="center"/>
        <w:rPr>
          <w:szCs w:val="24"/>
        </w:rPr>
      </w:pPr>
    </w:p>
    <w:p w:rsidR="00367DBD" w:rsidP="008111D2" w:rsidRDefault="00367DBD" w14:paraId="2F77B28F" w14:textId="1E09DA7D">
      <w:pPr>
        <w:spacing w:after="0" w:line="240" w:lineRule="auto"/>
        <w:jc w:val="center"/>
        <w:rPr>
          <w:szCs w:val="24"/>
        </w:rPr>
      </w:pPr>
    </w:p>
    <w:p w:rsidR="00367DBD" w:rsidP="008111D2" w:rsidRDefault="00367DBD" w14:paraId="7B0FAC46" w14:textId="2350E27B">
      <w:pPr>
        <w:spacing w:after="0" w:line="240" w:lineRule="auto"/>
        <w:jc w:val="center"/>
        <w:rPr>
          <w:szCs w:val="24"/>
        </w:rPr>
      </w:pPr>
    </w:p>
    <w:p w:rsidR="00367DBD" w:rsidP="008111D2" w:rsidRDefault="00367DBD" w14:paraId="710D55A2" w14:textId="279B1699">
      <w:pPr>
        <w:spacing w:after="0" w:line="240" w:lineRule="auto"/>
        <w:jc w:val="center"/>
        <w:rPr>
          <w:szCs w:val="24"/>
        </w:rPr>
      </w:pPr>
    </w:p>
    <w:p w:rsidR="00367DBD" w:rsidP="008111D2" w:rsidRDefault="00367DBD" w14:paraId="03BEB10B" w14:textId="459AB515">
      <w:pPr>
        <w:spacing w:after="0" w:line="240" w:lineRule="auto"/>
        <w:jc w:val="center"/>
        <w:rPr>
          <w:szCs w:val="24"/>
        </w:rPr>
      </w:pPr>
    </w:p>
    <w:p w:rsidR="00367DBD" w:rsidP="008111D2" w:rsidRDefault="00367DBD" w14:paraId="5B21C869" w14:textId="3A123F8F">
      <w:pPr>
        <w:spacing w:after="0" w:line="240" w:lineRule="auto"/>
        <w:jc w:val="center"/>
        <w:rPr>
          <w:szCs w:val="24"/>
        </w:rPr>
      </w:pPr>
    </w:p>
    <w:p w:rsidR="00367DBD" w:rsidP="008111D2" w:rsidRDefault="00367DBD" w14:paraId="691D1B80" w14:textId="1CB4F371">
      <w:pPr>
        <w:spacing w:after="0" w:line="240" w:lineRule="auto"/>
        <w:jc w:val="center"/>
        <w:rPr>
          <w:szCs w:val="24"/>
        </w:rPr>
      </w:pPr>
    </w:p>
    <w:p w:rsidR="00367DBD" w:rsidP="008111D2" w:rsidRDefault="00367DBD" w14:paraId="64EBE5C7" w14:textId="48DAF82E">
      <w:pPr>
        <w:spacing w:after="0" w:line="240" w:lineRule="auto"/>
        <w:jc w:val="center"/>
        <w:rPr>
          <w:szCs w:val="24"/>
        </w:rPr>
      </w:pPr>
    </w:p>
    <w:p w:rsidR="00367DBD" w:rsidP="008111D2" w:rsidRDefault="00367DBD" w14:paraId="136FE457" w14:textId="46979919">
      <w:pPr>
        <w:spacing w:after="0" w:line="240" w:lineRule="auto"/>
        <w:jc w:val="center"/>
        <w:rPr>
          <w:szCs w:val="24"/>
        </w:rPr>
      </w:pPr>
    </w:p>
    <w:p w:rsidR="00367DBD" w:rsidP="008111D2" w:rsidRDefault="00367DBD" w14:paraId="40D93677" w14:textId="680B39A9">
      <w:pPr>
        <w:spacing w:after="0" w:line="240" w:lineRule="auto"/>
        <w:jc w:val="center"/>
        <w:rPr>
          <w:szCs w:val="24"/>
        </w:rPr>
      </w:pPr>
    </w:p>
    <w:p w:rsidR="00367DBD" w:rsidP="008111D2" w:rsidRDefault="00367DBD" w14:paraId="11AFFEB6" w14:textId="27CB3854">
      <w:pPr>
        <w:spacing w:after="0" w:line="240" w:lineRule="auto"/>
        <w:jc w:val="center"/>
        <w:rPr>
          <w:szCs w:val="24"/>
        </w:rPr>
      </w:pPr>
    </w:p>
    <w:p w:rsidR="00367DBD" w:rsidP="008111D2" w:rsidRDefault="00367DBD" w14:paraId="3A3CA870" w14:textId="441693D3">
      <w:pPr>
        <w:spacing w:after="0" w:line="240" w:lineRule="auto"/>
        <w:jc w:val="center"/>
        <w:rPr>
          <w:szCs w:val="24"/>
        </w:rPr>
      </w:pPr>
    </w:p>
    <w:p w:rsidR="00367DBD" w:rsidP="008111D2" w:rsidRDefault="00367DBD" w14:paraId="3131D5E7" w14:textId="5FE7C6FF">
      <w:pPr>
        <w:spacing w:after="0" w:line="240" w:lineRule="auto"/>
        <w:jc w:val="center"/>
        <w:rPr>
          <w:szCs w:val="24"/>
        </w:rPr>
      </w:pPr>
    </w:p>
    <w:p w:rsidR="00367DBD" w:rsidP="008111D2" w:rsidRDefault="00367DBD" w14:paraId="59CA1ACC" w14:textId="292F0859">
      <w:pPr>
        <w:spacing w:after="0" w:line="240" w:lineRule="auto"/>
        <w:jc w:val="center"/>
        <w:rPr>
          <w:szCs w:val="24"/>
        </w:rPr>
      </w:pPr>
    </w:p>
    <w:p w:rsidR="00367DBD" w:rsidP="008111D2" w:rsidRDefault="00367DBD" w14:paraId="094BC756" w14:textId="3B2AF0A1">
      <w:pPr>
        <w:spacing w:after="0" w:line="240" w:lineRule="auto"/>
        <w:jc w:val="center"/>
        <w:rPr>
          <w:szCs w:val="24"/>
        </w:rPr>
      </w:pPr>
      <w:bookmarkStart w:name="_GoBack" w:id="0"/>
      <w:bookmarkEnd w:id="0"/>
    </w:p>
    <w:p w:rsidR="00367DBD" w:rsidP="008111D2" w:rsidRDefault="00367DBD" w14:paraId="795E27C7" w14:textId="2C28EE96">
      <w:pPr>
        <w:spacing w:after="0" w:line="240" w:lineRule="auto"/>
        <w:jc w:val="center"/>
        <w:rPr>
          <w:szCs w:val="24"/>
        </w:rPr>
      </w:pPr>
    </w:p>
    <w:p w:rsidRPr="008111D2" w:rsidR="00367DBD" w:rsidP="008111D2" w:rsidRDefault="00367DBD" w14:paraId="3955BC8C" w14:textId="77777777">
      <w:pPr>
        <w:spacing w:after="0" w:line="240" w:lineRule="auto"/>
        <w:jc w:val="center"/>
        <w:rPr>
          <w:szCs w:val="24"/>
        </w:rPr>
      </w:pPr>
    </w:p>
    <w:p w:rsidR="00EC73C8" w:rsidP="008111D2" w:rsidRDefault="00EC73C8" w14:paraId="582D9D6D" w14:textId="77777777">
      <w:pPr>
        <w:spacing w:after="0" w:line="240" w:lineRule="auto"/>
        <w:jc w:val="center"/>
        <w:rPr>
          <w:szCs w:val="24"/>
        </w:rPr>
      </w:pPr>
    </w:p>
    <w:p w:rsidR="00EC73C8" w:rsidP="008111D2" w:rsidRDefault="00EC73C8" w14:paraId="49177983" w14:textId="77777777">
      <w:pPr>
        <w:spacing w:after="0" w:line="240" w:lineRule="auto"/>
        <w:jc w:val="center"/>
        <w:rPr>
          <w:szCs w:val="24"/>
        </w:rPr>
      </w:pPr>
    </w:p>
    <w:p w:rsidR="00EC73C8" w:rsidP="008111D2" w:rsidRDefault="00EC73C8" w14:paraId="3193FAE9" w14:textId="77777777">
      <w:pPr>
        <w:spacing w:after="0" w:line="240" w:lineRule="auto"/>
        <w:jc w:val="center"/>
        <w:rPr>
          <w:szCs w:val="24"/>
        </w:rPr>
      </w:pPr>
    </w:p>
    <w:p w:rsidR="00EC73C8" w:rsidP="008111D2" w:rsidRDefault="00EC73C8" w14:paraId="2AB0E382" w14:textId="77777777">
      <w:pPr>
        <w:spacing w:after="0" w:line="240" w:lineRule="auto"/>
        <w:jc w:val="center"/>
        <w:rPr>
          <w:szCs w:val="24"/>
        </w:rPr>
      </w:pPr>
    </w:p>
    <w:p w:rsidRPr="008111D2" w:rsidR="007D6E75" w:rsidP="008111D2" w:rsidRDefault="007D6E75" w14:paraId="20825D0D"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44388993"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48029BAD" w14:textId="77777777">
      <w:pPr>
        <w:spacing w:after="0" w:line="240" w:lineRule="auto"/>
        <w:rPr>
          <w:szCs w:val="24"/>
        </w:rPr>
        <w:sectPr w:rsidRPr="008111D2" w:rsidR="007D6E75" w:rsidSect="007D6E75">
          <w:pgSz w:w="12240" w:h="15840" w:code="1"/>
          <w:pgMar w:top="1440" w:right="1440" w:bottom="1440" w:left="1440" w:header="720" w:footer="720" w:gutter="0"/>
          <w:cols w:space="720"/>
          <w:vAlign w:val="center"/>
          <w:docGrid w:linePitch="360"/>
        </w:sectPr>
      </w:pPr>
    </w:p>
    <w:p w:rsidRPr="00F54374" w:rsidR="007D6E75" w:rsidP="00F54374" w:rsidRDefault="007D6E75" w14:paraId="6C2CBE38" w14:textId="77777777">
      <w:pPr>
        <w:pStyle w:val="Heading1"/>
      </w:pPr>
      <w:r w:rsidRPr="00F54374">
        <w:lastRenderedPageBreak/>
        <w:t>A. Background</w:t>
      </w:r>
    </w:p>
    <w:p w:rsidR="00FE6027" w:rsidP="008111D2" w:rsidRDefault="00FE6027" w14:paraId="0B8A5A4A" w14:textId="77777777">
      <w:pPr>
        <w:spacing w:after="0" w:line="240" w:lineRule="auto"/>
        <w:rPr>
          <w:szCs w:val="24"/>
        </w:rPr>
      </w:pPr>
    </w:p>
    <w:p w:rsidR="00271FF4" w:rsidP="00271FF4" w:rsidRDefault="00271FF4" w14:paraId="64029AD3" w14:textId="77777777">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2C2DEF" w:rsidP="008111D2" w:rsidRDefault="002C2DEF" w14:paraId="1E66783D" w14:textId="77777777">
      <w:pPr>
        <w:spacing w:after="0" w:line="240" w:lineRule="auto"/>
        <w:rPr>
          <w:szCs w:val="24"/>
        </w:rPr>
      </w:pPr>
    </w:p>
    <w:p w:rsidR="007D6E75" w:rsidP="00F54374" w:rsidRDefault="007D6E75" w14:paraId="255F881E" w14:textId="4E4CB6AD">
      <w:pPr>
        <w:pStyle w:val="Heading1"/>
      </w:pPr>
      <w:r w:rsidRPr="008111D2">
        <w:t>B. Description of Information Collection</w:t>
      </w:r>
    </w:p>
    <w:p w:rsidR="00D679E8" w:rsidP="009549EA" w:rsidRDefault="00D679E8" w14:paraId="057AD5B6" w14:textId="77777777">
      <w:pPr>
        <w:spacing w:after="0" w:line="240" w:lineRule="auto"/>
      </w:pPr>
    </w:p>
    <w:p w:rsidR="008E7760" w:rsidP="009549EA" w:rsidRDefault="00164929" w14:paraId="19C488BA" w14:textId="08C716A0">
      <w:pPr>
        <w:spacing w:after="0" w:line="240" w:lineRule="auto"/>
      </w:pPr>
      <w:r w:rsidRPr="00812CD7">
        <w:t xml:space="preserve">The ongoing COVID-19 outbreak and implementation of federal policies to address the public health emergency (PHE) have disrupted routine Medicaid, Children's Health Insurance Program (CHIP), and Basic Health Program (BHP) eligibility and enrollment operations.  Medicaid and CHIP enrollment has grown to historic levels due in large part to the </w:t>
      </w:r>
      <w:r w:rsidRPr="00812CD7">
        <w:rPr>
          <w:color w:val="000000"/>
        </w:rPr>
        <w:t>continuous enrollment requirements that states implemented as a condition of receiving a temporary 6.2 percentage point federal medical assistance percentage increase under section 6008 of the Families First Coronavirus Response Act (P.L. 116-127)</w:t>
      </w:r>
      <w:r>
        <w:rPr>
          <w:color w:val="000000"/>
        </w:rPr>
        <w:t xml:space="preserve">.  </w:t>
      </w:r>
      <w:r w:rsidR="00860734">
        <w:t>As part of its response to the unprecedented emergency</w:t>
      </w:r>
      <w:r w:rsidR="007F7E9C">
        <w:t>,</w:t>
      </w:r>
      <w:r w:rsidR="00860734">
        <w:t xml:space="preserve"> </w:t>
      </w:r>
      <w:r w:rsidR="00EB5409">
        <w:t>CMS</w:t>
      </w:r>
      <w:r w:rsidR="00860734">
        <w:t xml:space="preserve"> issued a series of guidance to assist states </w:t>
      </w:r>
      <w:r>
        <w:t>restore</w:t>
      </w:r>
      <w:r w:rsidR="00860734">
        <w:t xml:space="preserve"> normal </w:t>
      </w:r>
      <w:r>
        <w:t xml:space="preserve">eligibility and enrollment </w:t>
      </w:r>
      <w:r w:rsidR="00860734">
        <w:t>operations</w:t>
      </w:r>
      <w:r>
        <w:t xml:space="preserve"> when the PHE ends</w:t>
      </w:r>
      <w:r w:rsidR="00860734">
        <w:t xml:space="preserve">. </w:t>
      </w:r>
      <w:r w:rsidRPr="00860734" w:rsidR="00860734">
        <w:t xml:space="preserve">This </w:t>
      </w:r>
      <w:r w:rsidR="00860734">
        <w:t xml:space="preserve">package describes data </w:t>
      </w:r>
      <w:r w:rsidR="00D679E8">
        <w:t xml:space="preserve">reporting </w:t>
      </w:r>
      <w:r w:rsidR="00860734">
        <w:t xml:space="preserve">requirements and information that states will submit to CMS </w:t>
      </w:r>
      <w:r w:rsidR="002B342B">
        <w:t>when the PHE ends</w:t>
      </w:r>
      <w:r w:rsidR="007F7E9C">
        <w:t>,</w:t>
      </w:r>
      <w:r w:rsidR="002B342B">
        <w:t xml:space="preserve"> to report on their plans and progress meeting guidance released through CMS State Health Official (SHO) letters to restore routine eligibility and enrollment operations.</w:t>
      </w:r>
    </w:p>
    <w:p w:rsidR="00E76A29" w:rsidP="009549EA" w:rsidRDefault="00E76A29" w14:paraId="3A540C88" w14:textId="77777777">
      <w:pPr>
        <w:spacing w:after="0" w:line="240" w:lineRule="auto"/>
      </w:pPr>
    </w:p>
    <w:p w:rsidR="00F2592F" w:rsidP="00245EC6" w:rsidRDefault="00E11380" w14:paraId="33B57804" w14:textId="370FC140">
      <w:pPr>
        <w:spacing w:after="0" w:line="240" w:lineRule="auto"/>
      </w:pPr>
      <w:r>
        <w:t xml:space="preserve">CMS issued SHO </w:t>
      </w:r>
      <w:r w:rsidR="00C42FB3">
        <w:t xml:space="preserve">letter </w:t>
      </w:r>
      <w:r>
        <w:t xml:space="preserve">#21-002, Updated Guidance </w:t>
      </w:r>
      <w:r w:rsidR="002C4D42">
        <w:t>R</w:t>
      </w:r>
      <w:r>
        <w:t>elated to Planning for the Resumption of Normal State Medicaid, CHIP, and BHP Operations Upon Conclusion of the COVID-19 Public Health Emergency</w:t>
      </w:r>
      <w:r w:rsidR="00DE7306">
        <w:t xml:space="preserve"> (August 2021 SHO</w:t>
      </w:r>
      <w:r w:rsidR="003609B5">
        <w:t xml:space="preserve"> letter</w:t>
      </w:r>
      <w:r w:rsidR="00DE7306">
        <w:t>)</w:t>
      </w:r>
      <w:r>
        <w:t xml:space="preserve">, </w:t>
      </w:r>
      <w:r w:rsidR="00F5690E">
        <w:t xml:space="preserve">which </w:t>
      </w:r>
      <w:r w:rsidR="00D679E8">
        <w:t xml:space="preserve">outlines that </w:t>
      </w:r>
      <w:r w:rsidR="00F5690E">
        <w:t xml:space="preserve"> states </w:t>
      </w:r>
      <w:r w:rsidR="00D679E8">
        <w:t xml:space="preserve">will </w:t>
      </w:r>
      <w:r w:rsidR="00EB5409">
        <w:t>need</w:t>
      </w:r>
      <w:r w:rsidR="00D679E8">
        <w:t xml:space="preserve"> to restore timely application processing </w:t>
      </w:r>
      <w:r w:rsidR="00245EC6">
        <w:t xml:space="preserve">within 4 months after the month in which the PHE ends </w:t>
      </w:r>
      <w:r w:rsidR="00D679E8">
        <w:t>and</w:t>
      </w:r>
      <w:r w:rsidR="00EB5409">
        <w:t xml:space="preserve"> </w:t>
      </w:r>
      <w:r w:rsidR="00963472">
        <w:t>process</w:t>
      </w:r>
      <w:r w:rsidR="00EB5409">
        <w:t xml:space="preserve"> post-enrollment verifications, redeterminations based on changes in circumstances, and renewals</w:t>
      </w:r>
      <w:r w:rsidR="00963472">
        <w:t xml:space="preserve"> </w:t>
      </w:r>
      <w:r w:rsidR="00EB5409">
        <w:t xml:space="preserve">within </w:t>
      </w:r>
      <w:r w:rsidR="00D679E8">
        <w:t xml:space="preserve">12 months </w:t>
      </w:r>
      <w:r w:rsidR="00245EC6">
        <w:t xml:space="preserve">after the month in which the PHE ends.  CMS </w:t>
      </w:r>
      <w:r w:rsidR="00F2592F">
        <w:t>also notified</w:t>
      </w:r>
      <w:r w:rsidR="00D679E8">
        <w:t xml:space="preserve"> </w:t>
      </w:r>
      <w:r w:rsidR="00F5690E">
        <w:t xml:space="preserve">states of </w:t>
      </w:r>
      <w:r w:rsidR="009677D8">
        <w:t xml:space="preserve">the </w:t>
      </w:r>
      <w:r w:rsidR="00F5690E">
        <w:t xml:space="preserve">obligation to complete a renewal for all beneficiaries following the end of the PHE before any adverse action </w:t>
      </w:r>
      <w:r w:rsidR="009677D8">
        <w:t>could</w:t>
      </w:r>
      <w:r w:rsidR="00F5690E">
        <w:t xml:space="preserve"> be taken. </w:t>
      </w:r>
    </w:p>
    <w:p w:rsidR="00F2592F" w:rsidP="00245EC6" w:rsidRDefault="00F2592F" w14:paraId="09200DEC" w14:textId="77777777">
      <w:pPr>
        <w:spacing w:after="0" w:line="240" w:lineRule="auto"/>
      </w:pPr>
    </w:p>
    <w:p w:rsidR="00DE7306" w:rsidP="009549EA" w:rsidRDefault="00D679E8" w14:paraId="3F514FBD" w14:textId="2BE198A0">
      <w:pPr>
        <w:spacing w:after="0" w:line="240" w:lineRule="auto"/>
        <w:rPr>
          <w:bCs/>
        </w:rPr>
      </w:pPr>
      <w:r>
        <w:t>To provide additional clarification to states on the expectations to restore routine operations when the PHE ends, CMS released SHO</w:t>
      </w:r>
      <w:r w:rsidR="008E7760">
        <w:t xml:space="preserve"> </w:t>
      </w:r>
      <w:r w:rsidR="00C42FB3">
        <w:t>l</w:t>
      </w:r>
      <w:r w:rsidR="008E7760">
        <w:t>etter #22</w:t>
      </w:r>
      <w:r w:rsidRPr="003D7F33" w:rsidR="008E7760">
        <w:t>-00X,</w:t>
      </w:r>
      <w:r w:rsidR="008E7760">
        <w:t xml:space="preserve"> Promoting Continuity of Coverage and Distributing Eligibility and Enrollment Workload in Medicaid, the Children’s Health Insurance Program (CHIP), and Basic Health Program (BHP) Upon Conclusion of the COVID-19 Public Health Emergency</w:t>
      </w:r>
      <w:r w:rsidR="00DE7306">
        <w:t xml:space="preserve"> (March 2022 SHO</w:t>
      </w:r>
      <w:r w:rsidR="003609B5">
        <w:t xml:space="preserve"> letter or SHO letter</w:t>
      </w:r>
      <w:r w:rsidR="00DE7306">
        <w:t>)</w:t>
      </w:r>
      <w:r>
        <w:t>.   Th</w:t>
      </w:r>
      <w:r w:rsidR="00963472">
        <w:t>e March 2022</w:t>
      </w:r>
      <w:r>
        <w:t xml:space="preserve"> SHO </w:t>
      </w:r>
      <w:r w:rsidR="003609B5">
        <w:t xml:space="preserve">letter </w:t>
      </w:r>
      <w:r w:rsidR="00D96239">
        <w:t>provide</w:t>
      </w:r>
      <w:r w:rsidR="00245EC6">
        <w:t>s</w:t>
      </w:r>
      <w:r w:rsidR="00D96239">
        <w:t xml:space="preserve"> additional </w:t>
      </w:r>
      <w:r w:rsidR="009677D8">
        <w:t>detail</w:t>
      </w:r>
      <w:r w:rsidR="00D96239">
        <w:t xml:space="preserve"> </w:t>
      </w:r>
      <w:r w:rsidR="00245EC6">
        <w:t xml:space="preserve">on the work that must be completed </w:t>
      </w:r>
      <w:r w:rsidR="00DE7306">
        <w:t xml:space="preserve">and expectations of states </w:t>
      </w:r>
      <w:r w:rsidR="00245EC6">
        <w:t xml:space="preserve">during the </w:t>
      </w:r>
      <w:r w:rsidR="0045369C">
        <w:t>12-month</w:t>
      </w:r>
      <w:r w:rsidR="00245EC6">
        <w:t xml:space="preserve"> period </w:t>
      </w:r>
      <w:r w:rsidR="00DE7306">
        <w:t xml:space="preserve">provided to </w:t>
      </w:r>
      <w:r w:rsidR="00245EC6">
        <w:t>restore routine operations</w:t>
      </w:r>
      <w:r w:rsidR="00DE7306">
        <w:t>.</w:t>
      </w:r>
      <w:r w:rsidR="00245EC6">
        <w:t xml:space="preserve"> </w:t>
      </w:r>
      <w:r w:rsidR="00DE7306">
        <w:t xml:space="preserve"> The </w:t>
      </w:r>
      <w:r w:rsidR="003609B5">
        <w:t>letter</w:t>
      </w:r>
      <w:r w:rsidR="00DE7306">
        <w:t xml:space="preserve"> further clarifies that states may initiate renewals for all Medicaid and CHIP enrollees </w:t>
      </w:r>
      <w:r w:rsidR="00963472">
        <w:t xml:space="preserve">within 12 months after the month in </w:t>
      </w:r>
      <w:r w:rsidR="00963472">
        <w:lastRenderedPageBreak/>
        <w:t xml:space="preserve">which the PHE ends </w:t>
      </w:r>
      <w:r w:rsidR="00DE7306">
        <w:t xml:space="preserve">and </w:t>
      </w:r>
      <w:r w:rsidR="00963472">
        <w:t xml:space="preserve">take </w:t>
      </w:r>
      <w:r w:rsidR="00DE7306">
        <w:t xml:space="preserve">two additional months (14 months total) to complete </w:t>
      </w:r>
      <w:r w:rsidR="00A37660">
        <w:t xml:space="preserve">initiated </w:t>
      </w:r>
      <w:r w:rsidR="00DE7306">
        <w:t>renewals.</w:t>
      </w:r>
      <w:r w:rsidR="00BF0C65">
        <w:t xml:space="preserve">  The </w:t>
      </w:r>
      <w:r w:rsidR="006F015D">
        <w:t xml:space="preserve">SHO letter also </w:t>
      </w:r>
      <w:r w:rsidR="00BF0C65">
        <w:t>inform</w:t>
      </w:r>
      <w:r w:rsidR="006A369F">
        <w:t xml:space="preserve">s </w:t>
      </w:r>
      <w:r w:rsidR="009048A2">
        <w:rPr>
          <w:bCs/>
        </w:rPr>
        <w:t xml:space="preserve">states will </w:t>
      </w:r>
      <w:r w:rsidR="006A369F">
        <w:rPr>
          <w:bCs/>
        </w:rPr>
        <w:t xml:space="preserve">that they will </w:t>
      </w:r>
      <w:r w:rsidR="00F2592F">
        <w:rPr>
          <w:bCs/>
        </w:rPr>
        <w:t>report baseline</w:t>
      </w:r>
      <w:r w:rsidR="009677D8">
        <w:rPr>
          <w:bCs/>
        </w:rPr>
        <w:t xml:space="preserve"> data</w:t>
      </w:r>
      <w:r w:rsidR="009048A2">
        <w:rPr>
          <w:bCs/>
        </w:rPr>
        <w:t xml:space="preserve"> once and</w:t>
      </w:r>
      <w:r w:rsidR="009677D8">
        <w:rPr>
          <w:bCs/>
        </w:rPr>
        <w:t xml:space="preserve"> </w:t>
      </w:r>
      <w:r w:rsidR="006F015D">
        <w:rPr>
          <w:bCs/>
        </w:rPr>
        <w:t xml:space="preserve">submit </w:t>
      </w:r>
      <w:r w:rsidR="00E87C70">
        <w:rPr>
          <w:bCs/>
        </w:rPr>
        <w:t>monthly</w:t>
      </w:r>
      <w:r w:rsidR="009677D8">
        <w:rPr>
          <w:bCs/>
        </w:rPr>
        <w:t xml:space="preserve"> report</w:t>
      </w:r>
      <w:r w:rsidR="006A369F">
        <w:rPr>
          <w:bCs/>
        </w:rPr>
        <w:t>s during the unwinding period.</w:t>
      </w:r>
    </w:p>
    <w:p w:rsidR="00F2592F" w:rsidP="009549EA" w:rsidRDefault="00F2592F" w14:paraId="3664B599" w14:textId="77777777">
      <w:pPr>
        <w:spacing w:after="0" w:line="240" w:lineRule="auto"/>
        <w:rPr>
          <w:szCs w:val="24"/>
        </w:rPr>
      </w:pPr>
    </w:p>
    <w:p w:rsidR="00B75F3C" w:rsidP="00DE7306" w:rsidRDefault="00DE7306" w14:paraId="6D885EC0" w14:textId="40660FA2">
      <w:pPr>
        <w:spacing w:after="0" w:line="240" w:lineRule="auto"/>
        <w:rPr>
          <w:szCs w:val="24"/>
        </w:rPr>
      </w:pPr>
      <w:r w:rsidRPr="00DE7306">
        <w:t xml:space="preserve">CMS is requiring mandatory </w:t>
      </w:r>
      <w:r w:rsidR="00C042D4">
        <w:t xml:space="preserve">state </w:t>
      </w:r>
      <w:r w:rsidRPr="00DE7306">
        <w:t>reporting</w:t>
      </w:r>
      <w:r w:rsidR="00EB5409">
        <w:t xml:space="preserve"> of their efforts to restore operations</w:t>
      </w:r>
      <w:r w:rsidR="00BF0C65">
        <w:t xml:space="preserve"> consistent with  </w:t>
      </w:r>
      <w:r w:rsidR="006F015D">
        <w:t xml:space="preserve">both </w:t>
      </w:r>
      <w:r w:rsidR="00BF0C65">
        <w:t>SHO</w:t>
      </w:r>
      <w:r w:rsidRPr="00DE7306">
        <w:t xml:space="preserve"> </w:t>
      </w:r>
      <w:r w:rsidR="006F015D">
        <w:t xml:space="preserve">letters </w:t>
      </w:r>
      <w:r w:rsidRPr="00DE7306">
        <w:t xml:space="preserve">through two reporting instruments </w:t>
      </w:r>
      <w:r w:rsidRPr="00DE7306" w:rsidR="00D679E8">
        <w:rPr>
          <w:szCs w:val="24"/>
        </w:rPr>
        <w:t xml:space="preserve">under the authority in sections 1902(a)(4)(A), 1902(a)(6) and 1902(a)(75) of the </w:t>
      </w:r>
      <w:r w:rsidR="0045537E">
        <w:rPr>
          <w:szCs w:val="24"/>
        </w:rPr>
        <w:t xml:space="preserve">Social Security </w:t>
      </w:r>
      <w:r w:rsidRPr="00DE7306" w:rsidR="00D679E8">
        <w:rPr>
          <w:szCs w:val="24"/>
        </w:rPr>
        <w:t>Act</w:t>
      </w:r>
      <w:r w:rsidR="0045537E">
        <w:rPr>
          <w:szCs w:val="24"/>
        </w:rPr>
        <w:t xml:space="preserve"> (the Act)</w:t>
      </w:r>
      <w:r w:rsidR="005C79B2">
        <w:rPr>
          <w:szCs w:val="24"/>
        </w:rPr>
        <w:t>,</w:t>
      </w:r>
      <w:r w:rsidRPr="00DE7306" w:rsidR="00D679E8">
        <w:rPr>
          <w:szCs w:val="24"/>
        </w:rPr>
        <w:t xml:space="preserve">  42 CFR 431.16 to ensure proper and efficient administration of the Medicaid program</w:t>
      </w:r>
      <w:r w:rsidR="005C79B2">
        <w:rPr>
          <w:szCs w:val="24"/>
        </w:rPr>
        <w:t>,</w:t>
      </w:r>
      <w:r w:rsidRPr="00DE7306" w:rsidR="00D679E8">
        <w:rPr>
          <w:szCs w:val="24"/>
        </w:rPr>
        <w:t xml:space="preserve"> and section 2101(a) of the Act to promote the administration of the Children’s Health Insurance Program (CHIP) in an effective and efficient manner.  </w:t>
      </w:r>
      <w:r w:rsidRPr="00DE7306">
        <w:rPr>
          <w:szCs w:val="24"/>
        </w:rPr>
        <w:t xml:space="preserve">The Unwinding Eligibility and Enrollment Data Reporting Template (“Unwinding Data Report”) includes a baseline form </w:t>
      </w:r>
      <w:r w:rsidR="00EB5409">
        <w:rPr>
          <w:szCs w:val="24"/>
        </w:rPr>
        <w:t xml:space="preserve">(one-time submission) </w:t>
      </w:r>
      <w:r w:rsidRPr="00DE7306">
        <w:rPr>
          <w:szCs w:val="24"/>
        </w:rPr>
        <w:t xml:space="preserve">and </w:t>
      </w:r>
      <w:r w:rsidR="00345905">
        <w:rPr>
          <w:szCs w:val="24"/>
        </w:rPr>
        <w:t xml:space="preserve">a </w:t>
      </w:r>
      <w:r w:rsidRPr="00DE7306">
        <w:rPr>
          <w:szCs w:val="24"/>
        </w:rPr>
        <w:t xml:space="preserve">monthly reporting form for states to report their progress </w:t>
      </w:r>
      <w:r w:rsidR="00345905">
        <w:rPr>
          <w:szCs w:val="24"/>
        </w:rPr>
        <w:t xml:space="preserve">for </w:t>
      </w:r>
      <w:r w:rsidRPr="00DE7306">
        <w:rPr>
          <w:szCs w:val="24"/>
        </w:rPr>
        <w:t>restoring timely application processing and initiating and complet</w:t>
      </w:r>
      <w:r w:rsidR="00C10EFE">
        <w:rPr>
          <w:szCs w:val="24"/>
        </w:rPr>
        <w:t xml:space="preserve">ing </w:t>
      </w:r>
      <w:r w:rsidRPr="00DE7306">
        <w:rPr>
          <w:szCs w:val="24"/>
        </w:rPr>
        <w:t>renewals after the PHE ends</w:t>
      </w:r>
      <w:r w:rsidR="00575132">
        <w:rPr>
          <w:szCs w:val="24"/>
        </w:rPr>
        <w:t xml:space="preserve"> using the existing Performance Indicators portal for submission</w:t>
      </w:r>
      <w:r w:rsidRPr="00DE7306">
        <w:rPr>
          <w:szCs w:val="24"/>
        </w:rPr>
        <w:t xml:space="preserve">.  </w:t>
      </w:r>
      <w:r>
        <w:rPr>
          <w:szCs w:val="24"/>
        </w:rPr>
        <w:t>Th</w:t>
      </w:r>
      <w:r w:rsidR="000320FC">
        <w:rPr>
          <w:szCs w:val="24"/>
        </w:rPr>
        <w:t>e</w:t>
      </w:r>
      <w:r>
        <w:rPr>
          <w:szCs w:val="24"/>
        </w:rPr>
        <w:t xml:space="preserve"> reporting tool will be used to monitor state progress in completing eligibility and enrollment actions within the timelines specified in the SHO</w:t>
      </w:r>
      <w:r w:rsidR="000320FC">
        <w:rPr>
          <w:szCs w:val="24"/>
        </w:rPr>
        <w:t xml:space="preserve"> letters</w:t>
      </w:r>
      <w:r>
        <w:rPr>
          <w:szCs w:val="24"/>
        </w:rPr>
        <w:t xml:space="preserve">. </w:t>
      </w:r>
      <w:r w:rsidR="00B75F3C">
        <w:rPr>
          <w:szCs w:val="24"/>
        </w:rPr>
        <w:t xml:space="preserve"> The Unwinding Data Report is </w:t>
      </w:r>
      <w:r w:rsidR="00074877">
        <w:rPr>
          <w:szCs w:val="24"/>
        </w:rPr>
        <w:t xml:space="preserve">accompanied by an excel workbook that </w:t>
      </w:r>
      <w:r w:rsidR="00EB5409">
        <w:rPr>
          <w:szCs w:val="24"/>
        </w:rPr>
        <w:t xml:space="preserve">includes the reporting tool metrics that </w:t>
      </w:r>
      <w:r w:rsidR="00074877">
        <w:rPr>
          <w:szCs w:val="24"/>
        </w:rPr>
        <w:t xml:space="preserve">states may use for planning purposes and </w:t>
      </w:r>
      <w:r w:rsidR="00B75F3C">
        <w:rPr>
          <w:szCs w:val="24"/>
        </w:rPr>
        <w:t>a separate instruction documen</w:t>
      </w:r>
      <w:r w:rsidR="00EB5409">
        <w:rPr>
          <w:szCs w:val="24"/>
        </w:rPr>
        <w:t>t</w:t>
      </w:r>
      <w:r w:rsidR="00B75F3C">
        <w:rPr>
          <w:szCs w:val="24"/>
        </w:rPr>
        <w:t>.</w:t>
      </w:r>
    </w:p>
    <w:p w:rsidR="00B75F3C" w:rsidP="00DE7306" w:rsidRDefault="00B75F3C" w14:paraId="352F6D7F" w14:textId="77777777">
      <w:pPr>
        <w:spacing w:after="0" w:line="240" w:lineRule="auto"/>
        <w:rPr>
          <w:szCs w:val="24"/>
        </w:rPr>
      </w:pPr>
    </w:p>
    <w:p w:rsidR="00D679E8" w:rsidP="00DE7306" w:rsidRDefault="000320FC" w14:paraId="1C3CEA23" w14:textId="118BDC9D">
      <w:pPr>
        <w:spacing w:after="0" w:line="240" w:lineRule="auto"/>
        <w:rPr>
          <w:rFonts w:cs="Times New Roman"/>
          <w:szCs w:val="24"/>
        </w:rPr>
      </w:pPr>
      <w:r>
        <w:rPr>
          <w:szCs w:val="24"/>
        </w:rPr>
        <w:t>Additionally, t</w:t>
      </w:r>
      <w:r w:rsidRPr="00DE7306" w:rsidR="00DE7306">
        <w:rPr>
          <w:szCs w:val="24"/>
        </w:rPr>
        <w:t xml:space="preserve">he </w:t>
      </w:r>
      <w:r w:rsidRPr="00DE7306" w:rsidR="00DE7306">
        <w:rPr>
          <w:bCs/>
        </w:rPr>
        <w:t>State Report on Plans for Prioritizing and Distributing Renewals Following the End of the Medicaid Continuous Enrollment Provisions</w:t>
      </w:r>
      <w:r w:rsidRPr="005C06FF" w:rsidR="00DE7306">
        <w:rPr>
          <w:b/>
          <w:szCs w:val="24"/>
        </w:rPr>
        <w:t xml:space="preserve"> </w:t>
      </w:r>
      <w:r w:rsidR="00DE7306">
        <w:rPr>
          <w:b/>
          <w:szCs w:val="24"/>
        </w:rPr>
        <w:t>(</w:t>
      </w:r>
      <w:r w:rsidRPr="00DE7306" w:rsidR="00DE7306">
        <w:rPr>
          <w:szCs w:val="24"/>
        </w:rPr>
        <w:t>“State Renewals Report”)</w:t>
      </w:r>
      <w:r w:rsidR="00DE7306">
        <w:rPr>
          <w:szCs w:val="24"/>
        </w:rPr>
        <w:t xml:space="preserve"> will be used to assess</w:t>
      </w:r>
      <w:r w:rsidRPr="005555EC" w:rsidR="00D679E8">
        <w:rPr>
          <w:rFonts w:cs="Times New Roman"/>
          <w:szCs w:val="24"/>
        </w:rPr>
        <w:t xml:space="preserve"> state’s plans for processing renewals and</w:t>
      </w:r>
      <w:r w:rsidR="0045369C">
        <w:rPr>
          <w:rFonts w:cs="Times New Roman"/>
          <w:szCs w:val="24"/>
        </w:rPr>
        <w:t xml:space="preserve"> </w:t>
      </w:r>
      <w:r w:rsidRPr="005555EC" w:rsidR="00D679E8">
        <w:rPr>
          <w:rFonts w:cs="Times New Roman"/>
          <w:szCs w:val="24"/>
        </w:rPr>
        <w:t xml:space="preserve">mitigating against inappropriate beneficiary coverage losses when states begin restoring routine Medicaid and CHIP operations after the </w:t>
      </w:r>
      <w:r w:rsidR="00DE7306">
        <w:rPr>
          <w:rFonts w:cs="Times New Roman"/>
          <w:szCs w:val="24"/>
        </w:rPr>
        <w:t>PHE</w:t>
      </w:r>
      <w:r w:rsidR="003933CF">
        <w:rPr>
          <w:rFonts w:cs="Times New Roman"/>
          <w:szCs w:val="24"/>
        </w:rPr>
        <w:t>.</w:t>
      </w:r>
      <w:r w:rsidR="00B75F3C">
        <w:rPr>
          <w:rFonts w:cs="Times New Roman"/>
          <w:szCs w:val="24"/>
        </w:rPr>
        <w:t xml:space="preserve">  States submit this report </w:t>
      </w:r>
      <w:r w:rsidR="009516ED">
        <w:rPr>
          <w:rFonts w:cs="Times New Roman"/>
          <w:szCs w:val="24"/>
        </w:rPr>
        <w:t>once</w:t>
      </w:r>
      <w:r w:rsidR="0045537E">
        <w:rPr>
          <w:rFonts w:cs="Times New Roman"/>
          <w:szCs w:val="24"/>
        </w:rPr>
        <w:t xml:space="preserve"> </w:t>
      </w:r>
      <w:r w:rsidR="00B75F3C">
        <w:rPr>
          <w:rFonts w:cs="Times New Roman"/>
          <w:szCs w:val="24"/>
        </w:rPr>
        <w:t>through the designated PHE unwinding email box.</w:t>
      </w:r>
    </w:p>
    <w:p w:rsidRPr="005555EC" w:rsidR="00245EC6" w:rsidP="009549EA" w:rsidRDefault="00245EC6" w14:paraId="1D3B6090" w14:textId="77777777">
      <w:pPr>
        <w:spacing w:after="0" w:line="240" w:lineRule="auto"/>
        <w:rPr>
          <w:bCs/>
          <w:szCs w:val="24"/>
        </w:rPr>
      </w:pPr>
    </w:p>
    <w:p w:rsidRPr="008111D2" w:rsidR="007D6E75" w:rsidP="00F54374" w:rsidRDefault="007D6E75" w14:paraId="3DAA61E7" w14:textId="77777777">
      <w:pPr>
        <w:pStyle w:val="Heading1"/>
      </w:pPr>
      <w:r w:rsidRPr="008111D2">
        <w:t>C. Deviations from Generic Request</w:t>
      </w:r>
    </w:p>
    <w:p w:rsidR="00FE6027" w:rsidP="008111D2" w:rsidRDefault="00FE6027" w14:paraId="4C7A9D4E" w14:textId="77777777">
      <w:pPr>
        <w:spacing w:after="0" w:line="240" w:lineRule="auto"/>
        <w:rPr>
          <w:szCs w:val="24"/>
        </w:rPr>
      </w:pPr>
    </w:p>
    <w:p w:rsidR="00A7321B" w:rsidP="00A7321B" w:rsidRDefault="009B19E8" w14:paraId="16F190A1" w14:textId="77777777">
      <w:pPr>
        <w:spacing w:after="0" w:line="240" w:lineRule="auto"/>
        <w:rPr>
          <w:szCs w:val="24"/>
        </w:rPr>
      </w:pPr>
      <w:r w:rsidRPr="008111D2">
        <w:rPr>
          <w:szCs w:val="24"/>
        </w:rPr>
        <w:t>No deviations are requested.</w:t>
      </w:r>
    </w:p>
    <w:p w:rsidRPr="008111D2" w:rsidR="00A7321B" w:rsidP="00A7321B" w:rsidRDefault="00A7321B" w14:paraId="4C463B6B" w14:textId="77777777">
      <w:pPr>
        <w:spacing w:after="0" w:line="240" w:lineRule="auto"/>
      </w:pPr>
    </w:p>
    <w:p w:rsidRPr="00A7321B" w:rsidR="007D6E75" w:rsidP="00A7321B" w:rsidRDefault="007D6E75" w14:paraId="3D6243EC" w14:textId="77777777">
      <w:pPr>
        <w:spacing w:after="0" w:line="240" w:lineRule="auto"/>
        <w:rPr>
          <w:b/>
          <w:szCs w:val="24"/>
        </w:rPr>
      </w:pPr>
      <w:r w:rsidRPr="00A7321B">
        <w:rPr>
          <w:b/>
        </w:rPr>
        <w:t>D. Burden Hour Deduction</w:t>
      </w:r>
    </w:p>
    <w:p w:rsidRPr="00FE6027" w:rsidR="009727EA" w:rsidP="00FE6027" w:rsidRDefault="009727EA" w14:paraId="02055FFA" w14:textId="77777777">
      <w:pPr>
        <w:spacing w:after="0" w:line="240" w:lineRule="auto"/>
      </w:pPr>
    </w:p>
    <w:p w:rsidR="00CB7E59" w:rsidP="009B68E5" w:rsidRDefault="00CB7E59" w14:paraId="2AA15243" w14:textId="77777777">
      <w:pPr>
        <w:spacing w:after="0" w:line="240" w:lineRule="auto"/>
        <w:contextualSpacing/>
        <w:rPr>
          <w:i/>
          <w:szCs w:val="24"/>
        </w:rPr>
      </w:pPr>
      <w:r>
        <w:rPr>
          <w:i/>
          <w:szCs w:val="24"/>
        </w:rPr>
        <w:t>Wage Estimates</w:t>
      </w:r>
    </w:p>
    <w:p w:rsidR="00CB7E59" w:rsidP="009B68E5" w:rsidRDefault="00CB7E59" w14:paraId="09DD959B" w14:textId="77777777">
      <w:pPr>
        <w:spacing w:after="0" w:line="240" w:lineRule="auto"/>
        <w:contextualSpacing/>
        <w:rPr>
          <w:szCs w:val="24"/>
        </w:rPr>
      </w:pPr>
    </w:p>
    <w:p w:rsidRPr="002C64B6" w:rsidR="00CB7E59" w:rsidP="009B68E5" w:rsidRDefault="00CB7E59" w14:paraId="14C116CE" w14:textId="721B25B5">
      <w:pPr>
        <w:spacing w:after="0" w:line="240" w:lineRule="auto"/>
        <w:contextualSpacing/>
        <w:rPr>
          <w:szCs w:val="24"/>
        </w:rPr>
      </w:pPr>
      <w:r w:rsidRPr="002C64B6">
        <w:rPr>
          <w:szCs w:val="24"/>
        </w:rPr>
        <w:t xml:space="preserve">To derive average costs, we are using data from the U.S. Bureau of Labor Statistics’ May </w:t>
      </w:r>
      <w:r w:rsidR="00821B5C">
        <w:rPr>
          <w:szCs w:val="24"/>
        </w:rPr>
        <w:t>2020</w:t>
      </w:r>
      <w:r w:rsidRPr="002C64B6">
        <w:rPr>
          <w:szCs w:val="24"/>
        </w:rPr>
        <w:t xml:space="preserve"> National Occupational Employment and Wage Estimates for all salary estimates (</w:t>
      </w:r>
      <w:hyperlink w:tooltip="http://www.bls.gov/oes/current/oes_nat.htm" w:history="1" r:id="rId13">
        <w:r w:rsidRPr="002C64B6">
          <w:rPr>
            <w:rStyle w:val="Hyperlink"/>
            <w:color w:val="548DD4" w:themeColor="text2" w:themeTint="99"/>
            <w:szCs w:val="24"/>
          </w:rPr>
          <w:t>http://www.bls.gov/oes/current/oes_nat.htm</w:t>
        </w:r>
      </w:hyperlink>
      <w:r w:rsidRPr="002C64B6">
        <w:rPr>
          <w:szCs w:val="24"/>
        </w:rPr>
        <w:t xml:space="preserve">). In this regard, the following table presents </w:t>
      </w:r>
      <w:r w:rsidR="00263C60">
        <w:rPr>
          <w:szCs w:val="24"/>
        </w:rPr>
        <w:t xml:space="preserve">BLS’ </w:t>
      </w:r>
      <w:r w:rsidRPr="002C64B6">
        <w:rPr>
          <w:szCs w:val="24"/>
        </w:rPr>
        <w:t xml:space="preserve">mean hourly wage, </w:t>
      </w:r>
      <w:r w:rsidR="00263C60">
        <w:rPr>
          <w:szCs w:val="24"/>
        </w:rPr>
        <w:t xml:space="preserve">our estimated </w:t>
      </w:r>
      <w:r w:rsidRPr="002C64B6">
        <w:rPr>
          <w:szCs w:val="24"/>
        </w:rPr>
        <w:t xml:space="preserve">cost of fringe benefits </w:t>
      </w:r>
      <w:r w:rsidR="00263C60">
        <w:rPr>
          <w:szCs w:val="24"/>
        </w:rPr>
        <w:t xml:space="preserve">and overhead </w:t>
      </w:r>
      <w:r w:rsidRPr="002C64B6">
        <w:rPr>
          <w:szCs w:val="24"/>
        </w:rPr>
        <w:t xml:space="preserve">(calculated at 100 percent of salary), and </w:t>
      </w:r>
      <w:r w:rsidR="00263C60">
        <w:rPr>
          <w:szCs w:val="24"/>
        </w:rPr>
        <w:t xml:space="preserve">our </w:t>
      </w:r>
      <w:r w:rsidRPr="002C64B6">
        <w:rPr>
          <w:szCs w:val="24"/>
        </w:rPr>
        <w:t>adjusted hourly wage.</w:t>
      </w:r>
    </w:p>
    <w:p w:rsidR="009B68E5" w:rsidP="009B68E5" w:rsidRDefault="009B68E5" w14:paraId="7DE315A5" w14:textId="77777777">
      <w:pPr>
        <w:keepNext/>
        <w:spacing w:after="0" w:line="240" w:lineRule="auto"/>
        <w:contextualSpacing/>
        <w:jc w:val="center"/>
        <w:rPr>
          <w:b/>
          <w:szCs w:val="24"/>
        </w:rPr>
      </w:pPr>
    </w:p>
    <w:p w:rsidR="00005357" w:rsidP="009B68E5" w:rsidRDefault="00005357" w14:paraId="4A9A32D3" w14:textId="7C1441F6">
      <w:pPr>
        <w:keepNext/>
        <w:spacing w:after="0" w:line="240" w:lineRule="auto"/>
        <w:contextualSpacing/>
        <w:jc w:val="center"/>
        <w:rPr>
          <w:b/>
          <w:szCs w:val="24"/>
        </w:rPr>
      </w:pPr>
      <w:r>
        <w:rPr>
          <w:b/>
          <w:szCs w:val="24"/>
        </w:rPr>
        <w:t xml:space="preserve">TABLE </w:t>
      </w:r>
      <w:r w:rsidR="00635109">
        <w:rPr>
          <w:b/>
          <w:szCs w:val="24"/>
        </w:rPr>
        <w:t>2</w:t>
      </w:r>
      <w:r w:rsidRPr="001F25AE">
        <w:rPr>
          <w:b/>
          <w:szCs w:val="24"/>
        </w:rPr>
        <w:t>:  National Occupational Employment and Wage Estimates</w:t>
      </w: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00"/>
        <w:gridCol w:w="1530"/>
        <w:gridCol w:w="1800"/>
        <w:gridCol w:w="1260"/>
        <w:gridCol w:w="1710"/>
      </w:tblGrid>
      <w:tr w:rsidRPr="002C64B6" w:rsidR="002C64B6" w:rsidTr="004B1789" w14:paraId="1663B1AB" w14:textId="77777777">
        <w:trPr>
          <w:trHeight w:val="530"/>
          <w:tblHeader/>
        </w:trPr>
        <w:tc>
          <w:tcPr>
            <w:tcW w:w="3600" w:type="dxa"/>
            <w:shd w:val="clear" w:color="auto" w:fill="auto"/>
          </w:tcPr>
          <w:p w:rsidRPr="002C64B6" w:rsidR="00CB7E59" w:rsidP="00E67EC9" w:rsidRDefault="00CB7E59" w14:paraId="35B8CFFE" w14:textId="77777777">
            <w:pPr>
              <w:spacing w:after="0" w:line="240" w:lineRule="auto"/>
              <w:rPr>
                <w:b/>
                <w:szCs w:val="24"/>
              </w:rPr>
            </w:pPr>
            <w:r w:rsidRPr="002C64B6">
              <w:rPr>
                <w:b/>
                <w:szCs w:val="24"/>
              </w:rPr>
              <w:t>Occupation Title</w:t>
            </w:r>
          </w:p>
        </w:tc>
        <w:tc>
          <w:tcPr>
            <w:tcW w:w="1530" w:type="dxa"/>
            <w:shd w:val="clear" w:color="auto" w:fill="auto"/>
          </w:tcPr>
          <w:p w:rsidRPr="002C64B6" w:rsidR="00CB7E59" w:rsidP="004B1789" w:rsidRDefault="00CB7E59" w14:paraId="0E10133A" w14:textId="77777777">
            <w:pPr>
              <w:spacing w:after="0" w:line="240" w:lineRule="auto"/>
              <w:jc w:val="center"/>
              <w:rPr>
                <w:b/>
                <w:szCs w:val="24"/>
              </w:rPr>
            </w:pPr>
            <w:r w:rsidRPr="002C64B6">
              <w:rPr>
                <w:b/>
                <w:szCs w:val="24"/>
              </w:rPr>
              <w:t>Occupation Code</w:t>
            </w:r>
          </w:p>
        </w:tc>
        <w:tc>
          <w:tcPr>
            <w:tcW w:w="1800" w:type="dxa"/>
            <w:shd w:val="clear" w:color="auto" w:fill="auto"/>
          </w:tcPr>
          <w:p w:rsidRPr="002C64B6" w:rsidR="00CB7E59" w:rsidP="004B1789" w:rsidRDefault="00CB7E59" w14:paraId="19BE4448" w14:textId="05F2B11A">
            <w:pPr>
              <w:spacing w:after="0" w:line="240" w:lineRule="auto"/>
              <w:jc w:val="center"/>
              <w:rPr>
                <w:b/>
                <w:szCs w:val="24"/>
              </w:rPr>
            </w:pPr>
            <w:r w:rsidRPr="002C64B6">
              <w:rPr>
                <w:b/>
                <w:szCs w:val="24"/>
              </w:rPr>
              <w:t>Mean Hourly Wage</w:t>
            </w:r>
            <w:r w:rsidR="002E2D23">
              <w:rPr>
                <w:b/>
                <w:szCs w:val="24"/>
              </w:rPr>
              <w:t xml:space="preserve"> ($/</w:t>
            </w:r>
            <w:proofErr w:type="spellStart"/>
            <w:r w:rsidR="002E2D23">
              <w:rPr>
                <w:b/>
                <w:szCs w:val="24"/>
              </w:rPr>
              <w:t>hr</w:t>
            </w:r>
            <w:proofErr w:type="spellEnd"/>
            <w:r w:rsidR="002E2D23">
              <w:rPr>
                <w:b/>
                <w:szCs w:val="24"/>
              </w:rPr>
              <w:t>)</w:t>
            </w:r>
          </w:p>
        </w:tc>
        <w:tc>
          <w:tcPr>
            <w:tcW w:w="1260" w:type="dxa"/>
            <w:shd w:val="clear" w:color="auto" w:fill="auto"/>
          </w:tcPr>
          <w:p w:rsidRPr="002C64B6" w:rsidR="00CB7E59" w:rsidP="004B1789" w:rsidRDefault="00CB7E59" w14:paraId="334E3814" w14:textId="6C185D4B">
            <w:pPr>
              <w:spacing w:after="0" w:line="240" w:lineRule="auto"/>
              <w:jc w:val="center"/>
              <w:rPr>
                <w:b/>
                <w:szCs w:val="24"/>
              </w:rPr>
            </w:pPr>
            <w:r w:rsidRPr="002C64B6">
              <w:rPr>
                <w:b/>
                <w:szCs w:val="24"/>
              </w:rPr>
              <w:t>Fringe Benefit</w:t>
            </w:r>
            <w:r w:rsidR="002E2D23">
              <w:rPr>
                <w:b/>
                <w:szCs w:val="24"/>
              </w:rPr>
              <w:t>s and Overhead  ($/</w:t>
            </w:r>
            <w:proofErr w:type="spellStart"/>
            <w:r w:rsidR="002E2D23">
              <w:rPr>
                <w:b/>
                <w:szCs w:val="24"/>
              </w:rPr>
              <w:t>hr</w:t>
            </w:r>
            <w:proofErr w:type="spellEnd"/>
            <w:r w:rsidR="002E2D23">
              <w:rPr>
                <w:b/>
                <w:szCs w:val="24"/>
              </w:rPr>
              <w:t>)</w:t>
            </w:r>
          </w:p>
        </w:tc>
        <w:tc>
          <w:tcPr>
            <w:tcW w:w="1710" w:type="dxa"/>
          </w:tcPr>
          <w:p w:rsidRPr="002C64B6" w:rsidR="00CB7E59" w:rsidP="004B1789" w:rsidRDefault="00CB7E59" w14:paraId="5ACA1A66" w14:textId="4A4E60E7">
            <w:pPr>
              <w:spacing w:after="0" w:line="240" w:lineRule="auto"/>
              <w:jc w:val="center"/>
              <w:rPr>
                <w:b/>
                <w:szCs w:val="24"/>
              </w:rPr>
            </w:pPr>
            <w:r w:rsidRPr="002C64B6">
              <w:rPr>
                <w:b/>
                <w:szCs w:val="24"/>
              </w:rPr>
              <w:t>Adjusted Hourly Wage</w:t>
            </w:r>
            <w:r w:rsidR="002E2D23">
              <w:rPr>
                <w:b/>
                <w:szCs w:val="24"/>
              </w:rPr>
              <w:t xml:space="preserve">  ($/</w:t>
            </w:r>
            <w:proofErr w:type="spellStart"/>
            <w:r w:rsidR="002E2D23">
              <w:rPr>
                <w:b/>
                <w:szCs w:val="24"/>
              </w:rPr>
              <w:t>hr</w:t>
            </w:r>
            <w:proofErr w:type="spellEnd"/>
            <w:r w:rsidR="002E2D23">
              <w:rPr>
                <w:b/>
                <w:szCs w:val="24"/>
              </w:rPr>
              <w:t>)</w:t>
            </w:r>
          </w:p>
        </w:tc>
      </w:tr>
      <w:tr w:rsidRPr="002C64B6" w:rsidR="004B1789" w:rsidTr="004B1789" w14:paraId="3AA2BDDE" w14:textId="77777777">
        <w:tc>
          <w:tcPr>
            <w:tcW w:w="3600" w:type="dxa"/>
            <w:shd w:val="clear" w:color="auto" w:fill="auto"/>
          </w:tcPr>
          <w:p w:rsidRPr="002C64B6" w:rsidR="004B1789" w:rsidP="004B1789" w:rsidRDefault="000C12C7" w14:paraId="09A3B535" w14:textId="5CC2753D">
            <w:pPr>
              <w:spacing w:after="0" w:line="240" w:lineRule="auto"/>
              <w:rPr>
                <w:szCs w:val="24"/>
              </w:rPr>
            </w:pPr>
            <w:r>
              <w:rPr>
                <w:szCs w:val="24"/>
              </w:rPr>
              <w:t>Data Scientists and Mathematical Science Occupations, All Other</w:t>
            </w:r>
          </w:p>
        </w:tc>
        <w:tc>
          <w:tcPr>
            <w:tcW w:w="1530" w:type="dxa"/>
            <w:shd w:val="clear" w:color="auto" w:fill="auto"/>
          </w:tcPr>
          <w:p w:rsidRPr="002C64B6" w:rsidR="004B1789" w:rsidP="004B1789" w:rsidRDefault="000C12C7" w14:paraId="686B5BB0" w14:textId="46D9E78B">
            <w:pPr>
              <w:spacing w:after="0" w:line="240" w:lineRule="auto"/>
              <w:jc w:val="center"/>
              <w:rPr>
                <w:szCs w:val="24"/>
              </w:rPr>
            </w:pPr>
            <w:r>
              <w:rPr>
                <w:szCs w:val="24"/>
              </w:rPr>
              <w:t>15-2098</w:t>
            </w:r>
          </w:p>
        </w:tc>
        <w:tc>
          <w:tcPr>
            <w:tcW w:w="1800" w:type="dxa"/>
            <w:shd w:val="clear" w:color="auto" w:fill="auto"/>
          </w:tcPr>
          <w:p w:rsidRPr="002C64B6" w:rsidR="004B1789" w:rsidP="008F4641" w:rsidRDefault="000C12C7" w14:paraId="79A959EF" w14:textId="168278AF">
            <w:pPr>
              <w:spacing w:after="0" w:line="240" w:lineRule="auto"/>
              <w:jc w:val="center"/>
              <w:rPr>
                <w:szCs w:val="24"/>
              </w:rPr>
            </w:pPr>
            <w:r>
              <w:rPr>
                <w:szCs w:val="24"/>
              </w:rPr>
              <w:t>49.47</w:t>
            </w:r>
          </w:p>
        </w:tc>
        <w:tc>
          <w:tcPr>
            <w:tcW w:w="1260" w:type="dxa"/>
            <w:shd w:val="clear" w:color="auto" w:fill="auto"/>
          </w:tcPr>
          <w:p w:rsidRPr="002C64B6" w:rsidR="004B1789" w:rsidP="008F4641" w:rsidRDefault="000C12C7" w14:paraId="70EC0E59" w14:textId="2A453954">
            <w:pPr>
              <w:spacing w:after="0" w:line="240" w:lineRule="auto"/>
              <w:jc w:val="center"/>
              <w:rPr>
                <w:szCs w:val="24"/>
              </w:rPr>
            </w:pPr>
            <w:r>
              <w:rPr>
                <w:szCs w:val="24"/>
              </w:rPr>
              <w:t>49.47</w:t>
            </w:r>
          </w:p>
        </w:tc>
        <w:tc>
          <w:tcPr>
            <w:tcW w:w="1710" w:type="dxa"/>
          </w:tcPr>
          <w:p w:rsidRPr="002C64B6" w:rsidR="004B1789" w:rsidP="008F4641" w:rsidRDefault="000C12C7" w14:paraId="2AEF5529" w14:textId="4692ED1B">
            <w:pPr>
              <w:spacing w:after="0" w:line="240" w:lineRule="auto"/>
              <w:jc w:val="center"/>
              <w:rPr>
                <w:szCs w:val="24"/>
              </w:rPr>
            </w:pPr>
            <w:r>
              <w:rPr>
                <w:szCs w:val="24"/>
              </w:rPr>
              <w:t>98.94</w:t>
            </w:r>
          </w:p>
        </w:tc>
      </w:tr>
      <w:tr w:rsidRPr="002C64B6" w:rsidR="004B1789" w:rsidTr="004B1789" w14:paraId="65AB89BE" w14:textId="77777777">
        <w:tc>
          <w:tcPr>
            <w:tcW w:w="3600" w:type="dxa"/>
            <w:shd w:val="clear" w:color="auto" w:fill="auto"/>
          </w:tcPr>
          <w:p w:rsidR="004B1789" w:rsidP="004B1789" w:rsidRDefault="000C12C7" w14:paraId="5C6C84CA" w14:textId="02247606">
            <w:pPr>
              <w:spacing w:after="0" w:line="240" w:lineRule="auto"/>
              <w:rPr>
                <w:szCs w:val="24"/>
              </w:rPr>
            </w:pPr>
            <w:r>
              <w:rPr>
                <w:szCs w:val="24"/>
              </w:rPr>
              <w:t>Project Management Specialists and Business Operations Specialists, All Other</w:t>
            </w:r>
          </w:p>
        </w:tc>
        <w:tc>
          <w:tcPr>
            <w:tcW w:w="1530" w:type="dxa"/>
            <w:shd w:val="clear" w:color="auto" w:fill="auto"/>
          </w:tcPr>
          <w:p w:rsidRPr="002C64B6" w:rsidR="004B1789" w:rsidP="004B1789" w:rsidRDefault="000C12C7" w14:paraId="4A2F22F5" w14:textId="483B6DBA">
            <w:pPr>
              <w:spacing w:after="0" w:line="240" w:lineRule="auto"/>
              <w:jc w:val="center"/>
              <w:rPr>
                <w:szCs w:val="24"/>
              </w:rPr>
            </w:pPr>
            <w:r>
              <w:rPr>
                <w:szCs w:val="24"/>
              </w:rPr>
              <w:t>13-1198</w:t>
            </w:r>
          </w:p>
        </w:tc>
        <w:tc>
          <w:tcPr>
            <w:tcW w:w="1800" w:type="dxa"/>
            <w:shd w:val="clear" w:color="auto" w:fill="auto"/>
          </w:tcPr>
          <w:p w:rsidRPr="002C64B6" w:rsidR="004B1789" w:rsidP="008F4641" w:rsidRDefault="000C12C7" w14:paraId="0D5CF3B0" w14:textId="265C82A7">
            <w:pPr>
              <w:spacing w:after="0" w:line="240" w:lineRule="auto"/>
              <w:jc w:val="center"/>
              <w:rPr>
                <w:szCs w:val="24"/>
              </w:rPr>
            </w:pPr>
            <w:r>
              <w:rPr>
                <w:szCs w:val="24"/>
              </w:rPr>
              <w:t>40.53</w:t>
            </w:r>
          </w:p>
        </w:tc>
        <w:tc>
          <w:tcPr>
            <w:tcW w:w="1260" w:type="dxa"/>
            <w:shd w:val="clear" w:color="auto" w:fill="auto"/>
          </w:tcPr>
          <w:p w:rsidRPr="002C64B6" w:rsidR="004B1789" w:rsidP="008F4641" w:rsidRDefault="000C12C7" w14:paraId="41FD62E1" w14:textId="3CB5134C">
            <w:pPr>
              <w:spacing w:after="0" w:line="240" w:lineRule="auto"/>
              <w:jc w:val="center"/>
              <w:rPr>
                <w:szCs w:val="24"/>
              </w:rPr>
            </w:pPr>
            <w:r>
              <w:rPr>
                <w:szCs w:val="24"/>
              </w:rPr>
              <w:t>40.53</w:t>
            </w:r>
          </w:p>
        </w:tc>
        <w:tc>
          <w:tcPr>
            <w:tcW w:w="1710" w:type="dxa"/>
          </w:tcPr>
          <w:p w:rsidRPr="002C64B6" w:rsidR="004B1789" w:rsidP="008F4641" w:rsidRDefault="000C12C7" w14:paraId="30C73791" w14:textId="0D9F1069">
            <w:pPr>
              <w:spacing w:after="0" w:line="240" w:lineRule="auto"/>
              <w:jc w:val="center"/>
              <w:rPr>
                <w:szCs w:val="24"/>
              </w:rPr>
            </w:pPr>
            <w:r>
              <w:rPr>
                <w:szCs w:val="24"/>
              </w:rPr>
              <w:t>81.06</w:t>
            </w:r>
          </w:p>
        </w:tc>
      </w:tr>
    </w:tbl>
    <w:p w:rsidRPr="002C64B6" w:rsidR="00CB7E59" w:rsidP="008111D2" w:rsidRDefault="00CB7E59" w14:paraId="105ABB6D" w14:textId="77777777">
      <w:pPr>
        <w:spacing w:after="0" w:line="240" w:lineRule="auto"/>
        <w:rPr>
          <w:szCs w:val="24"/>
        </w:rPr>
      </w:pPr>
    </w:p>
    <w:p w:rsidR="002B342B" w:rsidP="002B342B" w:rsidRDefault="002B342B" w14:paraId="7D301524" w14:textId="1D79CAE9">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B7E59" w:rsidP="008111D2" w:rsidRDefault="00CB7E59" w14:paraId="1F5CDEA0" w14:textId="65FB025E">
      <w:pPr>
        <w:spacing w:after="0" w:line="240" w:lineRule="auto"/>
        <w:rPr>
          <w:szCs w:val="24"/>
        </w:rPr>
      </w:pPr>
    </w:p>
    <w:p w:rsidRPr="00251BCB" w:rsidR="00251BCB" w:rsidP="008111D2" w:rsidRDefault="00251BCB" w14:paraId="6996C2A3" w14:textId="6C2E992A">
      <w:pPr>
        <w:spacing w:after="0" w:line="240" w:lineRule="auto"/>
        <w:rPr>
          <w:i/>
          <w:szCs w:val="24"/>
        </w:rPr>
      </w:pPr>
      <w:r w:rsidRPr="00251BCB">
        <w:rPr>
          <w:i/>
          <w:szCs w:val="24"/>
        </w:rPr>
        <w:t xml:space="preserve">Collection of Information Requirements and Associated Burden Estimates </w:t>
      </w:r>
    </w:p>
    <w:p w:rsidR="00251BCB" w:rsidP="008111D2" w:rsidRDefault="00251BCB" w14:paraId="52B6CC3B" w14:textId="77777777">
      <w:pPr>
        <w:spacing w:after="0" w:line="240" w:lineRule="auto"/>
        <w:rPr>
          <w:szCs w:val="24"/>
        </w:rPr>
      </w:pPr>
    </w:p>
    <w:p w:rsidR="002F544E" w:rsidP="008111D2" w:rsidRDefault="002F544E" w14:paraId="7961052E" w14:textId="6FBEF549">
      <w:pPr>
        <w:spacing w:after="0" w:line="240" w:lineRule="auto"/>
      </w:pPr>
      <w:r w:rsidRPr="002B418D">
        <w:t xml:space="preserve">The burden associated </w:t>
      </w:r>
      <w:r w:rsidRPr="002B418D" w:rsidR="00191A10">
        <w:t xml:space="preserve">with the Unwinding Data Collection </w:t>
      </w:r>
      <w:r w:rsidRPr="002B418D">
        <w:rPr>
          <w:szCs w:val="24"/>
        </w:rPr>
        <w:t>consist</w:t>
      </w:r>
      <w:r w:rsidRPr="002B418D" w:rsidR="00191A10">
        <w:rPr>
          <w:szCs w:val="24"/>
        </w:rPr>
        <w:t>s</w:t>
      </w:r>
      <w:r w:rsidRPr="002B418D">
        <w:rPr>
          <w:szCs w:val="24"/>
        </w:rPr>
        <w:t xml:space="preserve"> of </w:t>
      </w:r>
      <w:r w:rsidRPr="002B418D">
        <w:t xml:space="preserve">the time and effort for </w:t>
      </w:r>
      <w:r w:rsidRPr="002B418D" w:rsidR="002421C0">
        <w:t>the</w:t>
      </w:r>
      <w:r w:rsidRPr="002B418D">
        <w:t xml:space="preserve"> state to pull</w:t>
      </w:r>
      <w:r w:rsidRPr="002B418D" w:rsidR="0016302E">
        <w:t xml:space="preserve"> and analyze data for accuracy and completeness </w:t>
      </w:r>
      <w:r w:rsidRPr="002B418D" w:rsidR="00191A10">
        <w:t>and to submit the data through the designated reporting mechanism.</w:t>
      </w:r>
    </w:p>
    <w:p w:rsidR="009677D8" w:rsidP="008111D2" w:rsidRDefault="009677D8" w14:paraId="0BD4D7BA" w14:textId="2EAEFA4B">
      <w:pPr>
        <w:spacing w:after="0" w:line="240" w:lineRule="auto"/>
      </w:pPr>
    </w:p>
    <w:p w:rsidRPr="00570120" w:rsidR="00912F0A" w:rsidP="00912F0A" w:rsidRDefault="00912F0A" w14:paraId="3F357DD3" w14:textId="77777777">
      <w:pPr>
        <w:spacing w:after="0" w:line="240" w:lineRule="auto"/>
        <w:rPr>
          <w:szCs w:val="24"/>
        </w:rPr>
      </w:pPr>
      <w:r w:rsidRPr="00B25DD1">
        <w:t xml:space="preserve">There </w:t>
      </w:r>
      <w:r>
        <w:t>are</w:t>
      </w:r>
      <w:r w:rsidRPr="00B25DD1">
        <w:t xml:space="preserve"> a </w:t>
      </w:r>
      <w:r>
        <w:t xml:space="preserve">total of </w:t>
      </w:r>
      <w:r w:rsidRPr="00B25DD1">
        <w:t>56 respondent states and territories</w:t>
      </w:r>
      <w:r>
        <w:t xml:space="preserve"> who may submit </w:t>
      </w:r>
      <w:r w:rsidRPr="00B25DD1">
        <w:t>the</w:t>
      </w:r>
      <w:r>
        <w:t xml:space="preserve"> Unwinding Data Report forms and the State Renewals Report</w:t>
      </w:r>
      <w:r w:rsidRPr="00B25DD1">
        <w:t>.</w:t>
      </w:r>
    </w:p>
    <w:p w:rsidR="00912F0A" w:rsidP="008111D2" w:rsidRDefault="00912F0A" w14:paraId="3352CFF9" w14:textId="00E9EF44">
      <w:pPr>
        <w:spacing w:after="0" w:line="240" w:lineRule="auto"/>
      </w:pPr>
    </w:p>
    <w:p w:rsidR="001627F7" w:rsidP="008111D2" w:rsidRDefault="001627F7" w14:paraId="298CC485" w14:textId="6BC7EF0F">
      <w:pPr>
        <w:spacing w:after="0" w:line="240" w:lineRule="auto"/>
      </w:pPr>
      <w:r>
        <w:rPr>
          <w:szCs w:val="24"/>
        </w:rPr>
        <w:t>Unwinding Data Report</w:t>
      </w:r>
    </w:p>
    <w:p w:rsidR="001627F7" w:rsidP="008111D2" w:rsidRDefault="001627F7" w14:paraId="16D50209" w14:textId="77777777">
      <w:pPr>
        <w:spacing w:after="0" w:line="240" w:lineRule="auto"/>
      </w:pPr>
    </w:p>
    <w:p w:rsidR="00912F0A" w:rsidP="00912F0A" w:rsidRDefault="00912F0A" w14:paraId="18F901FC" w14:textId="449A7CA5">
      <w:pPr>
        <w:spacing w:after="0" w:line="240" w:lineRule="auto"/>
        <w:rPr>
          <w:szCs w:val="24"/>
        </w:rPr>
      </w:pPr>
      <w:r>
        <w:rPr>
          <w:szCs w:val="24"/>
        </w:rPr>
        <w:t xml:space="preserve">Respondents will submit the Unwinding Data Report baseline form to CMS once. CMS expects that a Data Scientist would need 8 hours </w:t>
      </w:r>
      <w:r w:rsidR="000F7DB1">
        <w:rPr>
          <w:szCs w:val="24"/>
        </w:rPr>
        <w:t>at $</w:t>
      </w:r>
      <w:r w:rsidRPr="000F7DB1" w:rsidR="000F7DB1">
        <w:rPr>
          <w:szCs w:val="24"/>
        </w:rPr>
        <w:t>98.94</w:t>
      </w:r>
      <w:r w:rsidR="000F7DB1">
        <w:rPr>
          <w:szCs w:val="24"/>
        </w:rPr>
        <w:t>/</w:t>
      </w:r>
      <w:proofErr w:type="spellStart"/>
      <w:r w:rsidR="000F7DB1">
        <w:rPr>
          <w:szCs w:val="24"/>
        </w:rPr>
        <w:t>hr</w:t>
      </w:r>
      <w:proofErr w:type="spellEnd"/>
      <w:r w:rsidR="000F7DB1">
        <w:rPr>
          <w:szCs w:val="24"/>
        </w:rPr>
        <w:t xml:space="preserve"> </w:t>
      </w:r>
      <w:r>
        <w:rPr>
          <w:szCs w:val="24"/>
        </w:rPr>
        <w:t xml:space="preserve">to complete and submit the </w:t>
      </w:r>
      <w:r w:rsidR="000F7DB1">
        <w:rPr>
          <w:szCs w:val="24"/>
        </w:rPr>
        <w:t>report.</w:t>
      </w:r>
      <w:r>
        <w:rPr>
          <w:szCs w:val="24"/>
        </w:rPr>
        <w:t xml:space="preserve">  </w:t>
      </w:r>
      <w:r w:rsidR="000F7DB1">
        <w:rPr>
          <w:szCs w:val="24"/>
        </w:rPr>
        <w:t>For reporting the baseline dat</w:t>
      </w:r>
      <w:r w:rsidR="00AA516C">
        <w:rPr>
          <w:szCs w:val="24"/>
        </w:rPr>
        <w:t>a</w:t>
      </w:r>
      <w:r w:rsidR="000F7DB1">
        <w:rPr>
          <w:szCs w:val="24"/>
        </w:rPr>
        <w:t xml:space="preserve">, we estimate a one-time burden of 448 hours (8 </w:t>
      </w:r>
      <w:proofErr w:type="spellStart"/>
      <w:r w:rsidR="000F7DB1">
        <w:rPr>
          <w:szCs w:val="24"/>
        </w:rPr>
        <w:t>hr</w:t>
      </w:r>
      <w:proofErr w:type="spellEnd"/>
      <w:r w:rsidR="000F7DB1">
        <w:rPr>
          <w:szCs w:val="24"/>
        </w:rPr>
        <w:t xml:space="preserve"> x 56 respondents) at a cost of </w:t>
      </w:r>
      <w:r w:rsidRPr="000C12C7">
        <w:rPr>
          <w:szCs w:val="24"/>
        </w:rPr>
        <w:t>$44,325</w:t>
      </w:r>
      <w:r>
        <w:rPr>
          <w:szCs w:val="24"/>
        </w:rPr>
        <w:t xml:space="preserve"> </w:t>
      </w:r>
      <w:r w:rsidR="000F7DB1">
        <w:rPr>
          <w:szCs w:val="24"/>
        </w:rPr>
        <w:t xml:space="preserve">(448 </w:t>
      </w:r>
      <w:proofErr w:type="spellStart"/>
      <w:r w:rsidR="000F7DB1">
        <w:rPr>
          <w:szCs w:val="24"/>
        </w:rPr>
        <w:t>hr</w:t>
      </w:r>
      <w:proofErr w:type="spellEnd"/>
      <w:r w:rsidR="000F7DB1">
        <w:rPr>
          <w:szCs w:val="24"/>
        </w:rPr>
        <w:t xml:space="preserve"> x $</w:t>
      </w:r>
      <w:r w:rsidRPr="000F7DB1" w:rsidR="000F7DB1">
        <w:rPr>
          <w:szCs w:val="24"/>
        </w:rPr>
        <w:t>98.94</w:t>
      </w:r>
      <w:r w:rsidR="000F7DB1">
        <w:rPr>
          <w:szCs w:val="24"/>
        </w:rPr>
        <w:t>/</w:t>
      </w:r>
      <w:proofErr w:type="spellStart"/>
      <w:r w:rsidR="000F7DB1">
        <w:rPr>
          <w:szCs w:val="24"/>
        </w:rPr>
        <w:t>hr</w:t>
      </w:r>
      <w:proofErr w:type="spellEnd"/>
      <w:r w:rsidR="000F7DB1">
        <w:rPr>
          <w:szCs w:val="24"/>
        </w:rPr>
        <w:t>).</w:t>
      </w:r>
    </w:p>
    <w:p w:rsidR="00912F0A" w:rsidP="00912F0A" w:rsidRDefault="00912F0A" w14:paraId="23CDE8A1" w14:textId="77777777">
      <w:pPr>
        <w:spacing w:after="0" w:line="240" w:lineRule="auto"/>
        <w:rPr>
          <w:szCs w:val="24"/>
        </w:rPr>
      </w:pPr>
    </w:p>
    <w:p w:rsidR="00912F0A" w:rsidP="00912F0A" w:rsidRDefault="00643FDB" w14:paraId="2D62384A" w14:textId="1A2DE62C">
      <w:pPr>
        <w:spacing w:after="0" w:line="240" w:lineRule="auto"/>
        <w:rPr>
          <w:szCs w:val="24"/>
        </w:rPr>
      </w:pPr>
      <w:r>
        <w:rPr>
          <w:szCs w:val="24"/>
        </w:rPr>
        <w:t>S</w:t>
      </w:r>
      <w:r w:rsidR="00912F0A">
        <w:rPr>
          <w:szCs w:val="24"/>
        </w:rPr>
        <w:t xml:space="preserve">tates </w:t>
      </w:r>
      <w:r>
        <w:rPr>
          <w:szCs w:val="24"/>
        </w:rPr>
        <w:t xml:space="preserve">also need to </w:t>
      </w:r>
      <w:r w:rsidR="00912F0A">
        <w:rPr>
          <w:szCs w:val="24"/>
        </w:rPr>
        <w:t xml:space="preserve">submit a monthly Data Report. CMS expects that a Data Scientist would need 17 hours </w:t>
      </w:r>
      <w:r w:rsidR="004C2F53">
        <w:rPr>
          <w:szCs w:val="24"/>
        </w:rPr>
        <w:t>at $</w:t>
      </w:r>
      <w:r w:rsidRPr="000F7DB1" w:rsidR="004C2F53">
        <w:rPr>
          <w:szCs w:val="24"/>
        </w:rPr>
        <w:t>98.94</w:t>
      </w:r>
      <w:r w:rsidR="004C2F53">
        <w:rPr>
          <w:szCs w:val="24"/>
        </w:rPr>
        <w:t>/</w:t>
      </w:r>
      <w:proofErr w:type="spellStart"/>
      <w:r w:rsidR="004C2F53">
        <w:rPr>
          <w:szCs w:val="24"/>
        </w:rPr>
        <w:t>hr</w:t>
      </w:r>
      <w:proofErr w:type="spellEnd"/>
      <w:r w:rsidR="004C2F53">
        <w:rPr>
          <w:szCs w:val="24"/>
        </w:rPr>
        <w:t xml:space="preserve"> </w:t>
      </w:r>
      <w:r w:rsidR="00912F0A">
        <w:rPr>
          <w:szCs w:val="24"/>
        </w:rPr>
        <w:t xml:space="preserve">to complete and submit the </w:t>
      </w:r>
      <w:r w:rsidR="004C2F53">
        <w:rPr>
          <w:szCs w:val="24"/>
        </w:rPr>
        <w:t>report.</w:t>
      </w:r>
      <w:r w:rsidR="00912F0A">
        <w:rPr>
          <w:szCs w:val="24"/>
        </w:rPr>
        <w:t xml:space="preserve">   </w:t>
      </w:r>
      <w:r w:rsidR="004C2F53">
        <w:rPr>
          <w:szCs w:val="24"/>
        </w:rPr>
        <w:t xml:space="preserve">The </w:t>
      </w:r>
      <w:r w:rsidR="00912F0A">
        <w:rPr>
          <w:szCs w:val="24"/>
        </w:rPr>
        <w:t>report will be submitted to CMS for 14 months</w:t>
      </w:r>
      <w:r w:rsidR="004C2F53">
        <w:rPr>
          <w:szCs w:val="24"/>
        </w:rPr>
        <w:t xml:space="preserve">. </w:t>
      </w:r>
      <w:r w:rsidR="00912F0A">
        <w:rPr>
          <w:szCs w:val="24"/>
        </w:rPr>
        <w:t xml:space="preserve">CMS </w:t>
      </w:r>
      <w:r w:rsidR="004C2F53">
        <w:rPr>
          <w:szCs w:val="24"/>
        </w:rPr>
        <w:t xml:space="preserve">estimates a Year 1 burden of </w:t>
      </w:r>
      <w:r w:rsidRPr="004C2F53" w:rsidR="004C2F53">
        <w:rPr>
          <w:szCs w:val="24"/>
        </w:rPr>
        <w:t xml:space="preserve">11,424 </w:t>
      </w:r>
      <w:r w:rsidR="004C2F53">
        <w:rPr>
          <w:szCs w:val="24"/>
        </w:rPr>
        <w:t xml:space="preserve">hours (17 </w:t>
      </w:r>
      <w:proofErr w:type="spellStart"/>
      <w:r w:rsidR="004C2F53">
        <w:rPr>
          <w:szCs w:val="24"/>
        </w:rPr>
        <w:t>hr</w:t>
      </w:r>
      <w:proofErr w:type="spellEnd"/>
      <w:r w:rsidR="004C2F53">
        <w:rPr>
          <w:szCs w:val="24"/>
        </w:rPr>
        <w:t>/report x 12 reports x 56 respondents) at a cost of $</w:t>
      </w:r>
      <w:r w:rsidRPr="004C2F53" w:rsidR="004C2F53">
        <w:rPr>
          <w:szCs w:val="24"/>
        </w:rPr>
        <w:t>1,130,29</w:t>
      </w:r>
      <w:r w:rsidR="004C2F53">
        <w:rPr>
          <w:szCs w:val="24"/>
        </w:rPr>
        <w:t>1</w:t>
      </w:r>
      <w:r w:rsidRPr="004C2F53" w:rsidR="004C2F53">
        <w:rPr>
          <w:szCs w:val="24"/>
        </w:rPr>
        <w:t xml:space="preserve"> </w:t>
      </w:r>
      <w:r w:rsidR="004C2F53">
        <w:rPr>
          <w:szCs w:val="24"/>
        </w:rPr>
        <w:t>(</w:t>
      </w:r>
      <w:r w:rsidRPr="004C2F53" w:rsidR="004C2F53">
        <w:rPr>
          <w:szCs w:val="24"/>
        </w:rPr>
        <w:t xml:space="preserve">11,424 </w:t>
      </w:r>
      <w:proofErr w:type="spellStart"/>
      <w:r w:rsidR="004C2F53">
        <w:rPr>
          <w:szCs w:val="24"/>
        </w:rPr>
        <w:t>hr</w:t>
      </w:r>
      <w:proofErr w:type="spellEnd"/>
      <w:r w:rsidR="004C2F53">
        <w:rPr>
          <w:szCs w:val="24"/>
        </w:rPr>
        <w:t xml:space="preserve"> x $</w:t>
      </w:r>
      <w:r w:rsidRPr="000F7DB1" w:rsidR="004C2F53">
        <w:rPr>
          <w:szCs w:val="24"/>
        </w:rPr>
        <w:t>98.94</w:t>
      </w:r>
      <w:r w:rsidR="004C2F53">
        <w:rPr>
          <w:szCs w:val="24"/>
        </w:rPr>
        <w:t>/</w:t>
      </w:r>
      <w:proofErr w:type="spellStart"/>
      <w:r w:rsidR="004C2F53">
        <w:rPr>
          <w:szCs w:val="24"/>
        </w:rPr>
        <w:t>hr</w:t>
      </w:r>
      <w:proofErr w:type="spellEnd"/>
      <w:r w:rsidR="004C2F53">
        <w:rPr>
          <w:szCs w:val="24"/>
        </w:rPr>
        <w:t xml:space="preserve">). We also estimate a Year 2 burden of </w:t>
      </w:r>
      <w:r w:rsidRPr="004C2F53" w:rsidR="004C2F53">
        <w:rPr>
          <w:szCs w:val="24"/>
        </w:rPr>
        <w:t>1,</w:t>
      </w:r>
      <w:r w:rsidR="004C2F53">
        <w:rPr>
          <w:szCs w:val="24"/>
        </w:rPr>
        <w:t>90</w:t>
      </w:r>
      <w:r w:rsidRPr="004C2F53" w:rsidR="004C2F53">
        <w:rPr>
          <w:szCs w:val="24"/>
        </w:rPr>
        <w:t xml:space="preserve">4 </w:t>
      </w:r>
      <w:r w:rsidR="004C2F53">
        <w:rPr>
          <w:szCs w:val="24"/>
        </w:rPr>
        <w:t xml:space="preserve">hours (17 </w:t>
      </w:r>
      <w:proofErr w:type="spellStart"/>
      <w:r w:rsidR="004C2F53">
        <w:rPr>
          <w:szCs w:val="24"/>
        </w:rPr>
        <w:t>hr</w:t>
      </w:r>
      <w:proofErr w:type="spellEnd"/>
      <w:r w:rsidR="004C2F53">
        <w:rPr>
          <w:szCs w:val="24"/>
        </w:rPr>
        <w:t>/report x 2 reports x 56 respondents) at a cost of $</w:t>
      </w:r>
      <w:r w:rsidRPr="004C2F53" w:rsidR="004C2F53">
        <w:rPr>
          <w:szCs w:val="24"/>
        </w:rPr>
        <w:t>188,38</w:t>
      </w:r>
      <w:r w:rsidR="004C2F53">
        <w:rPr>
          <w:szCs w:val="24"/>
        </w:rPr>
        <w:t>2</w:t>
      </w:r>
      <w:r w:rsidRPr="004C2F53" w:rsidR="004C2F53">
        <w:rPr>
          <w:szCs w:val="24"/>
        </w:rPr>
        <w:t xml:space="preserve"> </w:t>
      </w:r>
      <w:r w:rsidR="004C2F53">
        <w:rPr>
          <w:szCs w:val="24"/>
        </w:rPr>
        <w:t>(</w:t>
      </w:r>
      <w:r w:rsidRPr="004C2F53" w:rsidR="004C2F53">
        <w:rPr>
          <w:szCs w:val="24"/>
        </w:rPr>
        <w:t>1,</w:t>
      </w:r>
      <w:r w:rsidR="004C2F53">
        <w:rPr>
          <w:szCs w:val="24"/>
        </w:rPr>
        <w:t>90</w:t>
      </w:r>
      <w:r w:rsidRPr="004C2F53" w:rsidR="004C2F53">
        <w:rPr>
          <w:szCs w:val="24"/>
        </w:rPr>
        <w:t xml:space="preserve">4 </w:t>
      </w:r>
      <w:proofErr w:type="spellStart"/>
      <w:r w:rsidR="004C2F53">
        <w:rPr>
          <w:szCs w:val="24"/>
        </w:rPr>
        <w:t>hr</w:t>
      </w:r>
      <w:proofErr w:type="spellEnd"/>
      <w:r w:rsidR="004C2F53">
        <w:rPr>
          <w:szCs w:val="24"/>
        </w:rPr>
        <w:t xml:space="preserve"> x $</w:t>
      </w:r>
      <w:r w:rsidRPr="000F7DB1" w:rsidR="004C2F53">
        <w:rPr>
          <w:szCs w:val="24"/>
        </w:rPr>
        <w:t>98.94</w:t>
      </w:r>
      <w:r w:rsidR="004C2F53">
        <w:rPr>
          <w:szCs w:val="24"/>
        </w:rPr>
        <w:t>/</w:t>
      </w:r>
      <w:proofErr w:type="spellStart"/>
      <w:r w:rsidR="004C2F53">
        <w:rPr>
          <w:szCs w:val="24"/>
        </w:rPr>
        <w:t>hr</w:t>
      </w:r>
      <w:proofErr w:type="spellEnd"/>
      <w:r w:rsidR="004C2F53">
        <w:rPr>
          <w:szCs w:val="24"/>
        </w:rPr>
        <w:t>).</w:t>
      </w:r>
      <w:r w:rsidR="00912F0A">
        <w:rPr>
          <w:szCs w:val="24"/>
        </w:rPr>
        <w:t xml:space="preserve"> </w:t>
      </w:r>
    </w:p>
    <w:p w:rsidRPr="00F94DED" w:rsidR="00912F0A" w:rsidP="00912F0A" w:rsidRDefault="00912F0A" w14:paraId="2C163385" w14:textId="7D58C223">
      <w:pPr>
        <w:spacing w:after="0" w:line="240" w:lineRule="auto"/>
        <w:rPr>
          <w:szCs w:val="24"/>
        </w:rPr>
      </w:pPr>
    </w:p>
    <w:p w:rsidRPr="00F94DED" w:rsidR="00F94DED" w:rsidP="00912F0A" w:rsidRDefault="00F94DED" w14:paraId="511CAECD" w14:textId="24A98ADE">
      <w:pPr>
        <w:spacing w:after="0" w:line="240" w:lineRule="auto"/>
        <w:rPr>
          <w:szCs w:val="24"/>
        </w:rPr>
      </w:pPr>
      <w:r>
        <w:rPr>
          <w:szCs w:val="24"/>
        </w:rPr>
        <w:t xml:space="preserve">Although we </w:t>
      </w:r>
      <w:r w:rsidRPr="00F94DED">
        <w:rPr>
          <w:szCs w:val="24"/>
        </w:rPr>
        <w:t>expect states to report for 14 months</w:t>
      </w:r>
      <w:r>
        <w:rPr>
          <w:szCs w:val="24"/>
        </w:rPr>
        <w:t>, t</w:t>
      </w:r>
      <w:r w:rsidRPr="00F94DED">
        <w:rPr>
          <w:szCs w:val="24"/>
        </w:rPr>
        <w:t xml:space="preserve">here may be a few states that are asked to report data beyond this 14-month timeline if they </w:t>
      </w:r>
      <w:r w:rsidR="0059121C">
        <w:rPr>
          <w:szCs w:val="24"/>
        </w:rPr>
        <w:t xml:space="preserve">do </w:t>
      </w:r>
      <w:r w:rsidRPr="00F94DED">
        <w:rPr>
          <w:szCs w:val="24"/>
        </w:rPr>
        <w:t xml:space="preserve">not meet the milestones as required by guidance. We are not </w:t>
      </w:r>
      <w:r>
        <w:rPr>
          <w:szCs w:val="24"/>
        </w:rPr>
        <w:t>setting out such burden since</w:t>
      </w:r>
      <w:r w:rsidR="0059121C">
        <w:rPr>
          <w:szCs w:val="24"/>
        </w:rPr>
        <w:t xml:space="preserve"> </w:t>
      </w:r>
      <w:r w:rsidR="00C53AEF">
        <w:rPr>
          <w:szCs w:val="24"/>
        </w:rPr>
        <w:t xml:space="preserve">the follow up request would be on a </w:t>
      </w:r>
      <w:proofErr w:type="spellStart"/>
      <w:r w:rsidRPr="00C53AEF" w:rsidR="00C53AEF">
        <w:rPr>
          <w:szCs w:val="24"/>
        </w:rPr>
        <w:t>nonstandardized</w:t>
      </w:r>
      <w:proofErr w:type="spellEnd"/>
      <w:r w:rsidRPr="00C53AEF" w:rsidR="00C53AEF">
        <w:rPr>
          <w:szCs w:val="24"/>
        </w:rPr>
        <w:t xml:space="preserve"> </w:t>
      </w:r>
      <w:r w:rsidR="00C53AEF">
        <w:rPr>
          <w:szCs w:val="24"/>
        </w:rPr>
        <w:t xml:space="preserve">case by case basis. </w:t>
      </w:r>
    </w:p>
    <w:p w:rsidR="00F94DED" w:rsidP="00912F0A" w:rsidRDefault="00F94DED" w14:paraId="211A6526" w14:textId="77777777">
      <w:pPr>
        <w:spacing w:after="0" w:line="240" w:lineRule="auto"/>
        <w:rPr>
          <w:i/>
          <w:szCs w:val="24"/>
        </w:rPr>
      </w:pPr>
    </w:p>
    <w:p w:rsidR="001627F7" w:rsidP="00912F0A" w:rsidRDefault="001627F7" w14:paraId="5A37F129" w14:textId="2D807A55">
      <w:pPr>
        <w:spacing w:after="0" w:line="240" w:lineRule="auto"/>
        <w:rPr>
          <w:i/>
          <w:szCs w:val="24"/>
        </w:rPr>
      </w:pPr>
      <w:r w:rsidRPr="00570120">
        <w:rPr>
          <w:szCs w:val="24"/>
        </w:rPr>
        <w:t xml:space="preserve">State </w:t>
      </w:r>
      <w:r>
        <w:rPr>
          <w:szCs w:val="24"/>
        </w:rPr>
        <w:t>Renewals Report</w:t>
      </w:r>
    </w:p>
    <w:p w:rsidR="001627F7" w:rsidP="00912F0A" w:rsidRDefault="001627F7" w14:paraId="457B7D3E" w14:textId="77777777">
      <w:pPr>
        <w:spacing w:after="0" w:line="240" w:lineRule="auto"/>
        <w:rPr>
          <w:i/>
          <w:szCs w:val="24"/>
        </w:rPr>
      </w:pPr>
    </w:p>
    <w:p w:rsidR="00912F0A" w:rsidP="00912F0A" w:rsidRDefault="00912F0A" w14:paraId="6AC3377A" w14:textId="174126A4">
      <w:pPr>
        <w:spacing w:after="0" w:line="240" w:lineRule="auto"/>
        <w:rPr>
          <w:szCs w:val="24"/>
        </w:rPr>
      </w:pPr>
      <w:r w:rsidRPr="00570120">
        <w:rPr>
          <w:szCs w:val="24"/>
        </w:rPr>
        <w:t xml:space="preserve">Respondents will submit the State </w:t>
      </w:r>
      <w:r>
        <w:rPr>
          <w:szCs w:val="24"/>
        </w:rPr>
        <w:t>Renewals Report to CMS</w:t>
      </w:r>
      <w:r w:rsidRPr="00570120">
        <w:rPr>
          <w:szCs w:val="24"/>
        </w:rPr>
        <w:t xml:space="preserve"> once. CMS expects that a Business Operations Specialist would need 8 hours </w:t>
      </w:r>
      <w:r w:rsidR="00656C2D">
        <w:rPr>
          <w:szCs w:val="24"/>
        </w:rPr>
        <w:t xml:space="preserve">at </w:t>
      </w:r>
      <w:r w:rsidRPr="00570120" w:rsidR="00656C2D">
        <w:rPr>
          <w:szCs w:val="24"/>
        </w:rPr>
        <w:t>$81.06</w:t>
      </w:r>
      <w:r w:rsidR="00656C2D">
        <w:rPr>
          <w:szCs w:val="24"/>
        </w:rPr>
        <w:t>/</w:t>
      </w:r>
      <w:proofErr w:type="spellStart"/>
      <w:r w:rsidR="00656C2D">
        <w:rPr>
          <w:szCs w:val="24"/>
        </w:rPr>
        <w:t>hr</w:t>
      </w:r>
      <w:proofErr w:type="spellEnd"/>
      <w:r w:rsidR="00656C2D">
        <w:rPr>
          <w:szCs w:val="24"/>
        </w:rPr>
        <w:t xml:space="preserve"> </w:t>
      </w:r>
      <w:r w:rsidRPr="00570120">
        <w:rPr>
          <w:szCs w:val="24"/>
        </w:rPr>
        <w:t>to complete and submit th</w:t>
      </w:r>
      <w:r w:rsidR="00656C2D">
        <w:rPr>
          <w:szCs w:val="24"/>
        </w:rPr>
        <w:t>e report.</w:t>
      </w:r>
      <w:r w:rsidRPr="00570120">
        <w:rPr>
          <w:szCs w:val="24"/>
        </w:rPr>
        <w:t xml:space="preserve"> </w:t>
      </w:r>
      <w:r>
        <w:rPr>
          <w:szCs w:val="24"/>
        </w:rPr>
        <w:t xml:space="preserve">In aggregate, we estimate </w:t>
      </w:r>
      <w:r w:rsidR="00656C2D">
        <w:rPr>
          <w:szCs w:val="24"/>
        </w:rPr>
        <w:t xml:space="preserve">a one-time burden of </w:t>
      </w:r>
      <w:r>
        <w:rPr>
          <w:szCs w:val="24"/>
        </w:rPr>
        <w:t xml:space="preserve">448 hours (56 respondents x 8 </w:t>
      </w:r>
      <w:proofErr w:type="spellStart"/>
      <w:r w:rsidRPr="002B439E">
        <w:rPr>
          <w:szCs w:val="24"/>
        </w:rPr>
        <w:t>h</w:t>
      </w:r>
      <w:r w:rsidR="00FF351D">
        <w:rPr>
          <w:szCs w:val="24"/>
        </w:rPr>
        <w:t>r</w:t>
      </w:r>
      <w:proofErr w:type="spellEnd"/>
      <w:r>
        <w:rPr>
          <w:szCs w:val="24"/>
        </w:rPr>
        <w:t>) at a cost of $36,31</w:t>
      </w:r>
      <w:r w:rsidR="00656C2D">
        <w:rPr>
          <w:szCs w:val="24"/>
        </w:rPr>
        <w:t>5</w:t>
      </w:r>
      <w:r>
        <w:rPr>
          <w:szCs w:val="24"/>
        </w:rPr>
        <w:t xml:space="preserve"> (44</w:t>
      </w:r>
      <w:r w:rsidR="00421BC1">
        <w:rPr>
          <w:szCs w:val="24"/>
        </w:rPr>
        <w:t>8</w:t>
      </w:r>
      <w:r>
        <w:rPr>
          <w:szCs w:val="24"/>
        </w:rPr>
        <w:t xml:space="preserve"> </w:t>
      </w:r>
      <w:proofErr w:type="spellStart"/>
      <w:r w:rsidRPr="002B439E">
        <w:rPr>
          <w:szCs w:val="24"/>
        </w:rPr>
        <w:t>h</w:t>
      </w:r>
      <w:r w:rsidR="002B439E">
        <w:rPr>
          <w:szCs w:val="24"/>
        </w:rPr>
        <w:t>r</w:t>
      </w:r>
      <w:proofErr w:type="spellEnd"/>
      <w:r w:rsidRPr="002B439E">
        <w:rPr>
          <w:szCs w:val="24"/>
        </w:rPr>
        <w:t xml:space="preserve"> </w:t>
      </w:r>
      <w:r>
        <w:rPr>
          <w:szCs w:val="24"/>
        </w:rPr>
        <w:t>x $81.</w:t>
      </w:r>
      <w:r w:rsidRPr="002B439E">
        <w:rPr>
          <w:szCs w:val="24"/>
        </w:rPr>
        <w:t>06</w:t>
      </w:r>
      <w:r w:rsidR="00FF351D">
        <w:rPr>
          <w:szCs w:val="24"/>
        </w:rPr>
        <w:t>/</w:t>
      </w:r>
      <w:proofErr w:type="spellStart"/>
      <w:r w:rsidR="00FF351D">
        <w:rPr>
          <w:szCs w:val="24"/>
        </w:rPr>
        <w:t>hr</w:t>
      </w:r>
      <w:proofErr w:type="spellEnd"/>
      <w:r>
        <w:rPr>
          <w:szCs w:val="24"/>
        </w:rPr>
        <w:t>).</w:t>
      </w:r>
    </w:p>
    <w:p w:rsidR="00912F0A" w:rsidP="00912F0A" w:rsidRDefault="00912F0A" w14:paraId="5E342C12" w14:textId="77777777">
      <w:pPr>
        <w:spacing w:after="0" w:line="240" w:lineRule="auto"/>
        <w:rPr>
          <w:szCs w:val="24"/>
        </w:rPr>
      </w:pPr>
    </w:p>
    <w:p w:rsidRPr="002B439E" w:rsidR="00912F0A" w:rsidP="008111D2" w:rsidRDefault="00912F0A" w14:paraId="722395B0" w14:textId="727DCB1B">
      <w:pPr>
        <w:spacing w:after="0" w:line="240" w:lineRule="auto"/>
        <w:rPr>
          <w:i/>
        </w:rPr>
      </w:pPr>
      <w:r w:rsidRPr="002B439E">
        <w:rPr>
          <w:i/>
        </w:rPr>
        <w:t>Burden Summary</w:t>
      </w:r>
    </w:p>
    <w:p w:rsidR="00912F0A" w:rsidP="008111D2" w:rsidRDefault="00912F0A" w14:paraId="5E23EFAA" w14:textId="77777777">
      <w:pPr>
        <w:spacing w:after="0" w:line="240" w:lineRule="auto"/>
      </w:pPr>
    </w:p>
    <w:p w:rsidRPr="000C12C7" w:rsidR="0016302E" w:rsidP="00C042D4" w:rsidRDefault="0016302E" w14:paraId="1400F73F" w14:textId="397419B3">
      <w:pPr>
        <w:spacing w:after="0" w:line="240" w:lineRule="auto"/>
        <w:jc w:val="center"/>
        <w:rPr>
          <w:b/>
          <w:szCs w:val="24"/>
        </w:rPr>
      </w:pPr>
      <w:r w:rsidRPr="000C12C7">
        <w:rPr>
          <w:b/>
          <w:szCs w:val="24"/>
        </w:rPr>
        <w:t xml:space="preserve">Unwinding </w:t>
      </w:r>
      <w:r w:rsidR="00C042D4">
        <w:rPr>
          <w:b/>
          <w:szCs w:val="24"/>
        </w:rPr>
        <w:t>Data Report and State Renewals Report</w:t>
      </w:r>
      <w:r w:rsidR="00912F0A">
        <w:rPr>
          <w:b/>
          <w:szCs w:val="24"/>
        </w:rPr>
        <w:t xml:space="preserve"> Burden</w:t>
      </w:r>
    </w:p>
    <w:tbl>
      <w:tblPr>
        <w:tblStyle w:val="TableGrid"/>
        <w:tblW w:w="0" w:type="auto"/>
        <w:tblLook w:val="04A0" w:firstRow="1" w:lastRow="0" w:firstColumn="1" w:lastColumn="0" w:noHBand="0" w:noVBand="1"/>
      </w:tblPr>
      <w:tblGrid>
        <w:gridCol w:w="1906"/>
        <w:gridCol w:w="1523"/>
        <w:gridCol w:w="1270"/>
        <w:gridCol w:w="1416"/>
        <w:gridCol w:w="1239"/>
        <w:gridCol w:w="1996"/>
      </w:tblGrid>
      <w:tr w:rsidR="00370EB8" w:rsidTr="006664B1" w14:paraId="5982586B" w14:textId="77777777">
        <w:tc>
          <w:tcPr>
            <w:tcW w:w="2045" w:type="dxa"/>
          </w:tcPr>
          <w:p w:rsidRPr="000C12C7" w:rsidR="007B3936" w:rsidP="008111D2" w:rsidRDefault="007B3936" w14:paraId="3955065F" w14:textId="012DE583">
            <w:pPr>
              <w:rPr>
                <w:b/>
                <w:szCs w:val="24"/>
              </w:rPr>
            </w:pPr>
            <w:r w:rsidRPr="000C12C7">
              <w:rPr>
                <w:b/>
                <w:szCs w:val="24"/>
              </w:rPr>
              <w:t>Required</w:t>
            </w:r>
            <w:r>
              <w:rPr>
                <w:b/>
                <w:szCs w:val="24"/>
              </w:rPr>
              <w:t xml:space="preserve"> and Ongoing</w:t>
            </w:r>
            <w:r w:rsidRPr="000C12C7">
              <w:rPr>
                <w:b/>
                <w:szCs w:val="24"/>
              </w:rPr>
              <w:t xml:space="preserve"> Tasks</w:t>
            </w:r>
          </w:p>
        </w:tc>
        <w:tc>
          <w:tcPr>
            <w:tcW w:w="1410" w:type="dxa"/>
          </w:tcPr>
          <w:p w:rsidRPr="000C12C7" w:rsidR="007B3936" w:rsidP="008111D2" w:rsidRDefault="007B3936" w14:paraId="0DE23B23" w14:textId="640E058A">
            <w:pPr>
              <w:rPr>
                <w:b/>
                <w:szCs w:val="24"/>
              </w:rPr>
            </w:pPr>
            <w:r w:rsidRPr="000C12C7">
              <w:rPr>
                <w:b/>
                <w:szCs w:val="24"/>
              </w:rPr>
              <w:t>Number of Respondents</w:t>
            </w:r>
          </w:p>
        </w:tc>
        <w:tc>
          <w:tcPr>
            <w:tcW w:w="1161" w:type="dxa"/>
          </w:tcPr>
          <w:p w:rsidRPr="000C12C7" w:rsidR="007B3936" w:rsidDel="00AD5A34" w:rsidP="008111D2" w:rsidRDefault="007B3936" w14:paraId="75EC78D0" w14:textId="4A55ED54">
            <w:pPr>
              <w:rPr>
                <w:b/>
                <w:szCs w:val="24"/>
              </w:rPr>
            </w:pPr>
            <w:r>
              <w:rPr>
                <w:b/>
                <w:szCs w:val="24"/>
              </w:rPr>
              <w:t>Total Number of Responses</w:t>
            </w:r>
          </w:p>
        </w:tc>
        <w:tc>
          <w:tcPr>
            <w:tcW w:w="1291" w:type="dxa"/>
          </w:tcPr>
          <w:p w:rsidRPr="000C12C7" w:rsidR="007B3936" w:rsidP="008111D2" w:rsidRDefault="007B3936" w14:paraId="3B037246" w14:textId="08F775D3">
            <w:pPr>
              <w:rPr>
                <w:b/>
                <w:szCs w:val="24"/>
              </w:rPr>
            </w:pPr>
            <w:r w:rsidRPr="000C12C7">
              <w:rPr>
                <w:b/>
                <w:szCs w:val="24"/>
              </w:rPr>
              <w:t>Time for Completing the Form (</w:t>
            </w:r>
            <w:r>
              <w:rPr>
                <w:b/>
                <w:szCs w:val="24"/>
              </w:rPr>
              <w:t>h</w:t>
            </w:r>
            <w:r w:rsidRPr="000C12C7">
              <w:rPr>
                <w:b/>
                <w:szCs w:val="24"/>
              </w:rPr>
              <w:t>ours)</w:t>
            </w:r>
          </w:p>
        </w:tc>
        <w:tc>
          <w:tcPr>
            <w:tcW w:w="1291" w:type="dxa"/>
          </w:tcPr>
          <w:p w:rsidRPr="000C12C7" w:rsidR="007B3936" w:rsidP="008111D2" w:rsidRDefault="007B3936" w14:paraId="5D5AF280" w14:textId="186FC857">
            <w:pPr>
              <w:rPr>
                <w:b/>
                <w:szCs w:val="24"/>
              </w:rPr>
            </w:pPr>
            <w:r>
              <w:rPr>
                <w:b/>
                <w:szCs w:val="24"/>
              </w:rPr>
              <w:t>Total Time (hours)</w:t>
            </w:r>
          </w:p>
        </w:tc>
        <w:tc>
          <w:tcPr>
            <w:tcW w:w="2152" w:type="dxa"/>
          </w:tcPr>
          <w:p w:rsidRPr="000C12C7" w:rsidR="007B3936" w:rsidP="008111D2" w:rsidRDefault="007B3936" w14:paraId="0E43C8FD" w14:textId="7C31F78A">
            <w:pPr>
              <w:rPr>
                <w:b/>
                <w:szCs w:val="24"/>
              </w:rPr>
            </w:pPr>
            <w:r w:rsidRPr="000C12C7">
              <w:rPr>
                <w:b/>
                <w:szCs w:val="24"/>
              </w:rPr>
              <w:t>Total Cost</w:t>
            </w:r>
            <w:r>
              <w:rPr>
                <w:b/>
                <w:szCs w:val="24"/>
              </w:rPr>
              <w:t xml:space="preserve"> ($)</w:t>
            </w:r>
          </w:p>
        </w:tc>
      </w:tr>
      <w:tr w:rsidR="006664B1" w:rsidTr="00575F88" w14:paraId="78AD992D" w14:textId="77777777">
        <w:tc>
          <w:tcPr>
            <w:tcW w:w="9350" w:type="dxa"/>
            <w:gridSpan w:val="6"/>
          </w:tcPr>
          <w:p w:rsidRPr="000C12C7" w:rsidR="006664B1" w:rsidP="002B439E" w:rsidRDefault="006664B1" w14:paraId="14A42860" w14:textId="5BAFC077">
            <w:pPr>
              <w:jc w:val="center"/>
              <w:rPr>
                <w:b/>
                <w:szCs w:val="24"/>
              </w:rPr>
            </w:pPr>
            <w:r>
              <w:rPr>
                <w:szCs w:val="24"/>
              </w:rPr>
              <w:t xml:space="preserve">Unwinding Data Report @ </w:t>
            </w:r>
            <w:r w:rsidRPr="006664B1">
              <w:rPr>
                <w:szCs w:val="24"/>
              </w:rPr>
              <w:t>$98.94/</w:t>
            </w:r>
            <w:proofErr w:type="spellStart"/>
            <w:r w:rsidRPr="006664B1">
              <w:rPr>
                <w:szCs w:val="24"/>
              </w:rPr>
              <w:t>hr</w:t>
            </w:r>
            <w:proofErr w:type="spellEnd"/>
          </w:p>
        </w:tc>
      </w:tr>
      <w:tr w:rsidR="00370EB8" w:rsidTr="006664B1" w14:paraId="75F1B1EE" w14:textId="77777777">
        <w:tc>
          <w:tcPr>
            <w:tcW w:w="2045" w:type="dxa"/>
          </w:tcPr>
          <w:p w:rsidRPr="000C12C7" w:rsidR="007B3936" w:rsidP="008111D2" w:rsidRDefault="007B3936" w14:paraId="7886D7C9" w14:textId="10036F35">
            <w:pPr>
              <w:rPr>
                <w:szCs w:val="24"/>
              </w:rPr>
            </w:pPr>
            <w:r w:rsidRPr="000C12C7">
              <w:rPr>
                <w:szCs w:val="24"/>
              </w:rPr>
              <w:t xml:space="preserve">Pull, analyze and submit </w:t>
            </w:r>
            <w:r>
              <w:rPr>
                <w:szCs w:val="24"/>
              </w:rPr>
              <w:t>B</w:t>
            </w:r>
            <w:r w:rsidRPr="000C12C7">
              <w:rPr>
                <w:szCs w:val="24"/>
              </w:rPr>
              <w:t>aseline data</w:t>
            </w:r>
          </w:p>
        </w:tc>
        <w:tc>
          <w:tcPr>
            <w:tcW w:w="1410" w:type="dxa"/>
          </w:tcPr>
          <w:p w:rsidRPr="000C12C7" w:rsidR="007B3936" w:rsidP="008111D2" w:rsidRDefault="007B3936" w14:paraId="68112ED5" w14:textId="106D5993">
            <w:pPr>
              <w:rPr>
                <w:szCs w:val="24"/>
              </w:rPr>
            </w:pPr>
            <w:r w:rsidRPr="000C12C7">
              <w:rPr>
                <w:szCs w:val="24"/>
              </w:rPr>
              <w:t>56</w:t>
            </w:r>
          </w:p>
        </w:tc>
        <w:tc>
          <w:tcPr>
            <w:tcW w:w="1161" w:type="dxa"/>
          </w:tcPr>
          <w:p w:rsidRPr="000C12C7" w:rsidR="007B3936" w:rsidP="008111D2" w:rsidRDefault="007B3936" w14:paraId="175CFB16" w14:textId="3211B5F9">
            <w:pPr>
              <w:rPr>
                <w:szCs w:val="24"/>
              </w:rPr>
            </w:pPr>
            <w:r>
              <w:rPr>
                <w:szCs w:val="24"/>
              </w:rPr>
              <w:t>56</w:t>
            </w:r>
          </w:p>
        </w:tc>
        <w:tc>
          <w:tcPr>
            <w:tcW w:w="1291" w:type="dxa"/>
          </w:tcPr>
          <w:p w:rsidRPr="000C12C7" w:rsidR="007B3936" w:rsidP="008111D2" w:rsidRDefault="007B3936" w14:paraId="763E821C" w14:textId="1F5EEAA8">
            <w:pPr>
              <w:rPr>
                <w:szCs w:val="24"/>
              </w:rPr>
            </w:pPr>
            <w:r w:rsidRPr="000C12C7">
              <w:rPr>
                <w:szCs w:val="24"/>
              </w:rPr>
              <w:t>8</w:t>
            </w:r>
          </w:p>
        </w:tc>
        <w:tc>
          <w:tcPr>
            <w:tcW w:w="1291" w:type="dxa"/>
          </w:tcPr>
          <w:p w:rsidRPr="000C12C7" w:rsidR="007B3936" w:rsidP="008111D2" w:rsidRDefault="007B3936" w14:paraId="383ACB8B" w14:textId="7561296B">
            <w:pPr>
              <w:rPr>
                <w:szCs w:val="24"/>
              </w:rPr>
            </w:pPr>
            <w:r w:rsidRPr="000C12C7">
              <w:rPr>
                <w:szCs w:val="24"/>
              </w:rPr>
              <w:t>448</w:t>
            </w:r>
          </w:p>
        </w:tc>
        <w:tc>
          <w:tcPr>
            <w:tcW w:w="2152" w:type="dxa"/>
          </w:tcPr>
          <w:p w:rsidRPr="000C12C7" w:rsidR="007B3936" w:rsidP="008111D2" w:rsidRDefault="007B3936" w14:paraId="5712591E" w14:textId="6E3315E9">
            <w:pPr>
              <w:rPr>
                <w:szCs w:val="24"/>
              </w:rPr>
            </w:pPr>
            <w:r w:rsidRPr="000C12C7">
              <w:rPr>
                <w:szCs w:val="24"/>
              </w:rPr>
              <w:t>44,325</w:t>
            </w:r>
          </w:p>
        </w:tc>
      </w:tr>
      <w:tr w:rsidR="00370EB8" w:rsidTr="006664B1" w14:paraId="7A1DDC24" w14:textId="77777777">
        <w:tc>
          <w:tcPr>
            <w:tcW w:w="2045" w:type="dxa"/>
          </w:tcPr>
          <w:p w:rsidRPr="000C12C7" w:rsidR="007B3936" w:rsidP="008111D2" w:rsidRDefault="007B3936" w14:paraId="5443F617" w14:textId="6ECDEEBC">
            <w:pPr>
              <w:rPr>
                <w:szCs w:val="24"/>
              </w:rPr>
            </w:pPr>
            <w:r w:rsidRPr="000C12C7">
              <w:rPr>
                <w:szCs w:val="24"/>
              </w:rPr>
              <w:t xml:space="preserve">Pull, analyze and submit </w:t>
            </w:r>
            <w:r>
              <w:rPr>
                <w:szCs w:val="24"/>
              </w:rPr>
              <w:t>M</w:t>
            </w:r>
            <w:r w:rsidRPr="000C12C7">
              <w:rPr>
                <w:szCs w:val="24"/>
              </w:rPr>
              <w:t>onthly data</w:t>
            </w:r>
            <w:r>
              <w:rPr>
                <w:szCs w:val="24"/>
              </w:rPr>
              <w:t xml:space="preserve"> (Year 1)</w:t>
            </w:r>
          </w:p>
        </w:tc>
        <w:tc>
          <w:tcPr>
            <w:tcW w:w="1410" w:type="dxa"/>
          </w:tcPr>
          <w:p w:rsidRPr="000C12C7" w:rsidR="007B3936" w:rsidP="008111D2" w:rsidRDefault="007B3936" w14:paraId="4E44A94B" w14:textId="613FD561">
            <w:pPr>
              <w:rPr>
                <w:szCs w:val="24"/>
              </w:rPr>
            </w:pPr>
            <w:r w:rsidRPr="000C12C7">
              <w:rPr>
                <w:szCs w:val="24"/>
              </w:rPr>
              <w:t>56</w:t>
            </w:r>
          </w:p>
        </w:tc>
        <w:tc>
          <w:tcPr>
            <w:tcW w:w="1161" w:type="dxa"/>
          </w:tcPr>
          <w:p w:rsidRPr="000C12C7" w:rsidR="007B3936" w:rsidP="008111D2" w:rsidRDefault="00562286" w14:paraId="14320B16" w14:textId="4B674508">
            <w:pPr>
              <w:rPr>
                <w:szCs w:val="24"/>
              </w:rPr>
            </w:pPr>
            <w:r>
              <w:rPr>
                <w:szCs w:val="24"/>
              </w:rPr>
              <w:t xml:space="preserve">672 </w:t>
            </w:r>
            <w:r w:rsidR="007B3936">
              <w:rPr>
                <w:szCs w:val="24"/>
              </w:rPr>
              <w:t>(56 x 12 months))</w:t>
            </w:r>
          </w:p>
        </w:tc>
        <w:tc>
          <w:tcPr>
            <w:tcW w:w="1291" w:type="dxa"/>
          </w:tcPr>
          <w:p w:rsidRPr="000C12C7" w:rsidR="007B3936" w:rsidP="008111D2" w:rsidRDefault="007B3936" w14:paraId="3B1F9363" w14:textId="65193C7A">
            <w:pPr>
              <w:rPr>
                <w:szCs w:val="24"/>
              </w:rPr>
            </w:pPr>
            <w:r w:rsidRPr="000C12C7">
              <w:rPr>
                <w:szCs w:val="24"/>
              </w:rPr>
              <w:t>1</w:t>
            </w:r>
            <w:r>
              <w:rPr>
                <w:szCs w:val="24"/>
              </w:rPr>
              <w:t>7</w:t>
            </w:r>
          </w:p>
        </w:tc>
        <w:tc>
          <w:tcPr>
            <w:tcW w:w="1291" w:type="dxa"/>
          </w:tcPr>
          <w:p w:rsidRPr="000C12C7" w:rsidR="007B3936" w:rsidP="008111D2" w:rsidRDefault="00370EB8" w14:paraId="76F647A6" w14:textId="6D4CA21F">
            <w:pPr>
              <w:rPr>
                <w:szCs w:val="24"/>
              </w:rPr>
            </w:pPr>
            <w:r>
              <w:rPr>
                <w:szCs w:val="24"/>
              </w:rPr>
              <w:t>11,424</w:t>
            </w:r>
          </w:p>
        </w:tc>
        <w:tc>
          <w:tcPr>
            <w:tcW w:w="2152" w:type="dxa"/>
          </w:tcPr>
          <w:p w:rsidRPr="000C12C7" w:rsidR="007B3936" w:rsidP="008111D2" w:rsidRDefault="00370EB8" w14:paraId="45662172" w14:textId="13328ABE">
            <w:pPr>
              <w:rPr>
                <w:szCs w:val="24"/>
              </w:rPr>
            </w:pPr>
            <w:r>
              <w:rPr>
                <w:szCs w:val="24"/>
              </w:rPr>
              <w:t>1,130,291</w:t>
            </w:r>
          </w:p>
        </w:tc>
      </w:tr>
      <w:tr w:rsidR="00370EB8" w:rsidTr="006664B1" w14:paraId="09419D17" w14:textId="77777777">
        <w:tc>
          <w:tcPr>
            <w:tcW w:w="2045" w:type="dxa"/>
          </w:tcPr>
          <w:p w:rsidRPr="000C12C7" w:rsidR="00562286" w:rsidP="00562286" w:rsidRDefault="00562286" w14:paraId="571D4361" w14:textId="67F4BF54">
            <w:pPr>
              <w:rPr>
                <w:szCs w:val="24"/>
              </w:rPr>
            </w:pPr>
            <w:r w:rsidRPr="000C12C7">
              <w:rPr>
                <w:szCs w:val="24"/>
              </w:rPr>
              <w:t xml:space="preserve">Pull, analyze and submit </w:t>
            </w:r>
            <w:r>
              <w:rPr>
                <w:szCs w:val="24"/>
              </w:rPr>
              <w:t>M</w:t>
            </w:r>
            <w:r w:rsidRPr="000C12C7">
              <w:rPr>
                <w:szCs w:val="24"/>
              </w:rPr>
              <w:t>onthly data</w:t>
            </w:r>
            <w:r>
              <w:rPr>
                <w:szCs w:val="24"/>
              </w:rPr>
              <w:t xml:space="preserve"> (Year 2)</w:t>
            </w:r>
          </w:p>
        </w:tc>
        <w:tc>
          <w:tcPr>
            <w:tcW w:w="1410" w:type="dxa"/>
          </w:tcPr>
          <w:p w:rsidRPr="000C12C7" w:rsidR="00562286" w:rsidP="00562286" w:rsidRDefault="00562286" w14:paraId="18AEBAE7" w14:textId="4E98467D">
            <w:pPr>
              <w:rPr>
                <w:szCs w:val="24"/>
              </w:rPr>
            </w:pPr>
            <w:r w:rsidRPr="000C12C7">
              <w:rPr>
                <w:szCs w:val="24"/>
              </w:rPr>
              <w:t>56</w:t>
            </w:r>
          </w:p>
        </w:tc>
        <w:tc>
          <w:tcPr>
            <w:tcW w:w="1161" w:type="dxa"/>
          </w:tcPr>
          <w:p w:rsidRPr="000C12C7" w:rsidR="00562286" w:rsidP="00562286" w:rsidRDefault="00562286" w14:paraId="519F79DC" w14:textId="360AC3BE">
            <w:pPr>
              <w:rPr>
                <w:szCs w:val="24"/>
              </w:rPr>
            </w:pPr>
            <w:r>
              <w:rPr>
                <w:szCs w:val="24"/>
              </w:rPr>
              <w:t>112 (56 x 2 months)</w:t>
            </w:r>
          </w:p>
        </w:tc>
        <w:tc>
          <w:tcPr>
            <w:tcW w:w="1291" w:type="dxa"/>
          </w:tcPr>
          <w:p w:rsidRPr="000C12C7" w:rsidR="00562286" w:rsidP="00562286" w:rsidRDefault="00370EB8" w14:paraId="02450185" w14:textId="1003F393">
            <w:pPr>
              <w:rPr>
                <w:szCs w:val="24"/>
              </w:rPr>
            </w:pPr>
            <w:r>
              <w:rPr>
                <w:szCs w:val="24"/>
              </w:rPr>
              <w:t>17</w:t>
            </w:r>
          </w:p>
        </w:tc>
        <w:tc>
          <w:tcPr>
            <w:tcW w:w="1291" w:type="dxa"/>
          </w:tcPr>
          <w:p w:rsidRPr="000C12C7" w:rsidR="00562286" w:rsidP="00562286" w:rsidRDefault="00370EB8" w14:paraId="2C57F760" w14:textId="6F9A0185">
            <w:pPr>
              <w:rPr>
                <w:szCs w:val="24"/>
              </w:rPr>
            </w:pPr>
            <w:r>
              <w:rPr>
                <w:szCs w:val="24"/>
              </w:rPr>
              <w:t>1,904</w:t>
            </w:r>
          </w:p>
        </w:tc>
        <w:tc>
          <w:tcPr>
            <w:tcW w:w="2152" w:type="dxa"/>
          </w:tcPr>
          <w:p w:rsidRPr="000C12C7" w:rsidR="00562286" w:rsidDel="00912F0A" w:rsidP="00562286" w:rsidRDefault="00370EB8" w14:paraId="45B9F039" w14:textId="33D6320F">
            <w:pPr>
              <w:rPr>
                <w:szCs w:val="24"/>
              </w:rPr>
            </w:pPr>
            <w:r>
              <w:rPr>
                <w:szCs w:val="24"/>
              </w:rPr>
              <w:t>188,382</w:t>
            </w:r>
          </w:p>
        </w:tc>
      </w:tr>
      <w:tr w:rsidRPr="00151FB0" w:rsidR="00370EB8" w:rsidTr="006664B1" w14:paraId="29353ABD" w14:textId="77777777">
        <w:tc>
          <w:tcPr>
            <w:tcW w:w="2045" w:type="dxa"/>
          </w:tcPr>
          <w:p w:rsidRPr="00FF351D" w:rsidR="00562286" w:rsidP="00562286" w:rsidRDefault="00562286" w14:paraId="5C2A9A55" w14:textId="765BE128">
            <w:pPr>
              <w:rPr>
                <w:i/>
                <w:szCs w:val="24"/>
              </w:rPr>
            </w:pPr>
            <w:r w:rsidRPr="00FF351D">
              <w:rPr>
                <w:i/>
                <w:szCs w:val="24"/>
              </w:rPr>
              <w:t>Subtotal</w:t>
            </w:r>
          </w:p>
        </w:tc>
        <w:tc>
          <w:tcPr>
            <w:tcW w:w="1410" w:type="dxa"/>
          </w:tcPr>
          <w:p w:rsidRPr="00FF351D" w:rsidR="00562286" w:rsidP="00562286" w:rsidRDefault="00562286" w14:paraId="696F8F9C" w14:textId="68013D50">
            <w:pPr>
              <w:rPr>
                <w:i/>
                <w:szCs w:val="24"/>
              </w:rPr>
            </w:pPr>
            <w:r w:rsidRPr="00FF351D">
              <w:rPr>
                <w:i/>
                <w:szCs w:val="24"/>
              </w:rPr>
              <w:t>56</w:t>
            </w:r>
          </w:p>
        </w:tc>
        <w:tc>
          <w:tcPr>
            <w:tcW w:w="1161" w:type="dxa"/>
          </w:tcPr>
          <w:p w:rsidRPr="00FF351D" w:rsidR="00562286" w:rsidP="00562286" w:rsidRDefault="00D852CB" w14:paraId="640EF99A" w14:textId="22105A84">
            <w:pPr>
              <w:rPr>
                <w:i/>
                <w:szCs w:val="24"/>
              </w:rPr>
            </w:pPr>
            <w:r w:rsidRPr="00FF351D">
              <w:rPr>
                <w:i/>
                <w:szCs w:val="24"/>
              </w:rPr>
              <w:t>840</w:t>
            </w:r>
          </w:p>
        </w:tc>
        <w:tc>
          <w:tcPr>
            <w:tcW w:w="1291" w:type="dxa"/>
          </w:tcPr>
          <w:p w:rsidRPr="00FF351D" w:rsidR="00562286" w:rsidP="00562286" w:rsidRDefault="00D852CB" w14:paraId="77E5409D" w14:textId="5693AEE8">
            <w:pPr>
              <w:rPr>
                <w:i/>
                <w:szCs w:val="24"/>
              </w:rPr>
            </w:pPr>
            <w:r w:rsidRPr="00FF351D">
              <w:rPr>
                <w:i/>
                <w:szCs w:val="24"/>
              </w:rPr>
              <w:t>Varies</w:t>
            </w:r>
          </w:p>
        </w:tc>
        <w:tc>
          <w:tcPr>
            <w:tcW w:w="1291" w:type="dxa"/>
          </w:tcPr>
          <w:p w:rsidRPr="00FF351D" w:rsidR="00562286" w:rsidP="00562286" w:rsidRDefault="00D852CB" w14:paraId="30ECCB49" w14:textId="70E20221">
            <w:pPr>
              <w:rPr>
                <w:i/>
                <w:szCs w:val="24"/>
              </w:rPr>
            </w:pPr>
            <w:r w:rsidRPr="00FF351D">
              <w:rPr>
                <w:i/>
                <w:szCs w:val="24"/>
              </w:rPr>
              <w:t>13,776</w:t>
            </w:r>
          </w:p>
        </w:tc>
        <w:tc>
          <w:tcPr>
            <w:tcW w:w="2152" w:type="dxa"/>
          </w:tcPr>
          <w:p w:rsidRPr="00FF351D" w:rsidR="00562286" w:rsidDel="00912F0A" w:rsidP="00562286" w:rsidRDefault="007F5507" w14:paraId="073F79ED" w14:textId="39D67266">
            <w:pPr>
              <w:rPr>
                <w:i/>
                <w:szCs w:val="24"/>
              </w:rPr>
            </w:pPr>
            <w:r w:rsidRPr="00FF351D">
              <w:rPr>
                <w:i/>
                <w:szCs w:val="24"/>
              </w:rPr>
              <w:t>1,362,998</w:t>
            </w:r>
          </w:p>
        </w:tc>
      </w:tr>
      <w:tr w:rsidR="006664B1" w:rsidTr="00BC3AE2" w14:paraId="74A8ABBE" w14:textId="77777777">
        <w:tc>
          <w:tcPr>
            <w:tcW w:w="9350" w:type="dxa"/>
            <w:gridSpan w:val="6"/>
          </w:tcPr>
          <w:p w:rsidRPr="000C12C7" w:rsidR="006664B1" w:rsidDel="00912F0A" w:rsidP="00FF351D" w:rsidRDefault="006664B1" w14:paraId="7162C190" w14:textId="0703378A">
            <w:pPr>
              <w:jc w:val="center"/>
              <w:rPr>
                <w:szCs w:val="24"/>
              </w:rPr>
            </w:pPr>
            <w:r w:rsidRPr="00AA516C">
              <w:rPr>
                <w:szCs w:val="24"/>
              </w:rPr>
              <w:t>State Renewals Report</w:t>
            </w:r>
            <w:r>
              <w:rPr>
                <w:szCs w:val="24"/>
              </w:rPr>
              <w:t xml:space="preserve"> @ </w:t>
            </w:r>
            <w:r w:rsidRPr="006664B1">
              <w:rPr>
                <w:szCs w:val="24"/>
              </w:rPr>
              <w:t>$81.06/</w:t>
            </w:r>
            <w:proofErr w:type="spellStart"/>
            <w:r w:rsidRPr="006664B1">
              <w:rPr>
                <w:szCs w:val="24"/>
              </w:rPr>
              <w:t>hr</w:t>
            </w:r>
            <w:proofErr w:type="spellEnd"/>
          </w:p>
        </w:tc>
      </w:tr>
      <w:tr w:rsidR="00370EB8" w:rsidTr="006664B1" w14:paraId="18042ADA" w14:textId="77777777">
        <w:tc>
          <w:tcPr>
            <w:tcW w:w="2045" w:type="dxa"/>
          </w:tcPr>
          <w:p w:rsidRPr="000C12C7" w:rsidR="00562286" w:rsidP="00562286" w:rsidRDefault="00562286" w14:paraId="37DDC107" w14:textId="0AB74301">
            <w:pPr>
              <w:rPr>
                <w:szCs w:val="24"/>
              </w:rPr>
            </w:pPr>
            <w:r>
              <w:rPr>
                <w:szCs w:val="24"/>
              </w:rPr>
              <w:t>Complete and submit form</w:t>
            </w:r>
          </w:p>
        </w:tc>
        <w:tc>
          <w:tcPr>
            <w:tcW w:w="1410" w:type="dxa"/>
          </w:tcPr>
          <w:p w:rsidRPr="000C12C7" w:rsidR="00562286" w:rsidP="00562286" w:rsidRDefault="00562286" w14:paraId="5142EEDA" w14:textId="08D75438">
            <w:pPr>
              <w:rPr>
                <w:szCs w:val="24"/>
              </w:rPr>
            </w:pPr>
            <w:r>
              <w:rPr>
                <w:szCs w:val="24"/>
              </w:rPr>
              <w:t>56</w:t>
            </w:r>
          </w:p>
        </w:tc>
        <w:tc>
          <w:tcPr>
            <w:tcW w:w="1161" w:type="dxa"/>
          </w:tcPr>
          <w:p w:rsidR="00562286" w:rsidP="00562286" w:rsidRDefault="00151FB0" w14:paraId="4503F260" w14:textId="02E35796">
            <w:pPr>
              <w:rPr>
                <w:szCs w:val="24"/>
              </w:rPr>
            </w:pPr>
            <w:r>
              <w:rPr>
                <w:szCs w:val="24"/>
              </w:rPr>
              <w:t>56</w:t>
            </w:r>
          </w:p>
        </w:tc>
        <w:tc>
          <w:tcPr>
            <w:tcW w:w="1291" w:type="dxa"/>
          </w:tcPr>
          <w:p w:rsidRPr="000C12C7" w:rsidR="00562286" w:rsidP="00562286" w:rsidRDefault="00562286" w14:paraId="0FD212B7" w14:textId="2BF083FB">
            <w:pPr>
              <w:rPr>
                <w:szCs w:val="24"/>
              </w:rPr>
            </w:pPr>
            <w:r>
              <w:rPr>
                <w:szCs w:val="24"/>
              </w:rPr>
              <w:t>8</w:t>
            </w:r>
          </w:p>
        </w:tc>
        <w:tc>
          <w:tcPr>
            <w:tcW w:w="1291" w:type="dxa"/>
          </w:tcPr>
          <w:p w:rsidRPr="000C12C7" w:rsidR="00562286" w:rsidP="00562286" w:rsidRDefault="00562286" w14:paraId="0924B114" w14:textId="1B2255E0">
            <w:pPr>
              <w:rPr>
                <w:szCs w:val="24"/>
              </w:rPr>
            </w:pPr>
            <w:r>
              <w:rPr>
                <w:szCs w:val="24"/>
              </w:rPr>
              <w:t>448</w:t>
            </w:r>
          </w:p>
        </w:tc>
        <w:tc>
          <w:tcPr>
            <w:tcW w:w="2152" w:type="dxa"/>
          </w:tcPr>
          <w:p w:rsidRPr="000C12C7" w:rsidR="00562286" w:rsidP="00562286" w:rsidRDefault="00562286" w14:paraId="5FAA0163" w14:textId="09BD3D73">
            <w:pPr>
              <w:rPr>
                <w:szCs w:val="24"/>
              </w:rPr>
            </w:pPr>
            <w:r w:rsidRPr="000C12C7">
              <w:rPr>
                <w:szCs w:val="24"/>
              </w:rPr>
              <w:t>36,31</w:t>
            </w:r>
            <w:r w:rsidR="00CA1F98">
              <w:rPr>
                <w:szCs w:val="24"/>
              </w:rPr>
              <w:t>5</w:t>
            </w:r>
          </w:p>
        </w:tc>
      </w:tr>
      <w:tr w:rsidR="00370EB8" w:rsidTr="006664B1" w14:paraId="6E5B8242" w14:textId="77777777">
        <w:tc>
          <w:tcPr>
            <w:tcW w:w="2045" w:type="dxa"/>
          </w:tcPr>
          <w:p w:rsidRPr="00191A10" w:rsidR="00562286" w:rsidP="00562286" w:rsidRDefault="00151FB0" w14:paraId="5DB989BD" w14:textId="339222E7">
            <w:pPr>
              <w:rPr>
                <w:b/>
                <w:szCs w:val="24"/>
              </w:rPr>
            </w:pPr>
            <w:r>
              <w:rPr>
                <w:b/>
                <w:szCs w:val="24"/>
              </w:rPr>
              <w:t>TOTAL</w:t>
            </w:r>
          </w:p>
        </w:tc>
        <w:tc>
          <w:tcPr>
            <w:tcW w:w="1410" w:type="dxa"/>
          </w:tcPr>
          <w:p w:rsidRPr="00FA0EFB" w:rsidR="00562286" w:rsidP="00562286" w:rsidRDefault="00562286" w14:paraId="31E5FD7D" w14:textId="458D37EC">
            <w:pPr>
              <w:rPr>
                <w:b/>
                <w:szCs w:val="24"/>
              </w:rPr>
            </w:pPr>
            <w:r w:rsidRPr="00FA0EFB">
              <w:rPr>
                <w:b/>
                <w:szCs w:val="24"/>
              </w:rPr>
              <w:t>56</w:t>
            </w:r>
          </w:p>
        </w:tc>
        <w:tc>
          <w:tcPr>
            <w:tcW w:w="1161" w:type="dxa"/>
          </w:tcPr>
          <w:p w:rsidRPr="00FA0EFB" w:rsidR="00562286" w:rsidP="00562286" w:rsidRDefault="00D208AC" w14:paraId="25595BEF" w14:textId="252898F6">
            <w:pPr>
              <w:rPr>
                <w:b/>
                <w:szCs w:val="24"/>
              </w:rPr>
            </w:pPr>
            <w:r>
              <w:rPr>
                <w:b/>
                <w:szCs w:val="24"/>
              </w:rPr>
              <w:t>896</w:t>
            </w:r>
          </w:p>
        </w:tc>
        <w:tc>
          <w:tcPr>
            <w:tcW w:w="1291" w:type="dxa"/>
          </w:tcPr>
          <w:p w:rsidRPr="00FA0EFB" w:rsidR="00562286" w:rsidP="00562286" w:rsidRDefault="00D208AC" w14:paraId="5F3A83F1" w14:textId="0851D1D6">
            <w:pPr>
              <w:rPr>
                <w:b/>
                <w:szCs w:val="24"/>
              </w:rPr>
            </w:pPr>
            <w:r>
              <w:rPr>
                <w:b/>
                <w:szCs w:val="24"/>
              </w:rPr>
              <w:t>Varies</w:t>
            </w:r>
          </w:p>
        </w:tc>
        <w:tc>
          <w:tcPr>
            <w:tcW w:w="1291" w:type="dxa"/>
          </w:tcPr>
          <w:p w:rsidRPr="00FA0EFB" w:rsidR="00562286" w:rsidP="00562286" w:rsidRDefault="00D208AC" w14:paraId="62E4A517" w14:textId="45EBB105">
            <w:pPr>
              <w:rPr>
                <w:b/>
                <w:szCs w:val="24"/>
              </w:rPr>
            </w:pPr>
            <w:r w:rsidRPr="00D208AC">
              <w:rPr>
                <w:b/>
                <w:szCs w:val="24"/>
              </w:rPr>
              <w:t>14,224</w:t>
            </w:r>
          </w:p>
        </w:tc>
        <w:tc>
          <w:tcPr>
            <w:tcW w:w="2152" w:type="dxa"/>
          </w:tcPr>
          <w:p w:rsidRPr="00FA0EFB" w:rsidR="00562286" w:rsidP="00562286" w:rsidRDefault="00CA1F98" w14:paraId="789E5CD0" w14:textId="26667387">
            <w:pPr>
              <w:rPr>
                <w:b/>
                <w:szCs w:val="24"/>
              </w:rPr>
            </w:pPr>
            <w:r w:rsidRPr="00CA1F98">
              <w:rPr>
                <w:b/>
                <w:szCs w:val="24"/>
              </w:rPr>
              <w:t>1,399,313</w:t>
            </w:r>
            <w:r w:rsidRPr="00CA1F98">
              <w:rPr>
                <w:b/>
                <w:szCs w:val="24"/>
              </w:rPr>
              <w:t>‬</w:t>
            </w:r>
          </w:p>
        </w:tc>
      </w:tr>
    </w:tbl>
    <w:p w:rsidR="000C12C7" w:rsidP="008111D2" w:rsidRDefault="000C12C7" w14:paraId="102A5052" w14:textId="77777777">
      <w:pPr>
        <w:spacing w:after="0" w:line="240" w:lineRule="auto"/>
        <w:rPr>
          <w:i/>
          <w:szCs w:val="24"/>
        </w:rPr>
      </w:pPr>
    </w:p>
    <w:p w:rsidR="00912F0A" w:rsidP="008111D2" w:rsidRDefault="00912F0A" w14:paraId="32BCF6DE" w14:textId="77777777">
      <w:pPr>
        <w:spacing w:after="0" w:line="240" w:lineRule="auto"/>
        <w:rPr>
          <w:i/>
          <w:szCs w:val="24"/>
        </w:rPr>
      </w:pPr>
    </w:p>
    <w:p w:rsidRPr="00395FDA" w:rsidR="009727EA" w:rsidP="009727EA" w:rsidRDefault="009727EA" w14:paraId="37B0FBE8" w14:textId="6959D6F9">
      <w:pPr>
        <w:spacing w:after="0" w:line="240" w:lineRule="auto"/>
        <w:rPr>
          <w:rFonts w:cs="Times New Roman"/>
          <w:i/>
          <w:szCs w:val="24"/>
        </w:rPr>
      </w:pPr>
      <w:r w:rsidRPr="00395FDA">
        <w:rPr>
          <w:rFonts w:cs="Times New Roman"/>
          <w:i/>
          <w:szCs w:val="24"/>
        </w:rPr>
        <w:t>Information Collection Instruments</w:t>
      </w:r>
      <w:r w:rsidRPr="00395FDA" w:rsidR="002616AE">
        <w:rPr>
          <w:rFonts w:cs="Times New Roman"/>
          <w:i/>
          <w:szCs w:val="24"/>
        </w:rPr>
        <w:t xml:space="preserve"> and Instruction/Guidance Documents</w:t>
      </w:r>
    </w:p>
    <w:p w:rsidR="009727EA" w:rsidP="008111D2" w:rsidRDefault="009727EA" w14:paraId="34659279" w14:textId="21C23009">
      <w:pPr>
        <w:spacing w:after="0" w:line="240" w:lineRule="auto"/>
        <w:rPr>
          <w:rFonts w:cs="Times New Roman"/>
          <w:i/>
          <w:szCs w:val="24"/>
        </w:rPr>
      </w:pPr>
    </w:p>
    <w:p w:rsidRPr="004A0CFA" w:rsidR="004A0CFA" w:rsidP="008111D2" w:rsidRDefault="004A0CFA" w14:paraId="31B98B22" w14:textId="230BFD89">
      <w:pPr>
        <w:spacing w:after="0" w:line="240" w:lineRule="auto"/>
        <w:rPr>
          <w:rFonts w:cs="Times New Roman"/>
          <w:szCs w:val="24"/>
        </w:rPr>
      </w:pPr>
      <w:r w:rsidRPr="004A0CFA">
        <w:rPr>
          <w:rFonts w:cs="Times New Roman"/>
          <w:szCs w:val="24"/>
        </w:rPr>
        <w:t xml:space="preserve">The </w:t>
      </w:r>
      <w:r w:rsidR="005C13E2">
        <w:rPr>
          <w:rFonts w:cs="Times New Roman"/>
          <w:szCs w:val="24"/>
        </w:rPr>
        <w:t>u</w:t>
      </w:r>
      <w:r w:rsidRPr="004A0CFA">
        <w:rPr>
          <w:rFonts w:cs="Times New Roman"/>
          <w:szCs w:val="24"/>
        </w:rPr>
        <w:t>nwinding screen shots, workbook and specifications include both the baseline and monthly reporting instruments and instructions</w:t>
      </w:r>
      <w:r w:rsidR="00BC324A">
        <w:rPr>
          <w:rFonts w:cs="Times New Roman"/>
          <w:szCs w:val="24"/>
        </w:rPr>
        <w:t>.</w:t>
      </w:r>
    </w:p>
    <w:p w:rsidRPr="00395FDA" w:rsidR="004A0CFA" w:rsidP="008111D2" w:rsidRDefault="004A0CFA" w14:paraId="53E0ECD8" w14:textId="77777777">
      <w:pPr>
        <w:spacing w:after="0" w:line="240" w:lineRule="auto"/>
        <w:rPr>
          <w:rFonts w:cs="Times New Roman"/>
          <w:i/>
          <w:szCs w:val="24"/>
        </w:rPr>
      </w:pPr>
    </w:p>
    <w:p w:rsidRPr="00395FDA" w:rsidR="009727EA" w:rsidP="002B342B" w:rsidRDefault="009727EA" w14:paraId="026DDA89" w14:textId="6320AB28">
      <w:pPr>
        <w:pStyle w:val="ListParagraph"/>
        <w:numPr>
          <w:ilvl w:val="0"/>
          <w:numId w:val="13"/>
        </w:numPr>
        <w:spacing w:after="0" w:line="240" w:lineRule="auto"/>
        <w:rPr>
          <w:rFonts w:ascii="Times New Roman" w:hAnsi="Times New Roman"/>
          <w:sz w:val="24"/>
          <w:szCs w:val="24"/>
        </w:rPr>
      </w:pPr>
      <w:r w:rsidRPr="00395FDA">
        <w:rPr>
          <w:rFonts w:ascii="Times New Roman" w:hAnsi="Times New Roman"/>
          <w:sz w:val="24"/>
          <w:szCs w:val="24"/>
        </w:rPr>
        <w:t xml:space="preserve">Unwinding </w:t>
      </w:r>
      <w:r w:rsidRPr="00395FDA" w:rsidR="0045537E">
        <w:rPr>
          <w:rFonts w:ascii="Times New Roman" w:hAnsi="Times New Roman"/>
          <w:sz w:val="24"/>
          <w:szCs w:val="24"/>
        </w:rPr>
        <w:t>Data Report</w:t>
      </w:r>
      <w:r w:rsidRPr="00395FDA">
        <w:rPr>
          <w:rFonts w:ascii="Times New Roman" w:hAnsi="Times New Roman"/>
          <w:sz w:val="24"/>
          <w:szCs w:val="24"/>
        </w:rPr>
        <w:t xml:space="preserve"> </w:t>
      </w:r>
      <w:r w:rsidRPr="00395FDA" w:rsidR="002B342B">
        <w:rPr>
          <w:rFonts w:ascii="Times New Roman" w:hAnsi="Times New Roman"/>
          <w:sz w:val="24"/>
          <w:szCs w:val="24"/>
        </w:rPr>
        <w:t>screen shots</w:t>
      </w:r>
      <w:r w:rsidRPr="00395FDA">
        <w:rPr>
          <w:rFonts w:ascii="Times New Roman" w:hAnsi="Times New Roman"/>
          <w:sz w:val="24"/>
          <w:szCs w:val="24"/>
        </w:rPr>
        <w:t xml:space="preserve"> </w:t>
      </w:r>
    </w:p>
    <w:p w:rsidR="00822039" w:rsidP="00822039" w:rsidRDefault="00822039" w14:paraId="34DB6888" w14:textId="50464A01">
      <w:pPr>
        <w:spacing w:after="0" w:line="240" w:lineRule="auto"/>
        <w:ind w:left="720"/>
      </w:pPr>
      <w:r>
        <w:rPr>
          <w:szCs w:val="24"/>
        </w:rPr>
        <w:t>(</w:t>
      </w:r>
      <w:r w:rsidR="007C2FAF">
        <w:rPr>
          <w:szCs w:val="24"/>
        </w:rPr>
        <w:t xml:space="preserve">Activity: </w:t>
      </w:r>
      <w:r w:rsidRPr="00822039">
        <w:rPr>
          <w:szCs w:val="24"/>
        </w:rPr>
        <w:t>Unwinding Data Report</w:t>
      </w:r>
      <w:r w:rsidR="00FA4C4E">
        <w:rPr>
          <w:szCs w:val="24"/>
        </w:rPr>
        <w:t xml:space="preserve"> – baseline and monthly reports</w:t>
      </w:r>
      <w:r w:rsidRPr="00822039">
        <w:rPr>
          <w:szCs w:val="24"/>
        </w:rPr>
        <w:t>)</w:t>
      </w:r>
    </w:p>
    <w:p w:rsidRPr="00D138F5" w:rsidR="00822039" w:rsidP="00074877" w:rsidRDefault="00822039" w14:paraId="530D0090" w14:textId="77777777">
      <w:pPr>
        <w:pStyle w:val="ListParagraph"/>
        <w:spacing w:after="0" w:line="240" w:lineRule="auto"/>
        <w:rPr>
          <w:rFonts w:ascii="Times New Roman" w:hAnsi="Times New Roman"/>
          <w:sz w:val="24"/>
          <w:szCs w:val="24"/>
        </w:rPr>
      </w:pPr>
    </w:p>
    <w:p w:rsidRPr="00467BA3" w:rsidR="00074877" w:rsidP="00074877" w:rsidRDefault="00074877" w14:paraId="427E755F" w14:textId="1A65DCDF">
      <w:pPr>
        <w:pStyle w:val="ListParagraph"/>
        <w:numPr>
          <w:ilvl w:val="0"/>
          <w:numId w:val="13"/>
        </w:numPr>
        <w:spacing w:after="0" w:line="240" w:lineRule="auto"/>
        <w:rPr>
          <w:rFonts w:ascii="Times New Roman" w:hAnsi="Times New Roman"/>
          <w:sz w:val="24"/>
          <w:szCs w:val="24"/>
        </w:rPr>
      </w:pPr>
      <w:r w:rsidRPr="00C36044">
        <w:rPr>
          <w:rFonts w:ascii="Times New Roman" w:hAnsi="Times New Roman"/>
          <w:sz w:val="24"/>
          <w:szCs w:val="24"/>
        </w:rPr>
        <w:t xml:space="preserve">Unwinding </w:t>
      </w:r>
      <w:r w:rsidRPr="00C36044" w:rsidR="0045537E">
        <w:rPr>
          <w:rFonts w:ascii="Times New Roman" w:hAnsi="Times New Roman"/>
          <w:sz w:val="24"/>
          <w:szCs w:val="24"/>
        </w:rPr>
        <w:t>Data Report</w:t>
      </w:r>
      <w:r w:rsidRPr="00C36044">
        <w:rPr>
          <w:rFonts w:ascii="Times New Roman" w:hAnsi="Times New Roman"/>
          <w:sz w:val="24"/>
          <w:szCs w:val="24"/>
        </w:rPr>
        <w:t xml:space="preserve"> excel workbook</w:t>
      </w:r>
      <w:r w:rsidRPr="00467BA3">
        <w:rPr>
          <w:rFonts w:ascii="Times New Roman" w:hAnsi="Times New Roman"/>
          <w:sz w:val="24"/>
          <w:szCs w:val="24"/>
        </w:rPr>
        <w:t xml:space="preserve"> </w:t>
      </w:r>
    </w:p>
    <w:p w:rsidR="00DA609B" w:rsidP="00DE7E58" w:rsidRDefault="00DA609B" w14:paraId="5AEAE57E" w14:textId="440784AD">
      <w:pPr>
        <w:spacing w:after="0" w:line="240" w:lineRule="auto"/>
        <w:ind w:left="360"/>
      </w:pPr>
      <w:r>
        <w:rPr>
          <w:szCs w:val="24"/>
        </w:rPr>
        <w:t xml:space="preserve">      </w:t>
      </w:r>
      <w:r w:rsidRPr="00DA609B">
        <w:rPr>
          <w:szCs w:val="24"/>
        </w:rPr>
        <w:t>(Activity: Unwinding Data Report</w:t>
      </w:r>
      <w:r w:rsidR="00FA4C4E">
        <w:rPr>
          <w:szCs w:val="24"/>
        </w:rPr>
        <w:t>- baseline and monthly reports</w:t>
      </w:r>
      <w:r w:rsidRPr="00DA609B">
        <w:rPr>
          <w:szCs w:val="24"/>
        </w:rPr>
        <w:t>)</w:t>
      </w:r>
    </w:p>
    <w:p w:rsidRPr="00395FDA" w:rsidR="00DA609B" w:rsidP="00074877" w:rsidRDefault="00DA609B" w14:paraId="1B8F137A" w14:textId="77777777">
      <w:pPr>
        <w:pStyle w:val="ListParagraph"/>
        <w:spacing w:after="0" w:line="240" w:lineRule="auto"/>
        <w:rPr>
          <w:rFonts w:ascii="Times New Roman" w:hAnsi="Times New Roman"/>
          <w:sz w:val="24"/>
          <w:szCs w:val="24"/>
        </w:rPr>
      </w:pPr>
    </w:p>
    <w:p w:rsidRPr="00395FDA" w:rsidR="00074877" w:rsidP="002B342B" w:rsidRDefault="00074877" w14:paraId="6D7A81D7" w14:textId="09D70EF7">
      <w:pPr>
        <w:pStyle w:val="ListParagraph"/>
        <w:numPr>
          <w:ilvl w:val="0"/>
          <w:numId w:val="13"/>
        </w:numPr>
        <w:spacing w:after="0" w:line="240" w:lineRule="auto"/>
        <w:rPr>
          <w:rFonts w:ascii="Times New Roman" w:hAnsi="Times New Roman"/>
          <w:sz w:val="24"/>
          <w:szCs w:val="24"/>
        </w:rPr>
      </w:pPr>
      <w:r w:rsidRPr="00395FDA">
        <w:rPr>
          <w:rFonts w:ascii="Times New Roman" w:hAnsi="Times New Roman"/>
          <w:sz w:val="24"/>
          <w:szCs w:val="24"/>
        </w:rPr>
        <w:t xml:space="preserve">Unwinding </w:t>
      </w:r>
      <w:r w:rsidRPr="00395FDA" w:rsidR="0045537E">
        <w:rPr>
          <w:rFonts w:ascii="Times New Roman" w:hAnsi="Times New Roman"/>
          <w:sz w:val="24"/>
          <w:szCs w:val="24"/>
        </w:rPr>
        <w:t>Data Report</w:t>
      </w:r>
      <w:r w:rsidRPr="00395FDA">
        <w:rPr>
          <w:rFonts w:ascii="Times New Roman" w:hAnsi="Times New Roman"/>
          <w:sz w:val="24"/>
          <w:szCs w:val="24"/>
        </w:rPr>
        <w:t xml:space="preserve"> </w:t>
      </w:r>
      <w:r w:rsidRPr="00395FDA" w:rsidR="004560C0">
        <w:rPr>
          <w:rFonts w:ascii="Times New Roman" w:hAnsi="Times New Roman"/>
          <w:sz w:val="24"/>
          <w:szCs w:val="24"/>
        </w:rPr>
        <w:t>s</w:t>
      </w:r>
      <w:r w:rsidRPr="00395FDA">
        <w:rPr>
          <w:rFonts w:ascii="Times New Roman" w:hAnsi="Times New Roman"/>
          <w:sz w:val="24"/>
          <w:szCs w:val="24"/>
        </w:rPr>
        <w:t>pecifications</w:t>
      </w:r>
    </w:p>
    <w:p w:rsidR="00DA609B" w:rsidP="00DE7E58" w:rsidRDefault="00DA609B" w14:paraId="52203666" w14:textId="4C1955EB">
      <w:pPr>
        <w:spacing w:after="0" w:line="240" w:lineRule="auto"/>
        <w:ind w:left="360"/>
      </w:pPr>
      <w:r>
        <w:rPr>
          <w:szCs w:val="24"/>
        </w:rPr>
        <w:t xml:space="preserve">      </w:t>
      </w:r>
      <w:r w:rsidRPr="00DA609B">
        <w:rPr>
          <w:szCs w:val="24"/>
        </w:rPr>
        <w:t>(Activity: Unwinding Data Report</w:t>
      </w:r>
      <w:r w:rsidR="00FA4C4E">
        <w:rPr>
          <w:szCs w:val="24"/>
        </w:rPr>
        <w:t>- baseline and monthly reports</w:t>
      </w:r>
      <w:r w:rsidR="00DE7E58">
        <w:rPr>
          <w:szCs w:val="24"/>
        </w:rPr>
        <w:t>)</w:t>
      </w:r>
    </w:p>
    <w:p w:rsidRPr="00395FDA" w:rsidR="009727EA" w:rsidP="00156114" w:rsidRDefault="009727EA" w14:paraId="4B656AD9" w14:textId="37B3925C">
      <w:pPr>
        <w:spacing w:after="0" w:line="240" w:lineRule="auto"/>
        <w:rPr>
          <w:rFonts w:cs="Times New Roman"/>
          <w:szCs w:val="24"/>
        </w:rPr>
      </w:pPr>
    </w:p>
    <w:p w:rsidRPr="00395FDA" w:rsidR="009727EA" w:rsidP="002B342B" w:rsidRDefault="009727EA" w14:paraId="0CC0DFB4" w14:textId="1A924267">
      <w:pPr>
        <w:pStyle w:val="ListParagraph"/>
        <w:numPr>
          <w:ilvl w:val="0"/>
          <w:numId w:val="13"/>
        </w:numPr>
        <w:spacing w:after="0" w:line="240" w:lineRule="auto"/>
        <w:rPr>
          <w:rFonts w:ascii="Times New Roman" w:hAnsi="Times New Roman"/>
          <w:sz w:val="24"/>
          <w:szCs w:val="24"/>
        </w:rPr>
      </w:pPr>
      <w:r w:rsidRPr="00395FDA">
        <w:rPr>
          <w:rFonts w:ascii="Times New Roman" w:hAnsi="Times New Roman"/>
          <w:bCs/>
          <w:sz w:val="24"/>
          <w:szCs w:val="24"/>
        </w:rPr>
        <w:lastRenderedPageBreak/>
        <w:t xml:space="preserve">State </w:t>
      </w:r>
      <w:r w:rsidRPr="00395FDA" w:rsidR="0045537E">
        <w:rPr>
          <w:rFonts w:ascii="Times New Roman" w:hAnsi="Times New Roman"/>
          <w:bCs/>
          <w:sz w:val="24"/>
          <w:szCs w:val="24"/>
        </w:rPr>
        <w:t>Renewals Report</w:t>
      </w:r>
      <w:r w:rsidRPr="00395FDA">
        <w:rPr>
          <w:rFonts w:ascii="Times New Roman" w:hAnsi="Times New Roman"/>
          <w:sz w:val="24"/>
          <w:szCs w:val="24"/>
        </w:rPr>
        <w:t xml:space="preserve"> </w:t>
      </w:r>
    </w:p>
    <w:p w:rsidR="00DA609B" w:rsidP="00DE7E58" w:rsidRDefault="00DA609B" w14:paraId="4DA5AC59" w14:textId="025D3079">
      <w:pPr>
        <w:spacing w:after="0" w:line="240" w:lineRule="auto"/>
        <w:ind w:left="360"/>
      </w:pPr>
      <w:r>
        <w:rPr>
          <w:szCs w:val="24"/>
        </w:rPr>
        <w:t xml:space="preserve">      </w:t>
      </w:r>
      <w:r w:rsidRPr="00DA609B">
        <w:rPr>
          <w:szCs w:val="24"/>
        </w:rPr>
        <w:t>(Activit</w:t>
      </w:r>
      <w:r w:rsidR="00FA4C4E">
        <w:t>y:</w:t>
      </w:r>
      <w:r w:rsidR="00DE7E58">
        <w:t xml:space="preserve"> </w:t>
      </w:r>
      <w:r w:rsidRPr="00DA609B">
        <w:rPr>
          <w:szCs w:val="24"/>
        </w:rPr>
        <w:t>State Renewals Report)</w:t>
      </w:r>
    </w:p>
    <w:p w:rsidRPr="00086AE9" w:rsidR="00DA609B" w:rsidP="008111D2" w:rsidRDefault="00DA609B" w14:paraId="312AAFC3" w14:textId="77777777">
      <w:pPr>
        <w:spacing w:after="0" w:line="240" w:lineRule="auto"/>
        <w:rPr>
          <w:rFonts w:cs="Times New Roman"/>
          <w:i/>
          <w:szCs w:val="24"/>
        </w:rPr>
      </w:pPr>
    </w:p>
    <w:p w:rsidRPr="00395FDA" w:rsidR="000C4C20" w:rsidP="00395FDA" w:rsidRDefault="0056064F" w14:paraId="605BAE90" w14:textId="384E4197">
      <w:pPr>
        <w:pStyle w:val="ListParagraph"/>
        <w:numPr>
          <w:ilvl w:val="0"/>
          <w:numId w:val="13"/>
        </w:numPr>
        <w:spacing w:after="0" w:line="240" w:lineRule="auto"/>
        <w:rPr>
          <w:rFonts w:ascii="Times New Roman" w:hAnsi="Times New Roman"/>
          <w:i/>
          <w:sz w:val="24"/>
          <w:szCs w:val="24"/>
        </w:rPr>
      </w:pPr>
      <w:r>
        <w:rPr>
          <w:rFonts w:ascii="Times New Roman" w:hAnsi="Times New Roman"/>
          <w:sz w:val="24"/>
          <w:szCs w:val="24"/>
        </w:rPr>
        <w:t>SHO letter 21002</w:t>
      </w:r>
      <w:r w:rsidR="00942CE8">
        <w:rPr>
          <w:rFonts w:ascii="Times New Roman" w:hAnsi="Times New Roman"/>
          <w:sz w:val="24"/>
          <w:szCs w:val="24"/>
        </w:rPr>
        <w:t xml:space="preserve"> August 2021</w:t>
      </w:r>
    </w:p>
    <w:p w:rsidRPr="00395FDA" w:rsidR="000C4C20" w:rsidP="008111D2" w:rsidRDefault="000C4C20" w14:paraId="4AB00074" w14:textId="38A7A0DE">
      <w:pPr>
        <w:spacing w:after="0" w:line="240" w:lineRule="auto"/>
        <w:rPr>
          <w:rFonts w:cs="Times New Roman"/>
          <w:i/>
          <w:szCs w:val="24"/>
        </w:rPr>
      </w:pPr>
    </w:p>
    <w:p w:rsidRPr="00395FDA" w:rsidR="000C4C20" w:rsidP="00395FDA" w:rsidRDefault="00942CE8" w14:paraId="11D348FB" w14:textId="2D372149">
      <w:pPr>
        <w:pStyle w:val="ListParagraph"/>
        <w:numPr>
          <w:ilvl w:val="0"/>
          <w:numId w:val="13"/>
        </w:numPr>
        <w:spacing w:after="0" w:line="240" w:lineRule="auto"/>
        <w:rPr>
          <w:rFonts w:ascii="Times New Roman" w:hAnsi="Times New Roman"/>
          <w:i/>
          <w:sz w:val="24"/>
          <w:szCs w:val="24"/>
        </w:rPr>
      </w:pPr>
      <w:r>
        <w:rPr>
          <w:rFonts w:ascii="Times New Roman" w:hAnsi="Times New Roman"/>
          <w:sz w:val="24"/>
          <w:szCs w:val="24"/>
        </w:rPr>
        <w:t>SHO letter 2200X March 2022</w:t>
      </w:r>
    </w:p>
    <w:p w:rsidR="000C4C20" w:rsidP="008111D2" w:rsidRDefault="000C4C20" w14:paraId="7FDC067D" w14:textId="77777777">
      <w:pPr>
        <w:spacing w:after="0" w:line="240" w:lineRule="auto"/>
        <w:rPr>
          <w:i/>
          <w:szCs w:val="24"/>
        </w:rPr>
      </w:pPr>
    </w:p>
    <w:p w:rsidR="007D6E75" w:rsidP="002B342B" w:rsidRDefault="00191A10" w14:paraId="303D4ECE" w14:textId="3657ECFA">
      <w:pPr>
        <w:spacing w:after="0" w:line="240" w:lineRule="auto"/>
      </w:pPr>
      <w:r>
        <w:rPr>
          <w:szCs w:val="24"/>
        </w:rPr>
        <w:t xml:space="preserve"> </w:t>
      </w:r>
      <w:r w:rsidRPr="008111D2" w:rsidR="007D6E75">
        <w:t>E. Timeline</w:t>
      </w:r>
    </w:p>
    <w:p w:rsidR="00C14D8F" w:rsidP="00C14D8F" w:rsidRDefault="00C14D8F" w14:paraId="62479278" w14:textId="3A4BDAD1">
      <w:pPr>
        <w:spacing w:after="0" w:line="240" w:lineRule="auto"/>
        <w:rPr>
          <w:szCs w:val="24"/>
        </w:rPr>
      </w:pPr>
    </w:p>
    <w:p w:rsidRPr="00181A03" w:rsidR="00AB65FF" w:rsidP="00181A03" w:rsidRDefault="00AB65FF" w14:paraId="0B164A49" w14:textId="4A38C393">
      <w:pPr>
        <w:spacing w:after="0" w:line="240" w:lineRule="auto"/>
        <w:rPr>
          <w:szCs w:val="24"/>
        </w:rPr>
      </w:pPr>
      <w:r w:rsidRPr="00181A03">
        <w:rPr>
          <w:szCs w:val="24"/>
        </w:rPr>
        <w:t xml:space="preserve">The 14-day Federal Register notice will publish after OMB’s approval of this generic collection of information request and after </w:t>
      </w:r>
      <w:r w:rsidRPr="00181A03" w:rsidR="00181A03">
        <w:rPr>
          <w:szCs w:val="24"/>
        </w:rPr>
        <w:t xml:space="preserve">our </w:t>
      </w:r>
      <w:r w:rsidRPr="00181A03">
        <w:rPr>
          <w:szCs w:val="24"/>
        </w:rPr>
        <w:t xml:space="preserve">release </w:t>
      </w:r>
      <w:r w:rsidRPr="00181A03" w:rsidR="00181A03">
        <w:rPr>
          <w:szCs w:val="24"/>
        </w:rPr>
        <w:t>of SHO letter 22-00X</w:t>
      </w:r>
      <w:r w:rsidR="00181A03">
        <w:rPr>
          <w:szCs w:val="24"/>
        </w:rPr>
        <w:t>.</w:t>
      </w:r>
    </w:p>
    <w:p w:rsidR="00AB65FF" w:rsidP="00C14D8F" w:rsidRDefault="00AB65FF" w14:paraId="57565431" w14:textId="77777777">
      <w:pPr>
        <w:spacing w:after="0" w:line="240" w:lineRule="auto"/>
        <w:rPr>
          <w:szCs w:val="24"/>
        </w:rPr>
      </w:pPr>
    </w:p>
    <w:p w:rsidR="00C14D8F" w:rsidP="00D46CE3" w:rsidRDefault="00B71876" w14:paraId="62E5BB99" w14:textId="7752FF9C">
      <w:pPr>
        <w:spacing w:after="0" w:line="240" w:lineRule="auto"/>
        <w:rPr>
          <w:szCs w:val="24"/>
        </w:rPr>
      </w:pPr>
      <w:r>
        <w:t>Prompt a</w:t>
      </w:r>
      <w:r w:rsidRPr="00D9089B" w:rsidR="00D9089B">
        <w:t xml:space="preserve">pproval of the Unwinding Data </w:t>
      </w:r>
      <w:r w:rsidR="00C042D4">
        <w:t>Report</w:t>
      </w:r>
      <w:r w:rsidRPr="00D9089B" w:rsidR="00D9089B">
        <w:t xml:space="preserve"> and the </w:t>
      </w:r>
      <w:r w:rsidRPr="00D9089B" w:rsidR="00D9089B">
        <w:rPr>
          <w:bCs/>
        </w:rPr>
        <w:t xml:space="preserve">State </w:t>
      </w:r>
      <w:r w:rsidR="00C042D4">
        <w:rPr>
          <w:bCs/>
        </w:rPr>
        <w:t>Renewals Report</w:t>
      </w:r>
      <w:r w:rsidRPr="00E76A29" w:rsidR="00D9089B">
        <w:rPr>
          <w:szCs w:val="24"/>
        </w:rPr>
        <w:t xml:space="preserve"> </w:t>
      </w:r>
      <w:r w:rsidR="00C042D4">
        <w:rPr>
          <w:szCs w:val="24"/>
        </w:rPr>
        <w:t>in advance of the end of the PHE, currently set to expire in April 2022, is</w:t>
      </w:r>
      <w:r w:rsidR="00D9089B">
        <w:rPr>
          <w:szCs w:val="24"/>
        </w:rPr>
        <w:t xml:space="preserve"> critical to supporting states as they work to restore normal operations, and to </w:t>
      </w:r>
      <w:r w:rsidR="00C042D4">
        <w:rPr>
          <w:szCs w:val="24"/>
        </w:rPr>
        <w:t xml:space="preserve">ensure </w:t>
      </w:r>
      <w:r w:rsidR="00D9089B">
        <w:rPr>
          <w:szCs w:val="24"/>
        </w:rPr>
        <w:t xml:space="preserve">CMS </w:t>
      </w:r>
      <w:r w:rsidR="00C042D4">
        <w:rPr>
          <w:szCs w:val="24"/>
        </w:rPr>
        <w:t xml:space="preserve">has timely information </w:t>
      </w:r>
      <w:r w:rsidR="00134909">
        <w:rPr>
          <w:szCs w:val="24"/>
        </w:rPr>
        <w:t xml:space="preserve">on </w:t>
      </w:r>
      <w:r w:rsidR="00D9089B">
        <w:rPr>
          <w:szCs w:val="24"/>
        </w:rPr>
        <w:t>states</w:t>
      </w:r>
      <w:r w:rsidR="00D46CE3">
        <w:rPr>
          <w:szCs w:val="24"/>
        </w:rPr>
        <w:t>’</w:t>
      </w:r>
      <w:r w:rsidR="00D9089B">
        <w:rPr>
          <w:szCs w:val="24"/>
        </w:rPr>
        <w:t xml:space="preserve"> </w:t>
      </w:r>
      <w:r w:rsidR="00134909">
        <w:rPr>
          <w:szCs w:val="24"/>
        </w:rPr>
        <w:t xml:space="preserve">plans and </w:t>
      </w:r>
      <w:r w:rsidR="00D9089B">
        <w:rPr>
          <w:szCs w:val="24"/>
        </w:rPr>
        <w:t xml:space="preserve">progress in meeting the expectations and </w:t>
      </w:r>
      <w:r w:rsidR="00134909">
        <w:rPr>
          <w:szCs w:val="24"/>
        </w:rPr>
        <w:t xml:space="preserve">timelines </w:t>
      </w:r>
      <w:r w:rsidR="00D9089B">
        <w:rPr>
          <w:szCs w:val="24"/>
        </w:rPr>
        <w:t xml:space="preserve">outlined in </w:t>
      </w:r>
      <w:r w:rsidR="00E05D64">
        <w:rPr>
          <w:szCs w:val="24"/>
        </w:rPr>
        <w:t xml:space="preserve">both </w:t>
      </w:r>
      <w:r w:rsidR="00C042D4">
        <w:rPr>
          <w:szCs w:val="24"/>
        </w:rPr>
        <w:t>SHO</w:t>
      </w:r>
      <w:r w:rsidR="00E05D64">
        <w:rPr>
          <w:szCs w:val="24"/>
        </w:rPr>
        <w:t xml:space="preserve"> letters</w:t>
      </w:r>
      <w:r w:rsidR="00D9089B">
        <w:rPr>
          <w:szCs w:val="24"/>
        </w:rPr>
        <w:t xml:space="preserve">. </w:t>
      </w:r>
      <w:r w:rsidR="00D46CE3">
        <w:rPr>
          <w:szCs w:val="24"/>
        </w:rPr>
        <w:t xml:space="preserve">The information received from these reporting instruments will not be published.     </w:t>
      </w:r>
    </w:p>
    <w:p w:rsidR="00D46CE3" w:rsidP="00D46CE3" w:rsidRDefault="00D46CE3" w14:paraId="62DD8E50" w14:textId="68A99044">
      <w:pPr>
        <w:spacing w:after="0" w:line="240" w:lineRule="auto"/>
        <w:rPr>
          <w:szCs w:val="24"/>
        </w:rPr>
      </w:pPr>
    </w:p>
    <w:p w:rsidRPr="002B418D" w:rsidR="009677D8" w:rsidP="00A7321B" w:rsidRDefault="009677D8" w14:paraId="53116411" w14:textId="508E3D8D">
      <w:pPr>
        <w:rPr>
          <w:szCs w:val="24"/>
        </w:rPr>
      </w:pPr>
    </w:p>
    <w:sectPr w:rsidRPr="002B418D" w:rsidR="009677D8" w:rsidSect="00932216">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8E202" w14:textId="77777777" w:rsidR="002D70AA" w:rsidRDefault="002D70AA" w:rsidP="008111D2">
      <w:pPr>
        <w:spacing w:after="0" w:line="240" w:lineRule="auto"/>
      </w:pPr>
      <w:r>
        <w:separator/>
      </w:r>
    </w:p>
  </w:endnote>
  <w:endnote w:type="continuationSeparator" w:id="0">
    <w:p w14:paraId="5E0ECA47" w14:textId="77777777" w:rsidR="002D70AA" w:rsidRDefault="002D70AA" w:rsidP="008111D2">
      <w:pPr>
        <w:spacing w:after="0" w:line="240" w:lineRule="auto"/>
      </w:pPr>
      <w:r>
        <w:continuationSeparator/>
      </w:r>
    </w:p>
  </w:endnote>
  <w:endnote w:type="continuationNotice" w:id="1">
    <w:p w14:paraId="6B86C9AD" w14:textId="77777777" w:rsidR="002D70AA" w:rsidRDefault="002D7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8B57F" w14:textId="77777777" w:rsidR="002D70AA" w:rsidRDefault="002D70AA" w:rsidP="008111D2">
      <w:pPr>
        <w:spacing w:after="0" w:line="240" w:lineRule="auto"/>
      </w:pPr>
      <w:r>
        <w:separator/>
      </w:r>
    </w:p>
  </w:footnote>
  <w:footnote w:type="continuationSeparator" w:id="0">
    <w:p w14:paraId="487DFB2D" w14:textId="77777777" w:rsidR="002D70AA" w:rsidRDefault="002D70AA" w:rsidP="008111D2">
      <w:pPr>
        <w:spacing w:after="0" w:line="240" w:lineRule="auto"/>
      </w:pPr>
      <w:r>
        <w:continuationSeparator/>
      </w:r>
    </w:p>
  </w:footnote>
  <w:footnote w:type="continuationNotice" w:id="1">
    <w:p w14:paraId="0DE3F821" w14:textId="77777777" w:rsidR="002D70AA" w:rsidRDefault="002D7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8935" w14:textId="77777777" w:rsidR="00164929" w:rsidRDefault="00164929">
    <w:pPr>
      <w:pStyle w:val="Header"/>
    </w:pPr>
    <w:r w:rsidRPr="0093221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5053"/>
    <w:multiLevelType w:val="hybridMultilevel"/>
    <w:tmpl w:val="1D3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11"/>
  </w:num>
  <w:num w:numId="5">
    <w:abstractNumId w:val="3"/>
  </w:num>
  <w:num w:numId="6">
    <w:abstractNumId w:val="4"/>
  </w:num>
  <w:num w:numId="7">
    <w:abstractNumId w:val="5"/>
  </w:num>
  <w:num w:numId="8">
    <w:abstractNumId w:val="9"/>
  </w:num>
  <w:num w:numId="9">
    <w:abstractNumId w:val="0"/>
  </w:num>
  <w:num w:numId="10">
    <w:abstractNumId w:val="12"/>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5357"/>
    <w:rsid w:val="00011FEE"/>
    <w:rsid w:val="00017ED9"/>
    <w:rsid w:val="00020D6A"/>
    <w:rsid w:val="00027AF0"/>
    <w:rsid w:val="000320FC"/>
    <w:rsid w:val="000362BD"/>
    <w:rsid w:val="00043D0E"/>
    <w:rsid w:val="00051700"/>
    <w:rsid w:val="000554DB"/>
    <w:rsid w:val="000712B4"/>
    <w:rsid w:val="00071485"/>
    <w:rsid w:val="00074877"/>
    <w:rsid w:val="0007730D"/>
    <w:rsid w:val="0007774B"/>
    <w:rsid w:val="00086AE9"/>
    <w:rsid w:val="000B63B4"/>
    <w:rsid w:val="000B7CFE"/>
    <w:rsid w:val="000C12C7"/>
    <w:rsid w:val="000C4C20"/>
    <w:rsid w:val="000D1CFD"/>
    <w:rsid w:val="000D7C29"/>
    <w:rsid w:val="000E55DA"/>
    <w:rsid w:val="000F7DB1"/>
    <w:rsid w:val="001050CB"/>
    <w:rsid w:val="00111672"/>
    <w:rsid w:val="001213D3"/>
    <w:rsid w:val="00122C0E"/>
    <w:rsid w:val="001253C0"/>
    <w:rsid w:val="00133ED3"/>
    <w:rsid w:val="00134909"/>
    <w:rsid w:val="00144552"/>
    <w:rsid w:val="00151FB0"/>
    <w:rsid w:val="00156114"/>
    <w:rsid w:val="001627F7"/>
    <w:rsid w:val="0016286C"/>
    <w:rsid w:val="0016302E"/>
    <w:rsid w:val="00164929"/>
    <w:rsid w:val="00174911"/>
    <w:rsid w:val="00174FCF"/>
    <w:rsid w:val="00175A39"/>
    <w:rsid w:val="001760DD"/>
    <w:rsid w:val="00176BFB"/>
    <w:rsid w:val="00181A03"/>
    <w:rsid w:val="00185CB4"/>
    <w:rsid w:val="00190893"/>
    <w:rsid w:val="00191A10"/>
    <w:rsid w:val="0019661C"/>
    <w:rsid w:val="001A1233"/>
    <w:rsid w:val="001A1FC6"/>
    <w:rsid w:val="001A4058"/>
    <w:rsid w:val="001D197A"/>
    <w:rsid w:val="001E1FA0"/>
    <w:rsid w:val="001E66B6"/>
    <w:rsid w:val="001F2628"/>
    <w:rsid w:val="0020026D"/>
    <w:rsid w:val="002009B2"/>
    <w:rsid w:val="002061CC"/>
    <w:rsid w:val="0021431F"/>
    <w:rsid w:val="00222B4F"/>
    <w:rsid w:val="00224FF7"/>
    <w:rsid w:val="002421C0"/>
    <w:rsid w:val="00245EC6"/>
    <w:rsid w:val="00251BCB"/>
    <w:rsid w:val="00252D20"/>
    <w:rsid w:val="002616AE"/>
    <w:rsid w:val="00262B47"/>
    <w:rsid w:val="00263C60"/>
    <w:rsid w:val="00270765"/>
    <w:rsid w:val="00270DCC"/>
    <w:rsid w:val="0027114C"/>
    <w:rsid w:val="00271FF4"/>
    <w:rsid w:val="002926E5"/>
    <w:rsid w:val="00292D52"/>
    <w:rsid w:val="002A2764"/>
    <w:rsid w:val="002B342B"/>
    <w:rsid w:val="002B418D"/>
    <w:rsid w:val="002B439E"/>
    <w:rsid w:val="002C12E0"/>
    <w:rsid w:val="002C2DEF"/>
    <w:rsid w:val="002C4D42"/>
    <w:rsid w:val="002C64B6"/>
    <w:rsid w:val="002C676A"/>
    <w:rsid w:val="002D70AA"/>
    <w:rsid w:val="002E2D23"/>
    <w:rsid w:val="002E5D06"/>
    <w:rsid w:val="002F544E"/>
    <w:rsid w:val="003248D0"/>
    <w:rsid w:val="00325F87"/>
    <w:rsid w:val="00332FC8"/>
    <w:rsid w:val="00335313"/>
    <w:rsid w:val="0033590F"/>
    <w:rsid w:val="00345905"/>
    <w:rsid w:val="003516CA"/>
    <w:rsid w:val="00354322"/>
    <w:rsid w:val="003609B5"/>
    <w:rsid w:val="003627C8"/>
    <w:rsid w:val="00364E8C"/>
    <w:rsid w:val="00367DBD"/>
    <w:rsid w:val="00370EB8"/>
    <w:rsid w:val="003918B4"/>
    <w:rsid w:val="003933CF"/>
    <w:rsid w:val="00395FDA"/>
    <w:rsid w:val="003B1B2C"/>
    <w:rsid w:val="003B7A90"/>
    <w:rsid w:val="003C5777"/>
    <w:rsid w:val="003C7FE8"/>
    <w:rsid w:val="003D7F33"/>
    <w:rsid w:val="003E6441"/>
    <w:rsid w:val="003F1643"/>
    <w:rsid w:val="003F3E75"/>
    <w:rsid w:val="003F4D04"/>
    <w:rsid w:val="00405CF9"/>
    <w:rsid w:val="00417CAB"/>
    <w:rsid w:val="00421BC1"/>
    <w:rsid w:val="00432C17"/>
    <w:rsid w:val="0045369C"/>
    <w:rsid w:val="0045537E"/>
    <w:rsid w:val="004560C0"/>
    <w:rsid w:val="00465B2D"/>
    <w:rsid w:val="00467BA3"/>
    <w:rsid w:val="00467E98"/>
    <w:rsid w:val="00472FF1"/>
    <w:rsid w:val="00474257"/>
    <w:rsid w:val="00475EF8"/>
    <w:rsid w:val="00483058"/>
    <w:rsid w:val="00492D39"/>
    <w:rsid w:val="004A0A30"/>
    <w:rsid w:val="004A0CFA"/>
    <w:rsid w:val="004B13E8"/>
    <w:rsid w:val="004B1789"/>
    <w:rsid w:val="004C2F53"/>
    <w:rsid w:val="00521033"/>
    <w:rsid w:val="0052333E"/>
    <w:rsid w:val="00524946"/>
    <w:rsid w:val="00531DFC"/>
    <w:rsid w:val="005555EC"/>
    <w:rsid w:val="0056064F"/>
    <w:rsid w:val="00562286"/>
    <w:rsid w:val="00567549"/>
    <w:rsid w:val="00570120"/>
    <w:rsid w:val="00575132"/>
    <w:rsid w:val="005816C4"/>
    <w:rsid w:val="0059121C"/>
    <w:rsid w:val="00597229"/>
    <w:rsid w:val="005A0993"/>
    <w:rsid w:val="005A5E62"/>
    <w:rsid w:val="005B1F35"/>
    <w:rsid w:val="005B6A37"/>
    <w:rsid w:val="005C00B3"/>
    <w:rsid w:val="005C06FF"/>
    <w:rsid w:val="005C13E2"/>
    <w:rsid w:val="005C4193"/>
    <w:rsid w:val="005C580D"/>
    <w:rsid w:val="005C73AF"/>
    <w:rsid w:val="005C79B2"/>
    <w:rsid w:val="005D001F"/>
    <w:rsid w:val="005D09F0"/>
    <w:rsid w:val="005D2E4C"/>
    <w:rsid w:val="005E312B"/>
    <w:rsid w:val="005E3B79"/>
    <w:rsid w:val="005E52BE"/>
    <w:rsid w:val="005E70B4"/>
    <w:rsid w:val="005F350E"/>
    <w:rsid w:val="006026DA"/>
    <w:rsid w:val="00611712"/>
    <w:rsid w:val="00613E26"/>
    <w:rsid w:val="0061563D"/>
    <w:rsid w:val="00622C32"/>
    <w:rsid w:val="00635109"/>
    <w:rsid w:val="00636700"/>
    <w:rsid w:val="0064224A"/>
    <w:rsid w:val="00643FDB"/>
    <w:rsid w:val="00644C32"/>
    <w:rsid w:val="00647812"/>
    <w:rsid w:val="00656C2D"/>
    <w:rsid w:val="006664B1"/>
    <w:rsid w:val="00667181"/>
    <w:rsid w:val="0067355E"/>
    <w:rsid w:val="00675E41"/>
    <w:rsid w:val="00685368"/>
    <w:rsid w:val="006877F1"/>
    <w:rsid w:val="006930B1"/>
    <w:rsid w:val="006A369F"/>
    <w:rsid w:val="006A7890"/>
    <w:rsid w:val="006C0B96"/>
    <w:rsid w:val="006C13C6"/>
    <w:rsid w:val="006C2594"/>
    <w:rsid w:val="006C4626"/>
    <w:rsid w:val="006C6C40"/>
    <w:rsid w:val="006C7304"/>
    <w:rsid w:val="006D6A5D"/>
    <w:rsid w:val="006E37F0"/>
    <w:rsid w:val="006F015D"/>
    <w:rsid w:val="006F0F25"/>
    <w:rsid w:val="006F4FF9"/>
    <w:rsid w:val="00707666"/>
    <w:rsid w:val="0071650B"/>
    <w:rsid w:val="00716824"/>
    <w:rsid w:val="007219A0"/>
    <w:rsid w:val="00722FC3"/>
    <w:rsid w:val="00723A9E"/>
    <w:rsid w:val="00736348"/>
    <w:rsid w:val="0075741C"/>
    <w:rsid w:val="007611D0"/>
    <w:rsid w:val="00770650"/>
    <w:rsid w:val="007740A1"/>
    <w:rsid w:val="00777B0D"/>
    <w:rsid w:val="00780105"/>
    <w:rsid w:val="007B34C2"/>
    <w:rsid w:val="007B3936"/>
    <w:rsid w:val="007C2FAF"/>
    <w:rsid w:val="007C4034"/>
    <w:rsid w:val="007C6AF7"/>
    <w:rsid w:val="007D6E75"/>
    <w:rsid w:val="007E4D20"/>
    <w:rsid w:val="007F1711"/>
    <w:rsid w:val="007F18CA"/>
    <w:rsid w:val="007F19E8"/>
    <w:rsid w:val="007F5507"/>
    <w:rsid w:val="007F7E9C"/>
    <w:rsid w:val="00802598"/>
    <w:rsid w:val="00806C00"/>
    <w:rsid w:val="008111D2"/>
    <w:rsid w:val="00814C5B"/>
    <w:rsid w:val="00821B5C"/>
    <w:rsid w:val="00822039"/>
    <w:rsid w:val="00836E8F"/>
    <w:rsid w:val="00860734"/>
    <w:rsid w:val="00873459"/>
    <w:rsid w:val="0088756F"/>
    <w:rsid w:val="00894B7D"/>
    <w:rsid w:val="008A34DB"/>
    <w:rsid w:val="008B1B90"/>
    <w:rsid w:val="008B35D5"/>
    <w:rsid w:val="008C11BC"/>
    <w:rsid w:val="008C6687"/>
    <w:rsid w:val="008D52D1"/>
    <w:rsid w:val="008E6143"/>
    <w:rsid w:val="008E7760"/>
    <w:rsid w:val="008F2AED"/>
    <w:rsid w:val="008F385E"/>
    <w:rsid w:val="008F4641"/>
    <w:rsid w:val="009004E1"/>
    <w:rsid w:val="009048A2"/>
    <w:rsid w:val="00912F0A"/>
    <w:rsid w:val="009156A7"/>
    <w:rsid w:val="0092638D"/>
    <w:rsid w:val="00932216"/>
    <w:rsid w:val="009369F3"/>
    <w:rsid w:val="00942CE8"/>
    <w:rsid w:val="00944BE8"/>
    <w:rsid w:val="009516ED"/>
    <w:rsid w:val="0095297C"/>
    <w:rsid w:val="00952D0E"/>
    <w:rsid w:val="009549EA"/>
    <w:rsid w:val="0096147D"/>
    <w:rsid w:val="00963472"/>
    <w:rsid w:val="00963F96"/>
    <w:rsid w:val="0096471B"/>
    <w:rsid w:val="009677D8"/>
    <w:rsid w:val="009727EA"/>
    <w:rsid w:val="00983021"/>
    <w:rsid w:val="00983938"/>
    <w:rsid w:val="009903AB"/>
    <w:rsid w:val="009B19E8"/>
    <w:rsid w:val="009B575A"/>
    <w:rsid w:val="009B68E5"/>
    <w:rsid w:val="009C2F36"/>
    <w:rsid w:val="009E3FAC"/>
    <w:rsid w:val="009E77CB"/>
    <w:rsid w:val="009E7B5E"/>
    <w:rsid w:val="009F311F"/>
    <w:rsid w:val="00A06227"/>
    <w:rsid w:val="00A12A91"/>
    <w:rsid w:val="00A138F7"/>
    <w:rsid w:val="00A37660"/>
    <w:rsid w:val="00A467D7"/>
    <w:rsid w:val="00A50726"/>
    <w:rsid w:val="00A512D4"/>
    <w:rsid w:val="00A621D6"/>
    <w:rsid w:val="00A718B4"/>
    <w:rsid w:val="00A7321B"/>
    <w:rsid w:val="00AA37EC"/>
    <w:rsid w:val="00AA4E4C"/>
    <w:rsid w:val="00AA516C"/>
    <w:rsid w:val="00AA6D13"/>
    <w:rsid w:val="00AA7420"/>
    <w:rsid w:val="00AB01BC"/>
    <w:rsid w:val="00AB65FF"/>
    <w:rsid w:val="00AC0263"/>
    <w:rsid w:val="00AD5A34"/>
    <w:rsid w:val="00AE1BD8"/>
    <w:rsid w:val="00B042AD"/>
    <w:rsid w:val="00B12A5C"/>
    <w:rsid w:val="00B13942"/>
    <w:rsid w:val="00B151B4"/>
    <w:rsid w:val="00B16D8B"/>
    <w:rsid w:val="00B3686C"/>
    <w:rsid w:val="00B37FCE"/>
    <w:rsid w:val="00B43BBD"/>
    <w:rsid w:val="00B532F3"/>
    <w:rsid w:val="00B53D79"/>
    <w:rsid w:val="00B71876"/>
    <w:rsid w:val="00B75F3C"/>
    <w:rsid w:val="00B87957"/>
    <w:rsid w:val="00BA2F07"/>
    <w:rsid w:val="00BB109D"/>
    <w:rsid w:val="00BC324A"/>
    <w:rsid w:val="00BD32FA"/>
    <w:rsid w:val="00BD7112"/>
    <w:rsid w:val="00BE1F9E"/>
    <w:rsid w:val="00BF0C65"/>
    <w:rsid w:val="00BF1E50"/>
    <w:rsid w:val="00C007E8"/>
    <w:rsid w:val="00C042D4"/>
    <w:rsid w:val="00C0454D"/>
    <w:rsid w:val="00C0709A"/>
    <w:rsid w:val="00C10EFE"/>
    <w:rsid w:val="00C14D8F"/>
    <w:rsid w:val="00C16C72"/>
    <w:rsid w:val="00C209FB"/>
    <w:rsid w:val="00C2142E"/>
    <w:rsid w:val="00C30AA5"/>
    <w:rsid w:val="00C36044"/>
    <w:rsid w:val="00C42C57"/>
    <w:rsid w:val="00C42FB3"/>
    <w:rsid w:val="00C538AB"/>
    <w:rsid w:val="00C53AEF"/>
    <w:rsid w:val="00C60AA3"/>
    <w:rsid w:val="00C70A23"/>
    <w:rsid w:val="00C825FA"/>
    <w:rsid w:val="00C94C5E"/>
    <w:rsid w:val="00C95A67"/>
    <w:rsid w:val="00CA1F98"/>
    <w:rsid w:val="00CA28EF"/>
    <w:rsid w:val="00CA414B"/>
    <w:rsid w:val="00CB241F"/>
    <w:rsid w:val="00CB5768"/>
    <w:rsid w:val="00CB646D"/>
    <w:rsid w:val="00CB7E59"/>
    <w:rsid w:val="00CC5C58"/>
    <w:rsid w:val="00CD227E"/>
    <w:rsid w:val="00CF6C1D"/>
    <w:rsid w:val="00D01558"/>
    <w:rsid w:val="00D02E09"/>
    <w:rsid w:val="00D12ABB"/>
    <w:rsid w:val="00D138F5"/>
    <w:rsid w:val="00D208AC"/>
    <w:rsid w:val="00D215B4"/>
    <w:rsid w:val="00D42E31"/>
    <w:rsid w:val="00D46C38"/>
    <w:rsid w:val="00D46CE3"/>
    <w:rsid w:val="00D4736A"/>
    <w:rsid w:val="00D62E12"/>
    <w:rsid w:val="00D679E8"/>
    <w:rsid w:val="00D72F46"/>
    <w:rsid w:val="00D852CB"/>
    <w:rsid w:val="00D9089B"/>
    <w:rsid w:val="00D955B5"/>
    <w:rsid w:val="00D95986"/>
    <w:rsid w:val="00D96239"/>
    <w:rsid w:val="00DA4035"/>
    <w:rsid w:val="00DA609B"/>
    <w:rsid w:val="00DC3519"/>
    <w:rsid w:val="00DD794C"/>
    <w:rsid w:val="00DE7306"/>
    <w:rsid w:val="00DE7E58"/>
    <w:rsid w:val="00DF098E"/>
    <w:rsid w:val="00DF2A38"/>
    <w:rsid w:val="00E05038"/>
    <w:rsid w:val="00E05D64"/>
    <w:rsid w:val="00E11380"/>
    <w:rsid w:val="00E634AA"/>
    <w:rsid w:val="00E67EC9"/>
    <w:rsid w:val="00E76A29"/>
    <w:rsid w:val="00E83673"/>
    <w:rsid w:val="00E83C3E"/>
    <w:rsid w:val="00E87C70"/>
    <w:rsid w:val="00E93F3F"/>
    <w:rsid w:val="00EA4AB1"/>
    <w:rsid w:val="00EB1115"/>
    <w:rsid w:val="00EB5409"/>
    <w:rsid w:val="00EC5440"/>
    <w:rsid w:val="00EC73C8"/>
    <w:rsid w:val="00ED7138"/>
    <w:rsid w:val="00EE1AD1"/>
    <w:rsid w:val="00EE22DB"/>
    <w:rsid w:val="00EF3A74"/>
    <w:rsid w:val="00EF4FCD"/>
    <w:rsid w:val="00F01D40"/>
    <w:rsid w:val="00F04F6D"/>
    <w:rsid w:val="00F054E8"/>
    <w:rsid w:val="00F10AF1"/>
    <w:rsid w:val="00F14C35"/>
    <w:rsid w:val="00F2592F"/>
    <w:rsid w:val="00F303E4"/>
    <w:rsid w:val="00F34393"/>
    <w:rsid w:val="00F4153A"/>
    <w:rsid w:val="00F4311A"/>
    <w:rsid w:val="00F4464D"/>
    <w:rsid w:val="00F5195A"/>
    <w:rsid w:val="00F53880"/>
    <w:rsid w:val="00F54374"/>
    <w:rsid w:val="00F5690E"/>
    <w:rsid w:val="00F94DED"/>
    <w:rsid w:val="00FA0EFB"/>
    <w:rsid w:val="00FA4C4E"/>
    <w:rsid w:val="00FB044F"/>
    <w:rsid w:val="00FB3D21"/>
    <w:rsid w:val="00FC34F5"/>
    <w:rsid w:val="00FE5525"/>
    <w:rsid w:val="00FE6027"/>
    <w:rsid w:val="00FE644A"/>
    <w:rsid w:val="00FF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F274"/>
  <w15:docId w15:val="{A851E6F6-9387-493C-8B06-74A25CDE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paragraph" w:styleId="Revision">
    <w:name w:val="Revision"/>
    <w:hidden/>
    <w:uiPriority w:val="99"/>
    <w:semiHidden/>
    <w:rsid w:val="00017ED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471870790">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265186334">
      <w:bodyDiv w:val="1"/>
      <w:marLeft w:val="0"/>
      <w:marRight w:val="0"/>
      <w:marTop w:val="0"/>
      <w:marBottom w:val="0"/>
      <w:divBdr>
        <w:top w:val="none" w:sz="0" w:space="0" w:color="auto"/>
        <w:left w:val="none" w:sz="0" w:space="0" w:color="auto"/>
        <w:bottom w:val="none" w:sz="0" w:space="0" w:color="auto"/>
        <w:right w:val="none" w:sz="0" w:space="0" w:color="auto"/>
      </w:divBdr>
    </w:div>
    <w:div w:id="1334383089">
      <w:bodyDiv w:val="1"/>
      <w:marLeft w:val="0"/>
      <w:marRight w:val="0"/>
      <w:marTop w:val="0"/>
      <w:marBottom w:val="0"/>
      <w:divBdr>
        <w:top w:val="none" w:sz="0" w:space="0" w:color="auto"/>
        <w:left w:val="none" w:sz="0" w:space="0" w:color="auto"/>
        <w:bottom w:val="none" w:sz="0" w:space="0" w:color="auto"/>
        <w:right w:val="none" w:sz="0" w:space="0" w:color="auto"/>
      </w:divBdr>
    </w:div>
    <w:div w:id="159370599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D9F24ABDEDAB0468C60862E4C331B4D" ma:contentTypeVersion="21" ma:contentTypeDescription="Create a new document." ma:contentTypeScope="" ma:versionID="e8bb9c0a6f7a58fe15902ae57af796ed">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CMCS-1268543921-1095</_dlc_DocId>
    <_dlc_DocIdUrl xmlns="144ea41b-304c-4c03-99c4-debb02094f92">
      <Url>https://share.cms.gov/center/CMCS/CAHPG/DEPO/_layouts/15/DocIdRedir.aspx?ID=CMCS-1268543921-1095</Url>
      <Description>CMCS-1268543921-1095</Description>
    </_dlc_DocIdUrl>
  </documentManagement>
</p:propertie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463E8-5B9A-4808-B4CD-D69BE3E79AC9}">
  <ds:schemaRefs>
    <ds:schemaRef ds:uri="http://schemas.microsoft.com/sharepoint/v3/contenttype/forms"/>
  </ds:schemaRefs>
</ds:datastoreItem>
</file>

<file path=customXml/itemProps2.xml><?xml version="1.0" encoding="utf-8"?>
<ds:datastoreItem xmlns:ds="http://schemas.openxmlformats.org/officeDocument/2006/customXml" ds:itemID="{8792A230-6AF9-4ADA-AC76-B2779A6F03ED}">
  <ds:schemaRefs>
    <ds:schemaRef ds:uri="http://schemas.microsoft.com/sharepoint/events"/>
  </ds:schemaRefs>
</ds:datastoreItem>
</file>

<file path=customXml/itemProps3.xml><?xml version="1.0" encoding="utf-8"?>
<ds:datastoreItem xmlns:ds="http://schemas.openxmlformats.org/officeDocument/2006/customXml" ds:itemID="{64BD32B8-3593-494F-B3C2-DEBEF4FF3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67BA2-C462-47FA-84D3-A2EA769114BC}">
  <ds:schemaRefs>
    <ds:schemaRef ds:uri="144ea41b-304c-4c03-99c4-debb02094f9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D443D875-5685-4741-95B3-8325E25672CA}">
  <ds:schemaRefs>
    <ds:schemaRef ds:uri="Microsoft.SharePoint.Taxonomy.ContentTypeSync"/>
  </ds:schemaRefs>
</ds:datastoreItem>
</file>

<file path=customXml/itemProps6.xml><?xml version="1.0" encoding="utf-8"?>
<ds:datastoreItem xmlns:ds="http://schemas.openxmlformats.org/officeDocument/2006/customXml" ds:itemID="{E049BC15-C5DE-4279-B1FA-9DE22BD6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Mitch Bryman</cp:lastModifiedBy>
  <cp:revision>4</cp:revision>
  <cp:lastPrinted>2014-06-27T18:10:00Z</cp:lastPrinted>
  <dcterms:created xsi:type="dcterms:W3CDTF">2022-02-24T19:42:00Z</dcterms:created>
  <dcterms:modified xsi:type="dcterms:W3CDTF">2022-02-28T18:56:00Z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0x010100AD9F24ABDEDAB0468C60862E4C331B4D</vt:lpwstr>
  </property>
  <property fmtid="{D5CDD505-2E9C-101B-9397-08002B2CF9AE}" pid="4" name="_dlc_DocIdItemGuid">
    <vt:lpwstr>c4de39d0-2cdd-41b6-9c5f-9faff34c9717</vt:lpwstr>
  </property>
</Properties>
</file>