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7213" w:rsidR="005D76C9" w:rsidP="008111D2" w:rsidRDefault="00521033" w14:paraId="5EC2A1ED" w14:textId="77777777">
      <w:pPr>
        <w:spacing w:after="0" w:line="240" w:lineRule="auto"/>
        <w:jc w:val="center"/>
        <w:rPr>
          <w:szCs w:val="24"/>
        </w:rPr>
      </w:pPr>
      <w:r w:rsidRPr="00957213">
        <w:rPr>
          <w:szCs w:val="24"/>
        </w:rPr>
        <w:t xml:space="preserve">Generic Supporting Statement </w:t>
      </w:r>
    </w:p>
    <w:p w:rsidRPr="00364E8C" w:rsidR="00521033" w:rsidP="00364E8C" w:rsidRDefault="00521033" w14:paraId="7BA39BDE" w14:textId="77777777">
      <w:pPr>
        <w:spacing w:after="0"/>
        <w:jc w:val="center"/>
        <w:rPr>
          <w:rFonts w:cs="Times New Roman"/>
          <w:szCs w:val="24"/>
        </w:rPr>
      </w:pPr>
      <w:r w:rsidRPr="00364E8C">
        <w:rPr>
          <w:rFonts w:cs="Times New Roman"/>
          <w:szCs w:val="24"/>
        </w:rPr>
        <w:t>Clearance for Medicaid and CHIP State Plan, Waiver, and Program Submissions</w:t>
      </w:r>
    </w:p>
    <w:p w:rsidRPr="008111D2" w:rsidR="009E3FAC" w:rsidP="00364E8C" w:rsidRDefault="00521033" w14:paraId="37D127B4" w14:textId="3F889823">
      <w:pPr>
        <w:spacing w:after="0"/>
        <w:jc w:val="center"/>
        <w:rPr>
          <w:rFonts w:cs="Times New Roman"/>
          <w:szCs w:val="24"/>
        </w:rPr>
      </w:pPr>
      <w:r w:rsidRPr="00364E8C">
        <w:rPr>
          <w:rFonts w:cs="Times New Roman"/>
          <w:szCs w:val="24"/>
        </w:rPr>
        <w:t>(CMS-10398, OMB 0938-1148)</w:t>
      </w:r>
    </w:p>
    <w:p w:rsidR="007D6E75" w:rsidP="008111D2" w:rsidRDefault="007D6E75" w14:paraId="6DED056C" w14:textId="77777777">
      <w:pPr>
        <w:spacing w:after="0" w:line="240" w:lineRule="auto"/>
        <w:jc w:val="center"/>
        <w:rPr>
          <w:b/>
          <w:szCs w:val="24"/>
        </w:rPr>
      </w:pPr>
    </w:p>
    <w:p w:rsidRPr="008111D2" w:rsidR="00521033" w:rsidP="008111D2" w:rsidRDefault="00521033" w14:paraId="16083A33" w14:textId="77777777">
      <w:pPr>
        <w:spacing w:after="0" w:line="240" w:lineRule="auto"/>
        <w:jc w:val="center"/>
        <w:rPr>
          <w:b/>
          <w:szCs w:val="24"/>
        </w:rPr>
      </w:pPr>
    </w:p>
    <w:p w:rsidRPr="00957213" w:rsidR="007D6E75" w:rsidP="008111D2" w:rsidRDefault="001151CE" w14:paraId="38F5E2B1" w14:textId="3AC0DBEF">
      <w:pPr>
        <w:spacing w:after="0" w:line="240" w:lineRule="auto"/>
        <w:jc w:val="center"/>
        <w:rPr>
          <w:szCs w:val="24"/>
        </w:rPr>
      </w:pPr>
      <w:r w:rsidRPr="00957213">
        <w:rPr>
          <w:szCs w:val="24"/>
        </w:rPr>
        <w:t xml:space="preserve">Generic </w:t>
      </w:r>
      <w:r w:rsidRPr="00957213" w:rsidR="00521033">
        <w:rPr>
          <w:szCs w:val="24"/>
        </w:rPr>
        <w:t>Information Collection #</w:t>
      </w:r>
      <w:r w:rsidRPr="00957213" w:rsidR="00D16EE9">
        <w:rPr>
          <w:szCs w:val="24"/>
        </w:rPr>
        <w:t>75</w:t>
      </w:r>
      <w:r w:rsidRPr="00957213" w:rsidR="00521033">
        <w:rPr>
          <w:szCs w:val="24"/>
        </w:rPr>
        <w:t xml:space="preserve"> </w:t>
      </w:r>
    </w:p>
    <w:p w:rsidRPr="00957213" w:rsidR="00521033" w:rsidP="008111D2" w:rsidRDefault="00A17BCB" w14:paraId="7B722452" w14:textId="3B458D71">
      <w:pPr>
        <w:spacing w:after="0" w:line="240" w:lineRule="auto"/>
        <w:jc w:val="center"/>
        <w:rPr>
          <w:szCs w:val="24"/>
        </w:rPr>
      </w:pPr>
      <w:r w:rsidRPr="00957213">
        <w:rPr>
          <w:szCs w:val="24"/>
        </w:rPr>
        <w:t xml:space="preserve">ARP </w:t>
      </w:r>
      <w:r w:rsidRPr="00957213" w:rsidR="00F904C1">
        <w:rPr>
          <w:szCs w:val="24"/>
        </w:rPr>
        <w:t>1135 State Plan Amendment</w:t>
      </w:r>
    </w:p>
    <w:p w:rsidRPr="008111D2" w:rsidR="007D6E75" w:rsidP="008111D2" w:rsidRDefault="007D6E75" w14:paraId="4C066DDA" w14:textId="77777777">
      <w:pPr>
        <w:spacing w:after="0" w:line="240" w:lineRule="auto"/>
        <w:jc w:val="center"/>
        <w:rPr>
          <w:szCs w:val="24"/>
        </w:rPr>
      </w:pPr>
    </w:p>
    <w:p w:rsidRPr="00957213" w:rsidR="00957213" w:rsidP="00957213" w:rsidRDefault="00957213" w14:paraId="78D3078E" w14:textId="6EBF8FD1">
      <w:pPr>
        <w:spacing w:after="0" w:line="240" w:lineRule="auto"/>
        <w:jc w:val="center"/>
        <w:rPr>
          <w:szCs w:val="24"/>
        </w:rPr>
      </w:pPr>
      <w:r w:rsidRPr="00957213">
        <w:rPr>
          <w:szCs w:val="24"/>
        </w:rPr>
        <w:t>January 2022</w:t>
      </w:r>
    </w:p>
    <w:p w:rsidR="007D6E75" w:rsidP="008111D2" w:rsidRDefault="007D6E75" w14:paraId="2DB11DF6" w14:textId="3BC152F9">
      <w:pPr>
        <w:spacing w:after="0" w:line="240" w:lineRule="auto"/>
        <w:jc w:val="center"/>
        <w:rPr>
          <w:szCs w:val="24"/>
        </w:rPr>
      </w:pPr>
    </w:p>
    <w:p w:rsidR="00957213" w:rsidP="008111D2" w:rsidRDefault="00957213" w14:paraId="0298E2D8" w14:textId="3E43176A">
      <w:pPr>
        <w:spacing w:after="0" w:line="240" w:lineRule="auto"/>
        <w:jc w:val="center"/>
        <w:rPr>
          <w:szCs w:val="24"/>
        </w:rPr>
      </w:pPr>
    </w:p>
    <w:p w:rsidR="00957213" w:rsidP="008111D2" w:rsidRDefault="00957213" w14:paraId="2EE61806" w14:textId="4C3478D8">
      <w:pPr>
        <w:spacing w:after="0" w:line="240" w:lineRule="auto"/>
        <w:jc w:val="center"/>
        <w:rPr>
          <w:szCs w:val="24"/>
        </w:rPr>
      </w:pPr>
    </w:p>
    <w:p w:rsidR="00957213" w:rsidP="008111D2" w:rsidRDefault="00957213" w14:paraId="140CC812" w14:textId="49640699">
      <w:pPr>
        <w:spacing w:after="0" w:line="240" w:lineRule="auto"/>
        <w:jc w:val="center"/>
        <w:rPr>
          <w:szCs w:val="24"/>
        </w:rPr>
      </w:pPr>
    </w:p>
    <w:p w:rsidR="00957213" w:rsidP="008111D2" w:rsidRDefault="00957213" w14:paraId="1D5DEDEE" w14:textId="377D8ED7">
      <w:pPr>
        <w:spacing w:after="0" w:line="240" w:lineRule="auto"/>
        <w:jc w:val="center"/>
        <w:rPr>
          <w:szCs w:val="24"/>
        </w:rPr>
      </w:pPr>
    </w:p>
    <w:p w:rsidR="00957213" w:rsidP="008111D2" w:rsidRDefault="00957213" w14:paraId="66DD9D9A" w14:textId="5EF4126E">
      <w:pPr>
        <w:spacing w:after="0" w:line="240" w:lineRule="auto"/>
        <w:jc w:val="center"/>
        <w:rPr>
          <w:szCs w:val="24"/>
        </w:rPr>
      </w:pPr>
    </w:p>
    <w:p w:rsidR="00957213" w:rsidP="008111D2" w:rsidRDefault="00957213" w14:paraId="5473FEF8" w14:textId="01095759">
      <w:pPr>
        <w:spacing w:after="0" w:line="240" w:lineRule="auto"/>
        <w:jc w:val="center"/>
        <w:rPr>
          <w:szCs w:val="24"/>
        </w:rPr>
      </w:pPr>
    </w:p>
    <w:p w:rsidR="00957213" w:rsidP="008111D2" w:rsidRDefault="00957213" w14:paraId="5E68B058" w14:textId="714216F4">
      <w:pPr>
        <w:spacing w:after="0" w:line="240" w:lineRule="auto"/>
        <w:jc w:val="center"/>
        <w:rPr>
          <w:szCs w:val="24"/>
        </w:rPr>
      </w:pPr>
    </w:p>
    <w:p w:rsidR="00957213" w:rsidP="008111D2" w:rsidRDefault="00957213" w14:paraId="0F778508" w14:textId="77373714">
      <w:pPr>
        <w:spacing w:after="0" w:line="240" w:lineRule="auto"/>
        <w:jc w:val="center"/>
        <w:rPr>
          <w:szCs w:val="24"/>
        </w:rPr>
      </w:pPr>
    </w:p>
    <w:p w:rsidR="00957213" w:rsidP="008111D2" w:rsidRDefault="00957213" w14:paraId="1C48FCCB" w14:textId="3716BB68">
      <w:pPr>
        <w:spacing w:after="0" w:line="240" w:lineRule="auto"/>
        <w:jc w:val="center"/>
        <w:rPr>
          <w:szCs w:val="24"/>
        </w:rPr>
      </w:pPr>
    </w:p>
    <w:p w:rsidR="00957213" w:rsidP="008111D2" w:rsidRDefault="00957213" w14:paraId="7E205F71" w14:textId="3AFA6A03">
      <w:pPr>
        <w:spacing w:after="0" w:line="240" w:lineRule="auto"/>
        <w:jc w:val="center"/>
        <w:rPr>
          <w:szCs w:val="24"/>
        </w:rPr>
      </w:pPr>
    </w:p>
    <w:p w:rsidR="00957213" w:rsidP="008111D2" w:rsidRDefault="00957213" w14:paraId="33C1C796" w14:textId="2C129ECF">
      <w:pPr>
        <w:spacing w:after="0" w:line="240" w:lineRule="auto"/>
        <w:jc w:val="center"/>
        <w:rPr>
          <w:szCs w:val="24"/>
        </w:rPr>
      </w:pPr>
    </w:p>
    <w:p w:rsidR="00957213" w:rsidP="008111D2" w:rsidRDefault="00957213" w14:paraId="61633274" w14:textId="35938261">
      <w:pPr>
        <w:spacing w:after="0" w:line="240" w:lineRule="auto"/>
        <w:jc w:val="center"/>
        <w:rPr>
          <w:szCs w:val="24"/>
        </w:rPr>
      </w:pPr>
    </w:p>
    <w:p w:rsidR="00957213" w:rsidP="008111D2" w:rsidRDefault="00957213" w14:paraId="76FD8ED7" w14:textId="785DB282">
      <w:pPr>
        <w:spacing w:after="0" w:line="240" w:lineRule="auto"/>
        <w:jc w:val="center"/>
        <w:rPr>
          <w:szCs w:val="24"/>
        </w:rPr>
      </w:pPr>
    </w:p>
    <w:p w:rsidR="00957213" w:rsidP="008111D2" w:rsidRDefault="00957213" w14:paraId="3D960E5A" w14:textId="40B1668A">
      <w:pPr>
        <w:spacing w:after="0" w:line="240" w:lineRule="auto"/>
        <w:jc w:val="center"/>
        <w:rPr>
          <w:szCs w:val="24"/>
        </w:rPr>
      </w:pPr>
    </w:p>
    <w:p w:rsidR="00957213" w:rsidP="008111D2" w:rsidRDefault="00957213" w14:paraId="70B79FC9" w14:textId="4F79D230">
      <w:pPr>
        <w:spacing w:after="0" w:line="240" w:lineRule="auto"/>
        <w:jc w:val="center"/>
        <w:rPr>
          <w:szCs w:val="24"/>
        </w:rPr>
      </w:pPr>
    </w:p>
    <w:p w:rsidR="00957213" w:rsidP="008111D2" w:rsidRDefault="00957213" w14:paraId="0F815222" w14:textId="6F389BE5">
      <w:pPr>
        <w:spacing w:after="0" w:line="240" w:lineRule="auto"/>
        <w:jc w:val="center"/>
        <w:rPr>
          <w:szCs w:val="24"/>
        </w:rPr>
      </w:pPr>
    </w:p>
    <w:p w:rsidR="00957213" w:rsidP="008111D2" w:rsidRDefault="00957213" w14:paraId="69C18D36" w14:textId="4153358C">
      <w:pPr>
        <w:spacing w:after="0" w:line="240" w:lineRule="auto"/>
        <w:jc w:val="center"/>
        <w:rPr>
          <w:szCs w:val="24"/>
        </w:rPr>
      </w:pPr>
    </w:p>
    <w:p w:rsidR="00957213" w:rsidP="008111D2" w:rsidRDefault="00957213" w14:paraId="303A0909" w14:textId="3D797B8E">
      <w:pPr>
        <w:spacing w:after="0" w:line="240" w:lineRule="auto"/>
        <w:jc w:val="center"/>
        <w:rPr>
          <w:szCs w:val="24"/>
        </w:rPr>
      </w:pPr>
    </w:p>
    <w:p w:rsidR="00957213" w:rsidP="008111D2" w:rsidRDefault="00957213" w14:paraId="7885D5E4" w14:textId="416B8DD4">
      <w:pPr>
        <w:spacing w:after="0" w:line="240" w:lineRule="auto"/>
        <w:jc w:val="center"/>
        <w:rPr>
          <w:szCs w:val="24"/>
        </w:rPr>
      </w:pPr>
    </w:p>
    <w:p w:rsidR="00957213" w:rsidP="008111D2" w:rsidRDefault="00957213" w14:paraId="562CDD8C" w14:textId="123C3468">
      <w:pPr>
        <w:spacing w:after="0" w:line="240" w:lineRule="auto"/>
        <w:jc w:val="center"/>
        <w:rPr>
          <w:szCs w:val="24"/>
        </w:rPr>
      </w:pPr>
    </w:p>
    <w:p w:rsidR="00957213" w:rsidP="008111D2" w:rsidRDefault="00957213" w14:paraId="2AB32684" w14:textId="35D95A4A">
      <w:pPr>
        <w:spacing w:after="0" w:line="240" w:lineRule="auto"/>
        <w:jc w:val="center"/>
        <w:rPr>
          <w:szCs w:val="24"/>
        </w:rPr>
      </w:pPr>
    </w:p>
    <w:p w:rsidR="00957213" w:rsidP="008111D2" w:rsidRDefault="00957213" w14:paraId="6E699588" w14:textId="639A7BA3">
      <w:pPr>
        <w:spacing w:after="0" w:line="240" w:lineRule="auto"/>
        <w:jc w:val="center"/>
        <w:rPr>
          <w:szCs w:val="24"/>
        </w:rPr>
      </w:pPr>
    </w:p>
    <w:p w:rsidR="00957213" w:rsidP="008111D2" w:rsidRDefault="00957213" w14:paraId="38861886" w14:textId="0B678D45">
      <w:pPr>
        <w:spacing w:after="0" w:line="240" w:lineRule="auto"/>
        <w:jc w:val="center"/>
        <w:rPr>
          <w:szCs w:val="24"/>
        </w:rPr>
      </w:pPr>
    </w:p>
    <w:p w:rsidR="00957213" w:rsidP="008111D2" w:rsidRDefault="00957213" w14:paraId="1EA35993" w14:textId="7BB01725">
      <w:pPr>
        <w:spacing w:after="0" w:line="240" w:lineRule="auto"/>
        <w:jc w:val="center"/>
        <w:rPr>
          <w:szCs w:val="24"/>
        </w:rPr>
      </w:pPr>
    </w:p>
    <w:p w:rsidR="00957213" w:rsidP="008111D2" w:rsidRDefault="00957213" w14:paraId="2D74CFDE" w14:textId="75574100">
      <w:pPr>
        <w:spacing w:after="0" w:line="240" w:lineRule="auto"/>
        <w:jc w:val="center"/>
        <w:rPr>
          <w:szCs w:val="24"/>
        </w:rPr>
      </w:pPr>
    </w:p>
    <w:p w:rsidR="00957213" w:rsidP="008111D2" w:rsidRDefault="00957213" w14:paraId="2F659689" w14:textId="674CD138">
      <w:pPr>
        <w:spacing w:after="0" w:line="240" w:lineRule="auto"/>
        <w:jc w:val="center"/>
        <w:rPr>
          <w:szCs w:val="24"/>
        </w:rPr>
      </w:pPr>
    </w:p>
    <w:p w:rsidR="00957213" w:rsidP="008111D2" w:rsidRDefault="00957213" w14:paraId="09034E2E" w14:textId="5EDADF59">
      <w:pPr>
        <w:spacing w:after="0" w:line="240" w:lineRule="auto"/>
        <w:jc w:val="center"/>
        <w:rPr>
          <w:szCs w:val="24"/>
        </w:rPr>
      </w:pPr>
    </w:p>
    <w:p w:rsidR="00957213" w:rsidP="008111D2" w:rsidRDefault="00957213" w14:paraId="0DB752B8" w14:textId="4CED1A36">
      <w:pPr>
        <w:spacing w:after="0" w:line="240" w:lineRule="auto"/>
        <w:jc w:val="center"/>
        <w:rPr>
          <w:szCs w:val="24"/>
        </w:rPr>
      </w:pPr>
    </w:p>
    <w:p w:rsidR="00957213" w:rsidP="008111D2" w:rsidRDefault="00957213" w14:paraId="3F135A64" w14:textId="647F80D3">
      <w:pPr>
        <w:spacing w:after="0" w:line="240" w:lineRule="auto"/>
        <w:jc w:val="center"/>
        <w:rPr>
          <w:szCs w:val="24"/>
        </w:rPr>
      </w:pPr>
    </w:p>
    <w:p w:rsidRPr="008111D2" w:rsidR="00957213" w:rsidP="008111D2" w:rsidRDefault="00957213" w14:paraId="0A7DF7F8" w14:textId="77777777">
      <w:pPr>
        <w:spacing w:after="0" w:line="240" w:lineRule="auto"/>
        <w:jc w:val="center"/>
        <w:rPr>
          <w:szCs w:val="24"/>
        </w:rPr>
      </w:pPr>
    </w:p>
    <w:p w:rsidRPr="008111D2" w:rsidR="007D6E75" w:rsidP="008111D2" w:rsidRDefault="007D6E75" w14:paraId="7ED73111" w14:textId="77777777">
      <w:pPr>
        <w:spacing w:after="0" w:line="240" w:lineRule="auto"/>
        <w:jc w:val="center"/>
        <w:rPr>
          <w:szCs w:val="24"/>
        </w:rPr>
      </w:pPr>
    </w:p>
    <w:p w:rsidRPr="008111D2" w:rsidR="007D6E75" w:rsidP="008111D2" w:rsidRDefault="007D6E75" w14:paraId="20825D0D" w14:textId="77777777">
      <w:pPr>
        <w:spacing w:after="0" w:line="240" w:lineRule="auto"/>
        <w:jc w:val="center"/>
        <w:rPr>
          <w:szCs w:val="24"/>
        </w:rPr>
      </w:pPr>
      <w:r w:rsidRPr="008111D2">
        <w:rPr>
          <w:szCs w:val="24"/>
        </w:rPr>
        <w:t>Center for Medicaid and CHIP Services (CMCS)</w:t>
      </w:r>
    </w:p>
    <w:p w:rsidRPr="008111D2" w:rsidR="007D6E75" w:rsidP="008111D2" w:rsidRDefault="007D6E75" w14:paraId="44388993" w14:textId="77777777">
      <w:pPr>
        <w:spacing w:after="0" w:line="240" w:lineRule="auto"/>
        <w:jc w:val="center"/>
        <w:rPr>
          <w:szCs w:val="24"/>
        </w:rPr>
      </w:pPr>
      <w:r w:rsidRPr="008111D2">
        <w:rPr>
          <w:szCs w:val="24"/>
        </w:rPr>
        <w:t>Centers for Medicare &amp; Medicaid Services (CMS)</w:t>
      </w:r>
    </w:p>
    <w:p w:rsidRPr="008111D2" w:rsidR="007D6E75" w:rsidP="008111D2" w:rsidRDefault="007D6E75" w14:paraId="48029BAD" w14:textId="77777777">
      <w:pPr>
        <w:spacing w:after="0" w:line="240" w:lineRule="auto"/>
        <w:rPr>
          <w:szCs w:val="24"/>
        </w:rPr>
        <w:sectPr w:rsidRPr="008111D2" w:rsidR="007D6E75" w:rsidSect="007D6E75">
          <w:headerReference w:type="default" r:id="rId8"/>
          <w:footerReference w:type="default" r:id="rId9"/>
          <w:pgSz w:w="12240" w:h="15840" w:code="1"/>
          <w:pgMar w:top="1440" w:right="1440" w:bottom="1440" w:left="1440" w:header="720" w:footer="720" w:gutter="0"/>
          <w:cols w:space="720"/>
          <w:vAlign w:val="center"/>
          <w:docGrid w:linePitch="360"/>
        </w:sectPr>
      </w:pPr>
    </w:p>
    <w:p w:rsidRPr="00F54374" w:rsidR="007D6E75" w:rsidP="00F54374" w:rsidRDefault="007D6E75" w14:paraId="6C2CBE38" w14:textId="77777777">
      <w:pPr>
        <w:pStyle w:val="Heading1"/>
      </w:pPr>
      <w:r w:rsidRPr="00F54374">
        <w:lastRenderedPageBreak/>
        <w:t>A. Background</w:t>
      </w:r>
    </w:p>
    <w:p w:rsidR="00FE6027" w:rsidP="008111D2" w:rsidRDefault="00FE6027" w14:paraId="0B8A5A4A" w14:textId="77777777">
      <w:pPr>
        <w:spacing w:after="0" w:line="240" w:lineRule="auto"/>
        <w:rPr>
          <w:szCs w:val="24"/>
        </w:rPr>
      </w:pPr>
    </w:p>
    <w:p w:rsidR="009B19E8" w:rsidP="008111D2" w:rsidRDefault="009B19E8" w14:paraId="55B68ABE" w14:textId="37ADED8C">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2C2DEF" w:rsidP="008111D2" w:rsidRDefault="002C2DEF" w14:paraId="1E66783D" w14:textId="2F92C2B6">
      <w:pPr>
        <w:spacing w:after="0" w:line="240" w:lineRule="auto"/>
        <w:rPr>
          <w:szCs w:val="24"/>
        </w:rPr>
      </w:pPr>
    </w:p>
    <w:p w:rsidRPr="00BC1142" w:rsidR="00FC72D0" w:rsidP="00FC72D0" w:rsidRDefault="00FC72D0" w14:paraId="5B2CE7B5" w14:textId="77777777">
      <w:pPr>
        <w:widowControl w:val="0"/>
        <w:autoSpaceDE w:val="0"/>
        <w:autoSpaceDN w:val="0"/>
        <w:adjustRightInd w:val="0"/>
        <w:spacing w:after="0" w:line="240" w:lineRule="auto"/>
        <w:rPr>
          <w:rFonts w:eastAsia="Times New Roman" w:cs="Times New Roman"/>
          <w:szCs w:val="24"/>
        </w:rPr>
      </w:pPr>
      <w:r w:rsidRPr="00BC1142">
        <w:rPr>
          <w:rFonts w:eastAsia="Times New Roman" w:cs="Times New Roman"/>
          <w:szCs w:val="24"/>
        </w:rPr>
        <w:t>Section 1901 of the Social Security Act (42 U.S.C. 1936) requires all 50 states and 6 territories to establish a State plan for medical assistance that is approved by the Secretary to carry out the purpose of Title XIX. The State plan is a comprehensive document (approximately 700 pages) comprised of semi-structured templates developed by CMS and completed by State Medicaid agencies. The State plan functions as a contract between the State and Federal government, describing how the State will implement its program in accordance with Federal laws and regulations in order to secure Federal funding.</w:t>
      </w:r>
    </w:p>
    <w:p w:rsidRPr="00BC1142" w:rsidR="00FC72D0" w:rsidP="00FC72D0" w:rsidRDefault="00FC72D0" w14:paraId="64C1E0C5" w14:textId="77777777">
      <w:pPr>
        <w:widowControl w:val="0"/>
        <w:autoSpaceDE w:val="0"/>
        <w:autoSpaceDN w:val="0"/>
        <w:adjustRightInd w:val="0"/>
        <w:spacing w:after="0" w:line="240" w:lineRule="auto"/>
        <w:rPr>
          <w:rFonts w:eastAsia="Times New Roman" w:cs="Times New Roman"/>
          <w:szCs w:val="24"/>
        </w:rPr>
      </w:pPr>
    </w:p>
    <w:p w:rsidRPr="00BC1142" w:rsidR="00FC72D0" w:rsidP="00FC72D0" w:rsidRDefault="00FC72D0" w14:paraId="7CD8D37C" w14:textId="77777777">
      <w:pPr>
        <w:widowControl w:val="0"/>
        <w:autoSpaceDE w:val="0"/>
        <w:autoSpaceDN w:val="0"/>
        <w:adjustRightInd w:val="0"/>
        <w:spacing w:after="0" w:line="240" w:lineRule="auto"/>
        <w:rPr>
          <w:rFonts w:eastAsia="Times New Roman" w:cs="Times New Roman"/>
          <w:szCs w:val="24"/>
        </w:rPr>
      </w:pPr>
      <w:r w:rsidRPr="00BC1142">
        <w:rPr>
          <w:rFonts w:eastAsia="Times New Roman" w:cs="Times New Roman"/>
          <w:szCs w:val="24"/>
        </w:rPr>
        <w:t>When a State or territory wants or needs to change its Medicaid program, the State Medicaid agency is responsible for developing an amendment submission for CMS approval, also called a State plan amendment or SPA. The State completes the templates relevant to the program change it seeks and submits the SPA to CMS for approval. The SPA submission includes a CMS-179 transmittal form and the relevant SPA templates the State wishes to update or revise. A State may amend one or more of the plan pages at a time. The templates are semi-structured forms that correspond to the statutory and regulatory Medicaid requirements. The data structure CMS provides in the forms allows States to develop SPAs more efficiently by including only relevant information. The plan pages are organized by subject matters which include Medicaid eligibility, services, payment for services, and general and personnel administration.</w:t>
      </w:r>
    </w:p>
    <w:p w:rsidRPr="00BC1142" w:rsidR="00FC72D0" w:rsidP="00FC72D0" w:rsidRDefault="00FC72D0" w14:paraId="253627CC" w14:textId="77777777">
      <w:pPr>
        <w:widowControl w:val="0"/>
        <w:autoSpaceDE w:val="0"/>
        <w:autoSpaceDN w:val="0"/>
        <w:adjustRightInd w:val="0"/>
        <w:spacing w:after="0" w:line="240" w:lineRule="auto"/>
        <w:rPr>
          <w:rFonts w:eastAsia="Times New Roman" w:cs="Times New Roman"/>
          <w:szCs w:val="24"/>
        </w:rPr>
      </w:pPr>
    </w:p>
    <w:p w:rsidRPr="005227B4" w:rsidR="00FC72D0" w:rsidP="00FC72D0" w:rsidRDefault="00FC72D0" w14:paraId="29A17861" w14:textId="77777777">
      <w:pPr>
        <w:widowControl w:val="0"/>
        <w:autoSpaceDE w:val="0"/>
        <w:autoSpaceDN w:val="0"/>
        <w:adjustRightInd w:val="0"/>
        <w:spacing w:after="0" w:line="240" w:lineRule="auto"/>
        <w:rPr>
          <w:rFonts w:eastAsia="Times New Roman" w:cs="Times New Roman"/>
          <w:szCs w:val="24"/>
        </w:rPr>
      </w:pPr>
      <w:r w:rsidRPr="00BC1142">
        <w:rPr>
          <w:rFonts w:eastAsia="Times New Roman" w:cs="Times New Roman"/>
          <w:szCs w:val="24"/>
        </w:rPr>
        <w:t>When CMS receives the SPA, it has 90 calendar days to approve or disapprove the SPA, or formally request additional information. If CMS does not act within 90 calendar days, the SPA is deemed approved. If CMS formally requests additional information, the review clock stops until the State submits a formal response. When the State formally responds, a second 90-day review clock begins, and CMS must either approve or disapprove the SPA within 90 calendar days. For a State to receive Medicaid Title XIX funding, there must be an approved Title XIX State plan.</w:t>
      </w:r>
    </w:p>
    <w:p w:rsidR="00FC72D0" w:rsidP="008111D2" w:rsidRDefault="00FC72D0" w14:paraId="2C44819B" w14:textId="77777777">
      <w:pPr>
        <w:spacing w:after="0" w:line="240" w:lineRule="auto"/>
        <w:rPr>
          <w:szCs w:val="24"/>
        </w:rPr>
      </w:pPr>
    </w:p>
    <w:p w:rsidRPr="008111D2" w:rsidR="007D6E75" w:rsidP="00F54374" w:rsidRDefault="007D6E75" w14:paraId="255F881E" w14:textId="77777777">
      <w:pPr>
        <w:pStyle w:val="Heading1"/>
      </w:pPr>
      <w:r w:rsidRPr="008111D2">
        <w:t>B. Description of Information Collection</w:t>
      </w:r>
    </w:p>
    <w:p w:rsidR="00D12ABB" w:rsidP="00D4736A" w:rsidRDefault="00D12ABB" w14:paraId="5FDD08E0" w14:textId="77777777">
      <w:pPr>
        <w:spacing w:after="0" w:line="240" w:lineRule="auto"/>
      </w:pPr>
    </w:p>
    <w:p w:rsidR="00FC72D0" w:rsidP="00FC72D0" w:rsidRDefault="00FC72D0" w14:paraId="44E1EEF1" w14:textId="6AC357EA">
      <w:pPr>
        <w:autoSpaceDE w:val="0"/>
        <w:autoSpaceDN w:val="0"/>
        <w:adjustRightInd w:val="0"/>
        <w:spacing w:after="0" w:line="240" w:lineRule="auto"/>
        <w:rPr>
          <w:szCs w:val="24"/>
        </w:rPr>
      </w:pPr>
      <w:r>
        <w:rPr>
          <w:szCs w:val="24"/>
        </w:rPr>
        <w:t>Section 9811 of the American Rescue Plan (ARP) established new mandatory benefits at 1905(a)(4)(E)</w:t>
      </w:r>
      <w:r w:rsidR="00234192">
        <w:rPr>
          <w:szCs w:val="24"/>
        </w:rPr>
        <w:t xml:space="preserve"> for COVID-19 vaccine and vaccine administration</w:t>
      </w:r>
      <w:r>
        <w:rPr>
          <w:szCs w:val="24"/>
        </w:rPr>
        <w:t xml:space="preserve"> and 1905(a)(4)(F) for COVID-19 testing and treatment for both Medicaid and CHIP. The effective date time period for these </w:t>
      </w:r>
      <w:r w:rsidR="00234192">
        <w:rPr>
          <w:szCs w:val="24"/>
        </w:rPr>
        <w:t>mandatory benefits</w:t>
      </w:r>
      <w:r>
        <w:rPr>
          <w:szCs w:val="24"/>
        </w:rPr>
        <w:t xml:space="preserve"> is March 11, 2021, </w:t>
      </w:r>
      <w:r>
        <w:t xml:space="preserve">ending on the last day of the first calendar quarter that </w:t>
      </w:r>
      <w:r>
        <w:lastRenderedPageBreak/>
        <w:t>begins one year after the last day of the emergency period described in section 1135(g)(1)(B) of the Social Security Act (the Act).</w:t>
      </w:r>
      <w:r>
        <w:rPr>
          <w:szCs w:val="24"/>
        </w:rPr>
        <w:t xml:space="preserve"> Given that regular state plan rules do not allow for effective dates prior to the first day of the quarter in </w:t>
      </w:r>
      <w:r w:rsidRPr="001151CE">
        <w:rPr>
          <w:szCs w:val="24"/>
        </w:rPr>
        <w:t xml:space="preserve">which the state plan amendment (SPA) was submitted, we are allowing states to use Section 1135 SPA process waiver authority to allow states to meet the required timeframes of these provisions. The SPAs </w:t>
      </w:r>
      <w:r w:rsidR="00E72A54">
        <w:rPr>
          <w:szCs w:val="24"/>
        </w:rPr>
        <w:t xml:space="preserve"> </w:t>
      </w:r>
      <w:r w:rsidR="008E703C">
        <w:rPr>
          <w:szCs w:val="24"/>
        </w:rPr>
        <w:t xml:space="preserve">will implement mandatory Medicaid coverage and reimbursement </w:t>
      </w:r>
      <w:r w:rsidR="00E72A54">
        <w:rPr>
          <w:szCs w:val="24"/>
        </w:rPr>
        <w:t xml:space="preserve">for COVID-19 vaccine and vaccine administration and COVID-19 testing and treatment </w:t>
      </w:r>
      <w:r w:rsidRPr="001151CE">
        <w:rPr>
          <w:szCs w:val="24"/>
        </w:rPr>
        <w:t>are considered part of the Agency’s emergency response to COVID.</w:t>
      </w:r>
      <w:r w:rsidR="008E703C">
        <w:rPr>
          <w:szCs w:val="24"/>
        </w:rPr>
        <w:t xml:space="preserve">  </w:t>
      </w:r>
      <w:bookmarkStart w:name="_Hlk90652504" w:id="0"/>
      <w:r w:rsidR="006C72A1">
        <w:rPr>
          <w:szCs w:val="24"/>
        </w:rPr>
        <w:t>CMS has issued guidance for each of these provisions</w:t>
      </w:r>
      <w:r w:rsidR="00CD4075">
        <w:rPr>
          <w:szCs w:val="24"/>
        </w:rPr>
        <w:t>, a toolkit for vaccines and vaccine administration and State Health Official letters for testing and treatment</w:t>
      </w:r>
      <w:r w:rsidR="006C72A1">
        <w:rPr>
          <w:rStyle w:val="FootnoteReference"/>
          <w:szCs w:val="24"/>
        </w:rPr>
        <w:footnoteReference w:id="2"/>
      </w:r>
      <w:r w:rsidR="006C72A1">
        <w:rPr>
          <w:szCs w:val="24"/>
        </w:rPr>
        <w:t>.</w:t>
      </w:r>
    </w:p>
    <w:bookmarkEnd w:id="0"/>
    <w:p w:rsidR="00FC72D0" w:rsidP="00FC72D0" w:rsidRDefault="00FC72D0" w14:paraId="2A9859FC" w14:textId="77777777">
      <w:pPr>
        <w:autoSpaceDE w:val="0"/>
        <w:autoSpaceDN w:val="0"/>
        <w:adjustRightInd w:val="0"/>
        <w:spacing w:after="0" w:line="240" w:lineRule="auto"/>
        <w:rPr>
          <w:szCs w:val="24"/>
        </w:rPr>
      </w:pPr>
    </w:p>
    <w:p w:rsidR="00FC72D0" w:rsidP="00FC72D0" w:rsidRDefault="00FC72D0" w14:paraId="31C0E87F" w14:textId="77777777">
      <w:pPr>
        <w:autoSpaceDE w:val="0"/>
        <w:autoSpaceDN w:val="0"/>
        <w:adjustRightInd w:val="0"/>
        <w:spacing w:after="0" w:line="240" w:lineRule="auto"/>
        <w:rPr>
          <w:szCs w:val="24"/>
        </w:rPr>
      </w:pPr>
      <w:r w:rsidRPr="00BC1142">
        <w:rPr>
          <w:szCs w:val="24"/>
        </w:rPr>
        <w:t>In large part, states have already been providing these services throughout the course of the pandemic and these SPAs will reflect what states have been doing. CMS is primarily using an attestation approach for states to affirm that they are in compliance with the requirements of the provisions mentioned above.</w:t>
      </w:r>
    </w:p>
    <w:p w:rsidR="00FC72D0" w:rsidP="003702ED" w:rsidRDefault="00FC72D0" w14:paraId="47AA8C6A" w14:textId="77777777">
      <w:pPr>
        <w:widowControl w:val="0"/>
        <w:autoSpaceDE w:val="0"/>
        <w:autoSpaceDN w:val="0"/>
        <w:adjustRightInd w:val="0"/>
        <w:spacing w:after="0" w:line="240" w:lineRule="auto"/>
        <w:rPr>
          <w:rFonts w:eastAsia="Times New Roman" w:cs="Times New Roman"/>
          <w:szCs w:val="24"/>
        </w:rPr>
      </w:pPr>
    </w:p>
    <w:p w:rsidRPr="008111D2" w:rsidR="007D6E75" w:rsidP="00F54374" w:rsidRDefault="007D6E75" w14:paraId="3DAA61E7" w14:textId="2E882A7D">
      <w:pPr>
        <w:pStyle w:val="Heading1"/>
      </w:pPr>
      <w:r w:rsidRPr="008111D2">
        <w:t>C. Deviations from Generic Request</w:t>
      </w:r>
    </w:p>
    <w:p w:rsidR="00FE6027" w:rsidP="008111D2" w:rsidRDefault="00FE6027" w14:paraId="4C7A9D4E" w14:textId="77777777">
      <w:pPr>
        <w:spacing w:after="0" w:line="240" w:lineRule="auto"/>
        <w:rPr>
          <w:szCs w:val="24"/>
        </w:rPr>
      </w:pPr>
    </w:p>
    <w:p w:rsidRPr="008111D2" w:rsidR="007D6E75" w:rsidP="008111D2" w:rsidRDefault="009B19E8" w14:paraId="16F190A1" w14:textId="77777777">
      <w:pPr>
        <w:spacing w:after="0" w:line="240" w:lineRule="auto"/>
        <w:rPr>
          <w:szCs w:val="24"/>
        </w:rPr>
      </w:pPr>
      <w:r w:rsidRPr="008111D2">
        <w:rPr>
          <w:szCs w:val="24"/>
        </w:rPr>
        <w:t>No deviations are requested.</w:t>
      </w:r>
    </w:p>
    <w:p w:rsidRPr="008111D2" w:rsidR="008111D2" w:rsidP="00F54374" w:rsidRDefault="008111D2" w14:paraId="4C463B6B" w14:textId="77777777">
      <w:pPr>
        <w:pStyle w:val="Heading1"/>
      </w:pPr>
    </w:p>
    <w:p w:rsidR="007D6E75" w:rsidP="00F54374" w:rsidRDefault="007D6E75" w14:paraId="3D6243EC" w14:textId="77777777">
      <w:pPr>
        <w:pStyle w:val="Heading1"/>
      </w:pPr>
      <w:r w:rsidRPr="008111D2">
        <w:t>D. Burden Hour Deduction</w:t>
      </w:r>
    </w:p>
    <w:p w:rsidR="00FE6027" w:rsidP="00FE6027" w:rsidRDefault="00FE6027" w14:paraId="7DD49C95" w14:textId="77777777">
      <w:pPr>
        <w:spacing w:after="0" w:line="240" w:lineRule="auto"/>
      </w:pPr>
    </w:p>
    <w:p w:rsidR="00CB7E59" w:rsidP="008111D2" w:rsidRDefault="00CB7E59" w14:paraId="2AA15243" w14:textId="77777777">
      <w:pPr>
        <w:spacing w:after="0" w:line="240" w:lineRule="auto"/>
        <w:rPr>
          <w:i/>
          <w:szCs w:val="24"/>
        </w:rPr>
      </w:pPr>
      <w:r>
        <w:rPr>
          <w:i/>
          <w:szCs w:val="24"/>
        </w:rPr>
        <w:t>Wage Estimates</w:t>
      </w:r>
    </w:p>
    <w:p w:rsidR="00CB7E59" w:rsidP="008111D2" w:rsidRDefault="00CB7E59" w14:paraId="09DD959B" w14:textId="77777777">
      <w:pPr>
        <w:spacing w:after="0" w:line="240" w:lineRule="auto"/>
        <w:rPr>
          <w:szCs w:val="24"/>
        </w:rPr>
      </w:pPr>
    </w:p>
    <w:p w:rsidRPr="002C64B6" w:rsidR="00CB7E59" w:rsidP="008111D2" w:rsidRDefault="00CB7E59" w14:paraId="14C116CE" w14:textId="2A356B8E">
      <w:pPr>
        <w:spacing w:after="0" w:line="240" w:lineRule="auto"/>
        <w:rPr>
          <w:szCs w:val="24"/>
        </w:rPr>
      </w:pPr>
      <w:r w:rsidRPr="002C64B6">
        <w:rPr>
          <w:szCs w:val="24"/>
        </w:rPr>
        <w:t>To derive average costs, we are using data from the U.S. Bureau of Labor Statistics’ May 20</w:t>
      </w:r>
      <w:r w:rsidR="00767E5E">
        <w:rPr>
          <w:szCs w:val="24"/>
        </w:rPr>
        <w:t>20</w:t>
      </w:r>
      <w:r w:rsidRPr="002C64B6">
        <w:rPr>
          <w:szCs w:val="24"/>
        </w:rPr>
        <w:t xml:space="preserve"> National Occupational Employment and Wage Estimates for all salary estimates (</w:t>
      </w:r>
      <w:hyperlink w:tooltip="http://www.bls.gov/oes/current/oes_nat.htm" w:history="1" r:id="rId10">
        <w:r w:rsidRPr="001F1F1F">
          <w:rPr>
            <w:rStyle w:val="Hyperlink"/>
            <w:color w:val="1F497D" w:themeColor="text2"/>
            <w:szCs w:val="24"/>
          </w:rPr>
          <w:t>http://www.bls.gov/oes/current/oes_nat.htm</w:t>
        </w:r>
      </w:hyperlink>
      <w:r w:rsidRPr="002C64B6">
        <w:rPr>
          <w:szCs w:val="24"/>
        </w:rPr>
        <w:t xml:space="preserve">). In this regard, the following table presents </w:t>
      </w:r>
      <w:r w:rsidR="009D0A17">
        <w:rPr>
          <w:szCs w:val="24"/>
        </w:rPr>
        <w:t xml:space="preserve">BLS’ </w:t>
      </w:r>
      <w:r w:rsidRPr="002C64B6">
        <w:rPr>
          <w:szCs w:val="24"/>
        </w:rPr>
        <w:t xml:space="preserve">mean hourly wage, </w:t>
      </w:r>
      <w:r w:rsidR="009D0A17">
        <w:rPr>
          <w:szCs w:val="24"/>
        </w:rPr>
        <w:t xml:space="preserve">our estimated </w:t>
      </w:r>
      <w:r w:rsidRPr="002C64B6">
        <w:rPr>
          <w:szCs w:val="24"/>
        </w:rPr>
        <w:t xml:space="preserve">cost of fringe benefits </w:t>
      </w:r>
      <w:r w:rsidR="009D0A17">
        <w:rPr>
          <w:szCs w:val="24"/>
        </w:rPr>
        <w:t xml:space="preserve">and overhead </w:t>
      </w:r>
      <w:r w:rsidRPr="002C64B6">
        <w:rPr>
          <w:szCs w:val="24"/>
        </w:rPr>
        <w:t xml:space="preserve">(calculated at 100 percent of salary), and </w:t>
      </w:r>
      <w:r w:rsidR="009D0A17">
        <w:rPr>
          <w:szCs w:val="24"/>
        </w:rPr>
        <w:t xml:space="preserve">our </w:t>
      </w:r>
      <w:r w:rsidRPr="002C64B6">
        <w:rPr>
          <w:szCs w:val="24"/>
        </w:rPr>
        <w:t>adjusted hourly wage.</w:t>
      </w:r>
    </w:p>
    <w:p w:rsidR="00CB7E59" w:rsidP="008111D2" w:rsidRDefault="00CB7E59" w14:paraId="4E9498DA" w14:textId="412C8B6B">
      <w:pPr>
        <w:spacing w:after="0" w:line="240" w:lineRule="auto"/>
        <w:rPr>
          <w:szCs w:val="24"/>
        </w:rPr>
      </w:pPr>
    </w:p>
    <w:tbl>
      <w:tblPr>
        <w:tblStyle w:val="TableGrid"/>
        <w:tblW w:w="0" w:type="auto"/>
        <w:tblLook w:val="04A0" w:firstRow="1" w:lastRow="0" w:firstColumn="1" w:lastColumn="0" w:noHBand="0" w:noVBand="1"/>
      </w:tblPr>
      <w:tblGrid>
        <w:gridCol w:w="3235"/>
        <w:gridCol w:w="1440"/>
        <w:gridCol w:w="1170"/>
        <w:gridCol w:w="1170"/>
        <w:gridCol w:w="1980"/>
      </w:tblGrid>
      <w:tr w:rsidRPr="00931813" w:rsidR="00063D38" w:rsidTr="00063D38" w14:paraId="35B68EED" w14:textId="77777777">
        <w:trPr>
          <w:tblHeader/>
        </w:trPr>
        <w:tc>
          <w:tcPr>
            <w:tcW w:w="3235" w:type="dxa"/>
          </w:tcPr>
          <w:p w:rsidRPr="00931813" w:rsidR="00063D38" w:rsidP="008111D2" w:rsidRDefault="00063D38" w14:paraId="21A89061" w14:textId="11EAEA01">
            <w:pPr>
              <w:rPr>
                <w:szCs w:val="24"/>
              </w:rPr>
            </w:pPr>
            <w:r w:rsidRPr="00931813">
              <w:rPr>
                <w:szCs w:val="24"/>
              </w:rPr>
              <w:t>Occupation Title</w:t>
            </w:r>
          </w:p>
        </w:tc>
        <w:tc>
          <w:tcPr>
            <w:tcW w:w="1440" w:type="dxa"/>
          </w:tcPr>
          <w:p w:rsidRPr="00931813" w:rsidR="00063D38" w:rsidP="008111D2" w:rsidRDefault="00063D38" w14:paraId="5AB78D45" w14:textId="0E2472D8">
            <w:pPr>
              <w:rPr>
                <w:szCs w:val="24"/>
              </w:rPr>
            </w:pPr>
            <w:r w:rsidRPr="00931813">
              <w:rPr>
                <w:szCs w:val="24"/>
              </w:rPr>
              <w:t>Occupation Code</w:t>
            </w:r>
          </w:p>
        </w:tc>
        <w:tc>
          <w:tcPr>
            <w:tcW w:w="1170" w:type="dxa"/>
          </w:tcPr>
          <w:p w:rsidRPr="00931813" w:rsidR="00063D38" w:rsidP="008111D2" w:rsidRDefault="00063D38" w14:paraId="0BEB5BD4" w14:textId="77777777">
            <w:pPr>
              <w:rPr>
                <w:szCs w:val="24"/>
              </w:rPr>
            </w:pPr>
            <w:r w:rsidRPr="00931813">
              <w:rPr>
                <w:szCs w:val="24"/>
              </w:rPr>
              <w:t>Mean Hourly Wage</w:t>
            </w:r>
          </w:p>
          <w:p w:rsidRPr="00931813" w:rsidR="009D0A17" w:rsidP="008111D2" w:rsidRDefault="009D0A17" w14:paraId="4EB37B2D" w14:textId="26933B30">
            <w:pPr>
              <w:rPr>
                <w:szCs w:val="24"/>
              </w:rPr>
            </w:pPr>
            <w:r w:rsidRPr="00931813">
              <w:rPr>
                <w:szCs w:val="24"/>
              </w:rPr>
              <w:t>($/hr)</w:t>
            </w:r>
          </w:p>
        </w:tc>
        <w:tc>
          <w:tcPr>
            <w:tcW w:w="1170" w:type="dxa"/>
          </w:tcPr>
          <w:p w:rsidRPr="00931813" w:rsidR="00063D38" w:rsidP="008111D2" w:rsidRDefault="00063D38" w14:paraId="11ABE090" w14:textId="2FFFB3CA">
            <w:pPr>
              <w:rPr>
                <w:szCs w:val="24"/>
              </w:rPr>
            </w:pPr>
            <w:r w:rsidRPr="00931813">
              <w:rPr>
                <w:szCs w:val="24"/>
              </w:rPr>
              <w:t>Fringe Benefit</w:t>
            </w:r>
            <w:r w:rsidRPr="00931813" w:rsidR="009D0A17">
              <w:rPr>
                <w:szCs w:val="24"/>
              </w:rPr>
              <w:t>s and Overhead</w:t>
            </w:r>
          </w:p>
          <w:p w:rsidRPr="00931813" w:rsidR="009D0A17" w:rsidP="008111D2" w:rsidRDefault="009D0A17" w14:paraId="56894D1B" w14:textId="47AF20DD">
            <w:pPr>
              <w:rPr>
                <w:szCs w:val="24"/>
              </w:rPr>
            </w:pPr>
            <w:r w:rsidRPr="00931813">
              <w:rPr>
                <w:szCs w:val="24"/>
              </w:rPr>
              <w:t>($/hr)</w:t>
            </w:r>
          </w:p>
        </w:tc>
        <w:tc>
          <w:tcPr>
            <w:tcW w:w="1980" w:type="dxa"/>
          </w:tcPr>
          <w:p w:rsidRPr="00931813" w:rsidR="00063D38" w:rsidP="008111D2" w:rsidRDefault="00063D38" w14:paraId="6C5FE3E4" w14:textId="3F67644D">
            <w:pPr>
              <w:rPr>
                <w:szCs w:val="24"/>
              </w:rPr>
            </w:pPr>
            <w:r w:rsidRPr="00931813">
              <w:rPr>
                <w:szCs w:val="24"/>
              </w:rPr>
              <w:t>Adjusted Hourly Wage</w:t>
            </w:r>
            <w:r w:rsidRPr="00931813" w:rsidR="009D0A17">
              <w:rPr>
                <w:szCs w:val="24"/>
              </w:rPr>
              <w:t xml:space="preserve"> ($/hr)</w:t>
            </w:r>
          </w:p>
        </w:tc>
      </w:tr>
      <w:tr w:rsidR="00063D38" w:rsidTr="00063D38" w14:paraId="42CBF3A4" w14:textId="77777777">
        <w:tc>
          <w:tcPr>
            <w:tcW w:w="3235" w:type="dxa"/>
          </w:tcPr>
          <w:p w:rsidR="00063D38" w:rsidP="008111D2" w:rsidRDefault="00063D38" w14:paraId="3795DF8F" w14:textId="34811420">
            <w:pPr>
              <w:rPr>
                <w:szCs w:val="24"/>
              </w:rPr>
            </w:pPr>
            <w:r>
              <w:rPr>
                <w:szCs w:val="24"/>
              </w:rPr>
              <w:t>Business Operations Specialist</w:t>
            </w:r>
          </w:p>
        </w:tc>
        <w:tc>
          <w:tcPr>
            <w:tcW w:w="1440" w:type="dxa"/>
          </w:tcPr>
          <w:p w:rsidR="00063D38" w:rsidP="008111D2" w:rsidRDefault="00063D38" w14:paraId="0BAE330A" w14:textId="42F1D5C2">
            <w:pPr>
              <w:rPr>
                <w:szCs w:val="24"/>
              </w:rPr>
            </w:pPr>
            <w:r>
              <w:rPr>
                <w:szCs w:val="24"/>
              </w:rPr>
              <w:t>13-1000</w:t>
            </w:r>
          </w:p>
        </w:tc>
        <w:tc>
          <w:tcPr>
            <w:tcW w:w="1170" w:type="dxa"/>
          </w:tcPr>
          <w:p w:rsidR="00063D38" w:rsidP="008111D2" w:rsidRDefault="00063D38" w14:paraId="34E8C20D" w14:textId="3F763EC1">
            <w:pPr>
              <w:rPr>
                <w:szCs w:val="24"/>
              </w:rPr>
            </w:pPr>
            <w:r>
              <w:rPr>
                <w:szCs w:val="24"/>
              </w:rPr>
              <w:t>37.66</w:t>
            </w:r>
          </w:p>
        </w:tc>
        <w:tc>
          <w:tcPr>
            <w:tcW w:w="1170" w:type="dxa"/>
          </w:tcPr>
          <w:p w:rsidR="00063D38" w:rsidP="008111D2" w:rsidRDefault="00063D38" w14:paraId="60694822" w14:textId="16933F83">
            <w:pPr>
              <w:rPr>
                <w:szCs w:val="24"/>
              </w:rPr>
            </w:pPr>
            <w:r>
              <w:rPr>
                <w:szCs w:val="24"/>
              </w:rPr>
              <w:t>37.66</w:t>
            </w:r>
          </w:p>
        </w:tc>
        <w:tc>
          <w:tcPr>
            <w:tcW w:w="1980" w:type="dxa"/>
          </w:tcPr>
          <w:p w:rsidR="00063D38" w:rsidP="008111D2" w:rsidRDefault="00063D38" w14:paraId="42013145" w14:textId="2DE94053">
            <w:pPr>
              <w:rPr>
                <w:szCs w:val="24"/>
              </w:rPr>
            </w:pPr>
            <w:r>
              <w:rPr>
                <w:szCs w:val="24"/>
              </w:rPr>
              <w:t>75.32</w:t>
            </w:r>
          </w:p>
        </w:tc>
      </w:tr>
    </w:tbl>
    <w:p w:rsidR="00063D38" w:rsidP="008111D2" w:rsidRDefault="00063D38" w14:paraId="64ED6F45" w14:textId="03D29D63">
      <w:pPr>
        <w:spacing w:after="0" w:line="240" w:lineRule="auto"/>
        <w:rPr>
          <w:szCs w:val="24"/>
        </w:rPr>
      </w:pPr>
    </w:p>
    <w:p w:rsidR="00CB7E59" w:rsidP="008111D2" w:rsidRDefault="00CB7E59" w14:paraId="03D50CE8" w14:textId="7FA12325">
      <w:pPr>
        <w:spacing w:after="0" w:line="240" w:lineRule="auto"/>
        <w:rPr>
          <w:szCs w:val="24"/>
        </w:rPr>
      </w:pPr>
      <w:r w:rsidRPr="002C64B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CB7E59" w:rsidP="008111D2" w:rsidRDefault="00CB7E59" w14:paraId="1F5CDEA0" w14:textId="77777777">
      <w:pPr>
        <w:spacing w:after="0" w:line="240" w:lineRule="auto"/>
        <w:rPr>
          <w:szCs w:val="24"/>
        </w:rPr>
      </w:pPr>
    </w:p>
    <w:p w:rsidRPr="006A7890" w:rsidR="00CB7E59" w:rsidP="008111D2" w:rsidRDefault="009D0A17" w14:paraId="48D55865" w14:textId="63CE4FAE">
      <w:pPr>
        <w:spacing w:after="0" w:line="240" w:lineRule="auto"/>
        <w:rPr>
          <w:szCs w:val="24"/>
        </w:rPr>
      </w:pPr>
      <w:r>
        <w:rPr>
          <w:i/>
          <w:szCs w:val="24"/>
        </w:rPr>
        <w:t xml:space="preserve">Collection of Information Requirements and Associated </w:t>
      </w:r>
      <w:r w:rsidRPr="006A7890" w:rsidR="00CB7E59">
        <w:rPr>
          <w:i/>
          <w:szCs w:val="24"/>
        </w:rPr>
        <w:t>Burden Estimates</w:t>
      </w:r>
    </w:p>
    <w:p w:rsidR="00CB7E59" w:rsidP="008111D2" w:rsidRDefault="00CB7E59" w14:paraId="3BAD0457" w14:textId="77777777">
      <w:pPr>
        <w:spacing w:after="0" w:line="240" w:lineRule="auto"/>
        <w:rPr>
          <w:szCs w:val="24"/>
        </w:rPr>
      </w:pPr>
    </w:p>
    <w:p w:rsidRPr="00142753" w:rsidR="001A762C" w:rsidP="001A762C" w:rsidRDefault="0001663C" w14:paraId="71A7F676" w14:textId="77CF27E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5E582F">
        <w:rPr>
          <w:rFonts w:eastAsia="Times New Roman" w:cs="Times New Roman"/>
          <w:szCs w:val="24"/>
        </w:rPr>
        <w:t xml:space="preserve">There will be a total of 56 States and territories as respondents for this request, all of whom made the required entry when the election of Medicaid in its State was made. </w:t>
      </w:r>
      <w:r w:rsidRPr="005E582F" w:rsidR="00C72EE4">
        <w:rPr>
          <w:rFonts w:eastAsia="Times New Roman" w:cs="Times New Roman"/>
          <w:szCs w:val="24"/>
        </w:rPr>
        <w:t xml:space="preserve">Therefore, </w:t>
      </w:r>
      <w:r w:rsidRPr="005E582F">
        <w:rPr>
          <w:rFonts w:eastAsia="Times New Roman" w:cs="Times New Roman"/>
          <w:szCs w:val="24"/>
        </w:rPr>
        <w:t>each of the respondents w</w:t>
      </w:r>
      <w:r w:rsidRPr="005E582F" w:rsidR="00C72EE4">
        <w:rPr>
          <w:rFonts w:eastAsia="Times New Roman" w:cs="Times New Roman"/>
          <w:szCs w:val="24"/>
        </w:rPr>
        <w:t>ill</w:t>
      </w:r>
      <w:r w:rsidRPr="005E582F">
        <w:rPr>
          <w:rFonts w:eastAsia="Times New Roman" w:cs="Times New Roman"/>
          <w:szCs w:val="24"/>
        </w:rPr>
        <w:t xml:space="preserve"> submit </w:t>
      </w:r>
      <w:r w:rsidR="006B610D">
        <w:rPr>
          <w:rFonts w:eastAsia="Times New Roman" w:cs="Times New Roman"/>
          <w:szCs w:val="24"/>
        </w:rPr>
        <w:t xml:space="preserve">a </w:t>
      </w:r>
      <w:r w:rsidR="00336147">
        <w:rPr>
          <w:rFonts w:eastAsia="Times New Roman" w:cs="Times New Roman"/>
          <w:szCs w:val="24"/>
        </w:rPr>
        <w:t xml:space="preserve">one-time </w:t>
      </w:r>
      <w:r w:rsidRPr="005E582F">
        <w:rPr>
          <w:rFonts w:eastAsia="Times New Roman" w:cs="Times New Roman"/>
          <w:szCs w:val="24"/>
        </w:rPr>
        <w:t>response</w:t>
      </w:r>
      <w:r w:rsidRPr="005E582F" w:rsidR="00F86FC7">
        <w:rPr>
          <w:rFonts w:eastAsia="Times New Roman" w:cs="Times New Roman"/>
          <w:szCs w:val="24"/>
        </w:rPr>
        <w:t xml:space="preserve"> </w:t>
      </w:r>
      <w:r w:rsidRPr="005E582F">
        <w:rPr>
          <w:rFonts w:eastAsia="Times New Roman" w:cs="Times New Roman"/>
          <w:szCs w:val="24"/>
        </w:rPr>
        <w:t>result</w:t>
      </w:r>
      <w:r w:rsidRPr="005E582F" w:rsidR="00F86FC7">
        <w:rPr>
          <w:rFonts w:eastAsia="Times New Roman" w:cs="Times New Roman"/>
          <w:szCs w:val="24"/>
        </w:rPr>
        <w:t>ing</w:t>
      </w:r>
      <w:r w:rsidRPr="005E582F">
        <w:rPr>
          <w:rFonts w:eastAsia="Times New Roman" w:cs="Times New Roman"/>
          <w:szCs w:val="24"/>
        </w:rPr>
        <w:t xml:space="preserve"> in 56 responses </w:t>
      </w:r>
      <w:r w:rsidR="00234192">
        <w:rPr>
          <w:rFonts w:eastAsia="Times New Roman" w:cs="Times New Roman"/>
          <w:szCs w:val="24"/>
        </w:rPr>
        <w:t>the first</w:t>
      </w:r>
      <w:r w:rsidRPr="005E582F">
        <w:rPr>
          <w:rFonts w:eastAsia="Times New Roman" w:cs="Times New Roman"/>
          <w:szCs w:val="24"/>
        </w:rPr>
        <w:t xml:space="preserve"> year</w:t>
      </w:r>
      <w:r w:rsidR="00234192">
        <w:rPr>
          <w:rFonts w:eastAsia="Times New Roman" w:cs="Times New Roman"/>
          <w:szCs w:val="24"/>
        </w:rPr>
        <w:t xml:space="preserve"> and at state option thereafter</w:t>
      </w:r>
      <w:r w:rsidRPr="005E582F">
        <w:rPr>
          <w:rFonts w:eastAsia="Times New Roman" w:cs="Times New Roman"/>
          <w:szCs w:val="24"/>
        </w:rPr>
        <w:t>.</w:t>
      </w:r>
      <w:r w:rsidR="001A762C">
        <w:rPr>
          <w:rFonts w:eastAsia="Times New Roman" w:cs="Times New Roman"/>
          <w:szCs w:val="24"/>
        </w:rPr>
        <w:t xml:space="preserve">  </w:t>
      </w:r>
      <w:r w:rsidRPr="001A762C" w:rsidR="001A762C">
        <w:rPr>
          <w:rFonts w:eastAsia="Times New Roman" w:cs="Times New Roman"/>
          <w:szCs w:val="24"/>
        </w:rPr>
        <w:t>We are not setting out burden for such subsequent updates since we have no reliable way of knowing when or how many times a state will update their plan.</w:t>
      </w:r>
    </w:p>
    <w:p w:rsidRPr="00142753" w:rsidR="0001663C" w:rsidP="0001663C" w:rsidRDefault="0001663C" w14:paraId="44A3399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D240DA" w:rsidP="0001663C" w:rsidRDefault="00AC438A" w14:paraId="09239D47" w14:textId="3ABBE20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AC438A">
        <w:rPr>
          <w:rFonts w:eastAsia="Times New Roman" w:cs="Times New Roman"/>
          <w:szCs w:val="24"/>
        </w:rPr>
        <w:t xml:space="preserve">States are expected to submit all three preprints and </w:t>
      </w:r>
      <w:r w:rsidR="00D240DA">
        <w:rPr>
          <w:rFonts w:eastAsia="Times New Roman" w:cs="Times New Roman"/>
          <w:szCs w:val="24"/>
        </w:rPr>
        <w:t xml:space="preserve">the </w:t>
      </w:r>
      <w:r w:rsidRPr="00AC438A">
        <w:rPr>
          <w:rFonts w:eastAsia="Times New Roman" w:cs="Times New Roman"/>
          <w:szCs w:val="24"/>
        </w:rPr>
        <w:t>waiver</w:t>
      </w:r>
      <w:r w:rsidR="00D240DA">
        <w:rPr>
          <w:rFonts w:eastAsia="Times New Roman" w:cs="Times New Roman"/>
          <w:szCs w:val="24"/>
        </w:rPr>
        <w:t>,</w:t>
      </w:r>
      <w:r w:rsidRPr="00AC438A">
        <w:rPr>
          <w:rFonts w:eastAsia="Times New Roman" w:cs="Times New Roman"/>
          <w:szCs w:val="24"/>
        </w:rPr>
        <w:t xml:space="preserve"> as necessary.  We </w:t>
      </w:r>
      <w:r w:rsidR="00D240DA">
        <w:rPr>
          <w:rFonts w:eastAsia="Times New Roman" w:cs="Times New Roman"/>
          <w:szCs w:val="24"/>
        </w:rPr>
        <w:t xml:space="preserve">are </w:t>
      </w:r>
      <w:r w:rsidRPr="00AC438A">
        <w:rPr>
          <w:rFonts w:eastAsia="Times New Roman" w:cs="Times New Roman"/>
          <w:szCs w:val="24"/>
        </w:rPr>
        <w:t>not be able to predict how many states will pursue the waiver request.</w:t>
      </w:r>
      <w:r w:rsidR="00D240DA">
        <w:rPr>
          <w:rFonts w:eastAsia="Times New Roman" w:cs="Times New Roman"/>
          <w:szCs w:val="24"/>
        </w:rPr>
        <w:t xml:space="preserve"> </w:t>
      </w:r>
    </w:p>
    <w:p w:rsidR="00D240DA" w:rsidP="0001663C" w:rsidRDefault="00D240DA" w14:paraId="0571DC3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01663C" w:rsidP="0001663C" w:rsidRDefault="0001663C" w14:paraId="44E5C2A1" w14:textId="10A2401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142753">
        <w:rPr>
          <w:rFonts w:eastAsia="Times New Roman" w:cs="Times New Roman"/>
          <w:szCs w:val="24"/>
        </w:rPr>
        <w:t xml:space="preserve">We estimate it would take </w:t>
      </w:r>
      <w:r w:rsidR="0073175D">
        <w:rPr>
          <w:rFonts w:eastAsia="Times New Roman" w:cs="Times New Roman"/>
          <w:szCs w:val="24"/>
        </w:rPr>
        <w:t xml:space="preserve">up to </w:t>
      </w:r>
      <w:r w:rsidR="00C72EE4">
        <w:rPr>
          <w:rFonts w:eastAsia="Times New Roman" w:cs="Times New Roman"/>
          <w:szCs w:val="24"/>
        </w:rPr>
        <w:t>3</w:t>
      </w:r>
      <w:r w:rsidRPr="00142753">
        <w:rPr>
          <w:rFonts w:eastAsia="Times New Roman" w:cs="Times New Roman"/>
          <w:szCs w:val="24"/>
        </w:rPr>
        <w:t xml:space="preserve"> hour</w:t>
      </w:r>
      <w:r w:rsidR="00C72EE4">
        <w:rPr>
          <w:rFonts w:eastAsia="Times New Roman" w:cs="Times New Roman"/>
          <w:szCs w:val="24"/>
        </w:rPr>
        <w:t>s</w:t>
      </w:r>
      <w:r w:rsidRPr="00142753">
        <w:rPr>
          <w:rFonts w:eastAsia="Times New Roman" w:cs="Times New Roman"/>
          <w:szCs w:val="24"/>
        </w:rPr>
        <w:t xml:space="preserve"> at $75.32/</w:t>
      </w:r>
      <w:proofErr w:type="spellStart"/>
      <w:r w:rsidRPr="00142753">
        <w:rPr>
          <w:rFonts w:eastAsia="Times New Roman" w:cs="Times New Roman"/>
          <w:szCs w:val="24"/>
        </w:rPr>
        <w:t>hr</w:t>
      </w:r>
      <w:proofErr w:type="spellEnd"/>
      <w:r w:rsidRPr="00142753">
        <w:rPr>
          <w:rFonts w:eastAsia="Times New Roman" w:cs="Times New Roman"/>
          <w:szCs w:val="24"/>
        </w:rPr>
        <w:t xml:space="preserve"> for a business operations specialist to review and complete the preprint</w:t>
      </w:r>
      <w:r w:rsidR="008A27A1">
        <w:rPr>
          <w:rFonts w:eastAsia="Times New Roman" w:cs="Times New Roman"/>
          <w:szCs w:val="24"/>
        </w:rPr>
        <w:t>/waiver</w:t>
      </w:r>
      <w:bookmarkStart w:name="_GoBack" w:id="1"/>
      <w:bookmarkEnd w:id="1"/>
      <w:r w:rsidRPr="00142753">
        <w:rPr>
          <w:rFonts w:eastAsia="Times New Roman" w:cs="Times New Roman"/>
          <w:szCs w:val="24"/>
        </w:rPr>
        <w:t xml:space="preserve"> pages. In aggregate, we estimate a</w:t>
      </w:r>
      <w:r w:rsidR="001A762C">
        <w:rPr>
          <w:rFonts w:eastAsia="Times New Roman" w:cs="Times New Roman"/>
          <w:szCs w:val="24"/>
        </w:rPr>
        <w:t xml:space="preserve"> one-time </w:t>
      </w:r>
      <w:r w:rsidRPr="00142753">
        <w:rPr>
          <w:rFonts w:eastAsia="Times New Roman" w:cs="Times New Roman"/>
          <w:szCs w:val="24"/>
        </w:rPr>
        <w:t xml:space="preserve">burden of </w:t>
      </w:r>
      <w:r w:rsidR="0007327E">
        <w:rPr>
          <w:rFonts w:eastAsia="Times New Roman" w:cs="Times New Roman"/>
          <w:szCs w:val="24"/>
        </w:rPr>
        <w:t>168</w:t>
      </w:r>
      <w:r w:rsidRPr="00142753">
        <w:rPr>
          <w:rFonts w:eastAsia="Times New Roman" w:cs="Times New Roman"/>
          <w:szCs w:val="24"/>
        </w:rPr>
        <w:t xml:space="preserve"> hours (56 responses x </w:t>
      </w:r>
      <w:r w:rsidR="00262619">
        <w:rPr>
          <w:rFonts w:eastAsia="Times New Roman" w:cs="Times New Roman"/>
          <w:szCs w:val="24"/>
        </w:rPr>
        <w:t>3</w:t>
      </w:r>
      <w:r w:rsidRPr="00142753">
        <w:rPr>
          <w:rFonts w:eastAsia="Times New Roman" w:cs="Times New Roman"/>
          <w:szCs w:val="24"/>
        </w:rPr>
        <w:t xml:space="preserve"> hr</w:t>
      </w:r>
      <w:r w:rsidR="009D0A17">
        <w:rPr>
          <w:rFonts w:eastAsia="Times New Roman" w:cs="Times New Roman"/>
          <w:szCs w:val="24"/>
        </w:rPr>
        <w:t>/response</w:t>
      </w:r>
      <w:r w:rsidRPr="00142753">
        <w:rPr>
          <w:rFonts w:eastAsia="Times New Roman" w:cs="Times New Roman"/>
          <w:szCs w:val="24"/>
        </w:rPr>
        <w:t>) at a cost of $</w:t>
      </w:r>
      <w:r w:rsidR="00262619">
        <w:rPr>
          <w:rFonts w:eastAsia="Times New Roman" w:cs="Times New Roman"/>
          <w:szCs w:val="24"/>
        </w:rPr>
        <w:t>12,65</w:t>
      </w:r>
      <w:r w:rsidR="009D0A17">
        <w:rPr>
          <w:rFonts w:eastAsia="Times New Roman" w:cs="Times New Roman"/>
          <w:szCs w:val="24"/>
        </w:rPr>
        <w:t>4</w:t>
      </w:r>
      <w:r w:rsidRPr="00142753">
        <w:rPr>
          <w:rFonts w:eastAsia="Times New Roman" w:cs="Times New Roman"/>
          <w:szCs w:val="24"/>
        </w:rPr>
        <w:t xml:space="preserve"> (</w:t>
      </w:r>
      <w:r w:rsidR="00262619">
        <w:rPr>
          <w:rFonts w:eastAsia="Times New Roman" w:cs="Times New Roman"/>
          <w:szCs w:val="24"/>
        </w:rPr>
        <w:t>168</w:t>
      </w:r>
      <w:r w:rsidRPr="00142753">
        <w:rPr>
          <w:rFonts w:eastAsia="Times New Roman" w:cs="Times New Roman"/>
          <w:szCs w:val="24"/>
        </w:rPr>
        <w:t xml:space="preserve"> hr x $75.32/hr) or $</w:t>
      </w:r>
      <w:r w:rsidR="00262619">
        <w:rPr>
          <w:rFonts w:eastAsia="Times New Roman" w:cs="Times New Roman"/>
          <w:szCs w:val="24"/>
        </w:rPr>
        <w:t>226</w:t>
      </w:r>
      <w:r w:rsidRPr="00142753">
        <w:rPr>
          <w:rFonts w:eastAsia="Times New Roman" w:cs="Times New Roman"/>
          <w:szCs w:val="24"/>
        </w:rPr>
        <w:t xml:space="preserve"> per State or territory ($</w:t>
      </w:r>
      <w:r w:rsidR="00262619">
        <w:rPr>
          <w:rFonts w:eastAsia="Times New Roman" w:cs="Times New Roman"/>
          <w:szCs w:val="24"/>
        </w:rPr>
        <w:t>12,65</w:t>
      </w:r>
      <w:r w:rsidR="009D0A17">
        <w:rPr>
          <w:rFonts w:eastAsia="Times New Roman" w:cs="Times New Roman"/>
          <w:szCs w:val="24"/>
        </w:rPr>
        <w:t>4</w:t>
      </w:r>
      <w:r w:rsidR="00262619">
        <w:rPr>
          <w:rFonts w:eastAsia="Times New Roman" w:cs="Times New Roman"/>
          <w:szCs w:val="24"/>
        </w:rPr>
        <w:t>/56)</w:t>
      </w:r>
      <w:r w:rsidRPr="00142753">
        <w:rPr>
          <w:rFonts w:eastAsia="Times New Roman" w:cs="Times New Roman"/>
          <w:szCs w:val="24"/>
        </w:rPr>
        <w:t>.</w:t>
      </w:r>
    </w:p>
    <w:p w:rsidR="00B16D8B" w:rsidP="008111D2" w:rsidRDefault="00B16D8B" w14:paraId="74DEF86E" w14:textId="77777777">
      <w:pPr>
        <w:spacing w:after="0" w:line="240" w:lineRule="auto"/>
        <w:rPr>
          <w:i/>
          <w:szCs w:val="24"/>
        </w:rPr>
      </w:pPr>
    </w:p>
    <w:p w:rsidR="00B16D8B" w:rsidP="008111D2" w:rsidRDefault="00B16D8B" w14:paraId="3B93B570" w14:textId="3A5CDA46">
      <w:pPr>
        <w:spacing w:after="0" w:line="240" w:lineRule="auto"/>
        <w:rPr>
          <w:i/>
          <w:szCs w:val="24"/>
        </w:rPr>
      </w:pPr>
      <w:r>
        <w:rPr>
          <w:i/>
          <w:szCs w:val="24"/>
        </w:rPr>
        <w:t>Information Collection Instruments and Instruction/Guidance Documents</w:t>
      </w:r>
    </w:p>
    <w:p w:rsidR="00A17521" w:rsidP="008111D2" w:rsidRDefault="00A17521" w14:paraId="22EEC9AD" w14:textId="3DBBAA92">
      <w:pPr>
        <w:spacing w:after="0" w:line="240" w:lineRule="auto"/>
        <w:rPr>
          <w:i/>
          <w:szCs w:val="24"/>
        </w:rPr>
      </w:pPr>
    </w:p>
    <w:p w:rsidR="00A17521" w:rsidP="00A17521" w:rsidRDefault="00A17521" w14:paraId="76659663" w14:textId="672E812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355CA8">
        <w:rPr>
          <w:rFonts w:eastAsia="Times New Roman" w:cs="Times New Roman"/>
          <w:szCs w:val="24"/>
        </w:rPr>
        <w:t>As indicated, States and territories must complete coverage requirements for Medicaid beneficiaries to receive coverage of COVID-19 vaccine administration, testing and treatment</w:t>
      </w:r>
      <w:r w:rsidR="007F48CF">
        <w:rPr>
          <w:rFonts w:eastAsia="Times New Roman" w:cs="Times New Roman"/>
          <w:szCs w:val="24"/>
        </w:rPr>
        <w:t xml:space="preserve">.  These attachments will be </w:t>
      </w:r>
      <w:r w:rsidR="001521BD">
        <w:rPr>
          <w:rFonts w:eastAsia="Times New Roman" w:cs="Times New Roman"/>
          <w:szCs w:val="24"/>
        </w:rPr>
        <w:t xml:space="preserve">submitted using a 179 form and </w:t>
      </w:r>
      <w:r w:rsidR="007F48CF">
        <w:rPr>
          <w:rFonts w:eastAsia="Times New Roman" w:cs="Times New Roman"/>
          <w:szCs w:val="24"/>
        </w:rPr>
        <w:t xml:space="preserve">added to the Medicaid state plan to authorize coverage.  </w:t>
      </w:r>
      <w:r w:rsidR="001521BD">
        <w:rPr>
          <w:rFonts w:eastAsia="Times New Roman" w:cs="Times New Roman"/>
          <w:szCs w:val="24"/>
        </w:rPr>
        <w:t xml:space="preserve">We are locating these SPAs at section 7.7 of the state plan as this is where CMS’s COVID related SPAs are located.  </w:t>
      </w:r>
      <w:r w:rsidR="007F48CF">
        <w:rPr>
          <w:rFonts w:eastAsia="Times New Roman" w:cs="Times New Roman"/>
          <w:szCs w:val="24"/>
        </w:rPr>
        <w:t xml:space="preserve">The 1135 </w:t>
      </w:r>
      <w:r w:rsidR="003F44D5">
        <w:rPr>
          <w:rFonts w:eastAsia="Times New Roman" w:cs="Times New Roman"/>
          <w:szCs w:val="24"/>
        </w:rPr>
        <w:t xml:space="preserve">waiver requests </w:t>
      </w:r>
      <w:r w:rsidR="00FA2350">
        <w:rPr>
          <w:rFonts w:eastAsia="Times New Roman" w:cs="Times New Roman"/>
          <w:szCs w:val="24"/>
        </w:rPr>
        <w:t>will be saved</w:t>
      </w:r>
      <w:r w:rsidR="003F44D5">
        <w:rPr>
          <w:rFonts w:eastAsia="Times New Roman" w:cs="Times New Roman"/>
          <w:szCs w:val="24"/>
        </w:rPr>
        <w:t xml:space="preserve"> within CMS operational state files.  Approval of these waivers will be </w:t>
      </w:r>
      <w:r w:rsidR="00FA2350">
        <w:rPr>
          <w:rFonts w:eastAsia="Times New Roman" w:cs="Times New Roman"/>
          <w:szCs w:val="24"/>
        </w:rPr>
        <w:t xml:space="preserve">included </w:t>
      </w:r>
      <w:r w:rsidR="003F44D5">
        <w:rPr>
          <w:rFonts w:eastAsia="Times New Roman" w:cs="Times New Roman"/>
          <w:szCs w:val="24"/>
        </w:rPr>
        <w:t xml:space="preserve">in the approval letter for the </w:t>
      </w:r>
      <w:r w:rsidR="00FA2350">
        <w:rPr>
          <w:rFonts w:eastAsia="Times New Roman" w:cs="Times New Roman"/>
          <w:szCs w:val="24"/>
        </w:rPr>
        <w:t xml:space="preserve">related </w:t>
      </w:r>
      <w:r w:rsidR="003F44D5">
        <w:rPr>
          <w:rFonts w:eastAsia="Times New Roman" w:cs="Times New Roman"/>
          <w:szCs w:val="24"/>
        </w:rPr>
        <w:t>s</w:t>
      </w:r>
      <w:r w:rsidR="00FA2350">
        <w:rPr>
          <w:rFonts w:eastAsia="Times New Roman" w:cs="Times New Roman"/>
          <w:szCs w:val="24"/>
        </w:rPr>
        <w:t>tate plan amendments</w:t>
      </w:r>
      <w:r w:rsidR="003F44D5">
        <w:rPr>
          <w:rFonts w:eastAsia="Times New Roman" w:cs="Times New Roman"/>
          <w:szCs w:val="24"/>
        </w:rPr>
        <w:t>.  New attachments to the state plan and the 1135 waiver templates are as follows</w:t>
      </w:r>
      <w:r w:rsidRPr="00355CA8">
        <w:rPr>
          <w:rFonts w:eastAsia="Times New Roman" w:cs="Times New Roman"/>
          <w:szCs w:val="24"/>
        </w:rPr>
        <w:t xml:space="preserve">: </w:t>
      </w:r>
    </w:p>
    <w:p w:rsidRPr="00142753" w:rsidR="00A17521" w:rsidP="00A17521" w:rsidRDefault="00A17521" w14:paraId="32473C6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142753">
        <w:rPr>
          <w:rFonts w:eastAsia="Times New Roman" w:cs="Times New Roman"/>
          <w:szCs w:val="24"/>
        </w:rPr>
        <w:t xml:space="preserve"> </w:t>
      </w:r>
    </w:p>
    <w:p w:rsidRPr="00142753" w:rsidR="00A17521" w:rsidP="00A17521" w:rsidRDefault="00A17521" w14:paraId="71E59070" w14:textId="55C2D29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142753">
        <w:rPr>
          <w:rFonts w:eastAsia="Times New Roman" w:cs="Times New Roman"/>
          <w:szCs w:val="24"/>
        </w:rPr>
        <w:t xml:space="preserve">Preprint Attachment </w:t>
      </w:r>
      <w:r>
        <w:rPr>
          <w:rFonts w:eastAsia="Times New Roman" w:cs="Times New Roman"/>
          <w:szCs w:val="24"/>
        </w:rPr>
        <w:t>7.7</w:t>
      </w:r>
      <w:r w:rsidRPr="00142753">
        <w:rPr>
          <w:rFonts w:eastAsia="Times New Roman" w:cs="Times New Roman"/>
          <w:szCs w:val="24"/>
        </w:rPr>
        <w:t>A</w:t>
      </w:r>
      <w:r w:rsidR="00B1295B">
        <w:rPr>
          <w:rFonts w:eastAsia="Times New Roman" w:cs="Times New Roman"/>
          <w:szCs w:val="24"/>
        </w:rPr>
        <w:t xml:space="preserve">: </w:t>
      </w:r>
      <w:r w:rsidRPr="00B1295B" w:rsidR="00B1295B">
        <w:rPr>
          <w:rFonts w:eastAsia="Times New Roman" w:cs="Times New Roman"/>
          <w:szCs w:val="24"/>
        </w:rPr>
        <w:t>Vaccine and Vaccine Administration</w:t>
      </w:r>
      <w:r w:rsidRPr="00142753">
        <w:rPr>
          <w:rFonts w:eastAsia="Times New Roman" w:cs="Times New Roman"/>
          <w:szCs w:val="24"/>
        </w:rPr>
        <w:t xml:space="preserve"> (New)</w:t>
      </w:r>
    </w:p>
    <w:p w:rsidR="00A17521" w:rsidP="00A17521" w:rsidRDefault="00A17521" w14:paraId="0EE3020A" w14:textId="6E0590F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142753">
        <w:rPr>
          <w:rFonts w:eastAsia="Times New Roman" w:cs="Times New Roman"/>
          <w:szCs w:val="24"/>
        </w:rPr>
        <w:t xml:space="preserve">Preprint Attachment </w:t>
      </w:r>
      <w:r>
        <w:rPr>
          <w:rFonts w:eastAsia="Times New Roman" w:cs="Times New Roman"/>
          <w:szCs w:val="24"/>
        </w:rPr>
        <w:t>7</w:t>
      </w:r>
      <w:r w:rsidRPr="00142753">
        <w:rPr>
          <w:rFonts w:eastAsia="Times New Roman" w:cs="Times New Roman"/>
          <w:szCs w:val="24"/>
        </w:rPr>
        <w:t>.</w:t>
      </w:r>
      <w:r>
        <w:rPr>
          <w:rFonts w:eastAsia="Times New Roman" w:cs="Times New Roman"/>
          <w:szCs w:val="24"/>
        </w:rPr>
        <w:t>7</w:t>
      </w:r>
      <w:r w:rsidRPr="00142753">
        <w:rPr>
          <w:rFonts w:eastAsia="Times New Roman" w:cs="Times New Roman"/>
          <w:szCs w:val="24"/>
        </w:rPr>
        <w:t>B</w:t>
      </w:r>
      <w:r w:rsidR="00B1295B">
        <w:rPr>
          <w:rFonts w:eastAsia="Times New Roman" w:cs="Times New Roman"/>
          <w:szCs w:val="24"/>
        </w:rPr>
        <w:t xml:space="preserve">: </w:t>
      </w:r>
      <w:r w:rsidRPr="00B1295B" w:rsidR="00B1295B">
        <w:rPr>
          <w:rFonts w:eastAsia="Times New Roman" w:cs="Times New Roman"/>
          <w:szCs w:val="24"/>
        </w:rPr>
        <w:t>COVID-19 Testing</w:t>
      </w:r>
      <w:r w:rsidRPr="00142753">
        <w:rPr>
          <w:rFonts w:eastAsia="Times New Roman" w:cs="Times New Roman"/>
          <w:szCs w:val="24"/>
        </w:rPr>
        <w:t xml:space="preserve"> (New)</w:t>
      </w:r>
    </w:p>
    <w:p w:rsidR="00A17521" w:rsidP="00A17521" w:rsidRDefault="00A17521" w14:paraId="6EE5C69F" w14:textId="66979C7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Pr>
          <w:rFonts w:eastAsia="Times New Roman" w:cs="Times New Roman"/>
          <w:szCs w:val="24"/>
        </w:rPr>
        <w:t>Preprint Attachment 7.7C</w:t>
      </w:r>
      <w:r w:rsidR="00BB1A36">
        <w:rPr>
          <w:rFonts w:eastAsia="Times New Roman" w:cs="Times New Roman"/>
          <w:szCs w:val="24"/>
        </w:rPr>
        <w:t xml:space="preserve">: </w:t>
      </w:r>
      <w:r w:rsidRPr="00BB1A36" w:rsidR="00BB1A36">
        <w:rPr>
          <w:rFonts w:eastAsia="Times New Roman" w:cs="Times New Roman"/>
          <w:szCs w:val="24"/>
        </w:rPr>
        <w:t>COVID-19 Treatment</w:t>
      </w:r>
      <w:r>
        <w:rPr>
          <w:rFonts w:eastAsia="Times New Roman" w:cs="Times New Roman"/>
          <w:szCs w:val="24"/>
        </w:rPr>
        <w:t xml:space="preserve"> (New)</w:t>
      </w:r>
    </w:p>
    <w:p w:rsidRPr="00142753" w:rsidR="00A17521" w:rsidP="00A17521" w:rsidRDefault="00A17521" w14:paraId="489AD351" w14:textId="615A4C6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Pr>
          <w:rFonts w:eastAsia="Times New Roman" w:cs="Times New Roman"/>
          <w:szCs w:val="24"/>
        </w:rPr>
        <w:t xml:space="preserve">Template </w:t>
      </w:r>
      <w:r w:rsidR="00BB1A36">
        <w:rPr>
          <w:rFonts w:eastAsia="Times New Roman" w:cs="Times New Roman"/>
          <w:szCs w:val="24"/>
        </w:rPr>
        <w:t xml:space="preserve">for </w:t>
      </w:r>
      <w:r w:rsidRPr="00BB1A36" w:rsidR="00BB1A36">
        <w:rPr>
          <w:rFonts w:eastAsia="Times New Roman" w:cs="Times New Roman"/>
          <w:szCs w:val="24"/>
        </w:rPr>
        <w:t xml:space="preserve">Medicaid Section 1135 Waiver of SPA Submission Requirements </w:t>
      </w:r>
      <w:r>
        <w:rPr>
          <w:rFonts w:eastAsia="Times New Roman" w:cs="Times New Roman"/>
          <w:szCs w:val="24"/>
        </w:rPr>
        <w:t>(New)</w:t>
      </w:r>
    </w:p>
    <w:p w:rsidRPr="006A7890" w:rsidR="002009B2" w:rsidP="008111D2" w:rsidRDefault="002009B2" w14:paraId="2EB58D98" w14:textId="77777777">
      <w:pPr>
        <w:spacing w:after="0" w:line="240" w:lineRule="auto"/>
        <w:rPr>
          <w:szCs w:val="24"/>
        </w:rPr>
      </w:pPr>
    </w:p>
    <w:p w:rsidR="007D6E75" w:rsidP="00F54374" w:rsidRDefault="007D6E75" w14:paraId="303D4ECE" w14:textId="77777777">
      <w:pPr>
        <w:pStyle w:val="Heading1"/>
      </w:pPr>
      <w:r w:rsidRPr="008111D2">
        <w:t>E. Timeline</w:t>
      </w:r>
    </w:p>
    <w:p w:rsidR="001654D6" w:rsidP="00364E8C" w:rsidRDefault="001654D6" w14:paraId="23BC2C64" w14:textId="6E554C05">
      <w:pPr>
        <w:spacing w:after="0" w:line="240" w:lineRule="auto"/>
        <w:rPr>
          <w:szCs w:val="24"/>
        </w:rPr>
      </w:pPr>
    </w:p>
    <w:p w:rsidR="00ED4A8E" w:rsidP="00364E8C" w:rsidRDefault="00095CE6" w14:paraId="5952538D" w14:textId="2CB99B52">
      <w:pPr>
        <w:spacing w:after="0" w:line="240" w:lineRule="auto"/>
        <w:rPr>
          <w:szCs w:val="24"/>
        </w:rPr>
      </w:pPr>
      <w:r w:rsidRPr="00095CE6">
        <w:rPr>
          <w:szCs w:val="24"/>
        </w:rPr>
        <w:t>Our 14-day notice published in the Federal Register on January 7, 2022 (87 FR 980). Comments were due on/by January 21. No comments were received.</w:t>
      </w:r>
    </w:p>
    <w:p w:rsidR="00ED4A8E" w:rsidP="00364E8C" w:rsidRDefault="00ED4A8E" w14:paraId="591A7FE5" w14:textId="77777777">
      <w:pPr>
        <w:spacing w:after="0" w:line="240" w:lineRule="auto"/>
        <w:rPr>
          <w:szCs w:val="24"/>
        </w:rPr>
      </w:pPr>
    </w:p>
    <w:p w:rsidR="00E340CB" w:rsidP="00364E8C" w:rsidRDefault="00E340CB" w14:paraId="55ADCA8F" w14:textId="60312C8F">
      <w:pPr>
        <w:spacing w:after="0" w:line="240" w:lineRule="auto"/>
        <w:rPr>
          <w:szCs w:val="24"/>
        </w:rPr>
      </w:pPr>
      <w:r w:rsidRPr="00284298">
        <w:rPr>
          <w:szCs w:val="24"/>
        </w:rPr>
        <w:t xml:space="preserve">These are new mandatory benefits established in Section 9811 of the ARP. </w:t>
      </w:r>
      <w:r w:rsidRPr="00284298" w:rsidR="00F86FC7">
        <w:rPr>
          <w:szCs w:val="24"/>
        </w:rPr>
        <w:t>States will need to submit these SPA</w:t>
      </w:r>
      <w:r w:rsidRPr="00284298" w:rsidR="00284298">
        <w:rPr>
          <w:szCs w:val="24"/>
        </w:rPr>
        <w:t>s</w:t>
      </w:r>
      <w:r w:rsidRPr="00284298">
        <w:rPr>
          <w:szCs w:val="24"/>
        </w:rPr>
        <w:t xml:space="preserve"> one time to effectuate the mandatory coverage</w:t>
      </w:r>
      <w:r w:rsidRPr="00284298" w:rsidR="00F86FC7">
        <w:rPr>
          <w:szCs w:val="24"/>
        </w:rPr>
        <w:t xml:space="preserve"> prior to the end of the public health emergency and it is not yet clear when that date will be. </w:t>
      </w:r>
      <w:r w:rsidRPr="00284298" w:rsidR="001654D6">
        <w:rPr>
          <w:szCs w:val="24"/>
        </w:rPr>
        <w:t>The effective date time period for the</w:t>
      </w:r>
      <w:r w:rsidRPr="00284298" w:rsidR="00F86FC7">
        <w:rPr>
          <w:szCs w:val="24"/>
        </w:rPr>
        <w:t>se</w:t>
      </w:r>
      <w:r w:rsidRPr="00284298" w:rsidR="001654D6">
        <w:rPr>
          <w:szCs w:val="24"/>
        </w:rPr>
        <w:t xml:space="preserve"> provisions is March 11, 2021 </w:t>
      </w:r>
      <w:r w:rsidRPr="00284298" w:rsidR="001654D6">
        <w:t>ending on the last day of the first calendar quarter that begins one year after the last day of the emergency period described in section 1135(g)(1)(B) of the Act.</w:t>
      </w:r>
      <w:r w:rsidRPr="00284298" w:rsidR="001654D6">
        <w:rPr>
          <w:szCs w:val="24"/>
        </w:rPr>
        <w:t xml:space="preserve"> </w:t>
      </w:r>
      <w:r w:rsidR="00A26BDD">
        <w:rPr>
          <w:szCs w:val="24"/>
        </w:rPr>
        <w:t xml:space="preserve">States will have the option to amend these SPAs </w:t>
      </w:r>
      <w:r w:rsidR="00673D1E">
        <w:rPr>
          <w:szCs w:val="24"/>
        </w:rPr>
        <w:t xml:space="preserve">while they are in effect. </w:t>
      </w:r>
      <w:r w:rsidRPr="00284298" w:rsidR="00F86FC7">
        <w:rPr>
          <w:szCs w:val="24"/>
        </w:rPr>
        <w:t>The SPAs will automatically sunset at the end of the time period that they are in effect</w:t>
      </w:r>
      <w:r w:rsidRPr="00284298">
        <w:rPr>
          <w:szCs w:val="24"/>
        </w:rPr>
        <w:t xml:space="preserve"> and that language is included on the SPA preprint.</w:t>
      </w:r>
    </w:p>
    <w:p w:rsidR="00E340CB" w:rsidP="00364E8C" w:rsidRDefault="00E340CB" w14:paraId="59595E0D" w14:textId="042E21B1">
      <w:pPr>
        <w:spacing w:after="0" w:line="240" w:lineRule="auto"/>
        <w:rPr>
          <w:szCs w:val="24"/>
        </w:rPr>
      </w:pPr>
    </w:p>
    <w:sectPr w:rsidR="00E340C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487E7" w14:textId="77777777" w:rsidR="009F7A41" w:rsidRDefault="009F7A41" w:rsidP="008111D2">
      <w:pPr>
        <w:spacing w:after="0" w:line="240" w:lineRule="auto"/>
      </w:pPr>
      <w:r>
        <w:separator/>
      </w:r>
    </w:p>
  </w:endnote>
  <w:endnote w:type="continuationSeparator" w:id="0">
    <w:p w14:paraId="694B13BE" w14:textId="77777777" w:rsidR="009F7A41" w:rsidRDefault="009F7A41" w:rsidP="008111D2">
      <w:pPr>
        <w:spacing w:after="0" w:line="240" w:lineRule="auto"/>
      </w:pPr>
      <w:r>
        <w:continuationSeparator/>
      </w:r>
    </w:p>
  </w:endnote>
  <w:endnote w:type="continuationNotice" w:id="1">
    <w:p w14:paraId="66AB0786" w14:textId="77777777" w:rsidR="009F7A41" w:rsidRDefault="009F7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20CBB" w14:textId="77777777" w:rsidR="00681DC1" w:rsidRDefault="00681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9081F" w14:textId="77777777" w:rsidR="009F7A41" w:rsidRDefault="009F7A41" w:rsidP="008111D2">
      <w:pPr>
        <w:spacing w:after="0" w:line="240" w:lineRule="auto"/>
      </w:pPr>
      <w:r>
        <w:separator/>
      </w:r>
    </w:p>
  </w:footnote>
  <w:footnote w:type="continuationSeparator" w:id="0">
    <w:p w14:paraId="330D9638" w14:textId="77777777" w:rsidR="009F7A41" w:rsidRDefault="009F7A41" w:rsidP="008111D2">
      <w:pPr>
        <w:spacing w:after="0" w:line="240" w:lineRule="auto"/>
      </w:pPr>
      <w:r>
        <w:continuationSeparator/>
      </w:r>
    </w:p>
  </w:footnote>
  <w:footnote w:type="continuationNotice" w:id="1">
    <w:p w14:paraId="210378C5" w14:textId="77777777" w:rsidR="009F7A41" w:rsidRDefault="009F7A41">
      <w:pPr>
        <w:spacing w:after="0" w:line="240" w:lineRule="auto"/>
      </w:pPr>
    </w:p>
  </w:footnote>
  <w:footnote w:id="2">
    <w:p w14:paraId="1A40190A" w14:textId="357FAB36" w:rsidR="006C72A1" w:rsidRDefault="006C72A1">
      <w:pPr>
        <w:pStyle w:val="FootnoteText"/>
      </w:pPr>
      <w:r>
        <w:rPr>
          <w:rStyle w:val="FootnoteReference"/>
        </w:rPr>
        <w:footnoteRef/>
      </w:r>
      <w:r>
        <w:t xml:space="preserve"> </w:t>
      </w:r>
      <w:hyperlink r:id="rId1" w:history="1">
        <w:r>
          <w:rPr>
            <w:rStyle w:val="Hyperlink"/>
          </w:rPr>
          <w:t>Coverage and Reimbursement of COVID-19 Vaccines, Vaccine Administration and Cost Sharing under Medicaid, CHIP, and Basic Health Program (May 5, 2021)</w:t>
        </w:r>
      </w:hyperlink>
      <w:r>
        <w:t xml:space="preserve">, </w:t>
      </w:r>
      <w:hyperlink r:id="rId2" w:history="1">
        <w:r>
          <w:rPr>
            <w:rStyle w:val="Hyperlink"/>
          </w:rPr>
          <w:t>SHO #21-003 - Medicaid Reimbursement Testing</w:t>
        </w:r>
      </w:hyperlink>
      <w:r w:rsidR="00E83C38">
        <w:t xml:space="preserve"> (</w:t>
      </w:r>
      <w:hyperlink r:id="rId3" w:history="1">
        <w:r w:rsidR="00E83C38" w:rsidRPr="003D612A">
          <w:rPr>
            <w:rStyle w:val="Hyperlink"/>
          </w:rPr>
          <w:t>https://www.medicaid.gov/federal-policy-guidance/downloads/sho-21-003.pdf</w:t>
        </w:r>
      </w:hyperlink>
      <w:r w:rsidR="00E83C38">
        <w:t>)</w:t>
      </w:r>
      <w:r>
        <w:t xml:space="preserve">, and </w:t>
      </w:r>
      <w:hyperlink r:id="rId4" w:history="1">
        <w:r>
          <w:rPr>
            <w:rStyle w:val="Hyperlink"/>
          </w:rPr>
          <w:t>SHO #21-006: Mandatory Medicaid and CHIP Coverage of COVID-19-Related Treatment under the American Rescue Plan Act of 2021</w:t>
        </w:r>
      </w:hyperlink>
      <w:r w:rsidR="00E83C38">
        <w:t xml:space="preserve"> (</w:t>
      </w:r>
      <w:hyperlink r:id="rId5" w:history="1">
        <w:r w:rsidR="00E83C38" w:rsidRPr="003D612A">
          <w:rPr>
            <w:rStyle w:val="Hyperlink"/>
          </w:rPr>
          <w:t>https://www.medicaid.gov/federal-policy-guidance/downloads/sho102221.pdf</w:t>
        </w:r>
      </w:hyperlink>
      <w:r w:rsidR="00E83C38">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4F5E" w14:textId="77777777" w:rsidR="00681DC1" w:rsidRDefault="00681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024B3"/>
    <w:rsid w:val="00011FEE"/>
    <w:rsid w:val="0001663C"/>
    <w:rsid w:val="00023A69"/>
    <w:rsid w:val="000362BD"/>
    <w:rsid w:val="00043D0E"/>
    <w:rsid w:val="00051700"/>
    <w:rsid w:val="00063D38"/>
    <w:rsid w:val="000712B4"/>
    <w:rsid w:val="0007142A"/>
    <w:rsid w:val="0007327E"/>
    <w:rsid w:val="00073C06"/>
    <w:rsid w:val="00076641"/>
    <w:rsid w:val="0007774B"/>
    <w:rsid w:val="00095CE6"/>
    <w:rsid w:val="000D0BAA"/>
    <w:rsid w:val="000D1CFD"/>
    <w:rsid w:val="000D7C29"/>
    <w:rsid w:val="000E55DA"/>
    <w:rsid w:val="00111672"/>
    <w:rsid w:val="001151CE"/>
    <w:rsid w:val="00120413"/>
    <w:rsid w:val="001213D3"/>
    <w:rsid w:val="00122C0E"/>
    <w:rsid w:val="00141A60"/>
    <w:rsid w:val="001521BD"/>
    <w:rsid w:val="001654D6"/>
    <w:rsid w:val="00175A39"/>
    <w:rsid w:val="001761CF"/>
    <w:rsid w:val="00185CB4"/>
    <w:rsid w:val="001A1FC6"/>
    <w:rsid w:val="001A762C"/>
    <w:rsid w:val="001D197A"/>
    <w:rsid w:val="001E1FA0"/>
    <w:rsid w:val="001E66B6"/>
    <w:rsid w:val="001F1F1F"/>
    <w:rsid w:val="001F2628"/>
    <w:rsid w:val="0020026D"/>
    <w:rsid w:val="002009B2"/>
    <w:rsid w:val="00222B4F"/>
    <w:rsid w:val="00234192"/>
    <w:rsid w:val="00252D20"/>
    <w:rsid w:val="00262619"/>
    <w:rsid w:val="00262B47"/>
    <w:rsid w:val="00270765"/>
    <w:rsid w:val="00270DCC"/>
    <w:rsid w:val="0027114C"/>
    <w:rsid w:val="00273208"/>
    <w:rsid w:val="0027700C"/>
    <w:rsid w:val="00284298"/>
    <w:rsid w:val="00292D52"/>
    <w:rsid w:val="002C2DEF"/>
    <w:rsid w:val="002C50D9"/>
    <w:rsid w:val="002C540B"/>
    <w:rsid w:val="002C64B6"/>
    <w:rsid w:val="003248D0"/>
    <w:rsid w:val="00325F87"/>
    <w:rsid w:val="00335313"/>
    <w:rsid w:val="00335F36"/>
    <w:rsid w:val="00336147"/>
    <w:rsid w:val="003412C1"/>
    <w:rsid w:val="003516CA"/>
    <w:rsid w:val="00354322"/>
    <w:rsid w:val="00355CA8"/>
    <w:rsid w:val="003627C8"/>
    <w:rsid w:val="00364E8C"/>
    <w:rsid w:val="003702ED"/>
    <w:rsid w:val="003918B4"/>
    <w:rsid w:val="003C7FE8"/>
    <w:rsid w:val="003E6441"/>
    <w:rsid w:val="003F44D5"/>
    <w:rsid w:val="003F4D04"/>
    <w:rsid w:val="00405CF9"/>
    <w:rsid w:val="004178AE"/>
    <w:rsid w:val="00432C17"/>
    <w:rsid w:val="00455365"/>
    <w:rsid w:val="0046116E"/>
    <w:rsid w:val="00465B2D"/>
    <w:rsid w:val="00467E98"/>
    <w:rsid w:val="00474257"/>
    <w:rsid w:val="00475EF8"/>
    <w:rsid w:val="00483058"/>
    <w:rsid w:val="00492D39"/>
    <w:rsid w:val="004A0A30"/>
    <w:rsid w:val="004B13E8"/>
    <w:rsid w:val="004B68C5"/>
    <w:rsid w:val="004C211C"/>
    <w:rsid w:val="00513CC3"/>
    <w:rsid w:val="00521033"/>
    <w:rsid w:val="0052333E"/>
    <w:rsid w:val="00597229"/>
    <w:rsid w:val="005A5E62"/>
    <w:rsid w:val="005B6A37"/>
    <w:rsid w:val="005C00B3"/>
    <w:rsid w:val="005C580D"/>
    <w:rsid w:val="005C73AF"/>
    <w:rsid w:val="005D001F"/>
    <w:rsid w:val="005D09F0"/>
    <w:rsid w:val="005D6FC8"/>
    <w:rsid w:val="005D76C9"/>
    <w:rsid w:val="005E239C"/>
    <w:rsid w:val="005E312B"/>
    <w:rsid w:val="005E3B79"/>
    <w:rsid w:val="005E52BE"/>
    <w:rsid w:val="005E582F"/>
    <w:rsid w:val="005E70B4"/>
    <w:rsid w:val="005F36B0"/>
    <w:rsid w:val="005F3CAB"/>
    <w:rsid w:val="006026DA"/>
    <w:rsid w:val="00613E26"/>
    <w:rsid w:val="00647812"/>
    <w:rsid w:val="006613D0"/>
    <w:rsid w:val="00673D1E"/>
    <w:rsid w:val="00681DC1"/>
    <w:rsid w:val="00685368"/>
    <w:rsid w:val="006930B1"/>
    <w:rsid w:val="006A7890"/>
    <w:rsid w:val="006B2C2C"/>
    <w:rsid w:val="006B3EA8"/>
    <w:rsid w:val="006B610D"/>
    <w:rsid w:val="006C0B96"/>
    <w:rsid w:val="006C4626"/>
    <w:rsid w:val="006C6C40"/>
    <w:rsid w:val="006C72A1"/>
    <w:rsid w:val="006C7304"/>
    <w:rsid w:val="006D6A5D"/>
    <w:rsid w:val="006E37F0"/>
    <w:rsid w:val="006F4FF9"/>
    <w:rsid w:val="00707666"/>
    <w:rsid w:val="0071650B"/>
    <w:rsid w:val="00716824"/>
    <w:rsid w:val="00723A9E"/>
    <w:rsid w:val="00725AA8"/>
    <w:rsid w:val="0073175D"/>
    <w:rsid w:val="0075741C"/>
    <w:rsid w:val="00761BF7"/>
    <w:rsid w:val="00767E5E"/>
    <w:rsid w:val="00771E09"/>
    <w:rsid w:val="007740A1"/>
    <w:rsid w:val="00777B0D"/>
    <w:rsid w:val="007A2176"/>
    <w:rsid w:val="007C2E67"/>
    <w:rsid w:val="007D6E75"/>
    <w:rsid w:val="007E4D20"/>
    <w:rsid w:val="007F1711"/>
    <w:rsid w:val="007F48CF"/>
    <w:rsid w:val="00802598"/>
    <w:rsid w:val="008111D2"/>
    <w:rsid w:val="0082745B"/>
    <w:rsid w:val="00836E8F"/>
    <w:rsid w:val="00846658"/>
    <w:rsid w:val="00870D97"/>
    <w:rsid w:val="00873459"/>
    <w:rsid w:val="00886B47"/>
    <w:rsid w:val="0088756F"/>
    <w:rsid w:val="008A27A1"/>
    <w:rsid w:val="008B1A26"/>
    <w:rsid w:val="008C11BC"/>
    <w:rsid w:val="008D52D1"/>
    <w:rsid w:val="008D580B"/>
    <w:rsid w:val="008E33EB"/>
    <w:rsid w:val="008E6143"/>
    <w:rsid w:val="008E703C"/>
    <w:rsid w:val="008F2AED"/>
    <w:rsid w:val="008F385E"/>
    <w:rsid w:val="009004E1"/>
    <w:rsid w:val="0092638D"/>
    <w:rsid w:val="00931813"/>
    <w:rsid w:val="009369F3"/>
    <w:rsid w:val="00950F30"/>
    <w:rsid w:val="0095297C"/>
    <w:rsid w:val="00957213"/>
    <w:rsid w:val="00982669"/>
    <w:rsid w:val="009903AB"/>
    <w:rsid w:val="009B19E8"/>
    <w:rsid w:val="009B575A"/>
    <w:rsid w:val="009C2F36"/>
    <w:rsid w:val="009D0A17"/>
    <w:rsid w:val="009E3FAC"/>
    <w:rsid w:val="009F7A41"/>
    <w:rsid w:val="00A118DB"/>
    <w:rsid w:val="00A12A91"/>
    <w:rsid w:val="00A138F7"/>
    <w:rsid w:val="00A13BAF"/>
    <w:rsid w:val="00A17521"/>
    <w:rsid w:val="00A17BCB"/>
    <w:rsid w:val="00A24BB0"/>
    <w:rsid w:val="00A26BDD"/>
    <w:rsid w:val="00A467D7"/>
    <w:rsid w:val="00A718B4"/>
    <w:rsid w:val="00AA37EC"/>
    <w:rsid w:val="00AA52C3"/>
    <w:rsid w:val="00AB01BC"/>
    <w:rsid w:val="00AB0DA6"/>
    <w:rsid w:val="00AB5D81"/>
    <w:rsid w:val="00AC0263"/>
    <w:rsid w:val="00AC20B4"/>
    <w:rsid w:val="00AC438A"/>
    <w:rsid w:val="00AE0A11"/>
    <w:rsid w:val="00AE1BD8"/>
    <w:rsid w:val="00B00BDC"/>
    <w:rsid w:val="00B02C02"/>
    <w:rsid w:val="00B1295B"/>
    <w:rsid w:val="00B151B4"/>
    <w:rsid w:val="00B16D8B"/>
    <w:rsid w:val="00B37FCE"/>
    <w:rsid w:val="00B43BBD"/>
    <w:rsid w:val="00B532F3"/>
    <w:rsid w:val="00B57754"/>
    <w:rsid w:val="00B74079"/>
    <w:rsid w:val="00B7609E"/>
    <w:rsid w:val="00B76EFB"/>
    <w:rsid w:val="00B87957"/>
    <w:rsid w:val="00BB109D"/>
    <w:rsid w:val="00BB1A36"/>
    <w:rsid w:val="00BC1142"/>
    <w:rsid w:val="00BC4456"/>
    <w:rsid w:val="00BD32FA"/>
    <w:rsid w:val="00BD3DED"/>
    <w:rsid w:val="00BD7112"/>
    <w:rsid w:val="00BE4268"/>
    <w:rsid w:val="00BF3C88"/>
    <w:rsid w:val="00C2142E"/>
    <w:rsid w:val="00C2392D"/>
    <w:rsid w:val="00C30AA5"/>
    <w:rsid w:val="00C42C57"/>
    <w:rsid w:val="00C670FC"/>
    <w:rsid w:val="00C72EE4"/>
    <w:rsid w:val="00C87871"/>
    <w:rsid w:val="00C9228E"/>
    <w:rsid w:val="00C94C5E"/>
    <w:rsid w:val="00CA414B"/>
    <w:rsid w:val="00CB241F"/>
    <w:rsid w:val="00CB5768"/>
    <w:rsid w:val="00CB646D"/>
    <w:rsid w:val="00CB7E59"/>
    <w:rsid w:val="00CD4075"/>
    <w:rsid w:val="00CE2A3E"/>
    <w:rsid w:val="00CF6C1D"/>
    <w:rsid w:val="00D01558"/>
    <w:rsid w:val="00D12ABB"/>
    <w:rsid w:val="00D16EE9"/>
    <w:rsid w:val="00D215B4"/>
    <w:rsid w:val="00D240DA"/>
    <w:rsid w:val="00D25BBB"/>
    <w:rsid w:val="00D42E31"/>
    <w:rsid w:val="00D46C38"/>
    <w:rsid w:val="00D470D4"/>
    <w:rsid w:val="00D4736A"/>
    <w:rsid w:val="00D762D3"/>
    <w:rsid w:val="00D955B5"/>
    <w:rsid w:val="00D95986"/>
    <w:rsid w:val="00DA4035"/>
    <w:rsid w:val="00DB5990"/>
    <w:rsid w:val="00DD794C"/>
    <w:rsid w:val="00DF098E"/>
    <w:rsid w:val="00DF2A38"/>
    <w:rsid w:val="00E049C9"/>
    <w:rsid w:val="00E33E04"/>
    <w:rsid w:val="00E340CB"/>
    <w:rsid w:val="00E62B68"/>
    <w:rsid w:val="00E72A54"/>
    <w:rsid w:val="00E742E1"/>
    <w:rsid w:val="00E83C38"/>
    <w:rsid w:val="00E83C3E"/>
    <w:rsid w:val="00E93F3F"/>
    <w:rsid w:val="00EA4AB1"/>
    <w:rsid w:val="00EB1115"/>
    <w:rsid w:val="00ED4A8E"/>
    <w:rsid w:val="00EE1AD1"/>
    <w:rsid w:val="00EF3A74"/>
    <w:rsid w:val="00EF5322"/>
    <w:rsid w:val="00F01D40"/>
    <w:rsid w:val="00F04F6D"/>
    <w:rsid w:val="00F26343"/>
    <w:rsid w:val="00F303E4"/>
    <w:rsid w:val="00F34393"/>
    <w:rsid w:val="00F36ABD"/>
    <w:rsid w:val="00F4153A"/>
    <w:rsid w:val="00F54374"/>
    <w:rsid w:val="00F86FC7"/>
    <w:rsid w:val="00F904C1"/>
    <w:rsid w:val="00F940F9"/>
    <w:rsid w:val="00F9412F"/>
    <w:rsid w:val="00FA2350"/>
    <w:rsid w:val="00FA2576"/>
    <w:rsid w:val="00FB3D21"/>
    <w:rsid w:val="00FC72D0"/>
    <w:rsid w:val="00FD1DF2"/>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15:docId w15:val="{8B7CEF4B-A5E8-4D97-B3D1-CF3C8FE2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character" w:styleId="UnresolvedMention">
    <w:name w:val="Unresolved Mention"/>
    <w:basedOn w:val="DefaultParagraphFont"/>
    <w:uiPriority w:val="99"/>
    <w:semiHidden/>
    <w:unhideWhenUsed/>
    <w:rsid w:val="00E83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edicaid.gov/federal-policy-guidance/downloads/sho-21-003.pdf" TargetMode="External"/><Relationship Id="rId2" Type="http://schemas.openxmlformats.org/officeDocument/2006/relationships/hyperlink" Target="https://www.medicaid.gov/federal-policy-guidance/downloads/sho-21-003.pdf" TargetMode="External"/><Relationship Id="rId1" Type="http://schemas.openxmlformats.org/officeDocument/2006/relationships/hyperlink" Target="https://www.medicaid.gov/state-resource-center/downloads/covid-19-vaccine-toolkit.pdf" TargetMode="External"/><Relationship Id="rId5" Type="http://schemas.openxmlformats.org/officeDocument/2006/relationships/hyperlink" Target="https://www.medicaid.gov/federal-policy-guidance/downloads/sho102221.pdf" TargetMode="External"/><Relationship Id="rId4" Type="http://schemas.openxmlformats.org/officeDocument/2006/relationships/hyperlink" Target="https://www.medicaid.gov/federal-policy-guidance/downloads/sho1022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FD633-9E65-40F9-A446-73B2C939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8</cp:revision>
  <cp:lastPrinted>2014-06-27T18:10:00Z</cp:lastPrinted>
  <dcterms:created xsi:type="dcterms:W3CDTF">2022-01-19T17:46:00Z</dcterms:created>
  <dcterms:modified xsi:type="dcterms:W3CDTF">2022-01-31T13:12:00Z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